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67740" w:rsidRDefault="00367740">
      <w:pPr>
        <w:spacing w:before="240" w:after="240"/>
        <w:jc w:val="center"/>
        <w:rPr>
          <w:b/>
        </w:rPr>
      </w:pPr>
    </w:p>
    <w:p w14:paraId="00000002" w14:textId="77777777" w:rsidR="00367740" w:rsidRDefault="00367740">
      <w:pPr>
        <w:spacing w:before="240" w:after="240"/>
        <w:jc w:val="center"/>
        <w:rPr>
          <w:rFonts w:ascii="Times New Roman" w:eastAsia="Times New Roman" w:hAnsi="Times New Roman" w:cs="Times New Roman"/>
          <w:b/>
          <w:sz w:val="30"/>
          <w:szCs w:val="30"/>
        </w:rPr>
      </w:pPr>
    </w:p>
    <w:p w14:paraId="00000003" w14:textId="77777777" w:rsidR="00367740" w:rsidRDefault="004E7186">
      <w:pPr>
        <w:spacing w:before="240" w:after="240"/>
        <w:jc w:val="center"/>
        <w:rPr>
          <w:rFonts w:ascii="Times New Roman" w:eastAsia="Times New Roman" w:hAnsi="Times New Roman" w:cs="Times New Roman"/>
          <w:b/>
          <w:sz w:val="30"/>
          <w:szCs w:val="30"/>
        </w:rPr>
      </w:pPr>
      <w:r>
        <w:rPr>
          <w:rFonts w:ascii="Times New Roman" w:eastAsia="Times New Roman" w:hAnsi="Times New Roman" w:cs="Times New Roman"/>
          <w:b/>
          <w:sz w:val="30"/>
          <w:szCs w:val="30"/>
        </w:rPr>
        <w:t>Submission to the Committee on Economic, Social and Cultural Rights Review of Armenia</w:t>
      </w:r>
    </w:p>
    <w:p w14:paraId="00000004" w14:textId="77777777" w:rsidR="00367740" w:rsidRDefault="004E7186">
      <w:pPr>
        <w:spacing w:before="240" w:after="240"/>
        <w:jc w:val="center"/>
        <w:rPr>
          <w:rFonts w:ascii="Times New Roman" w:eastAsia="Times New Roman" w:hAnsi="Times New Roman" w:cs="Times New Roman"/>
          <w:b/>
          <w:sz w:val="30"/>
          <w:szCs w:val="30"/>
        </w:rPr>
      </w:pPr>
      <w:r>
        <w:rPr>
          <w:rFonts w:ascii="Times New Roman" w:eastAsia="Times New Roman" w:hAnsi="Times New Roman" w:cs="Times New Roman"/>
          <w:b/>
          <w:sz w:val="30"/>
          <w:szCs w:val="30"/>
        </w:rPr>
        <w:t>74th Session</w:t>
      </w:r>
    </w:p>
    <w:p w14:paraId="00000005" w14:textId="77777777" w:rsidR="00367740" w:rsidRDefault="004E7186">
      <w:pPr>
        <w:spacing w:before="240" w:after="240"/>
        <w:jc w:val="center"/>
        <w:rPr>
          <w:rFonts w:ascii="Times New Roman" w:eastAsia="Times New Roman" w:hAnsi="Times New Roman" w:cs="Times New Roman"/>
          <w:b/>
          <w:sz w:val="30"/>
          <w:szCs w:val="30"/>
        </w:rPr>
      </w:pPr>
      <w:r>
        <w:rPr>
          <w:rFonts w:ascii="Times New Roman" w:eastAsia="Times New Roman" w:hAnsi="Times New Roman" w:cs="Times New Roman"/>
          <w:b/>
          <w:sz w:val="30"/>
          <w:szCs w:val="30"/>
        </w:rPr>
        <w:t>Submitted by</w:t>
      </w:r>
    </w:p>
    <w:p w14:paraId="00000006" w14:textId="77777777" w:rsidR="00367740" w:rsidRDefault="00367740">
      <w:pPr>
        <w:spacing w:before="240" w:after="240"/>
        <w:jc w:val="center"/>
        <w:rPr>
          <w:rFonts w:ascii="Times New Roman" w:eastAsia="Times New Roman" w:hAnsi="Times New Roman" w:cs="Times New Roman"/>
          <w:b/>
          <w:sz w:val="30"/>
          <w:szCs w:val="30"/>
        </w:rPr>
      </w:pPr>
    </w:p>
    <w:p w14:paraId="00000007" w14:textId="77777777" w:rsidR="00367740" w:rsidRDefault="004E7186">
      <w:pPr>
        <w:spacing w:before="240" w:after="240"/>
        <w:jc w:val="center"/>
        <w:rPr>
          <w:rFonts w:ascii="Times New Roman" w:eastAsia="Times New Roman" w:hAnsi="Times New Roman" w:cs="Times New Roman"/>
          <w:b/>
          <w:sz w:val="30"/>
          <w:szCs w:val="30"/>
        </w:rPr>
      </w:pPr>
      <w:r>
        <w:rPr>
          <w:rFonts w:ascii="Times New Roman" w:eastAsia="Times New Roman" w:hAnsi="Times New Roman" w:cs="Times New Roman"/>
          <w:b/>
          <w:sz w:val="30"/>
          <w:szCs w:val="30"/>
        </w:rPr>
        <w:t>Sexual Assault Crisis Center</w:t>
      </w:r>
    </w:p>
    <w:p w14:paraId="00000008" w14:textId="77777777" w:rsidR="00367740" w:rsidRDefault="004E7186">
      <w:pPr>
        <w:jc w:val="center"/>
      </w:pPr>
      <w:r>
        <w:rPr>
          <w:rFonts w:ascii="Times New Roman" w:eastAsia="Times New Roman" w:hAnsi="Times New Roman" w:cs="Times New Roman"/>
          <w:sz w:val="30"/>
          <w:szCs w:val="30"/>
        </w:rPr>
        <w:t>August 2023</w:t>
      </w:r>
      <w:r>
        <w:br w:type="page"/>
      </w:r>
    </w:p>
    <w:p w14:paraId="00000009" w14:textId="77777777" w:rsidR="00367740" w:rsidRDefault="004E7186">
      <w:pPr>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The Escalating Crisis of Sexual Violence in Armenia</w:t>
      </w:r>
    </w:p>
    <w:p w14:paraId="0000000A" w14:textId="77777777" w:rsidR="00367740" w:rsidRDefault="00367740">
      <w:pPr>
        <w:jc w:val="both"/>
        <w:rPr>
          <w:rFonts w:ascii="Times New Roman" w:eastAsia="Times New Roman" w:hAnsi="Times New Roman" w:cs="Times New Roman"/>
          <w:sz w:val="26"/>
          <w:szCs w:val="26"/>
        </w:rPr>
      </w:pPr>
    </w:p>
    <w:p w14:paraId="0000000B" w14:textId="77777777" w:rsidR="00367740" w:rsidRDefault="004E7186">
      <w:pPr>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I. Introduction</w:t>
      </w:r>
    </w:p>
    <w:p w14:paraId="0000000C" w14:textId="77777777" w:rsidR="00367740" w:rsidRDefault="00367740">
      <w:pPr>
        <w:jc w:val="both"/>
        <w:rPr>
          <w:rFonts w:ascii="Times New Roman" w:eastAsia="Times New Roman" w:hAnsi="Times New Roman" w:cs="Times New Roman"/>
          <w:b/>
          <w:sz w:val="26"/>
          <w:szCs w:val="26"/>
        </w:rPr>
      </w:pPr>
    </w:p>
    <w:p w14:paraId="0000000D"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Addressing sexual violence inadequately poses a direct violation of the range of economic, social, and cultural rights. </w:t>
      </w:r>
      <w:r>
        <w:rPr>
          <w:rFonts w:ascii="Times New Roman" w:eastAsia="Times New Roman" w:hAnsi="Times New Roman" w:cs="Times New Roman"/>
          <w:b/>
          <w:sz w:val="26"/>
          <w:szCs w:val="26"/>
        </w:rPr>
        <w:t>Firstly,</w:t>
      </w:r>
      <w:r>
        <w:rPr>
          <w:rFonts w:ascii="Times New Roman" w:eastAsia="Times New Roman" w:hAnsi="Times New Roman" w:cs="Times New Roman"/>
          <w:sz w:val="26"/>
          <w:szCs w:val="26"/>
        </w:rPr>
        <w:t xml:space="preserve"> from a health perspective, victims of sexual violence fac</w:t>
      </w:r>
      <w:r>
        <w:rPr>
          <w:rFonts w:ascii="Times New Roman" w:eastAsia="Times New Roman" w:hAnsi="Times New Roman" w:cs="Times New Roman"/>
          <w:sz w:val="26"/>
          <w:szCs w:val="26"/>
        </w:rPr>
        <w:t>e severe physical and psychological trauma, which may have lasting implications. Their right to the highest attainable standard of physical and mental health, as enshrined in Article 12 of the International Covenant on Economic, Social, and Cultural Rights</w:t>
      </w:r>
      <w:r>
        <w:rPr>
          <w:rFonts w:ascii="Times New Roman" w:eastAsia="Times New Roman" w:hAnsi="Times New Roman" w:cs="Times New Roman"/>
          <w:sz w:val="26"/>
          <w:szCs w:val="26"/>
        </w:rPr>
        <w:t xml:space="preserve"> (ICESCR), is compromised when they do not have access to comprehensive medical care or psychological support. </w:t>
      </w:r>
      <w:r>
        <w:rPr>
          <w:rFonts w:ascii="Times New Roman" w:eastAsia="Times New Roman" w:hAnsi="Times New Roman" w:cs="Times New Roman"/>
          <w:b/>
          <w:sz w:val="26"/>
          <w:szCs w:val="26"/>
        </w:rPr>
        <w:t>Furthermore,</w:t>
      </w:r>
      <w:r>
        <w:rPr>
          <w:rFonts w:ascii="Times New Roman" w:eastAsia="Times New Roman" w:hAnsi="Times New Roman" w:cs="Times New Roman"/>
          <w:sz w:val="26"/>
          <w:szCs w:val="26"/>
        </w:rPr>
        <w:t xml:space="preserve"> the prevailing culture of silence surrounding sexual violence adversely affects educational environments. Victims, particularly in e</w:t>
      </w:r>
      <w:r>
        <w:rPr>
          <w:rFonts w:ascii="Times New Roman" w:eastAsia="Times New Roman" w:hAnsi="Times New Roman" w:cs="Times New Roman"/>
          <w:sz w:val="26"/>
          <w:szCs w:val="26"/>
        </w:rPr>
        <w:t xml:space="preserve">ducational institutions, may suffer from decreased concentration, absenteeism, or even dropout, thus infringing upon their right to education as laid down in Article 13 of the ICESCR. </w:t>
      </w:r>
      <w:r>
        <w:rPr>
          <w:rFonts w:ascii="Times New Roman" w:eastAsia="Times New Roman" w:hAnsi="Times New Roman" w:cs="Times New Roman"/>
          <w:b/>
          <w:sz w:val="26"/>
          <w:szCs w:val="26"/>
        </w:rPr>
        <w:t>In the labor sector,</w:t>
      </w:r>
      <w:r>
        <w:rPr>
          <w:rFonts w:ascii="Times New Roman" w:eastAsia="Times New Roman" w:hAnsi="Times New Roman" w:cs="Times New Roman"/>
          <w:sz w:val="26"/>
          <w:szCs w:val="26"/>
        </w:rPr>
        <w:t xml:space="preserve"> survivors often face stigmatization, which can hind</w:t>
      </w:r>
      <w:r>
        <w:rPr>
          <w:rFonts w:ascii="Times New Roman" w:eastAsia="Times New Roman" w:hAnsi="Times New Roman" w:cs="Times New Roman"/>
          <w:sz w:val="26"/>
          <w:szCs w:val="26"/>
        </w:rPr>
        <w:t xml:space="preserve">er their prospects, reflecting a breach of their right to work in just and favorable conditions (Article 6 and 7, ICESCR). </w:t>
      </w:r>
    </w:p>
    <w:p w14:paraId="0000000E" w14:textId="77777777" w:rsidR="00367740" w:rsidRDefault="00367740">
      <w:pPr>
        <w:jc w:val="both"/>
        <w:rPr>
          <w:rFonts w:ascii="Times New Roman" w:eastAsia="Times New Roman" w:hAnsi="Times New Roman" w:cs="Times New Roman"/>
          <w:sz w:val="26"/>
          <w:szCs w:val="26"/>
        </w:rPr>
      </w:pPr>
    </w:p>
    <w:p w14:paraId="0000000F" w14:textId="77777777" w:rsidR="00367740" w:rsidRDefault="004E7186">
      <w:pPr>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Given that the majority of sexual violence victims in Armenia are women, this issue transcends into the realm of </w:t>
      </w:r>
      <w:r>
        <w:rPr>
          <w:rFonts w:ascii="Times New Roman" w:eastAsia="Times New Roman" w:hAnsi="Times New Roman" w:cs="Times New Roman"/>
          <w:b/>
          <w:sz w:val="26"/>
          <w:szCs w:val="26"/>
        </w:rPr>
        <w:t>gender discriminat</w:t>
      </w:r>
      <w:r>
        <w:rPr>
          <w:rFonts w:ascii="Times New Roman" w:eastAsia="Times New Roman" w:hAnsi="Times New Roman" w:cs="Times New Roman"/>
          <w:b/>
          <w:sz w:val="26"/>
          <w:szCs w:val="26"/>
        </w:rPr>
        <w:t>ion</w:t>
      </w:r>
      <w:r>
        <w:rPr>
          <w:rFonts w:ascii="Times New Roman" w:eastAsia="Times New Roman" w:hAnsi="Times New Roman" w:cs="Times New Roman"/>
          <w:sz w:val="26"/>
          <w:szCs w:val="26"/>
        </w:rPr>
        <w:t>. The Convention on the Elimination of All Forms of Discrimination Against Women (CEDAW) asserts the rights of women to live free from gender-based discrimination, which includes all forms of sexual violence. When states fail to address such violence ad</w:t>
      </w:r>
      <w:r>
        <w:rPr>
          <w:rFonts w:ascii="Times New Roman" w:eastAsia="Times New Roman" w:hAnsi="Times New Roman" w:cs="Times New Roman"/>
          <w:sz w:val="26"/>
          <w:szCs w:val="26"/>
        </w:rPr>
        <w:t>equately, they not only fail in their obligations under the ICESCR but also under CEDAW, perpetuating systemic gender-based discrimination and undermining the foundational principles of gender equality and women's rights on the global stage.</w:t>
      </w:r>
    </w:p>
    <w:p w14:paraId="00000010" w14:textId="77777777" w:rsidR="00367740" w:rsidRDefault="00367740">
      <w:pPr>
        <w:jc w:val="both"/>
        <w:rPr>
          <w:rFonts w:ascii="Times New Roman" w:eastAsia="Times New Roman" w:hAnsi="Times New Roman" w:cs="Times New Roman"/>
          <w:sz w:val="26"/>
          <w:szCs w:val="26"/>
        </w:rPr>
      </w:pPr>
    </w:p>
    <w:p w14:paraId="00000011"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Sexual violen</w:t>
      </w:r>
      <w:r>
        <w:rPr>
          <w:rFonts w:ascii="Times New Roman" w:eastAsia="Times New Roman" w:hAnsi="Times New Roman" w:cs="Times New Roman"/>
          <w:sz w:val="26"/>
          <w:szCs w:val="26"/>
        </w:rPr>
        <w:t>ce in Armenia, while historically persistent, is experiencing a rapid escalation, amplifying the urgent need for a comprehensive, responsive, and efficient approach. This report delves into the various facets— societal, legal, and systemic—of this pressing</w:t>
      </w:r>
      <w:r>
        <w:rPr>
          <w:rFonts w:ascii="Times New Roman" w:eastAsia="Times New Roman" w:hAnsi="Times New Roman" w:cs="Times New Roman"/>
          <w:sz w:val="26"/>
          <w:szCs w:val="26"/>
        </w:rPr>
        <w:t xml:space="preserve"> concern, positioning the discourse in the context of the International Covenant on Economic, Social, and Cultural Rights (ICESCR). The report underscores Armenia’s obligations and the urgency of formulating a holistic strategy.</w:t>
      </w:r>
    </w:p>
    <w:p w14:paraId="00000012" w14:textId="77777777" w:rsidR="00367740" w:rsidRDefault="00367740">
      <w:pPr>
        <w:jc w:val="both"/>
        <w:rPr>
          <w:rFonts w:ascii="Times New Roman" w:eastAsia="Times New Roman" w:hAnsi="Times New Roman" w:cs="Times New Roman"/>
          <w:sz w:val="26"/>
          <w:szCs w:val="26"/>
        </w:rPr>
      </w:pPr>
    </w:p>
    <w:p w14:paraId="00000013" w14:textId="77777777" w:rsidR="00367740" w:rsidRDefault="004E7186">
      <w:pPr>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II. Societal Implications </w:t>
      </w:r>
      <w:r>
        <w:rPr>
          <w:rFonts w:ascii="Times New Roman" w:eastAsia="Times New Roman" w:hAnsi="Times New Roman" w:cs="Times New Roman"/>
          <w:b/>
          <w:sz w:val="26"/>
          <w:szCs w:val="26"/>
        </w:rPr>
        <w:t>and The Rising Crisis</w:t>
      </w:r>
    </w:p>
    <w:p w14:paraId="00000014" w14:textId="77777777" w:rsidR="00367740" w:rsidRDefault="00367740">
      <w:pPr>
        <w:jc w:val="both"/>
        <w:rPr>
          <w:rFonts w:ascii="Times New Roman" w:eastAsia="Times New Roman" w:hAnsi="Times New Roman" w:cs="Times New Roman"/>
          <w:sz w:val="26"/>
          <w:szCs w:val="26"/>
        </w:rPr>
      </w:pPr>
    </w:p>
    <w:p w14:paraId="00000015"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Armenia has exhibited resistance to addressing sexualized violence head-on. Many survivors are hemmed in by societal stigmas, familial repercussions, secondary victimization by law enforcement and hence a systemic mistrust in law enf</w:t>
      </w:r>
      <w:r>
        <w:rPr>
          <w:rFonts w:ascii="Times New Roman" w:eastAsia="Times New Roman" w:hAnsi="Times New Roman" w:cs="Times New Roman"/>
          <w:sz w:val="26"/>
          <w:szCs w:val="26"/>
        </w:rPr>
        <w:t>orcement, leading to underreporting. However, the apparent surge in reported cases not only underlines an escalating crisis but, given the magnitude of underreporting, suggests that actual instances might be substantially higher.</w:t>
      </w:r>
    </w:p>
    <w:p w14:paraId="00000016" w14:textId="77777777" w:rsidR="00367740" w:rsidRDefault="00367740">
      <w:pPr>
        <w:jc w:val="both"/>
        <w:rPr>
          <w:rFonts w:ascii="Times New Roman" w:eastAsia="Times New Roman" w:hAnsi="Times New Roman" w:cs="Times New Roman"/>
          <w:b/>
          <w:sz w:val="26"/>
          <w:szCs w:val="26"/>
        </w:rPr>
      </w:pPr>
    </w:p>
    <w:p w14:paraId="00000017" w14:textId="77777777" w:rsidR="00367740" w:rsidRDefault="004E7186">
      <w:pPr>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III. Legal Framework and </w:t>
      </w:r>
      <w:r>
        <w:rPr>
          <w:rFonts w:ascii="Times New Roman" w:eastAsia="Times New Roman" w:hAnsi="Times New Roman" w:cs="Times New Roman"/>
          <w:b/>
          <w:sz w:val="26"/>
          <w:szCs w:val="26"/>
        </w:rPr>
        <w:t>Enforcement Gaps</w:t>
      </w:r>
    </w:p>
    <w:p w14:paraId="00000018" w14:textId="77777777" w:rsidR="00367740" w:rsidRDefault="00367740">
      <w:pPr>
        <w:jc w:val="both"/>
        <w:rPr>
          <w:rFonts w:ascii="Times New Roman" w:eastAsia="Times New Roman" w:hAnsi="Times New Roman" w:cs="Times New Roman"/>
          <w:sz w:val="26"/>
          <w:szCs w:val="26"/>
        </w:rPr>
      </w:pPr>
    </w:p>
    <w:p w14:paraId="00000019"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Armenia's legal progress, although commendable, falls short in various domains, most significantly in enforcement mechanisms.</w:t>
      </w:r>
    </w:p>
    <w:p w14:paraId="0000001A" w14:textId="77777777" w:rsidR="00367740" w:rsidRDefault="00367740">
      <w:pPr>
        <w:jc w:val="both"/>
        <w:rPr>
          <w:rFonts w:ascii="Times New Roman" w:eastAsia="Times New Roman" w:hAnsi="Times New Roman" w:cs="Times New Roman"/>
          <w:sz w:val="26"/>
          <w:szCs w:val="26"/>
        </w:rPr>
      </w:pPr>
    </w:p>
    <w:p w14:paraId="0000001B"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Enforcement Shortcomings:</w:t>
      </w:r>
      <w:r>
        <w:rPr>
          <w:rFonts w:ascii="Times New Roman" w:eastAsia="Times New Roman" w:hAnsi="Times New Roman" w:cs="Times New Roman"/>
          <w:sz w:val="26"/>
          <w:szCs w:val="26"/>
        </w:rPr>
        <w:t xml:space="preserve"> Law enforcement's approach to tackling the increasing tide of cases has revealed alar</w:t>
      </w:r>
      <w:r>
        <w:rPr>
          <w:rFonts w:ascii="Times New Roman" w:eastAsia="Times New Roman" w:hAnsi="Times New Roman" w:cs="Times New Roman"/>
          <w:sz w:val="26"/>
          <w:szCs w:val="26"/>
        </w:rPr>
        <w:t>ming inadequacies. Their methods, often antiquated, do not reflect the intricacies and evolving dynamics of sexualized violence. Furthermore, their interactions with survivors frequently result in secondary victimization, a product of insufficient training</w:t>
      </w:r>
      <w:r>
        <w:rPr>
          <w:rFonts w:ascii="Times New Roman" w:eastAsia="Times New Roman" w:hAnsi="Times New Roman" w:cs="Times New Roman"/>
          <w:sz w:val="26"/>
          <w:szCs w:val="26"/>
        </w:rPr>
        <w:t xml:space="preserve"> and dated investigative techniques.</w:t>
      </w:r>
    </w:p>
    <w:p w14:paraId="0000001C" w14:textId="77777777" w:rsidR="00367740" w:rsidRDefault="00367740">
      <w:pPr>
        <w:jc w:val="both"/>
        <w:rPr>
          <w:rFonts w:ascii="Times New Roman" w:eastAsia="Times New Roman" w:hAnsi="Times New Roman" w:cs="Times New Roman"/>
          <w:sz w:val="26"/>
          <w:szCs w:val="26"/>
        </w:rPr>
      </w:pPr>
    </w:p>
    <w:p w14:paraId="0000001D"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Evidence Collection and the Importance of Rape Kits:</w:t>
      </w:r>
      <w:r>
        <w:rPr>
          <w:rFonts w:ascii="Times New Roman" w:eastAsia="Times New Roman" w:hAnsi="Times New Roman" w:cs="Times New Roman"/>
          <w:sz w:val="26"/>
          <w:szCs w:val="26"/>
        </w:rPr>
        <w:t xml:space="preserve"> Evidence collection, particularly in the realm of sexual assault, plays a pivotal role in the pursuit of justice. Delays in reporting, often fueled by societal and psychological pressures, challenge the preservation of crucial physical evidence. Forensic </w:t>
      </w:r>
      <w:r>
        <w:rPr>
          <w:rFonts w:ascii="Times New Roman" w:eastAsia="Times New Roman" w:hAnsi="Times New Roman" w:cs="Times New Roman"/>
          <w:sz w:val="26"/>
          <w:szCs w:val="26"/>
        </w:rPr>
        <w:t xml:space="preserve">rape kits, which are essential tools in evidence collection for sexual assault cases, are absent in Armenia. These kits contain tools for collecting, preserving, and analyzing evidence, which is paramount in securing convictions. They serve dual purposes: </w:t>
      </w:r>
      <w:r>
        <w:rPr>
          <w:rFonts w:ascii="Times New Roman" w:eastAsia="Times New Roman" w:hAnsi="Times New Roman" w:cs="Times New Roman"/>
          <w:sz w:val="26"/>
          <w:szCs w:val="26"/>
        </w:rPr>
        <w:t>aiding in the prosecution of assailants and ensuring survivors receive necessary medical attention. The lack of these kits not only impedes the judicial process but also leaves survivors medically and psychologically vulnerable.</w:t>
      </w:r>
    </w:p>
    <w:p w14:paraId="0000001E" w14:textId="77777777" w:rsidR="00367740" w:rsidRDefault="00367740">
      <w:pPr>
        <w:jc w:val="both"/>
        <w:rPr>
          <w:rFonts w:ascii="Times New Roman" w:eastAsia="Times New Roman" w:hAnsi="Times New Roman" w:cs="Times New Roman"/>
          <w:sz w:val="26"/>
          <w:szCs w:val="26"/>
        </w:rPr>
      </w:pPr>
    </w:p>
    <w:p w14:paraId="0000001F" w14:textId="77777777" w:rsidR="00367740" w:rsidRDefault="004E7186">
      <w:pPr>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IV. Institutional Challeng</w:t>
      </w:r>
      <w:r>
        <w:rPr>
          <w:rFonts w:ascii="Times New Roman" w:eastAsia="Times New Roman" w:hAnsi="Times New Roman" w:cs="Times New Roman"/>
          <w:b/>
          <w:sz w:val="26"/>
          <w:szCs w:val="26"/>
        </w:rPr>
        <w:t>es and the Imperative for a Holistic Approach</w:t>
      </w:r>
    </w:p>
    <w:p w14:paraId="00000020" w14:textId="77777777" w:rsidR="00367740" w:rsidRDefault="00367740">
      <w:pPr>
        <w:jc w:val="both"/>
        <w:rPr>
          <w:rFonts w:ascii="Times New Roman" w:eastAsia="Times New Roman" w:hAnsi="Times New Roman" w:cs="Times New Roman"/>
          <w:sz w:val="26"/>
          <w:szCs w:val="26"/>
        </w:rPr>
      </w:pPr>
    </w:p>
    <w:p w14:paraId="00000021"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Armenia's institutional framework exhibits gaps that must be urgently addressed to tackle the crisis at hand.</w:t>
      </w:r>
    </w:p>
    <w:p w14:paraId="00000022" w14:textId="77777777" w:rsidR="00367740" w:rsidRDefault="00367740">
      <w:pPr>
        <w:jc w:val="both"/>
        <w:rPr>
          <w:rFonts w:ascii="Times New Roman" w:eastAsia="Times New Roman" w:hAnsi="Times New Roman" w:cs="Times New Roman"/>
          <w:sz w:val="26"/>
          <w:szCs w:val="26"/>
        </w:rPr>
      </w:pPr>
    </w:p>
    <w:p w14:paraId="00000023"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Justice System's Role and its Flaws: </w:t>
      </w:r>
      <w:r>
        <w:rPr>
          <w:rFonts w:ascii="Times New Roman" w:eastAsia="Times New Roman" w:hAnsi="Times New Roman" w:cs="Times New Roman"/>
          <w:sz w:val="26"/>
          <w:szCs w:val="26"/>
        </w:rPr>
        <w:t>The Armenian justice system, in its present state, inadvertently exacerbates the trauma experienced by survivors. Drawn-out legal proceedings, lack of trauma-informed approaches, and outdated methodologies further alienate survivors and often discourage th</w:t>
      </w:r>
      <w:r>
        <w:rPr>
          <w:rFonts w:ascii="Times New Roman" w:eastAsia="Times New Roman" w:hAnsi="Times New Roman" w:cs="Times New Roman"/>
          <w:sz w:val="26"/>
          <w:szCs w:val="26"/>
        </w:rPr>
        <w:t>em from seeking justice.</w:t>
      </w:r>
    </w:p>
    <w:p w14:paraId="00000024" w14:textId="77777777" w:rsidR="00367740" w:rsidRDefault="00367740">
      <w:pPr>
        <w:jc w:val="both"/>
        <w:rPr>
          <w:rFonts w:ascii="Times New Roman" w:eastAsia="Times New Roman" w:hAnsi="Times New Roman" w:cs="Times New Roman"/>
          <w:sz w:val="26"/>
          <w:szCs w:val="26"/>
        </w:rPr>
      </w:pPr>
    </w:p>
    <w:p w14:paraId="00000025"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Crisis Centers and Survivor Support: </w:t>
      </w:r>
      <w:r>
        <w:rPr>
          <w:rFonts w:ascii="Times New Roman" w:eastAsia="Times New Roman" w:hAnsi="Times New Roman" w:cs="Times New Roman"/>
          <w:sz w:val="26"/>
          <w:szCs w:val="26"/>
        </w:rPr>
        <w:t>With the sole Sexual Assault Crisis Center ( the NGO) without state sponsorship, Armenia confronts a significant institutional void in offering survivor support. This is a glaring oversight, es</w:t>
      </w:r>
      <w:r>
        <w:rPr>
          <w:rFonts w:ascii="Times New Roman" w:eastAsia="Times New Roman" w:hAnsi="Times New Roman" w:cs="Times New Roman"/>
          <w:sz w:val="26"/>
          <w:szCs w:val="26"/>
        </w:rPr>
        <w:t>pecially given the ICESCR's emphasis on state-sponsored survivor support systems. Such centers play a multifaceted role, from offering psychological support to assisting in the evidence collection process, and the state's investment in them is non-negotiab</w:t>
      </w:r>
      <w:r>
        <w:rPr>
          <w:rFonts w:ascii="Times New Roman" w:eastAsia="Times New Roman" w:hAnsi="Times New Roman" w:cs="Times New Roman"/>
          <w:sz w:val="26"/>
          <w:szCs w:val="26"/>
        </w:rPr>
        <w:t>le.</w:t>
      </w:r>
    </w:p>
    <w:p w14:paraId="00000026" w14:textId="77777777" w:rsidR="00367740" w:rsidRDefault="00367740">
      <w:pPr>
        <w:jc w:val="both"/>
        <w:rPr>
          <w:rFonts w:ascii="Times New Roman" w:eastAsia="Times New Roman" w:hAnsi="Times New Roman" w:cs="Times New Roman"/>
          <w:sz w:val="26"/>
          <w:szCs w:val="26"/>
        </w:rPr>
      </w:pPr>
    </w:p>
    <w:p w14:paraId="00000027"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Sexual Harassment At Work:</w:t>
      </w:r>
      <w:r>
        <w:rPr>
          <w:rFonts w:ascii="Times New Roman" w:eastAsia="Times New Roman" w:hAnsi="Times New Roman" w:cs="Times New Roman"/>
          <w:sz w:val="26"/>
          <w:szCs w:val="26"/>
        </w:rPr>
        <w:t xml:space="preserve"> Recent amendments to the RA Labor Code have advanced the fight against workplace sexual harassment. However, the presence of gaps, especially concerning protective measures for victims and inadequate regulatory oversight for</w:t>
      </w:r>
      <w:r>
        <w:rPr>
          <w:rFonts w:ascii="Times New Roman" w:eastAsia="Times New Roman" w:hAnsi="Times New Roman" w:cs="Times New Roman"/>
          <w:sz w:val="26"/>
          <w:szCs w:val="26"/>
        </w:rPr>
        <w:t xml:space="preserve"> employers, is concerning.</w:t>
      </w:r>
    </w:p>
    <w:p w14:paraId="00000028" w14:textId="77777777" w:rsidR="00367740" w:rsidRDefault="00367740">
      <w:pPr>
        <w:jc w:val="both"/>
        <w:rPr>
          <w:rFonts w:ascii="Times New Roman" w:eastAsia="Times New Roman" w:hAnsi="Times New Roman" w:cs="Times New Roman"/>
          <w:sz w:val="26"/>
          <w:szCs w:val="26"/>
        </w:rPr>
      </w:pPr>
    </w:p>
    <w:p w14:paraId="00000029"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Sexual Harassment at Educational Institutions:</w:t>
      </w:r>
      <w:r>
        <w:rPr>
          <w:rFonts w:ascii="Times New Roman" w:eastAsia="Times New Roman" w:hAnsi="Times New Roman" w:cs="Times New Roman"/>
          <w:sz w:val="26"/>
          <w:szCs w:val="26"/>
        </w:rPr>
        <w:t xml:space="preserve"> In light of our research findings it becomes unequivocally clear that the phenomenon of sexual harassment is pervasive within educational institutions as well. Alarmingly, there are</w:t>
      </w:r>
      <w:r>
        <w:rPr>
          <w:rFonts w:ascii="Times New Roman" w:eastAsia="Times New Roman" w:hAnsi="Times New Roman" w:cs="Times New Roman"/>
          <w:sz w:val="26"/>
          <w:szCs w:val="26"/>
        </w:rPr>
        <w:t xml:space="preserve"> no existing laws that expressly stipulate the prohibition of sexual harassment in these educational settings. Such a legislative void not only contravenes the spirit and essence of the International Covenant on Economic, Social, and Cultural Rights – espe</w:t>
      </w:r>
      <w:r>
        <w:rPr>
          <w:rFonts w:ascii="Times New Roman" w:eastAsia="Times New Roman" w:hAnsi="Times New Roman" w:cs="Times New Roman"/>
          <w:sz w:val="26"/>
          <w:szCs w:val="26"/>
        </w:rPr>
        <w:t>cially with regard to the right to education in an environment free from discrimination and fear – but it also fosters a culture of silence. Consequently, the issue remains vastly underreported and recurrent, further underscoring the pressing need for corr</w:t>
      </w:r>
      <w:r>
        <w:rPr>
          <w:rFonts w:ascii="Times New Roman" w:eastAsia="Times New Roman" w:hAnsi="Times New Roman" w:cs="Times New Roman"/>
          <w:sz w:val="26"/>
          <w:szCs w:val="26"/>
        </w:rPr>
        <w:t>ective legislative measures in alignment with international standards.</w:t>
      </w:r>
    </w:p>
    <w:p w14:paraId="0000002A" w14:textId="77777777" w:rsidR="00367740" w:rsidRDefault="00367740">
      <w:pPr>
        <w:jc w:val="both"/>
        <w:rPr>
          <w:rFonts w:ascii="Times New Roman" w:eastAsia="Times New Roman" w:hAnsi="Times New Roman" w:cs="Times New Roman"/>
          <w:sz w:val="26"/>
          <w:szCs w:val="26"/>
        </w:rPr>
      </w:pPr>
    </w:p>
    <w:p w14:paraId="0000002B" w14:textId="77777777" w:rsidR="00367740" w:rsidRDefault="004E7186">
      <w:pPr>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V. A Holistic Blueprint for State Intervention</w:t>
      </w:r>
    </w:p>
    <w:p w14:paraId="0000002C" w14:textId="77777777" w:rsidR="00367740" w:rsidRDefault="00367740">
      <w:pPr>
        <w:jc w:val="both"/>
        <w:rPr>
          <w:rFonts w:ascii="Times New Roman" w:eastAsia="Times New Roman" w:hAnsi="Times New Roman" w:cs="Times New Roman"/>
          <w:sz w:val="26"/>
          <w:szCs w:val="26"/>
        </w:rPr>
      </w:pPr>
    </w:p>
    <w:p w14:paraId="0000002D"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To holistically address the escalating crisis, Armenia must recalibrate its strategies across several fronts.</w:t>
      </w:r>
    </w:p>
    <w:p w14:paraId="0000002E" w14:textId="77777777" w:rsidR="00367740" w:rsidRDefault="00367740">
      <w:pPr>
        <w:jc w:val="both"/>
        <w:rPr>
          <w:rFonts w:ascii="Times New Roman" w:eastAsia="Times New Roman" w:hAnsi="Times New Roman" w:cs="Times New Roman"/>
          <w:sz w:val="26"/>
          <w:szCs w:val="26"/>
        </w:rPr>
      </w:pPr>
    </w:p>
    <w:p w14:paraId="0000002F"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Comprehensive Training:</w:t>
      </w:r>
      <w:r>
        <w:rPr>
          <w:rFonts w:ascii="Times New Roman" w:eastAsia="Times New Roman" w:hAnsi="Times New Roman" w:cs="Times New Roman"/>
          <w:sz w:val="26"/>
          <w:szCs w:val="26"/>
        </w:rPr>
        <w:t xml:space="preserve"> B</w:t>
      </w:r>
      <w:r>
        <w:rPr>
          <w:rFonts w:ascii="Times New Roman" w:eastAsia="Times New Roman" w:hAnsi="Times New Roman" w:cs="Times New Roman"/>
          <w:sz w:val="26"/>
          <w:szCs w:val="26"/>
        </w:rPr>
        <w:t>eyond basic training, law enforcement and frontline responders must be equipped with a profound understanding of the complexities of sexualized violence. This entails rigorous, updated training modules focusing on sensitivity, trauma-informed approaches, a</w:t>
      </w:r>
      <w:r>
        <w:rPr>
          <w:rFonts w:ascii="Times New Roman" w:eastAsia="Times New Roman" w:hAnsi="Times New Roman" w:cs="Times New Roman"/>
          <w:sz w:val="26"/>
          <w:szCs w:val="26"/>
        </w:rPr>
        <w:t>nd efficient evidence collection methodologies.</w:t>
      </w:r>
    </w:p>
    <w:p w14:paraId="00000030" w14:textId="77777777" w:rsidR="00367740" w:rsidRDefault="00367740">
      <w:pPr>
        <w:jc w:val="both"/>
        <w:rPr>
          <w:rFonts w:ascii="Times New Roman" w:eastAsia="Times New Roman" w:hAnsi="Times New Roman" w:cs="Times New Roman"/>
          <w:sz w:val="26"/>
          <w:szCs w:val="26"/>
        </w:rPr>
      </w:pPr>
    </w:p>
    <w:p w14:paraId="00000031"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Investment in Infrastructure:</w:t>
      </w:r>
      <w:r>
        <w:rPr>
          <w:rFonts w:ascii="Times New Roman" w:eastAsia="Times New Roman" w:hAnsi="Times New Roman" w:cs="Times New Roman"/>
          <w:sz w:val="26"/>
          <w:szCs w:val="26"/>
        </w:rPr>
        <w:t xml:space="preserve"> The establishment, sponsorship, and promotion of multiple Sexual Assault Crisis Centers is paramount. These centers should be strategically located </w:t>
      </w:r>
      <w:r>
        <w:rPr>
          <w:rFonts w:ascii="Times New Roman" w:eastAsia="Times New Roman" w:hAnsi="Times New Roman" w:cs="Times New Roman"/>
          <w:sz w:val="26"/>
          <w:szCs w:val="26"/>
        </w:rPr>
        <w:lastRenderedPageBreak/>
        <w:t>for wide accessibility, resou</w:t>
      </w:r>
      <w:r>
        <w:rPr>
          <w:rFonts w:ascii="Times New Roman" w:eastAsia="Times New Roman" w:hAnsi="Times New Roman" w:cs="Times New Roman"/>
          <w:sz w:val="26"/>
          <w:szCs w:val="26"/>
        </w:rPr>
        <w:t>rced adequately, and staffed with professionals trained in trauma-informed care.</w:t>
      </w:r>
    </w:p>
    <w:p w14:paraId="00000032" w14:textId="77777777" w:rsidR="00367740" w:rsidRDefault="00367740">
      <w:pPr>
        <w:jc w:val="both"/>
        <w:rPr>
          <w:rFonts w:ascii="Times New Roman" w:eastAsia="Times New Roman" w:hAnsi="Times New Roman" w:cs="Times New Roman"/>
          <w:sz w:val="26"/>
          <w:szCs w:val="26"/>
        </w:rPr>
      </w:pPr>
    </w:p>
    <w:p w14:paraId="00000033"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Legal Framework Enhancement:</w:t>
      </w:r>
      <w:r>
        <w:rPr>
          <w:rFonts w:ascii="Times New Roman" w:eastAsia="Times New Roman" w:hAnsi="Times New Roman" w:cs="Times New Roman"/>
          <w:sz w:val="26"/>
          <w:szCs w:val="26"/>
        </w:rPr>
        <w:t xml:space="preserve"> Armenia's legal apparatus requires a significant overhaul. This begins with a re-evaluation of the evidence collection process, emphasizing </w:t>
      </w:r>
      <w:r>
        <w:rPr>
          <w:rFonts w:ascii="Times New Roman" w:eastAsia="Times New Roman" w:hAnsi="Times New Roman" w:cs="Times New Roman"/>
          <w:sz w:val="26"/>
          <w:szCs w:val="26"/>
          <w:u w:val="single"/>
        </w:rPr>
        <w:t>the p</w:t>
      </w:r>
      <w:r>
        <w:rPr>
          <w:rFonts w:ascii="Times New Roman" w:eastAsia="Times New Roman" w:hAnsi="Times New Roman" w:cs="Times New Roman"/>
          <w:sz w:val="26"/>
          <w:szCs w:val="26"/>
          <w:u w:val="single"/>
        </w:rPr>
        <w:t>rovision and use of rape kits.</w:t>
      </w:r>
      <w:r>
        <w:rPr>
          <w:rFonts w:ascii="Times New Roman" w:eastAsia="Times New Roman" w:hAnsi="Times New Roman" w:cs="Times New Roman"/>
          <w:sz w:val="26"/>
          <w:szCs w:val="26"/>
        </w:rPr>
        <w:t xml:space="preserve"> Additionally, the survivor protection mechanism needs reinforcement, ensuring their psychological and medical needs are met during the legal process.</w:t>
      </w:r>
    </w:p>
    <w:p w14:paraId="00000034" w14:textId="77777777" w:rsidR="00367740" w:rsidRDefault="00367740">
      <w:pPr>
        <w:jc w:val="both"/>
        <w:rPr>
          <w:rFonts w:ascii="Times New Roman" w:eastAsia="Times New Roman" w:hAnsi="Times New Roman" w:cs="Times New Roman"/>
          <w:sz w:val="26"/>
          <w:szCs w:val="26"/>
        </w:rPr>
      </w:pPr>
    </w:p>
    <w:p w14:paraId="00000035"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Public Awareness and Education:</w:t>
      </w:r>
      <w:r>
        <w:rPr>
          <w:rFonts w:ascii="Times New Roman" w:eastAsia="Times New Roman" w:hAnsi="Times New Roman" w:cs="Times New Roman"/>
          <w:sz w:val="26"/>
          <w:szCs w:val="26"/>
        </w:rPr>
        <w:t xml:space="preserve"> To challenge and change entrenched societa</w:t>
      </w:r>
      <w:r>
        <w:rPr>
          <w:rFonts w:ascii="Times New Roman" w:eastAsia="Times New Roman" w:hAnsi="Times New Roman" w:cs="Times New Roman"/>
          <w:sz w:val="26"/>
          <w:szCs w:val="26"/>
        </w:rPr>
        <w:t>l norms, state-driven public awareness campaigns are essential. Moreover, comprehensive education programs, integrated into school curriculums and community centers, can foster a generation better equipped to challenge and prevent sexualized violence.</w:t>
      </w:r>
    </w:p>
    <w:p w14:paraId="00000036" w14:textId="77777777" w:rsidR="00367740" w:rsidRDefault="00367740">
      <w:pPr>
        <w:jc w:val="both"/>
        <w:rPr>
          <w:rFonts w:ascii="Times New Roman" w:eastAsia="Times New Roman" w:hAnsi="Times New Roman" w:cs="Times New Roman"/>
          <w:sz w:val="26"/>
          <w:szCs w:val="26"/>
        </w:rPr>
      </w:pPr>
    </w:p>
    <w:p w14:paraId="00000037" w14:textId="77777777" w:rsidR="00367740" w:rsidRDefault="004E7186">
      <w:pPr>
        <w:jc w:val="both"/>
        <w:rPr>
          <w:rFonts w:ascii="Times New Roman" w:eastAsia="Times New Roman" w:hAnsi="Times New Roman" w:cs="Times New Roman"/>
          <w:sz w:val="26"/>
          <w:szCs w:val="26"/>
          <w:u w:val="single"/>
        </w:rPr>
      </w:pPr>
      <w:r>
        <w:rPr>
          <w:rFonts w:ascii="Times New Roman" w:eastAsia="Times New Roman" w:hAnsi="Times New Roman" w:cs="Times New Roman"/>
          <w:b/>
          <w:sz w:val="26"/>
          <w:szCs w:val="26"/>
        </w:rPr>
        <w:t>Col</w:t>
      </w:r>
      <w:r>
        <w:rPr>
          <w:rFonts w:ascii="Times New Roman" w:eastAsia="Times New Roman" w:hAnsi="Times New Roman" w:cs="Times New Roman"/>
          <w:b/>
          <w:sz w:val="26"/>
          <w:szCs w:val="26"/>
        </w:rPr>
        <w:t>laborative Multi-Agency Response:</w:t>
      </w:r>
      <w:r>
        <w:rPr>
          <w:rFonts w:ascii="Times New Roman" w:eastAsia="Times New Roman" w:hAnsi="Times New Roman" w:cs="Times New Roman"/>
          <w:sz w:val="26"/>
          <w:szCs w:val="26"/>
        </w:rPr>
        <w:t xml:space="preserve"> The multidimensionality of the issue necessitates synchronized efforts across agencies. Law enforcement, healthcare providers, NGOs, and community leaders </w:t>
      </w:r>
      <w:r>
        <w:rPr>
          <w:rFonts w:ascii="Times New Roman" w:eastAsia="Times New Roman" w:hAnsi="Times New Roman" w:cs="Times New Roman"/>
          <w:sz w:val="26"/>
          <w:szCs w:val="26"/>
          <w:u w:val="single"/>
        </w:rPr>
        <w:t>must collaborate closely</w:t>
      </w:r>
      <w:r>
        <w:rPr>
          <w:rFonts w:ascii="Times New Roman" w:eastAsia="Times New Roman" w:hAnsi="Times New Roman" w:cs="Times New Roman"/>
          <w:sz w:val="26"/>
          <w:szCs w:val="26"/>
        </w:rPr>
        <w:t xml:space="preserve">, establishing a </w:t>
      </w:r>
      <w:r>
        <w:rPr>
          <w:rFonts w:ascii="Times New Roman" w:eastAsia="Times New Roman" w:hAnsi="Times New Roman" w:cs="Times New Roman"/>
          <w:sz w:val="26"/>
          <w:szCs w:val="26"/>
          <w:u w:val="single"/>
        </w:rPr>
        <w:t>cohesive, comprehensive sa</w:t>
      </w:r>
      <w:r>
        <w:rPr>
          <w:rFonts w:ascii="Times New Roman" w:eastAsia="Times New Roman" w:hAnsi="Times New Roman" w:cs="Times New Roman"/>
          <w:sz w:val="26"/>
          <w:szCs w:val="26"/>
          <w:u w:val="single"/>
        </w:rPr>
        <w:t>fety net for survivors.</w:t>
      </w:r>
    </w:p>
    <w:p w14:paraId="00000038" w14:textId="77777777" w:rsidR="00367740" w:rsidRDefault="00367740">
      <w:pPr>
        <w:jc w:val="both"/>
        <w:rPr>
          <w:rFonts w:ascii="Times New Roman" w:eastAsia="Times New Roman" w:hAnsi="Times New Roman" w:cs="Times New Roman"/>
          <w:sz w:val="26"/>
          <w:szCs w:val="26"/>
        </w:rPr>
      </w:pPr>
    </w:p>
    <w:p w14:paraId="00000039" w14:textId="77777777" w:rsidR="00367740" w:rsidRDefault="004E7186">
      <w:pPr>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VI. Conclusion</w:t>
      </w:r>
    </w:p>
    <w:p w14:paraId="0000003A" w14:textId="77777777" w:rsidR="00367740" w:rsidRDefault="00367740">
      <w:pPr>
        <w:jc w:val="both"/>
        <w:rPr>
          <w:rFonts w:ascii="Times New Roman" w:eastAsia="Times New Roman" w:hAnsi="Times New Roman" w:cs="Times New Roman"/>
          <w:sz w:val="26"/>
          <w:szCs w:val="26"/>
        </w:rPr>
      </w:pPr>
    </w:p>
    <w:p w14:paraId="0000003B"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The multi-layered crisis of sexualized violence in Armenia requires an equally multi-pronged response. As this report elucidates, the challenges span societal perceptions, legal inadequacies, and institutional voids.</w:t>
      </w:r>
    </w:p>
    <w:p w14:paraId="0000003C" w14:textId="77777777" w:rsidR="00367740" w:rsidRDefault="004E7186">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Sexualized violence in Armenia, when vi</w:t>
      </w:r>
      <w:r>
        <w:rPr>
          <w:rFonts w:ascii="Times New Roman" w:eastAsia="Times New Roman" w:hAnsi="Times New Roman" w:cs="Times New Roman"/>
          <w:sz w:val="26"/>
          <w:szCs w:val="26"/>
        </w:rPr>
        <w:t>ewed through the lens of the ICESCR, reveals numerous infringements of the Covenant’s rights. Addressing these rights, not merely as principles but as intertwined entities in the fight against sexual violence, is imperative. Armenia's commitment to its int</w:t>
      </w:r>
      <w:r>
        <w:rPr>
          <w:rFonts w:ascii="Times New Roman" w:eastAsia="Times New Roman" w:hAnsi="Times New Roman" w:cs="Times New Roman"/>
          <w:sz w:val="26"/>
          <w:szCs w:val="26"/>
        </w:rPr>
        <w:t>ernational obligations will be reflected in its holistic, rights-focused approach to this escalating crisis.</w:t>
      </w:r>
    </w:p>
    <w:p w14:paraId="0000003D" w14:textId="77777777" w:rsidR="00367740" w:rsidRDefault="00367740">
      <w:pPr>
        <w:jc w:val="center"/>
        <w:rPr>
          <w:b/>
        </w:rPr>
      </w:pPr>
    </w:p>
    <w:sectPr w:rsidR="0036774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740"/>
    <w:rsid w:val="00367740"/>
    <w:rsid w:val="004E718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FDC1D0-ECD2-4A08-BAD7-8390ACB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1357</Words>
  <Characters>7428</Characters>
  <Application>Microsoft Office Word</Application>
  <DocSecurity>0</DocSecurity>
  <Lines>112</Lines>
  <Paragraphs>27</Paragraphs>
  <ScaleCrop>false</ScaleCrop>
  <Company>OHCHR</Company>
  <LinksUpToDate>false</LinksUpToDate>
  <CharactersWithSpaces>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2023-08-29T13:39:00Z</dcterms:created>
  <dcterms:modified xsi:type="dcterms:W3CDTF">2023-08-29T13:39:00Z</dcterms:modified>
</cp:coreProperties>
</file>