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940F8" w14:textId="77777777" w:rsidR="00FD315F" w:rsidRPr="00585DBF" w:rsidRDefault="00FD315F" w:rsidP="00FD315F">
      <w:pPr>
        <w:spacing w:after="0" w:line="240" w:lineRule="auto"/>
        <w:jc w:val="center"/>
        <w:rPr>
          <w:rFonts w:ascii="Times New Roman" w:eastAsia="Times New Roman" w:hAnsi="Times New Roman" w:cs="Times New Roman"/>
          <w:b/>
          <w:snapToGrid w:val="0"/>
          <w:kern w:val="0"/>
          <w:sz w:val="28"/>
          <w:szCs w:val="28"/>
          <w:lang w:val="en-GB" w:eastAsia="en-GB"/>
          <w14:ligatures w14:val="none"/>
        </w:rPr>
      </w:pPr>
      <w:bookmarkStart w:id="0" w:name="_Hlk213694301"/>
      <w:r w:rsidRPr="00585DBF">
        <w:rPr>
          <w:rFonts w:ascii="Times New Roman" w:eastAsia="Times New Roman" w:hAnsi="Times New Roman" w:cs="Times New Roman"/>
          <w:b/>
          <w:snapToGrid w:val="0"/>
          <w:kern w:val="0"/>
          <w:sz w:val="28"/>
          <w:szCs w:val="28"/>
          <w:lang w:val="en-GB" w:eastAsia="en-GB"/>
          <w14:ligatures w14:val="none"/>
        </w:rPr>
        <w:t>Answers of the Republic of Lithuania to the preliminary questions of the United Nations Committee Against Torture (CAT) about the implementation of the United Nations Convention against Torture and Other Cruel, Inhuman or Degrading Treatment or Punishment in Lithuania</w:t>
      </w:r>
    </w:p>
    <w:p w14:paraId="753E25E2" w14:textId="77777777" w:rsidR="00FD315F" w:rsidRPr="00585DBF" w:rsidRDefault="00FD315F" w:rsidP="00FD315F">
      <w:pPr>
        <w:spacing w:after="0" w:line="240" w:lineRule="auto"/>
        <w:jc w:val="center"/>
        <w:rPr>
          <w:rFonts w:ascii="Times New Roman" w:eastAsia="Times New Roman" w:hAnsi="Times New Roman" w:cs="Times New Roman"/>
          <w:b/>
          <w:snapToGrid w:val="0"/>
          <w:kern w:val="0"/>
          <w:sz w:val="28"/>
          <w:szCs w:val="28"/>
          <w:lang w:val="en-GB" w:eastAsia="en-GB"/>
          <w14:ligatures w14:val="none"/>
        </w:rPr>
      </w:pPr>
      <w:r w:rsidRPr="00585DBF">
        <w:rPr>
          <w:rFonts w:ascii="Times New Roman" w:eastAsia="Times New Roman" w:hAnsi="Times New Roman" w:cs="Times New Roman"/>
          <w:b/>
          <w:snapToGrid w:val="0"/>
          <w:kern w:val="0"/>
          <w:sz w:val="28"/>
          <w:szCs w:val="28"/>
          <w:lang w:val="en-GB" w:eastAsia="en-GB"/>
          <w14:ligatures w14:val="none"/>
        </w:rPr>
        <w:t>(CAT/C/LTU/5)</w:t>
      </w:r>
    </w:p>
    <w:p w14:paraId="6C404D5B" w14:textId="77777777" w:rsidR="00FD315F" w:rsidRPr="00585DBF" w:rsidRDefault="00FD315F" w:rsidP="00FD315F">
      <w:pPr>
        <w:pStyle w:val="NoSpacing"/>
        <w:rPr>
          <w:b/>
          <w:bCs/>
          <w:lang w:val="en-GB"/>
        </w:rPr>
      </w:pPr>
    </w:p>
    <w:p w14:paraId="79E483FB" w14:textId="77777777" w:rsidR="00FD315F" w:rsidRPr="00585DBF" w:rsidRDefault="00FD315F" w:rsidP="00FD315F">
      <w:pPr>
        <w:pStyle w:val="NoSpacing"/>
        <w:rPr>
          <w:b/>
          <w:bCs/>
          <w:sz w:val="28"/>
          <w:szCs w:val="28"/>
          <w:lang w:val="en-GB"/>
        </w:rPr>
      </w:pPr>
      <w:r w:rsidRPr="00585DBF">
        <w:rPr>
          <w:b/>
          <w:bCs/>
          <w:sz w:val="28"/>
          <w:szCs w:val="28"/>
          <w:lang w:val="en-GB"/>
        </w:rPr>
        <w:t>Articles 1 and 4</w:t>
      </w:r>
    </w:p>
    <w:p w14:paraId="4EA831FD" w14:textId="77777777" w:rsidR="00FD315F" w:rsidRPr="00585DBF" w:rsidRDefault="00FD315F" w:rsidP="00FD315F">
      <w:pPr>
        <w:pStyle w:val="NoSpacing"/>
        <w:rPr>
          <w:b/>
          <w:bCs/>
          <w:sz w:val="28"/>
          <w:szCs w:val="28"/>
          <w:lang w:val="en-GB"/>
        </w:rPr>
      </w:pPr>
    </w:p>
    <w:p w14:paraId="25928FDA" w14:textId="77777777" w:rsidR="00FD315F" w:rsidRPr="00585DBF" w:rsidRDefault="00FD315F" w:rsidP="00FD315F">
      <w:pPr>
        <w:rPr>
          <w:rFonts w:ascii="Times New Roman" w:eastAsia="Times New Roman" w:hAnsi="Times New Roman" w:cs="Times New Roman"/>
          <w:b/>
          <w:kern w:val="0"/>
          <w:sz w:val="24"/>
          <w:szCs w:val="24"/>
          <w:lang w:val="en-GB" w:eastAsia="lt-LT"/>
          <w14:ligatures w14:val="none"/>
        </w:rPr>
      </w:pPr>
      <w:bookmarkStart w:id="1" w:name="_Hlk213670669"/>
      <w:r w:rsidRPr="00585DBF">
        <w:rPr>
          <w:rFonts w:ascii="Times New Roman" w:eastAsia="Times New Roman" w:hAnsi="Times New Roman" w:cs="Times New Roman"/>
          <w:b/>
          <w:kern w:val="0"/>
          <w:sz w:val="24"/>
          <w:szCs w:val="24"/>
          <w:lang w:val="en-GB" w:eastAsia="lt-LT"/>
          <w14:ligatures w14:val="none"/>
        </w:rPr>
        <w:t>Paragraph 2 of the list of issues prior to reporting (</w:t>
      </w:r>
      <w:bookmarkStart w:id="2" w:name="_Hlk213694534"/>
      <w:r w:rsidRPr="00585DBF">
        <w:rPr>
          <w:rFonts w:ascii="Times New Roman" w:eastAsia="Times New Roman" w:hAnsi="Times New Roman" w:cs="Times New Roman"/>
          <w:b/>
          <w:kern w:val="0"/>
          <w:sz w:val="24"/>
          <w:szCs w:val="24"/>
          <w:lang w:val="en-GB" w:eastAsia="lt-LT"/>
          <w14:ligatures w14:val="none"/>
        </w:rPr>
        <w:t>LoIPR</w:t>
      </w:r>
      <w:bookmarkEnd w:id="2"/>
      <w:r w:rsidRPr="00585DBF">
        <w:rPr>
          <w:rFonts w:ascii="Times New Roman" w:eastAsia="Times New Roman" w:hAnsi="Times New Roman" w:cs="Times New Roman"/>
          <w:b/>
          <w:kern w:val="0"/>
          <w:sz w:val="24"/>
          <w:szCs w:val="24"/>
          <w:lang w:val="en-GB" w:eastAsia="lt-LT"/>
          <w14:ligatures w14:val="none"/>
        </w:rPr>
        <w:t>)</w:t>
      </w:r>
    </w:p>
    <w:bookmarkEnd w:id="1"/>
    <w:p w14:paraId="02A568FA" w14:textId="17799485"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2019, the </w:t>
      </w:r>
      <w:bookmarkStart w:id="3" w:name="_Hlk208239602"/>
      <w:r w:rsidRPr="00585DBF">
        <w:rPr>
          <w:rFonts w:ascii="Times New Roman" w:eastAsia="Aptos" w:hAnsi="Times New Roman" w:cs="Times New Roman"/>
          <w:sz w:val="24"/>
          <w:szCs w:val="24"/>
          <w:lang w:val="en-GB"/>
        </w:rPr>
        <w:t>Criminal Code</w:t>
      </w:r>
      <w:bookmarkEnd w:id="3"/>
      <w:r w:rsidRPr="00585DBF">
        <w:rPr>
          <w:rFonts w:ascii="Times New Roman" w:eastAsia="Aptos" w:hAnsi="Times New Roman" w:cs="Times New Roman"/>
          <w:sz w:val="24"/>
          <w:szCs w:val="24"/>
          <w:lang w:val="en-GB"/>
        </w:rPr>
        <w:t xml:space="preserve"> (CC) was supplemented with a new criminal offence – torture. Article 100</w:t>
      </w:r>
      <w:r w:rsidRPr="00585DBF">
        <w:rPr>
          <w:rFonts w:ascii="Times New Roman" w:eastAsia="Aptos" w:hAnsi="Times New Roman" w:cs="Times New Roman"/>
          <w:sz w:val="24"/>
          <w:szCs w:val="24"/>
          <w:vertAlign w:val="superscript"/>
          <w:lang w:val="en-GB"/>
        </w:rPr>
        <w:t>3</w:t>
      </w:r>
      <w:r w:rsidRPr="00585DBF">
        <w:rPr>
          <w:rFonts w:ascii="Times New Roman" w:eastAsia="Aptos" w:hAnsi="Times New Roman" w:cs="Times New Roman"/>
          <w:sz w:val="24"/>
          <w:szCs w:val="24"/>
          <w:lang w:val="en-GB"/>
        </w:rPr>
        <w:t xml:space="preserve"> of the CC provides for criminal liability for any person who, while executing the policy of the State or acting with the authorisation, instigation, support or acquiescence of the State, tortured in any way or otherwise treated people with extreme cruelty, thereby causing severe physical or psychological pain or severe distress to a victim. In 2024, the sanction for the offence of torture was made more stringent by providing for a single penalty of imprisonment for a term of one up to seven years. Whereas this offence is classified as a serious crime, the requirements of Article 4(2) of the Convention have been implemented to full extent.</w:t>
      </w:r>
    </w:p>
    <w:p w14:paraId="1EB8FCF0"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39CC4CEC" w14:textId="3BD9D4AF" w:rsidR="00FD315F" w:rsidRPr="00585DBF" w:rsidRDefault="00FD315F" w:rsidP="00FD315F">
      <w:pPr>
        <w:pStyle w:val="NoSpacing"/>
        <w:jc w:val="both"/>
        <w:rPr>
          <w:rFonts w:eastAsia="Aptos"/>
          <w:lang w:val="en-GB"/>
        </w:rPr>
      </w:pPr>
      <w:r w:rsidRPr="00585DBF">
        <w:rPr>
          <w:rFonts w:eastAsia="Aptos"/>
          <w:lang w:val="en-GB"/>
        </w:rPr>
        <w:t xml:space="preserve">It should be noted that the content of the offence of torture established in the CC provides for a broader criminalisation than that set out in Article 1 of the Convention because the criminal legal regulation of Lithuania does not require proving the purpose of this criminal offence (“for such purposes as obtaining from him or a third person information or a confession, punishing him for an act”). This not only ensures full compliance with the requirements of the </w:t>
      </w:r>
      <w:r w:rsidR="00585DBF" w:rsidRPr="00585DBF">
        <w:rPr>
          <w:rFonts w:eastAsia="Aptos"/>
          <w:lang w:val="en-GB"/>
        </w:rPr>
        <w:t>Convention but</w:t>
      </w:r>
      <w:r w:rsidRPr="00585DBF">
        <w:rPr>
          <w:rFonts w:eastAsia="Aptos"/>
          <w:lang w:val="en-GB"/>
        </w:rPr>
        <w:t xml:space="preserve"> also establishes </w:t>
      </w:r>
      <w:bookmarkStart w:id="4" w:name="_Hlk208239912"/>
      <w:r w:rsidRPr="00585DBF">
        <w:rPr>
          <w:rFonts w:eastAsia="Aptos"/>
          <w:lang w:val="en-GB"/>
        </w:rPr>
        <w:t>easier proof of the criminal offence in questio</w:t>
      </w:r>
      <w:bookmarkEnd w:id="4"/>
      <w:r w:rsidRPr="00585DBF">
        <w:rPr>
          <w:rFonts w:eastAsia="Aptos"/>
          <w:lang w:val="en-GB"/>
        </w:rPr>
        <w:t>n.</w:t>
      </w:r>
    </w:p>
    <w:p w14:paraId="6DAFBA05" w14:textId="77777777" w:rsidR="00FD315F" w:rsidRPr="00585DBF" w:rsidRDefault="00FD315F" w:rsidP="00FD315F">
      <w:pPr>
        <w:pStyle w:val="NoSpacing"/>
        <w:rPr>
          <w:lang w:val="en-GB"/>
        </w:rPr>
      </w:pPr>
    </w:p>
    <w:p w14:paraId="09804C2E" w14:textId="77777777" w:rsidR="00FD315F" w:rsidRPr="00585DBF" w:rsidRDefault="00FD315F" w:rsidP="00FD315F">
      <w:pPr>
        <w:spacing w:after="0" w:line="240" w:lineRule="auto"/>
        <w:jc w:val="both"/>
        <w:rPr>
          <w:rFonts w:ascii="Times New Roman" w:eastAsia="Times New Roman" w:hAnsi="Times New Roman" w:cs="Times New Roman"/>
          <w:b/>
          <w:kern w:val="0"/>
          <w:sz w:val="28"/>
          <w:szCs w:val="28"/>
          <w:lang w:val="en-GB"/>
          <w14:ligatures w14:val="none"/>
        </w:rPr>
      </w:pPr>
      <w:r w:rsidRPr="00585DBF">
        <w:rPr>
          <w:rFonts w:ascii="Times New Roman" w:hAnsi="Times New Roman" w:cs="Times New Roman"/>
          <w:b/>
          <w:sz w:val="28"/>
          <w:szCs w:val="28"/>
          <w:lang w:val="en-GB"/>
        </w:rPr>
        <w:t>Article 2</w:t>
      </w:r>
      <w:r w:rsidRPr="00585DBF">
        <w:rPr>
          <w:rFonts w:ascii="Times New Roman" w:hAnsi="Times New Roman" w:cs="Times New Roman"/>
          <w:b/>
          <w:sz w:val="28"/>
          <w:szCs w:val="28"/>
          <w:vertAlign w:val="superscript"/>
          <w:lang w:val="en-GB"/>
        </w:rPr>
        <w:t>3</w:t>
      </w:r>
    </w:p>
    <w:p w14:paraId="19F725A7" w14:textId="77777777" w:rsidR="00FD315F" w:rsidRPr="00585DBF" w:rsidRDefault="00FD315F" w:rsidP="00FD315F">
      <w:pPr>
        <w:pStyle w:val="NoSpacing"/>
        <w:rPr>
          <w:lang w:val="en-GB"/>
        </w:rPr>
      </w:pPr>
    </w:p>
    <w:p w14:paraId="396C4033" w14:textId="77777777" w:rsidR="00FD315F" w:rsidRPr="00585DBF" w:rsidRDefault="00FD315F" w:rsidP="00FD315F">
      <w:pPr>
        <w:spacing w:line="240" w:lineRule="auto"/>
        <w:jc w:val="both"/>
        <w:rPr>
          <w:rFonts w:ascii="Times New Roman" w:eastAsia="Times New Roman" w:hAnsi="Times New Roman" w:cs="Times New Roman"/>
          <w:b/>
          <w:kern w:val="0"/>
          <w:sz w:val="24"/>
          <w:szCs w:val="24"/>
          <w:lang w:val="en-GB" w:eastAsia="lt-LT"/>
          <w14:ligatures w14:val="none"/>
        </w:rPr>
      </w:pPr>
      <w:r w:rsidRPr="00585DBF">
        <w:rPr>
          <w:rFonts w:ascii="Times New Roman" w:eastAsia="Times New Roman" w:hAnsi="Times New Roman" w:cs="Times New Roman"/>
          <w:b/>
          <w:kern w:val="0"/>
          <w:sz w:val="24"/>
          <w:szCs w:val="24"/>
          <w:lang w:val="en-GB" w:eastAsia="lt-LT"/>
          <w14:ligatures w14:val="none"/>
        </w:rPr>
        <w:t>Paragraph 3 of the LoIPR</w:t>
      </w:r>
    </w:p>
    <w:p w14:paraId="08E7B7C7" w14:textId="77777777" w:rsidR="00FD315F" w:rsidRPr="00585DBF" w:rsidRDefault="00FD315F" w:rsidP="00FD315F">
      <w:pPr>
        <w:spacing w:after="0" w:line="240" w:lineRule="auto"/>
        <w:jc w:val="both"/>
        <w:rPr>
          <w:rFonts w:ascii="Times New Roman" w:eastAsia="Times New Roman" w:hAnsi="Times New Roman" w:cs="Times New Roman"/>
          <w:b/>
          <w:bCs/>
          <w:kern w:val="0"/>
          <w:sz w:val="24"/>
          <w:szCs w:val="24"/>
          <w:lang w:val="en-GB"/>
          <w14:ligatures w14:val="none"/>
        </w:rPr>
      </w:pPr>
      <w:r w:rsidRPr="00585DBF">
        <w:rPr>
          <w:rFonts w:ascii="Times New Roman" w:eastAsia="Aptos" w:hAnsi="Times New Roman" w:cs="Times New Roman"/>
          <w:sz w:val="24"/>
          <w:szCs w:val="24"/>
          <w:lang w:val="en-GB"/>
        </w:rPr>
        <w:t xml:space="preserve">In Lithuania, all fundamental legal safeguards against torture and/or ill-treatment are afforded to detainees from the moment of their actual detention. A suspect is immediately guaranteed the right to have a defence counsel and to meet with him or her before the first questioning without the presence of other persons. The court, the prosecutor and the pre-trial investigation officer must explain the procedural rights to participants in the proceedings and ensure that they are able to exercise those rights. Accordingly, a suspect is informed of his or her right to have a defence counsel from the moment of his or her detention or the first questioning and conditions are provided to exercise this this right in practice (including the right to receive State-guaranteed legal aid under the procedure set out by laws). Communication between the defence counsel and the defendant is confidential – it is prohibited to monitor meetings, correspondence, telephone conversations or other forms of communication. A detainee is informed of his or her rights immediately and in a language he or she understands by providing him or her with a written notification of the rights and by explaining them verbally. To ensure that the rights have been explained, standard forms of criminal procedure documents approved by orders of the Prosecutor General are used, including the “Record of Notification of the Rights of the Suspected Person”, which lists all the procedural rights of the suspect and explains each of them in the language that the suspect understands. This form has been translated into five foreign languages (English, Russian, Polish, German, and French). </w:t>
      </w:r>
    </w:p>
    <w:p w14:paraId="3C81F934"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6142044C" w14:textId="023A2C1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The amendments to the Code of Criminal Procedure (CCP) adopted in 2019 and 2024 have expanded the rights and procedural safeguards of suspects. In addition, it has been established that a suspect has the right to receive information about the progress and status of criminal proceedings against him or her; to be accompanied by a legal representative at court hearings and during other procedural </w:t>
      </w:r>
      <w:r w:rsidRPr="00585DBF">
        <w:rPr>
          <w:rFonts w:ascii="Times New Roman" w:eastAsia="Aptos" w:hAnsi="Times New Roman" w:cs="Times New Roman"/>
          <w:sz w:val="24"/>
          <w:szCs w:val="24"/>
          <w:lang w:val="en-GB"/>
        </w:rPr>
        <w:lastRenderedPageBreak/>
        <w:t xml:space="preserve">actions, as well as the right to privacy protection when the suspect is a minor; to get urgent medical assistance; to know the maximum term in hours (days) he or she may be deprived of liberty before being brought before a judicial authority, as well as to receive information about regular review of his or her detention and about the possibility of being subjected to remand measures alternative to detention. </w:t>
      </w:r>
    </w:p>
    <w:p w14:paraId="3CABD198" w14:textId="77777777" w:rsidR="00FD315F" w:rsidRPr="00585DBF" w:rsidRDefault="00FD315F" w:rsidP="00FD315F">
      <w:pPr>
        <w:spacing w:after="0" w:line="240" w:lineRule="auto"/>
        <w:jc w:val="both"/>
        <w:rPr>
          <w:rFonts w:ascii="Times New Roman" w:eastAsia="Times New Roman" w:hAnsi="Times New Roman" w:cs="Times New Roman"/>
          <w:color w:val="000000"/>
          <w:kern w:val="0"/>
          <w:sz w:val="24"/>
          <w:szCs w:val="24"/>
          <w:lang w:val="en-GB" w:eastAsia="ru-RU"/>
          <w14:ligatures w14:val="none"/>
        </w:rPr>
      </w:pPr>
    </w:p>
    <w:p w14:paraId="269482F8" w14:textId="2EC1189D" w:rsidR="00FD315F" w:rsidRPr="00585DBF" w:rsidRDefault="00FD315F" w:rsidP="00FD315F">
      <w:pPr>
        <w:spacing w:after="0" w:line="240" w:lineRule="auto"/>
        <w:jc w:val="both"/>
        <w:rPr>
          <w:rFonts w:ascii="Times New Roman" w:eastAsia="Times New Roman" w:hAnsi="Times New Roman" w:cs="Times New Roman"/>
          <w:color w:val="000000"/>
          <w:kern w:val="0"/>
          <w:sz w:val="24"/>
          <w:szCs w:val="24"/>
          <w:lang w:val="en-GB"/>
          <w14:ligatures w14:val="none"/>
        </w:rPr>
      </w:pPr>
      <w:r w:rsidRPr="00585DBF">
        <w:rPr>
          <w:rFonts w:ascii="Times New Roman" w:eastAsia="Aptos" w:hAnsi="Times New Roman" w:cs="Times New Roman"/>
          <w:color w:val="000000" w:themeColor="text1"/>
          <w:sz w:val="24"/>
          <w:szCs w:val="24"/>
          <w:lang w:val="en-GB"/>
        </w:rPr>
        <w:t>In 2020, the Description of the Organisation of Activities of Police Force Units was approved, stating that police officers must inform detained persons of the reasons of their detention and notify them of the maximum period in hours (days) during which their freedom may be restricted, as well as explain their rights.</w:t>
      </w:r>
    </w:p>
    <w:p w14:paraId="2A713A43" w14:textId="77777777" w:rsidR="00FD315F" w:rsidRPr="00585DBF" w:rsidRDefault="00FD315F" w:rsidP="00FD315F">
      <w:pPr>
        <w:spacing w:after="0" w:line="240" w:lineRule="auto"/>
        <w:jc w:val="both"/>
        <w:rPr>
          <w:rFonts w:ascii="Times New Roman" w:eastAsia="Linux Libertine G" w:hAnsi="Times New Roman" w:cs="Times New Roman"/>
          <w:color w:val="000000"/>
          <w:kern w:val="0"/>
          <w:sz w:val="24"/>
          <w:szCs w:val="24"/>
          <w:lang w:val="en-GB" w:eastAsia="zh-CN" w:bidi="hi-IN"/>
          <w14:ligatures w14:val="none"/>
        </w:rPr>
      </w:pPr>
    </w:p>
    <w:p w14:paraId="54D4F1D5" w14:textId="77777777" w:rsidR="00FD315F" w:rsidRPr="00585DBF" w:rsidRDefault="00FD315F" w:rsidP="00FD315F">
      <w:pPr>
        <w:spacing w:after="0" w:line="240" w:lineRule="auto"/>
        <w:jc w:val="both"/>
        <w:rPr>
          <w:rFonts w:ascii="Times New Roman" w:eastAsia="Linux Libertine G" w:hAnsi="Times New Roman" w:cs="Times New Roman"/>
          <w:color w:val="000000"/>
          <w:kern w:val="0"/>
          <w:sz w:val="24"/>
          <w:szCs w:val="24"/>
          <w:lang w:val="en-GB"/>
          <w14:ligatures w14:val="none"/>
        </w:rPr>
      </w:pPr>
      <w:r w:rsidRPr="00585DBF">
        <w:rPr>
          <w:rFonts w:ascii="Times New Roman" w:eastAsia="Aptos" w:hAnsi="Times New Roman" w:cs="Times New Roman"/>
          <w:sz w:val="24"/>
          <w:szCs w:val="24"/>
          <w:lang w:val="en-GB"/>
        </w:rPr>
        <w:t>In every case where a person suspected of committing a criminal offence is brought to a police establishment, a record of detention shall be drawn up immediately or, if this is not possible, not later that within one hour.</w:t>
      </w:r>
      <w:r w:rsidRPr="00585DBF">
        <w:rPr>
          <w:rFonts w:ascii="Times New Roman" w:eastAsia="Aptos" w:hAnsi="Times New Roman" w:cs="Times New Roman"/>
          <w:color w:val="000000"/>
          <w:sz w:val="24"/>
          <w:szCs w:val="24"/>
          <w:lang w:val="en-GB"/>
        </w:rPr>
        <w:t xml:space="preserve"> The detained person shall be given the opportunity to contact the person of his or her choice and inform them of his or her detention or to indicate the persons who should be notified of his or her detention (the information provided by a police officer to these persons shall be recorded in the record of detention).</w:t>
      </w:r>
    </w:p>
    <w:p w14:paraId="084E5BE3" w14:textId="77777777" w:rsidR="00FD315F" w:rsidRPr="00585DBF" w:rsidRDefault="00FD315F" w:rsidP="00FD315F">
      <w:pPr>
        <w:spacing w:after="0" w:line="240" w:lineRule="auto"/>
        <w:jc w:val="both"/>
        <w:rPr>
          <w:rFonts w:ascii="Times New Roman" w:eastAsia="Times New Roman" w:hAnsi="Times New Roman" w:cs="Times New Roman"/>
          <w:sz w:val="24"/>
          <w:szCs w:val="24"/>
          <w:lang w:val="en-GB" w:eastAsia="ar-SA"/>
          <w14:ligatures w14:val="none"/>
        </w:rPr>
      </w:pPr>
    </w:p>
    <w:p w14:paraId="4127CF55" w14:textId="77777777" w:rsidR="00FD315F" w:rsidRPr="00585DBF" w:rsidRDefault="00FD315F" w:rsidP="00FD315F">
      <w:pPr>
        <w:spacing w:after="0" w:line="240" w:lineRule="auto"/>
        <w:jc w:val="both"/>
        <w:rPr>
          <w:rFonts w:ascii="Times New Roman" w:eastAsia="Linux Libertine G" w:hAnsi="Times New Roman" w:cs="Times New Roman"/>
          <w:color w:val="000000"/>
          <w:kern w:val="0"/>
          <w:sz w:val="24"/>
          <w:szCs w:val="24"/>
          <w:lang w:val="en-GB"/>
          <w14:ligatures w14:val="none"/>
        </w:rPr>
      </w:pPr>
      <w:r w:rsidRPr="00585DBF">
        <w:rPr>
          <w:rFonts w:ascii="Times New Roman" w:eastAsia="Aptos" w:hAnsi="Times New Roman" w:cs="Times New Roman"/>
          <w:sz w:val="24"/>
          <w:szCs w:val="24"/>
          <w:lang w:val="en-GB"/>
        </w:rPr>
        <w:t>The Internal Regulations of Territorial Police Arrest Facilities as approved in 2022 state that a meeting of the defence counsel and the person held in police arrest facilities shall take place in the interview room of the police arrest facility without any presence of third parties.</w:t>
      </w:r>
      <w:r w:rsidRPr="00585DBF">
        <w:rPr>
          <w:rFonts w:ascii="Times New Roman" w:eastAsia="Aptos" w:hAnsi="Times New Roman" w:cs="Times New Roman"/>
          <w:color w:val="000000"/>
          <w:sz w:val="24"/>
          <w:szCs w:val="24"/>
          <w:lang w:val="en-GB"/>
        </w:rPr>
        <w:t xml:space="preserve"> Every detained person shall be informed of these regulations against signature, the rules shall be posted in every cell.</w:t>
      </w:r>
    </w:p>
    <w:p w14:paraId="2F49CEBD"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D8D00DA"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These safeguards have also been strengthened by the </w:t>
      </w:r>
      <w:bookmarkStart w:id="5" w:name="_Hlk208317999"/>
      <w:r w:rsidRPr="00585DBF">
        <w:rPr>
          <w:rFonts w:ascii="Times New Roman" w:eastAsia="Aptos" w:hAnsi="Times New Roman" w:cs="Times New Roman"/>
          <w:sz w:val="24"/>
          <w:szCs w:val="24"/>
          <w:lang w:val="en-GB"/>
        </w:rPr>
        <w:t xml:space="preserve">amendments to the </w:t>
      </w:r>
      <w:bookmarkEnd w:id="5"/>
      <w:r w:rsidRPr="00585DBF">
        <w:rPr>
          <w:rFonts w:ascii="Times New Roman" w:eastAsia="Aptos" w:hAnsi="Times New Roman" w:cs="Times New Roman"/>
          <w:sz w:val="24"/>
          <w:szCs w:val="24"/>
          <w:lang w:val="en-GB"/>
        </w:rPr>
        <w:t xml:space="preserve">CCP, which were adopted in 2022. The amendments clearly state that temporary detention shall be an exceptional measure and have also introduced prompt control by a prosecutor – the prosecutor shall be notified as soon as possible and provided with the documents on the basis of which the person was detained; the prosecutor shall immediately assess the lawfulness and validity of this measure and, if necessary, revoke the temporary detention. The most important new element is effective legal safeguards: a complaint against temporary detention may submitted to a pre-trial investigation judge and the complaint shall be examined under the written procedure within 20 hours of its receipt; if the complaint is granted, the person shall be released immediately (unless remand has already been ordered). It is also clearly established that, where a defence counsel is requested, questioning shall be postponed until the arrival of the defence counsel and a private meeting with the defence counsel shall be ensured prior to the questioning; the family members of the detained person, the consular office and the defence counsel indicated by the detained person shall be immediately notified of his or her detention and the place of detention. </w:t>
      </w:r>
    </w:p>
    <w:p w14:paraId="7E3E53B7" w14:textId="2DB61B8C" w:rsidR="3240BACF" w:rsidRPr="00585DBF" w:rsidRDefault="3240BACF" w:rsidP="3240BACF">
      <w:pPr>
        <w:spacing w:after="0" w:line="240" w:lineRule="auto"/>
        <w:jc w:val="both"/>
        <w:rPr>
          <w:rFonts w:ascii="Times New Roman" w:eastAsia="Times New Roman" w:hAnsi="Times New Roman" w:cs="Times New Roman"/>
          <w:sz w:val="24"/>
          <w:szCs w:val="24"/>
          <w:lang w:val="en-GB"/>
        </w:rPr>
      </w:pPr>
    </w:p>
    <w:p w14:paraId="7099D10D" w14:textId="22588683" w:rsidR="3139C95E" w:rsidRPr="00585DBF" w:rsidRDefault="3139C95E" w:rsidP="3240BACF">
      <w:pPr>
        <w:spacing w:after="0" w:line="240" w:lineRule="auto"/>
        <w:jc w:val="both"/>
        <w:rPr>
          <w:rFonts w:ascii="Times New Roman" w:eastAsia="Times New Roman" w:hAnsi="Times New Roman" w:cs="Times New Roman"/>
          <w:sz w:val="24"/>
          <w:szCs w:val="24"/>
          <w:lang w:val="en-GB" w:eastAsia="lt-LT"/>
        </w:rPr>
      </w:pPr>
      <w:r w:rsidRPr="00585DBF">
        <w:rPr>
          <w:rFonts w:ascii="Times New Roman" w:eastAsia="Times New Roman" w:hAnsi="Times New Roman" w:cs="Times New Roman"/>
          <w:sz w:val="24"/>
          <w:szCs w:val="24"/>
          <w:lang w:val="en-GB"/>
        </w:rPr>
        <w:t xml:space="preserve">In 2022, the CCP strengthened </w:t>
      </w:r>
      <w:r w:rsidRPr="00585DBF">
        <w:rPr>
          <w:rFonts w:ascii="Times New Roman" w:eastAsia="Aptos" w:hAnsi="Times New Roman" w:cs="Times New Roman"/>
          <w:sz w:val="24"/>
          <w:szCs w:val="24"/>
          <w:lang w:val="en-GB"/>
        </w:rPr>
        <w:t>the system</w:t>
      </w:r>
      <w:r w:rsidRPr="00585DBF">
        <w:rPr>
          <w:rFonts w:ascii="Times New Roman" w:eastAsia="Times New Roman" w:hAnsi="Times New Roman" w:cs="Times New Roman"/>
          <w:sz w:val="24"/>
          <w:szCs w:val="24"/>
          <w:lang w:val="en-GB"/>
        </w:rPr>
        <w:t xml:space="preserve"> on notifying a suspect’s detention. The prosecutor must immediately inform a family member, close relative, or another person designated by the detainee; if none is designated, the prosecutor notifies an identified relative. For minors, parents or legal representatives must be notified unless this conflicts with the child’s interests, in which case another appropriate adult is informed, as well as the state child protection authority. The detainee must be allowed to contact the designated person without delay. The prosecutor must also notify the Ministry of Foreign Affairs and, if the detainee wishes, the diplomatic mission of their state; individuals with multiple nationalities may choose which state’s mission is informed. Upon request, the detainee must be promptly allowed to communicate with diplomatic representatives, and their rights must be explained in a language they understand.</w:t>
      </w:r>
    </w:p>
    <w:p w14:paraId="2CAA0B17" w14:textId="6059D0F3" w:rsidR="3139C95E" w:rsidRPr="00585DBF" w:rsidRDefault="3139C95E" w:rsidP="3240BACF">
      <w:pPr>
        <w:spacing w:before="240" w:after="240"/>
        <w:jc w:val="both"/>
        <w:rPr>
          <w:lang w:val="en-GB"/>
        </w:rPr>
      </w:pPr>
      <w:r w:rsidRPr="00585DBF">
        <w:rPr>
          <w:rFonts w:ascii="Times New Roman" w:eastAsia="Times New Roman" w:hAnsi="Times New Roman" w:cs="Times New Roman"/>
          <w:sz w:val="24"/>
          <w:szCs w:val="24"/>
          <w:lang w:val="en-GB"/>
        </w:rPr>
        <w:t xml:space="preserve">In 2024, the Prosecutor General’s Office issued instructions clarifying detainees’ right to visits: family visits are the general rule, and restrictions may be imposed only exceptionally, after an individual necessity assessment </w:t>
      </w:r>
      <w:r w:rsidR="08998A82" w:rsidRPr="00585DBF">
        <w:rPr>
          <w:rFonts w:ascii="Times New Roman" w:eastAsia="Aptos" w:hAnsi="Times New Roman" w:cs="Times New Roman"/>
          <w:sz w:val="24"/>
          <w:szCs w:val="24"/>
          <w:lang w:val="en-GB"/>
        </w:rPr>
        <w:t>(public interest, success of the pre-trial investigation, rights of other persons)</w:t>
      </w:r>
      <w:r w:rsidR="08998A82" w:rsidRPr="00585DBF">
        <w:rPr>
          <w:rFonts w:ascii="Times New Roman" w:eastAsia="Times New Roman" w:hAnsi="Times New Roman" w:cs="Times New Roman"/>
          <w:sz w:val="24"/>
          <w:szCs w:val="24"/>
          <w:lang w:val="en-GB"/>
        </w:rPr>
        <w:t xml:space="preserve"> </w:t>
      </w:r>
      <w:r w:rsidRPr="00585DBF">
        <w:rPr>
          <w:rFonts w:ascii="Times New Roman" w:eastAsia="Times New Roman" w:hAnsi="Times New Roman" w:cs="Times New Roman"/>
          <w:sz w:val="24"/>
          <w:szCs w:val="24"/>
          <w:lang w:val="en-GB"/>
        </w:rPr>
        <w:lastRenderedPageBreak/>
        <w:t>and by a formal procedural decision. Restrictions are decided by the prosecutor handling the investigation or the court, with particular emphasis on the child’s best interests.</w:t>
      </w:r>
    </w:p>
    <w:p w14:paraId="1AA2571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order to ensure that pre-trial detainees and convicted persons (including foreigners) are better informed of their rights (including the right to confidential meetings with a lawyer, free legal aid, etc.) and of the procedure of detention or imprisonment, special leaflets were prepared in 2024 and made available in all prisons in the national language and 13 foreign languages (English, Spanish, French, Arabic, Ukrainian, Turkish, Romanian, Polish, Kartvelian, Persian, Urdu, Russian, and Kurdish). If a detained person does not speak any of these languages, information is provided with the help of an electronic translator.</w:t>
      </w:r>
    </w:p>
    <w:p w14:paraId="60F385A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95AA337"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Each </w:t>
      </w:r>
      <w:bookmarkStart w:id="6" w:name="_Hlk213695851"/>
      <w:r w:rsidRPr="00585DBF">
        <w:rPr>
          <w:rFonts w:ascii="Times New Roman" w:eastAsia="Aptos" w:hAnsi="Times New Roman" w:cs="Times New Roman"/>
          <w:sz w:val="24"/>
          <w:szCs w:val="24"/>
          <w:lang w:val="en-GB"/>
        </w:rPr>
        <w:t>pre-trial detainee and convicted person</w:t>
      </w:r>
      <w:bookmarkEnd w:id="6"/>
      <w:r w:rsidRPr="00585DBF">
        <w:rPr>
          <w:rFonts w:ascii="Times New Roman" w:eastAsia="Aptos" w:hAnsi="Times New Roman" w:cs="Times New Roman"/>
          <w:sz w:val="24"/>
          <w:szCs w:val="24"/>
          <w:lang w:val="en-GB"/>
        </w:rPr>
        <w:t xml:space="preserve"> arriving at a place of deprivation of liberty is informed, no later than the following day, about the procedure of detention or imprisonment, about their rights, obligations, and prohibitions. This information is provided to the above-referred persons in Lithuanian or in the native language of the person on remand or convicted person, or in a language the person understands. All information concerning the rights and obligations of these persons, the prohibitions applicable to them and other information related to detention or imprisonment is also made public in the places of detention and imprisonment.</w:t>
      </w:r>
    </w:p>
    <w:p w14:paraId="25346F7D" w14:textId="77777777" w:rsidR="00FD315F" w:rsidRPr="00585DBF" w:rsidRDefault="00FD315F" w:rsidP="00FD315F">
      <w:pPr>
        <w:spacing w:after="0" w:line="256" w:lineRule="auto"/>
        <w:jc w:val="both"/>
        <w:rPr>
          <w:rFonts w:ascii="Times New Roman" w:eastAsia="Aptos" w:hAnsi="Times New Roman" w:cs="Times New Roman"/>
          <w:sz w:val="24"/>
          <w:szCs w:val="24"/>
          <w:lang w:val="en-GB"/>
        </w:rPr>
      </w:pPr>
    </w:p>
    <w:p w14:paraId="67A5E7A6" w14:textId="77777777" w:rsidR="00FD315F" w:rsidRPr="00585DBF" w:rsidRDefault="00FD315F" w:rsidP="00FD315F">
      <w:pPr>
        <w:spacing w:after="0" w:line="256" w:lineRule="auto"/>
        <w:jc w:val="both"/>
        <w:rPr>
          <w:rFonts w:ascii="Times New Roman" w:eastAsia="Times New Roman" w:hAnsi="Times New Roman" w:cs="Times New Roman"/>
          <w:sz w:val="24"/>
          <w:szCs w:val="24"/>
          <w:lang w:val="en-GB"/>
        </w:rPr>
      </w:pPr>
      <w:r w:rsidRPr="00585DBF">
        <w:rPr>
          <w:rFonts w:ascii="Times New Roman" w:eastAsia="Aptos" w:hAnsi="Times New Roman" w:cs="Times New Roman"/>
          <w:sz w:val="24"/>
          <w:szCs w:val="24"/>
          <w:lang w:val="en-GB"/>
        </w:rPr>
        <w:t>Pre-trial detainees and convicted persons are provided with conditions to contact state and municipal institutions, as well as international organisations whose jurisdiction or competence to receive applications from detained persons has been recognised by the state, by letters and means of electronic communications.</w:t>
      </w:r>
    </w:p>
    <w:p w14:paraId="62B4B1F4" w14:textId="77777777" w:rsidR="00FD315F" w:rsidRPr="00585DBF" w:rsidRDefault="00FD315F" w:rsidP="00FD315F">
      <w:pPr>
        <w:spacing w:after="0" w:line="256" w:lineRule="auto"/>
        <w:jc w:val="both"/>
        <w:rPr>
          <w:rFonts w:ascii="Times New Roman" w:eastAsia="Times New Roman" w:hAnsi="Times New Roman" w:cs="Times New Roman"/>
          <w:sz w:val="24"/>
          <w:szCs w:val="24"/>
          <w:lang w:val="en-GB"/>
        </w:rPr>
      </w:pPr>
    </w:p>
    <w:p w14:paraId="491BD800"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Pre-trial detainees and convicted persons can meet, correspond with and call their lawyer (lawyer's assistant) confidentially. The number and duration of such meetings and calls, and the number of letters are not limited. Detained and convicted foreigners have the right to maintain contact with the diplomatic missions and consular posts of their countries, including the right to meet, call or correspond with representatives of the diplomatic mission or consular post of their country.</w:t>
      </w:r>
    </w:p>
    <w:p w14:paraId="4C3A433A"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7231EFFE"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color w:val="000000" w:themeColor="text1"/>
          <w:sz w:val="24"/>
          <w:szCs w:val="24"/>
          <w:lang w:val="en-GB"/>
        </w:rPr>
        <w:t>Detained asylum seekers are informed of the grounds of their detention, the procedure for appealing against the decision to detain and the possibility of access to free legal aid immediately in writing, in a language they understand. All detained foreigners are given the opportunity to inform their relatives or another third party of their situation from the moment their liberty is restricted.</w:t>
      </w:r>
    </w:p>
    <w:p w14:paraId="00D0E102"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6854B568"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color w:val="000000" w:themeColor="text1"/>
          <w:sz w:val="24"/>
          <w:szCs w:val="24"/>
          <w:lang w:val="en-GB"/>
        </w:rPr>
        <w:t>Detained foreigners brought to the Foreigners' Registration Centre are familiarised with the internal regulations of this centre (including information on their rights) with signed acknowledgement thereof and in a language they understand. The internal regulations have been translated into 17 most relevant foreign languages. If a foreigner does not understand any of those 17 languages, a translation of the regulations into the language known to the foreigner is ordered.</w:t>
      </w:r>
    </w:p>
    <w:p w14:paraId="14C05304"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313D858A"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color w:val="000000" w:themeColor="text1"/>
          <w:sz w:val="24"/>
          <w:szCs w:val="24"/>
          <w:lang w:val="en-GB"/>
        </w:rPr>
        <w:t>All foreigners, regardless of the place of their accommodation or detention, are informed of the decisions taken in their regard (including decisions on detention, examination of asylum applications, accommodation, etc.) in writing and in a language they understand. Foreigners detained at the Foreigners' Registration Centre have officials assigned to their cases who inform them of the decisions taken, explain the procedure for complaining against the decisions, provide information to foreigners on other issues related to the determination of legal status and the enforcement of decisions. When informing a foreigner of the decision taken in his or her regard, interpretation/translation services are ordered.</w:t>
      </w:r>
    </w:p>
    <w:p w14:paraId="2038C4BE"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3CE07D0C"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color w:val="000000" w:themeColor="text1"/>
          <w:sz w:val="24"/>
          <w:szCs w:val="24"/>
          <w:lang w:val="en-GB"/>
        </w:rPr>
        <w:t xml:space="preserve">All detained or asylum-seeking foreigners, depending on their legal status and in accordance with the established procedure, are provided with State-guaranteed legal aid or given the opportunity to </w:t>
      </w:r>
      <w:r w:rsidRPr="00585DBF">
        <w:rPr>
          <w:rFonts w:ascii="Times New Roman" w:eastAsia="Aptos" w:hAnsi="Times New Roman" w:cs="Times New Roman"/>
          <w:color w:val="000000" w:themeColor="text1"/>
          <w:sz w:val="24"/>
          <w:szCs w:val="24"/>
          <w:lang w:val="en-GB"/>
        </w:rPr>
        <w:lastRenderedPageBreak/>
        <w:t>contact a private lawyer. State-guaranteed legal aid in Lithuania is ensured in all cases to unaccompanied foreign minors (regardless of their status) and to foreigners when a motion to detain a foreigner or to apply an alternative to detention is heard at court.</w:t>
      </w:r>
    </w:p>
    <w:p w14:paraId="0B2A0EE7"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678A69B7" w14:textId="136083EB"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color w:val="000000" w:themeColor="text1"/>
          <w:sz w:val="24"/>
          <w:szCs w:val="24"/>
          <w:lang w:val="en-GB"/>
        </w:rPr>
        <w:t xml:space="preserve">All detained foreigners are provided with primary health care services (general practitioner, dental and psychiatric services) and emergency medical care. In cases of health emergencies, ambulance is </w:t>
      </w:r>
      <w:r w:rsidR="00585DBF" w:rsidRPr="00585DBF">
        <w:rPr>
          <w:rFonts w:ascii="Times New Roman" w:eastAsia="Aptos" w:hAnsi="Times New Roman" w:cs="Times New Roman"/>
          <w:color w:val="000000" w:themeColor="text1"/>
          <w:sz w:val="24"/>
          <w:szCs w:val="24"/>
          <w:lang w:val="en-GB"/>
        </w:rPr>
        <w:t>called,</w:t>
      </w:r>
      <w:r w:rsidRPr="00585DBF">
        <w:rPr>
          <w:rFonts w:ascii="Times New Roman" w:eastAsia="Aptos" w:hAnsi="Times New Roman" w:cs="Times New Roman"/>
          <w:color w:val="000000" w:themeColor="text1"/>
          <w:sz w:val="24"/>
          <w:szCs w:val="24"/>
          <w:lang w:val="en-GB"/>
        </w:rPr>
        <w:t xml:space="preserve"> and foreigners are hospitalised.</w:t>
      </w:r>
    </w:p>
    <w:p w14:paraId="44067B5B"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47B71EC9" w14:textId="77777777" w:rsidR="00FD315F" w:rsidRPr="00585DBF" w:rsidRDefault="00FD315F" w:rsidP="00FD315F">
      <w:pPr>
        <w:spacing w:line="240" w:lineRule="auto"/>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kern w:val="0"/>
          <w:sz w:val="24"/>
          <w:szCs w:val="24"/>
          <w:lang w:val="en-GB"/>
          <w14:ligatures w14:val="none"/>
        </w:rPr>
        <w:t>Eight official inspections were carried out concerning the ill-treatment of detainees and convicted persons by officials at the places of deprivation of liberty: disciplinary penalties were imposed on 9 officials (one of them was dismissed from office) and six officials were found not to have committed any violations.</w:t>
      </w:r>
    </w:p>
    <w:p w14:paraId="5724DEDC" w14:textId="77777777" w:rsidR="00FD315F" w:rsidRPr="00585DBF" w:rsidRDefault="00FD315F" w:rsidP="00FD315F">
      <w:pPr>
        <w:spacing w:line="240" w:lineRule="auto"/>
        <w:jc w:val="both"/>
        <w:rPr>
          <w:rFonts w:ascii="Times New Roman" w:eastAsia="Times New Roman" w:hAnsi="Times New Roman" w:cs="Times New Roman"/>
          <w:b/>
          <w:kern w:val="0"/>
          <w:sz w:val="24"/>
          <w:szCs w:val="24"/>
          <w:lang w:val="en-GB" w:eastAsia="lt-LT"/>
          <w14:ligatures w14:val="none"/>
        </w:rPr>
      </w:pPr>
      <w:r w:rsidRPr="00585DBF">
        <w:rPr>
          <w:rFonts w:ascii="Times New Roman" w:eastAsia="Times New Roman" w:hAnsi="Times New Roman" w:cs="Times New Roman"/>
          <w:b/>
          <w:kern w:val="0"/>
          <w:sz w:val="24"/>
          <w:szCs w:val="24"/>
          <w:lang w:val="en-GB" w:eastAsia="lt-LT"/>
          <w14:ligatures w14:val="none"/>
        </w:rPr>
        <w:t>Paragraph 4 of the LoIPR</w:t>
      </w:r>
    </w:p>
    <w:p w14:paraId="3C866F9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order to strengthen the capacity of the Parliamentary Ombudspersons’ Office to carry out its mandate effectively, including its function as the national torture prevention mechanism, the budget of the Parliamentary Ombudspersons’ Office has been increased by 60% during the period under review. The scope of functions assigned to the Human Rights Division of the Parliamentary Ombudspersons’ Office has also increased during the period under review (for example, since 2025, this division has also been performing the functions of the National Rapporteur for the Fight Against Trafficking in Human Beings).</w:t>
      </w:r>
    </w:p>
    <w:p w14:paraId="0C73F39D"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75575E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order to prevent torture, a total of 77 inspections were carried out during the period under review: 24 inspections in the places of detention of foreigners, 30 inspections in social care institutions, 10 inspections in prisons, 8 inspections in psychiatric hospitals, and 5 inspections in police arrest facilities. </w:t>
      </w:r>
    </w:p>
    <w:p w14:paraId="0498C450"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3AFD6AC" w14:textId="77777777" w:rsidR="00FD315F" w:rsidRPr="00585DBF" w:rsidRDefault="00FD315F" w:rsidP="00FD315F">
      <w:pPr>
        <w:spacing w:line="240" w:lineRule="auto"/>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kern w:val="0"/>
          <w:sz w:val="24"/>
          <w:szCs w:val="24"/>
          <w:lang w:val="en-GB"/>
          <w14:ligatures w14:val="none"/>
        </w:rPr>
        <w:t>The Parliamentary Ombudspersons’ Office monitors the implementation of the recommendations in order to ensure prompt and effective implementation of all recommendations and proper protection of the rights of persons in the places of deprivation of liberty. There is ongoing dialogue with the entities implementing the recommendations. Following the visits in 2019 to institutions where the freedom of persons is restricted, the implementation of all the recommendations reached 94%; in 2020 – 74% (another 25% of the recommendations were partially implemented); in 2021 – 37% (another 53% of the recommendations were partially implemented); in 2022 – 87% (the implementation of the remaining recommendations became irrelevant after the closure of the foreigner registration centres in Medininkai and Kybartai); in 2023 – 73% (another 9% of the recommendations were partially implemented); in 2024 – 62% of the recommendations (32% of the recommendations are of continuing nature, the monitoring of their implementation continues in 2025). The measures taken to implement the recommendations made in the reports by the Seimas Ombudspersons on the inspections in detention facilities have been reported in the answers to preliminary questions Nos. 13–19, 21–22 and 25.</w:t>
      </w:r>
    </w:p>
    <w:p w14:paraId="3BCB8BBB" w14:textId="77777777" w:rsidR="00FD315F" w:rsidRPr="00585DBF" w:rsidRDefault="00FD315F" w:rsidP="00FD315F">
      <w:pPr>
        <w:spacing w:line="240" w:lineRule="auto"/>
        <w:jc w:val="both"/>
        <w:rPr>
          <w:rFonts w:ascii="Times New Roman" w:eastAsia="Times New Roman" w:hAnsi="Times New Roman" w:cs="Times New Roman"/>
          <w:b/>
          <w:kern w:val="0"/>
          <w:sz w:val="24"/>
          <w:szCs w:val="24"/>
          <w:lang w:val="en-GB" w:eastAsia="lt-LT"/>
          <w14:ligatures w14:val="none"/>
        </w:rPr>
      </w:pPr>
      <w:bookmarkStart w:id="7" w:name="_Hlk213671283"/>
      <w:r w:rsidRPr="00585DBF">
        <w:rPr>
          <w:rFonts w:ascii="Times New Roman" w:eastAsia="Times New Roman" w:hAnsi="Times New Roman" w:cs="Times New Roman"/>
          <w:b/>
          <w:kern w:val="0"/>
          <w:sz w:val="24"/>
          <w:szCs w:val="24"/>
          <w:lang w:val="en-GB" w:eastAsia="lt-LT"/>
          <w14:ligatures w14:val="none"/>
        </w:rPr>
        <w:t xml:space="preserve">Paragraph 5 of the </w:t>
      </w:r>
      <w:bookmarkEnd w:id="7"/>
      <w:r w:rsidRPr="00585DBF">
        <w:rPr>
          <w:rFonts w:ascii="Times New Roman" w:eastAsia="Times New Roman" w:hAnsi="Times New Roman" w:cs="Times New Roman"/>
          <w:b/>
          <w:kern w:val="0"/>
          <w:sz w:val="24"/>
          <w:szCs w:val="24"/>
          <w:lang w:val="en-GB" w:eastAsia="lt-LT"/>
          <w14:ligatures w14:val="none"/>
        </w:rPr>
        <w:t>LoIPR</w:t>
      </w:r>
    </w:p>
    <w:p w14:paraId="0ABC5988" w14:textId="77777777" w:rsidR="00FD315F" w:rsidRPr="00585DBF" w:rsidRDefault="00FD315F" w:rsidP="00FD315F">
      <w:pPr>
        <w:spacing w:after="0" w:line="240" w:lineRule="auto"/>
        <w:jc w:val="both"/>
        <w:rPr>
          <w:rFonts w:ascii="Times New Roman" w:eastAsia="Times New Roman" w:hAnsi="Times New Roman" w:cs="Times New Roman"/>
          <w:color w:val="000000"/>
          <w:kern w:val="0"/>
          <w:sz w:val="24"/>
          <w:szCs w:val="24"/>
          <w:lang w:val="en-GB"/>
          <w14:ligatures w14:val="none"/>
        </w:rPr>
      </w:pPr>
      <w:r w:rsidRPr="00585DBF">
        <w:rPr>
          <w:rFonts w:ascii="Times New Roman" w:eastAsia="Aptos" w:hAnsi="Times New Roman" w:cs="Times New Roman"/>
          <w:color w:val="000000" w:themeColor="text1"/>
          <w:sz w:val="24"/>
          <w:szCs w:val="24"/>
          <w:lang w:val="en-GB"/>
        </w:rPr>
        <w:t>Although the Criminal Code does not provide for a separate criminal offence of domestic violence, criminal liability for all forms of domestic violence is applied under separate Articles of this Code. It should be emphasised that marital or other family ties between the perpetrator of a criminal act and the victim do not eliminate liability for rape and other offences against the freedom of a person’s sexual self-determination and inviolability (i.e., marital sexual abuse is punishable under the general provisions of the CC). Domestic psychological violence and harassment are punishable under Article 145 (Threatening to murder or cause a serious health impairment to a person or terrorisation of a person) and Article 148 (Restriction of freedom of a person's actions) of the CC.</w:t>
      </w:r>
    </w:p>
    <w:p w14:paraId="76C36CA7" w14:textId="77777777" w:rsidR="00FD315F" w:rsidRPr="00585DBF" w:rsidRDefault="00FD315F" w:rsidP="00FD315F">
      <w:pPr>
        <w:spacing w:after="0" w:line="240" w:lineRule="auto"/>
        <w:jc w:val="both"/>
        <w:rPr>
          <w:rFonts w:ascii="Times New Roman" w:eastAsia="Times New Roman" w:hAnsi="Times New Roman" w:cs="Times New Roman"/>
          <w:color w:val="000000"/>
          <w:kern w:val="0"/>
          <w:sz w:val="24"/>
          <w:szCs w:val="24"/>
          <w:lang w:val="en-GB" w:eastAsia="lt-LT"/>
          <w14:ligatures w14:val="none"/>
        </w:rPr>
      </w:pPr>
    </w:p>
    <w:p w14:paraId="422C2FFD" w14:textId="77777777" w:rsidR="00FD315F" w:rsidRPr="00585DBF" w:rsidRDefault="00FD315F" w:rsidP="00FD315F">
      <w:pPr>
        <w:spacing w:after="0" w:line="240" w:lineRule="auto"/>
        <w:jc w:val="both"/>
        <w:rPr>
          <w:rFonts w:ascii="Times New Roman" w:eastAsia="Times New Roman" w:hAnsi="Times New Roman" w:cs="Times New Roman"/>
          <w:color w:val="000000"/>
          <w:kern w:val="0"/>
          <w:sz w:val="24"/>
          <w:szCs w:val="24"/>
          <w:lang w:val="en-GB"/>
          <w14:ligatures w14:val="none"/>
        </w:rPr>
      </w:pPr>
      <w:r w:rsidRPr="00585DBF">
        <w:rPr>
          <w:rFonts w:ascii="Times New Roman" w:eastAsia="Aptos" w:hAnsi="Times New Roman" w:cs="Times New Roman"/>
          <w:color w:val="000000"/>
          <w:sz w:val="24"/>
          <w:szCs w:val="24"/>
          <w:lang w:val="en-GB"/>
        </w:rPr>
        <w:lastRenderedPageBreak/>
        <w:t>In 2021, the CC additionally criminalised illegal persecution, i.e., systematic persecution of a person against a clearly expressed will of the person or other actions, which have a significant negative effect on the victim's social life or emotional state. This provision supplements the provisions of the CC on psychological violence that were previously in force and ensures a consistent legal basis for the full protection of victims of domestic violence and for effective pre-trial investigation and criminal prosecution of all forms of violence.</w:t>
      </w:r>
    </w:p>
    <w:p w14:paraId="3439D75A" w14:textId="77777777" w:rsidR="00FD315F" w:rsidRPr="00585DBF" w:rsidRDefault="00FD315F" w:rsidP="00FD315F">
      <w:pPr>
        <w:spacing w:after="0" w:line="240" w:lineRule="auto"/>
        <w:jc w:val="both"/>
        <w:rPr>
          <w:rFonts w:ascii="Times New Roman" w:eastAsia="Times New Roman" w:hAnsi="Times New Roman" w:cs="Times New Roman"/>
          <w:color w:val="000000"/>
          <w:kern w:val="0"/>
          <w:sz w:val="24"/>
          <w:szCs w:val="24"/>
          <w:lang w:val="en-GB" w:eastAsia="lt-LT"/>
          <w14:ligatures w14:val="none"/>
        </w:rPr>
      </w:pPr>
    </w:p>
    <w:p w14:paraId="2A075464"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color w:val="000000"/>
          <w:sz w:val="24"/>
          <w:szCs w:val="24"/>
          <w:lang w:val="en-GB"/>
        </w:rPr>
        <w:t>In 2025, the Criminal Code tightened liability for domestic violence against minors – the upper limit of the sanction has been increased for causing physical pain or minor health impairment to a minor, and the sanctions for criminal offences against the freedom of a person’s sexual self-determination and inviolability have been made more stringent.</w:t>
      </w:r>
    </w:p>
    <w:p w14:paraId="763D38BF"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eastAsia="lt-LT"/>
          <w14:ligatures w14:val="none"/>
        </w:rPr>
      </w:pPr>
    </w:p>
    <w:p w14:paraId="122CAACC" w14:textId="586DEF84" w:rsidR="72B0DABC" w:rsidRPr="00585DBF" w:rsidRDefault="72B0DABC" w:rsidP="3240BACF">
      <w:pPr>
        <w:spacing w:after="0" w:line="240" w:lineRule="auto"/>
        <w:jc w:val="both"/>
        <w:rPr>
          <w:rFonts w:ascii="Times New Roman" w:eastAsia="Times New Roman" w:hAnsi="Times New Roman" w:cs="Times New Roman"/>
          <w:sz w:val="24"/>
          <w:szCs w:val="24"/>
          <w:lang w:val="en-GB" w:eastAsia="lt-LT"/>
        </w:rPr>
      </w:pPr>
      <w:r w:rsidRPr="00585DBF">
        <w:rPr>
          <w:rFonts w:ascii="Times New Roman" w:eastAsia="Times New Roman" w:hAnsi="Times New Roman" w:cs="Times New Roman"/>
          <w:sz w:val="24"/>
          <w:szCs w:val="24"/>
          <w:lang w:val="en-GB"/>
        </w:rPr>
        <w:t>In 2023, amendments to the Law on Protection against Domestic Violence (LPADV) introduced a domestic violence protection order in Lithuania. This preventive measure aims to protect a person at risk by obliging the adult posing the risk to temporarily leave the shared residence, avoid visiting the victim’s home, keep a specified distance from the victim and any adults or children living with them, and refrain from any communication or contact.</w:t>
      </w:r>
    </w:p>
    <w:p w14:paraId="000FA0B1" w14:textId="03BC93A5" w:rsidR="72B0DABC" w:rsidRPr="00585DBF" w:rsidRDefault="72B0DABC" w:rsidP="3240BACF">
      <w:pPr>
        <w:spacing w:before="240" w:after="240"/>
        <w:jc w:val="both"/>
        <w:rPr>
          <w:lang w:val="en-GB"/>
        </w:rPr>
      </w:pPr>
      <w:r w:rsidRPr="00585DBF">
        <w:rPr>
          <w:rFonts w:ascii="Times New Roman" w:eastAsia="Times New Roman" w:hAnsi="Times New Roman" w:cs="Times New Roman"/>
          <w:sz w:val="24"/>
          <w:szCs w:val="24"/>
          <w:lang w:val="en-GB"/>
        </w:rPr>
        <w:t>A police officer may issue a 15-day protection order upon receiving a domestic violence report and determining, after a risk assessment, that danger exists. The decision to issue or refuse the order must be made without delay and no later than 12 hours after the report. Once issued, the person posing the risk must comply with all obligations for the full 15 days, regardless of property ownership or residence arrangements. Violating the order may result in liability under the Code of Administrative Offences.</w:t>
      </w:r>
    </w:p>
    <w:p w14:paraId="2A4EDC02"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the second half of 2023, the Lithuanian police issued 10,786 protection orders, 21,101 protection orders in 2024, and 9,362 protection orders in the first half of 2025.</w:t>
      </w:r>
      <w:r w:rsidRPr="00585DBF">
        <w:rPr>
          <w:rFonts w:ascii="Times New Roman" w:eastAsia="Aptos" w:hAnsi="Times New Roman" w:cs="Times New Roman"/>
          <w:color w:val="242424"/>
          <w:sz w:val="24"/>
          <w:szCs w:val="24"/>
          <w:lang w:val="en-GB"/>
        </w:rPr>
        <w:t xml:space="preserve"> In the second half of 2023, 4,906 administrative offences related to violations of the terms of protection orders were recorded, of which 668 were repeated offences. In 2024, there were 8,929 such offences, of which 3,357 were repeated offences. </w:t>
      </w:r>
      <w:r w:rsidRPr="00585DBF">
        <w:rPr>
          <w:rFonts w:ascii="Times New Roman" w:eastAsia="Aptos" w:hAnsi="Times New Roman" w:cs="Times New Roman"/>
          <w:sz w:val="24"/>
          <w:szCs w:val="24"/>
          <w:lang w:val="en-GB"/>
        </w:rPr>
        <w:t>In the first half of 2025, 3,778 violations were recorded, of which 1,657 were repeated violations.</w:t>
      </w:r>
    </w:p>
    <w:p w14:paraId="2E5B0262"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4773247" w14:textId="5B23E064"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2022, amendments to the Labour Code (LC) came into force, prohibiting abuse and harassment in the workplace and establishing specific obligations for employers to ensure the prevention of abuse and harassment, as well as create an environment free from abuse and harassment. The amendments also stipulate that abuse or harassment may be the grounds for terminating an employment contract. The revised LC prohibits not only mobbing – a form of psychological abuse in the workplace – but also abuse and harassment, including psychological abuse and gender-based abuse and harassment.</w:t>
      </w:r>
    </w:p>
    <w:p w14:paraId="1BD0D557"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59534B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Preventing abuse and harassment is one of the most effective ways to ensure that employees do not experience hostile, unethical, humiliating, aggressive, offensive, or abusive behaviour. In order to strengthen the monitoring of the psychosocial environment in the workplace and prevent the spread of unethical, humiliating and discriminatory behaviour, a special unit for the prevention of psychological abuse in the workplace was established at the State Labour Inspectorate in 2022.</w:t>
      </w:r>
    </w:p>
    <w:p w14:paraId="3813F63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0DA9757" w14:textId="707ED2E8"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Lithuania is currently transposing the provisions of European Union</w:t>
      </w:r>
      <w:r w:rsidR="008A60AF" w:rsidRPr="00585DBF">
        <w:rPr>
          <w:rFonts w:ascii="Times New Roman" w:eastAsia="Aptos" w:hAnsi="Times New Roman" w:cs="Times New Roman"/>
          <w:sz w:val="24"/>
          <w:szCs w:val="24"/>
          <w:lang w:val="en-GB"/>
        </w:rPr>
        <w:t xml:space="preserve"> (</w:t>
      </w:r>
      <w:bookmarkStart w:id="8" w:name="_Hlk213760816"/>
      <w:r w:rsidR="008A60AF" w:rsidRPr="00585DBF">
        <w:rPr>
          <w:rFonts w:ascii="Times New Roman" w:eastAsia="Aptos" w:hAnsi="Times New Roman" w:cs="Times New Roman"/>
          <w:sz w:val="24"/>
          <w:szCs w:val="24"/>
          <w:lang w:val="en-GB"/>
        </w:rPr>
        <w:t>EU</w:t>
      </w:r>
      <w:bookmarkEnd w:id="8"/>
      <w:r w:rsidR="008A60AF"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 xml:space="preserve"> Directive EU/2024/1385 on combating violence against women and domestic violence into national law, thereby planning to further strengthen protection against domestic violence. In order to implement the provisions of the above-referred directive, it is planned to improve both the LPADV and the provisions of the CC and the CCP.</w:t>
      </w:r>
    </w:p>
    <w:p w14:paraId="0CECD740"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50A626D"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lastRenderedPageBreak/>
        <w:t>In 2024, the Lithuanian Constitutional Court assessed the compliance of the provisions of the Istanbul Convention and found that this Convention does not conflict with the Constitution (i.e., that the Istanbul Convention does not regulate family or marital relations and does not require a change in the constitutional concept of marriage). This has removed any doubts about the potential conflict of law and confirmed that the ratification of the Istanbul Convention could be legally possible. It should be noted that the Member State is committed to its citizens to strengthen legal mechanisms and implement specific measures to address the problems of domestic violence, as well as provide support to persons at risk of domestic violence, therefore, formal ratification of the Convention is not currently a priority for the State.</w:t>
      </w:r>
    </w:p>
    <w:p w14:paraId="2A6EE7E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BC48ADF" w14:textId="66FE5B98"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The Prosecutor General's Office systematically prepares relevant summaries, which show the continuous monitoring of domestic violence and related criminal offences, as well as the analysis of practice. Such summaries aim at developing uniform practice – they are carried out in order to identify gaps, as well as assess the effectiveness of the measures applied, plan training, thus ensuring a consistent, data-based response of the State to violence against women and domestic violence. For example, once it has been verified that one of the measures that effectively ensures the reduction of domestic violence is the application of penal sanctions to convicted persons (obligation to participate in programmes aimed at changing violent behaviour and the obligation to live separately from the victim and/or not to approach the victim closer than a specified distance) it has been recommended to prosecutors maintaining public prosecution in criminal cases of domestic violence to consider in all cases the possibility of proposing to the court not only a penalty but also the relevant penal sanctions. </w:t>
      </w:r>
      <w:r w:rsidR="00E512F4" w:rsidRPr="00585DBF">
        <w:rPr>
          <w:rFonts w:ascii="Times New Roman" w:eastAsia="Aptos" w:hAnsi="Times New Roman" w:cs="Times New Roman"/>
          <w:sz w:val="24"/>
          <w:szCs w:val="24"/>
          <w:lang w:val="en-GB"/>
        </w:rPr>
        <w:t>Statistical data</w:t>
      </w:r>
      <w:r w:rsidRPr="00585DBF">
        <w:rPr>
          <w:rFonts w:ascii="Times New Roman" w:eastAsia="Aptos" w:hAnsi="Times New Roman" w:cs="Times New Roman"/>
          <w:sz w:val="24"/>
          <w:szCs w:val="24"/>
          <w:lang w:val="en-GB"/>
        </w:rPr>
        <w:t xml:space="preserve"> on the reports of domestic violence, the pre-trial investigations initiated, criminal cases disposed of, and victims of domestic violence is provided in Annex No. 1.</w:t>
      </w:r>
    </w:p>
    <w:p w14:paraId="3E107F0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highlight w:val="green"/>
          <w:lang w:val="en-GB" w:eastAsia="lt-LT"/>
          <w14:ligatures w14:val="none"/>
        </w:rPr>
      </w:pPr>
    </w:p>
    <w:p w14:paraId="19E7013F" w14:textId="4DC0A8A4" w:rsidR="00FD315F" w:rsidRPr="00585DBF" w:rsidRDefault="00585DBF" w:rsidP="00FD315F">
      <w:pPr>
        <w:spacing w:after="0" w:line="240" w:lineRule="auto"/>
        <w:jc w:val="both"/>
        <w:rPr>
          <w:rFonts w:ascii="Times New Roman" w:eastAsia="Times New Roman" w:hAnsi="Times New Roman" w:cs="Times New Roman"/>
          <w:b/>
          <w:color w:val="000000"/>
          <w:kern w:val="0"/>
          <w:sz w:val="24"/>
          <w:szCs w:val="24"/>
          <w:lang w:val="en-GB"/>
          <w14:ligatures w14:val="none"/>
        </w:rPr>
      </w:pPr>
      <w:r w:rsidRPr="00585DBF">
        <w:rPr>
          <w:rFonts w:ascii="Times New Roman" w:eastAsia="Aptos" w:hAnsi="Times New Roman" w:cs="Times New Roman"/>
          <w:color w:val="000000"/>
          <w:sz w:val="24"/>
          <w:szCs w:val="24"/>
          <w:lang w:val="en-GB"/>
        </w:rPr>
        <w:t>To</w:t>
      </w:r>
      <w:r w:rsidR="00FD315F" w:rsidRPr="00585DBF">
        <w:rPr>
          <w:rFonts w:ascii="Times New Roman" w:eastAsia="Aptos" w:hAnsi="Times New Roman" w:cs="Times New Roman"/>
          <w:color w:val="000000"/>
          <w:sz w:val="24"/>
          <w:szCs w:val="24"/>
          <w:lang w:val="en-GB"/>
        </w:rPr>
        <w:t xml:space="preserve"> ensure a coordinated and effective response to domestic violence and sexual abuse, national algorithms and methodologies have been developed to standardise the provision of support and strengthen inter-institutional cooperation. These algorithms establish a clear sequence of actions for institutions (law enforcement, social services and healthcare institutions, specialised support centres, and municipalities) ranging from identifying a case of violence to organising long-term support. A separate algorithm has been developed for working with perpetrators of violence, with the aim of ensuring preventive and rehabilitative interventions. The methodology applied in cases of sexual abuse covers not only the coordination of actions, but also a detailed description of the forms, indications, risk factors, and legal context of abuse. It provides practical guidelines for specialists, emphasising confidentiality, respect for the victim's autonomy, and support tailored to the trauma suffered. These tools help ensure that victims receive timely, comprehensive, and person-centred support all over the country.</w:t>
      </w:r>
    </w:p>
    <w:p w14:paraId="4E279A77" w14:textId="77777777" w:rsidR="00FD315F" w:rsidRPr="00585DBF" w:rsidRDefault="00FD315F" w:rsidP="00FD315F">
      <w:pPr>
        <w:spacing w:after="0" w:line="240" w:lineRule="auto"/>
        <w:jc w:val="both"/>
        <w:rPr>
          <w:rFonts w:ascii="Times New Roman" w:eastAsia="Times New Roman" w:hAnsi="Times New Roman" w:cs="Times New Roman"/>
          <w:b/>
          <w:color w:val="000000"/>
          <w:kern w:val="0"/>
          <w:sz w:val="24"/>
          <w:szCs w:val="24"/>
          <w:highlight w:val="yellow"/>
          <w:lang w:val="en-GB" w:eastAsia="lt-LT"/>
          <w14:ligatures w14:val="none"/>
        </w:rPr>
      </w:pPr>
    </w:p>
    <w:p w14:paraId="605D9322" w14:textId="77777777" w:rsidR="00FD315F" w:rsidRPr="00585DBF" w:rsidRDefault="00FD315F" w:rsidP="00FD315F">
      <w:pPr>
        <w:spacing w:after="0" w:line="240" w:lineRule="auto"/>
        <w:jc w:val="both"/>
        <w:rPr>
          <w:rFonts w:ascii="Times New Roman" w:eastAsia="Times New Roman" w:hAnsi="Times New Roman" w:cs="Times New Roman"/>
          <w:color w:val="000000"/>
          <w:kern w:val="0"/>
          <w:sz w:val="24"/>
          <w:szCs w:val="24"/>
          <w:lang w:val="en-GB"/>
          <w14:ligatures w14:val="none"/>
        </w:rPr>
      </w:pPr>
      <w:r w:rsidRPr="00585DBF">
        <w:rPr>
          <w:rFonts w:ascii="Times New Roman" w:eastAsia="Aptos" w:hAnsi="Times New Roman" w:cs="Times New Roman"/>
          <w:color w:val="000000"/>
          <w:sz w:val="24"/>
          <w:szCs w:val="24"/>
          <w:lang w:val="en-GB"/>
        </w:rPr>
        <w:t>In 2021, a special procedure for the provision of healthcare services to persons who may have been subjected to sexual abuse was approved. This procedure has created a network of specialised healthcare institutions to which patients must be transported if it is suspected or diagnosed that they have suffered sexual abuse. Specialised centres provide full assistance (medical, gynaecological, psychological and even psychiatric, if necessary) to victims of potential sexual abuse 24 hours a day, 7 days a week. This procedure also regulates the requirements for taking sperm samples, conducting toxicological tests after sexual abuse, preparing the patient for examination and testing, diagnosing and preventing sexually transmitted diseases after sexual abuse, and describes mechanical injuries. Healthcare professionals providing assistance to victims of sexual abuse must have completed a special course on providing assistance to patients who have experienced sexual abuse (23 specialists participated in such training in 2024).</w:t>
      </w:r>
    </w:p>
    <w:p w14:paraId="00E2594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06875E59"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Under national legal acts, all healthcare specialists who suspect domestic violence or any other potential abuse must report that to law enforcement authorities. For this purpose, professional </w:t>
      </w:r>
      <w:r w:rsidRPr="00585DBF">
        <w:rPr>
          <w:rFonts w:ascii="Times New Roman" w:eastAsia="Aptos" w:hAnsi="Times New Roman" w:cs="Times New Roman"/>
          <w:sz w:val="24"/>
          <w:szCs w:val="24"/>
          <w:lang w:val="en-GB"/>
        </w:rPr>
        <w:lastRenderedPageBreak/>
        <w:t>development programmes of all medical specialists include training on the recognition and prevention of domestic violence.</w:t>
      </w:r>
    </w:p>
    <w:p w14:paraId="516C95B4" w14:textId="2C54D24E" w:rsidR="3240BACF" w:rsidRPr="00585DBF" w:rsidRDefault="3240BACF" w:rsidP="3240BACF">
      <w:pPr>
        <w:spacing w:after="0" w:line="240" w:lineRule="auto"/>
        <w:jc w:val="both"/>
        <w:rPr>
          <w:rFonts w:ascii="Times New Roman" w:eastAsia="Aptos" w:hAnsi="Times New Roman" w:cs="Times New Roman"/>
          <w:sz w:val="24"/>
          <w:szCs w:val="24"/>
          <w:lang w:val="en-GB"/>
        </w:rPr>
      </w:pPr>
    </w:p>
    <w:p w14:paraId="123B2B3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Since 2021, mobile psychological crisis intervention teams have been operating throughout Lithuania, providing timely assistance after traumatic events to institutions, including educational establishments, as well as to communities, families and groups of individuals (in cases where two or more people are affected). Their assistance is activated in response to events such as suicide, violent death, disappearance, serious accidents, injuries or fatalities, rape, assault, and other traumatic events.</w:t>
      </w:r>
    </w:p>
    <w:p w14:paraId="02F69D4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49FBBC3B"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Lithuania continues strengthening its support system for victims of domestic violence or sexual abuse through the network of 24 specialised comprehensive support centres operating throughout the country. These centres provide individualised services to adults who have experienced violence or are at risk of violence, including information and counselling, mediation, expert assessments and specialised psychological and legal aid. Much attention is paid to the accessibility of services for people with disabilities, promoting inclusive and equal support. </w:t>
      </w:r>
    </w:p>
    <w:p w14:paraId="59710BD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60E11DEF" w14:textId="0BB71B2A"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2023, a new non-governmental initiative was launched with the establishment of the National Information Centre on Sexual Violence – </w:t>
      </w:r>
      <w:r w:rsidR="00553613"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Prabilk</w:t>
      </w:r>
      <w:r w:rsidR="00553613"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 xml:space="preserve">. This is the first specialised centre in Lithuania dedicated to supporting adults who have experienced sexual abuse. </w:t>
      </w:r>
      <w:r w:rsidR="00553613"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Prabilk</w:t>
      </w:r>
      <w:r w:rsidR="00553613"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 xml:space="preserve"> provides free and confidential emotional and informational support to victims, their family members and specialists working with affected individuals. The centre is getting an increasing number of requests for assistance: 22 persons sought help in 2023, 56 in 2024 and, in the first quarter of 2025, 28 new cases were registered – a clear sign that more and more people find courage to speak out and seek help.</w:t>
      </w:r>
    </w:p>
    <w:p w14:paraId="3746554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2043785D" w14:textId="3048205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At the same time, Lithuania has the national system of accredited support services for victims of crime. Currently, 18 accredited service providers offer a wide range of assistance, including emotional and psychological support, information about rights, coordination of social and health care services, and temporary accommodation. In 2025, 2,556 victims were registered, of whom 2,490 accepted support. Support was provided to 1,597 women, 842 men, and 51 children. Among the recipients, there were 154 persons with </w:t>
      </w:r>
      <w:r w:rsidR="00A118C2" w:rsidRPr="00585DBF">
        <w:rPr>
          <w:rFonts w:ascii="Times New Roman" w:eastAsia="Aptos" w:hAnsi="Times New Roman" w:cs="Times New Roman"/>
          <w:sz w:val="24"/>
          <w:szCs w:val="24"/>
          <w:lang w:val="en-GB"/>
        </w:rPr>
        <w:t>disabilities,</w:t>
      </w:r>
      <w:r w:rsidRPr="00585DBF">
        <w:rPr>
          <w:rFonts w:ascii="Times New Roman" w:eastAsia="Aptos" w:hAnsi="Times New Roman" w:cs="Times New Roman"/>
          <w:sz w:val="24"/>
          <w:szCs w:val="24"/>
          <w:lang w:val="en-GB"/>
        </w:rPr>
        <w:t xml:space="preserve"> and 445 persons chose to remain anonymous. In total, more than 15,000 services were provided, six services per person on average.</w:t>
      </w:r>
    </w:p>
    <w:p w14:paraId="576D5842"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18DFB8F7"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Support to victims is provided on an individual basis, taking into account the needs of each person. After receiving information from the first point of contact or directly from the victim, the support service provides information about rights, assesses the situation, prepares a support plan, and coordinates the services necessary. Support is free of charge, confidential and available in the whole country, regardless of the place of residence or whether an official complaint has been submitted. Information about the services is made public by law enforcement institutions, the prosecutor's office, courts, the Single Emergency Centre, municipalities, social service providers, education and health institutions, and the Child Rights Protection Service. In order to increase the effectiveness of support, specialised services are being developed for cases of gender-based and online violence, protection and prevention mechanisms are being strengthened. One of the priorities is to ensure that everyone has access to help via the EU helpline 116 016, which provides immediate emotional and practical support. </w:t>
      </w:r>
    </w:p>
    <w:p w14:paraId="59C79F2A"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A31FA6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Lithuania enhances the competencies of specialists consistently by implementing annual training programmes for violence prevention, victim support, and interdisciplinary cooperation:</w:t>
      </w:r>
    </w:p>
    <w:p w14:paraId="4A5F3933" w14:textId="77777777" w:rsidR="00FD315F" w:rsidRPr="00585DBF" w:rsidRDefault="00FD315F" w:rsidP="00FD315F">
      <w:pPr>
        <w:numPr>
          <w:ilvl w:val="0"/>
          <w:numId w:val="13"/>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2019, 317 </w:t>
      </w:r>
      <w:bookmarkStart w:id="9" w:name="_Hlk208844631"/>
      <w:r w:rsidRPr="00585DBF">
        <w:rPr>
          <w:rFonts w:ascii="Times New Roman" w:eastAsia="Aptos" w:hAnsi="Times New Roman" w:cs="Times New Roman"/>
          <w:sz w:val="24"/>
          <w:szCs w:val="24"/>
          <w:lang w:val="en-GB"/>
        </w:rPr>
        <w:t>specialists working in the field of child welfare</w:t>
      </w:r>
      <w:bookmarkEnd w:id="9"/>
      <w:r w:rsidRPr="00585DBF">
        <w:rPr>
          <w:rFonts w:ascii="Times New Roman" w:eastAsia="Aptos" w:hAnsi="Times New Roman" w:cs="Times New Roman"/>
          <w:sz w:val="24"/>
          <w:szCs w:val="24"/>
          <w:lang w:val="en-GB"/>
        </w:rPr>
        <w:t xml:space="preserve"> participated in trainings on sexual violence against children, including children with disabilities.</w:t>
      </w:r>
    </w:p>
    <w:p w14:paraId="42222AD3" w14:textId="77777777" w:rsidR="00FD315F" w:rsidRPr="00585DBF" w:rsidRDefault="00FD315F" w:rsidP="00FD315F">
      <w:pPr>
        <w:numPr>
          <w:ilvl w:val="0"/>
          <w:numId w:val="13"/>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2021, several training cycles were held:</w:t>
      </w:r>
    </w:p>
    <w:p w14:paraId="33D1BD91" w14:textId="77777777" w:rsidR="00FD315F" w:rsidRPr="00585DBF" w:rsidRDefault="00FD315F" w:rsidP="00FD315F">
      <w:pPr>
        <w:numPr>
          <w:ilvl w:val="0"/>
          <w:numId w:val="14"/>
        </w:num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52 mobile team employees participated in training on the identification of children who have experienced violence and on initial intervention;</w:t>
      </w:r>
    </w:p>
    <w:p w14:paraId="10622025" w14:textId="77777777" w:rsidR="00FD315F" w:rsidRPr="00585DBF" w:rsidRDefault="00FD315F" w:rsidP="00FD315F">
      <w:pPr>
        <w:numPr>
          <w:ilvl w:val="0"/>
          <w:numId w:val="14"/>
        </w:num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lastRenderedPageBreak/>
        <w:t>416 specialists were trained on the identification of persons who have experienced domestic violence and on the provision of assistance;</w:t>
      </w:r>
    </w:p>
    <w:p w14:paraId="1F77F553" w14:textId="77777777" w:rsidR="00FD315F" w:rsidRPr="00585DBF" w:rsidRDefault="00FD315F" w:rsidP="00FD315F">
      <w:pPr>
        <w:numPr>
          <w:ilvl w:val="0"/>
          <w:numId w:val="14"/>
        </w:num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a publicly available educational video on recognising and responding to violence against children was created.</w:t>
      </w:r>
    </w:p>
    <w:p w14:paraId="580B2860" w14:textId="77777777" w:rsidR="00FD315F" w:rsidRPr="00585DBF" w:rsidRDefault="00FD315F" w:rsidP="00FD315F">
      <w:pPr>
        <w:numPr>
          <w:ilvl w:val="0"/>
          <w:numId w:val="15"/>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2022–2023, trainings were held on the prevention of and intervention in domestic violence where 286 specialists participated.</w:t>
      </w:r>
    </w:p>
    <w:p w14:paraId="3F18BFB2" w14:textId="77777777" w:rsidR="00FD315F" w:rsidRPr="00585DBF" w:rsidRDefault="00FD315F" w:rsidP="00FD315F">
      <w:pPr>
        <w:numPr>
          <w:ilvl w:val="0"/>
          <w:numId w:val="15"/>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Significant results achieved in 2024:</w:t>
      </w:r>
    </w:p>
    <w:p w14:paraId="337EDAD1" w14:textId="77777777" w:rsidR="00FD315F" w:rsidRPr="00585DBF" w:rsidRDefault="00FD315F" w:rsidP="00FD315F">
      <w:pPr>
        <w:numPr>
          <w:ilvl w:val="0"/>
          <w:numId w:val="16"/>
        </w:num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more than 1,200 specialists from various sectors (social services, healthcare, law enforcement, non-governmental organisations) participated in trainings on the dynamics of violence, support protocols, and cooperation;</w:t>
      </w:r>
    </w:p>
    <w:p w14:paraId="249D64E3" w14:textId="77777777" w:rsidR="00FD315F" w:rsidRPr="00585DBF" w:rsidRDefault="00FD315F" w:rsidP="00FD315F">
      <w:pPr>
        <w:numPr>
          <w:ilvl w:val="0"/>
          <w:numId w:val="16"/>
        </w:num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429 specialists working in the field of child welfare completed an internal course “Recognising and Responding to Violence against Children”;</w:t>
      </w:r>
    </w:p>
    <w:p w14:paraId="45340D97" w14:textId="77777777" w:rsidR="00FD315F" w:rsidRPr="00585DBF" w:rsidRDefault="00FD315F" w:rsidP="00FD315F">
      <w:pPr>
        <w:numPr>
          <w:ilvl w:val="0"/>
          <w:numId w:val="16"/>
        </w:num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more than 800 specialists participated in a remote session on the recognition of psychological violence;</w:t>
      </w:r>
    </w:p>
    <w:p w14:paraId="78FA2B60" w14:textId="77777777" w:rsidR="00FD315F" w:rsidRPr="00585DBF" w:rsidRDefault="00FD315F" w:rsidP="00FD315F">
      <w:pPr>
        <w:numPr>
          <w:ilvl w:val="0"/>
          <w:numId w:val="16"/>
        </w:num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10 training sessions on sexual violence against children were organised (223 social service specialists were trained) and 19 educational meetings were held, attracting 470 participants from various sectors.</w:t>
      </w:r>
    </w:p>
    <w:p w14:paraId="305EF3B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45B7A3D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2021–2025, more than 300 specialists (from child rights protection, law enforcement, healthcare and the judiciary) participated in trainings on child-friendly interviews, investigative interviews and psychological assessments; there were also visits to Barnahus centres abroad and national discussion events.</w:t>
      </w:r>
    </w:p>
    <w:p w14:paraId="3115677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1D2E28F4"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2024, territorial prosecutor's offices held a series of educational events in schools and communities, the Office of the Equal Opportunities Ombudsperson implemented the BRIDGE project, which has developed a coordinated response algorithm, carried out activities with school communities, and awareness-raising campaigns.</w:t>
      </w:r>
    </w:p>
    <w:p w14:paraId="0EE5D66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2DE346BE" w14:textId="2D49DF0C" w:rsidR="00FD315F" w:rsidRPr="00585DBF" w:rsidRDefault="00FD315F" w:rsidP="3240BAC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trainings for police officers responding to domestic violence calls were attended by 131 police officers in 2019; 197 police officers in 2020; 118 police officers in 2021; 38 police officers in 2022; 1,546 police officers in 2023; 449 police officers in 2024; and 146 police officers and in 2025. In addition, in 2024, the Lithuanian police held 1,329 meetings with communities to promote zero tolerance for domestic violence, with 38,598 persons participating. Awareness was raised through social networks, local media and public information stands in institutions, such as the Employment Service, libraries, and municipal buildings. In addition, 124 meetings were held with municipal representatives and partner institutions to strengthen inter-institutional cooperation in the field of domestic violence prevention.</w:t>
      </w:r>
    </w:p>
    <w:p w14:paraId="79C29586" w14:textId="3AB2FF6F" w:rsidR="12A1D3AD" w:rsidRPr="00585DBF" w:rsidRDefault="12A1D3AD" w:rsidP="3240BACF">
      <w:pPr>
        <w:spacing w:before="240" w:after="240" w:line="240" w:lineRule="auto"/>
        <w:jc w:val="both"/>
        <w:rPr>
          <w:lang w:val="en-GB"/>
        </w:rPr>
      </w:pPr>
      <w:r w:rsidRPr="00585DBF">
        <w:rPr>
          <w:rFonts w:ascii="Times New Roman" w:eastAsia="Times New Roman" w:hAnsi="Times New Roman" w:cs="Times New Roman"/>
          <w:sz w:val="24"/>
          <w:szCs w:val="24"/>
          <w:lang w:val="en-GB"/>
        </w:rPr>
        <w:t>During the period under review, prosecutors and assistant prosecutors consistently participated in national and international training on gender-based and domestic violence. A total of 84 specialised trainings, workshops and conferences were organised, involving around 2,000 participants from various institutions. The programmes focused on victim identification and risk assessment, protection of victims’ rights, prevention of repeat victimisation, coordinated inter-agency cooperation, judicial process specifics and recent legislative changes.</w:t>
      </w:r>
    </w:p>
    <w:p w14:paraId="2FD49561" w14:textId="328D82AC" w:rsidR="12A1D3AD" w:rsidRPr="00585DBF" w:rsidRDefault="12A1D3AD" w:rsidP="3240BACF">
      <w:pPr>
        <w:spacing w:before="240" w:after="240" w:line="240" w:lineRule="auto"/>
        <w:jc w:val="both"/>
        <w:rPr>
          <w:lang w:val="en-GB"/>
        </w:rPr>
      </w:pPr>
      <w:r w:rsidRPr="00585DBF">
        <w:rPr>
          <w:rFonts w:ascii="Times New Roman" w:eastAsia="Times New Roman" w:hAnsi="Times New Roman" w:cs="Times New Roman"/>
          <w:sz w:val="24"/>
          <w:szCs w:val="24"/>
          <w:lang w:val="en-GB"/>
        </w:rPr>
        <w:t xml:space="preserve">Together with Norwegian partners, 2 international projects were implemented to strengthen prevention in courts and law enforcement, enhance institutional competencies, and improve early identification, protection and support for child victims. These projects included large-scale training for up to 500 judges, prosecutors and assistant prosecutors, covering early victim identification, prevention of secondary victimisation, coordinated response, evidence collection and assessment, victim–perpetrator separation measures, and psychological violence proof standards. Both projects facilitated inter-institutional and cross-border knowledge transfer, introduced Norwegian best </w:t>
      </w:r>
      <w:r w:rsidRPr="00585DBF">
        <w:rPr>
          <w:rFonts w:ascii="Times New Roman" w:eastAsia="Times New Roman" w:hAnsi="Times New Roman" w:cs="Times New Roman"/>
          <w:sz w:val="24"/>
          <w:szCs w:val="24"/>
          <w:lang w:val="en-GB"/>
        </w:rPr>
        <w:lastRenderedPageBreak/>
        <w:t>practices and established a sustainable competence base to improve prevention, response and criminal proceedings, particularly for child victims.</w:t>
      </w:r>
    </w:p>
    <w:p w14:paraId="031DC2F7" w14:textId="34D26AB5" w:rsidR="00FD315F" w:rsidRPr="00585DBF" w:rsidRDefault="00FD315F" w:rsidP="00FD315F">
      <w:pPr>
        <w:spacing w:line="240" w:lineRule="auto"/>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kern w:val="0"/>
          <w:sz w:val="24"/>
          <w:szCs w:val="24"/>
          <w:lang w:val="en-GB"/>
          <w14:ligatures w14:val="none"/>
        </w:rPr>
        <w:t xml:space="preserve">To strengthen the competencies of judges in the field of domestic violence, the following training courses </w:t>
      </w:r>
      <w:r w:rsidR="00A45374" w:rsidRPr="00585DBF">
        <w:rPr>
          <w:rFonts w:ascii="Times New Roman" w:eastAsia="Aptos" w:hAnsi="Times New Roman" w:cs="Times New Roman"/>
          <w:kern w:val="0"/>
          <w:sz w:val="24"/>
          <w:szCs w:val="24"/>
          <w:lang w:val="en-GB"/>
          <w14:ligatures w14:val="none"/>
        </w:rPr>
        <w:t xml:space="preserve">were carried out </w:t>
      </w:r>
      <w:r w:rsidRPr="00585DBF">
        <w:rPr>
          <w:rFonts w:ascii="Times New Roman" w:eastAsia="Aptos" w:hAnsi="Times New Roman" w:cs="Times New Roman"/>
          <w:kern w:val="0"/>
          <w:sz w:val="24"/>
          <w:szCs w:val="24"/>
          <w:lang w:val="en-GB"/>
          <w14:ligatures w14:val="none"/>
        </w:rPr>
        <w:t>during the period under review: “Recognising signs of systemic domestic violence: use of power and control strategies, manipulation by the perpetrator, and responsibility”, “Mediation in family disputes when there are indications of domestic violence. Mediation in disputes involving vulnerable parties”, “Support for victims of domestic violence: legal and psychological aspects” and “Use of mediation in disputes between victims and perpetrators of domestic violence”.</w:t>
      </w:r>
    </w:p>
    <w:p w14:paraId="27CD2C56" w14:textId="77777777" w:rsidR="00FD315F" w:rsidRPr="00585DBF" w:rsidRDefault="00FD315F" w:rsidP="00FD315F">
      <w:pPr>
        <w:spacing w:line="240" w:lineRule="auto"/>
        <w:jc w:val="both"/>
        <w:rPr>
          <w:rFonts w:ascii="Times New Roman" w:eastAsia="Times New Roman" w:hAnsi="Times New Roman" w:cs="Times New Roman"/>
          <w:b/>
          <w:kern w:val="0"/>
          <w:sz w:val="24"/>
          <w:szCs w:val="24"/>
          <w:lang w:val="en-GB" w:eastAsia="lt-LT"/>
          <w14:ligatures w14:val="none"/>
        </w:rPr>
      </w:pPr>
      <w:r w:rsidRPr="00585DBF">
        <w:rPr>
          <w:rFonts w:ascii="Times New Roman" w:eastAsia="Times New Roman" w:hAnsi="Times New Roman" w:cs="Times New Roman"/>
          <w:b/>
          <w:kern w:val="0"/>
          <w:sz w:val="24"/>
          <w:szCs w:val="24"/>
          <w:lang w:val="en-GB" w:eastAsia="lt-LT"/>
          <w14:ligatures w14:val="none"/>
        </w:rPr>
        <w:t>Paragraph 6 of the LoIPR</w:t>
      </w:r>
    </w:p>
    <w:p w14:paraId="052AB857" w14:textId="77777777" w:rsidR="00FD315F" w:rsidRPr="00585DBF" w:rsidRDefault="00FD315F" w:rsidP="00FD315F">
      <w:pPr>
        <w:spacing w:after="0" w:line="240" w:lineRule="auto"/>
        <w:jc w:val="both"/>
        <w:rPr>
          <w:rFonts w:ascii="Times New Roman" w:eastAsia="Times New Roman" w:hAnsi="Times New Roman" w:cs="Times New Roman"/>
          <w:b/>
          <w:bCs/>
          <w:i/>
          <w:iCs/>
          <w:kern w:val="0"/>
          <w:sz w:val="24"/>
          <w:szCs w:val="24"/>
          <w:lang w:val="en-GB"/>
          <w14:ligatures w14:val="none"/>
        </w:rPr>
      </w:pPr>
      <w:r w:rsidRPr="00585DBF">
        <w:rPr>
          <w:rFonts w:ascii="Times New Roman" w:eastAsia="Aptos" w:hAnsi="Times New Roman" w:cs="Times New Roman"/>
          <w:color w:val="000000" w:themeColor="text1"/>
          <w:sz w:val="24"/>
          <w:szCs w:val="24"/>
          <w:lang w:val="en-GB"/>
        </w:rPr>
        <w:t>Since 2025, the function of the National Rapporteur on Combating Trafficking in Human Beings, which was previously performed by the Ministry of the Interior, has been transferred to the Parliamentary Ombudspersons’ Office. This ensures the impartiality (independence) of the National Rapporteur on Combating Trafficking in Human Beings – the functions of formulating, implementing and coordinating the State policy in the field of the fight against trafficking in human beings have been separated from the function of monitoring the fight against trafficking in human beings.</w:t>
      </w:r>
      <w:r w:rsidRPr="00585DBF">
        <w:rPr>
          <w:rFonts w:ascii="Times New Roman" w:eastAsia="Aptos" w:hAnsi="Times New Roman" w:cs="Times New Roman"/>
          <w:sz w:val="24"/>
          <w:szCs w:val="24"/>
          <w:lang w:val="en-GB"/>
        </w:rPr>
        <w:t xml:space="preserve"> </w:t>
      </w:r>
    </w:p>
    <w:p w14:paraId="52EE8499" w14:textId="77777777" w:rsidR="00FD315F" w:rsidRPr="00585DBF" w:rsidRDefault="00FD315F" w:rsidP="00FD315F">
      <w:pPr>
        <w:spacing w:after="0" w:line="240" w:lineRule="auto"/>
        <w:jc w:val="both"/>
        <w:rPr>
          <w:rFonts w:ascii="Times New Roman" w:eastAsia="Times New Roman" w:hAnsi="Times New Roman" w:cs="Times New Roman"/>
          <w:b/>
          <w:i/>
          <w:iCs/>
          <w:kern w:val="0"/>
          <w:sz w:val="24"/>
          <w:szCs w:val="24"/>
          <w:highlight w:val="yellow"/>
          <w:lang w:val="en-GB" w:eastAsia="lt-LT"/>
          <w14:ligatures w14:val="none"/>
        </w:rPr>
      </w:pPr>
    </w:p>
    <w:p w14:paraId="2361B4C1" w14:textId="4B97B7C7" w:rsidR="00FD315F" w:rsidRPr="00585DBF" w:rsidRDefault="00FD315F" w:rsidP="3240BAC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2024, the European Parliament and the Council adopted Directive (EU) 2024/1712</w:t>
      </w:r>
      <w:r w:rsidR="6AD8FBF3" w:rsidRPr="00585DBF">
        <w:rPr>
          <w:rFonts w:ascii="Times New Roman" w:eastAsia="Aptos" w:hAnsi="Times New Roman" w:cs="Times New Roman"/>
          <w:sz w:val="24"/>
          <w:szCs w:val="24"/>
          <w:lang w:val="en-GB"/>
        </w:rPr>
        <w:t>, which</w:t>
      </w:r>
      <w:r w:rsidRPr="00585DBF">
        <w:rPr>
          <w:rFonts w:ascii="Times New Roman" w:eastAsia="Aptos" w:hAnsi="Times New Roman" w:cs="Times New Roman"/>
          <w:sz w:val="24"/>
          <w:szCs w:val="24"/>
          <w:lang w:val="en-GB"/>
        </w:rPr>
        <w:t xml:space="preserve"> provides for a broader list of acts constituting exploitation of victims of trafficking in human beings, provides for stricter liability when the victim of the crime is a minor, provides for broader possibilities for holding legal entities criminally liable and for non-application of criminal liability or penalties to victims of trafficking in relation to criminal offences that they have been compelled to commit as a direct consequence of being subject to trafficking. In view of this, amendments to the Criminal Code are currently being prepared to implement the provisions of the above-referred directive into national law.</w:t>
      </w:r>
    </w:p>
    <w:p w14:paraId="76601B6A"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6008A06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2024, the third Action Plan against Trafficking in Human Beings for 2024–2026 was approved and started to be implemented. The Plan provides for 60 measures, divided into four main parts: </w:t>
      </w:r>
    </w:p>
    <w:p w14:paraId="45FE62AA" w14:textId="20923791" w:rsidR="00FD315F" w:rsidRPr="00585DBF" w:rsidRDefault="00FD315F" w:rsidP="2EC65A1B">
      <w:pPr>
        <w:numPr>
          <w:ilvl w:val="0"/>
          <w:numId w:val="3"/>
        </w:numPr>
        <w:tabs>
          <w:tab w:val="num" w:pos="284"/>
        </w:tabs>
        <w:spacing w:after="0" w:line="240" w:lineRule="auto"/>
        <w:ind w:left="284" w:hanging="284"/>
        <w:jc w:val="both"/>
        <w:rPr>
          <w:rFonts w:ascii="Times New Roman" w:eastAsia="Times New Roman" w:hAnsi="Times New Roman" w:cs="Times New Roman"/>
          <w:kern w:val="0"/>
          <w:sz w:val="24"/>
          <w:szCs w:val="24"/>
          <w:lang w:val="en-GB"/>
          <w14:ligatures w14:val="none"/>
        </w:rPr>
      </w:pPr>
      <w:bookmarkStart w:id="10" w:name="_Hlk187325397"/>
      <w:r w:rsidRPr="00585DBF">
        <w:rPr>
          <w:rFonts w:ascii="Times New Roman" w:eastAsia="Aptos" w:hAnsi="Times New Roman" w:cs="Times New Roman"/>
          <w:sz w:val="24"/>
          <w:szCs w:val="24"/>
          <w:lang w:val="en-GB"/>
        </w:rPr>
        <w:t>measures to strength</w:t>
      </w:r>
      <w:bookmarkEnd w:id="10"/>
      <w:r w:rsidRPr="00585DBF">
        <w:rPr>
          <w:rFonts w:ascii="Times New Roman" w:eastAsia="Aptos" w:hAnsi="Times New Roman" w:cs="Times New Roman"/>
          <w:sz w:val="24"/>
          <w:szCs w:val="24"/>
          <w:lang w:val="en-GB"/>
        </w:rPr>
        <w:t xml:space="preserve">en the fight against trafficking in human beings through inter-institutional and international cooperation; </w:t>
      </w:r>
    </w:p>
    <w:p w14:paraId="4B1BE607" w14:textId="50AFCBD9" w:rsidR="00FD315F" w:rsidRPr="00585DBF" w:rsidRDefault="00FD315F" w:rsidP="2EC65A1B">
      <w:pPr>
        <w:numPr>
          <w:ilvl w:val="0"/>
          <w:numId w:val="3"/>
        </w:numPr>
        <w:tabs>
          <w:tab w:val="num" w:pos="284"/>
        </w:tabs>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measures to improve the ability of law enforcement officers, prosecutors and judges to recognise cases of human trafficking and effectively prosecute them; </w:t>
      </w:r>
    </w:p>
    <w:p w14:paraId="08548552" w14:textId="476AA597" w:rsidR="00FD315F" w:rsidRPr="00585DBF" w:rsidRDefault="00FD315F" w:rsidP="2EC65A1B">
      <w:pPr>
        <w:numPr>
          <w:ilvl w:val="0"/>
          <w:numId w:val="3"/>
        </w:numPr>
        <w:tabs>
          <w:tab w:val="num" w:pos="284"/>
        </w:tabs>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measures to improve the ability of specialists to recognise victims of human trafficking in time and in a proper manner and to refer and provide appropriate assistance in response to the needs of victims; </w:t>
      </w:r>
    </w:p>
    <w:p w14:paraId="2D8B480C" w14:textId="679DF73E" w:rsidR="00FD315F" w:rsidRPr="00585DBF" w:rsidRDefault="41FD5813" w:rsidP="2EC65A1B">
      <w:pPr>
        <w:numPr>
          <w:ilvl w:val="0"/>
          <w:numId w:val="3"/>
        </w:numPr>
        <w:tabs>
          <w:tab w:val="num" w:pos="284"/>
        </w:tabs>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m</w:t>
      </w:r>
      <w:r w:rsidR="00FD315F" w:rsidRPr="00585DBF">
        <w:rPr>
          <w:rFonts w:ascii="Times New Roman" w:eastAsia="Aptos" w:hAnsi="Times New Roman" w:cs="Times New Roman"/>
          <w:sz w:val="24"/>
          <w:szCs w:val="24"/>
          <w:lang w:val="en-GB"/>
        </w:rPr>
        <w:t xml:space="preserve">easures to ensure the effective implementation of preventive measures against human trafficking. </w:t>
      </w:r>
    </w:p>
    <w:p w14:paraId="2F58E21A" w14:textId="272C11C5" w:rsidR="00FD315F" w:rsidRPr="00585DBF" w:rsidRDefault="00FD315F" w:rsidP="3240BACF">
      <w:pPr>
        <w:spacing w:after="0" w:line="240" w:lineRule="auto"/>
        <w:jc w:val="both"/>
        <w:rPr>
          <w:rFonts w:ascii="Times New Roman" w:eastAsia="Times New Roman" w:hAnsi="Times New Roman" w:cs="Times New Roman"/>
          <w:b/>
          <w:bCs/>
          <w:kern w:val="0"/>
          <w:sz w:val="24"/>
          <w:szCs w:val="24"/>
          <w:lang w:val="en-GB"/>
          <w14:ligatures w14:val="none"/>
        </w:rPr>
      </w:pPr>
      <w:bookmarkStart w:id="11" w:name="_Hlk208839290"/>
    </w:p>
    <w:p w14:paraId="73311D39" w14:textId="52958518" w:rsidR="76EB8CD0" w:rsidRPr="00585DBF" w:rsidRDefault="76EB8CD0" w:rsidP="3240BACF">
      <w:pPr>
        <w:spacing w:after="0" w:line="240" w:lineRule="auto"/>
        <w:jc w:val="both"/>
        <w:rPr>
          <w:lang w:val="en-GB"/>
        </w:rPr>
      </w:pPr>
      <w:r w:rsidRPr="00585DBF">
        <w:rPr>
          <w:rFonts w:ascii="Times New Roman" w:eastAsia="Times New Roman" w:hAnsi="Times New Roman" w:cs="Times New Roman"/>
          <w:sz w:val="24"/>
          <w:szCs w:val="24"/>
          <w:lang w:val="en-GB"/>
        </w:rPr>
        <w:t>In 2025, Lithuania strengthened its coordination mechanisms to combat human trafficking by renewing and expanding the Commission for Coordinating the Fight against Trafficking in Human Beings, with a special focus on the increasingly prevalent form of trafficking – forced labour exploitation. The Commission was assigned to set priorities for anti-trafficking measures, propose the inclusion of relevant actions in the national Action Plan, analyse its implementation, and submit recommendations to state and municipal institutions, as well as international and NGOs, especially in situations of heightened trafficking risk.</w:t>
      </w:r>
    </w:p>
    <w:p w14:paraId="0C6DEAE2" w14:textId="1000B558" w:rsidR="3240BACF" w:rsidRPr="00585DBF" w:rsidRDefault="3240BACF" w:rsidP="3240BACF">
      <w:pPr>
        <w:spacing w:after="0" w:line="240" w:lineRule="auto"/>
        <w:jc w:val="both"/>
        <w:rPr>
          <w:rFonts w:ascii="Times New Roman" w:eastAsia="Aptos" w:hAnsi="Times New Roman" w:cs="Times New Roman"/>
          <w:sz w:val="24"/>
          <w:szCs w:val="24"/>
          <w:lang w:val="en-GB"/>
        </w:rPr>
      </w:pPr>
    </w:p>
    <w:p w14:paraId="7FE6BC95" w14:textId="276778D2" w:rsidR="00FD315F" w:rsidRPr="00585DBF" w:rsidRDefault="00FD315F" w:rsidP="3240BAC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Each year, state funding is allocated to projects implemented by non-governmental organisations that provide social support to persons who are or may have been victims of human trafficking, including foreign nationals. Such services include temporary accommodation, social services, psychological assistance, healthcare, legal aid, educational assistance, etc. In 2024, such support was provided to 239 persons who were or could have been victims of human trafficking – to 133 men and 106 women.</w:t>
      </w:r>
    </w:p>
    <w:p w14:paraId="51DDA8B9"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3F9EA024"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lastRenderedPageBreak/>
        <w:t>Non-governmental organisations actively contribute to helping victims of violence and crime by participating in pre-trial investigations, providing emotional support, legal aid and information about rights and proceedings. They help victims integrate into society, monitor their well-being and ensure that their rights are respected, while specialists communicate in an understandable language, using interpreters where necessary. This system reflects the State's commitment to provide dignified, effective and accessible support to all victims. In view of the growing need, it is recommended to expand regional centres, strengthen support for children who have experienced sexual abuse, and continuously improve the quality of services.</w:t>
      </w:r>
    </w:p>
    <w:bookmarkEnd w:id="11"/>
    <w:p w14:paraId="4372643D"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167C45DD"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r w:rsidRPr="00585DBF">
        <w:rPr>
          <w:rFonts w:ascii="Times New Roman" w:eastAsia="Times New Roman" w:hAnsi="Times New Roman" w:cs="Times New Roman"/>
          <w:bCs/>
          <w:kern w:val="0"/>
          <w:sz w:val="24"/>
          <w:szCs w:val="24"/>
          <w:lang w:val="en-GB" w:eastAsia="lt-LT"/>
          <w14:ligatures w14:val="none"/>
        </w:rPr>
        <w:t>In 2021, the Law on Assistance to Victims of Crime was adopted. This law ensures that individuals who have suffered from a criminal offense receive assistance (information, consultations, and/or services) based on their individual needs, arising from the committed crime, and the nature of the criminal offense.</w:t>
      </w:r>
    </w:p>
    <w:p w14:paraId="3890F0A0"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2B6BEC97"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r w:rsidRPr="00585DBF">
        <w:rPr>
          <w:rFonts w:ascii="Times New Roman" w:eastAsia="Times New Roman" w:hAnsi="Times New Roman" w:cs="Times New Roman"/>
          <w:bCs/>
          <w:kern w:val="0"/>
          <w:sz w:val="24"/>
          <w:szCs w:val="24"/>
          <w:lang w:val="en-GB" w:eastAsia="lt-LT"/>
          <w14:ligatures w14:val="none"/>
        </w:rPr>
        <w:t>Free assistance is provided to all victims, regardless of the type of crime and whether or not the victim or their legal representative has submitted am official complaint. Assistance to victims is provided by accredited assistance services (in 2024, assistance was provided to 2,490 individuals (1,597 women, 842 men, and 51 children). Among them, 154 were persons with disabilities.</w:t>
      </w:r>
    </w:p>
    <w:p w14:paraId="666014C0"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0F08F6ED"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The Migration Department issued/changed temporary residence permits in Lithuania to foreigners who are or have been victims of trafficking in persons or illegal employment and who cooperate with the pre-trial investigation authority or the court (in 2020 – to 1 foreigner; in 2021 – 5; in 2022 – 2; in 2023 – 1; and in 2024 – 5 foreigners).</w:t>
      </w:r>
    </w:p>
    <w:p w14:paraId="0F8579DE" w14:textId="4705CEB4" w:rsidR="00FD315F" w:rsidRPr="00585DBF" w:rsidRDefault="00FD315F" w:rsidP="3240BACF">
      <w:pPr>
        <w:spacing w:after="0" w:line="240" w:lineRule="auto"/>
        <w:jc w:val="both"/>
        <w:rPr>
          <w:rFonts w:ascii="Times New Roman" w:eastAsia="Times New Roman" w:hAnsi="Times New Roman" w:cs="Times New Roman"/>
          <w:kern w:val="0"/>
          <w:sz w:val="24"/>
          <w:szCs w:val="24"/>
          <w:lang w:val="en-GB" w:eastAsia="lt-LT"/>
          <w14:ligatures w14:val="none"/>
        </w:rPr>
      </w:pPr>
    </w:p>
    <w:p w14:paraId="0DA52413" w14:textId="16C87C7F" w:rsidR="622FCD4A" w:rsidRPr="00585DBF" w:rsidRDefault="622FCD4A" w:rsidP="3240BACF">
      <w:pPr>
        <w:spacing w:after="0" w:line="240" w:lineRule="auto"/>
        <w:jc w:val="both"/>
        <w:rPr>
          <w:lang w:val="en-GB"/>
        </w:rPr>
      </w:pPr>
      <w:r w:rsidRPr="00585DBF">
        <w:rPr>
          <w:rFonts w:ascii="Times New Roman" w:eastAsia="Times New Roman" w:hAnsi="Times New Roman" w:cs="Times New Roman"/>
          <w:sz w:val="24"/>
          <w:szCs w:val="24"/>
          <w:lang w:val="en-GB"/>
        </w:rPr>
        <w:t>In 2021, the Ministry of the Interior, together with the Prosecutor General’s Office, launched an online training platform on human trafficking. The course covers the definitions and differences between trafficking-related crimes, victim identification and risk factors, victim psychology and communication, needs assessment and emergency support, qualification of offences and initiation of pre-trial investigations, evidence gathering in Lithuania and abroad, victim and witness protection, compensation for damages, and identification and confiscation of traffickers’ assets. The training targets police, border guards, migration officers, prosecutors, judges, legal aid providers, labour inspectors, employment service staff, psychologists, medical and social workers, child protection specialists and others who may encounter trafficking victims. More than 500 users have registered on the platform.</w:t>
      </w:r>
    </w:p>
    <w:p w14:paraId="4C3E5C1C" w14:textId="729905CF" w:rsidR="3240BACF" w:rsidRPr="00585DBF" w:rsidRDefault="3240BACF" w:rsidP="3240BACF">
      <w:pPr>
        <w:spacing w:after="0" w:line="240" w:lineRule="auto"/>
        <w:jc w:val="both"/>
        <w:rPr>
          <w:rFonts w:ascii="Times New Roman" w:eastAsia="Aptos" w:hAnsi="Times New Roman" w:cs="Times New Roman"/>
          <w:sz w:val="24"/>
          <w:szCs w:val="24"/>
          <w:lang w:val="en-GB"/>
        </w:rPr>
      </w:pPr>
    </w:p>
    <w:p w14:paraId="0EA0EB2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2022, a study “Reasons for the Decrease (Non-Initiation) of Pre-Trial Investigations into Trafficking in Human Beings and Related Crimes in 2018–2021” was carried out. The study identified a need for inter-institutional and specialised training to improve the capacities of employees, specialists and officials of various institutions and agencies to identify victims of human trafficking in an appropriate, high-quality, and timely manner.</w:t>
      </w:r>
    </w:p>
    <w:p w14:paraId="4E6AF9A9"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8F899D7"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Police officers undergo continuous professional development in the field of prevention and investigation of trafficking in human beings through three training programme modules: “Prevention of Trafficking in Human Beings”, “Investigation of Trafficking in Human Beings”, and “Psychological and Psychosocial Aspects of Trafficking in Human Beings”. 41 police officers participated in these training courses in 2019; 31 police officers in 2021; 53 in 2022; 39 in 2023; 85 in 2024; and 37 in the first half of 2025.</w:t>
      </w:r>
    </w:p>
    <w:p w14:paraId="7432B7F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8C7E66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bookmarkStart w:id="12" w:name="_Hlk121318245"/>
      <w:r w:rsidRPr="00585DBF">
        <w:rPr>
          <w:rFonts w:ascii="Times New Roman" w:eastAsia="Aptos" w:hAnsi="Times New Roman" w:cs="Times New Roman"/>
          <w:sz w:val="24"/>
          <w:szCs w:val="24"/>
          <w:lang w:val="en-GB"/>
        </w:rPr>
        <w:t>Annual professional development courses “Fight against Trafficking in Human Beings” are held for border guards and employees of the Foreigners' Registration Centre</w:t>
      </w:r>
      <w:bookmarkEnd w:id="12"/>
      <w:r w:rsidRPr="00585DBF">
        <w:rPr>
          <w:rFonts w:ascii="Times New Roman" w:eastAsia="Aptos" w:hAnsi="Times New Roman" w:cs="Times New Roman"/>
          <w:sz w:val="24"/>
          <w:szCs w:val="24"/>
          <w:lang w:val="en-GB"/>
        </w:rPr>
        <w:t xml:space="preserve"> to develop their ability to identify potential victims of human trafficking and suspected traffickers. In 2019, 53 officers participated in these training courses; in 2020 – 34; in 2021 – 82; in 2022 – 44; in 2023 – 60; in 2024 – 54 officers. </w:t>
      </w:r>
      <w:r w:rsidRPr="00585DBF">
        <w:rPr>
          <w:rFonts w:ascii="Times New Roman" w:eastAsia="Aptos" w:hAnsi="Times New Roman" w:cs="Times New Roman"/>
          <w:sz w:val="24"/>
          <w:szCs w:val="24"/>
          <w:lang w:val="en-GB"/>
        </w:rPr>
        <w:lastRenderedPageBreak/>
        <w:t>The topic of trafficking in human beings has been included in the professional training programme for border guards.</w:t>
      </w:r>
    </w:p>
    <w:p w14:paraId="07DDEFE2"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68486001" w14:textId="503D0FF0"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order to implement the recommendations of the Council of Europe’s Group of Experts responsible for monitoring the implementation of the Council of Europe Convention on Action against Trafficking in Human Beings in member states, additional professional development trainings on trafficking in human beings were organised for border guards and employees of the Foreigners' Registration Centre between 2019 and 2023: in 2019, seminar </w:t>
      </w:r>
      <w:bookmarkStart w:id="13" w:name="_Hlk194057701"/>
      <w:r w:rsidRPr="00585DBF">
        <w:rPr>
          <w:rFonts w:ascii="Times New Roman" w:eastAsia="Aptos" w:hAnsi="Times New Roman" w:cs="Times New Roman"/>
          <w:sz w:val="24"/>
          <w:szCs w:val="24"/>
          <w:lang w:val="en-GB"/>
        </w:rPr>
        <w:t xml:space="preserve">“Combating Human Trafficking” </w:t>
      </w:r>
      <w:bookmarkEnd w:id="13"/>
      <w:r w:rsidRPr="00585DBF">
        <w:rPr>
          <w:rFonts w:ascii="Times New Roman" w:eastAsia="Aptos" w:hAnsi="Times New Roman" w:cs="Times New Roman"/>
          <w:sz w:val="24"/>
          <w:szCs w:val="24"/>
          <w:lang w:val="en-GB"/>
        </w:rPr>
        <w:t xml:space="preserve">(18 participants); in 2021, training to improve knowledge about people from other cultures, understand the specifics of religions and cultures in order to better understand unusual behaviour or situations, including the identification of victims of human trafficking (78 participants); in 2022, vulnerability assessment training (23 participants); in 2023, training “Reception of Vulnerable Persons” (11 participants) and training “Reception” (23 participants). From 2024, </w:t>
      </w:r>
      <w:r w:rsidR="25C85968" w:rsidRPr="00585DBF">
        <w:rPr>
          <w:rFonts w:ascii="Times New Roman" w:eastAsia="Aptos" w:hAnsi="Times New Roman" w:cs="Times New Roman"/>
          <w:sz w:val="24"/>
          <w:szCs w:val="24"/>
          <w:lang w:val="en-GB"/>
        </w:rPr>
        <w:t xml:space="preserve">five </w:t>
      </w:r>
      <w:r w:rsidRPr="00585DBF">
        <w:rPr>
          <w:rFonts w:ascii="Times New Roman" w:eastAsia="Aptos" w:hAnsi="Times New Roman" w:cs="Times New Roman"/>
          <w:sz w:val="24"/>
          <w:szCs w:val="24"/>
          <w:lang w:val="en-GB"/>
        </w:rPr>
        <w:t>training courses were organised for border guards on the initial assessment of persons and their need for help </w:t>
      </w:r>
      <w:r w:rsidR="707F89B7"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110 participa</w:t>
      </w:r>
      <w:r w:rsidR="3E61167E" w:rsidRPr="00585DBF">
        <w:rPr>
          <w:rFonts w:ascii="Times New Roman" w:eastAsia="Aptos" w:hAnsi="Times New Roman" w:cs="Times New Roman"/>
          <w:sz w:val="24"/>
          <w:szCs w:val="24"/>
          <w:lang w:val="en-GB"/>
        </w:rPr>
        <w:t>nts)</w:t>
      </w:r>
      <w:r w:rsidRPr="00585DBF">
        <w:rPr>
          <w:rFonts w:ascii="Times New Roman" w:eastAsia="Aptos" w:hAnsi="Times New Roman" w:cs="Times New Roman"/>
          <w:sz w:val="24"/>
          <w:szCs w:val="24"/>
          <w:lang w:val="en-GB"/>
        </w:rPr>
        <w:t xml:space="preserve">. </w:t>
      </w:r>
    </w:p>
    <w:p w14:paraId="3B97FB54"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0918DB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2024, the Migration Department organised its first training course on trafficking in human beings, identification of cases, specifics of communication with victims of trafficking in human beings and their referral to help where 500 employees of the Department participated. </w:t>
      </w:r>
    </w:p>
    <w:p w14:paraId="7AF7B61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0C12A60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Ministry of Foreign Affairs organises training on identifying victims of trafficking in human beings and providing them with assistance for consular officers and diplomats working in the diplomatic missions and consular posts of Lithuania, as well as for civil servants who are leaving to perform consular functions at diplomatic missions and consular posts of Lithuania.</w:t>
      </w:r>
    </w:p>
    <w:p w14:paraId="4277D0E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09951106" w14:textId="2AB21056" w:rsidR="00FD315F" w:rsidRPr="00585DBF" w:rsidRDefault="00FD315F" w:rsidP="2EC65A1B">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2019, the Ministry of the Interior organised training on trafficking in human beings for police officers and municipal employees </w:t>
      </w:r>
      <w:r w:rsidR="2232F88C" w:rsidRPr="00585DBF">
        <w:rPr>
          <w:rFonts w:ascii="Times New Roman" w:eastAsia="Aptos" w:hAnsi="Times New Roman" w:cs="Times New Roman"/>
          <w:sz w:val="24"/>
          <w:szCs w:val="24"/>
          <w:lang w:val="en-GB"/>
        </w:rPr>
        <w:t xml:space="preserve">(200 participants) </w:t>
      </w:r>
      <w:r w:rsidRPr="00585DBF">
        <w:rPr>
          <w:rFonts w:ascii="Times New Roman" w:eastAsia="Aptos" w:hAnsi="Times New Roman" w:cs="Times New Roman"/>
          <w:sz w:val="24"/>
          <w:szCs w:val="24"/>
          <w:lang w:val="en-GB"/>
        </w:rPr>
        <w:t xml:space="preserve">who, due to the nature of their work, have to or may have to interact with victims or potential victims of trafficking in human beings. </w:t>
      </w:r>
    </w:p>
    <w:p w14:paraId="36BAB90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458C43E" w14:textId="0ED865F1" w:rsidR="00FD315F" w:rsidRPr="00585DBF" w:rsidRDefault="00FD315F" w:rsidP="00FD315F">
      <w:pPr>
        <w:shd w:val="clear" w:color="auto" w:fill="FFFFFF" w:themeFill="background1"/>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Judges who hear criminal cases get annual training on human trafficking and on the specifics of different forms of exploitation in human trafficking cases. In order to increase the competence in the field of human trafficking, 80 judges participated in </w:t>
      </w:r>
      <w:r w:rsidR="009F28E0" w:rsidRPr="00585DBF">
        <w:rPr>
          <w:rFonts w:ascii="Times New Roman" w:eastAsia="Aptos" w:hAnsi="Times New Roman" w:cs="Times New Roman"/>
          <w:sz w:val="24"/>
          <w:szCs w:val="24"/>
          <w:lang w:val="en-GB"/>
        </w:rPr>
        <w:t xml:space="preserve">trainings in </w:t>
      </w:r>
      <w:r w:rsidRPr="00585DBF">
        <w:rPr>
          <w:rFonts w:ascii="Times New Roman" w:eastAsia="Aptos" w:hAnsi="Times New Roman" w:cs="Times New Roman"/>
          <w:sz w:val="24"/>
          <w:szCs w:val="24"/>
          <w:lang w:val="en-GB"/>
        </w:rPr>
        <w:t>2019; 70 judges in 2021; 63 judges in 2022; 34 judges in 2023.</w:t>
      </w:r>
    </w:p>
    <w:p w14:paraId="4C6D46A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173D57FB" w14:textId="3BB87B32"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Prosecutors and employees of the prosecution service regularly participate in training courses organised by state institutions and non-governmental organisations to improve their qualifications in the field of human trafficking: 7 events</w:t>
      </w:r>
      <w:r w:rsidR="00137F00"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 xml:space="preserve">115 participants in 2019; </w:t>
      </w:r>
      <w:bookmarkStart w:id="14" w:name="_Hlk208498187"/>
      <w:r w:rsidRPr="00585DBF">
        <w:rPr>
          <w:rFonts w:ascii="Times New Roman" w:eastAsia="Aptos" w:hAnsi="Times New Roman" w:cs="Times New Roman"/>
          <w:sz w:val="24"/>
          <w:szCs w:val="24"/>
          <w:lang w:val="en-GB"/>
        </w:rPr>
        <w:t xml:space="preserve"> </w:t>
      </w:r>
      <w:bookmarkEnd w:id="14"/>
      <w:r w:rsidRPr="00585DBF">
        <w:rPr>
          <w:rFonts w:ascii="Times New Roman" w:eastAsia="Aptos" w:hAnsi="Times New Roman" w:cs="Times New Roman"/>
          <w:sz w:val="24"/>
          <w:szCs w:val="24"/>
          <w:lang w:val="en-GB"/>
        </w:rPr>
        <w:t>2 events</w:t>
      </w:r>
      <w:r w:rsidR="00137F00"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77 participants in 2020; 7 events</w:t>
      </w:r>
      <w:r w:rsidR="00137F00"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32 participants in 2021, 3 events</w:t>
      </w:r>
      <w:r w:rsidR="00ED580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59 participants in 2023; 7 events</w:t>
      </w:r>
      <w:r w:rsidR="00ED580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 xml:space="preserve">13 participants in 2024. Prosecutors specialising in the fight against human trafficking also broadened and exchanged their experience in international initiatives organised by the </w:t>
      </w:r>
      <w:r w:rsidR="008A60AF" w:rsidRPr="00585DBF">
        <w:rPr>
          <w:rFonts w:ascii="Times New Roman" w:eastAsia="Aptos" w:hAnsi="Times New Roman" w:cs="Times New Roman"/>
          <w:sz w:val="24"/>
          <w:szCs w:val="24"/>
          <w:lang w:val="en-GB"/>
        </w:rPr>
        <w:t>EU</w:t>
      </w:r>
      <w:r w:rsidRPr="00585DBF">
        <w:rPr>
          <w:rFonts w:ascii="Times New Roman" w:eastAsia="Aptos" w:hAnsi="Times New Roman" w:cs="Times New Roman"/>
          <w:sz w:val="24"/>
          <w:szCs w:val="24"/>
          <w:lang w:val="en-GB"/>
        </w:rPr>
        <w:t xml:space="preserve"> and other international organisations: </w:t>
      </w:r>
      <w:bookmarkStart w:id="15" w:name="_Hlk208498625"/>
      <w:r w:rsidRPr="00585DBF">
        <w:rPr>
          <w:rFonts w:ascii="Times New Roman" w:eastAsia="Aptos" w:hAnsi="Times New Roman" w:cs="Times New Roman"/>
          <w:sz w:val="24"/>
          <w:szCs w:val="24"/>
          <w:lang w:val="en-GB"/>
        </w:rPr>
        <w:t>5 events</w:t>
      </w:r>
      <w:r w:rsidR="00ED580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5 participants in 2019, 1 event</w:t>
      </w:r>
      <w:r w:rsidR="00ED580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1 participant in 2021; 1 event</w:t>
      </w:r>
      <w:r w:rsidR="00ED580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1 participant in 2022; 1 event</w:t>
      </w:r>
      <w:r w:rsidR="00ED580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1 participant in 2023; 1 event</w:t>
      </w:r>
      <w:r w:rsidR="00ED580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1 participant) in 2024.</w:t>
      </w:r>
    </w:p>
    <w:p w14:paraId="5A00528A" w14:textId="26C006EB" w:rsidR="00FD315F" w:rsidRPr="00585DBF" w:rsidRDefault="00FD315F" w:rsidP="3240BACF">
      <w:pPr>
        <w:spacing w:after="0" w:line="240" w:lineRule="auto"/>
        <w:jc w:val="both"/>
        <w:rPr>
          <w:rFonts w:ascii="Times New Roman" w:eastAsia="Times New Roman" w:hAnsi="Times New Roman" w:cs="Times New Roman"/>
          <w:kern w:val="0"/>
          <w:sz w:val="24"/>
          <w:szCs w:val="24"/>
          <w:lang w:val="en-GB" w:eastAsia="lt-LT"/>
          <w14:ligatures w14:val="none"/>
        </w:rPr>
      </w:pPr>
    </w:p>
    <w:p w14:paraId="22C780F1" w14:textId="79ADEE96" w:rsidR="0026542E" w:rsidRPr="00585DBF" w:rsidRDefault="0026542E" w:rsidP="3240BACF">
      <w:pPr>
        <w:spacing w:after="0" w:line="240" w:lineRule="auto"/>
        <w:jc w:val="both"/>
        <w:rPr>
          <w:lang w:val="en-GB"/>
        </w:rPr>
      </w:pPr>
      <w:r w:rsidRPr="00585DBF">
        <w:rPr>
          <w:rFonts w:ascii="Times New Roman" w:eastAsia="Times New Roman" w:hAnsi="Times New Roman" w:cs="Times New Roman"/>
          <w:sz w:val="24"/>
          <w:szCs w:val="24"/>
          <w:lang w:val="en-GB"/>
        </w:rPr>
        <w:t>In 2021, 15 state labour inspectors completed remote training by the U.S. Department of Justice on identifying signs of human trafficking and organising support. In 2024, a national training course on foreigner employment, related violations and trafficking prevention was delivered to around 100 inspectors, covering illegal employment trends, labour exploitation and the use of new technologies to recruit victims. Another 80 inspectors received International Labour Organisation training on trafficking prevention. That same year, the State Labour Inspectorate joined European Labour Authority training on social legislation in road transport, attended by over 800 participants across Europe, which addressed trafficking risks in the transport sector and harmonised control standards. In 2025, national training sessions on third-country nationals’ employment, worker posting and new legal provisions introduced inspectors to practical inspection methods and inter-agency cooperation.</w:t>
      </w:r>
    </w:p>
    <w:p w14:paraId="79FAD803" w14:textId="7789B0F6" w:rsidR="3240BACF" w:rsidRPr="00585DBF" w:rsidRDefault="3240BACF" w:rsidP="3240BACF">
      <w:pPr>
        <w:spacing w:after="0" w:line="240" w:lineRule="auto"/>
        <w:jc w:val="both"/>
        <w:rPr>
          <w:rFonts w:ascii="Times New Roman" w:eastAsia="Aptos" w:hAnsi="Times New Roman" w:cs="Times New Roman"/>
          <w:sz w:val="24"/>
          <w:szCs w:val="24"/>
          <w:lang w:val="en-GB"/>
        </w:rPr>
      </w:pPr>
    </w:p>
    <w:p w14:paraId="596B612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2020, 10 training sessions on combating trafficking in persons were held for the specialists of the Employment Service where 197 employees participated. The training sessions focused on the identification of victims of trafficking, referral for help, and prevention measures. In 2024, seven training sessions on the identification of and support for victims of human trafficking were organised to strengthen the ability of specialists to identify potential victims and ensure appropriate support, as well as to promote cooperation with other institutions and raise the awareness of employers of the employment of vulnerable persons.</w:t>
      </w:r>
    </w:p>
    <w:p w14:paraId="077C14E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E39B62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2020, specialists of the State Child Rights Protection and Adoption Service participated in the seminar “Trafficking in Persons. Comprehensive Support for Victims. Prevention” and in the seminar “Identification of Victims of Trafficking in Persons, Protection of their Rights and Referral for Support” held by the Kaunas City Municipality. In 2020–2022, training sessions “Identifying Victims of Child Trafficking and Providing Support” were organised where 535 specialists working in the field of child welfare participated. The training broadened their knowledge about the signs for identifying victims of child trafficking, algorithms for providing support, and the protection of minors. In 2023, training was held for child rights protection specialists, case managers, workers of social care institutions, police officers and court psychologists, focusing on the identification of victims of human trafficking and the organisation of support. In 2024, 121 specialists of child welfare and care centres, social pedagogues, police and probation officers, border guards and state labour inspectors participated in training on identifying victims of child trafficking and providing support. </w:t>
      </w:r>
    </w:p>
    <w:p w14:paraId="470EF6A0"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241831E4"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2024, 108 law enforcement officers completed distance learning courses on the legal regulation and pre-trial investigation of criminal offences of human trafficking, identification of victims, and organising support during criminal proceedings.</w:t>
      </w:r>
      <w:bookmarkEnd w:id="15"/>
    </w:p>
    <w:p w14:paraId="4F3EC28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p>
    <w:p w14:paraId="35B9B8EB" w14:textId="77777777" w:rsidR="00FD315F" w:rsidRPr="00585DBF" w:rsidRDefault="00FD315F" w:rsidP="00FD315F">
      <w:pPr>
        <w:pStyle w:val="NoSpacing"/>
        <w:rPr>
          <w:rFonts w:eastAsia="Aptos"/>
          <w:lang w:val="en-GB"/>
        </w:rPr>
      </w:pPr>
      <w:r w:rsidRPr="00585DBF">
        <w:rPr>
          <w:rFonts w:eastAsia="Aptos"/>
          <w:lang w:val="en-GB"/>
        </w:rPr>
        <w:t>Information on criminal prosecution in cases of trafficking in persons is provided in Annex No. 2.</w:t>
      </w:r>
    </w:p>
    <w:p w14:paraId="30F7DD39" w14:textId="77777777" w:rsidR="00FD315F" w:rsidRPr="00585DBF" w:rsidRDefault="00FD315F" w:rsidP="00FD315F">
      <w:pPr>
        <w:pStyle w:val="NoSpacing"/>
        <w:rPr>
          <w:rFonts w:eastAsia="Aptos"/>
          <w:lang w:val="en-GB"/>
        </w:rPr>
      </w:pPr>
    </w:p>
    <w:p w14:paraId="2FEEA2FC" w14:textId="77777777" w:rsidR="00FD315F" w:rsidRPr="00585DBF" w:rsidRDefault="00FD315F" w:rsidP="00FD315F">
      <w:pPr>
        <w:pStyle w:val="NoSpacing"/>
        <w:rPr>
          <w:b/>
          <w:bCs/>
          <w:sz w:val="28"/>
          <w:szCs w:val="28"/>
          <w:lang w:val="en-GB"/>
        </w:rPr>
      </w:pPr>
      <w:r w:rsidRPr="00585DBF">
        <w:rPr>
          <w:b/>
          <w:bCs/>
          <w:sz w:val="28"/>
          <w:szCs w:val="28"/>
          <w:lang w:val="en-GB"/>
        </w:rPr>
        <w:t>Article 3</w:t>
      </w:r>
    </w:p>
    <w:p w14:paraId="70EF57C3" w14:textId="77777777" w:rsidR="00FD315F" w:rsidRPr="00585DBF" w:rsidRDefault="00FD315F" w:rsidP="00FD315F">
      <w:pPr>
        <w:pStyle w:val="NoSpacing"/>
        <w:rPr>
          <w:lang w:val="en-GB"/>
        </w:rPr>
      </w:pPr>
    </w:p>
    <w:p w14:paraId="2906D937" w14:textId="77777777" w:rsidR="00FD315F" w:rsidRPr="00585DBF" w:rsidRDefault="00FD315F" w:rsidP="00FD315F">
      <w:pPr>
        <w:spacing w:line="240" w:lineRule="auto"/>
        <w:jc w:val="both"/>
        <w:rPr>
          <w:rFonts w:ascii="Times New Roman" w:eastAsia="Times New Roman" w:hAnsi="Times New Roman" w:cs="Times New Roman"/>
          <w:b/>
          <w:kern w:val="0"/>
          <w:sz w:val="24"/>
          <w:szCs w:val="24"/>
          <w:lang w:val="en-GB" w:eastAsia="lt-LT"/>
          <w14:ligatures w14:val="none"/>
        </w:rPr>
      </w:pPr>
      <w:r w:rsidRPr="00585DBF">
        <w:rPr>
          <w:rFonts w:ascii="Times New Roman" w:eastAsia="Times New Roman" w:hAnsi="Times New Roman" w:cs="Times New Roman"/>
          <w:b/>
          <w:kern w:val="0"/>
          <w:sz w:val="24"/>
          <w:szCs w:val="24"/>
          <w:lang w:val="en-GB" w:eastAsia="lt-LT"/>
          <w14:ligatures w14:val="none"/>
        </w:rPr>
        <w:t>Paragraph 7 of the LoIPR</w:t>
      </w:r>
    </w:p>
    <w:p w14:paraId="3671E524" w14:textId="39E156E1" w:rsidR="00FD315F" w:rsidRPr="00585DBF" w:rsidRDefault="00FD315F" w:rsidP="3240BACF">
      <w:pPr>
        <w:spacing w:after="0" w:line="240" w:lineRule="auto"/>
        <w:jc w:val="both"/>
        <w:rPr>
          <w:rFonts w:ascii="Times New Roman" w:eastAsia="Times New Roman" w:hAnsi="Times New Roman" w:cs="Times New Roman"/>
          <w:b/>
          <w:bCs/>
          <w:kern w:val="0"/>
          <w:sz w:val="24"/>
          <w:szCs w:val="24"/>
          <w:lang w:val="en-GB"/>
          <w14:ligatures w14:val="none"/>
        </w:rPr>
      </w:pPr>
      <w:r w:rsidRPr="00585DBF">
        <w:rPr>
          <w:rFonts w:ascii="Times New Roman" w:eastAsia="Aptos" w:hAnsi="Times New Roman" w:cs="Times New Roman"/>
          <w:color w:val="000000" w:themeColor="text1"/>
          <w:sz w:val="24"/>
          <w:szCs w:val="24"/>
          <w:lang w:val="en-GB"/>
        </w:rPr>
        <w:t xml:space="preserve">In 2023, amendments to the Law on the State Border and Guarding of the State Border came into force, which clearly distinguished between natural migration and instrumentalised migration and at the same time established different treatments and legal regulations of such situations. Based on these amendments, the Government of Lithuania has determined that foreigners who intend to cross, or who have crossed, the external border of the European Union in places other than those designated for that purpose, or in places designated for that purpose but in violation of the procedure for the crossing of the State border, and who are in the frontier zone of Lithuania, shall be refused admission into the territory of Lithuania (except in humanitarian cases). This provision applies only in the event of a declared emergency due to a mass influx of foreigners and when illegal means of crossing the State border (including physical force) are used. It should be emphasised that this restriction is proportionate – it is applied in order to control instrumentalised migration, protect Lithuania and the European Union from hybrid threats that cannot be controlled only by natural migration management measures. </w:t>
      </w:r>
    </w:p>
    <w:p w14:paraId="0BA44F20" w14:textId="564557A1" w:rsidR="1988CC27" w:rsidRPr="00585DBF" w:rsidRDefault="1988CC27" w:rsidP="3240BACF">
      <w:pPr>
        <w:spacing w:before="240" w:after="240" w:line="240" w:lineRule="auto"/>
        <w:jc w:val="both"/>
        <w:rPr>
          <w:lang w:val="en-GB"/>
        </w:rPr>
      </w:pPr>
      <w:r w:rsidRPr="00585DBF">
        <w:rPr>
          <w:rFonts w:ascii="Times New Roman" w:eastAsia="Times New Roman" w:hAnsi="Times New Roman" w:cs="Times New Roman"/>
          <w:sz w:val="24"/>
          <w:szCs w:val="24"/>
          <w:lang w:val="en-GB"/>
        </w:rPr>
        <w:t>In 2023, a detailed algorithm was introduced to guide border guards in assessing and supporting foreigners attempting to enter Lithuania due to armed conflict, humanitarian reasons or persecution. Under this procedure, guards who detect persons crossing the EU external border irregularly must immediately inform the relevant frontier station, indicating the number of foreigners, the presence of vulnerable persons and any urgent needs (medical aid, food, water, clothing or hygiene supplies). Border guards then conduct an individual assessment, communicating in a language understood by the foreigner, using interpreters or electronic translation tools when needed.</w:t>
      </w:r>
    </w:p>
    <w:p w14:paraId="3E732F27" w14:textId="05AA2B8C" w:rsidR="1988CC27" w:rsidRPr="00585DBF" w:rsidRDefault="1988CC27" w:rsidP="3240BACF">
      <w:pPr>
        <w:spacing w:before="240" w:after="240" w:line="240" w:lineRule="auto"/>
        <w:jc w:val="both"/>
        <w:rPr>
          <w:lang w:val="en-GB"/>
        </w:rPr>
      </w:pPr>
      <w:r w:rsidRPr="00585DBF">
        <w:rPr>
          <w:rFonts w:ascii="Times New Roman" w:eastAsia="Times New Roman" w:hAnsi="Times New Roman" w:cs="Times New Roman"/>
          <w:sz w:val="24"/>
          <w:szCs w:val="24"/>
          <w:lang w:val="en-GB"/>
        </w:rPr>
        <w:lastRenderedPageBreak/>
        <w:t>Assessments are carried out on site, with child protection, healthcare or other specialists involved if required. Each person’s identity, travel route, country of origin, belongings and documents are examined; if documents are missing, circumstances are clarified based on the person’s statements. After evaluating all facts, guards make an individual decision on admission to Lithuania, paying special attention to group composition, possible use of children as cover, and any past relationships among travellers.</w:t>
      </w:r>
    </w:p>
    <w:p w14:paraId="0B14C2FE" w14:textId="4C0B2BA7" w:rsidR="1988CC27" w:rsidRPr="00585DBF" w:rsidRDefault="1988CC27" w:rsidP="3240BACF">
      <w:pPr>
        <w:spacing w:before="240" w:after="240" w:line="240" w:lineRule="auto"/>
        <w:jc w:val="both"/>
        <w:rPr>
          <w:lang w:val="en-GB"/>
        </w:rPr>
      </w:pPr>
      <w:r w:rsidRPr="00585DBF">
        <w:rPr>
          <w:rFonts w:ascii="Times New Roman" w:eastAsia="Times New Roman" w:hAnsi="Times New Roman" w:cs="Times New Roman"/>
          <w:sz w:val="24"/>
          <w:szCs w:val="24"/>
          <w:lang w:val="en-GB"/>
        </w:rPr>
        <w:t>Throughout the process, border guards apply the principle of non-refoulement, analysing the risks of torture or inhuman treatment in the country of origin or transit, the person’s vulnerability and the authenticity of documents. Refusal of entry or redirection at the border is not considered expulsion or return.</w:t>
      </w:r>
    </w:p>
    <w:p w14:paraId="4A705FBB"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color w:val="000000" w:themeColor="text1"/>
          <w:sz w:val="24"/>
          <w:szCs w:val="24"/>
          <w:lang w:val="en-GB"/>
        </w:rPr>
        <w:t xml:space="preserve">It should be noted that groups of irregular migrants usually arrive in Belarus on tourist visas, have valid identity documents with them and can legally stay in Belarus, hence, they can take advantage of the opportunity to apply to the diplomatic mission of Lithuania for asylum or, if their intention is to arrive in Lithuania, they can enter Lithuania through the operating border control points and, if necessary, submit an application for asylum there. </w:t>
      </w:r>
    </w:p>
    <w:p w14:paraId="541577FA"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56A89300" w14:textId="7178E82E"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sz w:val="24"/>
          <w:szCs w:val="24"/>
          <w:lang w:val="en-GB"/>
        </w:rPr>
        <w:t>The Law on the Legal Status of Foreigners (</w:t>
      </w:r>
      <w:bookmarkStart w:id="16" w:name="_Hlk210740285"/>
      <w:r w:rsidRPr="00585DBF">
        <w:rPr>
          <w:rFonts w:ascii="Times New Roman" w:eastAsia="Aptos" w:hAnsi="Times New Roman" w:cs="Times New Roman"/>
          <w:sz w:val="24"/>
          <w:szCs w:val="24"/>
          <w:lang w:val="en-GB"/>
        </w:rPr>
        <w:t>LLSF</w:t>
      </w:r>
      <w:bookmarkEnd w:id="16"/>
      <w:r w:rsidRPr="00585DBF">
        <w:rPr>
          <w:rFonts w:ascii="Times New Roman" w:eastAsia="Aptos" w:hAnsi="Times New Roman" w:cs="Times New Roman"/>
          <w:sz w:val="24"/>
          <w:szCs w:val="24"/>
          <w:lang w:val="en-GB"/>
        </w:rPr>
        <w:t>) prohibits the expulsion or return of a foreigner to a country where his or her life or freedom is threatened or where he or she may be subjected to persecution for reasons of race, religion, nationality, membership of a certain social group or political opinion or to a country from where he or she may later be expelled to such country.</w:t>
      </w:r>
      <w:r w:rsidRPr="00585DBF">
        <w:rPr>
          <w:rFonts w:ascii="Times New Roman" w:eastAsia="Aptos" w:hAnsi="Times New Roman" w:cs="Times New Roman"/>
          <w:color w:val="000000" w:themeColor="text1"/>
          <w:sz w:val="24"/>
          <w:szCs w:val="24"/>
          <w:lang w:val="en-GB"/>
        </w:rPr>
        <w:t xml:space="preserve"> Moreover, a foreigner shall not be expelled from the Lithuania or returned to a country where there are serious grounds for believing that in that country the foreigner will be tortured, subjected to cruel, inhuman or degrading treatment or punishment. When taking a decision on the return or expulsion of a foreigner from Lithuania, the Migration Department or the State Border Guard Service</w:t>
      </w:r>
      <w:r w:rsidR="7B87127A" w:rsidRPr="00585DBF">
        <w:rPr>
          <w:rFonts w:ascii="Times New Roman" w:eastAsia="Aptos" w:hAnsi="Times New Roman" w:cs="Times New Roman"/>
          <w:color w:val="000000" w:themeColor="text1"/>
          <w:sz w:val="24"/>
          <w:szCs w:val="24"/>
          <w:lang w:val="en-GB"/>
        </w:rPr>
        <w:t xml:space="preserve"> (SBGS)</w:t>
      </w:r>
      <w:r w:rsidRPr="00585DBF">
        <w:rPr>
          <w:rFonts w:ascii="Times New Roman" w:eastAsia="Aptos" w:hAnsi="Times New Roman" w:cs="Times New Roman"/>
          <w:color w:val="000000" w:themeColor="text1"/>
          <w:sz w:val="24"/>
          <w:szCs w:val="24"/>
          <w:lang w:val="en-GB"/>
        </w:rPr>
        <w:t xml:space="preserve"> shall examine all the documents collected and shall take a decision only if the circumstances referred to in the LLSF and preventing the foreigner’s expulsion are not established in the country to which the foreigner may be expelled. </w:t>
      </w:r>
    </w:p>
    <w:p w14:paraId="1C1C5765"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065182DB"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color w:val="000000" w:themeColor="text1"/>
          <w:sz w:val="24"/>
          <w:szCs w:val="24"/>
          <w:lang w:val="en-GB"/>
        </w:rPr>
        <w:t>Access to State-guaranteed legal aid in all cases is ensured to unaccompanied minor foreigners, to foreigners illegally staying in Lithuania during the court hearing of a motion to detain the foreigner or to provide to him an alternative to detention, and to asylum seekers – insofar as it relates to detention or the imposition or extension of an alternative to detention, during interviews, as well as when appealing to the court of first instance against decisions relating to an application for asylum. The provision of State-guaranteed legal aid is ensured by the Reception and Integration Agency.</w:t>
      </w:r>
    </w:p>
    <w:p w14:paraId="0015B1C7"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5B51C4D5"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color w:val="000000" w:themeColor="text1"/>
          <w:sz w:val="24"/>
          <w:szCs w:val="24"/>
          <w:lang w:val="en-GB"/>
        </w:rPr>
        <w:t xml:space="preserve">All decisions taken under the LLSF may be appealed under the procedure set out by the </w:t>
      </w:r>
      <w:r w:rsidRPr="00585DBF">
        <w:rPr>
          <w:rFonts w:ascii="Times New Roman" w:eastAsia="Aptos" w:hAnsi="Times New Roman" w:cs="Times New Roman"/>
          <w:sz w:val="24"/>
          <w:szCs w:val="24"/>
          <w:lang w:val="en-GB"/>
        </w:rPr>
        <w:t>LLSF</w:t>
      </w:r>
      <w:r w:rsidRPr="00585DBF">
        <w:rPr>
          <w:rFonts w:ascii="Times New Roman" w:eastAsia="Aptos" w:hAnsi="Times New Roman" w:cs="Times New Roman"/>
          <w:color w:val="000000" w:themeColor="text1"/>
          <w:sz w:val="24"/>
          <w:szCs w:val="24"/>
          <w:lang w:val="en-GB"/>
        </w:rPr>
        <w:t xml:space="preserve"> and by the Law on Administrative Proceedings. A foreigner may file an appeal against such decision with the court of first instance within 14 days after the date of service of the decision, and may appeal to the court of second instance within the same period. The LLSF provides for the automatic suspension of the enforcement of the decision appealed against when the decision appealed against refuses to grant asylum to a foreigner. During times of emergency, there is no automatic suspension, but the enforcement of the decision appealed against may be suspended by the court of first instance by applying measures to secure the claim.</w:t>
      </w:r>
    </w:p>
    <w:p w14:paraId="6AF8F94B"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6C809885" w14:textId="050D3698" w:rsidR="00FD315F" w:rsidRPr="00585DBF" w:rsidRDefault="00FD315F" w:rsidP="3240BACF">
      <w:pPr>
        <w:spacing w:line="240" w:lineRule="auto"/>
        <w:jc w:val="both"/>
        <w:rPr>
          <w:rFonts w:ascii="Times New Roman" w:eastAsia="Times New Roman" w:hAnsi="Times New Roman" w:cs="Times New Roman"/>
          <w:b/>
          <w:bCs/>
          <w:kern w:val="0"/>
          <w:sz w:val="24"/>
          <w:szCs w:val="24"/>
          <w:lang w:val="en-GB" w:eastAsia="lt-LT"/>
          <w14:ligatures w14:val="none"/>
        </w:rPr>
      </w:pPr>
      <w:r w:rsidRPr="00585DBF">
        <w:rPr>
          <w:rFonts w:ascii="Times New Roman" w:eastAsia="Aptos" w:hAnsi="Times New Roman" w:cs="Times New Roman"/>
          <w:color w:val="000000" w:themeColor="text1"/>
          <w:kern w:val="0"/>
          <w:sz w:val="24"/>
          <w:szCs w:val="24"/>
          <w:lang w:val="en-GB"/>
          <w14:ligatures w14:val="none"/>
        </w:rPr>
        <w:t>Following the judgment delivered by the European Court of Human Rights</w:t>
      </w:r>
      <w:r w:rsidR="00DF644B" w:rsidRPr="00585DBF">
        <w:rPr>
          <w:rFonts w:ascii="Times New Roman" w:eastAsia="Aptos" w:hAnsi="Times New Roman" w:cs="Times New Roman"/>
          <w:color w:val="000000" w:themeColor="text1"/>
          <w:kern w:val="0"/>
          <w:sz w:val="24"/>
          <w:szCs w:val="24"/>
          <w:lang w:val="en-GB"/>
          <w14:ligatures w14:val="none"/>
        </w:rPr>
        <w:t xml:space="preserve"> (</w:t>
      </w:r>
      <w:bookmarkStart w:id="17" w:name="_Hlk213760721"/>
      <w:r w:rsidR="00DF644B" w:rsidRPr="00585DBF">
        <w:rPr>
          <w:rFonts w:ascii="Times New Roman" w:eastAsia="Aptos" w:hAnsi="Times New Roman" w:cs="Times New Roman"/>
          <w:color w:val="000000" w:themeColor="text1"/>
          <w:kern w:val="0"/>
          <w:sz w:val="24"/>
          <w:szCs w:val="24"/>
          <w:lang w:val="en-GB"/>
          <w14:ligatures w14:val="none"/>
        </w:rPr>
        <w:t>E</w:t>
      </w:r>
      <w:r w:rsidR="00F12250" w:rsidRPr="00585DBF">
        <w:rPr>
          <w:rFonts w:ascii="Times New Roman" w:eastAsia="Aptos" w:hAnsi="Times New Roman" w:cs="Times New Roman"/>
          <w:color w:val="000000" w:themeColor="text1"/>
          <w:kern w:val="0"/>
          <w:sz w:val="24"/>
          <w:szCs w:val="24"/>
          <w:lang w:val="en-GB"/>
          <w14:ligatures w14:val="none"/>
        </w:rPr>
        <w:t>CHR</w:t>
      </w:r>
      <w:bookmarkEnd w:id="17"/>
      <w:r w:rsidR="00F12250" w:rsidRPr="00585DBF">
        <w:rPr>
          <w:rFonts w:ascii="Times New Roman" w:eastAsia="Aptos" w:hAnsi="Times New Roman" w:cs="Times New Roman"/>
          <w:color w:val="000000" w:themeColor="text1"/>
          <w:kern w:val="0"/>
          <w:sz w:val="24"/>
          <w:szCs w:val="24"/>
          <w:lang w:val="en-GB"/>
          <w14:ligatures w14:val="none"/>
        </w:rPr>
        <w:t>)</w:t>
      </w:r>
      <w:r w:rsidRPr="00585DBF">
        <w:rPr>
          <w:rFonts w:ascii="Times New Roman" w:eastAsia="Aptos" w:hAnsi="Times New Roman" w:cs="Times New Roman"/>
          <w:color w:val="000000" w:themeColor="text1"/>
          <w:kern w:val="0"/>
          <w:sz w:val="24"/>
          <w:szCs w:val="24"/>
          <w:lang w:val="en-GB"/>
          <w14:ligatures w14:val="none"/>
        </w:rPr>
        <w:t xml:space="preserve"> in the case of </w:t>
      </w:r>
      <w:r w:rsidRPr="00585DBF">
        <w:rPr>
          <w:rFonts w:ascii="Times New Roman" w:eastAsia="Aptos" w:hAnsi="Times New Roman" w:cs="Times New Roman"/>
          <w:i/>
          <w:iCs/>
          <w:color w:val="000000" w:themeColor="text1"/>
          <w:kern w:val="0"/>
          <w:sz w:val="24"/>
          <w:szCs w:val="24"/>
          <w:lang w:val="en-GB"/>
          <w14:ligatures w14:val="none"/>
        </w:rPr>
        <w:t>M.A. and others v. Lithuania</w:t>
      </w:r>
      <w:r w:rsidRPr="00585DBF">
        <w:rPr>
          <w:rFonts w:ascii="Times New Roman" w:eastAsia="Aptos" w:hAnsi="Times New Roman" w:cs="Times New Roman"/>
          <w:color w:val="000000" w:themeColor="text1"/>
          <w:kern w:val="0"/>
          <w:sz w:val="24"/>
          <w:szCs w:val="24"/>
          <w:lang w:val="en-GB"/>
          <w14:ligatures w14:val="none"/>
        </w:rPr>
        <w:t xml:space="preserve">, the LLSF has been amended to allow foreigners to submit applications for asylum regardless of whether their entry to Lithuania was lawful or unlawful. Applications for asylum may be submitted at border crossing points or transit zones to the </w:t>
      </w:r>
      <w:r w:rsidR="72347E6A" w:rsidRPr="00585DBF">
        <w:rPr>
          <w:rFonts w:ascii="Times New Roman" w:eastAsia="Aptos" w:hAnsi="Times New Roman" w:cs="Times New Roman"/>
          <w:color w:val="000000" w:themeColor="text1"/>
          <w:sz w:val="24"/>
          <w:szCs w:val="24"/>
          <w:lang w:val="en-GB"/>
        </w:rPr>
        <w:t>SBGS</w:t>
      </w:r>
      <w:r w:rsidRPr="00585DBF">
        <w:rPr>
          <w:rFonts w:ascii="Times New Roman" w:eastAsia="Aptos" w:hAnsi="Times New Roman" w:cs="Times New Roman"/>
          <w:color w:val="000000" w:themeColor="text1"/>
          <w:kern w:val="0"/>
          <w:sz w:val="24"/>
          <w:szCs w:val="24"/>
          <w:lang w:val="en-GB"/>
          <w14:ligatures w14:val="none"/>
        </w:rPr>
        <w:t>, if a foreigner is in the territory of Lithuania – to the Migration Department or the State Border Guard Service, and if a foreigner is in a foreign country – through the diplomatic missions or consular posts of Lithuania designated by the Minister of Foreign Affairs.</w:t>
      </w:r>
    </w:p>
    <w:p w14:paraId="1C682446" w14:textId="77777777" w:rsidR="00FD315F" w:rsidRPr="00585DBF" w:rsidRDefault="00FD315F" w:rsidP="00FD315F">
      <w:pPr>
        <w:spacing w:line="240" w:lineRule="auto"/>
        <w:jc w:val="both"/>
        <w:rPr>
          <w:rFonts w:ascii="Times New Roman" w:eastAsia="Times New Roman" w:hAnsi="Times New Roman" w:cs="Times New Roman"/>
          <w:b/>
          <w:kern w:val="0"/>
          <w:sz w:val="24"/>
          <w:szCs w:val="24"/>
          <w:lang w:val="en-GB" w:eastAsia="lt-LT"/>
          <w14:ligatures w14:val="none"/>
        </w:rPr>
      </w:pPr>
      <w:bookmarkStart w:id="18" w:name="_Hlk213674370"/>
      <w:r w:rsidRPr="00585DBF">
        <w:rPr>
          <w:rFonts w:ascii="Times New Roman" w:eastAsia="Times New Roman" w:hAnsi="Times New Roman" w:cs="Times New Roman"/>
          <w:b/>
          <w:kern w:val="0"/>
          <w:sz w:val="24"/>
          <w:szCs w:val="24"/>
          <w:lang w:val="en-GB" w:eastAsia="lt-LT"/>
          <w14:ligatures w14:val="none"/>
        </w:rPr>
        <w:lastRenderedPageBreak/>
        <w:t xml:space="preserve">Paragraph 8 of the </w:t>
      </w:r>
      <w:bookmarkEnd w:id="18"/>
      <w:r w:rsidRPr="00585DBF">
        <w:rPr>
          <w:rFonts w:ascii="Times New Roman" w:eastAsia="Times New Roman" w:hAnsi="Times New Roman" w:cs="Times New Roman"/>
          <w:b/>
          <w:kern w:val="0"/>
          <w:sz w:val="24"/>
          <w:szCs w:val="24"/>
          <w:lang w:val="en-GB" w:eastAsia="lt-LT"/>
          <w14:ligatures w14:val="none"/>
        </w:rPr>
        <w:t>LoIPR</w:t>
      </w:r>
    </w:p>
    <w:p w14:paraId="624451F1" w14:textId="77777777" w:rsidR="00FD315F" w:rsidRPr="00585DBF" w:rsidRDefault="00FD315F" w:rsidP="00FD315F">
      <w:pPr>
        <w:spacing w:after="0" w:line="240" w:lineRule="auto"/>
        <w:jc w:val="both"/>
        <w:rPr>
          <w:rFonts w:ascii="Times New Roman" w:eastAsia="Times New Roman" w:hAnsi="Times New Roman" w:cs="Times New Roman"/>
          <w:b/>
          <w:bCs/>
          <w:kern w:val="0"/>
          <w:sz w:val="24"/>
          <w:szCs w:val="24"/>
          <w:lang w:val="en-GB"/>
          <w14:ligatures w14:val="none"/>
        </w:rPr>
      </w:pPr>
      <w:r w:rsidRPr="00585DBF">
        <w:rPr>
          <w:rFonts w:ascii="Times New Roman" w:eastAsia="Aptos" w:hAnsi="Times New Roman" w:cs="Times New Roman"/>
          <w:sz w:val="24"/>
          <w:szCs w:val="24"/>
          <w:lang w:val="en-GB"/>
        </w:rPr>
        <w:t>A decision of the Migration Department on the application for asylum may be appealed to the Regional Administrative Court, whose decision may be appealed to the Supreme Administrative Court of Lithuania for a final decision. State-guaranteed legal aid is provided to all asylum seekers (in cases of detention of a foreigner or the imposition or extension of an alternative to detention, as well as in cases where decisions related to an asylum application are appealed to the court of first instance). From 2025, the functions for organising the provision of State-guaranteed legal aid for asylum seekers are carried out by the Reception and Integration Agency (this change removes any doubts concerning the impartiality of State-guaranteed legal aid or potential conflicts of interest).</w:t>
      </w:r>
    </w:p>
    <w:p w14:paraId="7208737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4941E80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Information on applications by foreigners for asylum in Lithuania and on the decisions taken, as well as</w:t>
      </w:r>
      <w:bookmarkStart w:id="19" w:name="_Hlk210749204"/>
      <w:r w:rsidRPr="00585DBF">
        <w:rPr>
          <w:rFonts w:ascii="Times New Roman" w:eastAsia="Aptos" w:hAnsi="Times New Roman" w:cs="Times New Roman"/>
          <w:sz w:val="24"/>
          <w:szCs w:val="24"/>
          <w:lang w:val="en-GB"/>
        </w:rPr>
        <w:t xml:space="preserve"> appeals against decisions of the Migration Department to refuse asylum and the results of their examination is provided in Annex No. 3.</w:t>
      </w:r>
    </w:p>
    <w:bookmarkEnd w:id="19"/>
    <w:p w14:paraId="006E577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241F2A2F" w14:textId="56100810" w:rsidR="00FD315F" w:rsidRPr="00585DBF" w:rsidRDefault="00FD315F" w:rsidP="00FD315F">
      <w:pPr>
        <w:pStyle w:val="NoSpacing"/>
        <w:jc w:val="both"/>
        <w:rPr>
          <w:rFonts w:eastAsia="Aptos"/>
          <w:lang w:val="en-GB"/>
        </w:rPr>
      </w:pPr>
      <w:r w:rsidRPr="00585DBF">
        <w:rPr>
          <w:rFonts w:eastAsia="Aptos"/>
          <w:lang w:val="en-GB"/>
        </w:rPr>
        <w:t>During the period under review, Lithuania did not return, extradite or expel</w:t>
      </w:r>
      <w:r w:rsidR="6C8AC4B3" w:rsidRPr="00585DBF">
        <w:rPr>
          <w:rFonts w:eastAsia="Aptos"/>
          <w:lang w:val="en-GB"/>
        </w:rPr>
        <w:t xml:space="preserve"> </w:t>
      </w:r>
      <w:r w:rsidRPr="00585DBF">
        <w:rPr>
          <w:rFonts w:eastAsia="Aptos"/>
          <w:lang w:val="en-GB"/>
        </w:rPr>
        <w:t xml:space="preserve">any persons on the basis of diplomatic assurances or equivalent documents. Information on foreigners who were obligated to leave Lithuania, </w:t>
      </w:r>
      <w:bookmarkStart w:id="20" w:name="_Hlk209459419"/>
      <w:r w:rsidRPr="00585DBF">
        <w:rPr>
          <w:rFonts w:eastAsia="Aptos"/>
          <w:lang w:val="en-GB"/>
        </w:rPr>
        <w:t xml:space="preserve">foreigners in respect of whom a </w:t>
      </w:r>
      <w:bookmarkEnd w:id="20"/>
      <w:r w:rsidRPr="00585DBF">
        <w:rPr>
          <w:rFonts w:eastAsia="Aptos"/>
          <w:lang w:val="en-GB"/>
        </w:rPr>
        <w:t xml:space="preserve">decision was made to return them to a foreign country, foreigners with respect to whom a decision was made to expel them from Lithuania, as well as information on the expulsions controlled by the </w:t>
      </w:r>
      <w:r w:rsidR="260E5E70" w:rsidRPr="00585DBF">
        <w:rPr>
          <w:rFonts w:eastAsia="Aptos"/>
          <w:color w:val="000000" w:themeColor="text1"/>
          <w:lang w:val="en-GB"/>
        </w:rPr>
        <w:t>SBGS</w:t>
      </w:r>
      <w:r w:rsidRPr="00585DBF">
        <w:rPr>
          <w:rFonts w:eastAsia="Aptos"/>
          <w:lang w:val="en-GB"/>
        </w:rPr>
        <w:t>, is provided in Annex No. 3.</w:t>
      </w:r>
    </w:p>
    <w:p w14:paraId="5AA20366" w14:textId="77777777" w:rsidR="00FD315F" w:rsidRPr="00585DBF" w:rsidRDefault="00FD315F" w:rsidP="00FD315F">
      <w:pPr>
        <w:pStyle w:val="NoSpacing"/>
        <w:rPr>
          <w:rFonts w:eastAsia="Aptos"/>
          <w:lang w:val="en-GB"/>
        </w:rPr>
      </w:pPr>
    </w:p>
    <w:p w14:paraId="1469397C" w14:textId="77777777" w:rsidR="00FD315F" w:rsidRPr="00585DBF" w:rsidRDefault="00FD315F" w:rsidP="00FD315F">
      <w:pPr>
        <w:pStyle w:val="NoSpacing"/>
        <w:rPr>
          <w:rFonts w:eastAsia="Aptos"/>
          <w:b/>
          <w:bCs/>
          <w:sz w:val="28"/>
          <w:szCs w:val="28"/>
          <w:lang w:val="en-GB"/>
        </w:rPr>
      </w:pPr>
      <w:r w:rsidRPr="00585DBF">
        <w:rPr>
          <w:rFonts w:eastAsia="Aptos"/>
          <w:b/>
          <w:bCs/>
          <w:sz w:val="28"/>
          <w:szCs w:val="28"/>
          <w:lang w:val="en-GB"/>
        </w:rPr>
        <w:t>Articles 5–9</w:t>
      </w:r>
    </w:p>
    <w:p w14:paraId="23CF088A" w14:textId="77777777" w:rsidR="00FD315F" w:rsidRPr="00585DBF" w:rsidRDefault="00FD315F" w:rsidP="00FD315F">
      <w:pPr>
        <w:pStyle w:val="NoSpacing"/>
        <w:rPr>
          <w:rFonts w:eastAsia="Aptos"/>
          <w:lang w:val="en-GB"/>
        </w:rPr>
      </w:pPr>
    </w:p>
    <w:p w14:paraId="58875C57" w14:textId="77777777" w:rsidR="00FD315F" w:rsidRPr="00585DBF" w:rsidRDefault="00FD315F" w:rsidP="00FD315F">
      <w:pPr>
        <w:rPr>
          <w:rFonts w:ascii="Times New Roman" w:hAnsi="Times New Roman" w:cs="Times New Roman"/>
          <w:b/>
          <w:bCs/>
          <w:sz w:val="24"/>
          <w:szCs w:val="24"/>
          <w:lang w:val="en-GB"/>
        </w:rPr>
      </w:pPr>
      <w:bookmarkStart w:id="21" w:name="_Hlk213674498"/>
      <w:r w:rsidRPr="00585DBF">
        <w:rPr>
          <w:rFonts w:ascii="Times New Roman" w:hAnsi="Times New Roman" w:cs="Times New Roman"/>
          <w:b/>
          <w:bCs/>
          <w:sz w:val="24"/>
          <w:szCs w:val="24"/>
          <w:lang w:val="en-GB"/>
        </w:rPr>
        <w:t xml:space="preserve">Paragraph 9 of the </w:t>
      </w:r>
      <w:bookmarkEnd w:id="21"/>
      <w:r w:rsidRPr="00585DBF">
        <w:rPr>
          <w:rFonts w:ascii="Times New Roman" w:eastAsia="Times New Roman" w:hAnsi="Times New Roman" w:cs="Times New Roman"/>
          <w:b/>
          <w:kern w:val="0"/>
          <w:sz w:val="24"/>
          <w:szCs w:val="24"/>
          <w:lang w:val="en-GB" w:eastAsia="lt-LT"/>
          <w14:ligatures w14:val="none"/>
        </w:rPr>
        <w:t>LoIPR</w:t>
      </w:r>
    </w:p>
    <w:p w14:paraId="5BEE5703" w14:textId="239CC99B" w:rsidR="00FD315F" w:rsidRPr="00585DBF" w:rsidRDefault="00FD315F" w:rsidP="3240BACF">
      <w:pPr>
        <w:spacing w:after="0" w:line="240" w:lineRule="auto"/>
        <w:jc w:val="both"/>
        <w:rPr>
          <w:rFonts w:ascii="Times New Roman" w:eastAsia="Times New Roman" w:hAnsi="Times New Roman" w:cs="Times New Roman"/>
          <w:b/>
          <w:bCs/>
          <w:i/>
          <w:iCs/>
          <w:kern w:val="0"/>
          <w:sz w:val="24"/>
          <w:szCs w:val="24"/>
          <w:highlight w:val="yellow"/>
          <w:lang w:val="en-GB"/>
          <w14:ligatures w14:val="none"/>
        </w:rPr>
      </w:pPr>
      <w:r w:rsidRPr="00585DBF">
        <w:rPr>
          <w:rFonts w:ascii="Times New Roman" w:eastAsia="Aptos" w:hAnsi="Times New Roman" w:cs="Times New Roman"/>
          <w:sz w:val="24"/>
          <w:szCs w:val="24"/>
          <w:lang w:val="en-GB"/>
        </w:rPr>
        <w:t>The legal regulation established in the CC fully implements the jurisdiction requirements set out in Article 5 of the Convention. Article 4(1) of th</w:t>
      </w:r>
      <w:r w:rsidR="3409DAC9" w:rsidRPr="00585DBF">
        <w:rPr>
          <w:rFonts w:ascii="Times New Roman" w:eastAsia="Aptos" w:hAnsi="Times New Roman" w:cs="Times New Roman"/>
          <w:sz w:val="24"/>
          <w:szCs w:val="24"/>
          <w:lang w:val="en-GB"/>
        </w:rPr>
        <w:t>e</w:t>
      </w:r>
      <w:r w:rsidRPr="00585DBF">
        <w:rPr>
          <w:rFonts w:ascii="Times New Roman" w:eastAsia="Aptos" w:hAnsi="Times New Roman" w:cs="Times New Roman"/>
          <w:sz w:val="24"/>
          <w:szCs w:val="24"/>
          <w:lang w:val="en-GB"/>
        </w:rPr>
        <w:t xml:space="preserve"> C</w:t>
      </w:r>
      <w:r w:rsidR="21C3F62C" w:rsidRPr="00585DBF">
        <w:rPr>
          <w:rFonts w:ascii="Times New Roman" w:eastAsia="Aptos" w:hAnsi="Times New Roman" w:cs="Times New Roman"/>
          <w:sz w:val="24"/>
          <w:szCs w:val="24"/>
          <w:lang w:val="en-GB"/>
        </w:rPr>
        <w:t>C</w:t>
      </w:r>
      <w:r w:rsidRPr="00585DBF">
        <w:rPr>
          <w:rFonts w:ascii="Times New Roman" w:eastAsia="Aptos" w:hAnsi="Times New Roman" w:cs="Times New Roman"/>
          <w:sz w:val="24"/>
          <w:szCs w:val="24"/>
          <w:lang w:val="en-GB"/>
        </w:rPr>
        <w:t xml:space="preserve"> establishes that the persons who have committed criminal acts within the territory of Lithuania or on-board the vessels or aircraft flying the flag or displaying marks of registry of Lithuania shall be held liable under the </w:t>
      </w:r>
      <w:bookmarkStart w:id="22" w:name="_Hlk208249141"/>
      <w:r w:rsidRPr="00585DBF">
        <w:rPr>
          <w:rFonts w:ascii="Times New Roman" w:eastAsia="Aptos" w:hAnsi="Times New Roman" w:cs="Times New Roman"/>
          <w:sz w:val="24"/>
          <w:szCs w:val="24"/>
          <w:lang w:val="en-GB"/>
        </w:rPr>
        <w:t xml:space="preserve">CC </w:t>
      </w:r>
      <w:bookmarkEnd w:id="22"/>
      <w:r w:rsidRPr="00585DBF">
        <w:rPr>
          <w:rFonts w:ascii="Times New Roman" w:eastAsia="Aptos" w:hAnsi="Times New Roman" w:cs="Times New Roman"/>
          <w:sz w:val="24"/>
          <w:szCs w:val="24"/>
          <w:lang w:val="en-GB"/>
        </w:rPr>
        <w:t>(Article 5(1)(c) of the Convention). Article 5(1) of the C</w:t>
      </w:r>
      <w:r w:rsidR="0B3AE5B3" w:rsidRPr="00585DBF">
        <w:rPr>
          <w:rFonts w:ascii="Times New Roman" w:eastAsia="Aptos" w:hAnsi="Times New Roman" w:cs="Times New Roman"/>
          <w:sz w:val="24"/>
          <w:szCs w:val="24"/>
          <w:lang w:val="en-GB"/>
        </w:rPr>
        <w:t>C</w:t>
      </w:r>
      <w:r w:rsidRPr="00585DBF">
        <w:rPr>
          <w:rFonts w:ascii="Times New Roman" w:eastAsia="Aptos" w:hAnsi="Times New Roman" w:cs="Times New Roman"/>
          <w:sz w:val="24"/>
          <w:szCs w:val="24"/>
          <w:lang w:val="en-GB"/>
        </w:rPr>
        <w:t xml:space="preserve"> provides that citizens of Lithuania and other permanent residents of Lithuania shall be held liable for the crimes committed abroad under the CC (Article 5(1)(b) of the Convention). In addition, in 2025, the CC was supplemented with a new rule on jurisdiction providing that foreigners who do not have a permanent residence in Lithuania shall be liable under th</w:t>
      </w:r>
      <w:r w:rsidR="1239B7B1" w:rsidRPr="00585DBF">
        <w:rPr>
          <w:rFonts w:ascii="Times New Roman" w:eastAsia="Aptos" w:hAnsi="Times New Roman" w:cs="Times New Roman"/>
          <w:sz w:val="24"/>
          <w:szCs w:val="24"/>
          <w:lang w:val="en-GB"/>
        </w:rPr>
        <w:t>e</w:t>
      </w:r>
      <w:r w:rsidRPr="00585DBF">
        <w:rPr>
          <w:rFonts w:ascii="Times New Roman" w:eastAsia="Aptos" w:hAnsi="Times New Roman" w:cs="Times New Roman"/>
          <w:sz w:val="24"/>
          <w:szCs w:val="24"/>
          <w:lang w:val="en-GB"/>
        </w:rPr>
        <w:t xml:space="preserve"> C</w:t>
      </w:r>
      <w:r w:rsidR="0EF2C61E" w:rsidRPr="00585DBF">
        <w:rPr>
          <w:rFonts w:ascii="Times New Roman" w:eastAsia="Aptos" w:hAnsi="Times New Roman" w:cs="Times New Roman"/>
          <w:sz w:val="24"/>
          <w:szCs w:val="24"/>
          <w:lang w:val="en-GB"/>
        </w:rPr>
        <w:t>C</w:t>
      </w:r>
      <w:r w:rsidRPr="00585DBF">
        <w:rPr>
          <w:rFonts w:ascii="Times New Roman" w:eastAsia="Aptos" w:hAnsi="Times New Roman" w:cs="Times New Roman"/>
          <w:sz w:val="24"/>
          <w:szCs w:val="24"/>
          <w:lang w:val="en-GB"/>
        </w:rPr>
        <w:t xml:space="preserve"> where they commit a criminal offence abroad against citizens of Lithuania or other persons permanently residing in Lithuania, but the state where the criminal offence was committed or the state of citizenship of the offender refuses or fails to prosecute (Article 5(1)(c) of the Convention). Article 5(2) of the Convention does not apply to Lithuania, as Lithuania has no territories under its jurisdiction.</w:t>
      </w:r>
    </w:p>
    <w:p w14:paraId="618CED0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66DDE5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Lithuania may request extradition and execute extradition requests only on the basis of international treaties, resolutions of the United Nations Security Council or a European Arrest Warrant. In the absence of these legal grounds, Lithuania cannot execute extradition on the basis of the principle of reciprocity.</w:t>
      </w:r>
    </w:p>
    <w:p w14:paraId="6FF77D4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048F011E" w14:textId="77777777" w:rsidR="00FD315F" w:rsidRPr="00585DBF" w:rsidRDefault="00FD315F" w:rsidP="00FD315F">
      <w:pPr>
        <w:spacing w:after="0" w:line="240" w:lineRule="auto"/>
        <w:jc w:val="both"/>
        <w:rPr>
          <w:rFonts w:ascii="Times New Roman" w:eastAsia="Times New Roman" w:hAnsi="Times New Roman" w:cs="Times New Roman"/>
          <w:b/>
          <w:bCs/>
          <w:kern w:val="0"/>
          <w:sz w:val="24"/>
          <w:szCs w:val="24"/>
          <w:lang w:val="en-GB"/>
          <w14:ligatures w14:val="none"/>
        </w:rPr>
      </w:pPr>
      <w:bookmarkStart w:id="23" w:name="_Hlk207370364"/>
      <w:r w:rsidRPr="00585DBF">
        <w:rPr>
          <w:rFonts w:ascii="Times New Roman" w:eastAsia="Aptos" w:hAnsi="Times New Roman" w:cs="Times New Roman"/>
          <w:sz w:val="24"/>
          <w:szCs w:val="24"/>
          <w:lang w:val="en-GB"/>
        </w:rPr>
        <w:t xml:space="preserve">Lithuania is a party to </w:t>
      </w:r>
      <w:bookmarkEnd w:id="23"/>
      <w:r w:rsidRPr="00585DBF">
        <w:rPr>
          <w:rFonts w:ascii="Times New Roman" w:eastAsia="Aptos" w:hAnsi="Times New Roman" w:cs="Times New Roman"/>
          <w:sz w:val="24"/>
          <w:szCs w:val="24"/>
          <w:lang w:val="en-GB"/>
        </w:rPr>
        <w:t>numerous multilateral international treaties providing for extradition (European Convention on Extradition and its additional protocols; Council of Europe Criminal Law Convention on Corruption; United Nations Conventions against Corruption and Transnational Organized Crime, etc.). Lithuania has also concluded special bilateral international treaties on extradition with India, the United States of America, China, and the United Arab Emirates. Some of the international treaties on mutual assistance concluded by Lithuania (with Armenia, Azerbaijan, Kazakhstan, Belarus, Uzbekistan, Ukraine, Moldova, Poland, Latvia, and Estonia) also provide for the possibility of extradition.</w:t>
      </w:r>
      <w:r w:rsidRPr="00585DBF">
        <w:rPr>
          <w:rFonts w:ascii="Times New Roman" w:eastAsia="Aptos" w:hAnsi="Times New Roman" w:cs="Times New Roman"/>
          <w:b/>
          <w:sz w:val="24"/>
          <w:szCs w:val="24"/>
          <w:lang w:val="en-GB"/>
        </w:rPr>
        <w:t xml:space="preserve"> </w:t>
      </w:r>
      <w:r w:rsidRPr="00585DBF">
        <w:rPr>
          <w:rFonts w:ascii="Times New Roman" w:eastAsia="Aptos" w:hAnsi="Times New Roman" w:cs="Times New Roman"/>
          <w:sz w:val="24"/>
          <w:szCs w:val="24"/>
          <w:lang w:val="en-GB"/>
        </w:rPr>
        <w:t>The crimes referred to in Article 4 of the Convention have been included in the list of crimes subject to extradition in all international treaties concluded by Lithuania.</w:t>
      </w:r>
    </w:p>
    <w:p w14:paraId="7D2A7F09"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eastAsia="lt-LT"/>
          <w14:ligatures w14:val="none"/>
        </w:rPr>
      </w:pPr>
    </w:p>
    <w:p w14:paraId="625883BD"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Lithuania has concluded international treaties on mutual assistance in criminal matters with 14 states (the United States of America, Armenia, Azerbaijan, Uzbekistan, Kazakhstan, Ukraine, Moldova, Poland, Estonia, Latvia, Belarus, the United Arab Emirates, and China). Evidence gathered in criminal proceedings may be transferred to other states only if such a possibility is provided for in international treaties and does not violate the Constitution, other laws and fundamental principles of criminal procedure of Lithuania.</w:t>
      </w:r>
    </w:p>
    <w:p w14:paraId="78C2D315"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eastAsia="lt-LT"/>
          <w14:ligatures w14:val="none"/>
        </w:rPr>
      </w:pPr>
    </w:p>
    <w:p w14:paraId="6528BC45" w14:textId="77777777" w:rsidR="00FD315F" w:rsidRPr="00585DBF" w:rsidRDefault="00FD315F" w:rsidP="00FD315F">
      <w:pPr>
        <w:spacing w:after="0" w:line="240" w:lineRule="auto"/>
        <w:jc w:val="both"/>
        <w:rPr>
          <w:rFonts w:ascii="Times New Roman" w:eastAsia="Times New Roman" w:hAnsi="Times New Roman" w:cs="Times New Roman"/>
          <w:b/>
          <w:kern w:val="0"/>
          <w:sz w:val="28"/>
          <w:szCs w:val="28"/>
          <w:lang w:val="en-GB"/>
          <w14:ligatures w14:val="none"/>
        </w:rPr>
      </w:pPr>
      <w:r w:rsidRPr="00585DBF">
        <w:rPr>
          <w:rFonts w:ascii="Times New Roman" w:eastAsia="Aptos" w:hAnsi="Times New Roman" w:cs="Times New Roman"/>
          <w:b/>
          <w:sz w:val="28"/>
          <w:szCs w:val="28"/>
          <w:lang w:val="en-GB"/>
        </w:rPr>
        <w:t>Article 10</w:t>
      </w:r>
    </w:p>
    <w:p w14:paraId="66CB95C8"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eastAsia="lt-LT"/>
          <w14:ligatures w14:val="none"/>
        </w:rPr>
      </w:pPr>
    </w:p>
    <w:p w14:paraId="2B3DF705" w14:textId="77777777" w:rsidR="00FD315F" w:rsidRPr="00585DBF" w:rsidRDefault="00FD315F" w:rsidP="00FD315F">
      <w:pPr>
        <w:rPr>
          <w:rFonts w:ascii="Times New Roman" w:hAnsi="Times New Roman" w:cs="Times New Roman"/>
          <w:b/>
          <w:bCs/>
          <w:sz w:val="24"/>
          <w:szCs w:val="24"/>
          <w:lang w:val="en-GB"/>
        </w:rPr>
      </w:pPr>
      <w:bookmarkStart w:id="24" w:name="_Hlk213676238"/>
      <w:r w:rsidRPr="00585DBF">
        <w:rPr>
          <w:rFonts w:ascii="Times New Roman" w:hAnsi="Times New Roman" w:cs="Times New Roman"/>
          <w:b/>
          <w:bCs/>
          <w:sz w:val="24"/>
          <w:szCs w:val="24"/>
          <w:lang w:val="en-GB"/>
        </w:rPr>
        <w:t>Paragraph 10 of the LoIPR</w:t>
      </w:r>
    </w:p>
    <w:bookmarkEnd w:id="24"/>
    <w:p w14:paraId="033A3ABC"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all relevant training programmes, police officers and trainees are clearly and unambiguously informed and trained that torture, ill-treatment and excessive use of force by police officers in the course of their duties is unacceptable. The following topics are covered in the modular professional training programme of police officers: “Key international and national legislation regulating human rights and freedoms”, “Concept of human rights and freedoms, fundamentals of legal regulation”, and “Ensuring individual rights in the professional activities of police officers”.</w:t>
      </w:r>
    </w:p>
    <w:p w14:paraId="6BEBEF7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54DEE9D"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Since 2022, the professional development programme “Fundamentals of police professional tactics” for police officers has been implemented, with a strong focus on the tactics of arresting, checking and transporting individuals. Police officers are trained to properly assess the degree of dangerousness of a situation, to distribute tactical functions appropriately and to make correct, safe decisions that ensure human rights and freedoms. 15 police officers were trained under this programme in 2022, 164 in 2023, 123 in 2024, and 52 in the first half of 2025. </w:t>
      </w:r>
    </w:p>
    <w:p w14:paraId="29C7D3BB"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212667A"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modular professional training programme of border guards includes the following topics: “European system of fundamental rights”, “International system of fundamental rights”, “Human rights and freedoms, discrimination, hate crimes”, “Human rights in the field of asylum”, “Use of coercion against asylum seekers and human rights”, “Rules regulating the conduct of border guards”, “Human rights principles and human rights protection instruments in the activities of border guards”</w:t>
      </w:r>
      <w:bookmarkStart w:id="25" w:name="_Hlk209514156"/>
      <w:r w:rsidRPr="00585DBF">
        <w:rPr>
          <w:rFonts w:ascii="Times New Roman" w:eastAsia="Aptos" w:hAnsi="Times New Roman" w:cs="Times New Roman"/>
          <w:sz w:val="24"/>
          <w:szCs w:val="24"/>
          <w:lang w:val="en-GB"/>
        </w:rPr>
        <w:t>.</w:t>
      </w:r>
      <w:bookmarkEnd w:id="25"/>
    </w:p>
    <w:p w14:paraId="46F24357"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70E4588" w14:textId="77777777" w:rsidR="00FD315F" w:rsidRPr="00585DBF" w:rsidRDefault="00FD315F" w:rsidP="00FD315F">
      <w:pPr>
        <w:spacing w:after="0" w:line="240" w:lineRule="auto"/>
        <w:jc w:val="both"/>
        <w:rPr>
          <w:rFonts w:ascii="Times New Roman" w:eastAsia="Times New Roman" w:hAnsi="Times New Roman" w:cs="Times New Roman"/>
          <w:color w:val="000000"/>
          <w:kern w:val="0"/>
          <w:sz w:val="24"/>
          <w:szCs w:val="24"/>
          <w:lang w:val="en-GB"/>
          <w14:ligatures w14:val="none"/>
        </w:rPr>
      </w:pPr>
      <w:r w:rsidRPr="00585DBF">
        <w:rPr>
          <w:rFonts w:ascii="Times New Roman" w:eastAsia="Aptos" w:hAnsi="Times New Roman" w:cs="Times New Roman"/>
          <w:sz w:val="24"/>
          <w:szCs w:val="24"/>
          <w:lang w:val="en-GB"/>
        </w:rPr>
        <w:t xml:space="preserve">Border guards regularly participate in professional development training on fundamental human rights: </w:t>
      </w:r>
      <w:r w:rsidRPr="00585DBF">
        <w:rPr>
          <w:rFonts w:ascii="Times New Roman" w:eastAsia="Aptos" w:hAnsi="Times New Roman" w:cs="Times New Roman"/>
          <w:color w:val="000000"/>
          <w:sz w:val="24"/>
          <w:szCs w:val="24"/>
          <w:lang w:val="en-GB"/>
        </w:rPr>
        <w:t>in 2019, 3 training courses were organised where 68 officers participated; in 2020, 2 training courses with 36 officers participating; in 2021, 1 training course with 32 officers participating; in 2022, one training session with 43 officers and employees participating; in 2023, 4 training sessions with 69 officers and employees participating; in 2024, 1 training session with 20 border guards participating.</w:t>
      </w:r>
    </w:p>
    <w:p w14:paraId="598E65F2" w14:textId="77777777" w:rsidR="00FD315F" w:rsidRPr="00585DBF" w:rsidRDefault="00FD315F" w:rsidP="00FD315F">
      <w:pPr>
        <w:spacing w:after="0" w:line="240" w:lineRule="auto"/>
        <w:jc w:val="both"/>
        <w:rPr>
          <w:rFonts w:ascii="Times New Roman" w:eastAsia="Times New Roman" w:hAnsi="Times New Roman" w:cs="Times New Roman"/>
          <w:color w:val="000000"/>
          <w:kern w:val="0"/>
          <w:sz w:val="24"/>
          <w:szCs w:val="24"/>
          <w:lang w:val="en-GB" w:eastAsia="lt-LT"/>
          <w14:ligatures w14:val="none"/>
        </w:rPr>
      </w:pPr>
    </w:p>
    <w:p w14:paraId="46E9D23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minimising the need for the use of and physical coercion in direct work with inmates and replacing it with the impact of the positive relationship developed by the staff with inmates, new professional and introductory training programmes for prison officers have been developed with reference to example of the Norwegian penitentiary system and launched in 2023. The content of these programmes is geared towards the international standards for ensuring the rights and freedoms of inmates and detainees; the application of methods for constructive communication with inmates and detainees; the management of complex and/or critical situations and conflicts, the criminogenic assessment of a convicted person and behaviour monitoring to reduce the likelihood of negative impact. Understanding that the attitude, support and leadership style of managers are particularly important for the effective application of dynamic security, special training for prison managers is also delivered. Professional development programmes for the staff of places of deprivation of liberty have been developed and implemented to enhance the skills of positive communication with inmates, the application of the dynamic security method, the ability to identify and prevent conflict situations. </w:t>
      </w:r>
      <w:r w:rsidRPr="00585DBF">
        <w:rPr>
          <w:rFonts w:ascii="Times New Roman" w:eastAsia="Aptos" w:hAnsi="Times New Roman" w:cs="Times New Roman"/>
          <w:sz w:val="24"/>
          <w:szCs w:val="24"/>
          <w:lang w:val="en-GB"/>
        </w:rPr>
        <w:lastRenderedPageBreak/>
        <w:t xml:space="preserve">Methodological material for staff has also been prepared – the Guide on the Application of Dynamic Security and the Guide for Working with Repeat Offenders. </w:t>
      </w:r>
    </w:p>
    <w:p w14:paraId="1331CDD7"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8B26660" w14:textId="77777777" w:rsidR="00FD315F" w:rsidRPr="00585DBF" w:rsidRDefault="00FD315F" w:rsidP="00FD315F">
      <w:pPr>
        <w:spacing w:after="0" w:line="240" w:lineRule="auto"/>
        <w:ind w:right="-1"/>
        <w:jc w:val="both"/>
        <w:rPr>
          <w:rFonts w:ascii="Times New Roman" w:eastAsia="Times New Roman" w:hAnsi="Times New Roman" w:cs="Times New Roman"/>
          <w:sz w:val="24"/>
          <w:szCs w:val="24"/>
          <w:lang w:val="en-GB"/>
        </w:rPr>
      </w:pPr>
      <w:r w:rsidRPr="00585DBF">
        <w:rPr>
          <w:rFonts w:ascii="Times New Roman" w:eastAsia="Aptos" w:hAnsi="Times New Roman" w:cs="Times New Roman"/>
          <w:sz w:val="24"/>
          <w:szCs w:val="24"/>
          <w:lang w:val="en-GB"/>
        </w:rPr>
        <w:t>During each briefing before the start of a shift, it is always emphasised for prison officers that it is strictly forbidden to use special measures, excessive force, verbal abuse and threats against inmates without good reason, as well as to treat them disrespectfully or provocatively, and that disciplinary, administrative or even criminal liability will be applied in case an employee is found guilty.</w:t>
      </w:r>
    </w:p>
    <w:p w14:paraId="6F0E76B2"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18EC7464"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refreshment of theoretical knowledge and passing a knowledge test on the preparedness to deal with situations involving mental and physical coercion and the use of firearms is mandatory for prison officers. A micro-macro task testing methodology has been introduced in the places of deprivation of liberty in order to test staff competencies (psychological knowledge, communication, teamwork, and stress management competencies). The methodology facilitates more targeted planning of the training necessary in order to improve the competencies of individual employees.</w:t>
      </w:r>
    </w:p>
    <w:p w14:paraId="4239DF3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413443DA"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2019, 30 training events were held for prison staff where 657 employees participated; in 2020 – 12 training events with 666 participants; in 2021 – 18 training events with 916 participants; in 2022 – 31 training events with 372 participants; in 2023 – 29 training events with 399 participants; in 2024 – 37 training events with 504 participants; in 2025 – 14 training events with 164 participants. Instructors working in prisons regularly hold in-service training, during which the knowledge acquired during training is applied in practical situations.</w:t>
      </w:r>
    </w:p>
    <w:p w14:paraId="0D1BCF00"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eastAsia="ru-RU"/>
          <w14:ligatures w14:val="none"/>
        </w:rPr>
      </w:pPr>
    </w:p>
    <w:p w14:paraId="32EA75B0" w14:textId="28F1272B" w:rsidR="00F73F17" w:rsidRPr="00F73F17" w:rsidRDefault="00F73F17" w:rsidP="00FD315F">
      <w:pPr>
        <w:spacing w:line="240" w:lineRule="auto"/>
        <w:jc w:val="both"/>
        <w:rPr>
          <w:rFonts w:ascii="Times New Roman" w:hAnsi="Times New Roman" w:cs="Times New Roman"/>
          <w:sz w:val="24"/>
          <w:szCs w:val="24"/>
          <w:lang w:val="en-GB"/>
        </w:rPr>
      </w:pPr>
      <w:r w:rsidRPr="00F73F17">
        <w:rPr>
          <w:rFonts w:ascii="Times New Roman" w:hAnsi="Times New Roman" w:cs="Times New Roman"/>
          <w:sz w:val="24"/>
          <w:szCs w:val="24"/>
          <w:lang w:val="en-GB"/>
        </w:rPr>
        <w:t>To promote respectful treatment of inmates, all prison staff interacting with inmates are now required to use video recorders, with stricter controls on their use. According to the 2023 revised Procedure for the Use of Video Recorders, all recordings are stored for at least 30 days (previously 10). Inspections of recordings have been intensified to ensure staff act professionally, no unlawful actions occur, and video recorders are not misused. Any identified ill-treatment of inmates triggers official investigations.</w:t>
      </w:r>
    </w:p>
    <w:p w14:paraId="1601FBF8" w14:textId="77777777" w:rsidR="00FD315F" w:rsidRPr="00585DBF" w:rsidRDefault="00FD315F" w:rsidP="00FD315F">
      <w:pPr>
        <w:jc w:val="both"/>
        <w:rPr>
          <w:rFonts w:ascii="Times New Roman" w:eastAsia="Calibri" w:hAnsi="Times New Roman" w:cs="Times New Roman"/>
          <w:kern w:val="0"/>
          <w:sz w:val="24"/>
          <w:szCs w:val="24"/>
          <w:vertAlign w:val="superscript"/>
          <w:lang w:val="en-GB"/>
          <w14:ligatures w14:val="none"/>
        </w:rPr>
      </w:pPr>
      <w:bookmarkStart w:id="26" w:name="_Hlk213676347"/>
      <w:r w:rsidRPr="00585DBF">
        <w:rPr>
          <w:rFonts w:ascii="Times New Roman" w:hAnsi="Times New Roman" w:cs="Times New Roman"/>
          <w:b/>
          <w:bCs/>
          <w:sz w:val="24"/>
          <w:szCs w:val="24"/>
          <w:lang w:val="en-GB"/>
        </w:rPr>
        <w:t>Paragraph 11 of the LoIPR</w:t>
      </w:r>
    </w:p>
    <w:bookmarkEnd w:id="26"/>
    <w:p w14:paraId="652C0C9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all professional training and relevant professional development programmes of law enforcement officers, trainees and officers undergoing professional development are clearly and unambiguously informed and trained that torture, ill-treatment and excessive use of force in the work of officers of law enforcement institutions are unacceptable. </w:t>
      </w:r>
    </w:p>
    <w:p w14:paraId="65EB0EB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05A0358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Police officers receive additional training on tactical aspects of interviewing minors where a psychologist is also present.  In 2020, 155 police officers participated in this professional development programme, 112 officers in 2021, 55 in 2022, 56 in 2023, and 22 police officers in 2024. </w:t>
      </w:r>
    </w:p>
    <w:p w14:paraId="6E318A7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D994FE4"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2024, the European Border and Coast Guard Agency held training on conducting interviews for border guards (9 officers participated in the training). In order to train a larger number of officers, a new training programme on conducting interviews for border guards is planned for 2025.</w:t>
      </w:r>
    </w:p>
    <w:p w14:paraId="7D9AD03D"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733C27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2021, around 1,000 soldiers from the Lithuanian Land Force, who were deployed at the time to help prevent the influx of illegal migrants and carried out tasks at the border of the State, were trained in the use of special measures.</w:t>
      </w:r>
    </w:p>
    <w:p w14:paraId="57B78D3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7B1763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2019, training was organised for judges hearing administrative cases on the topic “The content of international obligations under the International Convention for the Protection of All Persons from Enforced Disappearance and their implementation in national law. Relationship with international obligations in the field of prohibition of torture and their implementation” (31 judges participated).  </w:t>
      </w:r>
    </w:p>
    <w:p w14:paraId="2E10B96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highlight w:val="yellow"/>
          <w:lang w:val="en-GB" w:eastAsia="lt-LT"/>
          <w14:ligatures w14:val="none"/>
        </w:rPr>
      </w:pPr>
    </w:p>
    <w:p w14:paraId="52A67332"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lastRenderedPageBreak/>
        <w:t xml:space="preserve">Prison officers are trained according to a modular professional training programme. This programme integrates training on the ensuring of the rights and freedoms of detainees and convicted persons, during which prison staff are provided with knowledge about the requirements of international legal instruments in the field of human rights (European Convention for the Protection of Human Rights and Fundamental Freedoms, Universal Declaration of Human Rights, 1970 and 1987 Convention against Torture and Other Cruel, Inhuman or Degrading Treatment or Punishment). </w:t>
      </w:r>
    </w:p>
    <w:p w14:paraId="569E34E2"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0E5F9546"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sz w:val="24"/>
          <w:szCs w:val="24"/>
          <w:lang w:val="en-GB"/>
        </w:rPr>
        <w:t>A preliminary psychological assessment questionnaire has been introduced in places of deprivation of liberty to identify the vulnerability and risk of violent behaviour of persons and to be used during the procedure of admission of detainees and convicted to the place of imprisonment (detention).</w:t>
      </w:r>
    </w:p>
    <w:p w14:paraId="03EE69BD"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6C5B19D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Since 2024, medical personnel of prisons undergo annual training how to properly apply the new procedure for documenting injuries of inmates and identifying potential violence based on the Manual on the Effective Investigation and Documentation of Torture and Other Cruel, Inhuman or Degrading Treatment or Punishment (Istanbul Protocol) (for more, see answer to question 13). </w:t>
      </w:r>
    </w:p>
    <w:p w14:paraId="7DFAAD42" w14:textId="77777777" w:rsidR="00FD315F" w:rsidRPr="00585DBF" w:rsidRDefault="00FD315F" w:rsidP="00FD315F">
      <w:pPr>
        <w:spacing w:after="0" w:line="240" w:lineRule="auto"/>
        <w:rPr>
          <w:rFonts w:ascii="Times New Roman" w:eastAsia="Times New Roman" w:hAnsi="Times New Roman" w:cs="Times New Roman"/>
          <w:kern w:val="0"/>
          <w:sz w:val="24"/>
          <w:szCs w:val="24"/>
          <w:lang w:val="en-GB" w:eastAsia="lt-LT"/>
          <w14:ligatures w14:val="none"/>
        </w:rPr>
      </w:pPr>
    </w:p>
    <w:p w14:paraId="14D5B5B0" w14:textId="77777777" w:rsidR="00FD315F" w:rsidRPr="00585DBF" w:rsidRDefault="00FD315F" w:rsidP="00FD315F">
      <w:pPr>
        <w:spacing w:after="0" w:line="240" w:lineRule="auto"/>
        <w:jc w:val="both"/>
        <w:rPr>
          <w:rFonts w:ascii="Times New Roman" w:eastAsia="Times New Roman" w:hAnsi="Times New Roman" w:cs="Times New Roman"/>
          <w:b/>
          <w:kern w:val="0"/>
          <w:sz w:val="28"/>
          <w:szCs w:val="28"/>
          <w:lang w:val="en-GB"/>
          <w14:ligatures w14:val="none"/>
        </w:rPr>
      </w:pPr>
      <w:r w:rsidRPr="00585DBF">
        <w:rPr>
          <w:rFonts w:ascii="Times New Roman" w:eastAsia="Aptos" w:hAnsi="Times New Roman" w:cs="Times New Roman"/>
          <w:b/>
          <w:sz w:val="28"/>
          <w:szCs w:val="28"/>
          <w:lang w:val="en-GB"/>
        </w:rPr>
        <w:t>Article 11</w:t>
      </w:r>
    </w:p>
    <w:p w14:paraId="65A7EC63"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eastAsia="lt-LT"/>
          <w14:ligatures w14:val="none"/>
        </w:rPr>
      </w:pPr>
    </w:p>
    <w:p w14:paraId="76248ECB" w14:textId="77777777" w:rsidR="00FD315F" w:rsidRPr="00585DBF" w:rsidRDefault="00FD315F" w:rsidP="00FD315F">
      <w:pPr>
        <w:jc w:val="both"/>
        <w:rPr>
          <w:rFonts w:ascii="Times New Roman" w:eastAsia="Calibri" w:hAnsi="Times New Roman" w:cs="Times New Roman"/>
          <w:kern w:val="0"/>
          <w:sz w:val="24"/>
          <w:szCs w:val="24"/>
          <w:vertAlign w:val="superscript"/>
          <w:lang w:val="en-GB"/>
          <w14:ligatures w14:val="none"/>
        </w:rPr>
      </w:pPr>
      <w:r w:rsidRPr="00585DBF">
        <w:rPr>
          <w:rFonts w:ascii="Times New Roman" w:hAnsi="Times New Roman" w:cs="Times New Roman"/>
          <w:b/>
          <w:bCs/>
          <w:sz w:val="24"/>
          <w:szCs w:val="24"/>
          <w:lang w:val="en-GB"/>
        </w:rPr>
        <w:t>Paragraph 12 of the LoIPR</w:t>
      </w:r>
    </w:p>
    <w:p w14:paraId="7386F31C" w14:textId="7FBBB982"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There are no specific rules/instructions on interrogations; questioning is conducted in accordance with the general requirements for questioning as set out in laws and other legal acts and in line with the principles of professional ethics of officials. When questioning foreigners, border guards also follow the recommendations (guidelines) of the </w:t>
      </w:r>
      <w:r w:rsidR="005F73FB" w:rsidRPr="00585DBF">
        <w:rPr>
          <w:rFonts w:ascii="Times New Roman" w:eastAsia="Aptos" w:hAnsi="Times New Roman" w:cs="Times New Roman"/>
          <w:sz w:val="24"/>
          <w:szCs w:val="24"/>
          <w:lang w:val="en-GB"/>
        </w:rPr>
        <w:t xml:space="preserve">EU </w:t>
      </w:r>
      <w:r w:rsidRPr="00585DBF">
        <w:rPr>
          <w:rFonts w:ascii="Times New Roman" w:eastAsia="Aptos" w:hAnsi="Times New Roman" w:cs="Times New Roman"/>
          <w:sz w:val="24"/>
          <w:szCs w:val="24"/>
          <w:lang w:val="en-GB"/>
        </w:rPr>
        <w:t>Agency for Asylum.</w:t>
      </w:r>
    </w:p>
    <w:p w14:paraId="1B2972A2"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eastAsia="lt-LT"/>
          <w14:ligatures w14:val="none"/>
        </w:rPr>
      </w:pPr>
    </w:p>
    <w:p w14:paraId="201F7543" w14:textId="77777777" w:rsidR="00FD315F" w:rsidRPr="00585DBF" w:rsidRDefault="00FD315F" w:rsidP="00FD315F">
      <w:pPr>
        <w:jc w:val="both"/>
        <w:rPr>
          <w:rFonts w:ascii="Times New Roman" w:hAnsi="Times New Roman" w:cs="Times New Roman"/>
          <w:sz w:val="24"/>
          <w:szCs w:val="24"/>
          <w:lang w:val="en-GB"/>
        </w:rPr>
      </w:pPr>
      <w:r w:rsidRPr="00585DBF">
        <w:rPr>
          <w:rFonts w:ascii="Times New Roman" w:hAnsi="Times New Roman" w:cs="Times New Roman"/>
          <w:sz w:val="24"/>
          <w:szCs w:val="24"/>
          <w:lang w:val="en-GB"/>
        </w:rPr>
        <w:t>New Internal Regulations of Territorial Police Arrest Facilities were approved in 2022, the Instruction for the Security and Supervision of Police Houses of Arrest was revised in 2024, and the Description of Conditions and Procedure for the Detention of Foreigners at the State Border Guard Service under the Ministry of the Interior was updated in 2025.</w:t>
      </w:r>
    </w:p>
    <w:p w14:paraId="71E25EF5" w14:textId="77777777" w:rsidR="00FD315F" w:rsidRPr="00585DBF" w:rsidRDefault="00FD315F" w:rsidP="00FD315F">
      <w:pPr>
        <w:jc w:val="both"/>
        <w:rPr>
          <w:rFonts w:ascii="Times New Roman" w:eastAsia="Calibri" w:hAnsi="Times New Roman" w:cs="Times New Roman"/>
          <w:b/>
          <w:bCs/>
          <w:sz w:val="24"/>
          <w:szCs w:val="24"/>
          <w:lang w:val="en-GB"/>
        </w:rPr>
      </w:pPr>
      <w:bookmarkStart w:id="27" w:name="_Hlk213677244"/>
      <w:r w:rsidRPr="00585DBF">
        <w:rPr>
          <w:rFonts w:ascii="Times New Roman" w:hAnsi="Times New Roman" w:cs="Times New Roman"/>
          <w:b/>
          <w:bCs/>
          <w:sz w:val="24"/>
          <w:szCs w:val="24"/>
          <w:lang w:val="en-GB"/>
        </w:rPr>
        <w:t xml:space="preserve">Paragraph 13 of the </w:t>
      </w:r>
      <w:r w:rsidRPr="00585DBF">
        <w:rPr>
          <w:rFonts w:ascii="Times New Roman" w:eastAsia="Times New Roman" w:hAnsi="Times New Roman" w:cs="Times New Roman"/>
          <w:b/>
          <w:kern w:val="0"/>
          <w:sz w:val="24"/>
          <w:szCs w:val="24"/>
          <w:lang w:val="en-GB" w:eastAsia="lt-LT"/>
          <w14:ligatures w14:val="none"/>
        </w:rPr>
        <w:t>LoIPR</w:t>
      </w:r>
    </w:p>
    <w:bookmarkEnd w:id="27"/>
    <w:p w14:paraId="1461D21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During the period under review, measures continued to be implemented to prevent any form of inter-prisoner violence, to identify vulnerable persons more effectively and to protect them from emerging threats.</w:t>
      </w:r>
    </w:p>
    <w:p w14:paraId="07C69F25" w14:textId="77777777" w:rsidR="00FD315F" w:rsidRPr="00585DBF" w:rsidRDefault="00FD315F" w:rsidP="00FD315F">
      <w:pPr>
        <w:spacing w:after="0" w:line="240" w:lineRule="auto"/>
        <w:ind w:right="-1"/>
        <w:jc w:val="both"/>
        <w:rPr>
          <w:rFonts w:ascii="Times New Roman" w:eastAsia="Calibri" w:hAnsi="Times New Roman" w:cs="Times New Roman"/>
          <w:sz w:val="24"/>
          <w:szCs w:val="24"/>
          <w:lang w:val="en-GB" w:eastAsia="lt-LT"/>
        </w:rPr>
      </w:pPr>
    </w:p>
    <w:p w14:paraId="69D4048A" w14:textId="77777777" w:rsidR="00FD315F" w:rsidRPr="00585DBF" w:rsidRDefault="00FD315F" w:rsidP="00FD315F">
      <w:pPr>
        <w:spacing w:after="0" w:line="240" w:lineRule="auto"/>
        <w:ind w:right="-1"/>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 xml:space="preserve">In order to eliminate the factors contributing to the high level of inter-prisoner violence, Lithuania is pursuing a global approach covering the entire punishment enforcement system, with the aim of combining situational and social violence prevention strategies. First and foremost, the aim is to create an environment of greater mutual respect, honesty and trust, which fosters positive relations between staff members and inmates. </w:t>
      </w:r>
    </w:p>
    <w:p w14:paraId="05BF0185" w14:textId="77777777" w:rsidR="00FD315F" w:rsidRPr="00585DBF" w:rsidRDefault="00FD315F" w:rsidP="00FD315F">
      <w:pPr>
        <w:spacing w:after="0" w:line="240" w:lineRule="auto"/>
        <w:ind w:right="-1"/>
        <w:jc w:val="both"/>
        <w:rPr>
          <w:rFonts w:ascii="Times New Roman" w:eastAsia="Calibri" w:hAnsi="Times New Roman" w:cs="Times New Roman"/>
          <w:sz w:val="24"/>
          <w:szCs w:val="24"/>
          <w:lang w:val="en-GB" w:eastAsia="lt-LT"/>
        </w:rPr>
      </w:pPr>
    </w:p>
    <w:p w14:paraId="0BAA0790" w14:textId="77777777" w:rsidR="00FD315F" w:rsidRPr="00585DBF" w:rsidRDefault="00FD315F" w:rsidP="00FD315F">
      <w:pPr>
        <w:spacing w:after="0" w:line="240" w:lineRule="auto"/>
        <w:ind w:right="-1"/>
        <w:jc w:val="both"/>
        <w:rPr>
          <w:rFonts w:ascii="Times New Roman" w:eastAsia="Calibri" w:hAnsi="Times New Roman" w:cs="Times New Roman"/>
          <w:sz w:val="24"/>
          <w:szCs w:val="24"/>
          <w:lang w:val="en-GB"/>
        </w:rPr>
      </w:pPr>
      <w:bookmarkStart w:id="28" w:name="_Hlk210916435"/>
      <w:r w:rsidRPr="00585DBF">
        <w:rPr>
          <w:rFonts w:ascii="Times New Roman" w:eastAsia="Aptos" w:hAnsi="Times New Roman" w:cs="Times New Roman"/>
          <w:sz w:val="24"/>
          <w:szCs w:val="24"/>
          <w:lang w:val="en-GB"/>
        </w:rPr>
        <w:t>Violence prevention</w:t>
      </w:r>
      <w:bookmarkEnd w:id="28"/>
      <w:r w:rsidRPr="00585DBF">
        <w:rPr>
          <w:rFonts w:ascii="Times New Roman" w:eastAsia="Aptos" w:hAnsi="Times New Roman" w:cs="Times New Roman"/>
          <w:sz w:val="24"/>
          <w:szCs w:val="24"/>
          <w:lang w:val="en-GB"/>
        </w:rPr>
        <w:t xml:space="preserve"> strategies applied in prisons:</w:t>
      </w:r>
    </w:p>
    <w:p w14:paraId="14F0D44A" w14:textId="77777777" w:rsidR="00FD315F" w:rsidRPr="00585DBF" w:rsidRDefault="00FD315F" w:rsidP="00FD315F">
      <w:pPr>
        <w:numPr>
          <w:ilvl w:val="0"/>
          <w:numId w:val="18"/>
        </w:numPr>
        <w:spacing w:after="0" w:line="240" w:lineRule="auto"/>
        <w:ind w:left="284" w:right="-1" w:hanging="283"/>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zero tolerance for violence of any kind, including verbal abuse and bullying;</w:t>
      </w:r>
    </w:p>
    <w:p w14:paraId="760CDE77" w14:textId="77777777" w:rsidR="00FD315F" w:rsidRPr="00585DBF" w:rsidRDefault="00FD315F" w:rsidP="00FD315F">
      <w:pPr>
        <w:numPr>
          <w:ilvl w:val="0"/>
          <w:numId w:val="18"/>
        </w:numPr>
        <w:spacing w:after="0" w:line="240" w:lineRule="auto"/>
        <w:ind w:left="284" w:right="-1" w:hanging="283"/>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promoting the creation and maintenance of positive culture in prisons;</w:t>
      </w:r>
    </w:p>
    <w:p w14:paraId="66BF7549" w14:textId="77777777" w:rsidR="00FD315F" w:rsidRPr="00585DBF" w:rsidRDefault="00FD315F" w:rsidP="00FD315F">
      <w:pPr>
        <w:numPr>
          <w:ilvl w:val="0"/>
          <w:numId w:val="18"/>
        </w:numPr>
        <w:spacing w:after="0" w:line="240" w:lineRule="auto"/>
        <w:ind w:left="284" w:right="-1" w:hanging="283"/>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promoting the application of teamwork principles among staff members;</w:t>
      </w:r>
    </w:p>
    <w:p w14:paraId="5A036DAD" w14:textId="77777777" w:rsidR="00FD315F" w:rsidRPr="00585DBF" w:rsidRDefault="00FD315F" w:rsidP="00FD315F">
      <w:pPr>
        <w:numPr>
          <w:ilvl w:val="0"/>
          <w:numId w:val="18"/>
        </w:numPr>
        <w:spacing w:after="0" w:line="240" w:lineRule="auto"/>
        <w:ind w:left="284" w:right="-1" w:hanging="283"/>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 xml:space="preserve">continuous training of staff at all levels. </w:t>
      </w:r>
    </w:p>
    <w:p w14:paraId="50935EDD" w14:textId="77777777" w:rsidR="00FD315F" w:rsidRPr="00585DBF" w:rsidRDefault="00FD315F" w:rsidP="00FD315F">
      <w:pPr>
        <w:spacing w:after="0" w:line="240" w:lineRule="auto"/>
        <w:ind w:right="-1"/>
        <w:jc w:val="both"/>
        <w:rPr>
          <w:rFonts w:ascii="Times New Roman" w:eastAsia="Calibri" w:hAnsi="Times New Roman" w:cs="Times New Roman"/>
          <w:sz w:val="24"/>
          <w:szCs w:val="24"/>
          <w:lang w:val="en-GB" w:eastAsia="lt-LT"/>
        </w:rPr>
      </w:pPr>
    </w:p>
    <w:p w14:paraId="40AB1608" w14:textId="77777777" w:rsidR="00FD315F" w:rsidRPr="00585DBF" w:rsidRDefault="00FD315F" w:rsidP="00FD315F">
      <w:pPr>
        <w:spacing w:after="0" w:line="240" w:lineRule="auto"/>
        <w:ind w:right="-1"/>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Measures of the violence prevention strategy implemented in prisons:</w:t>
      </w:r>
    </w:p>
    <w:p w14:paraId="7E791143" w14:textId="77777777" w:rsidR="00FD315F" w:rsidRPr="00585DBF" w:rsidRDefault="00FD315F" w:rsidP="00FD315F">
      <w:pPr>
        <w:numPr>
          <w:ilvl w:val="0"/>
          <w:numId w:val="19"/>
        </w:numPr>
        <w:spacing w:after="0" w:line="240" w:lineRule="auto"/>
        <w:ind w:left="284" w:right="-1" w:hanging="284"/>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 xml:space="preserve">initial psychological assessment of new arrivals to the prison, during which the prison psychologist assesses the inmate's propensity for violence, level of hostility towards others, proneness to conflict, and communication characteristics in the living environment. If a risk of violence against </w:t>
      </w:r>
      <w:r w:rsidRPr="00585DBF">
        <w:rPr>
          <w:rFonts w:ascii="Times New Roman" w:eastAsia="Aptos" w:hAnsi="Times New Roman" w:cs="Times New Roman"/>
          <w:sz w:val="24"/>
          <w:szCs w:val="24"/>
          <w:lang w:val="en-GB"/>
        </w:rPr>
        <w:lastRenderedPageBreak/>
        <w:t>others is identified, the information is communicated to the relevant prison units responsible for the supervision and resocialisation of inmates;</w:t>
      </w:r>
    </w:p>
    <w:p w14:paraId="059827D0" w14:textId="77777777" w:rsidR="00FD315F" w:rsidRPr="00585DBF" w:rsidRDefault="00FD315F" w:rsidP="00FD315F">
      <w:pPr>
        <w:numPr>
          <w:ilvl w:val="0"/>
          <w:numId w:val="19"/>
        </w:numPr>
        <w:spacing w:after="0" w:line="240" w:lineRule="auto"/>
        <w:ind w:left="284" w:right="-1" w:hanging="284"/>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 xml:space="preserve">increasing the number of contact officers and strengthening their role – after optimising the administrative staff of prisons in 2022, more officers have direct contact with inmates in their work: teams of contact officers have been formed, ensuring that one contact officer works directly with no more than 30 inmates. Officers supervising inmates have been given a special memo on how to spot signs and symptoms that might indicate an inmate's tendency toward violent behaviour or victimisation. </w:t>
      </w:r>
    </w:p>
    <w:p w14:paraId="393BFC67" w14:textId="77777777" w:rsidR="00FD315F" w:rsidRPr="00585DBF" w:rsidRDefault="00FD315F" w:rsidP="00FD315F">
      <w:pPr>
        <w:numPr>
          <w:ilvl w:val="0"/>
          <w:numId w:val="19"/>
        </w:numPr>
        <w:spacing w:after="0" w:line="240" w:lineRule="auto"/>
        <w:ind w:left="284" w:right="-1" w:hanging="284"/>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 xml:space="preserve">application of the dynamic security model – a methodological guide on ensuring dynamic security adapted to Lithuanian prisons, was prepared and published in 2023. In order to change the culture of brutality that prevails in prisons to one that is more in line with the purpose of an institution providing social therapy services, the aim is to ensure that officers directly working with inmates work proactively and get to know them better, know their habits, what they do, whether they go out into common areas, etc. The model of positive communication with inmates will provide more opportunities to identify vulnerable inmates who need help; </w:t>
      </w:r>
    </w:p>
    <w:p w14:paraId="4D4ECAD7" w14:textId="77777777" w:rsidR="00FD315F" w:rsidRPr="00585DBF" w:rsidRDefault="00FD315F" w:rsidP="00FD315F">
      <w:pPr>
        <w:numPr>
          <w:ilvl w:val="0"/>
          <w:numId w:val="19"/>
        </w:numPr>
        <w:spacing w:after="0" w:line="240" w:lineRule="auto"/>
        <w:ind w:left="284" w:right="-1" w:hanging="284"/>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strengthening synergies between different prison units – regular meetings of prison security management, resocialisation and criminal intelligence specialists are organised to discuss inmate behaviour, share identified risks of potential violent behaviour or vulnerability, discuss measures to reduce such risks (e.g., relocating an inmate to another place of residence, applying additional intervention measures, etc.), and to analyse the causes of violent situations that have occurred and possible measures to prevent such situations in the future. A guide to suicide prevention in prisons has been prepared;</w:t>
      </w:r>
    </w:p>
    <w:p w14:paraId="62C8889F" w14:textId="77777777" w:rsidR="00FD315F" w:rsidRPr="00585DBF" w:rsidRDefault="00FD315F" w:rsidP="00FD315F">
      <w:pPr>
        <w:numPr>
          <w:ilvl w:val="0"/>
          <w:numId w:val="19"/>
        </w:numPr>
        <w:spacing w:after="0" w:line="240" w:lineRule="auto"/>
        <w:ind w:left="284" w:right="-1" w:hanging="284"/>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professional development of staff members – minimising the need to use power and physical force in direct work with inmates, replacing it with the positive relationship developed staff members with inmates; relevant training programmes have been developed for officers at all levels. Particular attention was to training of those officers who, following the restructuring of the penitentiary system, have been retrained for direct work with inmates;</w:t>
      </w:r>
    </w:p>
    <w:p w14:paraId="422E38E4" w14:textId="77777777" w:rsidR="00FD315F" w:rsidRPr="00585DBF" w:rsidRDefault="00FD315F" w:rsidP="00FD315F">
      <w:pPr>
        <w:numPr>
          <w:ilvl w:val="0"/>
          <w:numId w:val="19"/>
        </w:numPr>
        <w:spacing w:after="0" w:line="240" w:lineRule="auto"/>
        <w:ind w:left="284" w:right="-1" w:hanging="284"/>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studies of the prison micro-climate, with a focus on maintaining the quality of life, appropriate moral climate, and good mental health of inmates. Based on the methodology developed by researchers of the University of Cambridge, regular surveys measuring the quality of prison life (MQPL) have been conducted since 2021. The results of these surveys are used to assess the situation in a particular prison and to identify measures to improve the situation;</w:t>
      </w:r>
    </w:p>
    <w:p w14:paraId="024969B5" w14:textId="77777777" w:rsidR="00FD315F" w:rsidRPr="00585DBF" w:rsidRDefault="00FD315F" w:rsidP="00FD315F">
      <w:pPr>
        <w:numPr>
          <w:ilvl w:val="0"/>
          <w:numId w:val="19"/>
        </w:numPr>
        <w:spacing w:after="0" w:line="240" w:lineRule="auto"/>
        <w:ind w:left="284" w:right="-1" w:hanging="284"/>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suicide prevention – a Guide to Suicide Prevention in Prisons was prepared in 2021. Special training on the application of suicide prevention methodology was organised for members of crisis management teams (crisis management specialists, psychologists, social workers).</w:t>
      </w:r>
    </w:p>
    <w:p w14:paraId="5569074A"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949871D"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2024, the procedure for the prevention of violent behaviour and the investigation of bodily injuries among detainees and convicted persons in places of deprivation of liberty was revised, establishing a detailed algorithm for documenting injuries of inmates, providing them with help, investigating the circumstances of injuries, and transferring data to law enforcement institutions: </w:t>
      </w:r>
    </w:p>
    <w:p w14:paraId="54D13D39" w14:textId="77777777" w:rsidR="00FD315F" w:rsidRPr="00585DBF" w:rsidRDefault="00FD315F" w:rsidP="00FD315F">
      <w:pPr>
        <w:numPr>
          <w:ilvl w:val="0"/>
          <w:numId w:val="17"/>
        </w:numPr>
        <w:spacing w:after="0" w:line="240" w:lineRule="auto"/>
        <w:ind w:left="360"/>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each case when an injury to an inmate is observed, it must be photographed in detail;</w:t>
      </w:r>
    </w:p>
    <w:p w14:paraId="7A269DCD" w14:textId="77777777" w:rsidR="00FD315F" w:rsidRPr="00585DBF" w:rsidRDefault="00FD315F" w:rsidP="00FD315F">
      <w:pPr>
        <w:numPr>
          <w:ilvl w:val="0"/>
          <w:numId w:val="17"/>
        </w:numPr>
        <w:spacing w:after="0" w:line="240" w:lineRule="auto"/>
        <w:ind w:left="360"/>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every injured or self-injured inmate must be examined by a medical professional, who must mark the locations of the injuries on a body contour form and fill out an inmate examination form. In this form, regardless of the inmate's statements about the origin and nature of the injury, the medical professional must indicate whether he or she suspects that the injury is of a violent nature, and may also include comments on the potential origin and nature of the injury, the inmate's statements about the injury, their assessment, etc.;</w:t>
      </w:r>
    </w:p>
    <w:p w14:paraId="3680C978" w14:textId="77777777" w:rsidR="00FD315F" w:rsidRPr="00585DBF" w:rsidRDefault="00FD315F" w:rsidP="00FD315F">
      <w:pPr>
        <w:numPr>
          <w:ilvl w:val="0"/>
          <w:numId w:val="17"/>
        </w:numPr>
        <w:spacing w:after="0" w:line="240" w:lineRule="auto"/>
        <w:ind w:left="360"/>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all documents related to injuries of inmates (official reports, digital photographs of injuries, body contour forms and forms of medical examination of inmates) must be stored in a special register in the electronic document management system; </w:t>
      </w:r>
    </w:p>
    <w:p w14:paraId="05BDCE26" w14:textId="77777777" w:rsidR="00FD315F" w:rsidRPr="00585DBF" w:rsidRDefault="00FD315F" w:rsidP="00FD315F">
      <w:pPr>
        <w:numPr>
          <w:ilvl w:val="0"/>
          <w:numId w:val="17"/>
        </w:numPr>
        <w:spacing w:after="0" w:line="240" w:lineRule="auto"/>
        <w:ind w:left="360"/>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at the request of the inmate or his or her lawyer, they shall be provided with the medical examination form of the injured inmate, photographs of the injuries, and the body contour form;</w:t>
      </w:r>
    </w:p>
    <w:p w14:paraId="5D9A3B34" w14:textId="77777777" w:rsidR="00FD315F" w:rsidRPr="00585DBF" w:rsidRDefault="00FD315F" w:rsidP="00FD315F">
      <w:pPr>
        <w:numPr>
          <w:ilvl w:val="0"/>
          <w:numId w:val="17"/>
        </w:numPr>
        <w:spacing w:after="0" w:line="240" w:lineRule="auto"/>
        <w:ind w:left="360"/>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lastRenderedPageBreak/>
        <w:t>in each case where the medical professional who examined the injured inmates notes that violence is suspected, the relevant examination form of the injured inmates and related documents shall be immediately forwarded to the officers conducting the pre-trial investigation. After assessing the information received, these officers must further question the inmate, decide on the need for additional expert examinations, initiate a pre-trial investigation or refer the case to the prosecutor for the initiation of a pre-trial investigation (in the absence of a complaint from the victim, a pre-trial investigation may be initiated at the request of a prosecutor).</w:t>
      </w:r>
    </w:p>
    <w:p w14:paraId="00DE2AF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6622D68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cooperation with the prosecutor's office, it was achieved in 2024 that violent crimes committed in places of deprivation of liberty be considered to be significant for public interest. In view of this, even in cases where the victims themselves do not file a complaint, pre-trial investigations </w:t>
      </w:r>
      <w:bookmarkStart w:id="29" w:name="_Hlk209705221"/>
      <w:r w:rsidRPr="00585DBF">
        <w:rPr>
          <w:rFonts w:ascii="Times New Roman" w:eastAsia="Aptos" w:hAnsi="Times New Roman" w:cs="Times New Roman"/>
          <w:sz w:val="24"/>
          <w:szCs w:val="24"/>
          <w:lang w:val="en-GB"/>
        </w:rPr>
        <w:t>concerning the causing of physical pain or minor health impairment are initiated in all cases</w:t>
      </w:r>
      <w:bookmarkEnd w:id="29"/>
      <w:r w:rsidRPr="00585DBF">
        <w:rPr>
          <w:rFonts w:ascii="Times New Roman" w:eastAsia="Aptos" w:hAnsi="Times New Roman" w:cs="Times New Roman"/>
          <w:sz w:val="24"/>
          <w:szCs w:val="24"/>
          <w:lang w:val="en-GB"/>
        </w:rPr>
        <w:t xml:space="preserve"> at the request of a prosecutor.</w:t>
      </w:r>
    </w:p>
    <w:p w14:paraId="618C53C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F77E093" w14:textId="77777777" w:rsidR="00FD315F" w:rsidRPr="00585DBF" w:rsidRDefault="00FD315F" w:rsidP="00FD315F">
      <w:pPr>
        <w:spacing w:after="0" w:line="240" w:lineRule="auto"/>
        <w:jc w:val="both"/>
        <w:rPr>
          <w:rFonts w:ascii="Times New Roman" w:eastAsia="Times New Roman" w:hAnsi="Times New Roman" w:cs="Times New Roman"/>
          <w:b/>
          <w:bCs/>
          <w:i/>
          <w:iCs/>
          <w:kern w:val="0"/>
          <w:sz w:val="24"/>
          <w:szCs w:val="24"/>
          <w:lang w:val="en-GB"/>
          <w14:ligatures w14:val="none"/>
        </w:rPr>
      </w:pPr>
      <w:r w:rsidRPr="00585DBF">
        <w:rPr>
          <w:rFonts w:ascii="Times New Roman" w:eastAsia="Aptos" w:hAnsi="Times New Roman" w:cs="Times New Roman"/>
          <w:b/>
          <w:i/>
          <w:sz w:val="24"/>
          <w:szCs w:val="24"/>
          <w:lang w:val="en-GB"/>
        </w:rPr>
        <w:t>Information on pre-trial investigations concerning the causing of physical pain or minor health impairment to inmates:</w:t>
      </w:r>
    </w:p>
    <w:tbl>
      <w:tblPr>
        <w:tblStyle w:val="Lentelstinklelis1"/>
        <w:tblW w:w="9630" w:type="dxa"/>
        <w:tblInd w:w="0" w:type="dxa"/>
        <w:tblLayout w:type="fixed"/>
        <w:tblLook w:val="04A0" w:firstRow="1" w:lastRow="0" w:firstColumn="1" w:lastColumn="0" w:noHBand="0" w:noVBand="1"/>
      </w:tblPr>
      <w:tblGrid>
        <w:gridCol w:w="846"/>
        <w:gridCol w:w="1842"/>
        <w:gridCol w:w="2834"/>
        <w:gridCol w:w="2550"/>
        <w:gridCol w:w="1558"/>
      </w:tblGrid>
      <w:tr w:rsidR="00FD315F" w:rsidRPr="00585DBF" w14:paraId="3A2151DD" w14:textId="77777777" w:rsidTr="3240BACF">
        <w:trPr>
          <w:trHeight w:val="300"/>
        </w:trPr>
        <w:tc>
          <w:tcPr>
            <w:tcW w:w="846" w:type="dxa"/>
            <w:tcBorders>
              <w:top w:val="single" w:sz="4" w:space="0" w:color="auto"/>
              <w:left w:val="single" w:sz="4" w:space="0" w:color="auto"/>
              <w:bottom w:val="single" w:sz="4" w:space="0" w:color="auto"/>
              <w:right w:val="single" w:sz="4" w:space="0" w:color="auto"/>
            </w:tcBorders>
            <w:vAlign w:val="center"/>
            <w:hideMark/>
          </w:tcPr>
          <w:p w14:paraId="14EF3FF8" w14:textId="77777777" w:rsidR="00FD315F" w:rsidRPr="00585DBF" w:rsidRDefault="00FD315F" w:rsidP="3240BACF">
            <w:pPr>
              <w:rPr>
                <w:rFonts w:ascii="Times New Roman" w:eastAsia="Times New Roman" w:hAnsi="Times New Roman"/>
                <w:b/>
                <w:bCs/>
                <w:kern w:val="0"/>
                <w:sz w:val="24"/>
                <w:szCs w:val="24"/>
                <w14:ligatures w14:val="none"/>
              </w:rPr>
            </w:pPr>
            <w:r w:rsidRPr="00585DBF">
              <w:rPr>
                <w:rFonts w:ascii="Times New Roman" w:hAnsi="Times New Roman"/>
                <w:b/>
                <w:bCs/>
                <w:sz w:val="24"/>
                <w:szCs w:val="24"/>
              </w:rPr>
              <w:t>Year</w:t>
            </w:r>
          </w:p>
        </w:tc>
        <w:tc>
          <w:tcPr>
            <w:tcW w:w="1843" w:type="dxa"/>
            <w:tcBorders>
              <w:top w:val="single" w:sz="4" w:space="0" w:color="auto"/>
              <w:left w:val="single" w:sz="4" w:space="0" w:color="auto"/>
              <w:bottom w:val="single" w:sz="4" w:space="0" w:color="auto"/>
              <w:right w:val="single" w:sz="4" w:space="0" w:color="auto"/>
            </w:tcBorders>
            <w:hideMark/>
          </w:tcPr>
          <w:p w14:paraId="3975DB65" w14:textId="77777777" w:rsidR="00FD315F" w:rsidRPr="00585DBF" w:rsidRDefault="00FD315F" w:rsidP="3240BACF">
            <w:pPr>
              <w:jc w:val="center"/>
              <w:rPr>
                <w:rFonts w:ascii="Times New Roman" w:hAnsi="Times New Roman"/>
                <w:b/>
                <w:bCs/>
                <w:kern w:val="0"/>
                <w:sz w:val="24"/>
                <w:szCs w:val="24"/>
                <w14:ligatures w14:val="none"/>
              </w:rPr>
            </w:pPr>
            <w:r w:rsidRPr="00585DBF">
              <w:rPr>
                <w:rFonts w:ascii="Times New Roman" w:hAnsi="Times New Roman"/>
                <w:b/>
                <w:bCs/>
                <w:sz w:val="24"/>
                <w:szCs w:val="24"/>
              </w:rPr>
              <w:t>Total number of pre-trial investigations initiated</w:t>
            </w:r>
          </w:p>
        </w:tc>
        <w:tc>
          <w:tcPr>
            <w:tcW w:w="2835" w:type="dxa"/>
            <w:tcBorders>
              <w:top w:val="single" w:sz="4" w:space="0" w:color="auto"/>
              <w:left w:val="single" w:sz="4" w:space="0" w:color="auto"/>
              <w:bottom w:val="single" w:sz="4" w:space="0" w:color="auto"/>
              <w:right w:val="single" w:sz="4" w:space="0" w:color="auto"/>
            </w:tcBorders>
            <w:hideMark/>
          </w:tcPr>
          <w:p w14:paraId="796E8469" w14:textId="77777777" w:rsidR="00FD315F" w:rsidRPr="00585DBF" w:rsidRDefault="00FD315F" w:rsidP="3240BACF">
            <w:pPr>
              <w:ind w:right="-105"/>
              <w:jc w:val="center"/>
              <w:rPr>
                <w:rFonts w:ascii="Times New Roman" w:hAnsi="Times New Roman"/>
                <w:kern w:val="0"/>
                <w:sz w:val="24"/>
                <w:szCs w:val="24"/>
                <w14:ligatures w14:val="none"/>
              </w:rPr>
            </w:pPr>
            <w:r w:rsidRPr="00585DBF">
              <w:rPr>
                <w:rFonts w:ascii="Times New Roman" w:hAnsi="Times New Roman"/>
                <w:sz w:val="24"/>
                <w:szCs w:val="24"/>
              </w:rPr>
              <w:t>Number of pre-trial investigations initiated on the basis of a complaint by a victim</w:t>
            </w:r>
          </w:p>
        </w:tc>
        <w:tc>
          <w:tcPr>
            <w:tcW w:w="2551" w:type="dxa"/>
            <w:tcBorders>
              <w:top w:val="single" w:sz="4" w:space="0" w:color="auto"/>
              <w:left w:val="single" w:sz="4" w:space="0" w:color="auto"/>
              <w:bottom w:val="single" w:sz="4" w:space="0" w:color="auto"/>
              <w:right w:val="single" w:sz="4" w:space="0" w:color="auto"/>
            </w:tcBorders>
            <w:hideMark/>
          </w:tcPr>
          <w:p w14:paraId="1FDA9E5E" w14:textId="77777777" w:rsidR="00FD315F" w:rsidRPr="00585DBF" w:rsidRDefault="00FD315F" w:rsidP="3240BACF">
            <w:pPr>
              <w:jc w:val="center"/>
              <w:rPr>
                <w:rFonts w:ascii="Times New Roman" w:hAnsi="Times New Roman"/>
                <w:kern w:val="0"/>
                <w:sz w:val="24"/>
                <w:szCs w:val="24"/>
                <w14:ligatures w14:val="none"/>
              </w:rPr>
            </w:pPr>
            <w:r w:rsidRPr="00585DBF">
              <w:rPr>
                <w:rFonts w:ascii="Times New Roman" w:hAnsi="Times New Roman"/>
                <w:sz w:val="24"/>
                <w:szCs w:val="24"/>
              </w:rPr>
              <w:t>Number of pre-trial investigations initiated at the request of a prosecutor</w:t>
            </w:r>
          </w:p>
        </w:tc>
        <w:tc>
          <w:tcPr>
            <w:tcW w:w="1559" w:type="dxa"/>
            <w:tcBorders>
              <w:top w:val="single" w:sz="4" w:space="0" w:color="auto"/>
              <w:left w:val="single" w:sz="4" w:space="0" w:color="auto"/>
              <w:bottom w:val="single" w:sz="4" w:space="0" w:color="auto"/>
              <w:right w:val="single" w:sz="4" w:space="0" w:color="auto"/>
            </w:tcBorders>
            <w:hideMark/>
          </w:tcPr>
          <w:p w14:paraId="20FA371F" w14:textId="77777777" w:rsidR="00FD315F" w:rsidRPr="00585DBF" w:rsidRDefault="00FD315F" w:rsidP="3240BACF">
            <w:pPr>
              <w:jc w:val="center"/>
              <w:rPr>
                <w:rFonts w:ascii="Times New Roman" w:hAnsi="Times New Roman"/>
                <w:b/>
                <w:bCs/>
                <w:kern w:val="0"/>
                <w:sz w:val="24"/>
                <w:szCs w:val="24"/>
                <w14:ligatures w14:val="none"/>
              </w:rPr>
            </w:pPr>
            <w:r w:rsidRPr="00585DBF">
              <w:rPr>
                <w:rFonts w:ascii="Times New Roman" w:hAnsi="Times New Roman"/>
                <w:b/>
                <w:bCs/>
                <w:sz w:val="24"/>
                <w:szCs w:val="24"/>
              </w:rPr>
              <w:t>Number of cases referred to court</w:t>
            </w:r>
          </w:p>
        </w:tc>
      </w:tr>
      <w:tr w:rsidR="00FD315F" w:rsidRPr="00585DBF" w14:paraId="738E6BBB" w14:textId="77777777" w:rsidTr="3240BACF">
        <w:trPr>
          <w:trHeight w:val="530"/>
        </w:trPr>
        <w:tc>
          <w:tcPr>
            <w:tcW w:w="846" w:type="dxa"/>
            <w:tcBorders>
              <w:top w:val="single" w:sz="4" w:space="0" w:color="auto"/>
              <w:left w:val="single" w:sz="4" w:space="0" w:color="auto"/>
              <w:bottom w:val="single" w:sz="4" w:space="0" w:color="auto"/>
              <w:right w:val="single" w:sz="4" w:space="0" w:color="auto"/>
            </w:tcBorders>
            <w:vAlign w:val="center"/>
            <w:hideMark/>
          </w:tcPr>
          <w:p w14:paraId="2B4E6E91" w14:textId="77777777" w:rsidR="00FD315F" w:rsidRPr="00585DBF" w:rsidRDefault="00FD315F" w:rsidP="006F7BCE">
            <w:pPr>
              <w:ind w:left="-108" w:right="-107"/>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AF47E00"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129</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092B13A"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35</w:t>
            </w:r>
          </w:p>
        </w:tc>
        <w:tc>
          <w:tcPr>
            <w:tcW w:w="2551" w:type="dxa"/>
            <w:tcBorders>
              <w:top w:val="single" w:sz="4" w:space="0" w:color="auto"/>
              <w:left w:val="single" w:sz="4" w:space="0" w:color="auto"/>
              <w:bottom w:val="single" w:sz="4" w:space="0" w:color="auto"/>
              <w:right w:val="single" w:sz="4" w:space="0" w:color="auto"/>
            </w:tcBorders>
            <w:vAlign w:val="center"/>
            <w:hideMark/>
          </w:tcPr>
          <w:p w14:paraId="66A5AED9"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74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D319E2F"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46</w:t>
            </w:r>
          </w:p>
        </w:tc>
      </w:tr>
      <w:tr w:rsidR="00FD315F" w:rsidRPr="00585DBF" w14:paraId="5D0767FB" w14:textId="77777777" w:rsidTr="3240BACF">
        <w:trPr>
          <w:trHeight w:val="300"/>
        </w:trPr>
        <w:tc>
          <w:tcPr>
            <w:tcW w:w="846" w:type="dxa"/>
            <w:tcBorders>
              <w:top w:val="single" w:sz="4" w:space="0" w:color="auto"/>
              <w:left w:val="single" w:sz="4" w:space="0" w:color="auto"/>
              <w:bottom w:val="single" w:sz="4" w:space="0" w:color="auto"/>
              <w:right w:val="single" w:sz="4" w:space="0" w:color="auto"/>
            </w:tcBorders>
            <w:vAlign w:val="center"/>
            <w:hideMark/>
          </w:tcPr>
          <w:p w14:paraId="39C7CC1C" w14:textId="77777777" w:rsidR="00FD315F" w:rsidRPr="00585DBF" w:rsidRDefault="00FD315F" w:rsidP="006F7BCE">
            <w:pPr>
              <w:ind w:left="-108" w:right="-107"/>
              <w:jc w:val="center"/>
              <w:rPr>
                <w:rFonts w:ascii="Times New Roman" w:hAnsi="Times New Roman"/>
                <w:b/>
                <w:sz w:val="24"/>
                <w:szCs w:val="24"/>
              </w:rPr>
            </w:pPr>
            <w:r w:rsidRPr="00585DBF">
              <w:rPr>
                <w:rFonts w:ascii="Times New Roman" w:hAnsi="Times New Roman"/>
                <w:b/>
                <w:sz w:val="24"/>
                <w:szCs w:val="24"/>
              </w:rPr>
              <w:t xml:space="preserve">2025 </w:t>
            </w:r>
          </w:p>
          <w:p w14:paraId="40EE2CA8" w14:textId="77777777" w:rsidR="00FD315F" w:rsidRPr="00585DBF" w:rsidRDefault="00FD315F" w:rsidP="006F7BCE">
            <w:pPr>
              <w:ind w:left="-108" w:right="-107"/>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I-II Q</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3404BF"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83</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A6D373"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26</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50AC83C"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B05706"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10</w:t>
            </w:r>
          </w:p>
        </w:tc>
      </w:tr>
    </w:tbl>
    <w:p w14:paraId="002CEA1E"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eastAsia="lt-LT"/>
          <w14:ligatures w14:val="none"/>
        </w:rPr>
      </w:pPr>
    </w:p>
    <w:p w14:paraId="561E43E2"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2024, the Plan for the Reduction of Manifestations of Criminal Subculture in Prisons was approved. The plan provides for specific measures for supervising inmates who adhere to the subculture, responding to cases of violence, reducing the negative impact on other inmates, and ensuring the safety of persons who have experienced violence from other inmates. </w:t>
      </w:r>
    </w:p>
    <w:p w14:paraId="621F1DC7"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EC63A00"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order to reduce the number of suicides and self-harm cases, a new Suicide and Self-Harm Prevention Procedure was approved in 2020, which provides for the algorithms for identifying and providing help to newly arrived convicted persons and detainees who are in crisis, organising activities of crisis management teams, risk assessment, and the responsibilities of psychologists and officers. In 2021, a mobile crisis management team was formed to provide methodological assistance and recommendations to prison specialists working with high-risk prisoners (conduct professional intervision). Regular intervisions by psychologists and discussions of complex cases with prison administration are also carried out. In 2022, a systematic practice of crisis discussions after each case (self-harm, attempted suicide, suicide) was introduced, 625 recommendations were made to prison administrations on the supervision of and communication with high-risk individuals, 10 planned and 9 unplanned intervision sessions of the Mobile Team with crisis management teams were organised, 2 methodological recommendations for suicide prevention were developed, and the possibility for inmates to call emotional support lines free of charge and without restrictions was introduced. In 2024, a preliminary psychological assessment questionnaire was developed to identify vulnerability and the risk of violent behaviour upon an inmate's arrival at the prison. Training in dialectical behaviour therapy for working with inmates with borderline personality disorder was held and attended by 22 prison specialists (social workers, psychologists, addiction counsellors, employment specialists). </w:t>
      </w:r>
    </w:p>
    <w:p w14:paraId="75AC029D"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62ED417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Particular attention is paid to the training of all prison staff members (i.e., not just crisis management team members) how to recognise potential risks of suicidal behaviour in inmates. By 2024, all prison specialist teams (social workers, psychologists, addiction consultants, employment specialists) have </w:t>
      </w:r>
      <w:r w:rsidRPr="00585DBF">
        <w:rPr>
          <w:rFonts w:ascii="Times New Roman" w:eastAsia="Aptos" w:hAnsi="Times New Roman" w:cs="Times New Roman"/>
          <w:sz w:val="24"/>
          <w:szCs w:val="24"/>
          <w:lang w:val="en-GB"/>
        </w:rPr>
        <w:lastRenderedPageBreak/>
        <w:t xml:space="preserve">completed training in dialectical behaviour therapy, which is designed for work with individuals with borderline personality disorder, i.e., individuals who are impulsive, prone to self-harm and suicide, have poor emotional control and coping skills. </w:t>
      </w:r>
    </w:p>
    <w:p w14:paraId="42F5329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3A2CC2E" w14:textId="77777777" w:rsidR="00FD315F" w:rsidRPr="00585DBF" w:rsidRDefault="00FD315F" w:rsidP="00FD315F">
      <w:pPr>
        <w:spacing w:after="0" w:line="240" w:lineRule="auto"/>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Each prison has designated specialists (a crisis management team) who are responsible for implementing a specific algorithm of suicide prevention measures:  </w:t>
      </w:r>
    </w:p>
    <w:p w14:paraId="277FEE2F" w14:textId="77777777" w:rsidR="00FD315F" w:rsidRPr="00585DBF" w:rsidRDefault="00FD315F" w:rsidP="00FD315F">
      <w:p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ab/>
        <w:t>when a new inmate arrives, the prison psychologist carries out his or her initial assessment;</w:t>
      </w:r>
    </w:p>
    <w:p w14:paraId="71E14302" w14:textId="77777777" w:rsidR="00FD315F" w:rsidRPr="00585DBF" w:rsidRDefault="00FD315F" w:rsidP="00FD315F">
      <w:p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ab/>
        <w:t>if the initial assessment reveals a risk of suicidal behaviour, the psychologist performs an additional psychosocial assessment, the person is included in the register of inmates belonging to the risk group due to self-harm or attempted suicide, and the psychologist submits a recommendation to the prison governor on the specifics of supervision of and communication with the person, etc.;</w:t>
      </w:r>
    </w:p>
    <w:p w14:paraId="69D49DEF" w14:textId="77777777" w:rsidR="00FD315F" w:rsidRPr="00585DBF" w:rsidRDefault="00FD315F" w:rsidP="00FD315F">
      <w:p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ab/>
        <w:t xml:space="preserve">in accordance with the psychologist's recommendations, the newly arrived inmate at risk of suicide continues to be subject to enhanced supervision by the officers supervising him or her, who, upon noticing any signs of suicide risk in this inmate, immediately inform the crisis management team; </w:t>
      </w:r>
    </w:p>
    <w:p w14:paraId="1CBBBD8E" w14:textId="77777777" w:rsidR="00FD315F" w:rsidRPr="00585DBF" w:rsidRDefault="00FD315F" w:rsidP="00FD315F">
      <w:p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ab/>
        <w:t>at the end of the period covered by the recommendations, the psychologist prepares and submits a proposal to the prison governor on whether to discontinue or extend the enhanced individual supervision;</w:t>
      </w:r>
    </w:p>
    <w:p w14:paraId="6963C15B" w14:textId="77777777" w:rsidR="00FD315F" w:rsidRPr="00585DBF" w:rsidRDefault="00FD315F" w:rsidP="00FD315F">
      <w:p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ab/>
        <w:t>when transferring an inmate who is experiencing a suicide crisis or is attributed to a risk group as a result of self-harm or attempted suicide to another prison, the coordinator of the crisis management team at the other prison is contacted and important information about the suicide risk of the inmate being transferred is communicated verbally to be passed on to the prison psychologist.</w:t>
      </w:r>
    </w:p>
    <w:p w14:paraId="32FDB8EB"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4AABE8AF" w14:textId="77777777" w:rsidR="00FD315F" w:rsidRPr="00585DBF" w:rsidRDefault="00FD315F" w:rsidP="00FD315F">
      <w:pPr>
        <w:spacing w:after="0" w:line="240" w:lineRule="auto"/>
        <w:jc w:val="both"/>
        <w:rPr>
          <w:rFonts w:ascii="Times New Roman" w:eastAsia="Times New Roman" w:hAnsi="Times New Roman" w:cs="Times New Roman"/>
          <w:b/>
          <w:bCs/>
          <w:i/>
          <w:iCs/>
          <w:kern w:val="0"/>
          <w:sz w:val="24"/>
          <w:szCs w:val="24"/>
          <w:lang w:val="en-GB"/>
          <w14:ligatures w14:val="none"/>
        </w:rPr>
      </w:pPr>
      <w:r w:rsidRPr="00585DBF">
        <w:rPr>
          <w:rFonts w:ascii="Times New Roman" w:eastAsia="Aptos" w:hAnsi="Times New Roman" w:cs="Times New Roman"/>
          <w:b/>
          <w:i/>
          <w:sz w:val="24"/>
          <w:szCs w:val="24"/>
          <w:lang w:val="en-GB"/>
        </w:rPr>
        <w:t>Information on deaths in custody:</w:t>
      </w:r>
    </w:p>
    <w:tbl>
      <w:tblPr>
        <w:tblStyle w:val="Lentelstinklelis1"/>
        <w:tblW w:w="9653" w:type="dxa"/>
        <w:tblInd w:w="0" w:type="dxa"/>
        <w:tblLook w:val="04A0" w:firstRow="1" w:lastRow="0" w:firstColumn="1" w:lastColumn="0" w:noHBand="0" w:noVBand="1"/>
      </w:tblPr>
      <w:tblGrid>
        <w:gridCol w:w="4390"/>
        <w:gridCol w:w="709"/>
        <w:gridCol w:w="737"/>
        <w:gridCol w:w="736"/>
        <w:gridCol w:w="737"/>
        <w:gridCol w:w="736"/>
        <w:gridCol w:w="737"/>
        <w:gridCol w:w="871"/>
      </w:tblGrid>
      <w:tr w:rsidR="00FD315F" w:rsidRPr="00585DBF" w14:paraId="298DD560" w14:textId="77777777" w:rsidTr="3240BACF">
        <w:trPr>
          <w:trHeight w:val="300"/>
        </w:trPr>
        <w:tc>
          <w:tcPr>
            <w:tcW w:w="4390" w:type="dxa"/>
            <w:tcBorders>
              <w:top w:val="single" w:sz="4" w:space="0" w:color="auto"/>
              <w:left w:val="single" w:sz="4" w:space="0" w:color="auto"/>
              <w:bottom w:val="single" w:sz="4" w:space="0" w:color="auto"/>
              <w:right w:val="single" w:sz="4" w:space="0" w:color="auto"/>
            </w:tcBorders>
            <w:vAlign w:val="center"/>
            <w:hideMark/>
          </w:tcPr>
          <w:p w14:paraId="400A6F32" w14:textId="77777777" w:rsidR="00FD315F" w:rsidRPr="00585DBF" w:rsidRDefault="00FD315F" w:rsidP="3240BACF">
            <w:pPr>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Year</w:t>
            </w:r>
          </w:p>
        </w:tc>
        <w:tc>
          <w:tcPr>
            <w:tcW w:w="709" w:type="dxa"/>
            <w:tcBorders>
              <w:top w:val="single" w:sz="4" w:space="0" w:color="auto"/>
              <w:left w:val="single" w:sz="4" w:space="0" w:color="auto"/>
              <w:bottom w:val="single" w:sz="4" w:space="0" w:color="auto"/>
              <w:right w:val="single" w:sz="4" w:space="0" w:color="auto"/>
            </w:tcBorders>
            <w:vAlign w:val="center"/>
            <w:hideMark/>
          </w:tcPr>
          <w:p w14:paraId="6B58A109"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2019</w:t>
            </w:r>
          </w:p>
        </w:tc>
        <w:tc>
          <w:tcPr>
            <w:tcW w:w="737" w:type="dxa"/>
            <w:tcBorders>
              <w:top w:val="single" w:sz="4" w:space="0" w:color="auto"/>
              <w:left w:val="single" w:sz="4" w:space="0" w:color="auto"/>
              <w:bottom w:val="single" w:sz="4" w:space="0" w:color="auto"/>
              <w:right w:val="single" w:sz="4" w:space="0" w:color="auto"/>
            </w:tcBorders>
            <w:vAlign w:val="center"/>
            <w:hideMark/>
          </w:tcPr>
          <w:p w14:paraId="4226C83C"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2020</w:t>
            </w:r>
          </w:p>
        </w:tc>
        <w:tc>
          <w:tcPr>
            <w:tcW w:w="736" w:type="dxa"/>
            <w:tcBorders>
              <w:top w:val="single" w:sz="4" w:space="0" w:color="auto"/>
              <w:left w:val="single" w:sz="4" w:space="0" w:color="auto"/>
              <w:bottom w:val="single" w:sz="4" w:space="0" w:color="auto"/>
              <w:right w:val="single" w:sz="4" w:space="0" w:color="auto"/>
            </w:tcBorders>
            <w:vAlign w:val="center"/>
            <w:hideMark/>
          </w:tcPr>
          <w:p w14:paraId="64DC8A46"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2021</w:t>
            </w:r>
          </w:p>
        </w:tc>
        <w:tc>
          <w:tcPr>
            <w:tcW w:w="737" w:type="dxa"/>
            <w:tcBorders>
              <w:top w:val="single" w:sz="4" w:space="0" w:color="auto"/>
              <w:left w:val="single" w:sz="4" w:space="0" w:color="auto"/>
              <w:bottom w:val="single" w:sz="4" w:space="0" w:color="auto"/>
              <w:right w:val="single" w:sz="4" w:space="0" w:color="auto"/>
            </w:tcBorders>
            <w:vAlign w:val="center"/>
            <w:hideMark/>
          </w:tcPr>
          <w:p w14:paraId="7BB18F85"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2022</w:t>
            </w:r>
          </w:p>
        </w:tc>
        <w:tc>
          <w:tcPr>
            <w:tcW w:w="736" w:type="dxa"/>
            <w:tcBorders>
              <w:top w:val="single" w:sz="4" w:space="0" w:color="auto"/>
              <w:left w:val="single" w:sz="4" w:space="0" w:color="auto"/>
              <w:bottom w:val="single" w:sz="4" w:space="0" w:color="auto"/>
              <w:right w:val="single" w:sz="4" w:space="0" w:color="auto"/>
            </w:tcBorders>
            <w:vAlign w:val="center"/>
            <w:hideMark/>
          </w:tcPr>
          <w:p w14:paraId="65DBD754"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2023</w:t>
            </w:r>
          </w:p>
        </w:tc>
        <w:tc>
          <w:tcPr>
            <w:tcW w:w="737" w:type="dxa"/>
            <w:tcBorders>
              <w:top w:val="single" w:sz="4" w:space="0" w:color="auto"/>
              <w:left w:val="single" w:sz="4" w:space="0" w:color="auto"/>
              <w:bottom w:val="single" w:sz="4" w:space="0" w:color="auto"/>
              <w:right w:val="single" w:sz="4" w:space="0" w:color="auto"/>
            </w:tcBorders>
            <w:vAlign w:val="center"/>
            <w:hideMark/>
          </w:tcPr>
          <w:p w14:paraId="3DE08EA7"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2024</w:t>
            </w:r>
          </w:p>
        </w:tc>
        <w:tc>
          <w:tcPr>
            <w:tcW w:w="871" w:type="dxa"/>
            <w:tcBorders>
              <w:top w:val="single" w:sz="4" w:space="0" w:color="auto"/>
              <w:left w:val="single" w:sz="4" w:space="0" w:color="auto"/>
              <w:bottom w:val="single" w:sz="4" w:space="0" w:color="auto"/>
              <w:right w:val="single" w:sz="4" w:space="0" w:color="auto"/>
            </w:tcBorders>
            <w:vAlign w:val="center"/>
            <w:hideMark/>
          </w:tcPr>
          <w:p w14:paraId="6ACD6E0A"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2025</w:t>
            </w:r>
          </w:p>
          <w:p w14:paraId="66035983" w14:textId="7777777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 xml:space="preserve">I-II Q </w:t>
            </w:r>
          </w:p>
        </w:tc>
      </w:tr>
      <w:tr w:rsidR="00FD315F" w:rsidRPr="00585DBF" w14:paraId="0333245D" w14:textId="77777777" w:rsidTr="3240BACF">
        <w:trPr>
          <w:trHeight w:val="300"/>
        </w:trPr>
        <w:tc>
          <w:tcPr>
            <w:tcW w:w="4390" w:type="dxa"/>
            <w:tcBorders>
              <w:top w:val="single" w:sz="4" w:space="0" w:color="auto"/>
              <w:left w:val="single" w:sz="4" w:space="0" w:color="auto"/>
              <w:bottom w:val="single" w:sz="4" w:space="0" w:color="auto"/>
              <w:right w:val="single" w:sz="4" w:space="0" w:color="auto"/>
            </w:tcBorders>
            <w:hideMark/>
          </w:tcPr>
          <w:p w14:paraId="413F9519" w14:textId="77777777" w:rsidR="00FD315F" w:rsidRPr="00585DBF" w:rsidRDefault="00FD315F" w:rsidP="3240BACF">
            <w:pPr>
              <w:rPr>
                <w:rFonts w:ascii="Times New Roman" w:hAnsi="Times New Roman"/>
                <w:b/>
                <w:bCs/>
                <w:sz w:val="24"/>
                <w:szCs w:val="24"/>
              </w:rPr>
            </w:pPr>
            <w:r w:rsidRPr="00585DBF">
              <w:rPr>
                <w:rFonts w:ascii="Times New Roman" w:hAnsi="Times New Roman"/>
                <w:b/>
                <w:bCs/>
                <w:sz w:val="24"/>
                <w:szCs w:val="24"/>
              </w:rPr>
              <w:t xml:space="preserve">Number of deaths (men/women) </w:t>
            </w:r>
          </w:p>
          <w:p w14:paraId="3F47B606" w14:textId="1E499A31" w:rsidR="00FD315F" w:rsidRPr="00585DBF" w:rsidRDefault="00FD315F" w:rsidP="3240BACF">
            <w:pPr>
              <w:rPr>
                <w:rFonts w:ascii="Times New Roman" w:eastAsia="Times New Roman" w:hAnsi="Times New Roman"/>
                <w:b/>
                <w:bCs/>
                <w:kern w:val="0"/>
                <w:sz w:val="24"/>
                <w:szCs w:val="24"/>
                <w14:ligatures w14:val="none"/>
              </w:rPr>
            </w:pPr>
            <w:r w:rsidRPr="00585DBF">
              <w:rPr>
                <w:rFonts w:ascii="Times New Roman" w:hAnsi="Times New Roman"/>
                <w:b/>
                <w:bCs/>
                <w:sz w:val="24"/>
                <w:szCs w:val="24"/>
              </w:rPr>
              <w:t xml:space="preserve">   Of which</w:t>
            </w:r>
            <w:r w:rsidR="00585DBF">
              <w:rPr>
                <w:rFonts w:ascii="Times New Roman" w:hAnsi="Times New Roman"/>
                <w:b/>
                <w:bCs/>
                <w:sz w:val="24"/>
                <w:szCs w:val="24"/>
              </w:rPr>
              <w:t xml:space="preserve"> </w:t>
            </w:r>
            <w:r w:rsidR="00585DBF" w:rsidRPr="00585DBF">
              <w:rPr>
                <w:rFonts w:ascii="Times New Roman" w:hAnsi="Times New Roman"/>
                <w:b/>
                <w:bCs/>
                <w:sz w:val="24"/>
                <w:szCs w:val="24"/>
              </w:rPr>
              <w:t>as a result of</w:t>
            </w:r>
            <w:r w:rsidRPr="00585DBF">
              <w:rPr>
                <w:rFonts w:ascii="Times New Roman" w:hAnsi="Times New Roman"/>
                <w:b/>
                <w:bCs/>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3D1EEB22"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24/0</w:t>
            </w:r>
          </w:p>
        </w:tc>
        <w:tc>
          <w:tcPr>
            <w:tcW w:w="737" w:type="dxa"/>
            <w:tcBorders>
              <w:top w:val="single" w:sz="4" w:space="0" w:color="auto"/>
              <w:left w:val="single" w:sz="4" w:space="0" w:color="auto"/>
              <w:bottom w:val="single" w:sz="4" w:space="0" w:color="auto"/>
              <w:right w:val="single" w:sz="4" w:space="0" w:color="auto"/>
            </w:tcBorders>
            <w:hideMark/>
          </w:tcPr>
          <w:p w14:paraId="662F40DB"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27/0</w:t>
            </w:r>
          </w:p>
        </w:tc>
        <w:tc>
          <w:tcPr>
            <w:tcW w:w="736" w:type="dxa"/>
            <w:tcBorders>
              <w:top w:val="single" w:sz="4" w:space="0" w:color="auto"/>
              <w:left w:val="single" w:sz="4" w:space="0" w:color="auto"/>
              <w:bottom w:val="single" w:sz="4" w:space="0" w:color="auto"/>
              <w:right w:val="single" w:sz="4" w:space="0" w:color="auto"/>
            </w:tcBorders>
            <w:hideMark/>
          </w:tcPr>
          <w:p w14:paraId="3DD7F2AB"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24/0</w:t>
            </w:r>
          </w:p>
        </w:tc>
        <w:tc>
          <w:tcPr>
            <w:tcW w:w="737" w:type="dxa"/>
            <w:tcBorders>
              <w:top w:val="single" w:sz="4" w:space="0" w:color="auto"/>
              <w:left w:val="single" w:sz="4" w:space="0" w:color="auto"/>
              <w:bottom w:val="single" w:sz="4" w:space="0" w:color="auto"/>
              <w:right w:val="single" w:sz="4" w:space="0" w:color="auto"/>
            </w:tcBorders>
            <w:hideMark/>
          </w:tcPr>
          <w:p w14:paraId="20854D2F"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32/3</w:t>
            </w:r>
          </w:p>
        </w:tc>
        <w:tc>
          <w:tcPr>
            <w:tcW w:w="736" w:type="dxa"/>
            <w:tcBorders>
              <w:top w:val="single" w:sz="4" w:space="0" w:color="auto"/>
              <w:left w:val="single" w:sz="4" w:space="0" w:color="auto"/>
              <w:bottom w:val="single" w:sz="4" w:space="0" w:color="auto"/>
              <w:right w:val="single" w:sz="4" w:space="0" w:color="auto"/>
            </w:tcBorders>
            <w:hideMark/>
          </w:tcPr>
          <w:p w14:paraId="34EECD5B"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29/1</w:t>
            </w:r>
          </w:p>
        </w:tc>
        <w:tc>
          <w:tcPr>
            <w:tcW w:w="737" w:type="dxa"/>
            <w:tcBorders>
              <w:top w:val="single" w:sz="4" w:space="0" w:color="auto"/>
              <w:left w:val="single" w:sz="4" w:space="0" w:color="auto"/>
              <w:bottom w:val="single" w:sz="4" w:space="0" w:color="auto"/>
              <w:right w:val="single" w:sz="4" w:space="0" w:color="auto"/>
            </w:tcBorders>
            <w:hideMark/>
          </w:tcPr>
          <w:p w14:paraId="4848E843"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40/3</w:t>
            </w:r>
          </w:p>
        </w:tc>
        <w:tc>
          <w:tcPr>
            <w:tcW w:w="871" w:type="dxa"/>
            <w:tcBorders>
              <w:top w:val="single" w:sz="4" w:space="0" w:color="auto"/>
              <w:left w:val="single" w:sz="4" w:space="0" w:color="auto"/>
              <w:bottom w:val="single" w:sz="4" w:space="0" w:color="auto"/>
              <w:right w:val="single" w:sz="4" w:space="0" w:color="auto"/>
            </w:tcBorders>
            <w:hideMark/>
          </w:tcPr>
          <w:p w14:paraId="300321C4"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18/0</w:t>
            </w:r>
          </w:p>
        </w:tc>
      </w:tr>
      <w:tr w:rsidR="00FD315F" w:rsidRPr="00585DBF" w14:paraId="690291A8" w14:textId="77777777" w:rsidTr="3240BACF">
        <w:trPr>
          <w:trHeight w:val="300"/>
        </w:trPr>
        <w:tc>
          <w:tcPr>
            <w:tcW w:w="4390" w:type="dxa"/>
            <w:tcBorders>
              <w:top w:val="single" w:sz="4" w:space="0" w:color="auto"/>
              <w:left w:val="single" w:sz="4" w:space="0" w:color="auto"/>
              <w:bottom w:val="single" w:sz="4" w:space="0" w:color="auto"/>
              <w:right w:val="single" w:sz="4" w:space="0" w:color="auto"/>
            </w:tcBorders>
            <w:hideMark/>
          </w:tcPr>
          <w:p w14:paraId="5C06B430" w14:textId="08AD12C9" w:rsidR="00FD315F" w:rsidRPr="00585DBF" w:rsidRDefault="00FD315F" w:rsidP="3240BACF">
            <w:pPr>
              <w:ind w:left="176"/>
              <w:rPr>
                <w:rFonts w:ascii="Times New Roman" w:eastAsia="Times New Roman" w:hAnsi="Times New Roman"/>
                <w:kern w:val="0"/>
                <w:sz w:val="24"/>
                <w:szCs w:val="24"/>
                <w14:ligatures w14:val="none"/>
              </w:rPr>
            </w:pPr>
            <w:r w:rsidRPr="00585DBF">
              <w:rPr>
                <w:rFonts w:ascii="Times New Roman" w:hAnsi="Times New Roman"/>
                <w:sz w:val="24"/>
                <w:szCs w:val="24"/>
              </w:rPr>
              <w:t>illness</w:t>
            </w:r>
          </w:p>
        </w:tc>
        <w:tc>
          <w:tcPr>
            <w:tcW w:w="709" w:type="dxa"/>
            <w:tcBorders>
              <w:top w:val="single" w:sz="4" w:space="0" w:color="auto"/>
              <w:left w:val="single" w:sz="4" w:space="0" w:color="auto"/>
              <w:bottom w:val="single" w:sz="4" w:space="0" w:color="auto"/>
              <w:right w:val="single" w:sz="4" w:space="0" w:color="auto"/>
            </w:tcBorders>
            <w:hideMark/>
          </w:tcPr>
          <w:p w14:paraId="083B7C52"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16/0</w:t>
            </w:r>
          </w:p>
        </w:tc>
        <w:tc>
          <w:tcPr>
            <w:tcW w:w="737" w:type="dxa"/>
            <w:tcBorders>
              <w:top w:val="single" w:sz="4" w:space="0" w:color="auto"/>
              <w:left w:val="single" w:sz="4" w:space="0" w:color="auto"/>
              <w:bottom w:val="single" w:sz="4" w:space="0" w:color="auto"/>
              <w:right w:val="single" w:sz="4" w:space="0" w:color="auto"/>
            </w:tcBorders>
            <w:hideMark/>
          </w:tcPr>
          <w:p w14:paraId="6D1D08F6"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20/0</w:t>
            </w:r>
          </w:p>
        </w:tc>
        <w:tc>
          <w:tcPr>
            <w:tcW w:w="736" w:type="dxa"/>
            <w:tcBorders>
              <w:top w:val="single" w:sz="4" w:space="0" w:color="auto"/>
              <w:left w:val="single" w:sz="4" w:space="0" w:color="auto"/>
              <w:bottom w:val="single" w:sz="4" w:space="0" w:color="auto"/>
              <w:right w:val="single" w:sz="4" w:space="0" w:color="auto"/>
            </w:tcBorders>
            <w:hideMark/>
          </w:tcPr>
          <w:p w14:paraId="0DEDC7E5"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19/0</w:t>
            </w:r>
          </w:p>
        </w:tc>
        <w:tc>
          <w:tcPr>
            <w:tcW w:w="737" w:type="dxa"/>
            <w:tcBorders>
              <w:top w:val="single" w:sz="4" w:space="0" w:color="auto"/>
              <w:left w:val="single" w:sz="4" w:space="0" w:color="auto"/>
              <w:bottom w:val="single" w:sz="4" w:space="0" w:color="auto"/>
              <w:right w:val="single" w:sz="4" w:space="0" w:color="auto"/>
            </w:tcBorders>
            <w:hideMark/>
          </w:tcPr>
          <w:p w14:paraId="761A5FD9"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17/3</w:t>
            </w:r>
          </w:p>
        </w:tc>
        <w:tc>
          <w:tcPr>
            <w:tcW w:w="736" w:type="dxa"/>
            <w:tcBorders>
              <w:top w:val="single" w:sz="4" w:space="0" w:color="auto"/>
              <w:left w:val="single" w:sz="4" w:space="0" w:color="auto"/>
              <w:bottom w:val="single" w:sz="4" w:space="0" w:color="auto"/>
              <w:right w:val="single" w:sz="4" w:space="0" w:color="auto"/>
            </w:tcBorders>
            <w:hideMark/>
          </w:tcPr>
          <w:p w14:paraId="6CDC08DB"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20/1</w:t>
            </w:r>
          </w:p>
        </w:tc>
        <w:tc>
          <w:tcPr>
            <w:tcW w:w="737" w:type="dxa"/>
            <w:tcBorders>
              <w:top w:val="single" w:sz="4" w:space="0" w:color="auto"/>
              <w:left w:val="single" w:sz="4" w:space="0" w:color="auto"/>
              <w:bottom w:val="single" w:sz="4" w:space="0" w:color="auto"/>
              <w:right w:val="single" w:sz="4" w:space="0" w:color="auto"/>
            </w:tcBorders>
            <w:hideMark/>
          </w:tcPr>
          <w:p w14:paraId="504CB1AB"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24/2</w:t>
            </w:r>
          </w:p>
        </w:tc>
        <w:tc>
          <w:tcPr>
            <w:tcW w:w="871" w:type="dxa"/>
            <w:tcBorders>
              <w:top w:val="single" w:sz="4" w:space="0" w:color="auto"/>
              <w:left w:val="single" w:sz="4" w:space="0" w:color="auto"/>
              <w:bottom w:val="single" w:sz="4" w:space="0" w:color="auto"/>
              <w:right w:val="single" w:sz="4" w:space="0" w:color="auto"/>
            </w:tcBorders>
            <w:hideMark/>
          </w:tcPr>
          <w:p w14:paraId="2948CD8E"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11/0</w:t>
            </w:r>
          </w:p>
        </w:tc>
      </w:tr>
      <w:tr w:rsidR="00FD315F" w:rsidRPr="00585DBF" w14:paraId="560F0046" w14:textId="77777777" w:rsidTr="3240BACF">
        <w:trPr>
          <w:trHeight w:val="300"/>
        </w:trPr>
        <w:tc>
          <w:tcPr>
            <w:tcW w:w="4390" w:type="dxa"/>
            <w:tcBorders>
              <w:top w:val="single" w:sz="4" w:space="0" w:color="auto"/>
              <w:left w:val="single" w:sz="4" w:space="0" w:color="auto"/>
              <w:bottom w:val="single" w:sz="4" w:space="0" w:color="auto"/>
              <w:right w:val="single" w:sz="4" w:space="0" w:color="auto"/>
            </w:tcBorders>
            <w:hideMark/>
          </w:tcPr>
          <w:p w14:paraId="229AC867" w14:textId="4EB174C0" w:rsidR="00FD315F" w:rsidRPr="00585DBF" w:rsidRDefault="20D39341" w:rsidP="3240BACF">
            <w:pPr>
              <w:ind w:left="176"/>
              <w:rPr>
                <w:rFonts w:ascii="Times New Roman" w:eastAsia="Times New Roman" w:hAnsi="Times New Roman"/>
                <w:kern w:val="0"/>
                <w:sz w:val="24"/>
                <w:szCs w:val="24"/>
                <w14:ligatures w14:val="none"/>
              </w:rPr>
            </w:pPr>
            <w:r w:rsidRPr="00585DBF">
              <w:rPr>
                <w:rFonts w:ascii="Times New Roman" w:hAnsi="Times New Roman"/>
                <w:sz w:val="24"/>
                <w:szCs w:val="24"/>
              </w:rPr>
              <w:t>s</w:t>
            </w:r>
            <w:r w:rsidR="00FD315F" w:rsidRPr="00585DBF">
              <w:rPr>
                <w:rFonts w:ascii="Times New Roman" w:hAnsi="Times New Roman"/>
                <w:sz w:val="24"/>
                <w:szCs w:val="24"/>
              </w:rPr>
              <w:t>uicide</w:t>
            </w:r>
          </w:p>
        </w:tc>
        <w:tc>
          <w:tcPr>
            <w:tcW w:w="709" w:type="dxa"/>
            <w:tcBorders>
              <w:top w:val="single" w:sz="4" w:space="0" w:color="auto"/>
              <w:left w:val="single" w:sz="4" w:space="0" w:color="auto"/>
              <w:bottom w:val="single" w:sz="4" w:space="0" w:color="auto"/>
              <w:right w:val="single" w:sz="4" w:space="0" w:color="auto"/>
            </w:tcBorders>
            <w:hideMark/>
          </w:tcPr>
          <w:p w14:paraId="2706E040"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7/0</w:t>
            </w:r>
          </w:p>
        </w:tc>
        <w:tc>
          <w:tcPr>
            <w:tcW w:w="737" w:type="dxa"/>
            <w:tcBorders>
              <w:top w:val="single" w:sz="4" w:space="0" w:color="auto"/>
              <w:left w:val="single" w:sz="4" w:space="0" w:color="auto"/>
              <w:bottom w:val="single" w:sz="4" w:space="0" w:color="auto"/>
              <w:right w:val="single" w:sz="4" w:space="0" w:color="auto"/>
            </w:tcBorders>
            <w:hideMark/>
          </w:tcPr>
          <w:p w14:paraId="4DD5C00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7/0</w:t>
            </w:r>
          </w:p>
        </w:tc>
        <w:tc>
          <w:tcPr>
            <w:tcW w:w="736" w:type="dxa"/>
            <w:tcBorders>
              <w:top w:val="single" w:sz="4" w:space="0" w:color="auto"/>
              <w:left w:val="single" w:sz="4" w:space="0" w:color="auto"/>
              <w:bottom w:val="single" w:sz="4" w:space="0" w:color="auto"/>
              <w:right w:val="single" w:sz="4" w:space="0" w:color="auto"/>
            </w:tcBorders>
            <w:hideMark/>
          </w:tcPr>
          <w:p w14:paraId="1C33CE84"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3/0</w:t>
            </w:r>
          </w:p>
        </w:tc>
        <w:tc>
          <w:tcPr>
            <w:tcW w:w="737" w:type="dxa"/>
            <w:tcBorders>
              <w:top w:val="single" w:sz="4" w:space="0" w:color="auto"/>
              <w:left w:val="single" w:sz="4" w:space="0" w:color="auto"/>
              <w:bottom w:val="single" w:sz="4" w:space="0" w:color="auto"/>
              <w:right w:val="single" w:sz="4" w:space="0" w:color="auto"/>
            </w:tcBorders>
            <w:hideMark/>
          </w:tcPr>
          <w:p w14:paraId="0A8663DD"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9/0</w:t>
            </w:r>
          </w:p>
        </w:tc>
        <w:tc>
          <w:tcPr>
            <w:tcW w:w="736" w:type="dxa"/>
            <w:tcBorders>
              <w:top w:val="single" w:sz="4" w:space="0" w:color="auto"/>
              <w:left w:val="single" w:sz="4" w:space="0" w:color="auto"/>
              <w:bottom w:val="single" w:sz="4" w:space="0" w:color="auto"/>
              <w:right w:val="single" w:sz="4" w:space="0" w:color="auto"/>
            </w:tcBorders>
            <w:hideMark/>
          </w:tcPr>
          <w:p w14:paraId="60B1DAD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8/0</w:t>
            </w:r>
          </w:p>
        </w:tc>
        <w:tc>
          <w:tcPr>
            <w:tcW w:w="737" w:type="dxa"/>
            <w:tcBorders>
              <w:top w:val="single" w:sz="4" w:space="0" w:color="auto"/>
              <w:left w:val="single" w:sz="4" w:space="0" w:color="auto"/>
              <w:bottom w:val="single" w:sz="4" w:space="0" w:color="auto"/>
              <w:right w:val="single" w:sz="4" w:space="0" w:color="auto"/>
            </w:tcBorders>
            <w:hideMark/>
          </w:tcPr>
          <w:p w14:paraId="22247359"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12/1</w:t>
            </w:r>
          </w:p>
        </w:tc>
        <w:tc>
          <w:tcPr>
            <w:tcW w:w="871" w:type="dxa"/>
            <w:tcBorders>
              <w:top w:val="single" w:sz="4" w:space="0" w:color="auto"/>
              <w:left w:val="single" w:sz="4" w:space="0" w:color="auto"/>
              <w:bottom w:val="single" w:sz="4" w:space="0" w:color="auto"/>
              <w:right w:val="single" w:sz="4" w:space="0" w:color="auto"/>
            </w:tcBorders>
            <w:hideMark/>
          </w:tcPr>
          <w:p w14:paraId="6B69D4A0"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5/0</w:t>
            </w:r>
          </w:p>
        </w:tc>
      </w:tr>
      <w:tr w:rsidR="00FD315F" w:rsidRPr="00585DBF" w14:paraId="3B0A5E0E" w14:textId="77777777" w:rsidTr="3240BACF">
        <w:trPr>
          <w:trHeight w:val="300"/>
        </w:trPr>
        <w:tc>
          <w:tcPr>
            <w:tcW w:w="4390" w:type="dxa"/>
            <w:tcBorders>
              <w:top w:val="single" w:sz="4" w:space="0" w:color="auto"/>
              <w:left w:val="single" w:sz="4" w:space="0" w:color="auto"/>
              <w:bottom w:val="single" w:sz="4" w:space="0" w:color="auto"/>
              <w:right w:val="single" w:sz="4" w:space="0" w:color="auto"/>
            </w:tcBorders>
            <w:hideMark/>
          </w:tcPr>
          <w:p w14:paraId="188A6AE7" w14:textId="7252EABF" w:rsidR="00FD315F" w:rsidRPr="00585DBF" w:rsidRDefault="0DB13DBE" w:rsidP="3240BACF">
            <w:pPr>
              <w:ind w:left="176"/>
              <w:rPr>
                <w:rFonts w:ascii="Times New Roman" w:eastAsia="Times New Roman" w:hAnsi="Times New Roman"/>
                <w:kern w:val="0"/>
                <w:sz w:val="24"/>
                <w:szCs w:val="24"/>
                <w14:ligatures w14:val="none"/>
              </w:rPr>
            </w:pPr>
            <w:r w:rsidRPr="00585DBF">
              <w:rPr>
                <w:rFonts w:ascii="Times New Roman" w:hAnsi="Times New Roman"/>
                <w:sz w:val="24"/>
                <w:szCs w:val="24"/>
              </w:rPr>
              <w:t>m</w:t>
            </w:r>
            <w:r w:rsidR="00FD315F" w:rsidRPr="00585DBF">
              <w:rPr>
                <w:rFonts w:ascii="Times New Roman" w:hAnsi="Times New Roman"/>
                <w:sz w:val="24"/>
                <w:szCs w:val="24"/>
              </w:rPr>
              <w:t>urder</w:t>
            </w:r>
          </w:p>
        </w:tc>
        <w:tc>
          <w:tcPr>
            <w:tcW w:w="709" w:type="dxa"/>
            <w:tcBorders>
              <w:top w:val="single" w:sz="4" w:space="0" w:color="auto"/>
              <w:left w:val="single" w:sz="4" w:space="0" w:color="auto"/>
              <w:bottom w:val="single" w:sz="4" w:space="0" w:color="auto"/>
              <w:right w:val="single" w:sz="4" w:space="0" w:color="auto"/>
            </w:tcBorders>
            <w:hideMark/>
          </w:tcPr>
          <w:p w14:paraId="1133E1DC"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0/0</w:t>
            </w:r>
          </w:p>
        </w:tc>
        <w:tc>
          <w:tcPr>
            <w:tcW w:w="737" w:type="dxa"/>
            <w:tcBorders>
              <w:top w:val="single" w:sz="4" w:space="0" w:color="auto"/>
              <w:left w:val="single" w:sz="4" w:space="0" w:color="auto"/>
              <w:bottom w:val="single" w:sz="4" w:space="0" w:color="auto"/>
              <w:right w:val="single" w:sz="4" w:space="0" w:color="auto"/>
            </w:tcBorders>
            <w:hideMark/>
          </w:tcPr>
          <w:p w14:paraId="0E6C6268"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0/0</w:t>
            </w:r>
          </w:p>
        </w:tc>
        <w:tc>
          <w:tcPr>
            <w:tcW w:w="736" w:type="dxa"/>
            <w:tcBorders>
              <w:top w:val="single" w:sz="4" w:space="0" w:color="auto"/>
              <w:left w:val="single" w:sz="4" w:space="0" w:color="auto"/>
              <w:bottom w:val="single" w:sz="4" w:space="0" w:color="auto"/>
              <w:right w:val="single" w:sz="4" w:space="0" w:color="auto"/>
            </w:tcBorders>
            <w:hideMark/>
          </w:tcPr>
          <w:p w14:paraId="6F07ED12"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1/0</w:t>
            </w:r>
          </w:p>
        </w:tc>
        <w:tc>
          <w:tcPr>
            <w:tcW w:w="737" w:type="dxa"/>
            <w:tcBorders>
              <w:top w:val="single" w:sz="4" w:space="0" w:color="auto"/>
              <w:left w:val="single" w:sz="4" w:space="0" w:color="auto"/>
              <w:bottom w:val="single" w:sz="4" w:space="0" w:color="auto"/>
              <w:right w:val="single" w:sz="4" w:space="0" w:color="auto"/>
            </w:tcBorders>
            <w:hideMark/>
          </w:tcPr>
          <w:p w14:paraId="1E1EBBB6"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2/0</w:t>
            </w:r>
          </w:p>
        </w:tc>
        <w:tc>
          <w:tcPr>
            <w:tcW w:w="736" w:type="dxa"/>
            <w:tcBorders>
              <w:top w:val="single" w:sz="4" w:space="0" w:color="auto"/>
              <w:left w:val="single" w:sz="4" w:space="0" w:color="auto"/>
              <w:bottom w:val="single" w:sz="4" w:space="0" w:color="auto"/>
              <w:right w:val="single" w:sz="4" w:space="0" w:color="auto"/>
            </w:tcBorders>
            <w:hideMark/>
          </w:tcPr>
          <w:p w14:paraId="1C13E573"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1/0</w:t>
            </w:r>
          </w:p>
        </w:tc>
        <w:tc>
          <w:tcPr>
            <w:tcW w:w="737" w:type="dxa"/>
            <w:tcBorders>
              <w:top w:val="single" w:sz="4" w:space="0" w:color="auto"/>
              <w:left w:val="single" w:sz="4" w:space="0" w:color="auto"/>
              <w:bottom w:val="single" w:sz="4" w:space="0" w:color="auto"/>
              <w:right w:val="single" w:sz="4" w:space="0" w:color="auto"/>
            </w:tcBorders>
            <w:hideMark/>
          </w:tcPr>
          <w:p w14:paraId="42562653"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1/0</w:t>
            </w:r>
          </w:p>
        </w:tc>
        <w:tc>
          <w:tcPr>
            <w:tcW w:w="871" w:type="dxa"/>
            <w:tcBorders>
              <w:top w:val="single" w:sz="4" w:space="0" w:color="auto"/>
              <w:left w:val="single" w:sz="4" w:space="0" w:color="auto"/>
              <w:bottom w:val="single" w:sz="4" w:space="0" w:color="auto"/>
              <w:right w:val="single" w:sz="4" w:space="0" w:color="auto"/>
            </w:tcBorders>
            <w:hideMark/>
          </w:tcPr>
          <w:p w14:paraId="7E0904CE"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0/0</w:t>
            </w:r>
          </w:p>
        </w:tc>
      </w:tr>
      <w:tr w:rsidR="00FD315F" w:rsidRPr="00585DBF" w14:paraId="7E550609" w14:textId="77777777" w:rsidTr="3240BACF">
        <w:trPr>
          <w:trHeight w:val="300"/>
        </w:trPr>
        <w:tc>
          <w:tcPr>
            <w:tcW w:w="4390" w:type="dxa"/>
            <w:tcBorders>
              <w:top w:val="single" w:sz="4" w:space="0" w:color="auto"/>
              <w:left w:val="single" w:sz="4" w:space="0" w:color="auto"/>
              <w:bottom w:val="single" w:sz="4" w:space="0" w:color="auto"/>
              <w:right w:val="single" w:sz="4" w:space="0" w:color="auto"/>
            </w:tcBorders>
            <w:hideMark/>
          </w:tcPr>
          <w:p w14:paraId="17C70572" w14:textId="77777777" w:rsidR="00FD315F" w:rsidRPr="00585DBF" w:rsidRDefault="00FD315F" w:rsidP="3240BACF">
            <w:pPr>
              <w:ind w:left="176"/>
              <w:rPr>
                <w:rFonts w:ascii="Times New Roman" w:eastAsia="Times New Roman" w:hAnsi="Times New Roman"/>
                <w:kern w:val="0"/>
                <w:sz w:val="24"/>
                <w:szCs w:val="24"/>
                <w14:ligatures w14:val="none"/>
              </w:rPr>
            </w:pPr>
            <w:r w:rsidRPr="00585DBF">
              <w:rPr>
                <w:rFonts w:ascii="Times New Roman" w:hAnsi="Times New Roman"/>
                <w:sz w:val="24"/>
                <w:szCs w:val="24"/>
              </w:rPr>
              <w:t xml:space="preserve">accident </w:t>
            </w:r>
          </w:p>
        </w:tc>
        <w:tc>
          <w:tcPr>
            <w:tcW w:w="709" w:type="dxa"/>
            <w:tcBorders>
              <w:top w:val="single" w:sz="4" w:space="0" w:color="auto"/>
              <w:left w:val="single" w:sz="4" w:space="0" w:color="auto"/>
              <w:bottom w:val="single" w:sz="4" w:space="0" w:color="auto"/>
              <w:right w:val="single" w:sz="4" w:space="0" w:color="auto"/>
            </w:tcBorders>
            <w:hideMark/>
          </w:tcPr>
          <w:p w14:paraId="4928AF65"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1/0</w:t>
            </w:r>
          </w:p>
        </w:tc>
        <w:tc>
          <w:tcPr>
            <w:tcW w:w="737" w:type="dxa"/>
            <w:tcBorders>
              <w:top w:val="single" w:sz="4" w:space="0" w:color="auto"/>
              <w:left w:val="single" w:sz="4" w:space="0" w:color="auto"/>
              <w:bottom w:val="single" w:sz="4" w:space="0" w:color="auto"/>
              <w:right w:val="single" w:sz="4" w:space="0" w:color="auto"/>
            </w:tcBorders>
            <w:hideMark/>
          </w:tcPr>
          <w:p w14:paraId="38DD8C62"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0/0</w:t>
            </w:r>
          </w:p>
        </w:tc>
        <w:tc>
          <w:tcPr>
            <w:tcW w:w="736" w:type="dxa"/>
            <w:tcBorders>
              <w:top w:val="single" w:sz="4" w:space="0" w:color="auto"/>
              <w:left w:val="single" w:sz="4" w:space="0" w:color="auto"/>
              <w:bottom w:val="single" w:sz="4" w:space="0" w:color="auto"/>
              <w:right w:val="single" w:sz="4" w:space="0" w:color="auto"/>
            </w:tcBorders>
            <w:hideMark/>
          </w:tcPr>
          <w:p w14:paraId="265F6B83"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1/0</w:t>
            </w:r>
          </w:p>
        </w:tc>
        <w:tc>
          <w:tcPr>
            <w:tcW w:w="737" w:type="dxa"/>
            <w:tcBorders>
              <w:top w:val="single" w:sz="4" w:space="0" w:color="auto"/>
              <w:left w:val="single" w:sz="4" w:space="0" w:color="auto"/>
              <w:bottom w:val="single" w:sz="4" w:space="0" w:color="auto"/>
              <w:right w:val="single" w:sz="4" w:space="0" w:color="auto"/>
            </w:tcBorders>
            <w:hideMark/>
          </w:tcPr>
          <w:p w14:paraId="35AC4740"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4/0</w:t>
            </w:r>
          </w:p>
        </w:tc>
        <w:tc>
          <w:tcPr>
            <w:tcW w:w="736" w:type="dxa"/>
            <w:tcBorders>
              <w:top w:val="single" w:sz="4" w:space="0" w:color="auto"/>
              <w:left w:val="single" w:sz="4" w:space="0" w:color="auto"/>
              <w:bottom w:val="single" w:sz="4" w:space="0" w:color="auto"/>
              <w:right w:val="single" w:sz="4" w:space="0" w:color="auto"/>
            </w:tcBorders>
            <w:hideMark/>
          </w:tcPr>
          <w:p w14:paraId="2D3620BE"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0/0</w:t>
            </w:r>
          </w:p>
        </w:tc>
        <w:tc>
          <w:tcPr>
            <w:tcW w:w="737" w:type="dxa"/>
            <w:tcBorders>
              <w:top w:val="single" w:sz="4" w:space="0" w:color="auto"/>
              <w:left w:val="single" w:sz="4" w:space="0" w:color="auto"/>
              <w:bottom w:val="single" w:sz="4" w:space="0" w:color="auto"/>
              <w:right w:val="single" w:sz="4" w:space="0" w:color="auto"/>
            </w:tcBorders>
            <w:hideMark/>
          </w:tcPr>
          <w:p w14:paraId="1092DF3C"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3/0</w:t>
            </w:r>
          </w:p>
        </w:tc>
        <w:tc>
          <w:tcPr>
            <w:tcW w:w="871" w:type="dxa"/>
            <w:tcBorders>
              <w:top w:val="single" w:sz="4" w:space="0" w:color="auto"/>
              <w:left w:val="single" w:sz="4" w:space="0" w:color="auto"/>
              <w:bottom w:val="single" w:sz="4" w:space="0" w:color="auto"/>
              <w:right w:val="single" w:sz="4" w:space="0" w:color="auto"/>
            </w:tcBorders>
            <w:hideMark/>
          </w:tcPr>
          <w:p w14:paraId="6D8ABBD7"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2/0</w:t>
            </w:r>
          </w:p>
        </w:tc>
      </w:tr>
    </w:tbl>
    <w:p w14:paraId="1ED58CDE" w14:textId="77777777" w:rsidR="00FD315F" w:rsidRPr="00585DBF" w:rsidRDefault="00FD315F" w:rsidP="00FD315F">
      <w:pPr>
        <w:spacing w:after="0" w:line="240" w:lineRule="auto"/>
        <w:rPr>
          <w:rFonts w:ascii="Times New Roman" w:eastAsia="Times New Roman" w:hAnsi="Times New Roman" w:cs="Times New Roman"/>
          <w:kern w:val="0"/>
          <w:sz w:val="24"/>
          <w:szCs w:val="24"/>
          <w:lang w:val="en-GB" w:eastAsia="lt-LT"/>
          <w14:ligatures w14:val="none"/>
        </w:rPr>
      </w:pPr>
    </w:p>
    <w:p w14:paraId="0189F565" w14:textId="77777777" w:rsidR="00FD315F" w:rsidRPr="00585DBF" w:rsidRDefault="00FD315F" w:rsidP="00FD315F">
      <w:pPr>
        <w:spacing w:line="240" w:lineRule="auto"/>
        <w:jc w:val="both"/>
        <w:rPr>
          <w:rFonts w:ascii="Times New Roman" w:hAnsi="Times New Roman" w:cs="Times New Roman"/>
          <w:sz w:val="24"/>
          <w:szCs w:val="24"/>
          <w:lang w:val="en-GB"/>
        </w:rPr>
      </w:pPr>
      <w:r w:rsidRPr="00585DBF">
        <w:rPr>
          <w:rFonts w:ascii="Times New Roman" w:hAnsi="Times New Roman" w:cs="Times New Roman"/>
          <w:sz w:val="24"/>
          <w:szCs w:val="24"/>
          <w:lang w:val="en-GB"/>
        </w:rPr>
        <w:t>A pre-trial investigation into the death of an inmate is initiated in all cases, except when the cause of death is clear (it can be substantiated by medical records and when a doctor determines the cause of death to be non-violent). In 2023, 12 pre-trial investigations were initiated to determine the cause of death. The causes of death ascertained during pre-trial investigations: suicide – 7 cases, death due to illness – 4 cases, death due to poisoning with psychotropic substances and medications – 1 case. One pre-trial investigation was initiated and completed concerning the intentional killing of another person. After the investigation actions, the perpetrator of the crime was not identified, the pre-trial investigation was suspended. In 2024, 22 pre-trial investigations were initiated to determine the cause of death. The causes of death identified after the pre-trial investigation: suicide – 13 cases, death due to illness – 6 cases, death due to psychotropic substance poisoning – 2 cases, death due to medication poisoning – 1 case. In addition, one pre-trial investigation was initiated and completed concerning the intentional killing of another person. Following the investigation actions, the criminal case was referred to court. In the first half of 2025, 6 pre-trial investigations were initiated to determine the cause of death. The causes of death ascertained during pre-trial investigations: suicide – 3 cases, death due to illness – 2 cases, death due to poisoning with psychotropic substance – 1 case.</w:t>
      </w:r>
    </w:p>
    <w:p w14:paraId="2E9C89F2" w14:textId="77777777" w:rsidR="00F73F17" w:rsidRDefault="00F73F17" w:rsidP="00FD315F">
      <w:pPr>
        <w:spacing w:line="240" w:lineRule="auto"/>
        <w:jc w:val="both"/>
        <w:rPr>
          <w:rFonts w:ascii="Times New Roman" w:hAnsi="Times New Roman" w:cs="Times New Roman"/>
          <w:b/>
          <w:bCs/>
          <w:sz w:val="24"/>
          <w:szCs w:val="24"/>
          <w:lang w:val="en-GB"/>
        </w:rPr>
      </w:pPr>
      <w:bookmarkStart w:id="30" w:name="_Hlk213677323"/>
    </w:p>
    <w:p w14:paraId="25B26AED" w14:textId="77777777" w:rsidR="00F73F17" w:rsidRDefault="00F73F17" w:rsidP="00FD315F">
      <w:pPr>
        <w:spacing w:line="240" w:lineRule="auto"/>
        <w:jc w:val="both"/>
        <w:rPr>
          <w:rFonts w:ascii="Times New Roman" w:hAnsi="Times New Roman" w:cs="Times New Roman"/>
          <w:b/>
          <w:bCs/>
          <w:sz w:val="24"/>
          <w:szCs w:val="24"/>
          <w:lang w:val="en-GB"/>
        </w:rPr>
      </w:pPr>
    </w:p>
    <w:p w14:paraId="2497E7E1" w14:textId="4664D7AA" w:rsidR="00FD315F" w:rsidRPr="00585DBF" w:rsidRDefault="00FD315F" w:rsidP="00FD315F">
      <w:pPr>
        <w:spacing w:line="240" w:lineRule="auto"/>
        <w:jc w:val="both"/>
        <w:rPr>
          <w:rFonts w:ascii="Times New Roman" w:eastAsia="Calibri" w:hAnsi="Times New Roman" w:cs="Times New Roman"/>
          <w:b/>
          <w:bCs/>
          <w:sz w:val="24"/>
          <w:szCs w:val="24"/>
          <w:lang w:val="en-GB"/>
        </w:rPr>
      </w:pPr>
      <w:r w:rsidRPr="00585DBF">
        <w:rPr>
          <w:rFonts w:ascii="Times New Roman" w:hAnsi="Times New Roman" w:cs="Times New Roman"/>
          <w:b/>
          <w:bCs/>
          <w:sz w:val="24"/>
          <w:szCs w:val="24"/>
          <w:lang w:val="en-GB"/>
        </w:rPr>
        <w:lastRenderedPageBreak/>
        <w:t>Paragraph 14 of the LoIPR</w:t>
      </w:r>
    </w:p>
    <w:bookmarkEnd w:id="30"/>
    <w:p w14:paraId="72A76174" w14:textId="34299AC4"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2024, a new procedure for the prevention of violent behaviour and the investigation of bodily injuries among detainees and convicted persons, the preparation, management and accounting of these documents in places of deprivation of liberty was introduced. Under this procedure, each detainee or convicted person arriving at the prison is assessed for vulnerability, propensity to violence, hostility towards others and propensity for conflict and, based on this assessment, the person is assigned to accommodation premises. If, during the assessment and/or later, a risk of violence against other persons is identified, a decision is made concerning the supervision of and communication with such a person and, if necessary, concerning a change of the place of accommodation. </w:t>
      </w:r>
    </w:p>
    <w:p w14:paraId="1A5285C2"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6AE220D7"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With the dynamic security method becoming established in Lithuanian prisons, prison staff members try to get to know detainees and convicted persons individually, assess risks, find out their personal needs. By closely observing detainees and convicted persons, staff members pay attention to individuals who avoid communication, are dressed inappropriately for the season or attempt to conceal their appearance in any way, as well as to those who do not participate in checks or behave strangely. When such detainees or convicted persons are noticed, they find out the reasons of these circumstances and make sure that these individuals are not injured and whether no psychological coercion is used against them.</w:t>
      </w:r>
    </w:p>
    <w:p w14:paraId="0012CF3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 </w:t>
      </w:r>
    </w:p>
    <w:p w14:paraId="6CA5502B" w14:textId="260490EC"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Any inmate who notifies prison staff of actual or potential threats to his or her safety (e.g., negative influence exerted on him or her by other inmates held together with him or her – physical or psychological abuse) or if such risks are identified by prison staff (i.e., in the absence of a complaint from an inmate himself), a safe physical environment is ensured immediately. During the investigation of the circumstances and, if the threats are confirmed, on an ongoing basis, such an inmate is further kept in such conditions that inmates who potentially pose a threat to him or her have no opportunity to come into contact with him or her (the location of the victimised inmate or the persons posing a threat to him or her is changed within the same prison and, when necessary, such a person is transferred to another prison). </w:t>
      </w:r>
    </w:p>
    <w:p w14:paraId="1D0168E0"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A21262D"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All prisons have commissions responsible for the selection and implementations of the measures to prevent violent behaviour of inmates. These commissions regularly analyse the cases of violence that have taken place and make recommendations on the selection and implementation of measures to prevent violent behaviour. First of all, efforts are made to identify and reliably isolate inmates who have a negative influence on other inmates (informal leaders of the prison hierarchy and their helpers), as well as to monitor them more intensively. </w:t>
      </w:r>
    </w:p>
    <w:p w14:paraId="44C26D2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1E26514" w14:textId="4C69C599"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Prisons started creating separate sectors for inmates who are at greater risk of psychological or physical abuse. To ensure that these inmates have no contact with other inmates, their work and other activities are carried out in the same sector, which is equipped with rooms for occupational activities/leisure, separate rooms for meetings and conversations with specialists, a room with limited internet access, which is also used for remote meetings/visits. The inmates held in this sector can freely move within the territory of the sector, however, if they need to leave it, they are always accompanied by officers. Food is also delivered to inmates to these premises three times a day. Specialists from various fields (e.g., social workers, psychologists, addiction counsellors, representatives of non-governmental organisations, etc.) work in th</w:t>
      </w:r>
      <w:r w:rsidR="0006461B" w:rsidRPr="00585DBF">
        <w:rPr>
          <w:rFonts w:ascii="Times New Roman" w:eastAsia="Aptos" w:hAnsi="Times New Roman" w:cs="Times New Roman"/>
          <w:sz w:val="24"/>
          <w:szCs w:val="24"/>
          <w:lang w:val="en-GB"/>
        </w:rPr>
        <w:t>e</w:t>
      </w:r>
      <w:r w:rsidRPr="00585DBF">
        <w:rPr>
          <w:rFonts w:ascii="Times New Roman" w:eastAsia="Aptos" w:hAnsi="Times New Roman" w:cs="Times New Roman"/>
          <w:sz w:val="24"/>
          <w:szCs w:val="24"/>
          <w:lang w:val="en-GB"/>
        </w:rPr>
        <w:t>s</w:t>
      </w:r>
      <w:r w:rsidR="0006461B" w:rsidRPr="00585DBF">
        <w:rPr>
          <w:rFonts w:ascii="Times New Roman" w:eastAsia="Aptos" w:hAnsi="Times New Roman" w:cs="Times New Roman"/>
          <w:sz w:val="24"/>
          <w:szCs w:val="24"/>
          <w:lang w:val="en-GB"/>
        </w:rPr>
        <w:t>e</w:t>
      </w:r>
      <w:r w:rsidRPr="00585DBF">
        <w:rPr>
          <w:rFonts w:ascii="Times New Roman" w:eastAsia="Aptos" w:hAnsi="Times New Roman" w:cs="Times New Roman"/>
          <w:sz w:val="24"/>
          <w:szCs w:val="24"/>
          <w:lang w:val="en-GB"/>
        </w:rPr>
        <w:t xml:space="preserve"> sectors, visit and provide support to inmates. A sector for inmates at high risk of violence was opened in Marijampolė Prison in 2024, in Alytus Prison in 2025, and there are also plans to expand such isolated sectors in other prisons.</w:t>
      </w:r>
    </w:p>
    <w:p w14:paraId="154CB06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A17DD8C" w14:textId="77777777" w:rsidR="00FD315F" w:rsidRPr="00585DBF" w:rsidRDefault="00FD315F" w:rsidP="00FD315F">
      <w:pPr>
        <w:spacing w:line="240" w:lineRule="auto"/>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kern w:val="0"/>
          <w:sz w:val="24"/>
          <w:szCs w:val="24"/>
          <w:lang w:val="en-GB"/>
          <w14:ligatures w14:val="none"/>
        </w:rPr>
        <w:t xml:space="preserve">An inmate who has filed a complaint concerning inter-inmate violence or his or her lawyer (if any) is in all cases informed about all decisions made regarding the complaint. If a pre-trial investigation is commenced concerning the circumstances described in the complaint, the victim and his or her lawyer </w:t>
      </w:r>
      <w:r w:rsidRPr="00585DBF">
        <w:rPr>
          <w:rFonts w:ascii="Times New Roman" w:eastAsia="Aptos" w:hAnsi="Times New Roman" w:cs="Times New Roman"/>
          <w:kern w:val="0"/>
          <w:sz w:val="24"/>
          <w:szCs w:val="24"/>
          <w:lang w:val="en-GB"/>
          <w14:ligatures w14:val="none"/>
        </w:rPr>
        <w:lastRenderedPageBreak/>
        <w:t>is served a standard form notification of the pre-trial investigation initiated, listing the victim's rights, including the right to submit a complaint against actions of the pre-trial investigation officer, prosecutor, judge or court. A decision to refuse to initiate a pre-trial investigation or to terminate a pre-trial investigation that has already been initiated may be taken only by a prosecutor. After such decisions have been made, the inmate who lodged the complaint and his or her lawyer are served with the prosecutor's decision, which explains the procedure for appealing against such a decision.</w:t>
      </w:r>
    </w:p>
    <w:p w14:paraId="409B08F2" w14:textId="77777777" w:rsidR="00FD315F" w:rsidRPr="00585DBF" w:rsidRDefault="00FD315F" w:rsidP="00FD315F">
      <w:pPr>
        <w:spacing w:line="240" w:lineRule="auto"/>
        <w:jc w:val="both"/>
        <w:rPr>
          <w:rFonts w:ascii="Times New Roman" w:eastAsia="Calibri" w:hAnsi="Times New Roman" w:cs="Times New Roman"/>
          <w:b/>
          <w:bCs/>
          <w:sz w:val="24"/>
          <w:szCs w:val="24"/>
          <w:lang w:val="en-GB"/>
        </w:rPr>
      </w:pPr>
      <w:bookmarkStart w:id="31" w:name="_Hlk213677418"/>
      <w:r w:rsidRPr="00585DBF">
        <w:rPr>
          <w:rFonts w:ascii="Times New Roman" w:hAnsi="Times New Roman" w:cs="Times New Roman"/>
          <w:b/>
          <w:bCs/>
          <w:sz w:val="24"/>
          <w:szCs w:val="24"/>
          <w:lang w:val="en-GB"/>
        </w:rPr>
        <w:t>Paragraph 15 of the LoIPR</w:t>
      </w:r>
    </w:p>
    <w:bookmarkEnd w:id="31"/>
    <w:p w14:paraId="16B2F18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To speed up the modernisation of the prison infrastructure, the reconstruction of the dormitory into cell-type rooms (81 places) was completed and two modular complexes for inmates (192 places) were built at Pravieniškės Prison No. 1 in 2022. In 2024, the reconstruction of two dormitory-type buildings (conversion into 260 cell-type imprisonment places) was completed at Alytus Prison, six prison buildings were renovated at Marijampolė Prison and three prison buildings at Pravieniškės Prison No. 2, and a special sector for repeat offenders (11 places) was set up at Vilnius Prison. At the same time, the network of halfway houses is being expanded: between 2021 and 2024, new halfway houses (120 places) were opened, other prison infrastructure is being modernised: two new prisoner employment centres were set up in Vilnius Prison and Pravieniškės Prison No. 1 in 2024. At the same time, the existing prison infrastructure (including sports halls, playgrounds and other leisure areas for inmates) undergoes repairs when necessary in order to ensure that the conditions of detention for detainees and convicted persons meet international standards.</w:t>
      </w:r>
    </w:p>
    <w:p w14:paraId="69E871B3"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155EDFEF" w14:textId="3C45CB46"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implementing the measures set out in the 2021 Concept for the Reform of the Resocialisation of Inmates Serving Custodial Sentences and the provisions of the new Code of Execution of Sentences (CES), which came into force in 2023, the overall employment rate of inmates and the effectiveness of the resocialisation measures applied have increased, which has led to more frequent use of conditional release and a further decrease in the number of convicted persons serving custodial sentences, i.e., since 2021, the number of convicted persons serving custodial sentences has decreased by 15%). </w:t>
      </w:r>
    </w:p>
    <w:p w14:paraId="73C1899F" w14:textId="77777777" w:rsidR="00FD315F" w:rsidRPr="00585DBF" w:rsidRDefault="00FD315F" w:rsidP="00FD315F">
      <w:pPr>
        <w:spacing w:after="0" w:line="240" w:lineRule="auto"/>
        <w:rPr>
          <w:rFonts w:ascii="Times New Roman" w:eastAsia="Times New Roman" w:hAnsi="Times New Roman" w:cs="Times New Roman"/>
          <w:kern w:val="0"/>
          <w:sz w:val="24"/>
          <w:szCs w:val="24"/>
          <w:lang w:val="en-GB" w:eastAsia="lt-LT"/>
          <w14:ligatures w14:val="none"/>
        </w:rPr>
      </w:pPr>
    </w:p>
    <w:p w14:paraId="62C982A2" w14:textId="77777777" w:rsidR="00FD315F" w:rsidRPr="00585DBF" w:rsidRDefault="00FD315F" w:rsidP="00FD315F">
      <w:pPr>
        <w:spacing w:after="0" w:line="240" w:lineRule="auto"/>
        <w:rPr>
          <w:rFonts w:ascii="Times New Roman" w:eastAsia="Times New Roman" w:hAnsi="Times New Roman" w:cs="Times New Roman"/>
          <w:b/>
          <w:bCs/>
          <w:i/>
          <w:iCs/>
          <w:kern w:val="0"/>
          <w:sz w:val="24"/>
          <w:szCs w:val="24"/>
          <w:lang w:val="en-GB"/>
          <w14:ligatures w14:val="none"/>
        </w:rPr>
      </w:pPr>
      <w:r w:rsidRPr="00585DBF">
        <w:rPr>
          <w:rFonts w:ascii="Times New Roman" w:eastAsia="Aptos" w:hAnsi="Times New Roman" w:cs="Times New Roman"/>
          <w:b/>
          <w:i/>
          <w:sz w:val="24"/>
          <w:szCs w:val="24"/>
          <w:lang w:val="en-GB"/>
        </w:rPr>
        <w:t>Information on the employment of convicted persons:</w:t>
      </w:r>
    </w:p>
    <w:tbl>
      <w:tblPr>
        <w:tblStyle w:val="Lentelstinklelis2"/>
        <w:tblW w:w="9458" w:type="dxa"/>
        <w:tblInd w:w="0" w:type="dxa"/>
        <w:tblLook w:val="04A0" w:firstRow="1" w:lastRow="0" w:firstColumn="1" w:lastColumn="0" w:noHBand="0" w:noVBand="1"/>
      </w:tblPr>
      <w:tblGrid>
        <w:gridCol w:w="893"/>
        <w:gridCol w:w="1635"/>
        <w:gridCol w:w="1890"/>
        <w:gridCol w:w="1845"/>
        <w:gridCol w:w="1545"/>
        <w:gridCol w:w="1650"/>
      </w:tblGrid>
      <w:tr w:rsidR="00FD315F" w:rsidRPr="00585DBF" w14:paraId="5375E009" w14:textId="77777777" w:rsidTr="3240BACF">
        <w:trPr>
          <w:trHeight w:val="300"/>
        </w:trPr>
        <w:tc>
          <w:tcPr>
            <w:tcW w:w="893" w:type="dxa"/>
            <w:tcBorders>
              <w:top w:val="single" w:sz="4" w:space="0" w:color="auto"/>
              <w:left w:val="single" w:sz="4" w:space="0" w:color="auto"/>
              <w:bottom w:val="single" w:sz="4" w:space="0" w:color="auto"/>
              <w:right w:val="single" w:sz="4" w:space="0" w:color="auto"/>
            </w:tcBorders>
            <w:vAlign w:val="center"/>
            <w:hideMark/>
          </w:tcPr>
          <w:p w14:paraId="67A57404" w14:textId="77777777" w:rsidR="00FD315F" w:rsidRPr="00585DBF" w:rsidRDefault="00FD315F" w:rsidP="3240BACF">
            <w:pPr>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Year</w:t>
            </w:r>
          </w:p>
        </w:tc>
        <w:tc>
          <w:tcPr>
            <w:tcW w:w="1635" w:type="dxa"/>
            <w:tcBorders>
              <w:top w:val="single" w:sz="4" w:space="0" w:color="auto"/>
              <w:left w:val="single" w:sz="4" w:space="0" w:color="auto"/>
              <w:bottom w:val="single" w:sz="4" w:space="0" w:color="auto"/>
              <w:right w:val="single" w:sz="4" w:space="0" w:color="auto"/>
            </w:tcBorders>
            <w:vAlign w:val="center"/>
            <w:hideMark/>
          </w:tcPr>
          <w:p w14:paraId="51609E42" w14:textId="7777777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Total number of convicted persons</w:t>
            </w:r>
          </w:p>
        </w:tc>
        <w:tc>
          <w:tcPr>
            <w:tcW w:w="1890" w:type="dxa"/>
            <w:tcBorders>
              <w:top w:val="single" w:sz="4" w:space="0" w:color="auto"/>
              <w:left w:val="single" w:sz="4" w:space="0" w:color="auto"/>
              <w:bottom w:val="single" w:sz="4" w:space="0" w:color="auto"/>
              <w:right w:val="single" w:sz="4" w:space="0" w:color="auto"/>
            </w:tcBorders>
            <w:vAlign w:val="center"/>
            <w:hideMark/>
          </w:tcPr>
          <w:p w14:paraId="02A43DE5" w14:textId="325A566A" w:rsidR="00FD315F" w:rsidRPr="00585DBF" w:rsidRDefault="6BD47FC1"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Participating in w</w:t>
            </w:r>
            <w:r w:rsidR="00FD315F" w:rsidRPr="00585DBF">
              <w:rPr>
                <w:rFonts w:ascii="Times New Roman" w:hAnsi="Times New Roman"/>
                <w:b/>
                <w:bCs/>
                <w:sz w:val="24"/>
                <w:szCs w:val="24"/>
              </w:rPr>
              <w:t>ork</w:t>
            </w:r>
            <w:r w:rsidR="312185B7" w:rsidRPr="00585DBF">
              <w:rPr>
                <w:rFonts w:ascii="Times New Roman" w:hAnsi="Times New Roman"/>
                <w:b/>
                <w:bCs/>
                <w:sz w:val="24"/>
                <w:szCs w:val="24"/>
              </w:rPr>
              <w:t>ing</w:t>
            </w:r>
            <w:r w:rsidR="00FD315F" w:rsidRPr="00585DBF">
              <w:rPr>
                <w:rFonts w:ascii="Times New Roman" w:hAnsi="Times New Roman"/>
                <w:b/>
                <w:bCs/>
                <w:sz w:val="24"/>
                <w:szCs w:val="24"/>
              </w:rPr>
              <w:t xml:space="preserve"> activities</w:t>
            </w:r>
            <w:r w:rsidR="5C35DEBB" w:rsidRPr="00585DBF">
              <w:rPr>
                <w:rFonts w:ascii="Times New Roman" w:hAnsi="Times New Roman"/>
                <w:b/>
                <w:bCs/>
                <w:sz w:val="24"/>
                <w:szCs w:val="24"/>
              </w:rPr>
              <w:t xml:space="preserve"> </w:t>
            </w:r>
            <w:r w:rsidR="00FD315F" w:rsidRPr="00585DBF">
              <w:rPr>
                <w:rFonts w:ascii="Times New Roman" w:hAnsi="Times New Roman"/>
                <w:b/>
                <w:bCs/>
                <w:sz w:val="24"/>
                <w:szCs w:val="24"/>
              </w:rPr>
              <w:t>(in prison)</w:t>
            </w:r>
          </w:p>
        </w:tc>
        <w:tc>
          <w:tcPr>
            <w:tcW w:w="1845" w:type="dxa"/>
            <w:tcBorders>
              <w:top w:val="single" w:sz="4" w:space="0" w:color="auto"/>
              <w:left w:val="single" w:sz="4" w:space="0" w:color="auto"/>
              <w:bottom w:val="single" w:sz="4" w:space="0" w:color="auto"/>
              <w:right w:val="single" w:sz="4" w:space="0" w:color="auto"/>
            </w:tcBorders>
            <w:vAlign w:val="center"/>
            <w:hideMark/>
          </w:tcPr>
          <w:p w14:paraId="2F1F577C" w14:textId="588E8B3D" w:rsidR="00FD315F" w:rsidRPr="00585DBF" w:rsidRDefault="00FD315F" w:rsidP="3240BACF">
            <w:pPr>
              <w:ind w:left="-90" w:right="-90"/>
              <w:jc w:val="center"/>
              <w:rPr>
                <w:rFonts w:ascii="Times New Roman" w:eastAsia="Times New Roman" w:hAnsi="Times New Roman"/>
                <w:b/>
                <w:bCs/>
                <w:sz w:val="24"/>
                <w:szCs w:val="24"/>
              </w:rPr>
            </w:pPr>
            <w:r w:rsidRPr="00585DBF">
              <w:rPr>
                <w:rFonts w:ascii="Times New Roman" w:hAnsi="Times New Roman"/>
                <w:b/>
                <w:bCs/>
                <w:sz w:val="24"/>
                <w:szCs w:val="24"/>
              </w:rPr>
              <w:t>Work</w:t>
            </w:r>
            <w:r w:rsidR="344E08A8" w:rsidRPr="00585DBF">
              <w:rPr>
                <w:rFonts w:ascii="Times New Roman" w:hAnsi="Times New Roman"/>
                <w:b/>
                <w:bCs/>
                <w:sz w:val="24"/>
                <w:szCs w:val="24"/>
              </w:rPr>
              <w:t>ing</w:t>
            </w:r>
            <w:r w:rsidR="7DF65FDD" w:rsidRPr="00585DBF">
              <w:rPr>
                <w:rFonts w:ascii="Times New Roman" w:eastAsia="Times New Roman" w:hAnsi="Times New Roman"/>
                <w:b/>
                <w:bCs/>
                <w:sz w:val="24"/>
                <w:szCs w:val="24"/>
              </w:rPr>
              <w:t xml:space="preserve"> on a</w:t>
            </w:r>
            <w:r w:rsidR="17EC0B79" w:rsidRPr="00585DBF">
              <w:rPr>
                <w:rFonts w:ascii="Times New Roman" w:eastAsia="Times New Roman" w:hAnsi="Times New Roman"/>
                <w:b/>
                <w:bCs/>
                <w:sz w:val="24"/>
                <w:szCs w:val="24"/>
              </w:rPr>
              <w:t xml:space="preserve">n </w:t>
            </w:r>
            <w:r w:rsidR="7DF65FDD" w:rsidRPr="00585DBF">
              <w:rPr>
                <w:rFonts w:ascii="Times New Roman" w:eastAsia="Times New Roman" w:hAnsi="Times New Roman"/>
                <w:b/>
                <w:bCs/>
                <w:sz w:val="24"/>
                <w:szCs w:val="24"/>
              </w:rPr>
              <w:t>employment</w:t>
            </w:r>
            <w:r w:rsidR="1D1FC8AE" w:rsidRPr="00585DBF">
              <w:rPr>
                <w:rFonts w:ascii="Times New Roman" w:eastAsia="Times New Roman" w:hAnsi="Times New Roman"/>
                <w:b/>
                <w:bCs/>
                <w:sz w:val="24"/>
                <w:szCs w:val="24"/>
              </w:rPr>
              <w:t xml:space="preserve"> </w:t>
            </w:r>
            <w:r w:rsidR="00585DBF" w:rsidRPr="00585DBF">
              <w:rPr>
                <w:rFonts w:ascii="Times New Roman" w:eastAsia="Times New Roman" w:hAnsi="Times New Roman"/>
                <w:b/>
                <w:bCs/>
                <w:sz w:val="24"/>
                <w:szCs w:val="24"/>
              </w:rPr>
              <w:t>contract</w:t>
            </w:r>
          </w:p>
          <w:p w14:paraId="71E72D97" w14:textId="749DA490" w:rsidR="00FD315F" w:rsidRPr="00585DBF" w:rsidRDefault="6FE11BB8" w:rsidP="3240BACF">
            <w:pPr>
              <w:ind w:left="-90" w:right="-90"/>
              <w:jc w:val="center"/>
              <w:rPr>
                <w:rFonts w:ascii="Times New Roman" w:hAnsi="Times New Roman"/>
                <w:b/>
                <w:bCs/>
                <w:kern w:val="0"/>
                <w:sz w:val="24"/>
                <w:szCs w:val="24"/>
                <w14:ligatures w14:val="none"/>
              </w:rPr>
            </w:pPr>
            <w:r w:rsidRPr="00585DBF">
              <w:rPr>
                <w:rFonts w:ascii="Times New Roman" w:hAnsi="Times New Roman"/>
                <w:b/>
                <w:bCs/>
                <w:sz w:val="24"/>
                <w:szCs w:val="24"/>
              </w:rPr>
              <w:t xml:space="preserve"> </w:t>
            </w:r>
            <w:r w:rsidR="00FD315F" w:rsidRPr="00585DBF">
              <w:rPr>
                <w:rFonts w:ascii="Times New Roman" w:hAnsi="Times New Roman"/>
                <w:b/>
                <w:bCs/>
                <w:sz w:val="24"/>
                <w:szCs w:val="24"/>
              </w:rPr>
              <w:t>(</w:t>
            </w:r>
            <w:r w:rsidR="42964279" w:rsidRPr="00585DBF">
              <w:rPr>
                <w:rFonts w:ascii="Times New Roman" w:hAnsi="Times New Roman"/>
                <w:b/>
                <w:bCs/>
                <w:sz w:val="24"/>
                <w:szCs w:val="24"/>
              </w:rPr>
              <w:t>outside prison</w:t>
            </w:r>
            <w:r w:rsidR="00FD315F" w:rsidRPr="00585DBF">
              <w:rPr>
                <w:rFonts w:ascii="Times New Roman" w:hAnsi="Times New Roman"/>
                <w:b/>
                <w:bCs/>
                <w:sz w:val="24"/>
                <w:szCs w:val="24"/>
              </w:rPr>
              <w:t>)</w:t>
            </w:r>
          </w:p>
        </w:tc>
        <w:tc>
          <w:tcPr>
            <w:tcW w:w="1545" w:type="dxa"/>
            <w:tcBorders>
              <w:top w:val="single" w:sz="4" w:space="0" w:color="auto"/>
              <w:left w:val="single" w:sz="4" w:space="0" w:color="auto"/>
              <w:bottom w:val="single" w:sz="4" w:space="0" w:color="auto"/>
              <w:right w:val="single" w:sz="4" w:space="0" w:color="auto"/>
            </w:tcBorders>
            <w:vAlign w:val="center"/>
            <w:hideMark/>
          </w:tcPr>
          <w:p w14:paraId="4CCCEAED" w14:textId="2A9574B3" w:rsidR="00FD315F" w:rsidRPr="00585DBF" w:rsidRDefault="6A12BFCA"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 xml:space="preserve">Participating in educational </w:t>
            </w:r>
            <w:r w:rsidR="52AE368B" w:rsidRPr="00585DBF">
              <w:rPr>
                <w:rFonts w:ascii="Times New Roman" w:hAnsi="Times New Roman"/>
                <w:b/>
                <w:bCs/>
                <w:sz w:val="24"/>
                <w:szCs w:val="24"/>
              </w:rPr>
              <w:t>activities</w:t>
            </w:r>
          </w:p>
        </w:tc>
        <w:tc>
          <w:tcPr>
            <w:tcW w:w="1650" w:type="dxa"/>
            <w:tcBorders>
              <w:top w:val="single" w:sz="4" w:space="0" w:color="auto"/>
              <w:left w:val="single" w:sz="4" w:space="0" w:color="auto"/>
              <w:bottom w:val="single" w:sz="4" w:space="0" w:color="auto"/>
              <w:right w:val="single" w:sz="4" w:space="0" w:color="auto"/>
            </w:tcBorders>
            <w:vAlign w:val="center"/>
            <w:hideMark/>
          </w:tcPr>
          <w:p w14:paraId="6C5D543F" w14:textId="704C801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 xml:space="preserve">Self-employed or </w:t>
            </w:r>
            <w:r w:rsidR="033C2B1B" w:rsidRPr="00585DBF">
              <w:rPr>
                <w:rFonts w:ascii="Times New Roman" w:eastAsia="Times New Roman" w:hAnsi="Times New Roman"/>
                <w:b/>
                <w:bCs/>
                <w:sz w:val="24"/>
                <w:szCs w:val="24"/>
              </w:rPr>
              <w:t xml:space="preserve">engaged in </w:t>
            </w:r>
            <w:r w:rsidRPr="00585DBF">
              <w:rPr>
                <w:rFonts w:ascii="Times New Roman" w:hAnsi="Times New Roman"/>
                <w:b/>
                <w:bCs/>
                <w:sz w:val="24"/>
                <w:szCs w:val="24"/>
              </w:rPr>
              <w:t>creative activities</w:t>
            </w:r>
          </w:p>
        </w:tc>
      </w:tr>
      <w:tr w:rsidR="00FD315F" w:rsidRPr="00585DBF" w14:paraId="4F8294BA" w14:textId="77777777" w:rsidTr="3240BACF">
        <w:trPr>
          <w:trHeight w:val="300"/>
        </w:trPr>
        <w:tc>
          <w:tcPr>
            <w:tcW w:w="893" w:type="dxa"/>
            <w:tcBorders>
              <w:top w:val="single" w:sz="4" w:space="0" w:color="auto"/>
              <w:left w:val="single" w:sz="4" w:space="0" w:color="auto"/>
              <w:bottom w:val="single" w:sz="4" w:space="0" w:color="auto"/>
              <w:right w:val="single" w:sz="4" w:space="0" w:color="auto"/>
            </w:tcBorders>
            <w:vAlign w:val="center"/>
            <w:hideMark/>
          </w:tcPr>
          <w:p w14:paraId="6C208984" w14:textId="77777777" w:rsidR="00FD315F" w:rsidRPr="00585DBF" w:rsidRDefault="00FD315F" w:rsidP="006F7BCE">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2025    I-II Q</w:t>
            </w:r>
          </w:p>
        </w:tc>
        <w:tc>
          <w:tcPr>
            <w:tcW w:w="1635" w:type="dxa"/>
            <w:tcBorders>
              <w:top w:val="single" w:sz="4" w:space="0" w:color="auto"/>
              <w:left w:val="single" w:sz="4" w:space="0" w:color="auto"/>
              <w:bottom w:val="single" w:sz="4" w:space="0" w:color="auto"/>
              <w:right w:val="single" w:sz="4" w:space="0" w:color="auto"/>
            </w:tcBorders>
            <w:vAlign w:val="center"/>
            <w:hideMark/>
          </w:tcPr>
          <w:p w14:paraId="37487B66"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3,811</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2B2C800"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1,379</w:t>
            </w:r>
          </w:p>
        </w:tc>
        <w:tc>
          <w:tcPr>
            <w:tcW w:w="1845" w:type="dxa"/>
            <w:tcBorders>
              <w:top w:val="single" w:sz="4" w:space="0" w:color="auto"/>
              <w:left w:val="single" w:sz="4" w:space="0" w:color="auto"/>
              <w:bottom w:val="single" w:sz="4" w:space="0" w:color="auto"/>
              <w:right w:val="single" w:sz="4" w:space="0" w:color="auto"/>
            </w:tcBorders>
            <w:vAlign w:val="center"/>
            <w:hideMark/>
          </w:tcPr>
          <w:p w14:paraId="4FAFA0EF"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584</w:t>
            </w:r>
          </w:p>
        </w:tc>
        <w:tc>
          <w:tcPr>
            <w:tcW w:w="1545" w:type="dxa"/>
            <w:tcBorders>
              <w:top w:val="single" w:sz="4" w:space="0" w:color="auto"/>
              <w:left w:val="single" w:sz="4" w:space="0" w:color="auto"/>
              <w:bottom w:val="single" w:sz="4" w:space="0" w:color="auto"/>
              <w:right w:val="single" w:sz="4" w:space="0" w:color="auto"/>
            </w:tcBorders>
            <w:vAlign w:val="center"/>
            <w:hideMark/>
          </w:tcPr>
          <w:p w14:paraId="1FBDD142"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1,089</w:t>
            </w:r>
          </w:p>
        </w:tc>
        <w:tc>
          <w:tcPr>
            <w:tcW w:w="1650" w:type="dxa"/>
            <w:tcBorders>
              <w:top w:val="single" w:sz="4" w:space="0" w:color="auto"/>
              <w:left w:val="single" w:sz="4" w:space="0" w:color="auto"/>
              <w:bottom w:val="single" w:sz="4" w:space="0" w:color="auto"/>
              <w:right w:val="single" w:sz="4" w:space="0" w:color="auto"/>
            </w:tcBorders>
            <w:vAlign w:val="center"/>
            <w:hideMark/>
          </w:tcPr>
          <w:p w14:paraId="5011A20C"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456</w:t>
            </w:r>
          </w:p>
        </w:tc>
      </w:tr>
      <w:tr w:rsidR="00FD315F" w:rsidRPr="00585DBF" w14:paraId="2EC1ED69" w14:textId="77777777" w:rsidTr="3240BACF">
        <w:trPr>
          <w:trHeight w:val="300"/>
        </w:trPr>
        <w:tc>
          <w:tcPr>
            <w:tcW w:w="893" w:type="dxa"/>
            <w:tcBorders>
              <w:top w:val="single" w:sz="4" w:space="0" w:color="auto"/>
              <w:left w:val="single" w:sz="4" w:space="0" w:color="auto"/>
              <w:bottom w:val="single" w:sz="4" w:space="0" w:color="auto"/>
              <w:right w:val="single" w:sz="4" w:space="0" w:color="auto"/>
            </w:tcBorders>
            <w:vAlign w:val="center"/>
            <w:hideMark/>
          </w:tcPr>
          <w:p w14:paraId="5F9092C3"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2024</w:t>
            </w:r>
          </w:p>
        </w:tc>
        <w:tc>
          <w:tcPr>
            <w:tcW w:w="1635" w:type="dxa"/>
            <w:tcBorders>
              <w:top w:val="single" w:sz="4" w:space="0" w:color="auto"/>
              <w:left w:val="single" w:sz="4" w:space="0" w:color="auto"/>
              <w:bottom w:val="single" w:sz="4" w:space="0" w:color="auto"/>
              <w:right w:val="single" w:sz="4" w:space="0" w:color="auto"/>
            </w:tcBorders>
            <w:vAlign w:val="center"/>
            <w:hideMark/>
          </w:tcPr>
          <w:p w14:paraId="485B31F5"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3,739</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D986C27"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1,770</w:t>
            </w:r>
          </w:p>
        </w:tc>
        <w:tc>
          <w:tcPr>
            <w:tcW w:w="1845" w:type="dxa"/>
            <w:tcBorders>
              <w:top w:val="single" w:sz="4" w:space="0" w:color="auto"/>
              <w:left w:val="single" w:sz="4" w:space="0" w:color="auto"/>
              <w:bottom w:val="single" w:sz="4" w:space="0" w:color="auto"/>
              <w:right w:val="single" w:sz="4" w:space="0" w:color="auto"/>
            </w:tcBorders>
            <w:vAlign w:val="center"/>
            <w:hideMark/>
          </w:tcPr>
          <w:p w14:paraId="0B7A007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517</w:t>
            </w:r>
          </w:p>
        </w:tc>
        <w:tc>
          <w:tcPr>
            <w:tcW w:w="1545" w:type="dxa"/>
            <w:tcBorders>
              <w:top w:val="single" w:sz="4" w:space="0" w:color="auto"/>
              <w:left w:val="single" w:sz="4" w:space="0" w:color="auto"/>
              <w:bottom w:val="single" w:sz="4" w:space="0" w:color="auto"/>
              <w:right w:val="single" w:sz="4" w:space="0" w:color="auto"/>
            </w:tcBorders>
            <w:vAlign w:val="center"/>
            <w:hideMark/>
          </w:tcPr>
          <w:p w14:paraId="626FB4A8"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1,191</w:t>
            </w:r>
          </w:p>
        </w:tc>
        <w:tc>
          <w:tcPr>
            <w:tcW w:w="1650" w:type="dxa"/>
            <w:tcBorders>
              <w:top w:val="single" w:sz="4" w:space="0" w:color="auto"/>
              <w:left w:val="single" w:sz="4" w:space="0" w:color="auto"/>
              <w:bottom w:val="single" w:sz="4" w:space="0" w:color="auto"/>
              <w:right w:val="single" w:sz="4" w:space="0" w:color="auto"/>
            </w:tcBorders>
            <w:vAlign w:val="center"/>
            <w:hideMark/>
          </w:tcPr>
          <w:p w14:paraId="7272876A"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469</w:t>
            </w:r>
          </w:p>
        </w:tc>
      </w:tr>
      <w:tr w:rsidR="00FD315F" w:rsidRPr="00585DBF" w14:paraId="5809E3CC" w14:textId="77777777" w:rsidTr="3240BACF">
        <w:trPr>
          <w:trHeight w:val="300"/>
        </w:trPr>
        <w:tc>
          <w:tcPr>
            <w:tcW w:w="893" w:type="dxa"/>
            <w:tcBorders>
              <w:top w:val="single" w:sz="4" w:space="0" w:color="auto"/>
              <w:left w:val="single" w:sz="4" w:space="0" w:color="auto"/>
              <w:bottom w:val="single" w:sz="4" w:space="0" w:color="auto"/>
              <w:right w:val="single" w:sz="4" w:space="0" w:color="auto"/>
            </w:tcBorders>
            <w:vAlign w:val="center"/>
            <w:hideMark/>
          </w:tcPr>
          <w:p w14:paraId="60BDB161"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2023</w:t>
            </w:r>
          </w:p>
        </w:tc>
        <w:tc>
          <w:tcPr>
            <w:tcW w:w="1635" w:type="dxa"/>
            <w:tcBorders>
              <w:top w:val="single" w:sz="4" w:space="0" w:color="auto"/>
              <w:left w:val="single" w:sz="4" w:space="0" w:color="auto"/>
              <w:bottom w:val="single" w:sz="8" w:space="0" w:color="auto"/>
              <w:right w:val="single" w:sz="8" w:space="0" w:color="auto"/>
            </w:tcBorders>
            <w:shd w:val="clear" w:color="auto" w:fill="FFFFFF" w:themeFill="background1"/>
            <w:vAlign w:val="center"/>
            <w:hideMark/>
          </w:tcPr>
          <w:p w14:paraId="684AC714"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3,819</w:t>
            </w:r>
          </w:p>
        </w:tc>
        <w:tc>
          <w:tcPr>
            <w:tcW w:w="1890" w:type="dxa"/>
            <w:tcBorders>
              <w:top w:val="single" w:sz="4" w:space="0" w:color="auto"/>
              <w:left w:val="single" w:sz="4" w:space="0" w:color="auto"/>
              <w:bottom w:val="single" w:sz="4" w:space="0" w:color="auto"/>
              <w:right w:val="single" w:sz="4" w:space="0" w:color="auto"/>
            </w:tcBorders>
            <w:vAlign w:val="center"/>
            <w:hideMark/>
          </w:tcPr>
          <w:p w14:paraId="17C4393D"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1,632</w:t>
            </w:r>
          </w:p>
        </w:tc>
        <w:tc>
          <w:tcPr>
            <w:tcW w:w="1845" w:type="dxa"/>
            <w:tcBorders>
              <w:top w:val="single" w:sz="4" w:space="0" w:color="auto"/>
              <w:left w:val="single" w:sz="4" w:space="0" w:color="auto"/>
              <w:bottom w:val="single" w:sz="4" w:space="0" w:color="auto"/>
              <w:right w:val="single" w:sz="4" w:space="0" w:color="auto"/>
            </w:tcBorders>
            <w:vAlign w:val="center"/>
            <w:hideMark/>
          </w:tcPr>
          <w:p w14:paraId="5DD48D02"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464</w:t>
            </w:r>
          </w:p>
        </w:tc>
        <w:tc>
          <w:tcPr>
            <w:tcW w:w="1545" w:type="dxa"/>
            <w:tcBorders>
              <w:top w:val="single" w:sz="4" w:space="0" w:color="auto"/>
              <w:left w:val="single" w:sz="4" w:space="0" w:color="auto"/>
              <w:bottom w:val="single" w:sz="4" w:space="0" w:color="auto"/>
              <w:right w:val="single" w:sz="4" w:space="0" w:color="auto"/>
            </w:tcBorders>
            <w:vAlign w:val="center"/>
            <w:hideMark/>
          </w:tcPr>
          <w:p w14:paraId="3E327A3E"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1,464</w:t>
            </w:r>
          </w:p>
        </w:tc>
        <w:tc>
          <w:tcPr>
            <w:tcW w:w="1650" w:type="dxa"/>
            <w:tcBorders>
              <w:top w:val="single" w:sz="4" w:space="0" w:color="auto"/>
              <w:left w:val="single" w:sz="4" w:space="0" w:color="auto"/>
              <w:bottom w:val="single" w:sz="4" w:space="0" w:color="auto"/>
              <w:right w:val="single" w:sz="4" w:space="0" w:color="auto"/>
            </w:tcBorders>
            <w:vAlign w:val="center"/>
            <w:hideMark/>
          </w:tcPr>
          <w:p w14:paraId="3188614F"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303</w:t>
            </w:r>
          </w:p>
        </w:tc>
      </w:tr>
      <w:tr w:rsidR="00FD315F" w:rsidRPr="00585DBF" w14:paraId="64186FB9" w14:textId="77777777" w:rsidTr="3240BACF">
        <w:trPr>
          <w:trHeight w:val="300"/>
        </w:trPr>
        <w:tc>
          <w:tcPr>
            <w:tcW w:w="893" w:type="dxa"/>
            <w:tcBorders>
              <w:top w:val="single" w:sz="4" w:space="0" w:color="auto"/>
              <w:left w:val="single" w:sz="4" w:space="0" w:color="auto"/>
              <w:bottom w:val="single" w:sz="4" w:space="0" w:color="auto"/>
              <w:right w:val="single" w:sz="4" w:space="0" w:color="auto"/>
            </w:tcBorders>
            <w:vAlign w:val="center"/>
            <w:hideMark/>
          </w:tcPr>
          <w:p w14:paraId="0E74E99F"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2022</w:t>
            </w:r>
          </w:p>
        </w:tc>
        <w:tc>
          <w:tcPr>
            <w:tcW w:w="1635" w:type="dxa"/>
            <w:tcBorders>
              <w:top w:val="single" w:sz="4" w:space="0" w:color="auto"/>
              <w:left w:val="single" w:sz="4" w:space="0" w:color="auto"/>
              <w:bottom w:val="single" w:sz="4" w:space="0" w:color="auto"/>
              <w:right w:val="single" w:sz="4" w:space="0" w:color="auto"/>
            </w:tcBorders>
            <w:vAlign w:val="center"/>
            <w:hideMark/>
          </w:tcPr>
          <w:p w14:paraId="36332A7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4,267</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3EFF4EF"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1,649</w:t>
            </w:r>
          </w:p>
        </w:tc>
        <w:tc>
          <w:tcPr>
            <w:tcW w:w="1845" w:type="dxa"/>
            <w:tcBorders>
              <w:top w:val="single" w:sz="4" w:space="0" w:color="auto"/>
              <w:left w:val="single" w:sz="4" w:space="0" w:color="auto"/>
              <w:bottom w:val="single" w:sz="4" w:space="0" w:color="auto"/>
              <w:right w:val="single" w:sz="4" w:space="0" w:color="auto"/>
            </w:tcBorders>
            <w:vAlign w:val="center"/>
            <w:hideMark/>
          </w:tcPr>
          <w:p w14:paraId="07946465"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426</w:t>
            </w:r>
          </w:p>
        </w:tc>
        <w:tc>
          <w:tcPr>
            <w:tcW w:w="1545" w:type="dxa"/>
            <w:tcBorders>
              <w:top w:val="single" w:sz="4" w:space="0" w:color="auto"/>
              <w:left w:val="single" w:sz="4" w:space="0" w:color="auto"/>
              <w:bottom w:val="single" w:sz="4" w:space="0" w:color="auto"/>
              <w:right w:val="single" w:sz="4" w:space="0" w:color="auto"/>
            </w:tcBorders>
            <w:vAlign w:val="center"/>
            <w:hideMark/>
          </w:tcPr>
          <w:p w14:paraId="62DC3BEC"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1,403</w:t>
            </w:r>
          </w:p>
        </w:tc>
        <w:tc>
          <w:tcPr>
            <w:tcW w:w="1650" w:type="dxa"/>
            <w:tcBorders>
              <w:top w:val="single" w:sz="4" w:space="0" w:color="auto"/>
              <w:left w:val="single" w:sz="4" w:space="0" w:color="auto"/>
              <w:bottom w:val="single" w:sz="4" w:space="0" w:color="auto"/>
              <w:right w:val="single" w:sz="4" w:space="0" w:color="auto"/>
            </w:tcBorders>
            <w:vAlign w:val="center"/>
            <w:hideMark/>
          </w:tcPr>
          <w:p w14:paraId="35F3C6A5"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307</w:t>
            </w:r>
          </w:p>
        </w:tc>
      </w:tr>
      <w:tr w:rsidR="00FD315F" w:rsidRPr="00585DBF" w14:paraId="658A108C" w14:textId="77777777" w:rsidTr="3240BACF">
        <w:trPr>
          <w:trHeight w:val="300"/>
        </w:trPr>
        <w:tc>
          <w:tcPr>
            <w:tcW w:w="893" w:type="dxa"/>
            <w:tcBorders>
              <w:top w:val="single" w:sz="4" w:space="0" w:color="auto"/>
              <w:left w:val="single" w:sz="4" w:space="0" w:color="auto"/>
              <w:bottom w:val="single" w:sz="4" w:space="0" w:color="auto"/>
              <w:right w:val="single" w:sz="4" w:space="0" w:color="auto"/>
            </w:tcBorders>
            <w:vAlign w:val="center"/>
            <w:hideMark/>
          </w:tcPr>
          <w:p w14:paraId="1882E680"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2021</w:t>
            </w:r>
          </w:p>
        </w:tc>
        <w:tc>
          <w:tcPr>
            <w:tcW w:w="1635" w:type="dxa"/>
            <w:tcBorders>
              <w:top w:val="single" w:sz="4" w:space="0" w:color="auto"/>
              <w:left w:val="single" w:sz="4" w:space="0" w:color="auto"/>
              <w:bottom w:val="single" w:sz="4" w:space="0" w:color="auto"/>
              <w:right w:val="single" w:sz="4" w:space="0" w:color="auto"/>
            </w:tcBorders>
            <w:vAlign w:val="center"/>
            <w:hideMark/>
          </w:tcPr>
          <w:p w14:paraId="70D16B4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4,425</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D0C83A4"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1,688</w:t>
            </w:r>
          </w:p>
        </w:tc>
        <w:tc>
          <w:tcPr>
            <w:tcW w:w="1845" w:type="dxa"/>
            <w:tcBorders>
              <w:top w:val="single" w:sz="4" w:space="0" w:color="auto"/>
              <w:left w:val="single" w:sz="4" w:space="0" w:color="auto"/>
              <w:bottom w:val="single" w:sz="4" w:space="0" w:color="auto"/>
              <w:right w:val="single" w:sz="4" w:space="0" w:color="auto"/>
            </w:tcBorders>
            <w:vAlign w:val="center"/>
            <w:hideMark/>
          </w:tcPr>
          <w:p w14:paraId="5422FB20"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366</w:t>
            </w:r>
          </w:p>
        </w:tc>
        <w:tc>
          <w:tcPr>
            <w:tcW w:w="1545" w:type="dxa"/>
            <w:tcBorders>
              <w:top w:val="single" w:sz="4" w:space="0" w:color="auto"/>
              <w:left w:val="single" w:sz="4" w:space="0" w:color="auto"/>
              <w:bottom w:val="single" w:sz="4" w:space="0" w:color="auto"/>
              <w:right w:val="single" w:sz="4" w:space="0" w:color="auto"/>
            </w:tcBorders>
            <w:vAlign w:val="center"/>
            <w:hideMark/>
          </w:tcPr>
          <w:p w14:paraId="5D08DE94"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1,730</w:t>
            </w:r>
          </w:p>
        </w:tc>
        <w:tc>
          <w:tcPr>
            <w:tcW w:w="1650" w:type="dxa"/>
            <w:tcBorders>
              <w:top w:val="single" w:sz="4" w:space="0" w:color="auto"/>
              <w:left w:val="single" w:sz="4" w:space="0" w:color="auto"/>
              <w:bottom w:val="single" w:sz="4" w:space="0" w:color="auto"/>
              <w:right w:val="single" w:sz="4" w:space="0" w:color="auto"/>
            </w:tcBorders>
            <w:vAlign w:val="center"/>
            <w:hideMark/>
          </w:tcPr>
          <w:p w14:paraId="384FB972"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192</w:t>
            </w:r>
          </w:p>
        </w:tc>
      </w:tr>
      <w:tr w:rsidR="00FD315F" w:rsidRPr="00585DBF" w14:paraId="491C3DB3" w14:textId="77777777" w:rsidTr="3240BACF">
        <w:trPr>
          <w:trHeight w:val="300"/>
        </w:trPr>
        <w:tc>
          <w:tcPr>
            <w:tcW w:w="893" w:type="dxa"/>
            <w:tcBorders>
              <w:top w:val="single" w:sz="4" w:space="0" w:color="auto"/>
              <w:left w:val="single" w:sz="4" w:space="0" w:color="auto"/>
              <w:bottom w:val="single" w:sz="4" w:space="0" w:color="auto"/>
              <w:right w:val="single" w:sz="4" w:space="0" w:color="auto"/>
            </w:tcBorders>
            <w:vAlign w:val="center"/>
            <w:hideMark/>
          </w:tcPr>
          <w:p w14:paraId="7CA9A54B"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2020</w:t>
            </w:r>
          </w:p>
        </w:tc>
        <w:tc>
          <w:tcPr>
            <w:tcW w:w="1635" w:type="dxa"/>
            <w:tcBorders>
              <w:top w:val="single" w:sz="4" w:space="0" w:color="auto"/>
              <w:left w:val="single" w:sz="4" w:space="0" w:color="auto"/>
              <w:bottom w:val="single" w:sz="4" w:space="0" w:color="auto"/>
              <w:right w:val="single" w:sz="4" w:space="0" w:color="auto"/>
            </w:tcBorders>
            <w:vAlign w:val="center"/>
            <w:hideMark/>
          </w:tcPr>
          <w:p w14:paraId="133737AB"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5,121</w:t>
            </w:r>
          </w:p>
        </w:tc>
        <w:tc>
          <w:tcPr>
            <w:tcW w:w="1890" w:type="dxa"/>
            <w:tcBorders>
              <w:top w:val="single" w:sz="4" w:space="0" w:color="auto"/>
              <w:left w:val="single" w:sz="4" w:space="0" w:color="auto"/>
              <w:bottom w:val="single" w:sz="4" w:space="0" w:color="auto"/>
              <w:right w:val="single" w:sz="4" w:space="0" w:color="auto"/>
            </w:tcBorders>
            <w:vAlign w:val="center"/>
            <w:hideMark/>
          </w:tcPr>
          <w:p w14:paraId="485F53B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1,671</w:t>
            </w:r>
          </w:p>
        </w:tc>
        <w:tc>
          <w:tcPr>
            <w:tcW w:w="1845" w:type="dxa"/>
            <w:tcBorders>
              <w:top w:val="single" w:sz="4" w:space="0" w:color="auto"/>
              <w:left w:val="single" w:sz="4" w:space="0" w:color="auto"/>
              <w:bottom w:val="single" w:sz="4" w:space="0" w:color="auto"/>
              <w:right w:val="single" w:sz="4" w:space="0" w:color="auto"/>
            </w:tcBorders>
            <w:vAlign w:val="center"/>
            <w:hideMark/>
          </w:tcPr>
          <w:p w14:paraId="0C1A8C77"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83</w:t>
            </w:r>
          </w:p>
        </w:tc>
        <w:tc>
          <w:tcPr>
            <w:tcW w:w="1545" w:type="dxa"/>
            <w:tcBorders>
              <w:top w:val="single" w:sz="4" w:space="0" w:color="auto"/>
              <w:left w:val="single" w:sz="4" w:space="0" w:color="auto"/>
              <w:bottom w:val="single" w:sz="4" w:space="0" w:color="auto"/>
              <w:right w:val="single" w:sz="4" w:space="0" w:color="auto"/>
            </w:tcBorders>
            <w:vAlign w:val="center"/>
            <w:hideMark/>
          </w:tcPr>
          <w:p w14:paraId="718B589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1,791</w:t>
            </w:r>
          </w:p>
        </w:tc>
        <w:tc>
          <w:tcPr>
            <w:tcW w:w="1650" w:type="dxa"/>
            <w:tcBorders>
              <w:top w:val="single" w:sz="4" w:space="0" w:color="auto"/>
              <w:left w:val="single" w:sz="4" w:space="0" w:color="auto"/>
              <w:bottom w:val="single" w:sz="4" w:space="0" w:color="auto"/>
              <w:right w:val="single" w:sz="4" w:space="0" w:color="auto"/>
            </w:tcBorders>
            <w:vAlign w:val="center"/>
            <w:hideMark/>
          </w:tcPr>
          <w:p w14:paraId="09D19A6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174</w:t>
            </w:r>
          </w:p>
        </w:tc>
      </w:tr>
    </w:tbl>
    <w:p w14:paraId="5B77DA49" w14:textId="77777777" w:rsidR="00FD315F" w:rsidRPr="00585DBF" w:rsidRDefault="00FD315F" w:rsidP="00FD315F">
      <w:pPr>
        <w:spacing w:after="0" w:line="240" w:lineRule="auto"/>
        <w:rPr>
          <w:rFonts w:ascii="Times New Roman" w:eastAsia="Times New Roman" w:hAnsi="Times New Roman" w:cs="Times New Roman"/>
          <w:bCs/>
          <w:kern w:val="0"/>
          <w:sz w:val="24"/>
          <w:szCs w:val="24"/>
          <w:lang w:val="en-GB" w:eastAsia="lt-LT"/>
          <w14:ligatures w14:val="none"/>
        </w:rPr>
      </w:pPr>
    </w:p>
    <w:p w14:paraId="1FFE0FB1" w14:textId="77777777" w:rsidR="00FD315F" w:rsidRPr="00585DBF" w:rsidRDefault="00FD315F" w:rsidP="00FD315F">
      <w:pPr>
        <w:spacing w:after="0" w:line="240" w:lineRule="auto"/>
        <w:jc w:val="both"/>
        <w:rPr>
          <w:rFonts w:ascii="Times New Roman" w:eastAsia="Times New Roman" w:hAnsi="Times New Roman" w:cs="Times New Roman"/>
          <w:sz w:val="24"/>
          <w:szCs w:val="24"/>
          <w:lang w:val="en-GB"/>
        </w:rPr>
      </w:pPr>
      <w:r w:rsidRPr="00585DBF">
        <w:rPr>
          <w:rFonts w:ascii="Times New Roman" w:eastAsia="Aptos" w:hAnsi="Times New Roman" w:cs="Times New Roman"/>
          <w:sz w:val="24"/>
          <w:szCs w:val="24"/>
          <w:lang w:val="en-GB"/>
        </w:rPr>
        <w:t xml:space="preserve">There are no special rules for the accommodation and security of convicted persons and detainees belonging to vulnerable groups (except for detainees and prisoners with disabilities) in places of deprivation of liberty. When each inmate is admitted to prison, an initial assessment of the indications of his or her vulnerability is compulsory to guide a decision on the specific place of his or her accommodation. Then the level of vulnerability is assessed by conducting a psychological assessment of each new inmate and the further process of service of their sentence is planned accordingly. </w:t>
      </w:r>
    </w:p>
    <w:p w14:paraId="70ACC5BA" w14:textId="77777777" w:rsidR="00FD315F" w:rsidRPr="00585DBF" w:rsidRDefault="00FD315F" w:rsidP="00FD315F">
      <w:pPr>
        <w:spacing w:after="0" w:line="240" w:lineRule="auto"/>
        <w:jc w:val="both"/>
        <w:rPr>
          <w:rFonts w:ascii="Times New Roman" w:eastAsia="Times New Roman" w:hAnsi="Times New Roman" w:cs="Times New Roman"/>
          <w:sz w:val="24"/>
          <w:szCs w:val="24"/>
          <w:lang w:val="en-GB"/>
        </w:rPr>
      </w:pPr>
    </w:p>
    <w:p w14:paraId="2F2A54E7" w14:textId="77777777" w:rsidR="00FD315F" w:rsidRPr="00585DBF" w:rsidRDefault="00FD315F" w:rsidP="00FD315F">
      <w:pPr>
        <w:jc w:val="both"/>
        <w:rPr>
          <w:rFonts w:ascii="Times New Roman" w:eastAsia="Times New Roman" w:hAnsi="Times New Roman" w:cs="Times New Roman"/>
          <w:sz w:val="24"/>
          <w:szCs w:val="24"/>
          <w:lang w:val="en-GB"/>
        </w:rPr>
      </w:pPr>
      <w:r w:rsidRPr="00585DBF">
        <w:rPr>
          <w:rFonts w:ascii="Times New Roman" w:hAnsi="Times New Roman" w:cs="Times New Roman"/>
          <w:sz w:val="24"/>
          <w:szCs w:val="24"/>
          <w:lang w:val="en-GB"/>
        </w:rPr>
        <w:t xml:space="preserve">Inmates with independence disorders who, due to physical disability, chronic illnesses, age or other reasons need the support of other persons in the area of mobility and self-care are accommodated in </w:t>
      </w:r>
      <w:r w:rsidRPr="00585DBF">
        <w:rPr>
          <w:rFonts w:ascii="Times New Roman" w:hAnsi="Times New Roman" w:cs="Times New Roman"/>
          <w:sz w:val="24"/>
          <w:szCs w:val="24"/>
          <w:lang w:val="en-GB"/>
        </w:rPr>
        <w:lastRenderedPageBreak/>
        <w:t>the premises specially adapted for this purpose or in special sectors where such inmates are provided with specialised help.</w:t>
      </w:r>
    </w:p>
    <w:p w14:paraId="0607DDCA" w14:textId="77777777" w:rsidR="00FD315F" w:rsidRPr="00585DBF" w:rsidRDefault="00FD315F" w:rsidP="00FD315F">
      <w:pPr>
        <w:jc w:val="both"/>
        <w:rPr>
          <w:rFonts w:ascii="Times New Roman" w:eastAsia="Calibri" w:hAnsi="Times New Roman" w:cs="Times New Roman"/>
          <w:b/>
          <w:bCs/>
          <w:sz w:val="24"/>
          <w:szCs w:val="24"/>
          <w:lang w:val="en-GB"/>
        </w:rPr>
      </w:pPr>
      <w:bookmarkStart w:id="32" w:name="_Hlk213677502"/>
      <w:r w:rsidRPr="00585DBF">
        <w:rPr>
          <w:rFonts w:ascii="Times New Roman" w:hAnsi="Times New Roman" w:cs="Times New Roman"/>
          <w:b/>
          <w:bCs/>
          <w:sz w:val="24"/>
          <w:szCs w:val="24"/>
          <w:lang w:val="en-GB"/>
        </w:rPr>
        <w:t>Paragraph 16 of the LoIPR</w:t>
      </w:r>
    </w:p>
    <w:bookmarkEnd w:id="32"/>
    <w:p w14:paraId="76D446E0" w14:textId="6ACE8AE8" w:rsidR="00FD315F" w:rsidRPr="00585DBF" w:rsidRDefault="00FD315F" w:rsidP="3240BACF">
      <w:pPr>
        <w:spacing w:after="0" w:line="240" w:lineRule="auto"/>
        <w:jc w:val="both"/>
        <w:rPr>
          <w:rFonts w:ascii="Times New Roman" w:eastAsia="Times New Roman" w:hAnsi="Times New Roman" w:cs="Times New Roman"/>
          <w:b/>
          <w:bCs/>
          <w:kern w:val="0"/>
          <w:sz w:val="24"/>
          <w:szCs w:val="24"/>
          <w:lang w:val="en-GB"/>
          <w14:ligatures w14:val="none"/>
        </w:rPr>
      </w:pPr>
      <w:r w:rsidRPr="00585DBF">
        <w:rPr>
          <w:rFonts w:ascii="Times New Roman" w:eastAsia="Aptos" w:hAnsi="Times New Roman" w:cs="Times New Roman"/>
          <w:sz w:val="24"/>
          <w:szCs w:val="24"/>
          <w:lang w:val="en-GB"/>
        </w:rPr>
        <w:t xml:space="preserve">Since 2020, all detainees have been covered by compulsory health insurance funded by the State, and they have </w:t>
      </w:r>
      <w:r w:rsidR="63AB12CB" w:rsidRPr="00585DBF">
        <w:rPr>
          <w:rFonts w:ascii="Times New Roman" w:eastAsia="Aptos" w:hAnsi="Times New Roman" w:cs="Times New Roman"/>
          <w:sz w:val="24"/>
          <w:szCs w:val="24"/>
          <w:lang w:val="en-GB"/>
        </w:rPr>
        <w:t xml:space="preserve">full </w:t>
      </w:r>
      <w:r w:rsidRPr="00585DBF">
        <w:rPr>
          <w:rFonts w:ascii="Times New Roman" w:eastAsia="Aptos" w:hAnsi="Times New Roman" w:cs="Times New Roman"/>
          <w:sz w:val="24"/>
          <w:szCs w:val="24"/>
          <w:lang w:val="en-GB"/>
        </w:rPr>
        <w:t xml:space="preserve">access to the same level and quality of free healthcare services in prisons as people in </w:t>
      </w:r>
      <w:r w:rsidR="5AA1DD82" w:rsidRPr="00585DBF">
        <w:rPr>
          <w:rFonts w:ascii="Times New Roman" w:eastAsia="Aptos" w:hAnsi="Times New Roman" w:cs="Times New Roman"/>
          <w:sz w:val="24"/>
          <w:szCs w:val="24"/>
          <w:lang w:val="en-GB"/>
        </w:rPr>
        <w:t>society</w:t>
      </w:r>
      <w:r w:rsidRPr="00585DBF">
        <w:rPr>
          <w:rFonts w:ascii="Times New Roman" w:eastAsia="Aptos" w:hAnsi="Times New Roman" w:cs="Times New Roman"/>
          <w:sz w:val="24"/>
          <w:szCs w:val="24"/>
          <w:lang w:val="en-GB"/>
        </w:rPr>
        <w:t>. Primary personal healthcare services (general practitioner, dentist and psychiatrist) for persons held in prisons are provided by specialists of the place of deprivation of liberty. In order to ensure the continuity of such services (during holidays, temporary incapacity for work of prison medical staff or in case of a shortage of medical staff working in prisons), in 2020–2021, contracts were made with all public personal healthcare institutions serving the areas where prisons are located for the provision of outpatient healthcare services to persons held in these prisons when there are temporarily no appropriate medical staff in the prisons.</w:t>
      </w:r>
    </w:p>
    <w:p w14:paraId="48AFFDEE"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22AD655C"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Every new inmate arriving at the prison is informed about all harm reduction measures applied in the prison, the prophylaxis and prevention of sexually transmitted diseases, is offered preventive testing for HIV and hepatitis C, is made aware of the harm of drug use, safe sexual behaviour, and prevention options. Information materials are always posted in places accessible to inmates. Where HIV, hepatitis or other communicable diseases are identified, inmates are immediately given the treatment necessary (for example, antiretroviral therapy is applied to about 83% of HIV-infected inmates).</w:t>
      </w:r>
    </w:p>
    <w:p w14:paraId="7116425A"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7DFC5EEB"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2022, an algorithm for the provision of comprehensive support in prisons to detainees and convicted persons who use psychoactive substances was approved and the measures provided for therein began to be implemented. The algorithm establishes the principles for the timely identification of psychoactive substance use and appropriate response, measures of medical and psychosocial aid applied in prisons (first aid, detoxification, assistance in day care, rehabilitation and post-rehabilitation centres, substitution treatment, preparation of inmates who use psychoactive substances for release to freedom (ensuring the continuity of assistance measures)</w:t>
      </w:r>
      <w:bookmarkStart w:id="33" w:name="_Hlk122191854"/>
      <w:r w:rsidRPr="00585DBF">
        <w:rPr>
          <w:rFonts w:ascii="Times New Roman" w:eastAsia="Aptos" w:hAnsi="Times New Roman" w:cs="Times New Roman"/>
          <w:sz w:val="24"/>
          <w:szCs w:val="24"/>
          <w:lang w:val="en-GB"/>
        </w:rPr>
        <w:t xml:space="preserve">, </w:t>
      </w:r>
      <w:bookmarkEnd w:id="33"/>
      <w:r w:rsidRPr="00585DBF">
        <w:rPr>
          <w:rFonts w:ascii="Times New Roman" w:eastAsia="Aptos" w:hAnsi="Times New Roman" w:cs="Times New Roman"/>
          <w:sz w:val="24"/>
          <w:szCs w:val="24"/>
          <w:lang w:val="en-GB"/>
        </w:rPr>
        <w:t xml:space="preserve">and other assistance and prevention measures (education/motivation, condom distribution, prevention and treatment of communicable diseases) and the conditions for the application of such measures, the competences of the professionals providing assistance, and the procedure for their professional development. In order to improve the identification of inmates suffering from addiction diseases and their motivation to seek treatment for these diseases, additional addiction counsellors and case managers were be employed in prisons in 2023. </w:t>
      </w:r>
    </w:p>
    <w:p w14:paraId="55D250AF"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006E386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2022, detoxification services began to be provided in places of deprivation of liberty. All prisons ensure substitute treatment services for opioid dependence, inmates can continue treatment started outside prison or start it in prison. Each prison has a day centre for inmates who are dependent on psychoactive substances. Long-term rehabilitation centres operate in 5 prisons and post-rehabilitation centres in 3 prisons. There are plans to further expand the network of these centres. To ensure the effective prevention of overdose, each opioid-dependent person released from prison is given a naloxone kit.</w:t>
      </w:r>
    </w:p>
    <w:p w14:paraId="1F7646F9" w14:textId="77777777" w:rsidR="00FD315F" w:rsidRPr="00585DBF" w:rsidRDefault="00FD315F" w:rsidP="00FD315F">
      <w:pPr>
        <w:spacing w:after="0" w:line="240" w:lineRule="auto"/>
        <w:rPr>
          <w:rFonts w:ascii="Times New Roman" w:eastAsia="Times New Roman" w:hAnsi="Times New Roman" w:cs="Times New Roman"/>
          <w:kern w:val="0"/>
          <w:sz w:val="24"/>
          <w:szCs w:val="24"/>
          <w:lang w:val="en-GB" w:eastAsia="lt-LT"/>
          <w14:ligatures w14:val="none"/>
        </w:rPr>
      </w:pPr>
    </w:p>
    <w:p w14:paraId="178D6E7D" w14:textId="77777777" w:rsidR="00FD315F" w:rsidRPr="00585DBF" w:rsidRDefault="00FD315F" w:rsidP="00FD315F">
      <w:pPr>
        <w:spacing w:after="0" w:line="240" w:lineRule="auto"/>
        <w:jc w:val="both"/>
        <w:rPr>
          <w:rFonts w:ascii="Times New Roman" w:eastAsia="Arial" w:hAnsi="Times New Roman" w:cs="Times New Roman"/>
          <w:color w:val="091A5A"/>
          <w:sz w:val="24"/>
          <w:szCs w:val="24"/>
          <w:lang w:val="en-GB"/>
        </w:rPr>
      </w:pPr>
      <w:r w:rsidRPr="00585DBF">
        <w:rPr>
          <w:rFonts w:ascii="Times New Roman" w:eastAsia="Aptos" w:hAnsi="Times New Roman" w:cs="Times New Roman"/>
          <w:sz w:val="24"/>
          <w:szCs w:val="24"/>
          <w:lang w:val="en-GB"/>
        </w:rPr>
        <w:t>In order to ensure the provision of expert assistance to specialists working with addictions in places of deprivation of liberty, a model for cooperation with the Republican Centre for Addictive Disorders was developed together with the Ministry of Health in 2023. The model ensures the provision of necessary methodological assistance, ongoing training of specialists and the external assessment of the effectiveness of assistance measures applied in prisons to inmates who use psychoactive substances. Inter-institutional cooperation is also developed with the institution coordinating the implementation of the national alcohol, drug and tobacco control policy, jointly planning and implementing addiction prevention projects in prisons, training prison staff, and providing expert assistance to prison staff.</w:t>
      </w:r>
    </w:p>
    <w:p w14:paraId="27D480F3"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1E63A9B5" w14:textId="77777777" w:rsidR="00FD315F" w:rsidRPr="00585DBF" w:rsidRDefault="00FD315F" w:rsidP="00FD315F">
      <w:pPr>
        <w:spacing w:after="0" w:line="240" w:lineRule="auto"/>
        <w:jc w:val="both"/>
        <w:rPr>
          <w:rFonts w:ascii="Times New Roman" w:eastAsia="Times New Roman" w:hAnsi="Times New Roman" w:cs="Times New Roman"/>
          <w:sz w:val="24"/>
          <w:szCs w:val="24"/>
          <w:lang w:val="en-GB"/>
        </w:rPr>
      </w:pPr>
      <w:r w:rsidRPr="00585DBF">
        <w:rPr>
          <w:rFonts w:ascii="Times New Roman" w:eastAsia="Aptos" w:hAnsi="Times New Roman" w:cs="Times New Roman"/>
          <w:sz w:val="24"/>
          <w:szCs w:val="24"/>
          <w:lang w:val="en-GB"/>
        </w:rPr>
        <w:t>From 2022, additional funding is allocated to non-governmental organisations that can contribute to the provision of psychosocial support for inmates suffering from addiction.</w:t>
      </w:r>
    </w:p>
    <w:p w14:paraId="70724228" w14:textId="77777777" w:rsidR="00FD315F" w:rsidRPr="00585DBF" w:rsidRDefault="00FD315F" w:rsidP="00FD315F">
      <w:pPr>
        <w:spacing w:after="0" w:line="240" w:lineRule="auto"/>
        <w:jc w:val="both"/>
        <w:rPr>
          <w:rFonts w:ascii="Times New Roman" w:eastAsia="Times New Roman" w:hAnsi="Times New Roman" w:cs="Times New Roman"/>
          <w:sz w:val="24"/>
          <w:szCs w:val="24"/>
          <w:lang w:val="en-GB" w:eastAsia="lt-LT"/>
        </w:rPr>
      </w:pPr>
    </w:p>
    <w:p w14:paraId="6A60DFF8" w14:textId="7EF592D1" w:rsidR="00FD315F" w:rsidRPr="00585DBF" w:rsidRDefault="00FD315F" w:rsidP="00FD315F">
      <w:pPr>
        <w:spacing w:after="0" w:line="240" w:lineRule="auto"/>
        <w:jc w:val="both"/>
        <w:rPr>
          <w:rFonts w:ascii="Times New Roman" w:eastAsia="Aptos" w:hAnsi="Times New Roman" w:cs="Times New Roman"/>
          <w:sz w:val="24"/>
          <w:szCs w:val="24"/>
          <w:lang w:val="en-GB"/>
        </w:rPr>
      </w:pPr>
      <w:r w:rsidRPr="00585DBF">
        <w:rPr>
          <w:rFonts w:ascii="Times New Roman" w:eastAsia="Aptos" w:hAnsi="Times New Roman" w:cs="Times New Roman"/>
          <w:sz w:val="24"/>
          <w:szCs w:val="24"/>
          <w:lang w:val="en-GB"/>
        </w:rPr>
        <w:t xml:space="preserve">Measures to more effectively prevent narcotic substances from entering prisons and being distributed within prisons are also being strengthened. With amendments to the </w:t>
      </w:r>
      <w:r w:rsidR="009E7B0B" w:rsidRPr="00585DBF">
        <w:rPr>
          <w:rFonts w:ascii="Times New Roman" w:eastAsia="Aptos" w:hAnsi="Times New Roman" w:cs="Times New Roman"/>
          <w:sz w:val="24"/>
          <w:szCs w:val="24"/>
          <w:lang w:val="en-GB"/>
        </w:rPr>
        <w:t>CES</w:t>
      </w:r>
      <w:r w:rsidRPr="00585DBF">
        <w:rPr>
          <w:rFonts w:ascii="Times New Roman" w:eastAsia="Aptos" w:hAnsi="Times New Roman" w:cs="Times New Roman"/>
          <w:sz w:val="24"/>
          <w:szCs w:val="24"/>
          <w:lang w:val="en-GB"/>
        </w:rPr>
        <w:t xml:space="preserve">, it became possible since 2023 to apply preventive measures to inmates suspected of distributing narcotic substances – to temporarily suspend their right to receive and send letters, make phone calls, have visits, get short-term leaves from prison, restrict their contact with other inmates. Following changes to the internal prison regulations, from 2024 all inmates held in closed prisons are only given copies of letters received in their name (this rule does not apply only to letters sent to inmates by state authorities, international organisations and defence lawyers). </w:t>
      </w:r>
    </w:p>
    <w:p w14:paraId="217D10D3" w14:textId="77777777" w:rsidR="00FD315F" w:rsidRPr="00585DBF" w:rsidRDefault="00FD315F" w:rsidP="00FD315F">
      <w:pPr>
        <w:spacing w:after="0" w:line="240" w:lineRule="auto"/>
        <w:rPr>
          <w:rFonts w:ascii="Times New Roman" w:eastAsia="Times New Roman" w:hAnsi="Times New Roman" w:cs="Times New Roman"/>
          <w:kern w:val="0"/>
          <w:sz w:val="24"/>
          <w:szCs w:val="24"/>
          <w:lang w:val="en-GB" w:eastAsia="lt-LT"/>
          <w14:ligatures w14:val="none"/>
        </w:rPr>
      </w:pPr>
    </w:p>
    <w:p w14:paraId="55FB3F6D" w14:textId="77777777" w:rsidR="00FD315F" w:rsidRPr="00585DBF" w:rsidRDefault="00FD315F" w:rsidP="00FD315F">
      <w:pPr>
        <w:jc w:val="both"/>
        <w:rPr>
          <w:rFonts w:ascii="Times New Roman" w:eastAsia="Times New Roman" w:hAnsi="Times New Roman" w:cs="Times New Roman"/>
          <w:bCs/>
          <w:kern w:val="0"/>
          <w:sz w:val="24"/>
          <w:szCs w:val="24"/>
          <w:lang w:val="en-GB"/>
          <w14:ligatures w14:val="none"/>
        </w:rPr>
      </w:pPr>
      <w:r w:rsidRPr="00585DBF">
        <w:rPr>
          <w:rFonts w:ascii="Times New Roman" w:hAnsi="Times New Roman" w:cs="Times New Roman"/>
          <w:sz w:val="24"/>
          <w:szCs w:val="24"/>
          <w:lang w:val="en-GB"/>
        </w:rPr>
        <w:t>In order to limit other opportunities for narcotic and psychotropic substances to enter prisons, the control of persons entering prisons is being strengthened by technical means. Many prisons have new or upgraded perimeter surveillance systems installed, a multi-sensor drone detection, identification, tracking and neutralisation device has been purchased, the use of drones to monitor prison access points is being developed.</w:t>
      </w:r>
    </w:p>
    <w:p w14:paraId="22BD0B19" w14:textId="77777777" w:rsidR="00FD315F" w:rsidRPr="00585DBF" w:rsidRDefault="00FD315F" w:rsidP="00FD315F">
      <w:pPr>
        <w:jc w:val="both"/>
        <w:rPr>
          <w:rFonts w:ascii="Times New Roman" w:eastAsia="Calibri" w:hAnsi="Times New Roman" w:cs="Times New Roman"/>
          <w:b/>
          <w:bCs/>
          <w:sz w:val="24"/>
          <w:szCs w:val="24"/>
          <w:lang w:val="en-GB"/>
        </w:rPr>
      </w:pPr>
      <w:r w:rsidRPr="00585DBF">
        <w:rPr>
          <w:rFonts w:ascii="Times New Roman" w:hAnsi="Times New Roman" w:cs="Times New Roman"/>
          <w:b/>
          <w:bCs/>
          <w:sz w:val="24"/>
          <w:szCs w:val="24"/>
          <w:lang w:val="en-GB"/>
        </w:rPr>
        <w:t xml:space="preserve">Paragraph 17 of the </w:t>
      </w:r>
      <w:r w:rsidRPr="00585DBF">
        <w:rPr>
          <w:rFonts w:ascii="Times New Roman" w:eastAsia="Times New Roman" w:hAnsi="Times New Roman" w:cs="Times New Roman"/>
          <w:b/>
          <w:kern w:val="0"/>
          <w:sz w:val="24"/>
          <w:szCs w:val="24"/>
          <w:lang w:val="en-GB" w:eastAsia="lt-LT"/>
          <w14:ligatures w14:val="none"/>
        </w:rPr>
        <w:t>LoIPR</w:t>
      </w:r>
    </w:p>
    <w:p w14:paraId="495F710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The Law on Enforcement of </w:t>
      </w:r>
      <w:bookmarkStart w:id="34" w:name="_Hlk213677655"/>
      <w:r w:rsidRPr="00585DBF">
        <w:rPr>
          <w:rFonts w:ascii="Times New Roman" w:eastAsia="Aptos" w:hAnsi="Times New Roman" w:cs="Times New Roman"/>
          <w:sz w:val="24"/>
          <w:szCs w:val="24"/>
          <w:lang w:val="en-GB"/>
        </w:rPr>
        <w:t xml:space="preserve">Pre-trial Detention </w:t>
      </w:r>
      <w:bookmarkEnd w:id="34"/>
      <w:r w:rsidRPr="00585DBF">
        <w:rPr>
          <w:rFonts w:ascii="Times New Roman" w:eastAsia="Aptos" w:hAnsi="Times New Roman" w:cs="Times New Roman"/>
          <w:sz w:val="24"/>
          <w:szCs w:val="24"/>
          <w:lang w:val="en-GB"/>
        </w:rPr>
        <w:t>states that the persons who have been imposed remand may, prior to their dispatch to an institution of deprivation of liberty, be held in a territorial police arrest facility for no longer than fifteen days, while procedural actions that cannot be performed while these persons are in a place of deprivation of liberty are carried out. After such procedural actions have been performed, these persons shall be immediately transferred to a place of deprivation of liberty. During pre-trial investigation, remand detainees may be transferred from a place of deprivation of liberty to (placed in) a police arrest facility for no longer than seven days by a reasoned decision of a prosecutor or, during the case hearing at court, by a reasoned ruling of a judge or court, in order to carry out procedural actions if it is impossible to ensure the performance of such actions during the stay of the remand detainees in a place of deprivation of liberty or due to their participation in the hearing of cases at court. Such regulation creates conditions for:</w:t>
      </w:r>
    </w:p>
    <w:p w14:paraId="6D802D86" w14:textId="77777777" w:rsidR="00FD315F" w:rsidRPr="00585DBF" w:rsidRDefault="00FD315F" w:rsidP="00FD315F">
      <w:pPr>
        <w:numPr>
          <w:ilvl w:val="0"/>
          <w:numId w:val="3"/>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effective planning, performance and completion of pre-trial investigation actions;</w:t>
      </w:r>
    </w:p>
    <w:p w14:paraId="695F63EA" w14:textId="77777777" w:rsidR="00FD315F" w:rsidRPr="00585DBF" w:rsidRDefault="00FD315F" w:rsidP="00FD315F">
      <w:pPr>
        <w:numPr>
          <w:ilvl w:val="0"/>
          <w:numId w:val="3"/>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ensuring effective participation of persons in court hearings (no additional transportation of a person when there is a short interval between scheduled court hearings);</w:t>
      </w:r>
    </w:p>
    <w:p w14:paraId="0B88FA21" w14:textId="77777777" w:rsidR="00FD315F" w:rsidRPr="00585DBF" w:rsidRDefault="00FD315F" w:rsidP="00FD315F">
      <w:pPr>
        <w:numPr>
          <w:ilvl w:val="0"/>
          <w:numId w:val="3"/>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avoiding violations of the rights of persons being transported (too frequent transportation of persons, inability to ensure adequate nutrition during transportation);</w:t>
      </w:r>
    </w:p>
    <w:p w14:paraId="20F0699B" w14:textId="77777777" w:rsidR="00FD315F" w:rsidRPr="00585DBF" w:rsidRDefault="00FD315F" w:rsidP="00FD315F">
      <w:pPr>
        <w:numPr>
          <w:ilvl w:val="0"/>
          <w:numId w:val="3"/>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ensuring the quality of pre-trial investigation (aim to implement the principles of prompt and thorough criminal proceedings, make effective use of the material resources of pre-trial investigation institutions and avoid obstacles to the proper conduct of pre-trial investigation actions (e.g., when a procedural action needs to be performed not only with participants in the proceedings who are in the place of deprivation of liberty (for confrontation, experiment, presentation for identification, etc.) or when it is necessary to perform many procedural actions in a short period of time).</w:t>
      </w:r>
    </w:p>
    <w:p w14:paraId="421019D4"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EBBAE8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Since 2021, there are only five police arrest facilities operating in the country, all their buildings are newly built, in good condition and fully comply with the technical and hygiene requirements applicable to police arrest facilities. The occupancy of police arrest facilities is 20 per cent on average, therefore, there are no problems to ensure that individuals are held separately. Arrested, remanded and convicted persons are always held separately from each other. </w:t>
      </w:r>
    </w:p>
    <w:p w14:paraId="0123936B" w14:textId="77777777" w:rsidR="00FD315F" w:rsidRPr="00585DBF" w:rsidRDefault="00FD315F" w:rsidP="00FD315F">
      <w:pPr>
        <w:spacing w:after="0" w:line="240" w:lineRule="auto"/>
        <w:rPr>
          <w:rFonts w:ascii="Times New Roman" w:eastAsia="Times New Roman" w:hAnsi="Times New Roman" w:cs="Times New Roman"/>
          <w:kern w:val="0"/>
          <w:sz w:val="24"/>
          <w:szCs w:val="24"/>
          <w:lang w:val="en-GB" w:eastAsia="lt-LT"/>
          <w14:ligatures w14:val="none"/>
        </w:rPr>
      </w:pPr>
    </w:p>
    <w:p w14:paraId="4CDB14A9"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Interview rooms in police arrest facilities can have a space set up for a detained person, not smaller than 1 square meter, separated up to the ceiling by a barred partition with a lockable door and a gap </w:t>
      </w:r>
      <w:r w:rsidRPr="00585DBF">
        <w:rPr>
          <w:rFonts w:ascii="Times New Roman" w:eastAsia="Aptos" w:hAnsi="Times New Roman" w:cs="Times New Roman"/>
          <w:sz w:val="24"/>
          <w:szCs w:val="24"/>
          <w:lang w:val="en-GB"/>
        </w:rPr>
        <w:lastRenderedPageBreak/>
        <w:t>for passing documents. It should be noted that such a space for a detained person is set up in order to prevent an escape, assault and other unlawful acts of by detained person, to ensure the safety of the investigator who is dealing with the person and carrying out procedural actions or of other persons who also use the interviewing rooms, e.g., the defence counsel. In view of this, the police institutions have not identified any reasons for which they should no longer use such barred spaces for detained persons in interviewing rooms.</w:t>
      </w:r>
    </w:p>
    <w:p w14:paraId="0BB4785B"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2579FBA6" w14:textId="77777777" w:rsidR="00FD315F" w:rsidRPr="00585DBF" w:rsidRDefault="00FD315F" w:rsidP="00FD315F">
      <w:pPr>
        <w:spacing w:line="240" w:lineRule="auto"/>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kern w:val="0"/>
          <w:sz w:val="24"/>
          <w:szCs w:val="24"/>
          <w:lang w:val="en-GB"/>
          <w14:ligatures w14:val="none"/>
        </w:rPr>
        <w:t>Lithuanian legal acts do not prohibit the use of restraint beds. Specially designed restraint beds are used only in exceptional cases in police arrest facilities when a detained person behaves inappropriately due to alcohol or narcotic abstinence and in order to protect him or her from self-harm. Such beds are used only for an exceptionally short period of time, until healthcare professionals arrive at the police arrest facility to assess the condition of the detained person and, if necessary, psychiatric service staff, i.e. until the person is taken to a psychiatric healthcare institution. It should be noted that such beds have the necessary certificates of use.</w:t>
      </w:r>
    </w:p>
    <w:p w14:paraId="53B7D8CF" w14:textId="77777777" w:rsidR="00FD315F" w:rsidRPr="00585DBF" w:rsidRDefault="00FD315F" w:rsidP="00FD315F">
      <w:pPr>
        <w:jc w:val="both"/>
        <w:rPr>
          <w:rFonts w:ascii="Times New Roman" w:hAnsi="Times New Roman" w:cs="Times New Roman"/>
          <w:b/>
          <w:bCs/>
          <w:sz w:val="24"/>
          <w:szCs w:val="24"/>
          <w:lang w:val="en-GB"/>
        </w:rPr>
      </w:pPr>
      <w:r w:rsidRPr="00585DBF">
        <w:rPr>
          <w:rFonts w:ascii="Times New Roman" w:hAnsi="Times New Roman" w:cs="Times New Roman"/>
          <w:b/>
          <w:bCs/>
          <w:sz w:val="24"/>
          <w:szCs w:val="24"/>
          <w:lang w:val="en-GB"/>
        </w:rPr>
        <w:t xml:space="preserve">Paragraph 18 of the </w:t>
      </w:r>
      <w:r w:rsidRPr="00585DBF">
        <w:rPr>
          <w:rFonts w:ascii="Times New Roman" w:eastAsia="Times New Roman" w:hAnsi="Times New Roman" w:cs="Times New Roman"/>
          <w:b/>
          <w:kern w:val="0"/>
          <w:sz w:val="24"/>
          <w:szCs w:val="24"/>
          <w:lang w:val="en-GB" w:eastAsia="lt-LT"/>
          <w14:ligatures w14:val="none"/>
        </w:rPr>
        <w:t>LoIPR</w:t>
      </w:r>
    </w:p>
    <w:p w14:paraId="4F055E4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With the continuous strengthening of preventive measures and early assistance, as well as the availability of community services, the need for socialisation centres for minors has significantly decreased. While there were five such centres operating in Lithuania in 2015, there is currently only one children's socialisation centre, which has two units (for boys and girls). </w:t>
      </w:r>
      <w:bookmarkStart w:id="35" w:name="_Hlk207287732"/>
      <w:r w:rsidRPr="00585DBF">
        <w:rPr>
          <w:rFonts w:ascii="Times New Roman" w:eastAsia="Aptos" w:hAnsi="Times New Roman" w:cs="Times New Roman"/>
          <w:sz w:val="24"/>
          <w:szCs w:val="24"/>
          <w:lang w:val="en-GB"/>
        </w:rPr>
        <w:t>In 2023,</w:t>
      </w:r>
      <w:bookmarkEnd w:id="35"/>
      <w:r w:rsidRPr="00585DBF">
        <w:rPr>
          <w:rFonts w:ascii="Times New Roman" w:eastAsia="Aptos" w:hAnsi="Times New Roman" w:cs="Times New Roman"/>
          <w:sz w:val="24"/>
          <w:szCs w:val="24"/>
          <w:lang w:val="en-GB"/>
        </w:rPr>
        <w:t xml:space="preserve"> the modernisation of the infrastructure of the children’s socialisation centre was completed; around 30 minors live in this centre on a permanent basis.</w:t>
      </w:r>
    </w:p>
    <w:p w14:paraId="1BFFBFC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D6C651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2023, the education content adapted to the needs of the children was implemented in the Children's Socialisation Centre, 60 employees of this centre were trained to apply the Aggressive Behaviour Prevention and Management Programme, the START:AV assessment tool, which identifies the individual needs, strengths and weaknesses of adolescents, the likelihood of repeated risky behaviour, as well as other specialised programs and measures (e.g., the Child Emotion Expression Control Training Program, STEP – a programme for parents of children of various ages, which aims to develop and improve parenting skills). </w:t>
      </w:r>
    </w:p>
    <w:p w14:paraId="0270227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pl-PL"/>
          <w14:ligatures w14:val="none"/>
        </w:rPr>
      </w:pPr>
    </w:p>
    <w:p w14:paraId="22E6FEA8" w14:textId="77777777" w:rsidR="00FD315F" w:rsidRPr="00585DBF" w:rsidRDefault="00FD315F" w:rsidP="00FD315F">
      <w:pPr>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kern w:val="0"/>
          <w:sz w:val="24"/>
          <w:szCs w:val="24"/>
          <w:lang w:val="en-GB"/>
          <w14:ligatures w14:val="none"/>
        </w:rPr>
        <w:t xml:space="preserve">In order to increase the effectiveness of minimum and medium supervision and reformative sanctions for children, expand the range of parallel support measures available to parents (guardians) and strengthen the involvement of local municipal authorities in the planning and monitoring of these measures, a review of the </w:t>
      </w:r>
      <w:bookmarkStart w:id="36" w:name="_Hlk207366547"/>
      <w:r w:rsidRPr="00585DBF">
        <w:rPr>
          <w:rFonts w:ascii="Times New Roman" w:eastAsia="Aptos" w:hAnsi="Times New Roman" w:cs="Times New Roman"/>
          <w:kern w:val="0"/>
          <w:sz w:val="24"/>
          <w:szCs w:val="24"/>
          <w:lang w:val="en-GB"/>
          <w14:ligatures w14:val="none"/>
        </w:rPr>
        <w:t>model of minimum and medium supervision of children</w:t>
      </w:r>
      <w:bookmarkEnd w:id="36"/>
      <w:r w:rsidRPr="00585DBF">
        <w:rPr>
          <w:rFonts w:ascii="Times New Roman" w:eastAsia="Aptos" w:hAnsi="Times New Roman" w:cs="Times New Roman"/>
          <w:kern w:val="0"/>
          <w:sz w:val="24"/>
          <w:szCs w:val="24"/>
          <w:lang w:val="en-GB"/>
          <w14:ligatures w14:val="none"/>
        </w:rPr>
        <w:t xml:space="preserve"> was launched in 2022 and amendments to the legal acts regulating this model are currently drafted. There are no plans to adopt a separate juvenile justice programme.</w:t>
      </w:r>
    </w:p>
    <w:p w14:paraId="12C43B31" w14:textId="77777777" w:rsidR="00FD315F" w:rsidRPr="00585DBF" w:rsidRDefault="00FD315F" w:rsidP="00FD315F">
      <w:pPr>
        <w:jc w:val="both"/>
        <w:rPr>
          <w:rFonts w:ascii="Times New Roman" w:hAnsi="Times New Roman" w:cs="Times New Roman"/>
          <w:b/>
          <w:bCs/>
          <w:sz w:val="24"/>
          <w:szCs w:val="24"/>
          <w:lang w:val="en-GB"/>
        </w:rPr>
      </w:pPr>
      <w:bookmarkStart w:id="37" w:name="_Hlk213680816"/>
      <w:r w:rsidRPr="00585DBF">
        <w:rPr>
          <w:rFonts w:ascii="Times New Roman" w:hAnsi="Times New Roman" w:cs="Times New Roman"/>
          <w:b/>
          <w:bCs/>
          <w:sz w:val="24"/>
          <w:szCs w:val="24"/>
          <w:lang w:val="en-GB"/>
        </w:rPr>
        <w:t xml:space="preserve">Paragraph 19 of the </w:t>
      </w:r>
      <w:r w:rsidRPr="00585DBF">
        <w:rPr>
          <w:rFonts w:ascii="Times New Roman" w:eastAsia="Times New Roman" w:hAnsi="Times New Roman" w:cs="Times New Roman"/>
          <w:b/>
          <w:kern w:val="0"/>
          <w:sz w:val="24"/>
          <w:szCs w:val="24"/>
          <w:lang w:val="en-GB" w:eastAsia="lt-LT"/>
          <w14:ligatures w14:val="none"/>
        </w:rPr>
        <w:t>LoIPR</w:t>
      </w:r>
    </w:p>
    <w:bookmarkEnd w:id="37"/>
    <w:p w14:paraId="0D1F8E36"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14:ligatures w14:val="none"/>
        </w:rPr>
      </w:pPr>
      <w:r w:rsidRPr="00585DBF">
        <w:rPr>
          <w:rFonts w:ascii="Times New Roman" w:eastAsia="Aptos" w:hAnsi="Times New Roman" w:cs="Times New Roman"/>
          <w:sz w:val="24"/>
          <w:szCs w:val="24"/>
          <w:lang w:val="en-GB"/>
        </w:rPr>
        <w:t>Compulsory hospitalisation and compulsory treatment in Lithuania may be applied on two grounds:</w:t>
      </w:r>
    </w:p>
    <w:p w14:paraId="0E9F6511" w14:textId="77777777" w:rsidR="00FD315F" w:rsidRPr="00585DBF" w:rsidRDefault="00FD315F" w:rsidP="00FD315F">
      <w:pPr>
        <w:numPr>
          <w:ilvl w:val="0"/>
          <w:numId w:val="2"/>
        </w:numPr>
        <w:tabs>
          <w:tab w:val="left" w:pos="284"/>
        </w:tabs>
        <w:spacing w:after="0" w:line="240" w:lineRule="auto"/>
        <w:ind w:left="284" w:hanging="284"/>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 xml:space="preserve">on criminal grounds, i.e. for persons who have been declared as legally incapacitated or of limited legal capacity by a court in criminal proceedings or who, after the commission of a criminal offence or the imposition of a sentence, have suffered from a mental disorder rendering them incapable of understanding the nature of their actions or controlling them. </w:t>
      </w:r>
    </w:p>
    <w:p w14:paraId="13F5008A" w14:textId="77777777" w:rsidR="00FD315F" w:rsidRPr="00585DBF" w:rsidRDefault="00FD315F" w:rsidP="00FD315F">
      <w:pPr>
        <w:numPr>
          <w:ilvl w:val="0"/>
          <w:numId w:val="2"/>
        </w:numPr>
        <w:tabs>
          <w:tab w:val="left" w:pos="284"/>
        </w:tabs>
        <w:spacing w:after="0" w:line="240" w:lineRule="auto"/>
        <w:ind w:left="284" w:hanging="284"/>
        <w:contextualSpacing/>
        <w:jc w:val="both"/>
        <w:rPr>
          <w:rFonts w:ascii="Times New Roman" w:eastAsia="Calibri" w:hAnsi="Times New Roman" w:cs="Times New Roman"/>
          <w:sz w:val="24"/>
          <w:szCs w:val="24"/>
          <w:lang w:val="en-GB"/>
        </w:rPr>
      </w:pPr>
      <w:r w:rsidRPr="00585DBF">
        <w:rPr>
          <w:rFonts w:ascii="Times New Roman" w:eastAsia="Aptos" w:hAnsi="Times New Roman" w:cs="Times New Roman"/>
          <w:sz w:val="24"/>
          <w:szCs w:val="24"/>
          <w:lang w:val="en-GB"/>
        </w:rPr>
        <w:t xml:space="preserve">on civil grounds, i.e. for patients with mental and behavioural disorders who refuse to be hospitalised only if their behaviour and/or other objective data reasonably indicate that there is a real threat that their actions or inaction can cause substantial damage to their own or other people's health, life and/or property. </w:t>
      </w:r>
    </w:p>
    <w:p w14:paraId="39226CEC" w14:textId="77777777" w:rsidR="00FD315F" w:rsidRDefault="00FD315F" w:rsidP="00FD315F">
      <w:pPr>
        <w:tabs>
          <w:tab w:val="left" w:pos="567"/>
        </w:tabs>
        <w:spacing w:after="0" w:line="240" w:lineRule="auto"/>
        <w:jc w:val="both"/>
        <w:rPr>
          <w:rFonts w:ascii="Times New Roman" w:eastAsia="Calibri" w:hAnsi="Times New Roman" w:cs="Times New Roman"/>
          <w:sz w:val="24"/>
          <w:szCs w:val="24"/>
          <w:lang w:val="en-GB"/>
        </w:rPr>
      </w:pPr>
    </w:p>
    <w:p w14:paraId="1041135D" w14:textId="77777777" w:rsidR="00F73F17" w:rsidRDefault="00F73F17" w:rsidP="00FD315F">
      <w:pPr>
        <w:tabs>
          <w:tab w:val="left" w:pos="567"/>
        </w:tabs>
        <w:spacing w:after="0" w:line="240" w:lineRule="auto"/>
        <w:jc w:val="both"/>
        <w:rPr>
          <w:rFonts w:ascii="Times New Roman" w:eastAsia="Calibri" w:hAnsi="Times New Roman" w:cs="Times New Roman"/>
          <w:sz w:val="24"/>
          <w:szCs w:val="24"/>
          <w:lang w:val="en-GB"/>
        </w:rPr>
      </w:pPr>
    </w:p>
    <w:p w14:paraId="6456EF86" w14:textId="77777777" w:rsidR="00F73F17" w:rsidRPr="00585DBF" w:rsidRDefault="00F73F17" w:rsidP="00FD315F">
      <w:pPr>
        <w:tabs>
          <w:tab w:val="left" w:pos="567"/>
        </w:tabs>
        <w:spacing w:after="0" w:line="240" w:lineRule="auto"/>
        <w:jc w:val="both"/>
        <w:rPr>
          <w:rFonts w:ascii="Times New Roman" w:eastAsia="Calibri" w:hAnsi="Times New Roman" w:cs="Times New Roman"/>
          <w:sz w:val="24"/>
          <w:szCs w:val="24"/>
          <w:lang w:val="en-GB"/>
        </w:rPr>
      </w:pPr>
    </w:p>
    <w:p w14:paraId="78B97BD0" w14:textId="77777777" w:rsidR="00FD315F" w:rsidRPr="00585DBF" w:rsidRDefault="00FD315F" w:rsidP="00FD315F">
      <w:pPr>
        <w:tabs>
          <w:tab w:val="left" w:pos="567"/>
        </w:tabs>
        <w:spacing w:after="0" w:line="240" w:lineRule="auto"/>
        <w:jc w:val="both"/>
        <w:rPr>
          <w:rFonts w:ascii="Times New Roman" w:eastAsia="Calibri" w:hAnsi="Times New Roman" w:cs="Times New Roman"/>
          <w:b/>
          <w:bCs/>
          <w:i/>
          <w:iCs/>
          <w:sz w:val="24"/>
          <w:szCs w:val="24"/>
          <w:lang w:val="en-GB"/>
        </w:rPr>
      </w:pPr>
      <w:r w:rsidRPr="00585DBF">
        <w:rPr>
          <w:rFonts w:ascii="Times New Roman" w:eastAsia="Aptos" w:hAnsi="Times New Roman" w:cs="Times New Roman"/>
          <w:b/>
          <w:i/>
          <w:sz w:val="24"/>
          <w:szCs w:val="24"/>
          <w:lang w:val="en-GB"/>
        </w:rPr>
        <w:lastRenderedPageBreak/>
        <w:t>Information on cases of compulsory hospitalisation in psychiatric hospitals:</w:t>
      </w:r>
    </w:p>
    <w:tbl>
      <w:tblPr>
        <w:tblStyle w:val="Lentelstinklelis3"/>
        <w:tblW w:w="9634" w:type="dxa"/>
        <w:tblInd w:w="0" w:type="dxa"/>
        <w:tblLook w:val="04A0" w:firstRow="1" w:lastRow="0" w:firstColumn="1" w:lastColumn="0" w:noHBand="0" w:noVBand="1"/>
      </w:tblPr>
      <w:tblGrid>
        <w:gridCol w:w="1838"/>
        <w:gridCol w:w="1129"/>
        <w:gridCol w:w="1276"/>
        <w:gridCol w:w="1276"/>
        <w:gridCol w:w="1417"/>
        <w:gridCol w:w="1418"/>
        <w:gridCol w:w="1280"/>
      </w:tblGrid>
      <w:tr w:rsidR="00FD315F" w:rsidRPr="00585DBF" w14:paraId="0F9C7C8B" w14:textId="77777777" w:rsidTr="006F7BCE">
        <w:tc>
          <w:tcPr>
            <w:tcW w:w="1838" w:type="dxa"/>
            <w:tcBorders>
              <w:top w:val="single" w:sz="4" w:space="0" w:color="auto"/>
              <w:left w:val="single" w:sz="4" w:space="0" w:color="auto"/>
              <w:bottom w:val="single" w:sz="4" w:space="0" w:color="auto"/>
              <w:right w:val="single" w:sz="4" w:space="0" w:color="auto"/>
            </w:tcBorders>
            <w:hideMark/>
          </w:tcPr>
          <w:p w14:paraId="7ECFD1D8" w14:textId="77777777" w:rsidR="00FD315F" w:rsidRPr="00585DBF" w:rsidRDefault="00FD315F" w:rsidP="006F7BCE">
            <w:pPr>
              <w:tabs>
                <w:tab w:val="left" w:pos="567"/>
              </w:tabs>
              <w:jc w:val="center"/>
              <w:rPr>
                <w:rFonts w:ascii="Times New Roman" w:eastAsia="Calibri" w:hAnsi="Times New Roman"/>
                <w:b/>
                <w:bCs/>
                <w:sz w:val="24"/>
                <w:szCs w:val="24"/>
              </w:rPr>
            </w:pPr>
            <w:r w:rsidRPr="00585DBF">
              <w:rPr>
                <w:rFonts w:ascii="Times New Roman" w:hAnsi="Times New Roman"/>
                <w:b/>
                <w:sz w:val="24"/>
                <w:szCs w:val="24"/>
              </w:rPr>
              <w:t>Year</w:t>
            </w:r>
          </w:p>
        </w:tc>
        <w:tc>
          <w:tcPr>
            <w:tcW w:w="1129" w:type="dxa"/>
            <w:tcBorders>
              <w:top w:val="single" w:sz="4" w:space="0" w:color="auto"/>
              <w:left w:val="single" w:sz="4" w:space="0" w:color="auto"/>
              <w:bottom w:val="single" w:sz="4" w:space="0" w:color="auto"/>
              <w:right w:val="single" w:sz="4" w:space="0" w:color="auto"/>
            </w:tcBorders>
            <w:hideMark/>
          </w:tcPr>
          <w:p w14:paraId="05B25245" w14:textId="77777777" w:rsidR="00FD315F" w:rsidRPr="00585DBF" w:rsidRDefault="00FD315F" w:rsidP="006F7BCE">
            <w:pPr>
              <w:tabs>
                <w:tab w:val="left" w:pos="567"/>
              </w:tabs>
              <w:jc w:val="center"/>
              <w:rPr>
                <w:rFonts w:ascii="Times New Roman" w:eastAsia="Calibri" w:hAnsi="Times New Roman"/>
                <w:b/>
                <w:bCs/>
                <w:sz w:val="24"/>
                <w:szCs w:val="24"/>
              </w:rPr>
            </w:pPr>
            <w:r w:rsidRPr="00585DBF">
              <w:rPr>
                <w:rFonts w:ascii="Times New Roman" w:hAnsi="Times New Roman"/>
                <w:b/>
                <w:sz w:val="24"/>
                <w:szCs w:val="24"/>
              </w:rPr>
              <w:t>2019</w:t>
            </w:r>
          </w:p>
        </w:tc>
        <w:tc>
          <w:tcPr>
            <w:tcW w:w="1276" w:type="dxa"/>
            <w:tcBorders>
              <w:top w:val="single" w:sz="4" w:space="0" w:color="auto"/>
              <w:left w:val="single" w:sz="4" w:space="0" w:color="auto"/>
              <w:bottom w:val="single" w:sz="4" w:space="0" w:color="auto"/>
              <w:right w:val="single" w:sz="4" w:space="0" w:color="auto"/>
            </w:tcBorders>
            <w:hideMark/>
          </w:tcPr>
          <w:p w14:paraId="250ACBDA" w14:textId="77777777" w:rsidR="00FD315F" w:rsidRPr="00585DBF" w:rsidRDefault="00FD315F" w:rsidP="006F7BCE">
            <w:pPr>
              <w:tabs>
                <w:tab w:val="left" w:pos="567"/>
              </w:tabs>
              <w:jc w:val="center"/>
              <w:rPr>
                <w:rFonts w:ascii="Times New Roman" w:eastAsia="Calibri" w:hAnsi="Times New Roman"/>
                <w:b/>
                <w:bCs/>
                <w:sz w:val="24"/>
                <w:szCs w:val="24"/>
              </w:rPr>
            </w:pPr>
            <w:r w:rsidRPr="00585DBF">
              <w:rPr>
                <w:rFonts w:ascii="Times New Roman" w:hAnsi="Times New Roman"/>
                <w:b/>
                <w:sz w:val="24"/>
                <w:szCs w:val="24"/>
              </w:rPr>
              <w:t>2020</w:t>
            </w:r>
          </w:p>
        </w:tc>
        <w:tc>
          <w:tcPr>
            <w:tcW w:w="1276" w:type="dxa"/>
            <w:tcBorders>
              <w:top w:val="single" w:sz="4" w:space="0" w:color="auto"/>
              <w:left w:val="single" w:sz="4" w:space="0" w:color="auto"/>
              <w:bottom w:val="single" w:sz="4" w:space="0" w:color="auto"/>
              <w:right w:val="single" w:sz="4" w:space="0" w:color="auto"/>
            </w:tcBorders>
            <w:hideMark/>
          </w:tcPr>
          <w:p w14:paraId="2A3B392C" w14:textId="77777777" w:rsidR="00FD315F" w:rsidRPr="00585DBF" w:rsidRDefault="00FD315F" w:rsidP="006F7BCE">
            <w:pPr>
              <w:tabs>
                <w:tab w:val="left" w:pos="567"/>
              </w:tabs>
              <w:jc w:val="center"/>
              <w:rPr>
                <w:rFonts w:ascii="Times New Roman" w:eastAsia="Calibri" w:hAnsi="Times New Roman"/>
                <w:b/>
                <w:bCs/>
                <w:sz w:val="24"/>
                <w:szCs w:val="24"/>
              </w:rPr>
            </w:pPr>
            <w:r w:rsidRPr="00585DBF">
              <w:rPr>
                <w:rFonts w:ascii="Times New Roman" w:hAnsi="Times New Roman"/>
                <w:b/>
                <w:sz w:val="24"/>
                <w:szCs w:val="24"/>
              </w:rPr>
              <w:t>2021</w:t>
            </w:r>
          </w:p>
        </w:tc>
        <w:tc>
          <w:tcPr>
            <w:tcW w:w="1417" w:type="dxa"/>
            <w:tcBorders>
              <w:top w:val="single" w:sz="4" w:space="0" w:color="auto"/>
              <w:left w:val="single" w:sz="4" w:space="0" w:color="auto"/>
              <w:bottom w:val="single" w:sz="4" w:space="0" w:color="auto"/>
              <w:right w:val="single" w:sz="4" w:space="0" w:color="auto"/>
            </w:tcBorders>
            <w:hideMark/>
          </w:tcPr>
          <w:p w14:paraId="3D0D11B2" w14:textId="77777777" w:rsidR="00FD315F" w:rsidRPr="00585DBF" w:rsidRDefault="00FD315F" w:rsidP="006F7BCE">
            <w:pPr>
              <w:tabs>
                <w:tab w:val="left" w:pos="567"/>
              </w:tabs>
              <w:jc w:val="center"/>
              <w:rPr>
                <w:rFonts w:ascii="Times New Roman" w:eastAsia="Calibri" w:hAnsi="Times New Roman"/>
                <w:b/>
                <w:bCs/>
                <w:sz w:val="24"/>
                <w:szCs w:val="24"/>
              </w:rPr>
            </w:pPr>
            <w:r w:rsidRPr="00585DBF">
              <w:rPr>
                <w:rFonts w:ascii="Times New Roman" w:hAnsi="Times New Roman"/>
                <w:b/>
                <w:sz w:val="24"/>
                <w:szCs w:val="24"/>
              </w:rPr>
              <w:t>2022</w:t>
            </w:r>
          </w:p>
        </w:tc>
        <w:tc>
          <w:tcPr>
            <w:tcW w:w="1418" w:type="dxa"/>
            <w:tcBorders>
              <w:top w:val="single" w:sz="4" w:space="0" w:color="auto"/>
              <w:left w:val="single" w:sz="4" w:space="0" w:color="auto"/>
              <w:bottom w:val="single" w:sz="4" w:space="0" w:color="auto"/>
              <w:right w:val="single" w:sz="4" w:space="0" w:color="auto"/>
            </w:tcBorders>
            <w:hideMark/>
          </w:tcPr>
          <w:p w14:paraId="396CA2CB" w14:textId="77777777" w:rsidR="00FD315F" w:rsidRPr="00585DBF" w:rsidRDefault="00FD315F" w:rsidP="006F7BCE">
            <w:pPr>
              <w:tabs>
                <w:tab w:val="left" w:pos="567"/>
              </w:tabs>
              <w:jc w:val="center"/>
              <w:rPr>
                <w:rFonts w:ascii="Times New Roman" w:eastAsia="Calibri" w:hAnsi="Times New Roman"/>
                <w:b/>
                <w:bCs/>
                <w:sz w:val="24"/>
                <w:szCs w:val="24"/>
              </w:rPr>
            </w:pPr>
            <w:r w:rsidRPr="00585DBF">
              <w:rPr>
                <w:rFonts w:ascii="Times New Roman" w:hAnsi="Times New Roman"/>
                <w:b/>
                <w:sz w:val="24"/>
                <w:szCs w:val="24"/>
              </w:rPr>
              <w:t>2023</w:t>
            </w:r>
          </w:p>
        </w:tc>
        <w:tc>
          <w:tcPr>
            <w:tcW w:w="1280" w:type="dxa"/>
            <w:tcBorders>
              <w:top w:val="single" w:sz="4" w:space="0" w:color="auto"/>
              <w:left w:val="single" w:sz="4" w:space="0" w:color="auto"/>
              <w:bottom w:val="single" w:sz="4" w:space="0" w:color="auto"/>
              <w:right w:val="single" w:sz="4" w:space="0" w:color="auto"/>
            </w:tcBorders>
            <w:hideMark/>
          </w:tcPr>
          <w:p w14:paraId="17AE2A61" w14:textId="77777777" w:rsidR="00FD315F" w:rsidRPr="00585DBF" w:rsidRDefault="00FD315F" w:rsidP="006F7BCE">
            <w:pPr>
              <w:tabs>
                <w:tab w:val="left" w:pos="567"/>
              </w:tabs>
              <w:jc w:val="center"/>
              <w:rPr>
                <w:rFonts w:ascii="Times New Roman" w:eastAsia="Calibri" w:hAnsi="Times New Roman"/>
                <w:b/>
                <w:bCs/>
                <w:sz w:val="24"/>
                <w:szCs w:val="24"/>
              </w:rPr>
            </w:pPr>
            <w:r w:rsidRPr="00585DBF">
              <w:rPr>
                <w:rFonts w:ascii="Times New Roman" w:hAnsi="Times New Roman"/>
                <w:b/>
                <w:sz w:val="24"/>
                <w:szCs w:val="24"/>
              </w:rPr>
              <w:t>2024*</w:t>
            </w:r>
          </w:p>
        </w:tc>
      </w:tr>
      <w:tr w:rsidR="00FD315F" w:rsidRPr="00585DBF" w14:paraId="112760C5" w14:textId="77777777" w:rsidTr="006F7BCE">
        <w:tc>
          <w:tcPr>
            <w:tcW w:w="1838" w:type="dxa"/>
            <w:tcBorders>
              <w:top w:val="single" w:sz="4" w:space="0" w:color="auto"/>
              <w:left w:val="single" w:sz="4" w:space="0" w:color="auto"/>
              <w:bottom w:val="single" w:sz="4" w:space="0" w:color="auto"/>
              <w:right w:val="single" w:sz="4" w:space="0" w:color="auto"/>
            </w:tcBorders>
            <w:hideMark/>
          </w:tcPr>
          <w:p w14:paraId="0162A7E8" w14:textId="77777777" w:rsidR="00FD315F" w:rsidRPr="00585DBF" w:rsidRDefault="00FD315F" w:rsidP="006F7BCE">
            <w:pPr>
              <w:tabs>
                <w:tab w:val="left" w:pos="567"/>
              </w:tabs>
              <w:jc w:val="center"/>
              <w:rPr>
                <w:rFonts w:ascii="Times New Roman" w:eastAsia="Calibri" w:hAnsi="Times New Roman"/>
                <w:b/>
                <w:bCs/>
                <w:sz w:val="24"/>
                <w:szCs w:val="24"/>
              </w:rPr>
            </w:pPr>
            <w:r w:rsidRPr="00585DBF">
              <w:rPr>
                <w:rFonts w:ascii="Times New Roman" w:hAnsi="Times New Roman"/>
                <w:b/>
                <w:sz w:val="24"/>
                <w:szCs w:val="24"/>
              </w:rPr>
              <w:t>Number of cases</w:t>
            </w:r>
          </w:p>
        </w:tc>
        <w:tc>
          <w:tcPr>
            <w:tcW w:w="1129" w:type="dxa"/>
            <w:tcBorders>
              <w:top w:val="single" w:sz="4" w:space="0" w:color="auto"/>
              <w:left w:val="single" w:sz="4" w:space="0" w:color="auto"/>
              <w:bottom w:val="single" w:sz="4" w:space="0" w:color="auto"/>
              <w:right w:val="single" w:sz="4" w:space="0" w:color="auto"/>
            </w:tcBorders>
            <w:vAlign w:val="center"/>
            <w:hideMark/>
          </w:tcPr>
          <w:p w14:paraId="40D026BA" w14:textId="77777777" w:rsidR="00FD315F" w:rsidRPr="00585DBF" w:rsidRDefault="00FD315F" w:rsidP="006F7BCE">
            <w:pPr>
              <w:tabs>
                <w:tab w:val="left" w:pos="567"/>
              </w:tabs>
              <w:jc w:val="center"/>
              <w:rPr>
                <w:rFonts w:ascii="Times New Roman" w:eastAsia="Calibri" w:hAnsi="Times New Roman"/>
                <w:sz w:val="24"/>
                <w:szCs w:val="24"/>
              </w:rPr>
            </w:pPr>
            <w:r w:rsidRPr="00585DBF">
              <w:rPr>
                <w:rFonts w:ascii="Times New Roman" w:hAnsi="Times New Roman"/>
                <w:sz w:val="24"/>
                <w:szCs w:val="24"/>
              </w:rPr>
              <w:t>756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C6A974C" w14:textId="77777777" w:rsidR="00FD315F" w:rsidRPr="00585DBF" w:rsidRDefault="00FD315F" w:rsidP="006F7BCE">
            <w:pPr>
              <w:tabs>
                <w:tab w:val="left" w:pos="567"/>
              </w:tabs>
              <w:jc w:val="center"/>
              <w:rPr>
                <w:rFonts w:ascii="Times New Roman" w:eastAsia="Calibri" w:hAnsi="Times New Roman"/>
                <w:sz w:val="24"/>
                <w:szCs w:val="24"/>
              </w:rPr>
            </w:pPr>
            <w:r w:rsidRPr="00585DBF">
              <w:rPr>
                <w:rFonts w:ascii="Times New Roman" w:hAnsi="Times New Roman"/>
                <w:sz w:val="24"/>
                <w:szCs w:val="24"/>
              </w:rPr>
              <w:t>608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03B08DC" w14:textId="77777777" w:rsidR="00FD315F" w:rsidRPr="00585DBF" w:rsidRDefault="00FD315F" w:rsidP="006F7BCE">
            <w:pPr>
              <w:tabs>
                <w:tab w:val="left" w:pos="567"/>
              </w:tabs>
              <w:jc w:val="center"/>
              <w:rPr>
                <w:rFonts w:ascii="Times New Roman" w:eastAsia="Calibri" w:hAnsi="Times New Roman"/>
                <w:sz w:val="24"/>
                <w:szCs w:val="24"/>
              </w:rPr>
            </w:pPr>
            <w:r w:rsidRPr="00585DBF">
              <w:rPr>
                <w:rFonts w:ascii="Times New Roman" w:hAnsi="Times New Roman"/>
                <w:sz w:val="24"/>
                <w:szCs w:val="24"/>
              </w:rPr>
              <w:t>579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3CFE05A" w14:textId="77777777" w:rsidR="00FD315F" w:rsidRPr="00585DBF" w:rsidRDefault="00FD315F" w:rsidP="006F7BCE">
            <w:pPr>
              <w:tabs>
                <w:tab w:val="left" w:pos="567"/>
              </w:tabs>
              <w:jc w:val="center"/>
              <w:rPr>
                <w:rFonts w:ascii="Times New Roman" w:eastAsia="Calibri" w:hAnsi="Times New Roman"/>
                <w:sz w:val="24"/>
                <w:szCs w:val="24"/>
              </w:rPr>
            </w:pPr>
            <w:r w:rsidRPr="00585DBF">
              <w:rPr>
                <w:rFonts w:ascii="Times New Roman" w:hAnsi="Times New Roman"/>
                <w:sz w:val="24"/>
                <w:szCs w:val="24"/>
              </w:rPr>
              <w:t>702</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8DE9D0E" w14:textId="77777777" w:rsidR="00FD315F" w:rsidRPr="00585DBF" w:rsidRDefault="00FD315F" w:rsidP="006F7BCE">
            <w:pPr>
              <w:tabs>
                <w:tab w:val="left" w:pos="567"/>
              </w:tabs>
              <w:jc w:val="center"/>
              <w:rPr>
                <w:rFonts w:ascii="Times New Roman" w:eastAsia="Calibri" w:hAnsi="Times New Roman"/>
                <w:sz w:val="24"/>
                <w:szCs w:val="24"/>
              </w:rPr>
            </w:pPr>
            <w:r w:rsidRPr="00585DBF">
              <w:rPr>
                <w:rFonts w:ascii="Times New Roman" w:hAnsi="Times New Roman"/>
                <w:sz w:val="24"/>
                <w:szCs w:val="24"/>
              </w:rPr>
              <w:t>785</w:t>
            </w:r>
          </w:p>
        </w:tc>
        <w:tc>
          <w:tcPr>
            <w:tcW w:w="1280" w:type="dxa"/>
            <w:tcBorders>
              <w:top w:val="single" w:sz="4" w:space="0" w:color="auto"/>
              <w:left w:val="single" w:sz="4" w:space="0" w:color="auto"/>
              <w:bottom w:val="single" w:sz="4" w:space="0" w:color="auto"/>
              <w:right w:val="single" w:sz="4" w:space="0" w:color="auto"/>
            </w:tcBorders>
            <w:vAlign w:val="center"/>
            <w:hideMark/>
          </w:tcPr>
          <w:p w14:paraId="0F3C236A" w14:textId="77777777" w:rsidR="00FD315F" w:rsidRPr="00585DBF" w:rsidRDefault="00FD315F" w:rsidP="006F7BCE">
            <w:pPr>
              <w:tabs>
                <w:tab w:val="left" w:pos="567"/>
              </w:tabs>
              <w:jc w:val="center"/>
              <w:rPr>
                <w:rFonts w:ascii="Times New Roman" w:eastAsia="Calibri" w:hAnsi="Times New Roman"/>
                <w:sz w:val="24"/>
                <w:szCs w:val="24"/>
              </w:rPr>
            </w:pPr>
            <w:r w:rsidRPr="00585DBF">
              <w:rPr>
                <w:rFonts w:ascii="Times New Roman" w:hAnsi="Times New Roman"/>
                <w:sz w:val="24"/>
                <w:szCs w:val="24"/>
              </w:rPr>
              <w:t>1,075</w:t>
            </w:r>
          </w:p>
        </w:tc>
      </w:tr>
    </w:tbl>
    <w:p w14:paraId="2EB80F14" w14:textId="77777777" w:rsidR="00FD315F" w:rsidRPr="00585DBF" w:rsidRDefault="00FD315F" w:rsidP="00FD315F">
      <w:pPr>
        <w:tabs>
          <w:tab w:val="left" w:pos="567"/>
        </w:tabs>
        <w:spacing w:after="0" w:line="240" w:lineRule="auto"/>
        <w:jc w:val="both"/>
        <w:rPr>
          <w:rFonts w:ascii="Times New Roman" w:eastAsia="Times New Roman" w:hAnsi="Times New Roman" w:cs="Times New Roman"/>
          <w:i/>
          <w:color w:val="000000" w:themeColor="text1"/>
          <w:sz w:val="24"/>
          <w:szCs w:val="24"/>
          <w:lang w:val="en-GB"/>
        </w:rPr>
      </w:pPr>
      <w:r w:rsidRPr="00585DBF">
        <w:rPr>
          <w:rFonts w:ascii="Times New Roman" w:eastAsia="Aptos" w:hAnsi="Times New Roman" w:cs="Times New Roman"/>
          <w:i/>
          <w:color w:val="000000" w:themeColor="text1"/>
          <w:sz w:val="24"/>
          <w:szCs w:val="24"/>
          <w:lang w:val="en-GB"/>
        </w:rPr>
        <w:t>*Following a change in the methodology for calculating the number of compulsory hospitalisations, from 2024 onwards, compulsory hospitalisations lasting up to three working days are included in the number of compulsory hospitalisations in all healthcare institutions.</w:t>
      </w:r>
    </w:p>
    <w:p w14:paraId="66273DDE" w14:textId="77777777" w:rsidR="00FD315F" w:rsidRPr="00585DBF" w:rsidRDefault="00FD315F" w:rsidP="00FD315F">
      <w:pPr>
        <w:tabs>
          <w:tab w:val="left" w:pos="567"/>
        </w:tabs>
        <w:spacing w:after="0" w:line="240" w:lineRule="auto"/>
        <w:jc w:val="both"/>
        <w:rPr>
          <w:rFonts w:ascii="Times New Roman" w:eastAsia="Calibri" w:hAnsi="Times New Roman" w:cs="Times New Roman"/>
          <w:sz w:val="24"/>
          <w:szCs w:val="24"/>
          <w:lang w:val="en-GB"/>
        </w:rPr>
      </w:pPr>
    </w:p>
    <w:p w14:paraId="0A7D520E" w14:textId="77777777" w:rsidR="00FD315F" w:rsidRPr="00585DBF" w:rsidRDefault="00FD315F" w:rsidP="00FD315F">
      <w:pPr>
        <w:tabs>
          <w:tab w:val="left" w:pos="567"/>
        </w:tabs>
        <w:spacing w:after="0" w:line="240" w:lineRule="auto"/>
        <w:jc w:val="both"/>
        <w:rPr>
          <w:rFonts w:ascii="Times New Roman" w:eastAsia="Times New Roman" w:hAnsi="Times New Roman" w:cs="Times New Roman"/>
          <w:sz w:val="24"/>
          <w:szCs w:val="24"/>
          <w:lang w:val="en-GB"/>
        </w:rPr>
      </w:pPr>
      <w:r w:rsidRPr="00585DBF">
        <w:rPr>
          <w:rFonts w:ascii="Times New Roman" w:eastAsia="Aptos" w:hAnsi="Times New Roman" w:cs="Times New Roman"/>
          <w:sz w:val="24"/>
          <w:szCs w:val="24"/>
          <w:lang w:val="en-GB"/>
        </w:rPr>
        <w:t>In 2024, after a substantial revision of the requirements for inpatient psychiatric services, a transition was made to the unified provision of inpatient psychiatric services: assistance is provided in psychiatric units of 4 types of intensity, the maximum allowed number of beds has been set, the composition and workload of specialist team members during the day and on call has been regulated, the requirements have been defined for the infrastructure, safety of and equipment in the premises, diagnostic and treatment methods for secondary and tertiary levels have been differentiated, indications for secondary and tertiary inpatient services have been defined. There is also a requirement to provide non-medicinal interventions, not only treatment with medications, and a list of interventions and the specialists who provide them has been provided for.</w:t>
      </w:r>
    </w:p>
    <w:p w14:paraId="04C1A5DA" w14:textId="77777777" w:rsidR="00FD315F" w:rsidRPr="00585DBF" w:rsidRDefault="00FD315F" w:rsidP="00FD315F">
      <w:pPr>
        <w:tabs>
          <w:tab w:val="left" w:pos="567"/>
        </w:tabs>
        <w:spacing w:after="0" w:line="240" w:lineRule="auto"/>
        <w:ind w:firstLine="567"/>
        <w:jc w:val="both"/>
        <w:rPr>
          <w:rFonts w:ascii="Times New Roman" w:eastAsia="Times New Roman" w:hAnsi="Times New Roman" w:cs="Times New Roman"/>
          <w:sz w:val="24"/>
          <w:szCs w:val="24"/>
          <w:lang w:val="en-GB"/>
        </w:rPr>
      </w:pPr>
    </w:p>
    <w:p w14:paraId="1404499B" w14:textId="77777777" w:rsidR="00FD315F" w:rsidRPr="00585DBF" w:rsidRDefault="00FD315F" w:rsidP="00FD315F">
      <w:pPr>
        <w:tabs>
          <w:tab w:val="left" w:pos="567"/>
        </w:tabs>
        <w:spacing w:after="0" w:line="240" w:lineRule="auto"/>
        <w:jc w:val="both"/>
        <w:rPr>
          <w:rFonts w:ascii="Times New Roman" w:eastAsia="Calibri" w:hAnsi="Times New Roman" w:cs="Times New Roman"/>
          <w:color w:val="000000" w:themeColor="text1"/>
          <w:sz w:val="24"/>
          <w:szCs w:val="24"/>
          <w:lang w:val="en-GB"/>
        </w:rPr>
      </w:pPr>
      <w:r w:rsidRPr="00585DBF">
        <w:rPr>
          <w:rFonts w:ascii="Times New Roman" w:eastAsia="Aptos" w:hAnsi="Times New Roman" w:cs="Times New Roman"/>
          <w:sz w:val="24"/>
          <w:szCs w:val="24"/>
          <w:lang w:val="en-GB"/>
        </w:rPr>
        <w:t>Psychiatric care in Lithuania is being oriented towards outpatient and community services:</w:t>
      </w:r>
    </w:p>
    <w:p w14:paraId="038875A3" w14:textId="77777777" w:rsidR="00FD315F" w:rsidRPr="00585DBF" w:rsidRDefault="00FD315F" w:rsidP="00FD315F">
      <w:pPr>
        <w:numPr>
          <w:ilvl w:val="0"/>
          <w:numId w:val="2"/>
        </w:numPr>
        <w:tabs>
          <w:tab w:val="left" w:pos="284"/>
        </w:tabs>
        <w:spacing w:after="0" w:line="240" w:lineRule="auto"/>
        <w:ind w:left="284" w:hanging="284"/>
        <w:contextualSpacing/>
        <w:jc w:val="both"/>
        <w:rPr>
          <w:rFonts w:ascii="Times New Roman" w:eastAsia="Calibri" w:hAnsi="Times New Roman" w:cs="Times New Roman"/>
          <w:color w:val="000000" w:themeColor="text1"/>
          <w:sz w:val="24"/>
          <w:szCs w:val="24"/>
          <w:lang w:val="en-GB"/>
        </w:rPr>
      </w:pPr>
      <w:r w:rsidRPr="00585DBF">
        <w:rPr>
          <w:rFonts w:ascii="Times New Roman" w:eastAsia="Aptos" w:hAnsi="Times New Roman" w:cs="Times New Roman"/>
          <w:color w:val="000000" w:themeColor="text1"/>
          <w:sz w:val="24"/>
          <w:szCs w:val="24"/>
          <w:lang w:val="en-GB"/>
        </w:rPr>
        <w:t>in 2025, mental health centres started providing the services of a case manager for patients who require more specialist attention, such as those with severe mental diseases, individuals experiencing a suicide crisis, etc.;</w:t>
      </w:r>
    </w:p>
    <w:p w14:paraId="251595C7" w14:textId="77777777" w:rsidR="00FD315F" w:rsidRPr="00585DBF" w:rsidRDefault="00FD315F" w:rsidP="00FD315F">
      <w:pPr>
        <w:numPr>
          <w:ilvl w:val="0"/>
          <w:numId w:val="2"/>
        </w:numPr>
        <w:tabs>
          <w:tab w:val="left" w:pos="284"/>
        </w:tabs>
        <w:spacing w:after="0" w:line="240" w:lineRule="auto"/>
        <w:ind w:left="284" w:hanging="284"/>
        <w:contextualSpacing/>
        <w:jc w:val="both"/>
        <w:rPr>
          <w:rFonts w:ascii="Times New Roman" w:eastAsia="Calibri" w:hAnsi="Times New Roman" w:cs="Times New Roman"/>
          <w:color w:val="000000" w:themeColor="text1"/>
          <w:sz w:val="24"/>
          <w:szCs w:val="24"/>
          <w:lang w:val="en-GB"/>
        </w:rPr>
      </w:pPr>
      <w:r w:rsidRPr="00585DBF">
        <w:rPr>
          <w:rFonts w:ascii="Times New Roman" w:eastAsia="Aptos" w:hAnsi="Times New Roman" w:cs="Times New Roman"/>
          <w:color w:val="000000" w:themeColor="text1"/>
          <w:sz w:val="24"/>
          <w:szCs w:val="24"/>
          <w:lang w:val="en-GB"/>
        </w:rPr>
        <w:t xml:space="preserve">in 2024, the requirements for the duration, specialists and content of adult psychiatric day care services changed. The scope of these services will be increased by 50%, 42 new inpatient day care units are being established – a large part of them is in the regions where such services were not available or were insufficient (535 additional places in inpatient day care have been set up, which will serve around 5,000 patients per year); </w:t>
      </w:r>
    </w:p>
    <w:p w14:paraId="481FC989" w14:textId="77777777" w:rsidR="00FD315F" w:rsidRPr="00585DBF" w:rsidRDefault="00FD315F" w:rsidP="00FD315F">
      <w:pPr>
        <w:numPr>
          <w:ilvl w:val="0"/>
          <w:numId w:val="2"/>
        </w:numPr>
        <w:tabs>
          <w:tab w:val="left" w:pos="284"/>
        </w:tabs>
        <w:spacing w:after="0" w:line="240" w:lineRule="auto"/>
        <w:ind w:left="284" w:hanging="284"/>
        <w:contextualSpacing/>
        <w:jc w:val="both"/>
        <w:rPr>
          <w:rFonts w:ascii="Times New Roman" w:eastAsia="Calibri" w:hAnsi="Times New Roman" w:cs="Times New Roman"/>
          <w:color w:val="000000" w:themeColor="text1"/>
          <w:sz w:val="24"/>
          <w:szCs w:val="24"/>
          <w:lang w:val="en-GB"/>
        </w:rPr>
      </w:pPr>
      <w:r w:rsidRPr="00585DBF">
        <w:rPr>
          <w:rFonts w:ascii="Times New Roman" w:eastAsia="Aptos" w:hAnsi="Times New Roman" w:cs="Times New Roman"/>
          <w:color w:val="000000" w:themeColor="text1"/>
          <w:sz w:val="24"/>
          <w:szCs w:val="24"/>
          <w:lang w:val="en-GB"/>
        </w:rPr>
        <w:t xml:space="preserve">services to patients with the most severe conditions or complex mental health disorders will be provided by new community-based teams for science-supported mental and behavioural disorder treatment, which already operate in other European countries (16 teams are being set up). This will enable patients to receive long-term, continuous and mobile help with required care being available in time and without hospitalisation. </w:t>
      </w:r>
    </w:p>
    <w:p w14:paraId="0683693C" w14:textId="77777777" w:rsidR="00FD315F" w:rsidRPr="00585DBF" w:rsidRDefault="00FD315F" w:rsidP="00FD315F">
      <w:pPr>
        <w:spacing w:after="0" w:line="240" w:lineRule="auto"/>
        <w:rPr>
          <w:rFonts w:ascii="Times New Roman" w:eastAsia="Calibri" w:hAnsi="Times New Roman" w:cs="Times New Roman"/>
          <w:kern w:val="0"/>
          <w:sz w:val="24"/>
          <w:szCs w:val="24"/>
          <w:lang w:val="en-GB" w:eastAsia="lt-LT"/>
          <w14:ligatures w14:val="none"/>
        </w:rPr>
      </w:pPr>
    </w:p>
    <w:p w14:paraId="7A68DBD0"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psychiatric services provided are also individualised, focusing on the full recovery and healing of the individual. In line with global practice, when planning changes in the field of mental health care, priority is given to the development of services that are based on the biopsychosocial paradigm and are oriented towards the recovery of a person, conform to and strengthen the principles of human rights.</w:t>
      </w:r>
    </w:p>
    <w:p w14:paraId="23C5C389"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4EB13B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State has established legal mechanisms to ensure that patients with mental and behavioural disorders who are hospitalised either voluntarily or involuntarily are informed of their rights, the grounds of hospitalisation and the treatment applied, and have access to effective legal safeguards:</w:t>
      </w:r>
    </w:p>
    <w:p w14:paraId="796149F8" w14:textId="77777777" w:rsidR="00FD315F" w:rsidRPr="00585DBF" w:rsidRDefault="00FD315F" w:rsidP="00FD315F">
      <w:pPr>
        <w:numPr>
          <w:ilvl w:val="0"/>
          <w:numId w:val="2"/>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information prior to hospitalisation – a psychiatrist must provide the patient, his or her representative or the person assisting in decision-making with verbal and written information about the reasons for hospitalisation, its objectives, the patient's rights, the possibility of discontinuing the treatment (except in cases of deprivation of liberty or involuntary hospitalisation, or during ongoing forensic psychiatric or psychological examination), and the procedure for exercising this right;</w:t>
      </w:r>
    </w:p>
    <w:p w14:paraId="245FA94E" w14:textId="77777777" w:rsidR="00FD315F" w:rsidRPr="00585DBF" w:rsidRDefault="00FD315F" w:rsidP="00FD315F">
      <w:pPr>
        <w:numPr>
          <w:ilvl w:val="0"/>
          <w:numId w:val="2"/>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case of involuntary hospitalisation, within 3 working days, the patient and his or her representative must be provided with information about the legal basis, reasons and duration of hospitalisation, his or her rights, treatment, and court proceedings. The patient and his or her </w:t>
      </w:r>
      <w:r w:rsidRPr="00585DBF">
        <w:rPr>
          <w:rFonts w:ascii="Times New Roman" w:eastAsia="Aptos" w:hAnsi="Times New Roman" w:cs="Times New Roman"/>
          <w:sz w:val="24"/>
          <w:szCs w:val="24"/>
          <w:lang w:val="en-GB"/>
        </w:rPr>
        <w:lastRenderedPageBreak/>
        <w:t>representative shall be familiarised with the documents submitted to the court, decisions and shall be ensured the personal access to such documents;</w:t>
      </w:r>
    </w:p>
    <w:p w14:paraId="04EED2B5" w14:textId="77777777" w:rsidR="00FD315F" w:rsidRPr="00585DBF" w:rsidRDefault="00FD315F" w:rsidP="00FD315F">
      <w:pPr>
        <w:numPr>
          <w:ilvl w:val="0"/>
          <w:numId w:val="2"/>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legal defence and participation – the patient has the right to be heard at the medical institution and in court, and his or her participation in a court hearing is mandatory (except in medically unjustified cases). If the patient does not have a lawyer, the institution must make arrangements for State-guaranteed legal aid. In addition, the right is ensured to request an independent assessment of his or her mental health by a commission of three psychiatrists;</w:t>
      </w:r>
    </w:p>
    <w:p w14:paraId="5916142A" w14:textId="77777777" w:rsidR="00FD315F" w:rsidRPr="00585DBF" w:rsidRDefault="00FD315F" w:rsidP="00FD315F">
      <w:pPr>
        <w:numPr>
          <w:ilvl w:val="0"/>
          <w:numId w:val="2"/>
        </w:numPr>
        <w:spacing w:after="0" w:line="240" w:lineRule="auto"/>
        <w:ind w:left="284" w:hanging="284"/>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defence of rights and communication – the patient may apply to the court for damage compensation for unlawful hospitalisation or treatment. The institution must create conditions for the patient to contact his or her representative or family members.</w:t>
      </w:r>
    </w:p>
    <w:p w14:paraId="3F1061C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283026D"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This system ensures that the situation of hospitalised patients is constantly monitored, decisions are periodically reviewed in court, and patients are fully informed about their treatment and have a real opportunity to accept or refuse it.</w:t>
      </w:r>
    </w:p>
    <w:p w14:paraId="2700FD3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6BFF1D4A"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State implements comprehensive legal, institutional oversight and training measures aimed at limiting the use of coercion in mental health care and transition to the practice based on human rights principles. Physical restraint measures may only be prescribed by a psychiatrist (temporarily – by a mental health nurse or emergency medical specialist, until the patient is assessed by a doctor). All cases of restraint are strictly recorded and monitored. In 2025, the process of review of the Law on Mental Health Care was started in order to regulate the hitherto undefined concept of chemical restraint and establishing mechanisms for its monitoring.</w:t>
      </w:r>
    </w:p>
    <w:p w14:paraId="351398D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4BDA6A5C" w14:textId="2DCCCE99"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The implementation of international standards is also continued: implementing the World Health Organization's initiative </w:t>
      </w:r>
      <w:r w:rsid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QualityRights</w:t>
      </w:r>
      <w:r w:rsid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 xml:space="preserve">, 6 assessments of mental health institutions were carried out between 2021 and 2024; in 2025, an assessment of 2 care institutions was started, assessors were trained, de-escalation training was organised, and methodological consultations began. In 2023, the Description of the Procedure for the Assessment and Monitoring of Compliance of the Services Provided by Mental Health Care and Social Care Institutions with Human Rights Standards and Provision of Methodological Assistance to these institutions was approved. For strengthening the capacities of mental health specialists, training on reducing coercive practices was delivered by lecturers from the World Health Organization in 4 psychiatric hospitals in 2024. In 2025, these training sessions will continue with 4 additional training sessions in institutions where the highest number of restraint cases have been recorded. All the material of the </w:t>
      </w:r>
      <w:r w:rsid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QualityRights</w:t>
      </w:r>
      <w:r w:rsid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 xml:space="preserve"> e-learning platform has been translated into Lithuanian and is freely accessible to mental health specialists. </w:t>
      </w:r>
    </w:p>
    <w:p w14:paraId="152F1C7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4B64FC24"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These measures form the basis for the systematic reduction of coercive measures, ensure their continuous monitoring, develop competencies of the staff to de-escalate critical situations and gradually transition to the mental health care model that ensures human rights.</w:t>
      </w:r>
    </w:p>
    <w:p w14:paraId="7C29E045"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eastAsia="lt-LT"/>
          <w14:ligatures w14:val="none"/>
        </w:rPr>
      </w:pPr>
    </w:p>
    <w:p w14:paraId="6D8DA62F"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Between 2019 and the first half of 2025, a total of 83 complaints were received regarding torture and ill-treatment in psychiatric institutions.</w:t>
      </w:r>
    </w:p>
    <w:p w14:paraId="6E2D414C"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eastAsia="lt-LT"/>
          <w14:ligatures w14:val="none"/>
        </w:rPr>
      </w:pPr>
    </w:p>
    <w:p w14:paraId="592EF3EC" w14:textId="77777777" w:rsidR="00FD315F" w:rsidRPr="00585DBF" w:rsidRDefault="00FD315F" w:rsidP="00FD315F">
      <w:pPr>
        <w:spacing w:after="0" w:line="240" w:lineRule="auto"/>
        <w:jc w:val="both"/>
        <w:rPr>
          <w:rFonts w:ascii="Times New Roman" w:eastAsia="Aptos" w:hAnsi="Times New Roman" w:cs="Times New Roman"/>
          <w:sz w:val="24"/>
          <w:szCs w:val="24"/>
          <w:lang w:val="en-GB"/>
        </w:rPr>
      </w:pPr>
      <w:r w:rsidRPr="00585DBF">
        <w:rPr>
          <w:rFonts w:ascii="Times New Roman" w:eastAsia="Aptos" w:hAnsi="Times New Roman" w:cs="Times New Roman"/>
          <w:sz w:val="24"/>
          <w:szCs w:val="24"/>
          <w:lang w:val="en-GB"/>
        </w:rPr>
        <w:t xml:space="preserve">Given that institutional care does not always satisfy the principles of human dignity and independence, social protection policy undergoes targeted changes, with priority given to community-based services and long-term care of persons with psychosocial or intellectual disabilities in large institutions becomes a measure of last resort. Lithuania is committed to transition to a more human-centred, individualised service model – from 2030, long-term social care in inpatient institutions for adults with disabilities (except for specialised nursing homes) will no longer be provided, and all social services for persons with intellectual and psychosocial disabilities </w:t>
      </w:r>
      <w:r w:rsidRPr="00585DBF">
        <w:rPr>
          <w:rFonts w:ascii="Times New Roman" w:eastAsia="Calibri" w:hAnsi="Times New Roman" w:cs="Times New Roman"/>
          <w:kern w:val="0"/>
          <w:sz w:val="24"/>
          <w:szCs w:val="24"/>
          <w:lang w:val="en-GB"/>
          <w14:ligatures w14:val="none"/>
        </w:rPr>
        <w:t xml:space="preserve">will start to be provided at individuals’ homes or in social care institutions (community-based social care institutions such as group living homes, shared living homes, or social assistance institutions such as sheltered housing </w:t>
      </w:r>
      <w:r w:rsidRPr="00585DBF">
        <w:rPr>
          <w:rFonts w:ascii="Times New Roman" w:eastAsia="Calibri" w:hAnsi="Times New Roman" w:cs="Times New Roman"/>
          <w:kern w:val="0"/>
          <w:sz w:val="24"/>
          <w:szCs w:val="24"/>
          <w:lang w:val="en-GB"/>
          <w14:ligatures w14:val="none"/>
        </w:rPr>
        <w:lastRenderedPageBreak/>
        <w:t>or independent living homes). In addition, social services will also be provided in day centers, social workshops, social assistance centers, and independent living homes.</w:t>
      </w:r>
    </w:p>
    <w:p w14:paraId="7950938D"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eastAsia="lt-LT"/>
          <w14:ligatures w14:val="none"/>
        </w:rPr>
      </w:pPr>
    </w:p>
    <w:p w14:paraId="23397ADD" w14:textId="77777777" w:rsidR="00FD315F" w:rsidRPr="00585DBF" w:rsidRDefault="00FD315F" w:rsidP="00FD315F">
      <w:pPr>
        <w:spacing w:after="0" w:line="240" w:lineRule="auto"/>
        <w:jc w:val="both"/>
        <w:rPr>
          <w:rFonts w:ascii="Times New Roman" w:eastAsia="Times New Roman" w:hAnsi="Times New Roman" w:cs="Times New Roman"/>
          <w:i/>
          <w:iCs/>
          <w:kern w:val="0"/>
          <w:sz w:val="24"/>
          <w:szCs w:val="24"/>
          <w:lang w:val="en-GB"/>
          <w14:ligatures w14:val="none"/>
        </w:rPr>
      </w:pPr>
      <w:r w:rsidRPr="00585DBF">
        <w:rPr>
          <w:rFonts w:ascii="Times New Roman" w:eastAsia="Aptos" w:hAnsi="Times New Roman" w:cs="Times New Roman"/>
          <w:b/>
          <w:i/>
          <w:sz w:val="24"/>
          <w:szCs w:val="24"/>
          <w:lang w:val="en-GB"/>
        </w:rPr>
        <w:t>Number of social care institutions for persons with psychosocial and/or intellectual disabilities and the number of persons living there:</w:t>
      </w:r>
      <w:r w:rsidRPr="00585DBF">
        <w:rPr>
          <w:rFonts w:ascii="Times New Roman" w:eastAsia="Aptos" w:hAnsi="Times New Roman" w:cs="Times New Roman"/>
          <w:i/>
          <w:sz w:val="24"/>
          <w:szCs w:val="24"/>
          <w:lang w:val="en-GB"/>
        </w:rPr>
        <w:t xml:space="preserve"> </w:t>
      </w:r>
    </w:p>
    <w:tbl>
      <w:tblPr>
        <w:tblStyle w:val="Lentelstinklelis3"/>
        <w:tblW w:w="9634" w:type="dxa"/>
        <w:tblInd w:w="0" w:type="dxa"/>
        <w:tblLook w:val="04A0" w:firstRow="1" w:lastRow="0" w:firstColumn="1" w:lastColumn="0" w:noHBand="0" w:noVBand="1"/>
      </w:tblPr>
      <w:tblGrid>
        <w:gridCol w:w="3964"/>
        <w:gridCol w:w="1134"/>
        <w:gridCol w:w="1134"/>
        <w:gridCol w:w="1134"/>
        <w:gridCol w:w="1134"/>
        <w:gridCol w:w="1134"/>
      </w:tblGrid>
      <w:tr w:rsidR="00FD315F" w:rsidRPr="00585DBF" w14:paraId="1B97ED51" w14:textId="77777777" w:rsidTr="006F7BCE">
        <w:tc>
          <w:tcPr>
            <w:tcW w:w="3964" w:type="dxa"/>
            <w:tcBorders>
              <w:top w:val="single" w:sz="4" w:space="0" w:color="auto"/>
              <w:left w:val="single" w:sz="4" w:space="0" w:color="auto"/>
              <w:bottom w:val="single" w:sz="4" w:space="0" w:color="auto"/>
              <w:right w:val="single" w:sz="4" w:space="0" w:color="auto"/>
            </w:tcBorders>
            <w:hideMark/>
          </w:tcPr>
          <w:p w14:paraId="6F2B46D3"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Year</w:t>
            </w:r>
          </w:p>
        </w:tc>
        <w:tc>
          <w:tcPr>
            <w:tcW w:w="1134" w:type="dxa"/>
            <w:tcBorders>
              <w:top w:val="single" w:sz="4" w:space="0" w:color="auto"/>
              <w:left w:val="single" w:sz="4" w:space="0" w:color="auto"/>
              <w:bottom w:val="single" w:sz="4" w:space="0" w:color="auto"/>
              <w:right w:val="single" w:sz="4" w:space="0" w:color="auto"/>
            </w:tcBorders>
            <w:hideMark/>
          </w:tcPr>
          <w:p w14:paraId="6A4904FC"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2020</w:t>
            </w:r>
          </w:p>
        </w:tc>
        <w:tc>
          <w:tcPr>
            <w:tcW w:w="1134" w:type="dxa"/>
            <w:tcBorders>
              <w:top w:val="single" w:sz="4" w:space="0" w:color="auto"/>
              <w:left w:val="single" w:sz="4" w:space="0" w:color="auto"/>
              <w:bottom w:val="single" w:sz="4" w:space="0" w:color="auto"/>
              <w:right w:val="single" w:sz="4" w:space="0" w:color="auto"/>
            </w:tcBorders>
            <w:hideMark/>
          </w:tcPr>
          <w:p w14:paraId="0E512CF6"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2021</w:t>
            </w:r>
          </w:p>
        </w:tc>
        <w:tc>
          <w:tcPr>
            <w:tcW w:w="1134" w:type="dxa"/>
            <w:tcBorders>
              <w:top w:val="single" w:sz="4" w:space="0" w:color="auto"/>
              <w:left w:val="single" w:sz="4" w:space="0" w:color="auto"/>
              <w:bottom w:val="single" w:sz="4" w:space="0" w:color="auto"/>
              <w:right w:val="single" w:sz="4" w:space="0" w:color="auto"/>
            </w:tcBorders>
            <w:hideMark/>
          </w:tcPr>
          <w:p w14:paraId="5B36A50B"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2022</w:t>
            </w:r>
          </w:p>
        </w:tc>
        <w:tc>
          <w:tcPr>
            <w:tcW w:w="1134" w:type="dxa"/>
            <w:tcBorders>
              <w:top w:val="single" w:sz="4" w:space="0" w:color="auto"/>
              <w:left w:val="single" w:sz="4" w:space="0" w:color="auto"/>
              <w:bottom w:val="single" w:sz="4" w:space="0" w:color="auto"/>
              <w:right w:val="single" w:sz="4" w:space="0" w:color="auto"/>
            </w:tcBorders>
            <w:hideMark/>
          </w:tcPr>
          <w:p w14:paraId="5A66825E"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2023</w:t>
            </w:r>
          </w:p>
        </w:tc>
        <w:tc>
          <w:tcPr>
            <w:tcW w:w="1134" w:type="dxa"/>
            <w:tcBorders>
              <w:top w:val="single" w:sz="4" w:space="0" w:color="auto"/>
              <w:left w:val="single" w:sz="4" w:space="0" w:color="auto"/>
              <w:bottom w:val="single" w:sz="4" w:space="0" w:color="auto"/>
              <w:right w:val="single" w:sz="4" w:space="0" w:color="auto"/>
            </w:tcBorders>
            <w:hideMark/>
          </w:tcPr>
          <w:p w14:paraId="29A43527"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2024</w:t>
            </w:r>
          </w:p>
        </w:tc>
      </w:tr>
      <w:tr w:rsidR="00FD315F" w:rsidRPr="00585DBF" w14:paraId="7A03CE4D" w14:textId="77777777" w:rsidTr="006F7BCE">
        <w:tc>
          <w:tcPr>
            <w:tcW w:w="3964" w:type="dxa"/>
            <w:tcBorders>
              <w:top w:val="single" w:sz="4" w:space="0" w:color="auto"/>
              <w:left w:val="single" w:sz="4" w:space="0" w:color="auto"/>
              <w:bottom w:val="single" w:sz="4" w:space="0" w:color="auto"/>
              <w:right w:val="single" w:sz="4" w:space="0" w:color="auto"/>
            </w:tcBorders>
            <w:hideMark/>
          </w:tcPr>
          <w:p w14:paraId="2E77EF3B" w14:textId="21C3B2D5" w:rsidR="00FD315F" w:rsidRPr="00585DBF" w:rsidRDefault="00FD315F" w:rsidP="006F7BCE">
            <w:pPr>
              <w:jc w:val="both"/>
              <w:rPr>
                <w:rFonts w:ascii="Times New Roman" w:eastAsia="Times New Roman" w:hAnsi="Times New Roman"/>
                <w:b/>
                <w:bCs/>
                <w:kern w:val="0"/>
                <w:sz w:val="24"/>
                <w:szCs w:val="24"/>
                <w14:ligatures w14:val="none"/>
              </w:rPr>
            </w:pPr>
            <w:r w:rsidRPr="00585DBF">
              <w:rPr>
                <w:rFonts w:ascii="Times New Roman" w:hAnsi="Times New Roman"/>
                <w:b/>
                <w:sz w:val="24"/>
                <w:szCs w:val="24"/>
              </w:rPr>
              <w:t>Number of institutions</w:t>
            </w:r>
          </w:p>
        </w:tc>
        <w:tc>
          <w:tcPr>
            <w:tcW w:w="1134" w:type="dxa"/>
            <w:tcBorders>
              <w:top w:val="single" w:sz="4" w:space="0" w:color="auto"/>
              <w:left w:val="single" w:sz="4" w:space="0" w:color="auto"/>
              <w:bottom w:val="single" w:sz="4" w:space="0" w:color="auto"/>
              <w:right w:val="single" w:sz="4" w:space="0" w:color="auto"/>
            </w:tcBorders>
            <w:hideMark/>
          </w:tcPr>
          <w:p w14:paraId="4A2163C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39</w:t>
            </w:r>
          </w:p>
        </w:tc>
        <w:tc>
          <w:tcPr>
            <w:tcW w:w="1134" w:type="dxa"/>
            <w:tcBorders>
              <w:top w:val="single" w:sz="4" w:space="0" w:color="auto"/>
              <w:left w:val="single" w:sz="4" w:space="0" w:color="auto"/>
              <w:bottom w:val="single" w:sz="4" w:space="0" w:color="auto"/>
              <w:right w:val="single" w:sz="4" w:space="0" w:color="auto"/>
            </w:tcBorders>
            <w:hideMark/>
          </w:tcPr>
          <w:p w14:paraId="7DFCBB3A"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37</w:t>
            </w:r>
          </w:p>
        </w:tc>
        <w:tc>
          <w:tcPr>
            <w:tcW w:w="1134" w:type="dxa"/>
            <w:tcBorders>
              <w:top w:val="single" w:sz="4" w:space="0" w:color="auto"/>
              <w:left w:val="single" w:sz="4" w:space="0" w:color="auto"/>
              <w:bottom w:val="single" w:sz="4" w:space="0" w:color="auto"/>
              <w:right w:val="single" w:sz="4" w:space="0" w:color="auto"/>
            </w:tcBorders>
            <w:hideMark/>
          </w:tcPr>
          <w:p w14:paraId="63A79149"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36</w:t>
            </w:r>
          </w:p>
        </w:tc>
        <w:tc>
          <w:tcPr>
            <w:tcW w:w="1134" w:type="dxa"/>
            <w:tcBorders>
              <w:top w:val="single" w:sz="4" w:space="0" w:color="auto"/>
              <w:left w:val="single" w:sz="4" w:space="0" w:color="auto"/>
              <w:bottom w:val="single" w:sz="4" w:space="0" w:color="auto"/>
              <w:right w:val="single" w:sz="4" w:space="0" w:color="auto"/>
            </w:tcBorders>
            <w:hideMark/>
          </w:tcPr>
          <w:p w14:paraId="2E7D890B"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35</w:t>
            </w:r>
          </w:p>
        </w:tc>
        <w:tc>
          <w:tcPr>
            <w:tcW w:w="1134" w:type="dxa"/>
            <w:tcBorders>
              <w:top w:val="single" w:sz="4" w:space="0" w:color="auto"/>
              <w:left w:val="single" w:sz="4" w:space="0" w:color="auto"/>
              <w:bottom w:val="single" w:sz="4" w:space="0" w:color="auto"/>
              <w:right w:val="single" w:sz="4" w:space="0" w:color="auto"/>
            </w:tcBorders>
            <w:hideMark/>
          </w:tcPr>
          <w:p w14:paraId="20FF3793"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35</w:t>
            </w:r>
          </w:p>
        </w:tc>
      </w:tr>
      <w:tr w:rsidR="00FD315F" w:rsidRPr="00585DBF" w14:paraId="1778741D" w14:textId="77777777" w:rsidTr="006F7BCE">
        <w:tc>
          <w:tcPr>
            <w:tcW w:w="3964" w:type="dxa"/>
            <w:tcBorders>
              <w:top w:val="single" w:sz="4" w:space="0" w:color="auto"/>
              <w:left w:val="single" w:sz="4" w:space="0" w:color="auto"/>
              <w:bottom w:val="single" w:sz="4" w:space="0" w:color="auto"/>
              <w:right w:val="single" w:sz="4" w:space="0" w:color="auto"/>
            </w:tcBorders>
            <w:hideMark/>
          </w:tcPr>
          <w:p w14:paraId="7F0E603F" w14:textId="77777777" w:rsidR="00FD315F" w:rsidRPr="00585DBF" w:rsidRDefault="00FD315F" w:rsidP="006F7BCE">
            <w:pPr>
              <w:jc w:val="both"/>
              <w:rPr>
                <w:rFonts w:ascii="Times New Roman" w:eastAsia="Times New Roman" w:hAnsi="Times New Roman"/>
                <w:b/>
                <w:bCs/>
                <w:kern w:val="0"/>
                <w:sz w:val="24"/>
                <w:szCs w:val="24"/>
                <w14:ligatures w14:val="none"/>
              </w:rPr>
            </w:pPr>
            <w:r w:rsidRPr="00585DBF">
              <w:rPr>
                <w:rFonts w:ascii="Times New Roman" w:hAnsi="Times New Roman"/>
                <w:b/>
                <w:sz w:val="24"/>
                <w:szCs w:val="24"/>
              </w:rPr>
              <w:t xml:space="preserve">Number of residents </w:t>
            </w:r>
          </w:p>
        </w:tc>
        <w:tc>
          <w:tcPr>
            <w:tcW w:w="1134" w:type="dxa"/>
            <w:tcBorders>
              <w:top w:val="single" w:sz="4" w:space="0" w:color="auto"/>
              <w:left w:val="single" w:sz="4" w:space="0" w:color="auto"/>
              <w:bottom w:val="single" w:sz="4" w:space="0" w:color="auto"/>
              <w:right w:val="single" w:sz="4" w:space="0" w:color="auto"/>
            </w:tcBorders>
            <w:hideMark/>
          </w:tcPr>
          <w:p w14:paraId="658F4FE3"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6,008</w:t>
            </w:r>
          </w:p>
        </w:tc>
        <w:tc>
          <w:tcPr>
            <w:tcW w:w="1134" w:type="dxa"/>
            <w:tcBorders>
              <w:top w:val="single" w:sz="4" w:space="0" w:color="auto"/>
              <w:left w:val="single" w:sz="4" w:space="0" w:color="auto"/>
              <w:bottom w:val="single" w:sz="4" w:space="0" w:color="auto"/>
              <w:right w:val="single" w:sz="4" w:space="0" w:color="auto"/>
            </w:tcBorders>
            <w:hideMark/>
          </w:tcPr>
          <w:p w14:paraId="45F8B32C"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5,824</w:t>
            </w:r>
          </w:p>
        </w:tc>
        <w:tc>
          <w:tcPr>
            <w:tcW w:w="1134" w:type="dxa"/>
            <w:tcBorders>
              <w:top w:val="single" w:sz="4" w:space="0" w:color="auto"/>
              <w:left w:val="single" w:sz="4" w:space="0" w:color="auto"/>
              <w:bottom w:val="single" w:sz="4" w:space="0" w:color="auto"/>
              <w:right w:val="single" w:sz="4" w:space="0" w:color="auto"/>
            </w:tcBorders>
            <w:hideMark/>
          </w:tcPr>
          <w:p w14:paraId="70FE748D"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5,609</w:t>
            </w:r>
          </w:p>
        </w:tc>
        <w:tc>
          <w:tcPr>
            <w:tcW w:w="1134" w:type="dxa"/>
            <w:tcBorders>
              <w:top w:val="single" w:sz="4" w:space="0" w:color="auto"/>
              <w:left w:val="single" w:sz="4" w:space="0" w:color="auto"/>
              <w:bottom w:val="single" w:sz="4" w:space="0" w:color="auto"/>
              <w:right w:val="single" w:sz="4" w:space="0" w:color="auto"/>
            </w:tcBorders>
            <w:hideMark/>
          </w:tcPr>
          <w:p w14:paraId="6CCA2FB1"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5,491</w:t>
            </w:r>
          </w:p>
        </w:tc>
        <w:tc>
          <w:tcPr>
            <w:tcW w:w="1134" w:type="dxa"/>
            <w:tcBorders>
              <w:top w:val="single" w:sz="4" w:space="0" w:color="auto"/>
              <w:left w:val="single" w:sz="4" w:space="0" w:color="auto"/>
              <w:bottom w:val="single" w:sz="4" w:space="0" w:color="auto"/>
              <w:right w:val="single" w:sz="4" w:space="0" w:color="auto"/>
            </w:tcBorders>
            <w:hideMark/>
          </w:tcPr>
          <w:p w14:paraId="23949DDA" w14:textId="77777777" w:rsidR="00FD315F" w:rsidRPr="00585DBF" w:rsidRDefault="00FD315F" w:rsidP="006F7BCE">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5,107</w:t>
            </w:r>
          </w:p>
        </w:tc>
      </w:tr>
    </w:tbl>
    <w:p w14:paraId="030B2DB1"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eastAsia="lt-LT"/>
          <w14:ligatures w14:val="none"/>
        </w:rPr>
      </w:pPr>
    </w:p>
    <w:p w14:paraId="5EE498C5"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The network of group living homes is rapidly expanded (in 2024, there were already 104 group living homes in the country, with 988 places). Here, people with disabilities are provided with the conditions to live in small community environments, while developing independent living skills. </w:t>
      </w:r>
    </w:p>
    <w:p w14:paraId="02C5A3A0"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eastAsia="lt-LT"/>
          <w14:ligatures w14:val="none"/>
        </w:rPr>
      </w:pPr>
    </w:p>
    <w:p w14:paraId="7322E460" w14:textId="77777777" w:rsidR="00FD315F" w:rsidRPr="00585DBF" w:rsidRDefault="00FD315F" w:rsidP="00FD315F">
      <w:pPr>
        <w:spacing w:after="0" w:line="240" w:lineRule="auto"/>
        <w:jc w:val="both"/>
        <w:rPr>
          <w:rFonts w:ascii="Times New Roman" w:eastAsia="Calibri"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Some persons with very severe disabilities require specialised care that integrates medical supervision, which has been ensured since 2018 in specialised nursing and social care institutions. Currently, there are already 3 specialised nursing and care institutions and 2 branches where services are provided to 174 persons.</w:t>
      </w:r>
    </w:p>
    <w:p w14:paraId="1CA01A03" w14:textId="77777777" w:rsidR="00FD315F" w:rsidRPr="00585DBF" w:rsidRDefault="00FD315F" w:rsidP="00FD315F">
      <w:pPr>
        <w:spacing w:after="0" w:line="240" w:lineRule="auto"/>
        <w:jc w:val="both"/>
        <w:rPr>
          <w:rFonts w:ascii="Times New Roman" w:eastAsia="Calibri" w:hAnsi="Times New Roman" w:cs="Times New Roman"/>
          <w:sz w:val="24"/>
          <w:szCs w:val="24"/>
          <w:lang w:val="en-GB"/>
        </w:rPr>
      </w:pPr>
    </w:p>
    <w:p w14:paraId="4512951E" w14:textId="77777777" w:rsidR="00FD315F" w:rsidRPr="00585DBF" w:rsidRDefault="00FD315F" w:rsidP="00FD315F">
      <w:pPr>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kern w:val="0"/>
          <w:sz w:val="24"/>
          <w:szCs w:val="24"/>
          <w:lang w:val="en-GB"/>
          <w14:ligatures w14:val="none"/>
        </w:rPr>
        <w:t>From 2024, social services in Lithuania may be provided not only by institutions but also by natural persons, in particular in the form of home help and respite care services. In order to develop community services, a sheltered housing service (since 2019) and a social workshop service (since 2024) have been introduced. The provision of long-term social care has also been started in shared living homes for 4 to 5 adults with severe disabilities. The role of municipalities has been expanded – they are responsible for the planning, financing and quality assessment of the service network according to the needs of local communities.</w:t>
      </w:r>
    </w:p>
    <w:p w14:paraId="74EF8A4B" w14:textId="77777777" w:rsidR="00FD315F" w:rsidRPr="00585DBF" w:rsidRDefault="00FD315F" w:rsidP="00FD315F">
      <w:pPr>
        <w:jc w:val="both"/>
        <w:rPr>
          <w:rFonts w:ascii="Times New Roman" w:hAnsi="Times New Roman" w:cs="Times New Roman"/>
          <w:b/>
          <w:bCs/>
          <w:sz w:val="24"/>
          <w:szCs w:val="24"/>
          <w:lang w:val="en-GB"/>
        </w:rPr>
      </w:pPr>
      <w:r w:rsidRPr="00585DBF">
        <w:rPr>
          <w:rFonts w:ascii="Times New Roman" w:hAnsi="Times New Roman" w:cs="Times New Roman"/>
          <w:b/>
          <w:bCs/>
          <w:sz w:val="24"/>
          <w:szCs w:val="24"/>
          <w:lang w:val="en-GB"/>
        </w:rPr>
        <w:t xml:space="preserve">Paragraph 20 of the </w:t>
      </w:r>
      <w:r w:rsidRPr="00585DBF">
        <w:rPr>
          <w:rFonts w:ascii="Times New Roman" w:eastAsia="Times New Roman" w:hAnsi="Times New Roman" w:cs="Times New Roman"/>
          <w:b/>
          <w:kern w:val="0"/>
          <w:sz w:val="24"/>
          <w:szCs w:val="24"/>
          <w:lang w:val="en-GB" w:eastAsia="lt-LT"/>
          <w14:ligatures w14:val="none"/>
        </w:rPr>
        <w:t>LoIPR</w:t>
      </w:r>
    </w:p>
    <w:p w14:paraId="24995CC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Vulnerable persons and members of families with minor foreign nationals may be detained only in exceptional cases, taking into account the best interests of the child and vulnerable persons. In practice, when there are grounds for detention of foreigners who are vulnerable persons, an application is submitted to the court to impose an alternative measure to detention. Once the court has imposed an alternative measure to detention on a foreigner, the foreigner is accommodated in accommodation facilities belonging to the Reception and Integration Agency. </w:t>
      </w:r>
    </w:p>
    <w:p w14:paraId="2A88152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41A160F9" w14:textId="77777777" w:rsidR="00FD315F" w:rsidRPr="00585DBF" w:rsidRDefault="00FD315F" w:rsidP="00FD315F">
      <w:pPr>
        <w:jc w:val="both"/>
        <w:rPr>
          <w:rFonts w:ascii="Times New Roman" w:eastAsia="Calibri" w:hAnsi="Times New Roman" w:cs="Times New Roman"/>
          <w:b/>
          <w:bCs/>
          <w:sz w:val="24"/>
          <w:szCs w:val="24"/>
          <w:lang w:val="en-GB"/>
        </w:rPr>
      </w:pPr>
      <w:r w:rsidRPr="00585DBF">
        <w:rPr>
          <w:rFonts w:ascii="Times New Roman" w:eastAsia="Aptos" w:hAnsi="Times New Roman" w:cs="Times New Roman"/>
          <w:kern w:val="0"/>
          <w:sz w:val="24"/>
          <w:szCs w:val="24"/>
          <w:lang w:val="en-GB"/>
          <w14:ligatures w14:val="none"/>
        </w:rPr>
        <w:t>From 2021, the Foreigners' Registration Centre (in Pabradė) has a separate dormitory (25 accommodation places) for detained families (with children) and single women, with its infrastructure and environment equipped so as to minimise the detention-like environment.</w:t>
      </w:r>
    </w:p>
    <w:p w14:paraId="6712136F" w14:textId="77777777" w:rsidR="00FD315F" w:rsidRPr="00585DBF" w:rsidRDefault="00FD315F" w:rsidP="00FD315F">
      <w:pPr>
        <w:jc w:val="both"/>
        <w:rPr>
          <w:rFonts w:ascii="Times New Roman" w:hAnsi="Times New Roman" w:cs="Times New Roman"/>
          <w:b/>
          <w:bCs/>
          <w:sz w:val="24"/>
          <w:szCs w:val="24"/>
          <w:lang w:val="en-GB"/>
        </w:rPr>
      </w:pPr>
      <w:r w:rsidRPr="00585DBF">
        <w:rPr>
          <w:rFonts w:ascii="Times New Roman" w:hAnsi="Times New Roman" w:cs="Times New Roman"/>
          <w:b/>
          <w:bCs/>
          <w:sz w:val="24"/>
          <w:szCs w:val="24"/>
          <w:lang w:val="en-GB"/>
        </w:rPr>
        <w:t xml:space="preserve">Paragraph 21 of the </w:t>
      </w:r>
      <w:r w:rsidRPr="00585DBF">
        <w:rPr>
          <w:rFonts w:ascii="Times New Roman" w:eastAsia="Times New Roman" w:hAnsi="Times New Roman" w:cs="Times New Roman"/>
          <w:b/>
          <w:kern w:val="0"/>
          <w:sz w:val="24"/>
          <w:szCs w:val="24"/>
          <w:lang w:val="en-GB" w:eastAsia="lt-LT"/>
          <w14:ligatures w14:val="none"/>
        </w:rPr>
        <w:t>LoIPR</w:t>
      </w:r>
    </w:p>
    <w:p w14:paraId="3B808781"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14:ligatures w14:val="none"/>
        </w:rPr>
      </w:pPr>
      <w:r w:rsidRPr="00585DBF">
        <w:rPr>
          <w:rFonts w:ascii="Times New Roman" w:eastAsia="Aptos" w:hAnsi="Times New Roman" w:cs="Times New Roman"/>
          <w:sz w:val="24"/>
          <w:szCs w:val="24"/>
          <w:lang w:val="en-GB"/>
        </w:rPr>
        <w:t xml:space="preserve">In 2023, the </w:t>
      </w:r>
      <w:bookmarkStart w:id="38" w:name="_Hlk213695565"/>
      <w:r w:rsidRPr="00585DBF">
        <w:rPr>
          <w:rFonts w:ascii="Times New Roman" w:eastAsia="Aptos" w:hAnsi="Times New Roman" w:cs="Times New Roman"/>
          <w:sz w:val="24"/>
          <w:szCs w:val="24"/>
          <w:lang w:val="en-GB"/>
        </w:rPr>
        <w:t>LLSF</w:t>
      </w:r>
      <w:bookmarkEnd w:id="38"/>
      <w:r w:rsidRPr="00585DBF">
        <w:rPr>
          <w:rFonts w:ascii="Times New Roman" w:eastAsia="Aptos" w:hAnsi="Times New Roman" w:cs="Times New Roman"/>
          <w:sz w:val="24"/>
          <w:szCs w:val="24"/>
          <w:lang w:val="en-GB"/>
        </w:rPr>
        <w:t xml:space="preserve"> was amended to stipulate that, in the event of an emergency situation involving a mass influx of foreigners, foreigners who have crossed the State border illegally and who are not allowed to enter the territory of Lithuania shall be accommodated without the right to move freely. This restriction on the right to move freely within the territory of Lithuania may not be applied longer than for 5 months. An appeal against decisions regarding accommodation in the temporary accommodation facilities without the right to move freely within the territory of Lithuania may be lodged with a district court of the place of a foreigner’s stay or any other district court which is nearest to the place of the foreigner’s stay within 14 days from the service of the decision. </w:t>
      </w:r>
    </w:p>
    <w:p w14:paraId="4CDB353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ru-RU"/>
          <w14:ligatures w14:val="none"/>
        </w:rPr>
      </w:pPr>
    </w:p>
    <w:p w14:paraId="109507D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accordance with the provisions of the LLSF, in the event of an emergency due to a mass influx of foreigners, the State Border Guard Service shall, on a periodical basis but at least once every 3 months, verify the circumstances affecting the justification of detention of a foreigner and shall, in </w:t>
      </w:r>
      <w:r w:rsidRPr="00585DBF">
        <w:rPr>
          <w:rFonts w:ascii="Times New Roman" w:eastAsia="Aptos" w:hAnsi="Times New Roman" w:cs="Times New Roman"/>
          <w:sz w:val="24"/>
          <w:szCs w:val="24"/>
          <w:lang w:val="en-GB"/>
        </w:rPr>
        <w:lastRenderedPageBreak/>
        <w:t>the cases and in accordance with the procedure laid down in the LLSF, refer to a court with a request to review the decision to detain the foreigner.</w:t>
      </w:r>
    </w:p>
    <w:p w14:paraId="4059EDC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ru-RU"/>
          <w14:ligatures w14:val="none"/>
        </w:rPr>
      </w:pPr>
    </w:p>
    <w:p w14:paraId="55032FF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Information publications prepared by the Migration Department, information on State-guaranteed legal aid for foreigners, the rights and obligations of foreigners, etc. are displayed in clearly visible places in the common areas of the Foreigners' Registration Centre. All published information has been translated into foreign languages that are understood by the foreigners living in the centre. </w:t>
      </w:r>
    </w:p>
    <w:p w14:paraId="76535C82"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710E241" w14:textId="77777777" w:rsidR="00FD315F" w:rsidRPr="00585DBF" w:rsidRDefault="00FD315F" w:rsidP="00FD315F">
      <w:pPr>
        <w:spacing w:line="240" w:lineRule="auto"/>
        <w:jc w:val="both"/>
        <w:rPr>
          <w:rFonts w:ascii="Times New Roman" w:eastAsia="Aptos" w:hAnsi="Times New Roman" w:cs="Times New Roman"/>
          <w:color w:val="000000"/>
          <w:kern w:val="0"/>
          <w:sz w:val="24"/>
          <w:szCs w:val="24"/>
          <w:bdr w:val="none" w:sz="0" w:space="0" w:color="auto" w:frame="1"/>
          <w:lang w:val="en-GB"/>
          <w14:ligatures w14:val="none"/>
        </w:rPr>
      </w:pPr>
      <w:r w:rsidRPr="00585DBF">
        <w:rPr>
          <w:rFonts w:ascii="Times New Roman" w:eastAsia="Aptos" w:hAnsi="Times New Roman" w:cs="Times New Roman"/>
          <w:kern w:val="0"/>
          <w:sz w:val="24"/>
          <w:szCs w:val="24"/>
          <w:lang w:val="en-GB"/>
          <w14:ligatures w14:val="none"/>
        </w:rPr>
        <w:t xml:space="preserve">In 2025, amendments to the LLSF came into force, amending the measures alternative to detention imposed by the court: to accommodate a foreigner in a temporary accommodation facility without restrictions on freedom of movement and </w:t>
      </w:r>
      <w:bookmarkStart w:id="39" w:name="part_5ec0a6f950f54fc6a3764f4d20445e35"/>
      <w:bookmarkEnd w:id="39"/>
      <w:r w:rsidRPr="00585DBF">
        <w:rPr>
          <w:rFonts w:ascii="Times New Roman" w:eastAsia="Aptos" w:hAnsi="Times New Roman" w:cs="Times New Roman"/>
          <w:kern w:val="0"/>
          <w:sz w:val="24"/>
          <w:szCs w:val="24"/>
          <w:lang w:val="en-GB"/>
          <w14:ligatures w14:val="none"/>
        </w:rPr>
        <w:t>accommodate a foreigner in a temporary accommodation facility with the obligation not to leave the territory belonging to the temporary accommodation facility without the permission of the head of the temporary accommodation facility or his or her authorised person.</w:t>
      </w:r>
      <w:r w:rsidRPr="00585DBF">
        <w:rPr>
          <w:rFonts w:ascii="Times New Roman" w:eastAsia="Aptos" w:hAnsi="Times New Roman" w:cs="Times New Roman"/>
          <w:color w:val="000000"/>
          <w:kern w:val="0"/>
          <w:sz w:val="24"/>
          <w:szCs w:val="24"/>
          <w:bdr w:val="none" w:sz="0" w:space="0" w:color="auto" w:frame="1"/>
          <w:lang w:val="en-GB"/>
          <w14:ligatures w14:val="none"/>
        </w:rPr>
        <w:t xml:space="preserve"> In view of this, foreigners who are subject to such measures alternative to detention are accommodated in the accommodation facilities of the Reception and Integration Agency.</w:t>
      </w:r>
    </w:p>
    <w:p w14:paraId="5DC4E1B4" w14:textId="77777777" w:rsidR="00FD315F" w:rsidRPr="00585DBF" w:rsidRDefault="00FD315F" w:rsidP="00FD315F">
      <w:pPr>
        <w:jc w:val="both"/>
        <w:rPr>
          <w:rFonts w:ascii="Times New Roman" w:hAnsi="Times New Roman" w:cs="Times New Roman"/>
          <w:b/>
          <w:bCs/>
          <w:sz w:val="24"/>
          <w:szCs w:val="24"/>
          <w:lang w:val="en-GB"/>
        </w:rPr>
      </w:pPr>
      <w:bookmarkStart w:id="40" w:name="_Hlk213681433"/>
      <w:r w:rsidRPr="00585DBF">
        <w:rPr>
          <w:rFonts w:ascii="Times New Roman" w:hAnsi="Times New Roman" w:cs="Times New Roman"/>
          <w:b/>
          <w:bCs/>
          <w:sz w:val="24"/>
          <w:szCs w:val="24"/>
          <w:lang w:val="en-GB"/>
        </w:rPr>
        <w:t xml:space="preserve">Paragraph 22 of the </w:t>
      </w:r>
      <w:r w:rsidRPr="00585DBF">
        <w:rPr>
          <w:rFonts w:ascii="Times New Roman" w:eastAsia="Times New Roman" w:hAnsi="Times New Roman" w:cs="Times New Roman"/>
          <w:b/>
          <w:kern w:val="0"/>
          <w:sz w:val="24"/>
          <w:szCs w:val="24"/>
          <w:lang w:val="en-GB" w:eastAsia="lt-LT"/>
          <w14:ligatures w14:val="none"/>
        </w:rPr>
        <w:t>LoIPR</w:t>
      </w:r>
    </w:p>
    <w:bookmarkEnd w:id="40"/>
    <w:p w14:paraId="6513AD99"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14:ligatures w14:val="none"/>
        </w:rPr>
      </w:pPr>
      <w:r w:rsidRPr="00585DBF">
        <w:rPr>
          <w:rFonts w:ascii="Times New Roman" w:eastAsia="Aptos" w:hAnsi="Times New Roman" w:cs="Times New Roman"/>
          <w:sz w:val="24"/>
          <w:szCs w:val="24"/>
          <w:lang w:val="en-GB"/>
        </w:rPr>
        <w:t>In 2021, during the migration crisis caused by the regime of the Republic of Belarus, when emergency and later a state of emergency were declared in Lithuania, temporary and urgent decisions were made regarding the accommodation of foreigners. The State Border Guard Service established the Medininkai Foreigners' Registration Centre and the Kybartai Foreigners' Registration Centre, which were closed in 2022–2023 due to a decrease in the number of migrants.</w:t>
      </w:r>
    </w:p>
    <w:p w14:paraId="3EF7C669" w14:textId="77777777" w:rsidR="00FD315F" w:rsidRPr="00585DBF" w:rsidRDefault="00FD315F" w:rsidP="00FD315F">
      <w:pPr>
        <w:spacing w:after="0" w:line="240" w:lineRule="auto"/>
        <w:jc w:val="both"/>
        <w:rPr>
          <w:rFonts w:ascii="Times New Roman" w:eastAsia="Aptos" w:hAnsi="Times New Roman" w:cs="Times New Roman"/>
          <w:kern w:val="0"/>
          <w:sz w:val="24"/>
          <w:szCs w:val="24"/>
          <w:lang w:val="en-GB" w:eastAsia="lt-LT"/>
          <w14:ligatures w14:val="none"/>
        </w:rPr>
      </w:pPr>
    </w:p>
    <w:p w14:paraId="42837F57" w14:textId="77777777" w:rsidR="00FD315F" w:rsidRPr="00585DBF" w:rsidRDefault="00FD315F" w:rsidP="00FD315F">
      <w:pPr>
        <w:spacing w:after="0" w:line="240" w:lineRule="auto"/>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infrastructure of the existing Foreigners' Registration Centre is continuously improved in line with recommendations and standards. Between 2019 and 2024, new accommodation facilities for foreigners were renovated and built and the working environment conditions for the staff were improved at the Foreigners' Registration Centre:</w:t>
      </w:r>
    </w:p>
    <w:p w14:paraId="49B8F43D" w14:textId="77777777" w:rsidR="00FD315F" w:rsidRPr="00585DBF" w:rsidRDefault="00FD315F" w:rsidP="00FD315F">
      <w:pPr>
        <w:numPr>
          <w:ilvl w:val="0"/>
          <w:numId w:val="2"/>
        </w:numPr>
        <w:spacing w:after="0" w:line="240" w:lineRule="auto"/>
        <w:ind w:left="284" w:hanging="284"/>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accommodation conditions and security of detained foreigners has been improved. The exterior and interior of the dormitory for detained foreigners have been renovated. Conditions have been improved for persons with disabilities to access the first floor of the building, to move freely and use all main and auxiliary visitor facilities, living premises with a separate sanitary unit adapted for persons with disabilities have been fitted out. The plot around the building has been tidied up, walking and leisure areas have been created, and fencing has been installed around the building to ensure the security of the local territory. A new dormitory for detained women (families) with social activity rooms and outdoor infrastructure has been built.</w:t>
      </w:r>
    </w:p>
    <w:p w14:paraId="577E9483" w14:textId="77777777" w:rsidR="00FD315F" w:rsidRPr="00585DBF" w:rsidRDefault="00FD315F" w:rsidP="00FD315F">
      <w:pPr>
        <w:numPr>
          <w:ilvl w:val="0"/>
          <w:numId w:val="2"/>
        </w:numPr>
        <w:spacing w:after="0" w:line="240" w:lineRule="auto"/>
        <w:ind w:left="284" w:hanging="284"/>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the reception and accommodation conditions for asylum seekers have been improved, with particular attention paid to the needs of vulnerable asylum seekers. All windows in the asylum seekers' dormitory have been replaced, access to the first floor of the building has been adapted for persons with reduced mobility, living premises with a separate sanitary unit have been adapted for persons with disabilities on the first floor. A new building has been built to accommodate 15 persons and adapted for persons with reduced mobility. The following adjacent facilities have been installed: outdoor sports and children's playgrounds, a gym complex, a gazebo with a table and benches, walkways and lighting for recreation purposes. </w:t>
      </w:r>
    </w:p>
    <w:p w14:paraId="2E1442F4" w14:textId="77777777" w:rsidR="00FD315F" w:rsidRPr="00585DBF" w:rsidRDefault="00FD315F" w:rsidP="00FD315F">
      <w:pPr>
        <w:numPr>
          <w:ilvl w:val="0"/>
          <w:numId w:val="2"/>
        </w:numPr>
        <w:spacing w:after="0" w:line="240" w:lineRule="auto"/>
        <w:ind w:left="284" w:hanging="284"/>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other buildings have been reconstructed, a new reception building for foreigners has been built with office rooms, disinfection and cleaning rooms. Replacement of internal and external fences, outdoor engineering networks and landscaping works, acquisition of long-term and short-term assets have been carried out.</w:t>
      </w:r>
    </w:p>
    <w:p w14:paraId="5A594A8E" w14:textId="77777777" w:rsidR="00FD315F" w:rsidRPr="00585DBF" w:rsidRDefault="00FD315F" w:rsidP="00FD315F">
      <w:pPr>
        <w:spacing w:after="0" w:line="240" w:lineRule="auto"/>
        <w:jc w:val="both"/>
        <w:rPr>
          <w:rFonts w:ascii="Times New Roman" w:eastAsia="Aptos" w:hAnsi="Times New Roman" w:cs="Times New Roman"/>
          <w:kern w:val="0"/>
          <w:sz w:val="24"/>
          <w:szCs w:val="24"/>
          <w:lang w:val="en-GB" w:eastAsia="lt-LT"/>
          <w14:ligatures w14:val="none"/>
        </w:rPr>
      </w:pPr>
    </w:p>
    <w:p w14:paraId="2E8E011B" w14:textId="77777777" w:rsidR="00FD315F" w:rsidRPr="00585DBF" w:rsidRDefault="00FD315F" w:rsidP="00FD315F">
      <w:pPr>
        <w:spacing w:after="0" w:line="240" w:lineRule="auto"/>
        <w:jc w:val="both"/>
        <w:rPr>
          <w:rFonts w:ascii="Times New Roman" w:eastAsia="Aptos"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From 2025, only detained foreigners are temporarily accommodated at the Foreigners' Registration Centre. The Reception and Integration Agency ensures reception conditions for such foreigners.</w:t>
      </w:r>
      <w:r w:rsidRPr="00585DBF">
        <w:rPr>
          <w:rFonts w:ascii="Times New Roman" w:eastAsia="Aptos" w:hAnsi="Times New Roman" w:cs="Times New Roman"/>
          <w:color w:val="000000"/>
          <w:sz w:val="24"/>
          <w:szCs w:val="24"/>
          <w:lang w:val="en-GB"/>
        </w:rPr>
        <w:t xml:space="preserve"> </w:t>
      </w:r>
      <w:r w:rsidRPr="00585DBF">
        <w:rPr>
          <w:rFonts w:ascii="Times New Roman" w:eastAsia="Aptos" w:hAnsi="Times New Roman" w:cs="Times New Roman"/>
          <w:sz w:val="24"/>
          <w:szCs w:val="24"/>
          <w:lang w:val="en-GB"/>
        </w:rPr>
        <w:t xml:space="preserve">All other foreigners and asylum seekers are accommodated at the Reception Centre of the above-referred agency in Pabradė. </w:t>
      </w:r>
    </w:p>
    <w:p w14:paraId="10A8E3D9" w14:textId="77777777" w:rsidR="00FD315F" w:rsidRPr="00585DBF" w:rsidRDefault="00FD315F" w:rsidP="00FD315F">
      <w:pPr>
        <w:spacing w:after="0" w:line="240" w:lineRule="auto"/>
        <w:rPr>
          <w:rFonts w:ascii="Times New Roman" w:eastAsia="Calibri" w:hAnsi="Times New Roman" w:cs="Times New Roman"/>
          <w:b/>
          <w:kern w:val="0"/>
          <w:sz w:val="28"/>
          <w:szCs w:val="28"/>
          <w:lang w:val="en-GB"/>
          <w14:ligatures w14:val="none"/>
        </w:rPr>
      </w:pPr>
      <w:r w:rsidRPr="00585DBF">
        <w:rPr>
          <w:rFonts w:ascii="Times New Roman" w:eastAsia="Aptos" w:hAnsi="Times New Roman" w:cs="Times New Roman"/>
          <w:b/>
          <w:sz w:val="28"/>
          <w:szCs w:val="28"/>
          <w:lang w:val="en-GB"/>
        </w:rPr>
        <w:lastRenderedPageBreak/>
        <w:t>Articles 12 and 13</w:t>
      </w:r>
    </w:p>
    <w:p w14:paraId="3A39BE72" w14:textId="77777777" w:rsidR="00FD315F" w:rsidRPr="00585DBF" w:rsidRDefault="00FD315F" w:rsidP="00FD315F">
      <w:pPr>
        <w:pStyle w:val="NoSpacing"/>
        <w:rPr>
          <w:lang w:val="en-GB"/>
        </w:rPr>
      </w:pPr>
    </w:p>
    <w:p w14:paraId="544BE13F" w14:textId="77777777" w:rsidR="00FD315F" w:rsidRPr="00585DBF" w:rsidRDefault="00FD315F" w:rsidP="00FD315F">
      <w:pPr>
        <w:rPr>
          <w:rFonts w:ascii="Times New Roman" w:hAnsi="Times New Roman" w:cs="Times New Roman"/>
          <w:b/>
          <w:bCs/>
          <w:sz w:val="24"/>
          <w:szCs w:val="24"/>
          <w:lang w:val="en-GB"/>
        </w:rPr>
      </w:pPr>
      <w:bookmarkStart w:id="41" w:name="_Hlk213681744"/>
      <w:r w:rsidRPr="00585DBF">
        <w:rPr>
          <w:rFonts w:ascii="Times New Roman" w:hAnsi="Times New Roman" w:cs="Times New Roman"/>
          <w:b/>
          <w:bCs/>
          <w:sz w:val="24"/>
          <w:szCs w:val="24"/>
          <w:lang w:val="en-GB"/>
        </w:rPr>
        <w:t xml:space="preserve">Paragraph 23 of the </w:t>
      </w:r>
      <w:bookmarkEnd w:id="41"/>
      <w:r w:rsidRPr="00585DBF">
        <w:rPr>
          <w:rFonts w:ascii="Times New Roman" w:eastAsia="Times New Roman" w:hAnsi="Times New Roman" w:cs="Times New Roman"/>
          <w:b/>
          <w:kern w:val="0"/>
          <w:sz w:val="24"/>
          <w:szCs w:val="24"/>
          <w:lang w:val="en-GB" w:eastAsia="lt-LT"/>
          <w14:ligatures w14:val="none"/>
        </w:rPr>
        <w:t>LoIPR</w:t>
      </w:r>
    </w:p>
    <w:p w14:paraId="7E0D12D0"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14:ligatures w14:val="none"/>
        </w:rPr>
      </w:pPr>
      <w:r w:rsidRPr="00585DBF">
        <w:rPr>
          <w:rFonts w:ascii="Times New Roman" w:eastAsia="Aptos" w:hAnsi="Times New Roman" w:cs="Times New Roman"/>
          <w:b/>
          <w:i/>
          <w:sz w:val="24"/>
          <w:szCs w:val="24"/>
          <w:lang w:val="en-GB"/>
        </w:rPr>
        <w:t>Information on official inspections of the excessive or unlawful use of physical force or special measures by police officers:</w:t>
      </w:r>
    </w:p>
    <w:tbl>
      <w:tblPr>
        <w:tblStyle w:val="Lentelstinklelis4"/>
        <w:tblW w:w="5000" w:type="pct"/>
        <w:tblInd w:w="0" w:type="dxa"/>
        <w:tblLook w:val="04A0" w:firstRow="1" w:lastRow="0" w:firstColumn="1" w:lastColumn="0" w:noHBand="0" w:noVBand="1"/>
      </w:tblPr>
      <w:tblGrid>
        <w:gridCol w:w="4386"/>
        <w:gridCol w:w="761"/>
        <w:gridCol w:w="697"/>
        <w:gridCol w:w="732"/>
        <w:gridCol w:w="697"/>
        <w:gridCol w:w="697"/>
        <w:gridCol w:w="697"/>
        <w:gridCol w:w="961"/>
      </w:tblGrid>
      <w:tr w:rsidR="00FD315F" w:rsidRPr="00585DBF" w14:paraId="2102FFD6" w14:textId="77777777" w:rsidTr="3240BACF">
        <w:tc>
          <w:tcPr>
            <w:tcW w:w="2278" w:type="pct"/>
            <w:tcBorders>
              <w:top w:val="single" w:sz="4" w:space="0" w:color="auto"/>
              <w:left w:val="single" w:sz="4" w:space="0" w:color="auto"/>
              <w:bottom w:val="single" w:sz="4" w:space="0" w:color="auto"/>
              <w:right w:val="single" w:sz="4" w:space="0" w:color="auto"/>
            </w:tcBorders>
            <w:vAlign w:val="center"/>
            <w:hideMark/>
          </w:tcPr>
          <w:p w14:paraId="5697A91A" w14:textId="77777777" w:rsidR="00FD315F" w:rsidRPr="00585DBF" w:rsidRDefault="00FD315F" w:rsidP="3240BACF">
            <w:pPr>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Year</w:t>
            </w:r>
          </w:p>
        </w:tc>
        <w:tc>
          <w:tcPr>
            <w:tcW w:w="395" w:type="pct"/>
            <w:tcBorders>
              <w:top w:val="single" w:sz="4" w:space="0" w:color="auto"/>
              <w:left w:val="single" w:sz="4" w:space="0" w:color="auto"/>
              <w:bottom w:val="single" w:sz="4" w:space="0" w:color="auto"/>
              <w:right w:val="single" w:sz="4" w:space="0" w:color="auto"/>
            </w:tcBorders>
            <w:vAlign w:val="center"/>
            <w:hideMark/>
          </w:tcPr>
          <w:p w14:paraId="133F27E2" w14:textId="05618015"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201</w:t>
            </w:r>
            <w:r w:rsidR="188B4439" w:rsidRPr="00585DBF">
              <w:rPr>
                <w:rFonts w:ascii="Times New Roman" w:hAnsi="Times New Roman"/>
                <w:b/>
                <w:bCs/>
                <w:sz w:val="24"/>
                <w:szCs w:val="24"/>
              </w:rPr>
              <w:t>9</w:t>
            </w:r>
          </w:p>
        </w:tc>
        <w:tc>
          <w:tcPr>
            <w:tcW w:w="362" w:type="pct"/>
            <w:tcBorders>
              <w:top w:val="single" w:sz="4" w:space="0" w:color="auto"/>
              <w:left w:val="single" w:sz="4" w:space="0" w:color="auto"/>
              <w:bottom w:val="single" w:sz="4" w:space="0" w:color="auto"/>
              <w:right w:val="single" w:sz="4" w:space="0" w:color="auto"/>
            </w:tcBorders>
            <w:vAlign w:val="center"/>
            <w:hideMark/>
          </w:tcPr>
          <w:p w14:paraId="78E9CFFB" w14:textId="7777777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2020</w:t>
            </w:r>
          </w:p>
        </w:tc>
        <w:tc>
          <w:tcPr>
            <w:tcW w:w="380" w:type="pct"/>
            <w:tcBorders>
              <w:top w:val="single" w:sz="4" w:space="0" w:color="auto"/>
              <w:left w:val="single" w:sz="4" w:space="0" w:color="auto"/>
              <w:bottom w:val="single" w:sz="4" w:space="0" w:color="auto"/>
              <w:right w:val="single" w:sz="4" w:space="0" w:color="auto"/>
            </w:tcBorders>
            <w:vAlign w:val="center"/>
            <w:hideMark/>
          </w:tcPr>
          <w:p w14:paraId="3CDCC9F1" w14:textId="7777777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2021</w:t>
            </w:r>
          </w:p>
        </w:tc>
        <w:tc>
          <w:tcPr>
            <w:tcW w:w="362" w:type="pct"/>
            <w:tcBorders>
              <w:top w:val="single" w:sz="4" w:space="0" w:color="auto"/>
              <w:left w:val="single" w:sz="4" w:space="0" w:color="auto"/>
              <w:bottom w:val="single" w:sz="4" w:space="0" w:color="auto"/>
              <w:right w:val="single" w:sz="4" w:space="0" w:color="auto"/>
            </w:tcBorders>
            <w:vAlign w:val="center"/>
            <w:hideMark/>
          </w:tcPr>
          <w:p w14:paraId="7D3C02D5" w14:textId="7777777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2022</w:t>
            </w:r>
          </w:p>
        </w:tc>
        <w:tc>
          <w:tcPr>
            <w:tcW w:w="362" w:type="pct"/>
            <w:tcBorders>
              <w:top w:val="single" w:sz="4" w:space="0" w:color="auto"/>
              <w:left w:val="single" w:sz="4" w:space="0" w:color="auto"/>
              <w:bottom w:val="single" w:sz="4" w:space="0" w:color="auto"/>
              <w:right w:val="single" w:sz="4" w:space="0" w:color="auto"/>
            </w:tcBorders>
            <w:vAlign w:val="center"/>
            <w:hideMark/>
          </w:tcPr>
          <w:p w14:paraId="02458EE2" w14:textId="7777777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2023</w:t>
            </w:r>
          </w:p>
        </w:tc>
        <w:tc>
          <w:tcPr>
            <w:tcW w:w="362" w:type="pct"/>
            <w:tcBorders>
              <w:top w:val="single" w:sz="4" w:space="0" w:color="auto"/>
              <w:left w:val="single" w:sz="4" w:space="0" w:color="auto"/>
              <w:bottom w:val="single" w:sz="4" w:space="0" w:color="auto"/>
              <w:right w:val="single" w:sz="4" w:space="0" w:color="auto"/>
            </w:tcBorders>
            <w:vAlign w:val="center"/>
            <w:hideMark/>
          </w:tcPr>
          <w:p w14:paraId="41871DFD" w14:textId="7777777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2024</w:t>
            </w:r>
          </w:p>
        </w:tc>
        <w:tc>
          <w:tcPr>
            <w:tcW w:w="500" w:type="pct"/>
            <w:tcBorders>
              <w:top w:val="single" w:sz="4" w:space="0" w:color="auto"/>
              <w:left w:val="single" w:sz="4" w:space="0" w:color="auto"/>
              <w:bottom w:val="single" w:sz="4" w:space="0" w:color="auto"/>
              <w:right w:val="single" w:sz="4" w:space="0" w:color="auto"/>
            </w:tcBorders>
            <w:vAlign w:val="center"/>
            <w:hideMark/>
          </w:tcPr>
          <w:p w14:paraId="77963AFE" w14:textId="7777777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2025</w:t>
            </w:r>
          </w:p>
          <w:p w14:paraId="59620913" w14:textId="77777777" w:rsidR="00FD315F" w:rsidRPr="00585DBF" w:rsidRDefault="00FD315F" w:rsidP="3240BACF">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bCs/>
                <w:sz w:val="24"/>
                <w:szCs w:val="24"/>
              </w:rPr>
              <w:t>I-II Q</w:t>
            </w:r>
          </w:p>
        </w:tc>
      </w:tr>
      <w:tr w:rsidR="00FD315F" w:rsidRPr="00585DBF" w14:paraId="720E5FDE" w14:textId="77777777" w:rsidTr="3240BACF">
        <w:tc>
          <w:tcPr>
            <w:tcW w:w="2278" w:type="pct"/>
            <w:tcBorders>
              <w:top w:val="single" w:sz="4" w:space="0" w:color="auto"/>
              <w:left w:val="single" w:sz="4" w:space="0" w:color="auto"/>
              <w:bottom w:val="single" w:sz="4" w:space="0" w:color="auto"/>
              <w:right w:val="single" w:sz="4" w:space="0" w:color="auto"/>
            </w:tcBorders>
            <w:vAlign w:val="center"/>
            <w:hideMark/>
          </w:tcPr>
          <w:p w14:paraId="0B1D77BB" w14:textId="77777777" w:rsidR="00FD315F" w:rsidRPr="00585DBF" w:rsidRDefault="00FD315F" w:rsidP="00F73F17">
            <w:pPr>
              <w:jc w:val="both"/>
              <w:rPr>
                <w:rFonts w:ascii="Times New Roman" w:eastAsia="Times New Roman" w:hAnsi="Times New Roman"/>
                <w:b/>
                <w:bCs/>
                <w:kern w:val="0"/>
                <w:sz w:val="24"/>
                <w:szCs w:val="24"/>
                <w14:ligatures w14:val="none"/>
              </w:rPr>
            </w:pPr>
            <w:r w:rsidRPr="00585DBF">
              <w:rPr>
                <w:rFonts w:ascii="Times New Roman" w:hAnsi="Times New Roman"/>
                <w:b/>
                <w:bCs/>
                <w:sz w:val="24"/>
                <w:szCs w:val="24"/>
              </w:rPr>
              <w:t>Number of initiated official inspections</w:t>
            </w:r>
          </w:p>
        </w:tc>
        <w:tc>
          <w:tcPr>
            <w:tcW w:w="395" w:type="pct"/>
            <w:tcBorders>
              <w:top w:val="single" w:sz="4" w:space="0" w:color="auto"/>
              <w:left w:val="single" w:sz="4" w:space="0" w:color="auto"/>
              <w:bottom w:val="single" w:sz="4" w:space="0" w:color="auto"/>
              <w:right w:val="single" w:sz="4" w:space="0" w:color="auto"/>
            </w:tcBorders>
            <w:hideMark/>
          </w:tcPr>
          <w:p w14:paraId="04870340"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8</w:t>
            </w:r>
          </w:p>
        </w:tc>
        <w:tc>
          <w:tcPr>
            <w:tcW w:w="362" w:type="pct"/>
            <w:tcBorders>
              <w:top w:val="single" w:sz="4" w:space="0" w:color="auto"/>
              <w:left w:val="single" w:sz="4" w:space="0" w:color="auto"/>
              <w:bottom w:val="single" w:sz="4" w:space="0" w:color="auto"/>
              <w:right w:val="single" w:sz="4" w:space="0" w:color="auto"/>
            </w:tcBorders>
            <w:hideMark/>
          </w:tcPr>
          <w:p w14:paraId="4A945836"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6</w:t>
            </w:r>
          </w:p>
        </w:tc>
        <w:tc>
          <w:tcPr>
            <w:tcW w:w="380" w:type="pct"/>
            <w:tcBorders>
              <w:top w:val="single" w:sz="4" w:space="0" w:color="auto"/>
              <w:left w:val="single" w:sz="4" w:space="0" w:color="auto"/>
              <w:bottom w:val="single" w:sz="4" w:space="0" w:color="auto"/>
              <w:right w:val="single" w:sz="4" w:space="0" w:color="auto"/>
            </w:tcBorders>
            <w:hideMark/>
          </w:tcPr>
          <w:p w14:paraId="3808DEAB"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w:t>
            </w:r>
          </w:p>
        </w:tc>
        <w:tc>
          <w:tcPr>
            <w:tcW w:w="362" w:type="pct"/>
            <w:tcBorders>
              <w:top w:val="single" w:sz="4" w:space="0" w:color="auto"/>
              <w:left w:val="single" w:sz="4" w:space="0" w:color="auto"/>
              <w:bottom w:val="single" w:sz="4" w:space="0" w:color="auto"/>
              <w:right w:val="single" w:sz="4" w:space="0" w:color="auto"/>
            </w:tcBorders>
            <w:hideMark/>
          </w:tcPr>
          <w:p w14:paraId="475311CC"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w:t>
            </w:r>
          </w:p>
        </w:tc>
        <w:tc>
          <w:tcPr>
            <w:tcW w:w="362" w:type="pct"/>
            <w:tcBorders>
              <w:top w:val="single" w:sz="4" w:space="0" w:color="auto"/>
              <w:left w:val="single" w:sz="4" w:space="0" w:color="auto"/>
              <w:bottom w:val="single" w:sz="4" w:space="0" w:color="auto"/>
              <w:right w:val="single" w:sz="4" w:space="0" w:color="auto"/>
            </w:tcBorders>
            <w:hideMark/>
          </w:tcPr>
          <w:p w14:paraId="58DEAA7B"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6</w:t>
            </w:r>
          </w:p>
        </w:tc>
        <w:tc>
          <w:tcPr>
            <w:tcW w:w="362" w:type="pct"/>
            <w:tcBorders>
              <w:top w:val="single" w:sz="4" w:space="0" w:color="auto"/>
              <w:left w:val="single" w:sz="4" w:space="0" w:color="auto"/>
              <w:bottom w:val="single" w:sz="4" w:space="0" w:color="auto"/>
              <w:right w:val="single" w:sz="4" w:space="0" w:color="auto"/>
            </w:tcBorders>
            <w:hideMark/>
          </w:tcPr>
          <w:p w14:paraId="713F15AF"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w:t>
            </w:r>
          </w:p>
        </w:tc>
        <w:tc>
          <w:tcPr>
            <w:tcW w:w="500" w:type="pct"/>
            <w:tcBorders>
              <w:top w:val="single" w:sz="4" w:space="0" w:color="auto"/>
              <w:left w:val="single" w:sz="4" w:space="0" w:color="auto"/>
              <w:bottom w:val="single" w:sz="4" w:space="0" w:color="auto"/>
              <w:right w:val="single" w:sz="4" w:space="0" w:color="auto"/>
            </w:tcBorders>
            <w:hideMark/>
          </w:tcPr>
          <w:p w14:paraId="1C2FD516"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w:t>
            </w:r>
          </w:p>
        </w:tc>
      </w:tr>
      <w:tr w:rsidR="00FD315F" w:rsidRPr="00585DBF" w14:paraId="16D9650F" w14:textId="77777777" w:rsidTr="00F73F17">
        <w:tc>
          <w:tcPr>
            <w:tcW w:w="2278" w:type="pct"/>
            <w:tcBorders>
              <w:top w:val="single" w:sz="4" w:space="0" w:color="auto"/>
              <w:left w:val="single" w:sz="4" w:space="0" w:color="auto"/>
              <w:bottom w:val="single" w:sz="4" w:space="0" w:color="auto"/>
              <w:right w:val="single" w:sz="4" w:space="0" w:color="auto"/>
            </w:tcBorders>
            <w:vAlign w:val="center"/>
            <w:hideMark/>
          </w:tcPr>
          <w:p w14:paraId="2C80AE4D" w14:textId="77777777" w:rsidR="00FD315F" w:rsidRPr="00585DBF" w:rsidRDefault="00FD315F" w:rsidP="00F73F17">
            <w:pPr>
              <w:jc w:val="both"/>
              <w:rPr>
                <w:rFonts w:ascii="Times New Roman" w:eastAsia="Times New Roman" w:hAnsi="Times New Roman"/>
                <w:b/>
                <w:bCs/>
                <w:kern w:val="0"/>
                <w:sz w:val="24"/>
                <w:szCs w:val="24"/>
                <w14:ligatures w14:val="none"/>
              </w:rPr>
            </w:pPr>
            <w:r w:rsidRPr="00585DBF">
              <w:rPr>
                <w:rFonts w:ascii="Times New Roman" w:hAnsi="Times New Roman"/>
                <w:b/>
                <w:bCs/>
                <w:sz w:val="24"/>
                <w:szCs w:val="24"/>
              </w:rPr>
              <w:t>Number of completed official inspections</w:t>
            </w:r>
          </w:p>
        </w:tc>
        <w:tc>
          <w:tcPr>
            <w:tcW w:w="395" w:type="pct"/>
            <w:tcBorders>
              <w:top w:val="single" w:sz="4" w:space="0" w:color="auto"/>
              <w:left w:val="single" w:sz="4" w:space="0" w:color="auto"/>
              <w:bottom w:val="single" w:sz="4" w:space="0" w:color="auto"/>
              <w:right w:val="single" w:sz="4" w:space="0" w:color="auto"/>
            </w:tcBorders>
            <w:vAlign w:val="center"/>
            <w:hideMark/>
          </w:tcPr>
          <w:p w14:paraId="5FAB941E"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8</w:t>
            </w:r>
          </w:p>
        </w:tc>
        <w:tc>
          <w:tcPr>
            <w:tcW w:w="362" w:type="pct"/>
            <w:tcBorders>
              <w:top w:val="single" w:sz="4" w:space="0" w:color="auto"/>
              <w:left w:val="single" w:sz="4" w:space="0" w:color="auto"/>
              <w:bottom w:val="single" w:sz="4" w:space="0" w:color="auto"/>
              <w:right w:val="single" w:sz="4" w:space="0" w:color="auto"/>
            </w:tcBorders>
            <w:vAlign w:val="center"/>
            <w:hideMark/>
          </w:tcPr>
          <w:p w14:paraId="545E1C10"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7</w:t>
            </w:r>
          </w:p>
        </w:tc>
        <w:tc>
          <w:tcPr>
            <w:tcW w:w="380" w:type="pct"/>
            <w:tcBorders>
              <w:top w:val="single" w:sz="4" w:space="0" w:color="auto"/>
              <w:left w:val="single" w:sz="4" w:space="0" w:color="auto"/>
              <w:bottom w:val="single" w:sz="4" w:space="0" w:color="auto"/>
              <w:right w:val="single" w:sz="4" w:space="0" w:color="auto"/>
            </w:tcBorders>
            <w:vAlign w:val="center"/>
            <w:hideMark/>
          </w:tcPr>
          <w:p w14:paraId="3967717F"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w:t>
            </w:r>
          </w:p>
        </w:tc>
        <w:tc>
          <w:tcPr>
            <w:tcW w:w="362" w:type="pct"/>
            <w:tcBorders>
              <w:top w:val="single" w:sz="4" w:space="0" w:color="auto"/>
              <w:left w:val="single" w:sz="4" w:space="0" w:color="auto"/>
              <w:bottom w:val="single" w:sz="4" w:space="0" w:color="auto"/>
              <w:right w:val="single" w:sz="4" w:space="0" w:color="auto"/>
            </w:tcBorders>
            <w:vAlign w:val="center"/>
            <w:hideMark/>
          </w:tcPr>
          <w:p w14:paraId="5079ED40"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3</w:t>
            </w:r>
          </w:p>
        </w:tc>
        <w:tc>
          <w:tcPr>
            <w:tcW w:w="362" w:type="pct"/>
            <w:tcBorders>
              <w:top w:val="single" w:sz="4" w:space="0" w:color="auto"/>
              <w:left w:val="single" w:sz="4" w:space="0" w:color="auto"/>
              <w:bottom w:val="single" w:sz="4" w:space="0" w:color="auto"/>
              <w:right w:val="single" w:sz="4" w:space="0" w:color="auto"/>
            </w:tcBorders>
            <w:vAlign w:val="center"/>
            <w:hideMark/>
          </w:tcPr>
          <w:p w14:paraId="708FA177"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7</w:t>
            </w:r>
          </w:p>
        </w:tc>
        <w:tc>
          <w:tcPr>
            <w:tcW w:w="362" w:type="pct"/>
            <w:tcBorders>
              <w:top w:val="single" w:sz="4" w:space="0" w:color="auto"/>
              <w:left w:val="single" w:sz="4" w:space="0" w:color="auto"/>
              <w:bottom w:val="single" w:sz="4" w:space="0" w:color="auto"/>
              <w:right w:val="single" w:sz="4" w:space="0" w:color="auto"/>
            </w:tcBorders>
            <w:vAlign w:val="center"/>
            <w:hideMark/>
          </w:tcPr>
          <w:p w14:paraId="51323DAD"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w:t>
            </w:r>
          </w:p>
        </w:tc>
        <w:tc>
          <w:tcPr>
            <w:tcW w:w="500" w:type="pct"/>
            <w:tcBorders>
              <w:top w:val="single" w:sz="4" w:space="0" w:color="auto"/>
              <w:left w:val="single" w:sz="4" w:space="0" w:color="auto"/>
              <w:bottom w:val="single" w:sz="4" w:space="0" w:color="auto"/>
              <w:right w:val="single" w:sz="4" w:space="0" w:color="auto"/>
            </w:tcBorders>
            <w:vAlign w:val="center"/>
            <w:hideMark/>
          </w:tcPr>
          <w:p w14:paraId="0F7501F9"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w:t>
            </w:r>
          </w:p>
        </w:tc>
      </w:tr>
      <w:tr w:rsidR="00FD315F" w:rsidRPr="00585DBF" w14:paraId="78F4C26D" w14:textId="77777777" w:rsidTr="00F73F17">
        <w:tc>
          <w:tcPr>
            <w:tcW w:w="2278" w:type="pct"/>
            <w:tcBorders>
              <w:top w:val="single" w:sz="4" w:space="0" w:color="auto"/>
              <w:left w:val="single" w:sz="4" w:space="0" w:color="auto"/>
              <w:bottom w:val="single" w:sz="4" w:space="0" w:color="auto"/>
              <w:right w:val="single" w:sz="4" w:space="0" w:color="auto"/>
            </w:tcBorders>
            <w:vAlign w:val="center"/>
            <w:hideMark/>
          </w:tcPr>
          <w:p w14:paraId="2D069B62" w14:textId="77777777" w:rsidR="00FD315F" w:rsidRPr="00585DBF" w:rsidRDefault="00FD315F" w:rsidP="00F73F17">
            <w:pPr>
              <w:rPr>
                <w:rFonts w:ascii="Times New Roman" w:eastAsia="Times New Roman" w:hAnsi="Times New Roman"/>
                <w:b/>
                <w:bCs/>
                <w:kern w:val="0"/>
                <w:sz w:val="24"/>
                <w:szCs w:val="24"/>
                <w14:ligatures w14:val="none"/>
              </w:rPr>
            </w:pPr>
            <w:r w:rsidRPr="00585DBF">
              <w:rPr>
                <w:rFonts w:ascii="Times New Roman" w:hAnsi="Times New Roman"/>
                <w:b/>
                <w:bCs/>
                <w:sz w:val="24"/>
                <w:szCs w:val="24"/>
              </w:rPr>
              <w:t xml:space="preserve">Number of officials subject to disciplinary sanctions (including those dismissed from service) </w:t>
            </w:r>
          </w:p>
        </w:tc>
        <w:tc>
          <w:tcPr>
            <w:tcW w:w="395" w:type="pct"/>
            <w:tcBorders>
              <w:top w:val="single" w:sz="4" w:space="0" w:color="auto"/>
              <w:left w:val="single" w:sz="4" w:space="0" w:color="auto"/>
              <w:bottom w:val="single" w:sz="4" w:space="0" w:color="auto"/>
              <w:right w:val="single" w:sz="4" w:space="0" w:color="auto"/>
            </w:tcBorders>
            <w:vAlign w:val="center"/>
            <w:hideMark/>
          </w:tcPr>
          <w:p w14:paraId="7183DB83"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9 (3)</w:t>
            </w:r>
          </w:p>
        </w:tc>
        <w:tc>
          <w:tcPr>
            <w:tcW w:w="362" w:type="pct"/>
            <w:tcBorders>
              <w:top w:val="single" w:sz="4" w:space="0" w:color="auto"/>
              <w:left w:val="single" w:sz="4" w:space="0" w:color="auto"/>
              <w:bottom w:val="single" w:sz="4" w:space="0" w:color="auto"/>
              <w:right w:val="single" w:sz="4" w:space="0" w:color="auto"/>
            </w:tcBorders>
            <w:vAlign w:val="center"/>
            <w:hideMark/>
          </w:tcPr>
          <w:p w14:paraId="6A89136B"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5 (2)</w:t>
            </w:r>
          </w:p>
        </w:tc>
        <w:tc>
          <w:tcPr>
            <w:tcW w:w="380" w:type="pct"/>
            <w:tcBorders>
              <w:top w:val="single" w:sz="4" w:space="0" w:color="auto"/>
              <w:left w:val="single" w:sz="4" w:space="0" w:color="auto"/>
              <w:bottom w:val="single" w:sz="4" w:space="0" w:color="auto"/>
              <w:right w:val="single" w:sz="4" w:space="0" w:color="auto"/>
            </w:tcBorders>
            <w:vAlign w:val="center"/>
            <w:hideMark/>
          </w:tcPr>
          <w:p w14:paraId="27BAE031"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 (1)</w:t>
            </w:r>
          </w:p>
        </w:tc>
        <w:tc>
          <w:tcPr>
            <w:tcW w:w="362" w:type="pct"/>
            <w:tcBorders>
              <w:top w:val="single" w:sz="4" w:space="0" w:color="auto"/>
              <w:left w:val="single" w:sz="4" w:space="0" w:color="auto"/>
              <w:bottom w:val="single" w:sz="4" w:space="0" w:color="auto"/>
              <w:right w:val="single" w:sz="4" w:space="0" w:color="auto"/>
            </w:tcBorders>
            <w:vAlign w:val="center"/>
            <w:hideMark/>
          </w:tcPr>
          <w:p w14:paraId="473775FE"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 (1)</w:t>
            </w:r>
          </w:p>
        </w:tc>
        <w:tc>
          <w:tcPr>
            <w:tcW w:w="362" w:type="pct"/>
            <w:tcBorders>
              <w:top w:val="single" w:sz="4" w:space="0" w:color="auto"/>
              <w:left w:val="single" w:sz="4" w:space="0" w:color="auto"/>
              <w:bottom w:val="single" w:sz="4" w:space="0" w:color="auto"/>
              <w:right w:val="single" w:sz="4" w:space="0" w:color="auto"/>
            </w:tcBorders>
            <w:vAlign w:val="center"/>
            <w:hideMark/>
          </w:tcPr>
          <w:p w14:paraId="35B661F9"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10 (1)</w:t>
            </w:r>
          </w:p>
        </w:tc>
        <w:tc>
          <w:tcPr>
            <w:tcW w:w="362" w:type="pct"/>
            <w:tcBorders>
              <w:top w:val="single" w:sz="4" w:space="0" w:color="auto"/>
              <w:left w:val="single" w:sz="4" w:space="0" w:color="auto"/>
              <w:bottom w:val="single" w:sz="4" w:space="0" w:color="auto"/>
              <w:right w:val="single" w:sz="4" w:space="0" w:color="auto"/>
            </w:tcBorders>
            <w:vAlign w:val="center"/>
            <w:hideMark/>
          </w:tcPr>
          <w:p w14:paraId="30D958FC"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7 (0)</w:t>
            </w:r>
          </w:p>
        </w:tc>
        <w:tc>
          <w:tcPr>
            <w:tcW w:w="500" w:type="pct"/>
            <w:tcBorders>
              <w:top w:val="single" w:sz="4" w:space="0" w:color="auto"/>
              <w:left w:val="single" w:sz="4" w:space="0" w:color="auto"/>
              <w:bottom w:val="single" w:sz="4" w:space="0" w:color="auto"/>
              <w:right w:val="single" w:sz="4" w:space="0" w:color="auto"/>
            </w:tcBorders>
            <w:vAlign w:val="center"/>
            <w:hideMark/>
          </w:tcPr>
          <w:p w14:paraId="1D3798FC" w14:textId="77777777" w:rsidR="00FD315F" w:rsidRPr="00585DBF" w:rsidRDefault="00FD315F" w:rsidP="3240BACF">
            <w:pPr>
              <w:jc w:val="center"/>
              <w:rPr>
                <w:rFonts w:ascii="Times New Roman" w:eastAsia="Times New Roman" w:hAnsi="Times New Roman"/>
                <w:kern w:val="0"/>
                <w:sz w:val="24"/>
                <w:szCs w:val="24"/>
                <w14:ligatures w14:val="none"/>
              </w:rPr>
            </w:pPr>
            <w:r w:rsidRPr="00585DBF">
              <w:rPr>
                <w:rFonts w:ascii="Times New Roman" w:hAnsi="Times New Roman"/>
                <w:sz w:val="24"/>
                <w:szCs w:val="24"/>
              </w:rPr>
              <w:t>4 (1)</w:t>
            </w:r>
          </w:p>
        </w:tc>
      </w:tr>
    </w:tbl>
    <w:p w14:paraId="60D3C95B" w14:textId="77777777" w:rsidR="00FD315F" w:rsidRPr="00585DBF" w:rsidRDefault="00FD315F" w:rsidP="00FD315F">
      <w:pPr>
        <w:spacing w:after="0" w:line="240" w:lineRule="auto"/>
        <w:rPr>
          <w:rFonts w:ascii="Times New Roman" w:eastAsia="Times New Roman" w:hAnsi="Times New Roman" w:cs="Times New Roman"/>
          <w:kern w:val="0"/>
          <w:sz w:val="24"/>
          <w:szCs w:val="24"/>
          <w:lang w:val="en-GB" w:eastAsia="lt-LT"/>
          <w14:ligatures w14:val="none"/>
        </w:rPr>
      </w:pPr>
    </w:p>
    <w:p w14:paraId="37E08858" w14:textId="191D4443"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2022, one complaint was received regarding ill-treatment and excessive use of force by border guards. A pre-trial investigation concerning this complaint was </w:t>
      </w:r>
      <w:r w:rsidR="00E557A6" w:rsidRPr="00585DBF">
        <w:rPr>
          <w:rFonts w:ascii="Times New Roman" w:eastAsia="Aptos" w:hAnsi="Times New Roman" w:cs="Times New Roman"/>
          <w:sz w:val="24"/>
          <w:szCs w:val="24"/>
          <w:lang w:val="en-GB"/>
        </w:rPr>
        <w:t>initiated but</w:t>
      </w:r>
      <w:r w:rsidRPr="00585DBF">
        <w:rPr>
          <w:rFonts w:ascii="Times New Roman" w:eastAsia="Aptos" w:hAnsi="Times New Roman" w:cs="Times New Roman"/>
          <w:sz w:val="24"/>
          <w:szCs w:val="24"/>
          <w:lang w:val="en-GB"/>
        </w:rPr>
        <w:t xml:space="preserve"> was terminated in 2023 after it was found out that </w:t>
      </w:r>
      <w:r w:rsidRPr="00585DBF">
        <w:rPr>
          <w:rFonts w:ascii="Times New Roman" w:eastAsia="Aptos" w:hAnsi="Times New Roman" w:cs="Times New Roman"/>
          <w:sz w:val="24"/>
          <w:szCs w:val="24"/>
          <w:shd w:val="clear" w:color="auto" w:fill="FFFFFF"/>
          <w:lang w:val="en-GB"/>
        </w:rPr>
        <w:t>no criminal offence had been committed</w:t>
      </w:r>
      <w:r w:rsidRPr="00585DBF">
        <w:rPr>
          <w:rFonts w:ascii="Times New Roman" w:eastAsia="Aptos" w:hAnsi="Times New Roman" w:cs="Times New Roman"/>
          <w:sz w:val="24"/>
          <w:szCs w:val="24"/>
          <w:lang w:val="en-GB"/>
        </w:rPr>
        <w:t>. No official inspections of acts of border guards were initiated during the period under review.</w:t>
      </w:r>
    </w:p>
    <w:p w14:paraId="3BDB5B1B"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highlight w:val="yellow"/>
          <w:lang w:val="en-GB" w:eastAsia="lt-LT"/>
          <w14:ligatures w14:val="none"/>
        </w:rPr>
      </w:pPr>
    </w:p>
    <w:p w14:paraId="6942EB0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During the reporting period, the Lithuanian Armed Forces did not receive any complaints concerning torture, ill-treatment or excessive use of force.</w:t>
      </w:r>
    </w:p>
    <w:p w14:paraId="4740668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highlight w:val="yellow"/>
          <w:lang w:val="en-GB" w:eastAsia="lt-LT"/>
          <w14:ligatures w14:val="none"/>
        </w:rPr>
      </w:pPr>
    </w:p>
    <w:p w14:paraId="0CAA3F35" w14:textId="77777777" w:rsidR="00FD315F" w:rsidRPr="00585DBF" w:rsidRDefault="00FD315F" w:rsidP="00FD315F">
      <w:pPr>
        <w:spacing w:after="0" w:line="240" w:lineRule="auto"/>
        <w:jc w:val="both"/>
        <w:rPr>
          <w:rFonts w:ascii="Times New Roman" w:eastAsia="Times New Roman" w:hAnsi="Times New Roman" w:cs="Times New Roman"/>
          <w:i/>
          <w:iCs/>
          <w:kern w:val="0"/>
          <w:sz w:val="24"/>
          <w:szCs w:val="24"/>
          <w:lang w:val="en-GB"/>
          <w14:ligatures w14:val="none"/>
        </w:rPr>
      </w:pPr>
      <w:r w:rsidRPr="00585DBF">
        <w:rPr>
          <w:rFonts w:ascii="Times New Roman" w:eastAsia="Aptos" w:hAnsi="Times New Roman" w:cs="Times New Roman"/>
          <w:b/>
          <w:i/>
          <w:sz w:val="24"/>
          <w:szCs w:val="24"/>
          <w:lang w:val="en-GB"/>
        </w:rPr>
        <w:t>Information on official inspections of the excessive or unlawful use of physical force or special measures by prison officers:</w:t>
      </w:r>
    </w:p>
    <w:tbl>
      <w:tblPr>
        <w:tblStyle w:val="Lentelstinklelis4"/>
        <w:tblW w:w="0" w:type="auto"/>
        <w:tblInd w:w="0" w:type="dxa"/>
        <w:tblLook w:val="04A0" w:firstRow="1" w:lastRow="0" w:firstColumn="1" w:lastColumn="0" w:noHBand="0" w:noVBand="1"/>
      </w:tblPr>
      <w:tblGrid>
        <w:gridCol w:w="4386"/>
        <w:gridCol w:w="761"/>
        <w:gridCol w:w="697"/>
        <w:gridCol w:w="732"/>
        <w:gridCol w:w="697"/>
        <w:gridCol w:w="697"/>
        <w:gridCol w:w="697"/>
        <w:gridCol w:w="961"/>
      </w:tblGrid>
      <w:tr w:rsidR="00FD315F" w:rsidRPr="00585DBF" w14:paraId="7E9938C6" w14:textId="77777777" w:rsidTr="006F7BCE">
        <w:trPr>
          <w:trHeight w:val="300"/>
        </w:trPr>
        <w:tc>
          <w:tcPr>
            <w:tcW w:w="4387" w:type="dxa"/>
            <w:tcBorders>
              <w:top w:val="single" w:sz="4" w:space="0" w:color="auto"/>
              <w:left w:val="single" w:sz="4" w:space="0" w:color="auto"/>
              <w:bottom w:val="single" w:sz="4" w:space="0" w:color="auto"/>
              <w:right w:val="single" w:sz="4" w:space="0" w:color="auto"/>
            </w:tcBorders>
            <w:vAlign w:val="center"/>
            <w:hideMark/>
          </w:tcPr>
          <w:p w14:paraId="7A4798E3" w14:textId="77777777" w:rsidR="00FD315F" w:rsidRPr="00585DBF" w:rsidRDefault="00FD315F" w:rsidP="006F7BCE">
            <w:pPr>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Year</w:t>
            </w:r>
          </w:p>
        </w:tc>
        <w:tc>
          <w:tcPr>
            <w:tcW w:w="761" w:type="dxa"/>
            <w:tcBorders>
              <w:top w:val="single" w:sz="4" w:space="0" w:color="auto"/>
              <w:left w:val="single" w:sz="4" w:space="0" w:color="auto"/>
              <w:bottom w:val="single" w:sz="4" w:space="0" w:color="auto"/>
              <w:right w:val="single" w:sz="4" w:space="0" w:color="auto"/>
            </w:tcBorders>
            <w:vAlign w:val="center"/>
            <w:hideMark/>
          </w:tcPr>
          <w:p w14:paraId="27C124FE" w14:textId="77777777" w:rsidR="00FD315F" w:rsidRPr="00585DBF" w:rsidRDefault="00FD315F" w:rsidP="006F7BCE">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2019</w:t>
            </w:r>
          </w:p>
        </w:tc>
        <w:tc>
          <w:tcPr>
            <w:tcW w:w="697" w:type="dxa"/>
            <w:tcBorders>
              <w:top w:val="single" w:sz="4" w:space="0" w:color="auto"/>
              <w:left w:val="single" w:sz="4" w:space="0" w:color="auto"/>
              <w:bottom w:val="single" w:sz="4" w:space="0" w:color="auto"/>
              <w:right w:val="single" w:sz="4" w:space="0" w:color="auto"/>
            </w:tcBorders>
            <w:vAlign w:val="center"/>
            <w:hideMark/>
          </w:tcPr>
          <w:p w14:paraId="37B4E6BC" w14:textId="77777777" w:rsidR="00FD315F" w:rsidRPr="00585DBF" w:rsidRDefault="00FD315F" w:rsidP="006F7BCE">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2020</w:t>
            </w:r>
          </w:p>
        </w:tc>
        <w:tc>
          <w:tcPr>
            <w:tcW w:w="732" w:type="dxa"/>
            <w:tcBorders>
              <w:top w:val="single" w:sz="4" w:space="0" w:color="auto"/>
              <w:left w:val="single" w:sz="4" w:space="0" w:color="auto"/>
              <w:bottom w:val="single" w:sz="4" w:space="0" w:color="auto"/>
              <w:right w:val="single" w:sz="4" w:space="0" w:color="auto"/>
            </w:tcBorders>
            <w:vAlign w:val="center"/>
            <w:hideMark/>
          </w:tcPr>
          <w:p w14:paraId="3204988F" w14:textId="77777777" w:rsidR="00FD315F" w:rsidRPr="00585DBF" w:rsidRDefault="00FD315F" w:rsidP="006F7BCE">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2021</w:t>
            </w:r>
          </w:p>
        </w:tc>
        <w:tc>
          <w:tcPr>
            <w:tcW w:w="697" w:type="dxa"/>
            <w:tcBorders>
              <w:top w:val="single" w:sz="4" w:space="0" w:color="auto"/>
              <w:left w:val="single" w:sz="4" w:space="0" w:color="auto"/>
              <w:bottom w:val="single" w:sz="4" w:space="0" w:color="auto"/>
              <w:right w:val="single" w:sz="4" w:space="0" w:color="auto"/>
            </w:tcBorders>
            <w:vAlign w:val="center"/>
            <w:hideMark/>
          </w:tcPr>
          <w:p w14:paraId="755D6CC1" w14:textId="77777777" w:rsidR="00FD315F" w:rsidRPr="00585DBF" w:rsidRDefault="00FD315F" w:rsidP="006F7BCE">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2022</w:t>
            </w:r>
          </w:p>
        </w:tc>
        <w:tc>
          <w:tcPr>
            <w:tcW w:w="697" w:type="dxa"/>
            <w:tcBorders>
              <w:top w:val="single" w:sz="4" w:space="0" w:color="auto"/>
              <w:left w:val="single" w:sz="4" w:space="0" w:color="auto"/>
              <w:bottom w:val="single" w:sz="4" w:space="0" w:color="auto"/>
              <w:right w:val="single" w:sz="4" w:space="0" w:color="auto"/>
            </w:tcBorders>
            <w:vAlign w:val="center"/>
            <w:hideMark/>
          </w:tcPr>
          <w:p w14:paraId="1C221AE8" w14:textId="77777777" w:rsidR="00FD315F" w:rsidRPr="00585DBF" w:rsidRDefault="00FD315F" w:rsidP="006F7BCE">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2023</w:t>
            </w:r>
          </w:p>
        </w:tc>
        <w:tc>
          <w:tcPr>
            <w:tcW w:w="697" w:type="dxa"/>
            <w:tcBorders>
              <w:top w:val="single" w:sz="4" w:space="0" w:color="auto"/>
              <w:left w:val="single" w:sz="4" w:space="0" w:color="auto"/>
              <w:bottom w:val="single" w:sz="4" w:space="0" w:color="auto"/>
              <w:right w:val="single" w:sz="4" w:space="0" w:color="auto"/>
            </w:tcBorders>
            <w:vAlign w:val="center"/>
            <w:hideMark/>
          </w:tcPr>
          <w:p w14:paraId="636EF43F" w14:textId="77777777" w:rsidR="00FD315F" w:rsidRPr="00585DBF" w:rsidRDefault="00FD315F" w:rsidP="006F7BCE">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2024</w:t>
            </w:r>
          </w:p>
        </w:tc>
        <w:tc>
          <w:tcPr>
            <w:tcW w:w="961" w:type="dxa"/>
            <w:tcBorders>
              <w:top w:val="single" w:sz="4" w:space="0" w:color="auto"/>
              <w:left w:val="single" w:sz="4" w:space="0" w:color="auto"/>
              <w:bottom w:val="single" w:sz="4" w:space="0" w:color="auto"/>
              <w:right w:val="single" w:sz="4" w:space="0" w:color="auto"/>
            </w:tcBorders>
            <w:vAlign w:val="center"/>
            <w:hideMark/>
          </w:tcPr>
          <w:p w14:paraId="329CF70B" w14:textId="77777777" w:rsidR="00FD315F" w:rsidRPr="00585DBF" w:rsidRDefault="00FD315F" w:rsidP="006F7BCE">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2025</w:t>
            </w:r>
          </w:p>
          <w:p w14:paraId="4ABE38E3" w14:textId="77777777" w:rsidR="00FD315F" w:rsidRPr="00585DBF" w:rsidRDefault="00FD315F" w:rsidP="006F7BCE">
            <w:pPr>
              <w:ind w:left="-90" w:right="-90"/>
              <w:jc w:val="center"/>
              <w:rPr>
                <w:rFonts w:ascii="Times New Roman" w:eastAsia="Times New Roman" w:hAnsi="Times New Roman"/>
                <w:b/>
                <w:bCs/>
                <w:kern w:val="0"/>
                <w:sz w:val="24"/>
                <w:szCs w:val="24"/>
                <w14:ligatures w14:val="none"/>
              </w:rPr>
            </w:pPr>
            <w:r w:rsidRPr="00585DBF">
              <w:rPr>
                <w:rFonts w:ascii="Times New Roman" w:hAnsi="Times New Roman"/>
                <w:b/>
                <w:sz w:val="24"/>
                <w:szCs w:val="24"/>
              </w:rPr>
              <w:t>I-II Q</w:t>
            </w:r>
          </w:p>
        </w:tc>
      </w:tr>
      <w:tr w:rsidR="00FD315F" w:rsidRPr="00585DBF" w14:paraId="4F6B315F" w14:textId="77777777" w:rsidTr="006F7BCE">
        <w:trPr>
          <w:trHeight w:val="300"/>
        </w:trPr>
        <w:tc>
          <w:tcPr>
            <w:tcW w:w="4387" w:type="dxa"/>
            <w:tcBorders>
              <w:top w:val="single" w:sz="4" w:space="0" w:color="auto"/>
              <w:left w:val="single" w:sz="4" w:space="0" w:color="auto"/>
              <w:bottom w:val="single" w:sz="4" w:space="0" w:color="auto"/>
              <w:right w:val="single" w:sz="4" w:space="0" w:color="auto"/>
            </w:tcBorders>
            <w:vAlign w:val="center"/>
            <w:hideMark/>
          </w:tcPr>
          <w:p w14:paraId="5723FBBD" w14:textId="77777777" w:rsidR="00FD315F" w:rsidRPr="00585DBF" w:rsidRDefault="00FD315F" w:rsidP="006F7BCE">
            <w:pPr>
              <w:rPr>
                <w:rFonts w:ascii="Times New Roman" w:eastAsia="Times New Roman" w:hAnsi="Times New Roman"/>
                <w:b/>
                <w:bCs/>
                <w:kern w:val="0"/>
                <w:sz w:val="24"/>
                <w:szCs w:val="24"/>
                <w14:ligatures w14:val="none"/>
              </w:rPr>
            </w:pPr>
            <w:r w:rsidRPr="00585DBF">
              <w:rPr>
                <w:rFonts w:ascii="Times New Roman" w:hAnsi="Times New Roman"/>
                <w:b/>
                <w:sz w:val="24"/>
                <w:szCs w:val="24"/>
              </w:rPr>
              <w:t>Number of initiated official inspections</w:t>
            </w:r>
          </w:p>
        </w:tc>
        <w:tc>
          <w:tcPr>
            <w:tcW w:w="761" w:type="dxa"/>
            <w:tcBorders>
              <w:top w:val="single" w:sz="4" w:space="0" w:color="auto"/>
              <w:left w:val="single" w:sz="4" w:space="0" w:color="auto"/>
              <w:bottom w:val="single" w:sz="4" w:space="0" w:color="auto"/>
              <w:right w:val="single" w:sz="4" w:space="0" w:color="auto"/>
            </w:tcBorders>
            <w:vAlign w:val="center"/>
            <w:hideMark/>
          </w:tcPr>
          <w:p w14:paraId="1A7D6C96" w14:textId="77777777" w:rsidR="00FD315F" w:rsidRPr="00585DBF" w:rsidRDefault="00FD315F" w:rsidP="006F7BCE">
            <w:pPr>
              <w:jc w:val="center"/>
              <w:rPr>
                <w:rFonts w:ascii="Times New Roman" w:eastAsia="Times New Roman" w:hAnsi="Times New Roman"/>
                <w:sz w:val="24"/>
                <w:szCs w:val="24"/>
              </w:rPr>
            </w:pPr>
            <w:r w:rsidRPr="00585DBF">
              <w:rPr>
                <w:rFonts w:ascii="Times New Roman" w:hAnsi="Times New Roman"/>
                <w:sz w:val="24"/>
                <w:szCs w:val="24"/>
              </w:rPr>
              <w:t>108</w:t>
            </w:r>
          </w:p>
        </w:tc>
        <w:tc>
          <w:tcPr>
            <w:tcW w:w="697" w:type="dxa"/>
            <w:tcBorders>
              <w:top w:val="single" w:sz="4" w:space="0" w:color="auto"/>
              <w:left w:val="single" w:sz="4" w:space="0" w:color="auto"/>
              <w:bottom w:val="single" w:sz="4" w:space="0" w:color="auto"/>
              <w:right w:val="single" w:sz="4" w:space="0" w:color="auto"/>
            </w:tcBorders>
            <w:vAlign w:val="center"/>
            <w:hideMark/>
          </w:tcPr>
          <w:p w14:paraId="58BB71AF" w14:textId="77777777" w:rsidR="00FD315F" w:rsidRPr="00585DBF" w:rsidRDefault="00FD315F" w:rsidP="006F7BCE">
            <w:pPr>
              <w:jc w:val="center"/>
              <w:rPr>
                <w:rFonts w:ascii="Times New Roman" w:eastAsia="Times New Roman" w:hAnsi="Times New Roman"/>
                <w:sz w:val="24"/>
                <w:szCs w:val="24"/>
              </w:rPr>
            </w:pPr>
            <w:r w:rsidRPr="00585DBF">
              <w:rPr>
                <w:rFonts w:ascii="Times New Roman" w:hAnsi="Times New Roman"/>
                <w:sz w:val="24"/>
                <w:szCs w:val="24"/>
              </w:rPr>
              <w:t>192</w:t>
            </w:r>
          </w:p>
        </w:tc>
        <w:tc>
          <w:tcPr>
            <w:tcW w:w="732" w:type="dxa"/>
            <w:tcBorders>
              <w:top w:val="single" w:sz="4" w:space="0" w:color="auto"/>
              <w:left w:val="single" w:sz="4" w:space="0" w:color="auto"/>
              <w:bottom w:val="single" w:sz="4" w:space="0" w:color="auto"/>
              <w:right w:val="single" w:sz="4" w:space="0" w:color="auto"/>
            </w:tcBorders>
            <w:vAlign w:val="center"/>
            <w:hideMark/>
          </w:tcPr>
          <w:p w14:paraId="2A053372" w14:textId="77777777" w:rsidR="00FD315F" w:rsidRPr="00585DBF" w:rsidRDefault="00FD315F" w:rsidP="006F7BCE">
            <w:pPr>
              <w:jc w:val="center"/>
              <w:rPr>
                <w:rFonts w:ascii="Times New Roman" w:eastAsia="Times New Roman" w:hAnsi="Times New Roman"/>
                <w:sz w:val="24"/>
                <w:szCs w:val="24"/>
              </w:rPr>
            </w:pPr>
            <w:r w:rsidRPr="00585DBF">
              <w:rPr>
                <w:rFonts w:ascii="Times New Roman" w:hAnsi="Times New Roman"/>
                <w:sz w:val="24"/>
                <w:szCs w:val="24"/>
              </w:rPr>
              <w:t>178</w:t>
            </w:r>
          </w:p>
        </w:tc>
        <w:tc>
          <w:tcPr>
            <w:tcW w:w="697" w:type="dxa"/>
            <w:tcBorders>
              <w:top w:val="single" w:sz="4" w:space="0" w:color="auto"/>
              <w:left w:val="single" w:sz="4" w:space="0" w:color="auto"/>
              <w:bottom w:val="single" w:sz="4" w:space="0" w:color="auto"/>
              <w:right w:val="single" w:sz="4" w:space="0" w:color="auto"/>
            </w:tcBorders>
            <w:vAlign w:val="center"/>
            <w:hideMark/>
          </w:tcPr>
          <w:p w14:paraId="24937355" w14:textId="77777777" w:rsidR="00FD315F" w:rsidRPr="00585DBF" w:rsidRDefault="00FD315F" w:rsidP="006F7BCE">
            <w:pPr>
              <w:jc w:val="center"/>
              <w:rPr>
                <w:rFonts w:ascii="Times New Roman" w:eastAsia="Times New Roman" w:hAnsi="Times New Roman"/>
                <w:sz w:val="24"/>
                <w:szCs w:val="24"/>
              </w:rPr>
            </w:pPr>
            <w:r w:rsidRPr="00585DBF">
              <w:rPr>
                <w:rFonts w:ascii="Times New Roman" w:hAnsi="Times New Roman"/>
                <w:sz w:val="24"/>
                <w:szCs w:val="24"/>
              </w:rPr>
              <w:t>151</w:t>
            </w:r>
          </w:p>
        </w:tc>
        <w:tc>
          <w:tcPr>
            <w:tcW w:w="697" w:type="dxa"/>
            <w:tcBorders>
              <w:top w:val="single" w:sz="4" w:space="0" w:color="auto"/>
              <w:left w:val="single" w:sz="4" w:space="0" w:color="auto"/>
              <w:bottom w:val="single" w:sz="4" w:space="0" w:color="auto"/>
              <w:right w:val="single" w:sz="4" w:space="0" w:color="auto"/>
            </w:tcBorders>
            <w:vAlign w:val="center"/>
            <w:hideMark/>
          </w:tcPr>
          <w:p w14:paraId="47BC5254" w14:textId="77777777" w:rsidR="00FD315F" w:rsidRPr="00585DBF" w:rsidRDefault="00FD315F" w:rsidP="006F7BCE">
            <w:pPr>
              <w:jc w:val="center"/>
              <w:rPr>
                <w:rFonts w:ascii="Times New Roman" w:eastAsia="Times New Roman" w:hAnsi="Times New Roman"/>
                <w:sz w:val="24"/>
                <w:szCs w:val="24"/>
              </w:rPr>
            </w:pPr>
            <w:r w:rsidRPr="00585DBF">
              <w:rPr>
                <w:rFonts w:ascii="Times New Roman" w:hAnsi="Times New Roman"/>
                <w:sz w:val="24"/>
                <w:szCs w:val="24"/>
              </w:rPr>
              <w:t>124</w:t>
            </w:r>
          </w:p>
        </w:tc>
        <w:tc>
          <w:tcPr>
            <w:tcW w:w="697" w:type="dxa"/>
            <w:tcBorders>
              <w:top w:val="single" w:sz="4" w:space="0" w:color="auto"/>
              <w:left w:val="single" w:sz="4" w:space="0" w:color="auto"/>
              <w:bottom w:val="single" w:sz="4" w:space="0" w:color="auto"/>
              <w:right w:val="single" w:sz="4" w:space="0" w:color="auto"/>
            </w:tcBorders>
            <w:vAlign w:val="center"/>
            <w:hideMark/>
          </w:tcPr>
          <w:p w14:paraId="1EAF412D" w14:textId="77777777" w:rsidR="00FD315F" w:rsidRPr="00585DBF" w:rsidRDefault="00FD315F" w:rsidP="006F7BCE">
            <w:pPr>
              <w:jc w:val="center"/>
              <w:rPr>
                <w:rFonts w:ascii="Times New Roman" w:eastAsia="Times New Roman" w:hAnsi="Times New Roman"/>
                <w:color w:val="000000" w:themeColor="text1"/>
                <w:sz w:val="24"/>
                <w:szCs w:val="24"/>
              </w:rPr>
            </w:pPr>
            <w:r w:rsidRPr="00585DBF">
              <w:rPr>
                <w:rFonts w:ascii="Times New Roman" w:hAnsi="Times New Roman"/>
                <w:color w:val="000000" w:themeColor="text1"/>
                <w:sz w:val="24"/>
                <w:szCs w:val="24"/>
              </w:rPr>
              <w:t>83</w:t>
            </w:r>
          </w:p>
        </w:tc>
        <w:tc>
          <w:tcPr>
            <w:tcW w:w="961" w:type="dxa"/>
            <w:tcBorders>
              <w:top w:val="single" w:sz="4" w:space="0" w:color="auto"/>
              <w:left w:val="single" w:sz="4" w:space="0" w:color="auto"/>
              <w:bottom w:val="single" w:sz="4" w:space="0" w:color="auto"/>
              <w:right w:val="single" w:sz="4" w:space="0" w:color="auto"/>
            </w:tcBorders>
            <w:vAlign w:val="center"/>
            <w:hideMark/>
          </w:tcPr>
          <w:p w14:paraId="44641AF6" w14:textId="77777777" w:rsidR="00FD315F" w:rsidRPr="00585DBF" w:rsidRDefault="00FD315F" w:rsidP="006F7BCE">
            <w:pPr>
              <w:jc w:val="center"/>
              <w:rPr>
                <w:rFonts w:ascii="Times New Roman" w:eastAsia="Times New Roman" w:hAnsi="Times New Roman"/>
                <w:color w:val="000000" w:themeColor="text1"/>
                <w:sz w:val="24"/>
                <w:szCs w:val="24"/>
              </w:rPr>
            </w:pPr>
            <w:r w:rsidRPr="00585DBF">
              <w:rPr>
                <w:rFonts w:ascii="Times New Roman" w:hAnsi="Times New Roman"/>
                <w:color w:val="000000" w:themeColor="text1"/>
                <w:sz w:val="24"/>
                <w:szCs w:val="24"/>
              </w:rPr>
              <w:t>8</w:t>
            </w:r>
          </w:p>
        </w:tc>
      </w:tr>
      <w:tr w:rsidR="00FD315F" w:rsidRPr="00585DBF" w14:paraId="5485FB60" w14:textId="77777777" w:rsidTr="006F7BCE">
        <w:trPr>
          <w:trHeight w:val="300"/>
        </w:trPr>
        <w:tc>
          <w:tcPr>
            <w:tcW w:w="4387" w:type="dxa"/>
            <w:tcBorders>
              <w:top w:val="single" w:sz="4" w:space="0" w:color="auto"/>
              <w:left w:val="single" w:sz="4" w:space="0" w:color="auto"/>
              <w:bottom w:val="single" w:sz="4" w:space="0" w:color="auto"/>
              <w:right w:val="single" w:sz="4" w:space="0" w:color="auto"/>
            </w:tcBorders>
            <w:vAlign w:val="center"/>
            <w:hideMark/>
          </w:tcPr>
          <w:p w14:paraId="5E51F9D4" w14:textId="77777777" w:rsidR="00FD315F" w:rsidRPr="00585DBF" w:rsidRDefault="00FD315F" w:rsidP="006F7BCE">
            <w:pPr>
              <w:rPr>
                <w:rFonts w:ascii="Times New Roman" w:eastAsia="Times New Roman" w:hAnsi="Times New Roman"/>
                <w:b/>
                <w:bCs/>
                <w:kern w:val="0"/>
                <w:sz w:val="24"/>
                <w:szCs w:val="24"/>
                <w14:ligatures w14:val="none"/>
              </w:rPr>
            </w:pPr>
            <w:r w:rsidRPr="00585DBF">
              <w:rPr>
                <w:rFonts w:ascii="Times New Roman" w:hAnsi="Times New Roman"/>
                <w:b/>
                <w:sz w:val="24"/>
                <w:szCs w:val="24"/>
              </w:rPr>
              <w:t xml:space="preserve">Number of officials subject to disciplinary sanctions (including those dismissed from service) </w:t>
            </w:r>
          </w:p>
        </w:tc>
        <w:tc>
          <w:tcPr>
            <w:tcW w:w="761" w:type="dxa"/>
            <w:tcBorders>
              <w:top w:val="single" w:sz="4" w:space="0" w:color="auto"/>
              <w:left w:val="single" w:sz="4" w:space="0" w:color="auto"/>
              <w:bottom w:val="single" w:sz="4" w:space="0" w:color="auto"/>
              <w:right w:val="single" w:sz="4" w:space="0" w:color="auto"/>
            </w:tcBorders>
            <w:vAlign w:val="center"/>
            <w:hideMark/>
          </w:tcPr>
          <w:p w14:paraId="09EA1E93" w14:textId="77777777" w:rsidR="00FD315F" w:rsidRPr="00585DBF" w:rsidRDefault="00FD315F" w:rsidP="006F7BCE">
            <w:pPr>
              <w:ind w:left="-90" w:right="-90"/>
              <w:jc w:val="center"/>
              <w:rPr>
                <w:rFonts w:ascii="Times New Roman" w:eastAsia="Times New Roman" w:hAnsi="Times New Roman"/>
                <w:kern w:val="0"/>
                <w:sz w:val="24"/>
                <w:szCs w:val="24"/>
                <w14:ligatures w14:val="none"/>
              </w:rPr>
            </w:pPr>
            <w:r w:rsidRPr="00585DBF">
              <w:rPr>
                <w:rFonts w:ascii="Times New Roman" w:hAnsi="Times New Roman"/>
                <w:sz w:val="24"/>
                <w:szCs w:val="24"/>
              </w:rPr>
              <w:t>1 (0)</w:t>
            </w:r>
          </w:p>
        </w:tc>
        <w:tc>
          <w:tcPr>
            <w:tcW w:w="697" w:type="dxa"/>
            <w:tcBorders>
              <w:top w:val="single" w:sz="4" w:space="0" w:color="auto"/>
              <w:left w:val="single" w:sz="4" w:space="0" w:color="auto"/>
              <w:bottom w:val="single" w:sz="4" w:space="0" w:color="auto"/>
              <w:right w:val="single" w:sz="4" w:space="0" w:color="auto"/>
            </w:tcBorders>
            <w:vAlign w:val="center"/>
            <w:hideMark/>
          </w:tcPr>
          <w:p w14:paraId="75A397BC" w14:textId="77777777" w:rsidR="00FD315F" w:rsidRPr="00585DBF" w:rsidRDefault="00FD315F" w:rsidP="006F7BCE">
            <w:pPr>
              <w:ind w:left="-90" w:right="-90"/>
              <w:jc w:val="center"/>
              <w:rPr>
                <w:rFonts w:ascii="Times New Roman" w:eastAsia="Times New Roman" w:hAnsi="Times New Roman"/>
                <w:kern w:val="0"/>
                <w:sz w:val="24"/>
                <w:szCs w:val="24"/>
                <w14:ligatures w14:val="none"/>
              </w:rPr>
            </w:pPr>
            <w:r w:rsidRPr="00585DBF">
              <w:rPr>
                <w:rFonts w:ascii="Times New Roman" w:hAnsi="Times New Roman"/>
                <w:sz w:val="24"/>
                <w:szCs w:val="24"/>
              </w:rPr>
              <w:t>1 (0)</w:t>
            </w:r>
          </w:p>
        </w:tc>
        <w:tc>
          <w:tcPr>
            <w:tcW w:w="732" w:type="dxa"/>
            <w:tcBorders>
              <w:top w:val="single" w:sz="4" w:space="0" w:color="auto"/>
              <w:left w:val="single" w:sz="4" w:space="0" w:color="auto"/>
              <w:bottom w:val="single" w:sz="4" w:space="0" w:color="auto"/>
              <w:right w:val="single" w:sz="4" w:space="0" w:color="auto"/>
            </w:tcBorders>
            <w:vAlign w:val="center"/>
            <w:hideMark/>
          </w:tcPr>
          <w:p w14:paraId="2000F931" w14:textId="77777777" w:rsidR="00FD315F" w:rsidRPr="00585DBF" w:rsidRDefault="00FD315F" w:rsidP="006F7BCE">
            <w:pPr>
              <w:ind w:left="-90" w:right="-90"/>
              <w:jc w:val="center"/>
              <w:rPr>
                <w:rFonts w:ascii="Times New Roman" w:eastAsia="Times New Roman" w:hAnsi="Times New Roman"/>
                <w:color w:val="000000" w:themeColor="text1"/>
                <w:sz w:val="24"/>
                <w:szCs w:val="24"/>
              </w:rPr>
            </w:pPr>
            <w:r w:rsidRPr="00585DBF">
              <w:rPr>
                <w:rFonts w:ascii="Times New Roman" w:hAnsi="Times New Roman"/>
                <w:color w:val="000000" w:themeColor="text1"/>
                <w:sz w:val="24"/>
                <w:szCs w:val="24"/>
              </w:rPr>
              <w:t>1 (1)</w:t>
            </w:r>
          </w:p>
        </w:tc>
        <w:tc>
          <w:tcPr>
            <w:tcW w:w="697" w:type="dxa"/>
            <w:tcBorders>
              <w:top w:val="single" w:sz="4" w:space="0" w:color="auto"/>
              <w:left w:val="single" w:sz="4" w:space="0" w:color="auto"/>
              <w:bottom w:val="single" w:sz="4" w:space="0" w:color="auto"/>
              <w:right w:val="single" w:sz="4" w:space="0" w:color="auto"/>
            </w:tcBorders>
            <w:vAlign w:val="center"/>
            <w:hideMark/>
          </w:tcPr>
          <w:p w14:paraId="606483DF" w14:textId="77777777" w:rsidR="00FD315F" w:rsidRPr="00585DBF" w:rsidRDefault="00FD315F" w:rsidP="006F7BCE">
            <w:pPr>
              <w:ind w:left="-90" w:right="-90"/>
              <w:jc w:val="center"/>
              <w:rPr>
                <w:rFonts w:ascii="Times New Roman" w:eastAsia="Times New Roman" w:hAnsi="Times New Roman"/>
                <w:color w:val="000000" w:themeColor="text1"/>
                <w:sz w:val="24"/>
                <w:szCs w:val="24"/>
              </w:rPr>
            </w:pPr>
            <w:r w:rsidRPr="00585DBF">
              <w:rPr>
                <w:rFonts w:ascii="Times New Roman" w:hAnsi="Times New Roman"/>
                <w:color w:val="000000" w:themeColor="text1"/>
                <w:sz w:val="24"/>
                <w:szCs w:val="24"/>
              </w:rPr>
              <w:t>1 (1)</w:t>
            </w:r>
          </w:p>
        </w:tc>
        <w:tc>
          <w:tcPr>
            <w:tcW w:w="697" w:type="dxa"/>
            <w:tcBorders>
              <w:top w:val="single" w:sz="4" w:space="0" w:color="auto"/>
              <w:left w:val="single" w:sz="4" w:space="0" w:color="auto"/>
              <w:bottom w:val="single" w:sz="4" w:space="0" w:color="auto"/>
              <w:right w:val="single" w:sz="4" w:space="0" w:color="auto"/>
            </w:tcBorders>
            <w:vAlign w:val="center"/>
            <w:hideMark/>
          </w:tcPr>
          <w:p w14:paraId="0B23EF43" w14:textId="77777777" w:rsidR="00FD315F" w:rsidRPr="00585DBF" w:rsidRDefault="00FD315F" w:rsidP="006F7BCE">
            <w:pPr>
              <w:ind w:left="-90" w:right="-90"/>
              <w:jc w:val="center"/>
              <w:rPr>
                <w:rFonts w:ascii="Times New Roman" w:eastAsia="Times New Roman" w:hAnsi="Times New Roman"/>
                <w:color w:val="000000" w:themeColor="text1"/>
                <w:sz w:val="24"/>
                <w:szCs w:val="24"/>
              </w:rPr>
            </w:pPr>
            <w:r w:rsidRPr="00585DBF">
              <w:rPr>
                <w:rFonts w:ascii="Times New Roman" w:hAnsi="Times New Roman"/>
                <w:color w:val="000000" w:themeColor="text1"/>
                <w:sz w:val="24"/>
                <w:szCs w:val="24"/>
              </w:rPr>
              <w:t>4 (0)</w:t>
            </w:r>
          </w:p>
        </w:tc>
        <w:tc>
          <w:tcPr>
            <w:tcW w:w="697" w:type="dxa"/>
            <w:tcBorders>
              <w:top w:val="single" w:sz="4" w:space="0" w:color="auto"/>
              <w:left w:val="single" w:sz="4" w:space="0" w:color="auto"/>
              <w:bottom w:val="single" w:sz="4" w:space="0" w:color="auto"/>
              <w:right w:val="single" w:sz="4" w:space="0" w:color="auto"/>
            </w:tcBorders>
            <w:vAlign w:val="center"/>
            <w:hideMark/>
          </w:tcPr>
          <w:p w14:paraId="7C9E8A5E" w14:textId="77777777" w:rsidR="00FD315F" w:rsidRPr="00585DBF" w:rsidRDefault="00FD315F" w:rsidP="006F7BCE">
            <w:pPr>
              <w:ind w:left="-90" w:right="-90"/>
              <w:jc w:val="center"/>
              <w:rPr>
                <w:rFonts w:ascii="Times New Roman" w:eastAsia="Times New Roman" w:hAnsi="Times New Roman"/>
                <w:color w:val="000000" w:themeColor="text1"/>
                <w:sz w:val="24"/>
                <w:szCs w:val="24"/>
              </w:rPr>
            </w:pPr>
            <w:r w:rsidRPr="00585DBF">
              <w:rPr>
                <w:rFonts w:ascii="Times New Roman" w:hAnsi="Times New Roman"/>
                <w:color w:val="000000" w:themeColor="text1"/>
                <w:sz w:val="24"/>
                <w:szCs w:val="24"/>
              </w:rPr>
              <w:t>0 (0)</w:t>
            </w:r>
          </w:p>
        </w:tc>
        <w:tc>
          <w:tcPr>
            <w:tcW w:w="961" w:type="dxa"/>
            <w:tcBorders>
              <w:top w:val="single" w:sz="4" w:space="0" w:color="auto"/>
              <w:left w:val="single" w:sz="4" w:space="0" w:color="auto"/>
              <w:bottom w:val="single" w:sz="4" w:space="0" w:color="auto"/>
              <w:right w:val="single" w:sz="4" w:space="0" w:color="auto"/>
            </w:tcBorders>
            <w:vAlign w:val="center"/>
            <w:hideMark/>
          </w:tcPr>
          <w:p w14:paraId="692F3EB8" w14:textId="77777777" w:rsidR="00FD315F" w:rsidRPr="00585DBF" w:rsidRDefault="00FD315F" w:rsidP="006F7BCE">
            <w:pPr>
              <w:ind w:left="-90" w:right="-90"/>
              <w:jc w:val="center"/>
              <w:rPr>
                <w:rFonts w:ascii="Times New Roman" w:eastAsia="Times New Roman" w:hAnsi="Times New Roman"/>
                <w:color w:val="000000" w:themeColor="text1"/>
                <w:sz w:val="24"/>
                <w:szCs w:val="24"/>
              </w:rPr>
            </w:pPr>
            <w:r w:rsidRPr="00585DBF">
              <w:rPr>
                <w:rFonts w:ascii="Times New Roman" w:hAnsi="Times New Roman"/>
                <w:color w:val="000000" w:themeColor="text1"/>
                <w:sz w:val="24"/>
                <w:szCs w:val="24"/>
              </w:rPr>
              <w:t>0 (0)</w:t>
            </w:r>
          </w:p>
        </w:tc>
      </w:tr>
    </w:tbl>
    <w:p w14:paraId="3309663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0AA44699" w14:textId="77777777" w:rsidR="00FD315F" w:rsidRPr="00585DBF" w:rsidRDefault="00FD315F" w:rsidP="00FD315F">
      <w:pPr>
        <w:spacing w:after="0" w:line="240" w:lineRule="auto"/>
        <w:ind w:right="-90"/>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As far as unlawful use of physical force or special measures against inmates by prison officers is concerned, one pre-trial investigation was initiated in 2019, 2020, 2021 and, respectively, in 2023, 4 pre-trial investigations in 2022 and, respectively, 2024, and 3 pre-trial investigations in the first half of 2025.</w:t>
      </w:r>
    </w:p>
    <w:p w14:paraId="5B35088A"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1C956F60"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For the unlawful use of physical force and special measures against an inmate, 1 prison officer was sentenced in 2022 by a fine of EUR 5,000 and prohibited from working in the civil service for 3 years.</w:t>
      </w:r>
      <w:r w:rsidRPr="00585DBF">
        <w:rPr>
          <w:rFonts w:ascii="Times New Roman" w:eastAsia="Aptos" w:hAnsi="Times New Roman" w:cs="Times New Roman"/>
          <w:b/>
          <w:i/>
          <w:sz w:val="24"/>
          <w:szCs w:val="24"/>
          <w:lang w:val="en-GB"/>
        </w:rPr>
        <w:t xml:space="preserve"> </w:t>
      </w:r>
      <w:r w:rsidRPr="00585DBF">
        <w:rPr>
          <w:rFonts w:ascii="Times New Roman" w:eastAsia="Aptos" w:hAnsi="Times New Roman" w:cs="Times New Roman"/>
          <w:sz w:val="24"/>
          <w:szCs w:val="24"/>
          <w:lang w:val="en-GB"/>
        </w:rPr>
        <w:t>In other cases, pre-trial investigations were terminated after it was established that no criminal offence had been committed.</w:t>
      </w:r>
    </w:p>
    <w:p w14:paraId="2BDE762A"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1067FD41" w14:textId="4CF1C6D4"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Both official inspections and pre-trial investigations concerning ill-treatment of inmates by prison staff are carried out by officials who are independent of the management of a specific prison and who are subordinate only to the head of Prison Service. All pre-trial investigations are controlled by prosecutors, who make all the most important procedural decisions on their own (e.g., on the termination of a pre-trial investigation, the collection of additional data, the transfer of a case to court, etc.). This ensures complete impartiality in the conduct of investigations and the decisions taken.</w:t>
      </w:r>
    </w:p>
    <w:p w14:paraId="006B71D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34FB2D08" w14:textId="77777777" w:rsidR="00FD315F" w:rsidRPr="00585DBF" w:rsidRDefault="00FD315F" w:rsidP="00FD315F">
      <w:pPr>
        <w:spacing w:line="240" w:lineRule="auto"/>
        <w:jc w:val="both"/>
        <w:rPr>
          <w:rFonts w:ascii="Times New Roman" w:eastAsia="Times New Roman" w:hAnsi="Times New Roman" w:cs="Times New Roman"/>
          <w:b/>
          <w:kern w:val="0"/>
          <w:sz w:val="24"/>
          <w:szCs w:val="24"/>
          <w:lang w:val="en-GB" w:eastAsia="lt-LT"/>
          <w14:ligatures w14:val="none"/>
        </w:rPr>
      </w:pPr>
      <w:r w:rsidRPr="00585DBF">
        <w:rPr>
          <w:rFonts w:ascii="Times New Roman" w:eastAsia="Aptos" w:hAnsi="Times New Roman" w:cs="Times New Roman"/>
          <w:kern w:val="0"/>
          <w:sz w:val="24"/>
          <w:szCs w:val="24"/>
          <w:lang w:val="en-GB"/>
          <w14:ligatures w14:val="none"/>
        </w:rPr>
        <w:t xml:space="preserve">In order to further promote the culture of respectful and positive treatment of inmates by staff, additional measures have been taken to ensure that all prison staff who interact with inmates are required to use video recorders, and controls on their use have been tightened. In accordance with the approved new Procedure for the Use of Video Recorders, all recordings made by video recorders are </w:t>
      </w:r>
      <w:r w:rsidRPr="00585DBF">
        <w:rPr>
          <w:rFonts w:ascii="Times New Roman" w:eastAsia="Aptos" w:hAnsi="Times New Roman" w:cs="Times New Roman"/>
          <w:kern w:val="0"/>
          <w:sz w:val="24"/>
          <w:szCs w:val="24"/>
          <w:lang w:val="en-GB"/>
          <w14:ligatures w14:val="none"/>
        </w:rPr>
        <w:lastRenderedPageBreak/>
        <w:t>stored for at least 30 days (under the previous regulation, 10 days). Inspections of the recordings captured by video recorders have also been intensified to make sure that there is no abuse when video recorders are not turned on (turned off), that staff members interact with inmates in a respectful and professional manner, that no unlawful actions are carried out, and that staff members perform the actions required in a specific situation, etc. In addition, significant investments are made in the professional development of staff members. In minimising the need for the use of and physical coercion in direct work with inmates and replacing it with the impact of the positive relationship developed by the staff with inmates, special training programmes have been developed for officers at all levels, and about 40% of all prison staff members (including all staff in two prisons) have already been trained to apply the methods of working with inmates based on the principle of dynamic security. These measures change the culture of working with inmates in principle and contribute to the reduction of cases when excessive force is used (or the willingness to use it).</w:t>
      </w:r>
    </w:p>
    <w:p w14:paraId="22FB6347" w14:textId="77777777" w:rsidR="00FD315F" w:rsidRPr="00585DBF" w:rsidRDefault="00FD315F" w:rsidP="00FD315F">
      <w:pPr>
        <w:rPr>
          <w:rFonts w:ascii="Times New Roman" w:hAnsi="Times New Roman" w:cs="Times New Roman"/>
          <w:b/>
          <w:bCs/>
          <w:sz w:val="24"/>
          <w:szCs w:val="24"/>
          <w:lang w:val="en-GB"/>
        </w:rPr>
      </w:pPr>
      <w:r w:rsidRPr="00585DBF">
        <w:rPr>
          <w:rFonts w:ascii="Times New Roman" w:hAnsi="Times New Roman" w:cs="Times New Roman"/>
          <w:b/>
          <w:bCs/>
          <w:sz w:val="24"/>
          <w:szCs w:val="24"/>
          <w:lang w:val="en-GB"/>
        </w:rPr>
        <w:t xml:space="preserve">Paragraph 24 of the </w:t>
      </w:r>
      <w:r w:rsidRPr="00585DBF">
        <w:rPr>
          <w:rFonts w:ascii="Times New Roman" w:eastAsia="Times New Roman" w:hAnsi="Times New Roman" w:cs="Times New Roman"/>
          <w:b/>
          <w:kern w:val="0"/>
          <w:sz w:val="24"/>
          <w:szCs w:val="24"/>
          <w:lang w:val="en-GB" w:eastAsia="lt-LT"/>
          <w14:ligatures w14:val="none"/>
        </w:rPr>
        <w:t>LoIPR</w:t>
      </w:r>
    </w:p>
    <w:p w14:paraId="211C51D4" w14:textId="280908FA"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 xml:space="preserve">Following the entry into force of the judgment of the </w:t>
      </w:r>
      <w:r w:rsidR="00F12250" w:rsidRPr="00585DBF">
        <w:rPr>
          <w:rFonts w:ascii="Times New Roman" w:eastAsia="Aptos" w:hAnsi="Times New Roman" w:cs="Times New Roman"/>
          <w:sz w:val="24"/>
          <w:szCs w:val="24"/>
          <w:lang w:val="en-GB"/>
        </w:rPr>
        <w:t xml:space="preserve">ECHR </w:t>
      </w:r>
      <w:r w:rsidRPr="00585DBF">
        <w:rPr>
          <w:rFonts w:ascii="Times New Roman" w:eastAsia="Aptos" w:hAnsi="Times New Roman" w:cs="Times New Roman"/>
          <w:sz w:val="24"/>
          <w:szCs w:val="24"/>
          <w:lang w:val="en-GB"/>
        </w:rPr>
        <w:t xml:space="preserve">in the case </w:t>
      </w:r>
      <w:r w:rsidRPr="00585DBF">
        <w:rPr>
          <w:rFonts w:ascii="Times New Roman" w:eastAsia="Aptos" w:hAnsi="Times New Roman" w:cs="Times New Roman"/>
          <w:i/>
          <w:iCs/>
          <w:sz w:val="24"/>
          <w:szCs w:val="24"/>
          <w:lang w:val="en-GB"/>
        </w:rPr>
        <w:t>Abu Zubaydah v. Lithuania</w:t>
      </w:r>
      <w:r w:rsidRPr="00585DBF">
        <w:rPr>
          <w:rFonts w:ascii="Times New Roman" w:eastAsia="Aptos" w:hAnsi="Times New Roman" w:cs="Times New Roman"/>
          <w:sz w:val="24"/>
          <w:szCs w:val="24"/>
          <w:lang w:val="en-GB"/>
        </w:rPr>
        <w:t xml:space="preserve"> (Application No. 46454/11, 31 May 2018), the pre-trial investigation No. 01-2-00015-14 initiated by the Prosecutor General's Office as early as in 2010 concerning Lithuania's potential involvement in rendition and secret detention programmes is continuing. The investigation plan was made and it was decided to ensure broader investigation of the alleged criminal offences, which was initially initiated under the relevant articles of the CC providing for liability for abuse of power and for the unlawful transportation of a person across the State border. The investigation was continued under Article 100 of the CC for treatment of persons which is prohibited under international law. It should be noted that the latter offence is not subject to the statute of limitations.</w:t>
      </w:r>
    </w:p>
    <w:p w14:paraId="567C0898"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6F6297DB" w14:textId="7940092C"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The pre-trial investigation in this matter is carried out at the highest level of law enforcement authorities – the investigation group is comprised of a prosecutor of the Organised Crime and Corruption Investigation Department of the Prosecutor General’s Office and a pre-trial investigator of the Criminal Police Bureau of Lithuania. In order to make the pre-trial investigation in the criminal proceedings more active, various investigative actions were carried out, e.g., a decision was made to submit a repeated request for legal assistance to the authorities of the United States of America (U.S.), the Prosecutor General's Office issued a European Investigation Order to the Romanian competent authorities in order to find out information about a potential transfer of CIA detainees to Lithuania, a detailed retrospective monitoring of publicly available sources was conducted, the expert of international criminal law was consulted, several information requests were sent to the competent authorities, various notifications and reports have been included into the investigative material and analysed in order to determine the possibility of investigation actions and verify the relevant circumstances under the procedure set out by the criminal procedure provisions. </w:t>
      </w:r>
    </w:p>
    <w:p w14:paraId="34688C9E"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29E75E25" w14:textId="3BEB0C90"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 xml:space="preserve">Special attention was paid to the circumstances established and the shortcomings identified by the </w:t>
      </w:r>
      <w:r w:rsidR="00F12250" w:rsidRPr="00585DBF">
        <w:rPr>
          <w:rFonts w:ascii="Times New Roman" w:eastAsia="Aptos" w:hAnsi="Times New Roman" w:cs="Times New Roman"/>
          <w:sz w:val="24"/>
          <w:szCs w:val="24"/>
          <w:lang w:val="en-GB"/>
        </w:rPr>
        <w:t>ECHR</w:t>
      </w:r>
      <w:r w:rsidRPr="00585DBF">
        <w:rPr>
          <w:rFonts w:ascii="Times New Roman" w:eastAsia="Aptos" w:hAnsi="Times New Roman" w:cs="Times New Roman"/>
          <w:sz w:val="24"/>
          <w:szCs w:val="24"/>
          <w:lang w:val="en-GB"/>
        </w:rPr>
        <w:t xml:space="preserve">. For example, having regard to the inconsistencies identified in witness statements, efforts were made to remove certain contradictions. With the permission of the </w:t>
      </w:r>
      <w:r w:rsidR="00F12250" w:rsidRPr="00585DBF">
        <w:rPr>
          <w:rFonts w:ascii="Times New Roman" w:eastAsia="Aptos" w:hAnsi="Times New Roman" w:cs="Times New Roman"/>
          <w:sz w:val="24"/>
          <w:szCs w:val="24"/>
          <w:lang w:val="en-GB"/>
        </w:rPr>
        <w:t>ECHR</w:t>
      </w:r>
      <w:r w:rsidRPr="00585DBF">
        <w:rPr>
          <w:rFonts w:ascii="Times New Roman" w:eastAsia="Aptos" w:hAnsi="Times New Roman" w:cs="Times New Roman"/>
          <w:sz w:val="24"/>
          <w:szCs w:val="24"/>
          <w:lang w:val="en-GB"/>
        </w:rPr>
        <w:t xml:space="preserve">, the minutes of the closed fact-finding hearing were included in the case file in order to fully analyse the expert evidence submitted to the </w:t>
      </w:r>
      <w:r w:rsidR="00F12250" w:rsidRPr="00585DBF">
        <w:rPr>
          <w:rFonts w:ascii="Times New Roman" w:eastAsia="Aptos" w:hAnsi="Times New Roman" w:cs="Times New Roman"/>
          <w:sz w:val="24"/>
          <w:szCs w:val="24"/>
          <w:lang w:val="en-GB"/>
        </w:rPr>
        <w:t>ECHR</w:t>
      </w:r>
      <w:r w:rsidRPr="00585DBF">
        <w:rPr>
          <w:rFonts w:ascii="Times New Roman" w:eastAsia="Aptos" w:hAnsi="Times New Roman" w:cs="Times New Roman"/>
          <w:sz w:val="24"/>
          <w:szCs w:val="24"/>
          <w:lang w:val="en-GB"/>
        </w:rPr>
        <w:t>.</w:t>
      </w:r>
    </w:p>
    <w:p w14:paraId="2C1375A1"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01946035"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 xml:space="preserve">The complexity of the investigation is predetermined by the fact that the main evidentiary material is in the possession in foreign jurisdictions. The Lithuanian law enforcement authorities sought to expand cooperation with the countries dealing with similar investigations, however, no significant results have been achieved. Alternative avenues of international cooperation have also been explored for the collection of evidence in the U.S., in particular looking for possibilities to use the evidence collection procedure under Section 1782 of the U.S. Code (after a final decision by the U.S. Supreme Court, it was decided not to use this procedure in view of the extent to which the state secrets privilege had been applied) and to obtain relevant evidentiary material from the related investigations carried </w:t>
      </w:r>
      <w:r w:rsidRPr="00585DBF">
        <w:rPr>
          <w:rFonts w:ascii="Times New Roman" w:eastAsia="Aptos" w:hAnsi="Times New Roman" w:cs="Times New Roman"/>
          <w:sz w:val="24"/>
          <w:szCs w:val="24"/>
          <w:lang w:val="en-GB"/>
        </w:rPr>
        <w:lastRenderedPageBreak/>
        <w:t>out by the U.S. military commission and, potentially, from related international criminal investigations.</w:t>
      </w:r>
    </w:p>
    <w:p w14:paraId="343B8601" w14:textId="77777777" w:rsidR="00FD315F" w:rsidRPr="00585DBF" w:rsidRDefault="00FD315F" w:rsidP="00585DBF">
      <w:pPr>
        <w:pStyle w:val="NoSpacing"/>
        <w:rPr>
          <w:lang w:val="en-GB"/>
        </w:rPr>
      </w:pPr>
    </w:p>
    <w:p w14:paraId="6A90A968" w14:textId="3E2E0802"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 xml:space="preserve">After the judgment of the </w:t>
      </w:r>
      <w:r w:rsidR="00F12250" w:rsidRPr="00585DBF">
        <w:rPr>
          <w:rFonts w:ascii="Times New Roman" w:eastAsia="Aptos" w:hAnsi="Times New Roman" w:cs="Times New Roman"/>
          <w:sz w:val="24"/>
          <w:szCs w:val="24"/>
          <w:lang w:val="en-GB"/>
        </w:rPr>
        <w:t>ECHR</w:t>
      </w:r>
      <w:r w:rsidRPr="00585DBF">
        <w:rPr>
          <w:rFonts w:ascii="Times New Roman" w:eastAsia="Aptos" w:hAnsi="Times New Roman" w:cs="Times New Roman"/>
          <w:sz w:val="24"/>
          <w:szCs w:val="24"/>
          <w:lang w:val="en-GB"/>
        </w:rPr>
        <w:t xml:space="preserve"> in the case </w:t>
      </w:r>
      <w:r w:rsidRPr="00585DBF">
        <w:rPr>
          <w:rFonts w:ascii="Times New Roman" w:eastAsia="Aptos" w:hAnsi="Times New Roman" w:cs="Times New Roman"/>
          <w:i/>
          <w:iCs/>
          <w:sz w:val="24"/>
          <w:szCs w:val="24"/>
          <w:lang w:val="en-GB"/>
        </w:rPr>
        <w:t>Al-Hawsawi v. Lithuania</w:t>
      </w:r>
      <w:r w:rsidRPr="00585DBF">
        <w:rPr>
          <w:rFonts w:ascii="Times New Roman" w:eastAsia="Aptos" w:hAnsi="Times New Roman" w:cs="Times New Roman"/>
          <w:sz w:val="24"/>
          <w:szCs w:val="24"/>
          <w:lang w:val="en-GB"/>
        </w:rPr>
        <w:t xml:space="preserve"> (Application No. 6383/17, judgment of 16 January 2024) has become final, a meeting was held in March 2024, mediated by EUROJUST, with representatives of the Polish Prosecutor's Office in order to share the issues and good practice of similar investigations, and this cooperation is planned to continue.</w:t>
      </w:r>
    </w:p>
    <w:p w14:paraId="4ABFE657"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3EF47AD0"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 xml:space="preserve">No suspects have been identified during the pre-trial investigation, no one has been served with notices of suspicion for the offences under investigation, and there are no persons who have been granted the status of victims in this respect, in particular in view of the fact that there is no evidence in this case that meets the standards of criminal procedure concerning the persons who have been victims of the criminal offence. </w:t>
      </w:r>
    </w:p>
    <w:p w14:paraId="441843EC" w14:textId="77777777" w:rsidR="00FD315F" w:rsidRPr="00585DBF" w:rsidRDefault="00FD315F" w:rsidP="00585DBF">
      <w:pPr>
        <w:pStyle w:val="NoSpacing"/>
        <w:rPr>
          <w:lang w:val="en-GB"/>
        </w:rPr>
      </w:pPr>
    </w:p>
    <w:p w14:paraId="71F27DB6" w14:textId="7834DD2A" w:rsidR="00FD315F" w:rsidRPr="00585DBF" w:rsidRDefault="00FD315F" w:rsidP="00FD315F">
      <w:pPr>
        <w:spacing w:line="240" w:lineRule="auto"/>
        <w:jc w:val="both"/>
        <w:rPr>
          <w:rFonts w:ascii="Times New Roman" w:eastAsia="Times New Roman" w:hAnsi="Times New Roman" w:cs="Times New Roman"/>
          <w:b/>
          <w:kern w:val="0"/>
          <w:sz w:val="24"/>
          <w:szCs w:val="24"/>
          <w:lang w:val="en-GB" w:eastAsia="lt-LT"/>
          <w14:ligatures w14:val="none"/>
        </w:rPr>
      </w:pPr>
      <w:r w:rsidRPr="00585DBF">
        <w:rPr>
          <w:rFonts w:ascii="Times New Roman" w:eastAsia="Aptos" w:hAnsi="Times New Roman" w:cs="Times New Roman"/>
          <w:kern w:val="0"/>
          <w:sz w:val="24"/>
          <w:szCs w:val="24"/>
          <w:lang w:val="en-GB"/>
          <w14:ligatures w14:val="none"/>
        </w:rPr>
        <w:t xml:space="preserve">It is also important to note the efforts of Lithuania in seeking diplomatic assurances that the violations found by the </w:t>
      </w:r>
      <w:r w:rsidR="00D022FA" w:rsidRPr="00585DBF">
        <w:rPr>
          <w:rFonts w:ascii="Times New Roman" w:eastAsia="Aptos" w:hAnsi="Times New Roman" w:cs="Times New Roman"/>
          <w:kern w:val="0"/>
          <w:sz w:val="24"/>
          <w:szCs w:val="24"/>
          <w:lang w:val="en-GB"/>
          <w14:ligatures w14:val="none"/>
        </w:rPr>
        <w:t>ECHR</w:t>
      </w:r>
      <w:r w:rsidRPr="00585DBF">
        <w:rPr>
          <w:rFonts w:ascii="Times New Roman" w:eastAsia="Aptos" w:hAnsi="Times New Roman" w:cs="Times New Roman"/>
          <w:kern w:val="0"/>
          <w:sz w:val="24"/>
          <w:szCs w:val="24"/>
          <w:lang w:val="en-GB"/>
          <w14:ligatures w14:val="none"/>
        </w:rPr>
        <w:t xml:space="preserve"> in the cases of Abu Zubaydah and Al-Hawsawi are brought to an end. Lithuania has already submitted four notes to the U.S. authorities regarding the applicant Abu Zubaydah and applied for diplomatic assurances regarding the applicant Al-Hawsawi in July 2025. In addition, in December 2022, remote consultations at expert level were held with representatives of the U.S. State Department to discuss cooperation opportunities. After a change in the U.S. administration, measures were taken in 2025 to resume expert-level consultations with the competent U.S. authorities, and the prosecutor conducting the pre-trial investigation is preparing a repeated request for legal assistance to the U.S.</w:t>
      </w:r>
    </w:p>
    <w:p w14:paraId="7ECDAC2B" w14:textId="77777777" w:rsidR="00FD315F" w:rsidRPr="00585DBF" w:rsidRDefault="00FD315F" w:rsidP="00FD315F">
      <w:pPr>
        <w:rPr>
          <w:rFonts w:ascii="Times New Roman" w:hAnsi="Times New Roman" w:cs="Times New Roman"/>
          <w:b/>
          <w:bCs/>
          <w:sz w:val="24"/>
          <w:szCs w:val="24"/>
          <w:lang w:val="en-GB"/>
        </w:rPr>
      </w:pPr>
      <w:r w:rsidRPr="00585DBF">
        <w:rPr>
          <w:rFonts w:ascii="Times New Roman" w:hAnsi="Times New Roman" w:cs="Times New Roman"/>
          <w:b/>
          <w:bCs/>
          <w:sz w:val="24"/>
          <w:szCs w:val="24"/>
          <w:lang w:val="en-GB"/>
        </w:rPr>
        <w:t xml:space="preserve">Paragraph 25 of the </w:t>
      </w:r>
      <w:r w:rsidRPr="00585DBF">
        <w:rPr>
          <w:rFonts w:ascii="Times New Roman" w:eastAsia="Times New Roman" w:hAnsi="Times New Roman" w:cs="Times New Roman"/>
          <w:b/>
          <w:kern w:val="0"/>
          <w:sz w:val="24"/>
          <w:szCs w:val="24"/>
          <w:lang w:val="en-GB" w:eastAsia="lt-LT"/>
          <w14:ligatures w14:val="none"/>
        </w:rPr>
        <w:t>LoIPR</w:t>
      </w:r>
    </w:p>
    <w:p w14:paraId="3352F3F8" w14:textId="77777777" w:rsidR="00FD315F" w:rsidRPr="00585DBF" w:rsidRDefault="00FD315F" w:rsidP="00FD315F">
      <w:pPr>
        <w:spacing w:after="0" w:line="240" w:lineRule="auto"/>
        <w:jc w:val="both"/>
        <w:rPr>
          <w:rFonts w:ascii="Times New Roman" w:eastAsia="Aptos" w:hAnsi="Times New Roman" w:cs="Times New Roman"/>
          <w:b/>
          <w:bCs/>
          <w:i/>
          <w:iCs/>
          <w:sz w:val="24"/>
          <w:szCs w:val="24"/>
          <w:lang w:val="en-GB"/>
        </w:rPr>
      </w:pPr>
      <w:r w:rsidRPr="00585DBF">
        <w:rPr>
          <w:rFonts w:ascii="Times New Roman" w:eastAsia="Aptos" w:hAnsi="Times New Roman" w:cs="Times New Roman"/>
          <w:sz w:val="24"/>
          <w:szCs w:val="24"/>
          <w:lang w:val="en-GB"/>
        </w:rPr>
        <w:t xml:space="preserve">In performing the functions of national torture prevention in detention facilities in accordance with the Optional Protocol to the Convention, the Parliamentary Ombudspersons carried out inspections at the Kybartai Foreigners' Registration Centre and the Medininkai Foreigners' Registration Centre of the State Border Guard Service in 2022 and submitted their recommendations, which were implemented. </w:t>
      </w:r>
    </w:p>
    <w:p w14:paraId="10663ECC" w14:textId="77777777" w:rsidR="00FD315F" w:rsidRPr="00585DBF" w:rsidRDefault="00FD315F" w:rsidP="00FD315F">
      <w:pPr>
        <w:spacing w:after="0" w:line="240" w:lineRule="auto"/>
        <w:jc w:val="both"/>
        <w:rPr>
          <w:rFonts w:ascii="Times New Roman" w:eastAsia="Aptos" w:hAnsi="Times New Roman" w:cs="Times New Roman"/>
          <w:sz w:val="24"/>
          <w:szCs w:val="24"/>
          <w:lang w:val="en-GB"/>
        </w:rPr>
      </w:pPr>
    </w:p>
    <w:p w14:paraId="3D83D973" w14:textId="4D3A7201"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2022, the European Border and Coast Guard Agency forwarded two complaints from third-country nationals regarding the actions of border guards during the joint operation Terra 2022: one complaint concerned the allegedly discriminating actions by border guards against a third-country national who was allegedly denied entry into Lithuania; the other concerned a violation of Article 4 of the Charter of Fundamental Rights of the </w:t>
      </w:r>
      <w:r w:rsidR="005F73FB" w:rsidRPr="00585DBF">
        <w:rPr>
          <w:rFonts w:ascii="Times New Roman" w:eastAsia="Aptos" w:hAnsi="Times New Roman" w:cs="Times New Roman"/>
          <w:sz w:val="24"/>
          <w:szCs w:val="24"/>
          <w:lang w:val="en-GB"/>
        </w:rPr>
        <w:t xml:space="preserve">EU </w:t>
      </w:r>
      <w:r w:rsidRPr="00585DBF">
        <w:rPr>
          <w:rFonts w:ascii="Times New Roman" w:eastAsia="Aptos" w:hAnsi="Times New Roman" w:cs="Times New Roman"/>
          <w:sz w:val="24"/>
          <w:szCs w:val="24"/>
          <w:lang w:val="en-GB"/>
        </w:rPr>
        <w:t>and the allegedly inhuman or degrading treatment of a third-country national by a border guard.</w:t>
      </w:r>
    </w:p>
    <w:p w14:paraId="0639D33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369A96B"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The examining the first complaint revealed that, during the period when the crossing of the State border had been restricted due to the State-level emergency declared by the Government by prohibiting foreigners from entering the territory of Lithuania, a Belarusian citizen who did not meet the established exceptions allowing entry into the territory of Lithuania attempted to cross the State border at the Medininkai border control point. It was ascertained that the actions of the border guards had been lawful, carried out in accordance with Lithuanian laws, the requirements had been applied equally to all without distinguishing any specific group of persons or nationalities or without discriminating otherwise.</w:t>
      </w:r>
    </w:p>
    <w:p w14:paraId="37955B0B" w14:textId="77777777" w:rsidR="00FD315F" w:rsidRPr="00585DBF" w:rsidRDefault="00FD315F" w:rsidP="00FD315F">
      <w:pPr>
        <w:pStyle w:val="NoSpacing"/>
        <w:rPr>
          <w:lang w:val="en-GB"/>
        </w:rPr>
      </w:pPr>
    </w:p>
    <w:p w14:paraId="77D2817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After examining the second complaint, it was identified that the person had actively resisted the apprehension, therefore, special measures (a service dog and combat wrestling) had been used within the framework of legal acts and the person was apprehended by being pinned to the ground. All actions had been carried out in accordance with the procedure for the use of force as provided for in </w:t>
      </w:r>
      <w:r w:rsidRPr="00585DBF">
        <w:rPr>
          <w:rFonts w:ascii="Times New Roman" w:eastAsia="Aptos" w:hAnsi="Times New Roman" w:cs="Times New Roman"/>
          <w:sz w:val="24"/>
          <w:szCs w:val="24"/>
          <w:lang w:val="en-GB"/>
        </w:rPr>
        <w:lastRenderedPageBreak/>
        <w:t xml:space="preserve">the </w:t>
      </w:r>
      <w:r w:rsidRPr="00585DBF">
        <w:rPr>
          <w:rFonts w:ascii="Times New Roman" w:eastAsia="Aptos" w:hAnsi="Times New Roman" w:cs="Times New Roman"/>
          <w:color w:val="000000" w:themeColor="text1"/>
          <w:sz w:val="24"/>
          <w:szCs w:val="24"/>
          <w:lang w:val="en-GB"/>
        </w:rPr>
        <w:t>Law on the State Border and Guarding of the State Border</w:t>
      </w:r>
      <w:r w:rsidRPr="00585DBF">
        <w:rPr>
          <w:rFonts w:ascii="Times New Roman" w:eastAsia="Aptos" w:hAnsi="Times New Roman" w:cs="Times New Roman"/>
          <w:sz w:val="24"/>
          <w:szCs w:val="24"/>
          <w:lang w:val="en-GB"/>
        </w:rPr>
        <w:t xml:space="preserve"> of Lithuania, without degrading human dignity and honour.</w:t>
      </w:r>
    </w:p>
    <w:p w14:paraId="61BED06F"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704F105B" w14:textId="77777777" w:rsidR="00FD315F" w:rsidRPr="00585DBF" w:rsidRDefault="00FD315F" w:rsidP="00FD315F">
      <w:pPr>
        <w:pStyle w:val="NoSpacing"/>
        <w:jc w:val="both"/>
        <w:rPr>
          <w:rFonts w:eastAsia="Aptos"/>
          <w:color w:val="000000" w:themeColor="text1"/>
          <w:lang w:val="en-GB"/>
        </w:rPr>
      </w:pPr>
      <w:r w:rsidRPr="00585DBF">
        <w:rPr>
          <w:rFonts w:eastAsia="Aptos"/>
          <w:lang w:val="en-GB"/>
        </w:rPr>
        <w:t>In 2022, one complaint was received from foreigners concerning the actions of officers and concerning alleged physical and psychological violence at the Medininkai Foreigners' Registration Centre.</w:t>
      </w:r>
      <w:r w:rsidRPr="00585DBF">
        <w:rPr>
          <w:rFonts w:eastAsia="Aptos"/>
          <w:color w:val="000000" w:themeColor="text1"/>
          <w:lang w:val="en-GB"/>
        </w:rPr>
        <w:t xml:space="preserve"> After investigating the facts noted in the complaint and the related circumstances, no investigation was initiated.</w:t>
      </w:r>
    </w:p>
    <w:p w14:paraId="243371B0" w14:textId="77777777" w:rsidR="00FD315F" w:rsidRPr="00585DBF" w:rsidRDefault="00FD315F" w:rsidP="00FD315F">
      <w:pPr>
        <w:pStyle w:val="NoSpacing"/>
        <w:rPr>
          <w:rFonts w:eastAsia="Aptos"/>
          <w:lang w:val="en-GB"/>
        </w:rPr>
      </w:pPr>
    </w:p>
    <w:p w14:paraId="649D45E0" w14:textId="77777777" w:rsidR="00FD315F" w:rsidRPr="00585DBF" w:rsidRDefault="00FD315F" w:rsidP="00FD315F">
      <w:pPr>
        <w:spacing w:after="0" w:line="240" w:lineRule="auto"/>
        <w:rPr>
          <w:rFonts w:ascii="Times New Roman" w:eastAsia="Calibri" w:hAnsi="Times New Roman" w:cs="Times New Roman"/>
          <w:b/>
          <w:kern w:val="0"/>
          <w:sz w:val="28"/>
          <w:szCs w:val="28"/>
          <w:lang w:val="en-GB"/>
          <w14:ligatures w14:val="none"/>
        </w:rPr>
      </w:pPr>
      <w:r w:rsidRPr="00585DBF">
        <w:rPr>
          <w:rFonts w:ascii="Times New Roman" w:eastAsia="Aptos" w:hAnsi="Times New Roman" w:cs="Times New Roman"/>
          <w:b/>
          <w:sz w:val="28"/>
          <w:szCs w:val="28"/>
          <w:lang w:val="en-GB"/>
        </w:rPr>
        <w:t>Articles 14</w:t>
      </w:r>
    </w:p>
    <w:p w14:paraId="008E9385" w14:textId="77777777" w:rsidR="00FD315F" w:rsidRPr="00585DBF" w:rsidRDefault="00FD315F" w:rsidP="00FD315F">
      <w:pPr>
        <w:pStyle w:val="NoSpacing"/>
        <w:rPr>
          <w:lang w:val="en-GB"/>
        </w:rPr>
      </w:pPr>
    </w:p>
    <w:p w14:paraId="78BE136E" w14:textId="77777777" w:rsidR="00FD315F" w:rsidRPr="00585DBF" w:rsidRDefault="00FD315F" w:rsidP="00FD315F">
      <w:pPr>
        <w:rPr>
          <w:rFonts w:ascii="Times New Roman" w:hAnsi="Times New Roman" w:cs="Times New Roman"/>
          <w:b/>
          <w:bCs/>
          <w:sz w:val="24"/>
          <w:szCs w:val="24"/>
          <w:lang w:val="en-GB"/>
        </w:rPr>
      </w:pPr>
      <w:r w:rsidRPr="00585DBF">
        <w:rPr>
          <w:rFonts w:ascii="Times New Roman" w:hAnsi="Times New Roman" w:cs="Times New Roman"/>
          <w:b/>
          <w:bCs/>
          <w:sz w:val="24"/>
          <w:szCs w:val="24"/>
          <w:lang w:val="en-GB"/>
        </w:rPr>
        <w:t>Paragraph 26 of the LoIPR</w:t>
      </w:r>
    </w:p>
    <w:p w14:paraId="2EFC530E"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14:ligatures w14:val="none"/>
        </w:rPr>
      </w:pPr>
      <w:bookmarkStart w:id="42" w:name="_Hlk207639278"/>
      <w:bookmarkStart w:id="43" w:name="_Hlk207641071"/>
      <w:r w:rsidRPr="00585DBF">
        <w:rPr>
          <w:rFonts w:ascii="Times New Roman" w:eastAsia="Aptos" w:hAnsi="Times New Roman" w:cs="Times New Roman"/>
          <w:b/>
          <w:i/>
          <w:sz w:val="24"/>
          <w:szCs w:val="24"/>
          <w:lang w:val="en-GB"/>
        </w:rPr>
        <w:t xml:space="preserve">Compensations to victims of torture and/or </w:t>
      </w:r>
      <w:bookmarkEnd w:id="42"/>
      <w:r w:rsidRPr="00585DBF">
        <w:rPr>
          <w:rFonts w:ascii="Times New Roman" w:eastAsia="Aptos" w:hAnsi="Times New Roman" w:cs="Times New Roman"/>
          <w:b/>
          <w:i/>
          <w:sz w:val="24"/>
          <w:szCs w:val="24"/>
          <w:lang w:val="en-GB"/>
        </w:rPr>
        <w:t>ill-treatment</w:t>
      </w:r>
      <w:bookmarkEnd w:id="43"/>
      <w:r w:rsidRPr="00585DBF">
        <w:rPr>
          <w:rFonts w:ascii="Times New Roman" w:eastAsia="Aptos" w:hAnsi="Times New Roman" w:cs="Times New Roman"/>
          <w:b/>
          <w:i/>
          <w:sz w:val="24"/>
          <w:szCs w:val="24"/>
          <w:lang w:val="en-GB"/>
        </w:rPr>
        <w:t>:</w:t>
      </w:r>
    </w:p>
    <w:tbl>
      <w:tblPr>
        <w:tblStyle w:val="Lentelstinklelis5"/>
        <w:tblW w:w="9634" w:type="dxa"/>
        <w:tblInd w:w="0" w:type="dxa"/>
        <w:tblLook w:val="04A0" w:firstRow="1" w:lastRow="0" w:firstColumn="1" w:lastColumn="0" w:noHBand="0" w:noVBand="1"/>
      </w:tblPr>
      <w:tblGrid>
        <w:gridCol w:w="1129"/>
        <w:gridCol w:w="2552"/>
        <w:gridCol w:w="2693"/>
        <w:gridCol w:w="3260"/>
      </w:tblGrid>
      <w:tr w:rsidR="00FD315F" w:rsidRPr="00585DBF" w14:paraId="7541F8D3" w14:textId="77777777" w:rsidTr="00F73F17">
        <w:tc>
          <w:tcPr>
            <w:tcW w:w="1129" w:type="dxa"/>
            <w:tcBorders>
              <w:top w:val="single" w:sz="4" w:space="0" w:color="auto"/>
              <w:left w:val="single" w:sz="4" w:space="0" w:color="auto"/>
              <w:bottom w:val="single" w:sz="4" w:space="0" w:color="auto"/>
              <w:right w:val="single" w:sz="4" w:space="0" w:color="auto"/>
            </w:tcBorders>
            <w:vAlign w:val="center"/>
            <w:hideMark/>
          </w:tcPr>
          <w:p w14:paraId="210B1B47"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Year</w:t>
            </w:r>
          </w:p>
        </w:tc>
        <w:tc>
          <w:tcPr>
            <w:tcW w:w="2552" w:type="dxa"/>
            <w:tcBorders>
              <w:top w:val="single" w:sz="4" w:space="0" w:color="auto"/>
              <w:left w:val="single" w:sz="4" w:space="0" w:color="auto"/>
              <w:bottom w:val="single" w:sz="4" w:space="0" w:color="auto"/>
              <w:right w:val="single" w:sz="4" w:space="0" w:color="auto"/>
            </w:tcBorders>
            <w:hideMark/>
          </w:tcPr>
          <w:p w14:paraId="42222871"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Number of applications received</w:t>
            </w:r>
          </w:p>
        </w:tc>
        <w:tc>
          <w:tcPr>
            <w:tcW w:w="2693" w:type="dxa"/>
            <w:tcBorders>
              <w:top w:val="single" w:sz="4" w:space="0" w:color="auto"/>
              <w:left w:val="single" w:sz="4" w:space="0" w:color="auto"/>
              <w:bottom w:val="single" w:sz="4" w:space="0" w:color="auto"/>
              <w:right w:val="single" w:sz="4" w:space="0" w:color="auto"/>
            </w:tcBorders>
            <w:hideMark/>
          </w:tcPr>
          <w:p w14:paraId="337652FD"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Number of applications granted</w:t>
            </w:r>
          </w:p>
        </w:tc>
        <w:tc>
          <w:tcPr>
            <w:tcW w:w="3260" w:type="dxa"/>
            <w:tcBorders>
              <w:top w:val="single" w:sz="4" w:space="0" w:color="auto"/>
              <w:left w:val="single" w:sz="4" w:space="0" w:color="auto"/>
              <w:bottom w:val="single" w:sz="4" w:space="0" w:color="auto"/>
              <w:right w:val="single" w:sz="4" w:space="0" w:color="auto"/>
            </w:tcBorders>
            <w:hideMark/>
          </w:tcPr>
          <w:p w14:paraId="5D5A88E1"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Amount of compensations paid, EUR</w:t>
            </w:r>
          </w:p>
        </w:tc>
      </w:tr>
      <w:tr w:rsidR="00FD315F" w:rsidRPr="00585DBF" w14:paraId="2F987FD9" w14:textId="77777777" w:rsidTr="00CD7D4D">
        <w:trPr>
          <w:trHeight w:val="217"/>
        </w:trPr>
        <w:tc>
          <w:tcPr>
            <w:tcW w:w="1129" w:type="dxa"/>
            <w:tcBorders>
              <w:top w:val="single" w:sz="4" w:space="0" w:color="auto"/>
              <w:left w:val="single" w:sz="4" w:space="0" w:color="auto"/>
              <w:bottom w:val="single" w:sz="4" w:space="0" w:color="auto"/>
              <w:right w:val="single" w:sz="4" w:space="0" w:color="auto"/>
            </w:tcBorders>
            <w:hideMark/>
          </w:tcPr>
          <w:p w14:paraId="7EF3B5BA"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2019</w:t>
            </w:r>
          </w:p>
        </w:tc>
        <w:tc>
          <w:tcPr>
            <w:tcW w:w="2552" w:type="dxa"/>
            <w:tcBorders>
              <w:top w:val="single" w:sz="4" w:space="0" w:color="auto"/>
              <w:left w:val="single" w:sz="4" w:space="0" w:color="auto"/>
              <w:bottom w:val="single" w:sz="4" w:space="0" w:color="auto"/>
              <w:right w:val="single" w:sz="4" w:space="0" w:color="auto"/>
            </w:tcBorders>
            <w:hideMark/>
          </w:tcPr>
          <w:p w14:paraId="668FA32B"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16</w:t>
            </w:r>
          </w:p>
        </w:tc>
        <w:tc>
          <w:tcPr>
            <w:tcW w:w="2693" w:type="dxa"/>
            <w:tcBorders>
              <w:top w:val="single" w:sz="4" w:space="0" w:color="auto"/>
              <w:left w:val="single" w:sz="4" w:space="0" w:color="auto"/>
              <w:bottom w:val="single" w:sz="4" w:space="0" w:color="auto"/>
              <w:right w:val="single" w:sz="4" w:space="0" w:color="auto"/>
            </w:tcBorders>
            <w:hideMark/>
          </w:tcPr>
          <w:p w14:paraId="2F73998A"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11</w:t>
            </w:r>
          </w:p>
        </w:tc>
        <w:tc>
          <w:tcPr>
            <w:tcW w:w="3260" w:type="dxa"/>
            <w:tcBorders>
              <w:top w:val="single" w:sz="4" w:space="0" w:color="auto"/>
              <w:left w:val="single" w:sz="4" w:space="0" w:color="auto"/>
              <w:bottom w:val="single" w:sz="4" w:space="0" w:color="auto"/>
              <w:right w:val="single" w:sz="4" w:space="0" w:color="auto"/>
            </w:tcBorders>
            <w:vAlign w:val="bottom"/>
            <w:hideMark/>
          </w:tcPr>
          <w:p w14:paraId="00D612B6"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95,173</w:t>
            </w:r>
          </w:p>
        </w:tc>
      </w:tr>
      <w:tr w:rsidR="00FD315F" w:rsidRPr="00585DBF" w14:paraId="0DC8FE98" w14:textId="77777777" w:rsidTr="00CD7D4D">
        <w:tc>
          <w:tcPr>
            <w:tcW w:w="1129" w:type="dxa"/>
            <w:tcBorders>
              <w:top w:val="single" w:sz="4" w:space="0" w:color="auto"/>
              <w:left w:val="single" w:sz="4" w:space="0" w:color="auto"/>
              <w:bottom w:val="single" w:sz="4" w:space="0" w:color="auto"/>
              <w:right w:val="single" w:sz="4" w:space="0" w:color="auto"/>
            </w:tcBorders>
            <w:hideMark/>
          </w:tcPr>
          <w:p w14:paraId="086D765D"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2020</w:t>
            </w:r>
          </w:p>
        </w:tc>
        <w:tc>
          <w:tcPr>
            <w:tcW w:w="2552" w:type="dxa"/>
            <w:tcBorders>
              <w:top w:val="single" w:sz="4" w:space="0" w:color="auto"/>
              <w:left w:val="single" w:sz="4" w:space="0" w:color="auto"/>
              <w:bottom w:val="single" w:sz="4" w:space="0" w:color="auto"/>
              <w:right w:val="single" w:sz="4" w:space="0" w:color="auto"/>
            </w:tcBorders>
            <w:hideMark/>
          </w:tcPr>
          <w:p w14:paraId="6A62742F"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1</w:t>
            </w:r>
          </w:p>
        </w:tc>
        <w:tc>
          <w:tcPr>
            <w:tcW w:w="2693" w:type="dxa"/>
            <w:tcBorders>
              <w:top w:val="single" w:sz="4" w:space="0" w:color="auto"/>
              <w:left w:val="single" w:sz="4" w:space="0" w:color="auto"/>
              <w:bottom w:val="single" w:sz="4" w:space="0" w:color="auto"/>
              <w:right w:val="single" w:sz="4" w:space="0" w:color="auto"/>
            </w:tcBorders>
            <w:hideMark/>
          </w:tcPr>
          <w:p w14:paraId="5E101F94"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0</w:t>
            </w:r>
          </w:p>
        </w:tc>
        <w:tc>
          <w:tcPr>
            <w:tcW w:w="3260" w:type="dxa"/>
            <w:tcBorders>
              <w:top w:val="single" w:sz="4" w:space="0" w:color="auto"/>
              <w:left w:val="single" w:sz="4" w:space="0" w:color="auto"/>
              <w:bottom w:val="single" w:sz="4" w:space="0" w:color="auto"/>
              <w:right w:val="single" w:sz="4" w:space="0" w:color="auto"/>
            </w:tcBorders>
            <w:hideMark/>
          </w:tcPr>
          <w:p w14:paraId="2B985386"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0</w:t>
            </w:r>
          </w:p>
        </w:tc>
      </w:tr>
      <w:tr w:rsidR="00FD315F" w:rsidRPr="00585DBF" w14:paraId="15C5DD87" w14:textId="77777777" w:rsidTr="00CD7D4D">
        <w:tc>
          <w:tcPr>
            <w:tcW w:w="1129" w:type="dxa"/>
            <w:tcBorders>
              <w:top w:val="single" w:sz="4" w:space="0" w:color="auto"/>
              <w:left w:val="single" w:sz="4" w:space="0" w:color="auto"/>
              <w:bottom w:val="single" w:sz="4" w:space="0" w:color="auto"/>
              <w:right w:val="single" w:sz="4" w:space="0" w:color="auto"/>
            </w:tcBorders>
            <w:hideMark/>
          </w:tcPr>
          <w:p w14:paraId="72DBC88F"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2021</w:t>
            </w:r>
          </w:p>
        </w:tc>
        <w:tc>
          <w:tcPr>
            <w:tcW w:w="2552" w:type="dxa"/>
            <w:tcBorders>
              <w:top w:val="single" w:sz="4" w:space="0" w:color="auto"/>
              <w:left w:val="single" w:sz="4" w:space="0" w:color="auto"/>
              <w:bottom w:val="single" w:sz="4" w:space="0" w:color="auto"/>
              <w:right w:val="single" w:sz="4" w:space="0" w:color="auto"/>
            </w:tcBorders>
            <w:hideMark/>
          </w:tcPr>
          <w:p w14:paraId="74AA10C1"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1</w:t>
            </w:r>
          </w:p>
        </w:tc>
        <w:tc>
          <w:tcPr>
            <w:tcW w:w="2693" w:type="dxa"/>
            <w:tcBorders>
              <w:top w:val="single" w:sz="4" w:space="0" w:color="auto"/>
              <w:left w:val="single" w:sz="4" w:space="0" w:color="auto"/>
              <w:bottom w:val="single" w:sz="4" w:space="0" w:color="auto"/>
              <w:right w:val="single" w:sz="4" w:space="0" w:color="auto"/>
            </w:tcBorders>
            <w:hideMark/>
          </w:tcPr>
          <w:p w14:paraId="3B51B13A"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1</w:t>
            </w:r>
          </w:p>
        </w:tc>
        <w:tc>
          <w:tcPr>
            <w:tcW w:w="3260" w:type="dxa"/>
            <w:tcBorders>
              <w:top w:val="single" w:sz="4" w:space="0" w:color="auto"/>
              <w:left w:val="single" w:sz="4" w:space="0" w:color="auto"/>
              <w:bottom w:val="single" w:sz="4" w:space="0" w:color="auto"/>
              <w:right w:val="single" w:sz="4" w:space="0" w:color="auto"/>
            </w:tcBorders>
            <w:hideMark/>
          </w:tcPr>
          <w:p w14:paraId="4808D450"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10,800</w:t>
            </w:r>
          </w:p>
        </w:tc>
      </w:tr>
      <w:tr w:rsidR="00FD315F" w:rsidRPr="00585DBF" w14:paraId="28466696" w14:textId="77777777" w:rsidTr="00CD7D4D">
        <w:trPr>
          <w:trHeight w:val="58"/>
        </w:trPr>
        <w:tc>
          <w:tcPr>
            <w:tcW w:w="1129" w:type="dxa"/>
            <w:tcBorders>
              <w:top w:val="single" w:sz="4" w:space="0" w:color="auto"/>
              <w:left w:val="single" w:sz="4" w:space="0" w:color="auto"/>
              <w:bottom w:val="single" w:sz="4" w:space="0" w:color="auto"/>
              <w:right w:val="single" w:sz="4" w:space="0" w:color="auto"/>
            </w:tcBorders>
            <w:hideMark/>
          </w:tcPr>
          <w:p w14:paraId="62D03D10"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2022</w:t>
            </w:r>
          </w:p>
        </w:tc>
        <w:tc>
          <w:tcPr>
            <w:tcW w:w="2552" w:type="dxa"/>
            <w:tcBorders>
              <w:top w:val="single" w:sz="4" w:space="0" w:color="auto"/>
              <w:left w:val="single" w:sz="4" w:space="0" w:color="auto"/>
              <w:bottom w:val="single" w:sz="4" w:space="0" w:color="auto"/>
              <w:right w:val="single" w:sz="4" w:space="0" w:color="auto"/>
            </w:tcBorders>
            <w:hideMark/>
          </w:tcPr>
          <w:p w14:paraId="69C3716A"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26</w:t>
            </w:r>
          </w:p>
        </w:tc>
        <w:tc>
          <w:tcPr>
            <w:tcW w:w="2693" w:type="dxa"/>
            <w:tcBorders>
              <w:top w:val="single" w:sz="4" w:space="0" w:color="auto"/>
              <w:left w:val="single" w:sz="4" w:space="0" w:color="auto"/>
              <w:bottom w:val="single" w:sz="4" w:space="0" w:color="auto"/>
              <w:right w:val="single" w:sz="4" w:space="0" w:color="auto"/>
            </w:tcBorders>
            <w:hideMark/>
          </w:tcPr>
          <w:p w14:paraId="09E2F136"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23</w:t>
            </w:r>
          </w:p>
        </w:tc>
        <w:tc>
          <w:tcPr>
            <w:tcW w:w="3260" w:type="dxa"/>
            <w:tcBorders>
              <w:top w:val="single" w:sz="4" w:space="0" w:color="auto"/>
              <w:left w:val="single" w:sz="4" w:space="0" w:color="auto"/>
              <w:bottom w:val="single" w:sz="4" w:space="0" w:color="auto"/>
              <w:right w:val="single" w:sz="4" w:space="0" w:color="auto"/>
            </w:tcBorders>
            <w:vAlign w:val="bottom"/>
            <w:hideMark/>
          </w:tcPr>
          <w:p w14:paraId="624C6833"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196,000</w:t>
            </w:r>
          </w:p>
        </w:tc>
      </w:tr>
      <w:tr w:rsidR="00FD315F" w:rsidRPr="00585DBF" w14:paraId="0FC083E0" w14:textId="77777777" w:rsidTr="00CD7D4D">
        <w:tc>
          <w:tcPr>
            <w:tcW w:w="1129" w:type="dxa"/>
            <w:tcBorders>
              <w:top w:val="single" w:sz="4" w:space="0" w:color="auto"/>
              <w:left w:val="single" w:sz="4" w:space="0" w:color="auto"/>
              <w:bottom w:val="single" w:sz="4" w:space="0" w:color="auto"/>
              <w:right w:val="single" w:sz="4" w:space="0" w:color="auto"/>
            </w:tcBorders>
            <w:hideMark/>
          </w:tcPr>
          <w:p w14:paraId="2FDA5E36"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2023</w:t>
            </w:r>
          </w:p>
        </w:tc>
        <w:tc>
          <w:tcPr>
            <w:tcW w:w="2552" w:type="dxa"/>
            <w:tcBorders>
              <w:top w:val="single" w:sz="4" w:space="0" w:color="auto"/>
              <w:left w:val="single" w:sz="4" w:space="0" w:color="auto"/>
              <w:bottom w:val="single" w:sz="4" w:space="0" w:color="auto"/>
              <w:right w:val="single" w:sz="4" w:space="0" w:color="auto"/>
            </w:tcBorders>
            <w:hideMark/>
          </w:tcPr>
          <w:p w14:paraId="675D0FA9"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2</w:t>
            </w:r>
          </w:p>
        </w:tc>
        <w:tc>
          <w:tcPr>
            <w:tcW w:w="2693" w:type="dxa"/>
            <w:tcBorders>
              <w:top w:val="single" w:sz="4" w:space="0" w:color="auto"/>
              <w:left w:val="single" w:sz="4" w:space="0" w:color="auto"/>
              <w:bottom w:val="single" w:sz="4" w:space="0" w:color="auto"/>
              <w:right w:val="single" w:sz="4" w:space="0" w:color="auto"/>
            </w:tcBorders>
            <w:hideMark/>
          </w:tcPr>
          <w:p w14:paraId="782EC29F"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0</w:t>
            </w:r>
          </w:p>
        </w:tc>
        <w:tc>
          <w:tcPr>
            <w:tcW w:w="3260" w:type="dxa"/>
            <w:tcBorders>
              <w:top w:val="single" w:sz="4" w:space="0" w:color="auto"/>
              <w:left w:val="single" w:sz="4" w:space="0" w:color="auto"/>
              <w:bottom w:val="single" w:sz="4" w:space="0" w:color="auto"/>
              <w:right w:val="single" w:sz="4" w:space="0" w:color="auto"/>
            </w:tcBorders>
            <w:hideMark/>
          </w:tcPr>
          <w:p w14:paraId="34ED541C"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0</w:t>
            </w:r>
          </w:p>
        </w:tc>
      </w:tr>
      <w:tr w:rsidR="00FD315F" w:rsidRPr="00585DBF" w14:paraId="30B724F1" w14:textId="77777777" w:rsidTr="00CD7D4D">
        <w:trPr>
          <w:trHeight w:val="266"/>
        </w:trPr>
        <w:tc>
          <w:tcPr>
            <w:tcW w:w="1129" w:type="dxa"/>
            <w:tcBorders>
              <w:top w:val="single" w:sz="4" w:space="0" w:color="auto"/>
              <w:left w:val="single" w:sz="4" w:space="0" w:color="auto"/>
              <w:bottom w:val="single" w:sz="4" w:space="0" w:color="auto"/>
              <w:right w:val="single" w:sz="4" w:space="0" w:color="auto"/>
            </w:tcBorders>
            <w:hideMark/>
          </w:tcPr>
          <w:p w14:paraId="678FE9B6"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2024</w:t>
            </w:r>
          </w:p>
        </w:tc>
        <w:tc>
          <w:tcPr>
            <w:tcW w:w="2552" w:type="dxa"/>
            <w:tcBorders>
              <w:top w:val="single" w:sz="4" w:space="0" w:color="auto"/>
              <w:left w:val="single" w:sz="4" w:space="0" w:color="auto"/>
              <w:bottom w:val="single" w:sz="4" w:space="0" w:color="auto"/>
              <w:right w:val="single" w:sz="4" w:space="0" w:color="auto"/>
            </w:tcBorders>
            <w:hideMark/>
          </w:tcPr>
          <w:p w14:paraId="1705D3F2"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5</w:t>
            </w:r>
          </w:p>
        </w:tc>
        <w:tc>
          <w:tcPr>
            <w:tcW w:w="2693" w:type="dxa"/>
            <w:tcBorders>
              <w:top w:val="single" w:sz="4" w:space="0" w:color="auto"/>
              <w:left w:val="single" w:sz="4" w:space="0" w:color="auto"/>
              <w:bottom w:val="single" w:sz="4" w:space="0" w:color="auto"/>
              <w:right w:val="single" w:sz="4" w:space="0" w:color="auto"/>
            </w:tcBorders>
            <w:hideMark/>
          </w:tcPr>
          <w:p w14:paraId="55A0A2CF"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3</w:t>
            </w:r>
          </w:p>
        </w:tc>
        <w:tc>
          <w:tcPr>
            <w:tcW w:w="3260" w:type="dxa"/>
            <w:tcBorders>
              <w:top w:val="single" w:sz="4" w:space="0" w:color="auto"/>
              <w:left w:val="single" w:sz="4" w:space="0" w:color="auto"/>
              <w:bottom w:val="single" w:sz="4" w:space="0" w:color="auto"/>
              <w:right w:val="single" w:sz="4" w:space="0" w:color="auto"/>
            </w:tcBorders>
            <w:hideMark/>
          </w:tcPr>
          <w:p w14:paraId="0E92CC60"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143,605</w:t>
            </w:r>
          </w:p>
        </w:tc>
      </w:tr>
      <w:tr w:rsidR="00FD315F" w:rsidRPr="00585DBF" w14:paraId="5027B5DA" w14:textId="77777777" w:rsidTr="00CD7D4D">
        <w:tc>
          <w:tcPr>
            <w:tcW w:w="1129" w:type="dxa"/>
            <w:tcBorders>
              <w:top w:val="single" w:sz="4" w:space="0" w:color="auto"/>
              <w:left w:val="single" w:sz="4" w:space="0" w:color="auto"/>
              <w:bottom w:val="single" w:sz="4" w:space="0" w:color="auto"/>
              <w:right w:val="single" w:sz="4" w:space="0" w:color="auto"/>
            </w:tcBorders>
            <w:hideMark/>
          </w:tcPr>
          <w:p w14:paraId="7D10EF83" w14:textId="77777777" w:rsidR="00FD315F" w:rsidRPr="00585DBF" w:rsidRDefault="00FD315F" w:rsidP="006F7BCE">
            <w:pPr>
              <w:jc w:val="center"/>
              <w:rPr>
                <w:rFonts w:ascii="Times New Roman" w:eastAsia="Times New Roman" w:hAnsi="Times New Roman"/>
                <w:b/>
                <w:kern w:val="0"/>
                <w:sz w:val="24"/>
                <w:szCs w:val="24"/>
                <w14:ligatures w14:val="none"/>
              </w:rPr>
            </w:pPr>
            <w:r w:rsidRPr="00585DBF">
              <w:rPr>
                <w:rFonts w:ascii="Times New Roman" w:hAnsi="Times New Roman"/>
                <w:b/>
                <w:sz w:val="24"/>
                <w:szCs w:val="24"/>
              </w:rPr>
              <w:t>2025</w:t>
            </w:r>
          </w:p>
        </w:tc>
        <w:tc>
          <w:tcPr>
            <w:tcW w:w="2552" w:type="dxa"/>
            <w:tcBorders>
              <w:top w:val="single" w:sz="4" w:space="0" w:color="auto"/>
              <w:left w:val="single" w:sz="4" w:space="0" w:color="auto"/>
              <w:bottom w:val="single" w:sz="4" w:space="0" w:color="auto"/>
              <w:right w:val="single" w:sz="4" w:space="0" w:color="auto"/>
            </w:tcBorders>
            <w:hideMark/>
          </w:tcPr>
          <w:p w14:paraId="0DC17D1D"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0</w:t>
            </w:r>
          </w:p>
        </w:tc>
        <w:tc>
          <w:tcPr>
            <w:tcW w:w="2693" w:type="dxa"/>
            <w:tcBorders>
              <w:top w:val="single" w:sz="4" w:space="0" w:color="auto"/>
              <w:left w:val="single" w:sz="4" w:space="0" w:color="auto"/>
              <w:bottom w:val="single" w:sz="4" w:space="0" w:color="auto"/>
              <w:right w:val="single" w:sz="4" w:space="0" w:color="auto"/>
            </w:tcBorders>
            <w:hideMark/>
          </w:tcPr>
          <w:p w14:paraId="52E97336"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0</w:t>
            </w:r>
          </w:p>
        </w:tc>
        <w:tc>
          <w:tcPr>
            <w:tcW w:w="3260" w:type="dxa"/>
            <w:tcBorders>
              <w:top w:val="single" w:sz="4" w:space="0" w:color="auto"/>
              <w:left w:val="single" w:sz="4" w:space="0" w:color="auto"/>
              <w:bottom w:val="single" w:sz="4" w:space="0" w:color="auto"/>
              <w:right w:val="single" w:sz="4" w:space="0" w:color="auto"/>
            </w:tcBorders>
            <w:hideMark/>
          </w:tcPr>
          <w:p w14:paraId="60F5C8DD" w14:textId="77777777" w:rsidR="00FD315F" w:rsidRPr="00585DBF" w:rsidRDefault="00FD315F" w:rsidP="006F7BCE">
            <w:pPr>
              <w:jc w:val="center"/>
              <w:rPr>
                <w:rFonts w:ascii="Times New Roman" w:eastAsia="Times New Roman" w:hAnsi="Times New Roman"/>
                <w:bCs/>
                <w:kern w:val="0"/>
                <w:sz w:val="24"/>
                <w:szCs w:val="24"/>
                <w14:ligatures w14:val="none"/>
              </w:rPr>
            </w:pPr>
            <w:r w:rsidRPr="00585DBF">
              <w:rPr>
                <w:rFonts w:ascii="Times New Roman" w:hAnsi="Times New Roman"/>
                <w:sz w:val="24"/>
                <w:szCs w:val="24"/>
              </w:rPr>
              <w:t>0</w:t>
            </w:r>
          </w:p>
        </w:tc>
      </w:tr>
    </w:tbl>
    <w:p w14:paraId="1E7857CB" w14:textId="77777777" w:rsidR="00FD315F" w:rsidRPr="00585DBF" w:rsidRDefault="00FD315F" w:rsidP="00FD315F">
      <w:pPr>
        <w:pStyle w:val="NoSpacing"/>
        <w:rPr>
          <w:lang w:val="en-GB"/>
        </w:rPr>
      </w:pPr>
    </w:p>
    <w:p w14:paraId="09CCDA4B" w14:textId="77777777" w:rsidR="00FD315F" w:rsidRPr="00585DBF" w:rsidRDefault="00FD315F" w:rsidP="00FD315F">
      <w:pPr>
        <w:pStyle w:val="NoSpacing"/>
        <w:rPr>
          <w:rFonts w:eastAsia="Calibri"/>
          <w:b/>
          <w:bCs/>
          <w:sz w:val="28"/>
          <w:szCs w:val="28"/>
          <w:lang w:val="en-GB"/>
        </w:rPr>
      </w:pPr>
      <w:r w:rsidRPr="00585DBF">
        <w:rPr>
          <w:rFonts w:eastAsia="Aptos"/>
          <w:b/>
          <w:bCs/>
          <w:sz w:val="28"/>
          <w:szCs w:val="28"/>
          <w:lang w:val="en-GB"/>
        </w:rPr>
        <w:t>Articles 15</w:t>
      </w:r>
    </w:p>
    <w:p w14:paraId="12DF3708" w14:textId="77777777" w:rsidR="00FD315F" w:rsidRPr="00585DBF" w:rsidRDefault="00FD315F" w:rsidP="00FD315F">
      <w:pPr>
        <w:pStyle w:val="NoSpacing"/>
        <w:rPr>
          <w:lang w:val="en-GB"/>
        </w:rPr>
      </w:pPr>
    </w:p>
    <w:p w14:paraId="184EE1D6" w14:textId="77777777" w:rsidR="00FD315F" w:rsidRPr="00585DBF" w:rsidRDefault="00FD315F" w:rsidP="00FD315F">
      <w:pPr>
        <w:rPr>
          <w:rFonts w:ascii="Times New Roman" w:hAnsi="Times New Roman" w:cs="Times New Roman"/>
          <w:b/>
          <w:bCs/>
          <w:sz w:val="24"/>
          <w:szCs w:val="24"/>
          <w:lang w:val="en-GB"/>
        </w:rPr>
      </w:pPr>
      <w:r w:rsidRPr="00585DBF">
        <w:rPr>
          <w:rFonts w:ascii="Times New Roman" w:hAnsi="Times New Roman" w:cs="Times New Roman"/>
          <w:b/>
          <w:bCs/>
          <w:sz w:val="24"/>
          <w:szCs w:val="24"/>
          <w:lang w:val="en-GB"/>
        </w:rPr>
        <w:t xml:space="preserve">Paragraph 27 of the </w:t>
      </w:r>
      <w:r w:rsidRPr="00585DBF">
        <w:rPr>
          <w:rFonts w:ascii="Times New Roman" w:eastAsia="Times New Roman" w:hAnsi="Times New Roman" w:cs="Times New Roman"/>
          <w:b/>
          <w:kern w:val="0"/>
          <w:sz w:val="24"/>
          <w:szCs w:val="24"/>
          <w:lang w:val="en-GB" w:eastAsia="lt-LT"/>
          <w14:ligatures w14:val="none"/>
        </w:rPr>
        <w:t>LoIPR</w:t>
      </w:r>
    </w:p>
    <w:p w14:paraId="253A7D80" w14:textId="1FFC7C09"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Lithuanian courts strictly adhere to the rules of evidence established in the CCP: only the data obtained lawfully and verified by established procedural actions is admissible as evidence; unlawfully obtained data, the data obtained through physical or psychological pressure or other prohibited conduct, in violation of the right to defence, through compulsion or the violation of the right to remain silent, is inadmissible and excluded from the case-file; court decisions concerning a person's guilt may not be based on such evidence. Furthermore, in the recent years, </w:t>
      </w:r>
      <w:r w:rsidR="00613C41" w:rsidRPr="00585DBF">
        <w:rPr>
          <w:rFonts w:ascii="Times New Roman" w:eastAsia="Aptos" w:hAnsi="Times New Roman" w:cs="Times New Roman"/>
          <w:sz w:val="24"/>
          <w:szCs w:val="24"/>
          <w:lang w:val="en-GB"/>
        </w:rPr>
        <w:t>Lithuanian</w:t>
      </w:r>
      <w:r w:rsidRPr="00585DBF">
        <w:rPr>
          <w:rFonts w:ascii="Times New Roman" w:eastAsia="Aptos" w:hAnsi="Times New Roman" w:cs="Times New Roman"/>
          <w:sz w:val="24"/>
          <w:szCs w:val="24"/>
          <w:lang w:val="en-GB"/>
        </w:rPr>
        <w:t xml:space="preserve"> Supreme Court has clearly stated in its case law that “informal questioning” by law enforcement officers, provocation and other means of pressure are considered inadmissible, and the data obtained on their basis is not recognised as evidence in criminal cases.</w:t>
      </w:r>
    </w:p>
    <w:p w14:paraId="4FED582A" w14:textId="77777777" w:rsidR="00FD315F" w:rsidRPr="00585DBF" w:rsidRDefault="00FD315F" w:rsidP="00FD315F">
      <w:pPr>
        <w:spacing w:after="0" w:line="240" w:lineRule="auto"/>
        <w:jc w:val="both"/>
        <w:rPr>
          <w:rFonts w:ascii="Times New Roman" w:eastAsia="Aptos" w:hAnsi="Times New Roman" w:cs="Times New Roman"/>
          <w:sz w:val="24"/>
          <w:szCs w:val="24"/>
          <w:lang w:val="en-GB"/>
        </w:rPr>
      </w:pPr>
    </w:p>
    <w:p w14:paraId="6A6DC9EB" w14:textId="306013BE" w:rsidR="00FD315F" w:rsidRPr="00F73F17" w:rsidRDefault="00FD315F" w:rsidP="00F73F17">
      <w:pPr>
        <w:spacing w:after="0" w:line="240" w:lineRule="auto"/>
        <w:jc w:val="both"/>
        <w:rPr>
          <w:rFonts w:ascii="Times New Roman" w:eastAsia="Aptos" w:hAnsi="Times New Roman" w:cs="Times New Roman"/>
          <w:sz w:val="24"/>
          <w:szCs w:val="24"/>
          <w:lang w:val="en-GB"/>
        </w:rPr>
      </w:pPr>
      <w:r w:rsidRPr="00585DBF">
        <w:rPr>
          <w:rFonts w:ascii="Times New Roman" w:eastAsia="Aptos" w:hAnsi="Times New Roman" w:cs="Times New Roman"/>
          <w:sz w:val="24"/>
          <w:szCs w:val="24"/>
          <w:lang w:val="en-GB"/>
        </w:rPr>
        <w:t>In order to ensure the lawfulness of criminal proceedings, the prosecutor's office continuously reviews the admissibility of data obtained during proceedings. In performing this function, final acquittals and other decisions taken during the proceedings are continuously monitored and analysed. In addition, when making each procedural decision, prosecutors also verify the lawfulness of the evidence collected and any doubts about unlawful conduct are immediately investigated and examined separately, and unlawfully obtained evidence is excluded.</w:t>
      </w:r>
    </w:p>
    <w:p w14:paraId="673510B7" w14:textId="77777777" w:rsidR="00585DBF" w:rsidRPr="00585DBF" w:rsidRDefault="00585DBF" w:rsidP="00FD315F">
      <w:pPr>
        <w:pStyle w:val="NoSpacing"/>
        <w:rPr>
          <w:lang w:val="en-GB"/>
        </w:rPr>
      </w:pPr>
    </w:p>
    <w:p w14:paraId="10E8262C" w14:textId="77777777" w:rsidR="00FD315F" w:rsidRPr="00585DBF" w:rsidRDefault="00FD315F" w:rsidP="00FD315F">
      <w:pPr>
        <w:spacing w:after="0" w:line="240" w:lineRule="auto"/>
        <w:jc w:val="both"/>
        <w:rPr>
          <w:rFonts w:ascii="Times New Roman" w:eastAsia="Aptos" w:hAnsi="Times New Roman" w:cs="Times New Roman"/>
          <w:b/>
          <w:sz w:val="28"/>
          <w:szCs w:val="28"/>
          <w:lang w:val="en-GB"/>
        </w:rPr>
      </w:pPr>
      <w:r w:rsidRPr="00585DBF">
        <w:rPr>
          <w:rFonts w:ascii="Times New Roman" w:eastAsia="Aptos" w:hAnsi="Times New Roman" w:cs="Times New Roman"/>
          <w:b/>
          <w:sz w:val="28"/>
          <w:szCs w:val="28"/>
          <w:lang w:val="en-GB"/>
        </w:rPr>
        <w:t>Article 16</w:t>
      </w:r>
    </w:p>
    <w:p w14:paraId="350D2BBE" w14:textId="77777777" w:rsidR="00FD315F" w:rsidRPr="00585DBF" w:rsidRDefault="00FD315F" w:rsidP="00FD315F">
      <w:pPr>
        <w:spacing w:after="0" w:line="240" w:lineRule="auto"/>
        <w:jc w:val="both"/>
        <w:rPr>
          <w:rFonts w:ascii="Times New Roman" w:eastAsia="Aptos" w:hAnsi="Times New Roman" w:cs="Times New Roman"/>
          <w:b/>
          <w:sz w:val="24"/>
          <w:szCs w:val="24"/>
          <w:lang w:val="en-GB"/>
        </w:rPr>
      </w:pPr>
    </w:p>
    <w:p w14:paraId="5553F5FC" w14:textId="77777777" w:rsidR="00FD315F" w:rsidRPr="00585DBF" w:rsidRDefault="00FD315F" w:rsidP="00FD315F">
      <w:pPr>
        <w:rPr>
          <w:rFonts w:ascii="Times New Roman" w:hAnsi="Times New Roman" w:cs="Times New Roman"/>
          <w:b/>
          <w:bCs/>
          <w:sz w:val="24"/>
          <w:szCs w:val="24"/>
          <w:lang w:val="en-GB"/>
        </w:rPr>
      </w:pPr>
      <w:r w:rsidRPr="00585DBF">
        <w:rPr>
          <w:rFonts w:ascii="Times New Roman" w:hAnsi="Times New Roman" w:cs="Times New Roman"/>
          <w:b/>
          <w:bCs/>
          <w:sz w:val="24"/>
          <w:szCs w:val="24"/>
          <w:lang w:val="en-GB"/>
        </w:rPr>
        <w:t xml:space="preserve">Paragraph 28 of the </w:t>
      </w:r>
      <w:r w:rsidRPr="00585DBF">
        <w:rPr>
          <w:rFonts w:ascii="Times New Roman" w:eastAsia="Times New Roman" w:hAnsi="Times New Roman" w:cs="Times New Roman"/>
          <w:b/>
          <w:kern w:val="0"/>
          <w:sz w:val="24"/>
          <w:szCs w:val="24"/>
          <w:lang w:val="en-GB" w:eastAsia="lt-LT"/>
          <w14:ligatures w14:val="none"/>
        </w:rPr>
        <w:t>LoIPR</w:t>
      </w:r>
    </w:p>
    <w:p w14:paraId="111095D9" w14:textId="5CD2B761"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14:ligatures w14:val="none"/>
        </w:rPr>
      </w:pPr>
      <w:r w:rsidRPr="00585DBF">
        <w:rPr>
          <w:rFonts w:ascii="Times New Roman" w:eastAsia="Aptos" w:hAnsi="Times New Roman" w:cs="Times New Roman"/>
          <w:sz w:val="24"/>
          <w:szCs w:val="24"/>
          <w:lang w:val="en-GB"/>
        </w:rPr>
        <w:t xml:space="preserve">In order to increase the effectiveness of the fight against hate crimes and hate speech in Lithuania, in 2020 a special inter-institutional working group was set up, consisting of representatives of law enforcement institutions, non-governmental organisations representing vulnerable groups and national minorities, the media and other human rights organisations. Its main objective is to promote </w:t>
      </w:r>
      <w:r w:rsidRPr="00585DBF">
        <w:rPr>
          <w:rFonts w:ascii="Times New Roman" w:eastAsia="Aptos" w:hAnsi="Times New Roman" w:cs="Times New Roman"/>
          <w:sz w:val="24"/>
          <w:szCs w:val="24"/>
          <w:lang w:val="en-GB"/>
        </w:rPr>
        <w:lastRenderedPageBreak/>
        <w:t xml:space="preserve">an effective response to hate crimes and hate speech. In 2025, the </w:t>
      </w:r>
      <w:r w:rsidR="00734A99" w:rsidRPr="00585DBF">
        <w:rPr>
          <w:rFonts w:ascii="Times New Roman" w:eastAsia="Aptos" w:hAnsi="Times New Roman" w:cs="Times New Roman"/>
          <w:sz w:val="24"/>
          <w:szCs w:val="24"/>
          <w:lang w:val="en-GB"/>
        </w:rPr>
        <w:t xml:space="preserve">Lithuanian </w:t>
      </w:r>
      <w:r w:rsidRPr="00585DBF">
        <w:rPr>
          <w:rFonts w:ascii="Times New Roman" w:eastAsia="Aptos" w:hAnsi="Times New Roman" w:cs="Times New Roman"/>
          <w:sz w:val="24"/>
          <w:szCs w:val="24"/>
          <w:lang w:val="en-GB"/>
        </w:rPr>
        <w:t xml:space="preserve">Government also </w:t>
      </w:r>
      <w:r w:rsidR="00734A99" w:rsidRPr="00585DBF">
        <w:rPr>
          <w:rFonts w:ascii="Times New Roman" w:eastAsia="Aptos" w:hAnsi="Times New Roman" w:cs="Times New Roman"/>
          <w:sz w:val="24"/>
          <w:szCs w:val="24"/>
          <w:lang w:val="en-GB"/>
        </w:rPr>
        <w:t>established</w:t>
      </w:r>
      <w:r w:rsidRPr="00585DBF">
        <w:rPr>
          <w:rFonts w:ascii="Times New Roman" w:eastAsia="Aptos" w:hAnsi="Times New Roman" w:cs="Times New Roman"/>
          <w:sz w:val="24"/>
          <w:szCs w:val="24"/>
          <w:lang w:val="en-GB"/>
        </w:rPr>
        <w:t xml:space="preserve"> a working group tasked with developing an action plan to combat anti-Semitism and strengthen the Jewish community. </w:t>
      </w:r>
    </w:p>
    <w:p w14:paraId="44515C61"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0051D813"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In 2024, 13 state institutions and agencies and 6 NGOs (19 organisations in total) signed a Memorandum on Strengthening the Response to Hate Speech and Hate Crimes. </w:t>
      </w:r>
      <w:r w:rsidRPr="00585DBF">
        <w:rPr>
          <w:rFonts w:ascii="Times New Roman" w:eastAsia="Aptos" w:hAnsi="Times New Roman" w:cs="Times New Roman"/>
          <w:color w:val="000000" w:themeColor="text1"/>
          <w:sz w:val="24"/>
          <w:szCs w:val="24"/>
          <w:lang w:val="en-GB"/>
        </w:rPr>
        <w:t>The Memorandum aims to ensure a coordinated, comprehensive and effective response by state institutions, agencies and NGOs to hate crimes and hate speech in Lithuania. The Memorandum defines the role of each of the competent authorities and provides for annual meetings of the Memorandum participants to discuss the progress and issues of implementation of the Memorandum.</w:t>
      </w:r>
      <w:r w:rsidRPr="00585DBF">
        <w:rPr>
          <w:rFonts w:ascii="Times New Roman" w:eastAsia="Aptos" w:hAnsi="Times New Roman" w:cs="Times New Roman"/>
          <w:sz w:val="24"/>
          <w:szCs w:val="24"/>
          <w:lang w:val="en-GB"/>
        </w:rPr>
        <w:t xml:space="preserve"> </w:t>
      </w:r>
    </w:p>
    <w:p w14:paraId="5EDAF46B"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10DF8A76"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2021, the Lithuanian police established the positions of “Virtual Patrol” dedicated to preventive activities in cyberspace. One of the main functions of these officers is to identify unlawful or harmful content on the internet and refer it for investigation to the relevant departments. The virtual patrol also writes public preventive comments concerning incitement to hatred, warns internet users about potential criminal liability. The virtual patrol recorded and referred to other police units for the clarification of circumstances / investigation of offences 55 posts online related to the incitement to hatred in 2022, 73 in 2023, 111 in 2024, and 63 in the first half of 2025.</w:t>
      </w:r>
    </w:p>
    <w:p w14:paraId="6ACF8DB5"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377C457A"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Eight persons were convicted of hate crimes in 2021, 44 in 2022, 17 in 2023, and 14 in 2024. Most have been convicted for public ridicule and incitement to hatred (33 persons) and for public incitement to violence, physical abuse of any national, racial, ethnic, religious or other group of persons or individuals (22 individuals).</w:t>
      </w:r>
    </w:p>
    <w:p w14:paraId="35822260"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5C6D9A89"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2020, a project was completed with the aim of developing effective measures and practices to prevent racism, xenophobia and other forms of intolerance, with a particular focus on the fight against hate crimes and hate speech. The project activities included the analysis of cases of application of criminal liability for hate crimes and hate speech and the preparation of recommendations for police officers, prosecutors and judges, as well as the training of police officers, prosecutors and judges, encouragement to report hate crimes, strengthening the relations between the police and vulnerable communities. During the project, 17 joint training sessions were held for judges, prosecutors and other law enforcement officials on the identification of hate crimes and hate speech, the application of criminal liability and the protection of the rights of their victims (132 police officers, 109 prosecutors and 76 judges participated).</w:t>
      </w:r>
    </w:p>
    <w:p w14:paraId="73CE558E" w14:textId="77777777" w:rsidR="00FD315F" w:rsidRPr="00585DBF" w:rsidRDefault="00FD315F" w:rsidP="00FD315F">
      <w:pPr>
        <w:spacing w:after="0" w:line="240" w:lineRule="auto"/>
        <w:jc w:val="both"/>
        <w:rPr>
          <w:rFonts w:ascii="Times New Roman" w:eastAsia="Aptos" w:hAnsi="Times New Roman" w:cs="Times New Roman"/>
          <w:kern w:val="0"/>
          <w:sz w:val="24"/>
          <w:szCs w:val="24"/>
          <w:lang w:val="en-GB"/>
          <w14:ligatures w14:val="none"/>
        </w:rPr>
      </w:pPr>
    </w:p>
    <w:p w14:paraId="4DB515FB"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In 2020, a practical guide “Cooperation with Communities Vulnerable to Hate Crimes” for law enforcement officers was developed. The Guide provides information helping better identify hate crimes: describes the historical context, demographics and cultural characteristics of the most vulnerable communities, including Jewish, Roma and Muslim communities, as well as the nature of their vulnerability. Recommendations are also provided how to establish and maintain relationships with communities.</w:t>
      </w:r>
    </w:p>
    <w:p w14:paraId="37191F84" w14:textId="77777777" w:rsidR="00FD315F" w:rsidRPr="00585DBF" w:rsidRDefault="00FD315F" w:rsidP="00FD315F">
      <w:pPr>
        <w:spacing w:after="0" w:line="240" w:lineRule="auto"/>
        <w:rPr>
          <w:rFonts w:ascii="Times New Roman" w:eastAsia="Times New Roman" w:hAnsi="Times New Roman" w:cs="Times New Roman"/>
          <w:kern w:val="0"/>
          <w:sz w:val="24"/>
          <w:szCs w:val="24"/>
          <w:lang w:val="en-GB" w:eastAsia="lt-LT"/>
          <w14:ligatures w14:val="none"/>
        </w:rPr>
      </w:pPr>
    </w:p>
    <w:p w14:paraId="59DAE2EB" w14:textId="31CE2971"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 xml:space="preserve">Prosecutors and their assistants also participated in various initiatives and training courses organised by Lithuanian and international organisations on the topics of hate crimes and hate speech: </w:t>
      </w:r>
      <w:bookmarkStart w:id="44" w:name="_Hlk208505679"/>
      <w:r w:rsidRPr="00585DBF">
        <w:rPr>
          <w:rFonts w:ascii="Times New Roman" w:eastAsia="Aptos" w:hAnsi="Times New Roman" w:cs="Times New Roman"/>
          <w:sz w:val="24"/>
          <w:szCs w:val="24"/>
          <w:lang w:val="en-GB"/>
        </w:rPr>
        <w:t>8 events</w:t>
      </w:r>
      <w:r w:rsidR="002351E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100 participants in 2021; 4 events</w:t>
      </w:r>
      <w:r w:rsidR="002351E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5 participants in 2022; 3 events</w:t>
      </w:r>
      <w:r w:rsidR="002351E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7 participants in 2023; 6 events</w:t>
      </w:r>
      <w:r w:rsidR="002351E2" w:rsidRPr="00585DBF">
        <w:rPr>
          <w:rFonts w:ascii="Times New Roman" w:eastAsia="Aptos" w:hAnsi="Times New Roman" w:cs="Times New Roman"/>
          <w:sz w:val="24"/>
          <w:szCs w:val="24"/>
          <w:lang w:val="en-GB"/>
        </w:rPr>
        <w:t>/</w:t>
      </w:r>
      <w:r w:rsidRPr="00585DBF">
        <w:rPr>
          <w:rFonts w:ascii="Times New Roman" w:eastAsia="Aptos" w:hAnsi="Times New Roman" w:cs="Times New Roman"/>
          <w:sz w:val="24"/>
          <w:szCs w:val="24"/>
          <w:lang w:val="en-GB"/>
        </w:rPr>
        <w:t>70 participants in 2024.</w:t>
      </w:r>
    </w:p>
    <w:bookmarkEnd w:id="44"/>
    <w:p w14:paraId="5F0F767F" w14:textId="77777777" w:rsidR="00FD315F" w:rsidRPr="00585DBF" w:rsidRDefault="00FD315F" w:rsidP="3240BACF">
      <w:pPr>
        <w:spacing w:after="0" w:line="240" w:lineRule="auto"/>
        <w:jc w:val="both"/>
        <w:rPr>
          <w:rFonts w:ascii="Times New Roman" w:eastAsia="Times New Roman" w:hAnsi="Times New Roman" w:cs="Times New Roman"/>
          <w:kern w:val="0"/>
          <w:sz w:val="24"/>
          <w:szCs w:val="24"/>
          <w:lang w:val="en-GB" w:eastAsia="lt-LT"/>
          <w14:ligatures w14:val="none"/>
        </w:rPr>
      </w:pPr>
    </w:p>
    <w:p w14:paraId="3D3DB4F8" w14:textId="458EC55B" w:rsidR="1B563EC5" w:rsidRPr="00585DBF" w:rsidRDefault="1B563EC5" w:rsidP="3240BACF">
      <w:pPr>
        <w:spacing w:after="0" w:line="240" w:lineRule="auto"/>
        <w:jc w:val="both"/>
        <w:rPr>
          <w:lang w:val="en-GB"/>
        </w:rPr>
      </w:pPr>
      <w:r w:rsidRPr="00585DBF">
        <w:rPr>
          <w:rFonts w:ascii="Times New Roman" w:eastAsia="Times New Roman" w:hAnsi="Times New Roman" w:cs="Times New Roman"/>
          <w:sz w:val="24"/>
          <w:szCs w:val="24"/>
          <w:lang w:val="en-GB"/>
        </w:rPr>
        <w:t>In 2023, new Methodological Recommendations for the Pre-Trial Investigation of Hate Crimes and Hate Speech were approved and are now applied in practice. Hate crimes and hate speech can be reported to the police or the prosecutor’s office. The prosecutor’s office has created a dedicated webpage providing essential information for victims and investigators, including guidance on reporting procedures, victims’ rights, assessment of special protection needs, access to State-</w:t>
      </w:r>
      <w:r w:rsidRPr="00585DBF">
        <w:rPr>
          <w:rFonts w:ascii="Times New Roman" w:eastAsia="Times New Roman" w:hAnsi="Times New Roman" w:cs="Times New Roman"/>
          <w:sz w:val="24"/>
          <w:szCs w:val="24"/>
          <w:lang w:val="en-GB"/>
        </w:rPr>
        <w:lastRenderedPageBreak/>
        <w:t>guaranteed legal aid, NGOs offering support, video testimonies of victims, methodological guidance for conducting pre-trial investigations, and the alternative reporting platform “Report Hate Crimes”. Data on initiated pre-trial investigations and cases referred to court are provided in Annex No. 4.</w:t>
      </w:r>
    </w:p>
    <w:p w14:paraId="03B5FA13" w14:textId="5AF76DE2" w:rsidR="3240BACF" w:rsidRPr="00585DBF" w:rsidRDefault="3240BACF" w:rsidP="3240BACF">
      <w:pPr>
        <w:spacing w:after="0" w:line="240" w:lineRule="auto"/>
        <w:jc w:val="both"/>
        <w:rPr>
          <w:rFonts w:ascii="Times New Roman" w:eastAsia="Aptos" w:hAnsi="Times New Roman" w:cs="Times New Roman"/>
          <w:color w:val="000000" w:themeColor="text1"/>
          <w:sz w:val="24"/>
          <w:szCs w:val="24"/>
          <w:lang w:val="en-GB"/>
        </w:rPr>
      </w:pPr>
    </w:p>
    <w:p w14:paraId="6F41BD33" w14:textId="77777777" w:rsidR="00FD315F" w:rsidRPr="00585DBF" w:rsidRDefault="00FD315F" w:rsidP="00FD315F">
      <w:pPr>
        <w:spacing w:after="0" w:line="240" w:lineRule="auto"/>
        <w:jc w:val="both"/>
        <w:rPr>
          <w:rFonts w:ascii="Times New Roman" w:eastAsia="Times New Roman" w:hAnsi="Times New Roman" w:cs="Times New Roman"/>
          <w:color w:val="000000" w:themeColor="text1"/>
          <w:kern w:val="0"/>
          <w:sz w:val="24"/>
          <w:szCs w:val="24"/>
          <w:lang w:val="en-GB"/>
          <w14:ligatures w14:val="none"/>
        </w:rPr>
      </w:pPr>
      <w:r w:rsidRPr="00585DBF">
        <w:rPr>
          <w:rFonts w:ascii="Times New Roman" w:eastAsia="Aptos" w:hAnsi="Times New Roman" w:cs="Times New Roman"/>
          <w:color w:val="000000" w:themeColor="text1"/>
          <w:sz w:val="24"/>
          <w:szCs w:val="24"/>
          <w:lang w:val="en-GB"/>
        </w:rPr>
        <w:t>In 2024, a one-page leaflet in Lithuanian and English was prepared for persons who have been or may be victims of hate speech or hate crimes with the main information on where and how to report hate incidents and what rights victims have. Sixty-eight institutions, agencies and organisations, including NGOs, support services and academic institutions, as well as all the administrations of all 60 municipalities were contacted regarding the publication and distribution of this one-page announcement.</w:t>
      </w:r>
    </w:p>
    <w:p w14:paraId="7FD5B8F3" w14:textId="77777777" w:rsidR="00DA44F0" w:rsidRPr="00585DBF" w:rsidRDefault="00DA44F0" w:rsidP="00FD315F">
      <w:pPr>
        <w:spacing w:after="0" w:line="240" w:lineRule="auto"/>
        <w:jc w:val="both"/>
        <w:rPr>
          <w:rFonts w:ascii="Times New Roman" w:eastAsia="Aptos" w:hAnsi="Times New Roman" w:cs="Times New Roman"/>
          <w:color w:val="000000" w:themeColor="text1"/>
          <w:sz w:val="24"/>
          <w:szCs w:val="24"/>
          <w:lang w:val="en-GB"/>
        </w:rPr>
      </w:pPr>
    </w:p>
    <w:p w14:paraId="48045047" w14:textId="6BCBADC1"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color w:val="000000" w:themeColor="text1"/>
          <w:sz w:val="24"/>
          <w:szCs w:val="24"/>
          <w:lang w:val="en-GB"/>
        </w:rPr>
        <w:t>In 2020, round-table discussions were held in five major cities across the country, where local police officers and prosecutors met with representatives of vulnerable communities (including Jewish and Roma communities) and NGOs to discuss the needs and expectations of vulnerable communities and victims of hate crimes regarding the work of law enforcement officials, as well as cooperation issues and opportunities (41 police officers, 14 prosecutors and 60 representatives of vulnerable communities and NGOs participated).</w:t>
      </w:r>
      <w:r w:rsidRPr="00585DBF">
        <w:rPr>
          <w:rFonts w:ascii="Times New Roman" w:eastAsia="Aptos" w:hAnsi="Times New Roman" w:cs="Times New Roman"/>
          <w:sz w:val="24"/>
          <w:szCs w:val="24"/>
          <w:lang w:val="en-GB"/>
        </w:rPr>
        <w:t xml:space="preserve"> </w:t>
      </w:r>
    </w:p>
    <w:p w14:paraId="68888C48"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597A93DA"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Since 2020, community police officers have been required to organise regular meetings with communities or representatives of minorities and/or communities at risk of social exclusion (due to disability, age, gender, racial and ethnic origin, nationality, religion, beliefs and views, sexual orientation, social status, etc.) in the territory under their supervision. The purpose of such meetings is to share various types of preventive information, provide consultations, and maintain contact. In 2024, officers of the police community organised 236 sessions on the prevention of hate crimes in education and training institutions at the request of those institutions.</w:t>
      </w:r>
    </w:p>
    <w:p w14:paraId="4E86E909"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eastAsia="lt-LT"/>
          <w14:ligatures w14:val="none"/>
        </w:rPr>
      </w:pPr>
    </w:p>
    <w:p w14:paraId="28A6EC1E"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 xml:space="preserve">Since 2020, the topics “Concept, signs, forms and legal regulation of hate crimes” and “Differences between hate crimes and other criminal acts” (6 academic hours) have been integrated into the modular professional and introductory training programmes of police officers. Since 2020, police officers have been provided with professional development training under the professional development programme “Officer actions in cases of hate crimes and preventive activities to prevent hate crimes”, which was approved in 2019. 99 police officers received training under this programme in 2020, 173 in 2021, 89 in 2022, 52 in 2023, and 11 in 2024. </w:t>
      </w:r>
    </w:p>
    <w:p w14:paraId="59F0FA49" w14:textId="19433CE3" w:rsidR="00FD315F" w:rsidRPr="00585DBF" w:rsidRDefault="00FD315F" w:rsidP="3240BACF">
      <w:pPr>
        <w:spacing w:after="0" w:line="240" w:lineRule="auto"/>
        <w:jc w:val="both"/>
        <w:rPr>
          <w:rFonts w:ascii="Times New Roman" w:eastAsia="Times New Roman" w:hAnsi="Times New Roman" w:cs="Times New Roman"/>
          <w:kern w:val="0"/>
          <w:sz w:val="24"/>
          <w:szCs w:val="24"/>
          <w:lang w:val="en-GB" w:eastAsia="lt-LT"/>
          <w14:ligatures w14:val="none"/>
        </w:rPr>
      </w:pPr>
    </w:p>
    <w:p w14:paraId="7363954A" w14:textId="35FC7620" w:rsidR="4878A46B" w:rsidRPr="00585DBF" w:rsidRDefault="4878A46B" w:rsidP="3240BACF">
      <w:pPr>
        <w:spacing w:after="0" w:line="240" w:lineRule="auto"/>
        <w:jc w:val="both"/>
        <w:rPr>
          <w:lang w:val="en-GB"/>
        </w:rPr>
      </w:pPr>
      <w:r w:rsidRPr="00585DBF">
        <w:rPr>
          <w:rFonts w:ascii="Times New Roman" w:eastAsia="Times New Roman" w:hAnsi="Times New Roman" w:cs="Times New Roman"/>
          <w:sz w:val="24"/>
          <w:szCs w:val="24"/>
          <w:lang w:val="en-GB"/>
        </w:rPr>
        <w:t>Between 2021 and 2023, Lithuanian police officers participated in several trainings on hate crimes and hate speech organized by various institutions. In 2021, 43 officers attended training on institutional responses to hate speech and hate crimes, and 42 officers on investigating hate crimes against LGBTI persons, both organized by the Equal Opportunities Ombudsperson. An educational video, “How to recognise hate-motivated acts?”, was also created for law enforcement</w:t>
      </w:r>
      <w:r w:rsidR="51D3DA90" w:rsidRPr="00585DBF">
        <w:rPr>
          <w:rFonts w:ascii="Times New Roman" w:eastAsia="Times New Roman" w:hAnsi="Times New Roman" w:cs="Times New Roman"/>
          <w:sz w:val="24"/>
          <w:szCs w:val="24"/>
          <w:lang w:val="en-GB"/>
        </w:rPr>
        <w:t xml:space="preserve"> officers</w:t>
      </w:r>
      <w:r w:rsidRPr="00585DBF">
        <w:rPr>
          <w:rFonts w:ascii="Times New Roman" w:eastAsia="Times New Roman" w:hAnsi="Times New Roman" w:cs="Times New Roman"/>
          <w:sz w:val="24"/>
          <w:szCs w:val="24"/>
          <w:lang w:val="en-GB"/>
        </w:rPr>
        <w:t>. In 2022, 140 officers took part in training on strengthening intercultural competencies, focusing on Muslim, Roma, Jewish, and African migrant communities, organized by the Human Rights Monitoring Institute. In 2023, 40 officers participated in training on hate crimes and violence against persons with disabilities, organized by the Lithuanian Disability Forum.</w:t>
      </w:r>
    </w:p>
    <w:p w14:paraId="08A05181" w14:textId="039C6968" w:rsidR="3240BACF" w:rsidRPr="00585DBF" w:rsidRDefault="3240BACF" w:rsidP="3240BACF">
      <w:pPr>
        <w:spacing w:after="0" w:line="240" w:lineRule="auto"/>
        <w:jc w:val="both"/>
        <w:rPr>
          <w:rFonts w:ascii="Times New Roman" w:eastAsia="Aptos" w:hAnsi="Times New Roman" w:cs="Times New Roman"/>
          <w:sz w:val="24"/>
          <w:szCs w:val="24"/>
          <w:lang w:val="en-GB"/>
        </w:rPr>
      </w:pPr>
    </w:p>
    <w:p w14:paraId="0CBEA11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lang w:val="en-GB"/>
          <w14:ligatures w14:val="none"/>
        </w:rPr>
      </w:pPr>
      <w:r w:rsidRPr="00585DBF">
        <w:rPr>
          <w:rFonts w:ascii="Times New Roman" w:eastAsia="Aptos" w:hAnsi="Times New Roman" w:cs="Times New Roman"/>
          <w:sz w:val="24"/>
          <w:szCs w:val="24"/>
          <w:lang w:val="en-GB"/>
        </w:rPr>
        <w:t>In order to increase the competence of judges in hearing cases related to hate crimes, training courses “Hate crimes: legal and psychological aspects” are regularly organised for them (85 judges participated in the training courses in the period 2021–2024).</w:t>
      </w:r>
    </w:p>
    <w:p w14:paraId="08365EF3"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28E54C39"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14:ligatures w14:val="none"/>
        </w:rPr>
      </w:pPr>
      <w:r w:rsidRPr="00585DBF">
        <w:rPr>
          <w:rFonts w:ascii="Times New Roman" w:eastAsia="Aptos" w:hAnsi="Times New Roman" w:cs="Times New Roman"/>
          <w:kern w:val="0"/>
          <w:sz w:val="24"/>
          <w:szCs w:val="24"/>
          <w:lang w:val="en-GB"/>
          <w14:ligatures w14:val="none"/>
        </w:rPr>
        <w:t xml:space="preserve">Currently, the detection of hate speech in the public space is slow, complex and insufficiently effective (it is done manually). For this reason, Lithuania has started upgrading the system of monitoring hate speech online. The first stage of the system upgrading was completed in 2024, improving its capacity to analyse texts in order to detect hate speech and strengthening data collection </w:t>
      </w:r>
      <w:r w:rsidRPr="00585DBF">
        <w:rPr>
          <w:rFonts w:ascii="Times New Roman" w:eastAsia="Aptos" w:hAnsi="Times New Roman" w:cs="Times New Roman"/>
          <w:kern w:val="0"/>
          <w:sz w:val="24"/>
          <w:szCs w:val="24"/>
          <w:lang w:val="en-GB"/>
          <w14:ligatures w14:val="none"/>
        </w:rPr>
        <w:lastRenderedPageBreak/>
        <w:t>from online portals. The possibility of introducing an AI-supported system, which would automatically detect and flag unlawful content thus considerably reducing the need for human intervention is also being considered. This would allow harmful messages to be identified and removed even faster, helping to protect vulnerable groups from online abuse.</w:t>
      </w:r>
    </w:p>
    <w:p w14:paraId="1858BD6F"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eastAsia="lt-LT"/>
          <w14:ligatures w14:val="none"/>
        </w:rPr>
      </w:pPr>
    </w:p>
    <w:p w14:paraId="1F6816B4" w14:textId="77777777" w:rsidR="00FD315F" w:rsidRPr="00585DBF" w:rsidRDefault="00FD315F" w:rsidP="00FD315F">
      <w:pPr>
        <w:spacing w:after="0" w:line="240" w:lineRule="auto"/>
        <w:jc w:val="both"/>
        <w:rPr>
          <w:rFonts w:ascii="Times New Roman" w:eastAsia="Times New Roman" w:hAnsi="Times New Roman" w:cs="Times New Roman"/>
          <w:b/>
          <w:kern w:val="0"/>
          <w:sz w:val="28"/>
          <w:szCs w:val="28"/>
          <w:lang w:val="en-GB"/>
          <w14:ligatures w14:val="none"/>
        </w:rPr>
      </w:pPr>
      <w:r w:rsidRPr="00585DBF">
        <w:rPr>
          <w:rFonts w:ascii="Times New Roman" w:eastAsia="Aptos" w:hAnsi="Times New Roman" w:cs="Times New Roman"/>
          <w:b/>
          <w:sz w:val="28"/>
          <w:szCs w:val="28"/>
          <w:lang w:val="en-GB"/>
        </w:rPr>
        <w:t>Other issues</w:t>
      </w:r>
    </w:p>
    <w:p w14:paraId="773BC6E3" w14:textId="77777777" w:rsidR="00FD315F" w:rsidRPr="00585DBF" w:rsidRDefault="00FD315F" w:rsidP="00FD315F">
      <w:pPr>
        <w:pStyle w:val="NoSpacing"/>
        <w:rPr>
          <w:lang w:val="en-GB"/>
        </w:rPr>
      </w:pPr>
    </w:p>
    <w:p w14:paraId="6D544E49" w14:textId="4E378311" w:rsidR="00FD315F" w:rsidRPr="00585DBF" w:rsidRDefault="00FD315F" w:rsidP="00DA44F0">
      <w:pPr>
        <w:rPr>
          <w:rFonts w:ascii="Times New Roman" w:hAnsi="Times New Roman" w:cs="Times New Roman"/>
          <w:b/>
          <w:bCs/>
          <w:sz w:val="24"/>
          <w:szCs w:val="24"/>
          <w:lang w:val="en-GB"/>
        </w:rPr>
      </w:pPr>
      <w:r w:rsidRPr="00585DBF">
        <w:rPr>
          <w:rFonts w:ascii="Times New Roman" w:hAnsi="Times New Roman" w:cs="Times New Roman"/>
          <w:b/>
          <w:bCs/>
          <w:sz w:val="24"/>
          <w:szCs w:val="24"/>
          <w:lang w:val="en-GB"/>
        </w:rPr>
        <w:t xml:space="preserve">Paragraph 29 of the </w:t>
      </w:r>
      <w:r w:rsidRPr="00585DBF">
        <w:rPr>
          <w:rFonts w:ascii="Times New Roman" w:eastAsia="Times New Roman" w:hAnsi="Times New Roman" w:cs="Times New Roman"/>
          <w:b/>
          <w:kern w:val="0"/>
          <w:sz w:val="24"/>
          <w:szCs w:val="24"/>
          <w:lang w:val="en-GB" w:eastAsia="lt-LT"/>
          <w14:ligatures w14:val="none"/>
        </w:rPr>
        <w:t>LoIPR</w:t>
      </w:r>
    </w:p>
    <w:p w14:paraId="564C2DC5" w14:textId="77777777" w:rsidR="00FD315F" w:rsidRPr="00585DBF" w:rsidRDefault="00FD315F" w:rsidP="00FD315F">
      <w:pPr>
        <w:spacing w:after="0" w:line="240" w:lineRule="auto"/>
        <w:jc w:val="both"/>
        <w:rPr>
          <w:rFonts w:ascii="Times New Roman" w:eastAsia="Times New Roman" w:hAnsi="Times New Roman" w:cs="Times New Roman"/>
          <w:kern w:val="0"/>
          <w:sz w:val="24"/>
          <w:szCs w:val="24"/>
          <w:highlight w:val="yellow"/>
          <w:lang w:val="en-GB"/>
          <w14:ligatures w14:val="none"/>
        </w:rPr>
      </w:pPr>
      <w:r w:rsidRPr="00585DBF">
        <w:rPr>
          <w:rFonts w:ascii="Times New Roman" w:eastAsia="Aptos" w:hAnsi="Times New Roman" w:cs="Times New Roman"/>
          <w:sz w:val="24"/>
          <w:szCs w:val="24"/>
          <w:lang w:val="en-GB"/>
        </w:rPr>
        <w:t>Training on human rights standards and their enforcement has been included in the basic training programmes of all law enforcement officials, including those working in the field of counter-terrorism.</w:t>
      </w:r>
    </w:p>
    <w:p w14:paraId="4384C418" w14:textId="77777777" w:rsidR="00FD315F" w:rsidRPr="00585DBF" w:rsidRDefault="00FD315F" w:rsidP="00FD315F">
      <w:pPr>
        <w:spacing w:after="0" w:line="240" w:lineRule="auto"/>
        <w:jc w:val="both"/>
        <w:rPr>
          <w:rFonts w:ascii="Times New Roman" w:eastAsia="Times New Roman" w:hAnsi="Times New Roman" w:cs="Times New Roman"/>
          <w:sz w:val="24"/>
          <w:szCs w:val="24"/>
          <w:lang w:val="en-GB" w:eastAsia="lt-LT"/>
        </w:rPr>
      </w:pPr>
    </w:p>
    <w:p w14:paraId="5763AB47" w14:textId="77777777" w:rsidR="00FD315F" w:rsidRPr="00585DBF" w:rsidRDefault="00FD315F" w:rsidP="00FD315F">
      <w:pPr>
        <w:pStyle w:val="NoSpacing"/>
        <w:jc w:val="both"/>
        <w:rPr>
          <w:b/>
          <w:lang w:val="en-GB"/>
        </w:rPr>
      </w:pPr>
      <w:r w:rsidRPr="00585DBF">
        <w:rPr>
          <w:rFonts w:eastAsia="Aptos"/>
          <w:lang w:val="en-GB" w:eastAsia="en-US"/>
        </w:rPr>
        <w:t>One person was convicted for a terrorist act in 2020, 1 person was convicted for kidnapping in 2020, and 3 persons were convicted in 2021. During the period under review, no complaints were received regarding non-compliance with national and international standards in the application of counter-terrorism measures.</w:t>
      </w:r>
    </w:p>
    <w:p w14:paraId="25AEA57A" w14:textId="77777777" w:rsidR="00FD315F" w:rsidRPr="00585DBF" w:rsidRDefault="00FD315F" w:rsidP="00FD315F">
      <w:pPr>
        <w:rPr>
          <w:rFonts w:ascii="Times New Roman" w:eastAsia="Times New Roman" w:hAnsi="Times New Roman" w:cs="Times New Roman"/>
          <w:b/>
          <w:kern w:val="0"/>
          <w:sz w:val="24"/>
          <w:szCs w:val="24"/>
          <w:lang w:val="en-GB" w:eastAsia="lt-LT"/>
          <w14:ligatures w14:val="none"/>
        </w:rPr>
      </w:pPr>
    </w:p>
    <w:p w14:paraId="380EF544" w14:textId="77777777" w:rsidR="00FD315F" w:rsidRPr="00585DBF" w:rsidRDefault="00FD315F" w:rsidP="00FD315F">
      <w:pPr>
        <w:pStyle w:val="NoSpacing"/>
        <w:jc w:val="both"/>
        <w:rPr>
          <w:b/>
          <w:bCs/>
          <w:sz w:val="28"/>
          <w:szCs w:val="28"/>
          <w:lang w:val="en-GB"/>
        </w:rPr>
      </w:pPr>
      <w:r w:rsidRPr="00585DBF">
        <w:rPr>
          <w:b/>
          <w:bCs/>
          <w:sz w:val="28"/>
          <w:szCs w:val="28"/>
          <w:lang w:val="en-GB"/>
        </w:rPr>
        <w:t>General information on other measures and developments relating to the implementation of the Convention in the State party</w:t>
      </w:r>
    </w:p>
    <w:p w14:paraId="30E3F12B" w14:textId="77777777" w:rsidR="00FD315F" w:rsidRPr="00585DBF" w:rsidRDefault="00FD315F" w:rsidP="00FD315F">
      <w:pPr>
        <w:pStyle w:val="NoSpacing"/>
        <w:jc w:val="both"/>
        <w:rPr>
          <w:b/>
          <w:bCs/>
          <w:sz w:val="28"/>
          <w:szCs w:val="28"/>
          <w:lang w:val="en-GB"/>
        </w:rPr>
      </w:pPr>
    </w:p>
    <w:p w14:paraId="33A7D2B1" w14:textId="77777777" w:rsidR="00FD315F" w:rsidRPr="00585DBF" w:rsidRDefault="00FD315F" w:rsidP="00FD315F">
      <w:pPr>
        <w:spacing w:after="0" w:line="240" w:lineRule="auto"/>
        <w:jc w:val="both"/>
        <w:rPr>
          <w:rFonts w:ascii="Times New Roman" w:eastAsia="Times New Roman" w:hAnsi="Times New Roman" w:cs="Times New Roman"/>
          <w:b/>
          <w:kern w:val="0"/>
          <w:sz w:val="24"/>
          <w:szCs w:val="24"/>
          <w:lang w:val="en-GB"/>
          <w14:ligatures w14:val="none"/>
        </w:rPr>
      </w:pPr>
      <w:r w:rsidRPr="00585DBF">
        <w:rPr>
          <w:rFonts w:ascii="Times New Roman" w:eastAsia="Aptos" w:hAnsi="Times New Roman" w:cs="Times New Roman"/>
          <w:sz w:val="24"/>
          <w:szCs w:val="24"/>
          <w:lang w:val="en-GB"/>
        </w:rPr>
        <w:t>In 2024, the last institutional homes for children in Lithuania were closed and care was transferred to family-like environments – families, family homes, community care homes, and temporary foster parents. This change contributes to the reduction of the risk of trafficking in humans, as children growing up in small, safe and supervised environments are significantly less vulnerable to exploitation.</w:t>
      </w:r>
    </w:p>
    <w:p w14:paraId="484AA27F"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7248C5F0"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In 2024, Lithuania officially launched a QR code system to verify the right to work with children. This initiative directly contributes to the implementation of the Convention by preventing persons convicted of serious crimes, especially sexual crimes, from working with children. The requirement for all professionals and volunteers working with children to obtain and present a QR code to confirm their suitability strengthens the accountability and transparency of institutions. The system ensures that only verified persons work with children, thereby reducing the risk of violence, exploitation, or degrading behaviour. The mandatory application of this system brings national practice into line with international human rights standards and strengthens Lithuania's commitment to protect vulnerable groups.</w:t>
      </w:r>
    </w:p>
    <w:p w14:paraId="6CDE864A"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2FD2B9B3"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14:ligatures w14:val="none"/>
        </w:rPr>
      </w:pPr>
      <w:r w:rsidRPr="00585DBF">
        <w:rPr>
          <w:rFonts w:ascii="Times New Roman" w:eastAsia="Aptos" w:hAnsi="Times New Roman" w:cs="Times New Roman"/>
          <w:sz w:val="24"/>
          <w:szCs w:val="24"/>
          <w:lang w:val="en-GB"/>
        </w:rPr>
        <w:t>In order to improve the detection of illegal, undeclared and forced labour, as well as tax and contribution evasion, Lithuania established the Inter-Institutional Cooperation Centre in 2024, which brings together six institutions operating nationwide. In 2024, the Centre focused primarily on high-risk sectors – construction, freight transport, catering, accommodation, and temporary employment.</w:t>
      </w:r>
    </w:p>
    <w:p w14:paraId="422AC266" w14:textId="77777777" w:rsidR="00FD315F" w:rsidRPr="00585DBF" w:rsidRDefault="00FD315F" w:rsidP="00FD315F">
      <w:pPr>
        <w:spacing w:after="0" w:line="240" w:lineRule="auto"/>
        <w:jc w:val="both"/>
        <w:rPr>
          <w:rFonts w:ascii="Times New Roman" w:eastAsia="Times New Roman" w:hAnsi="Times New Roman" w:cs="Times New Roman"/>
          <w:bCs/>
          <w:kern w:val="0"/>
          <w:sz w:val="24"/>
          <w:szCs w:val="24"/>
          <w:lang w:val="en-GB" w:eastAsia="lt-LT"/>
          <w14:ligatures w14:val="none"/>
        </w:rPr>
      </w:pPr>
    </w:p>
    <w:p w14:paraId="7D7089A2" w14:textId="77777777" w:rsidR="00FD315F" w:rsidRPr="00585DBF" w:rsidRDefault="00FD315F" w:rsidP="00FD315F">
      <w:pPr>
        <w:spacing w:after="0" w:line="240" w:lineRule="auto"/>
        <w:jc w:val="both"/>
        <w:rPr>
          <w:rFonts w:ascii="Times New Roman" w:eastAsia="Times New Roman" w:hAnsi="Times New Roman" w:cs="Times New Roman"/>
          <w:noProof/>
          <w:kern w:val="0"/>
          <w:sz w:val="24"/>
          <w:szCs w:val="24"/>
          <w:lang w:val="en-GB"/>
          <w14:ligatures w14:val="none"/>
        </w:rPr>
      </w:pPr>
      <w:r w:rsidRPr="00585DBF">
        <w:rPr>
          <w:rFonts w:ascii="Times New Roman" w:eastAsia="Aptos" w:hAnsi="Times New Roman" w:cs="Times New Roman"/>
          <w:color w:val="000000" w:themeColor="text1"/>
          <w:sz w:val="24"/>
          <w:szCs w:val="24"/>
          <w:lang w:val="en-GB"/>
        </w:rPr>
        <w:t xml:space="preserve">Lithuania cooperates closely with the human rights mechanisms of various international organisations, including the United Nations monitoring bodies of human rights treaties, special procedures, and other human rights mechanisms. Since 2001, Lithuania has issued a standing invitation to the United Nations special procedures. </w:t>
      </w:r>
      <w:r w:rsidRPr="00585DBF">
        <w:rPr>
          <w:rFonts w:ascii="Times New Roman" w:eastAsia="Aptos" w:hAnsi="Times New Roman" w:cs="Times New Roman"/>
          <w:sz w:val="24"/>
          <w:szCs w:val="24"/>
          <w:lang w:val="en-GB"/>
        </w:rPr>
        <w:t>Most recently, in 2024, Lithuania was visited by the United Nations Working Group on Enforced and Involuntary Disappearances – it was the third visit by United Nations special procedures in Lithuania.</w:t>
      </w:r>
    </w:p>
    <w:p w14:paraId="195BFC56" w14:textId="46785A49" w:rsidR="00334B8F" w:rsidRPr="00F73F17" w:rsidRDefault="00FD315F" w:rsidP="00F73F17">
      <w:pPr>
        <w:spacing w:line="240" w:lineRule="auto"/>
        <w:jc w:val="center"/>
        <w:rPr>
          <w:rFonts w:ascii="Times New Roman" w:eastAsia="Times New Roman" w:hAnsi="Times New Roman" w:cs="Times New Roman"/>
          <w:b/>
          <w:bCs/>
          <w:kern w:val="0"/>
          <w:sz w:val="28"/>
          <w:szCs w:val="28"/>
          <w:lang w:val="en-GB" w:eastAsia="lt-LT"/>
          <w14:ligatures w14:val="none"/>
        </w:rPr>
      </w:pPr>
      <w:r w:rsidRPr="00585DBF">
        <w:rPr>
          <w:rFonts w:ascii="Times New Roman" w:eastAsia="Aptos" w:hAnsi="Times New Roman" w:cs="Times New Roman"/>
          <w:b/>
          <w:kern w:val="0"/>
          <w:sz w:val="24"/>
          <w:szCs w:val="24"/>
          <w:lang w:val="en-GB"/>
          <w14:ligatures w14:val="none"/>
        </w:rPr>
        <w:t>_________________</w:t>
      </w:r>
      <w:bookmarkEnd w:id="0"/>
    </w:p>
    <w:sectPr w:rsidR="00334B8F" w:rsidRPr="00F73F17" w:rsidSect="00FD315F">
      <w:headerReference w:type="default" r:id="rId7"/>
      <w:pgSz w:w="11906" w:h="16838"/>
      <w:pgMar w:top="1135"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B85CD" w14:textId="77777777" w:rsidR="00E81C3D" w:rsidRDefault="00E81C3D" w:rsidP="00585DBF">
      <w:pPr>
        <w:spacing w:after="0" w:line="240" w:lineRule="auto"/>
      </w:pPr>
      <w:r>
        <w:separator/>
      </w:r>
    </w:p>
  </w:endnote>
  <w:endnote w:type="continuationSeparator" w:id="0">
    <w:p w14:paraId="77D69142" w14:textId="77777777" w:rsidR="00E81C3D" w:rsidRDefault="00E81C3D" w:rsidP="00585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dobe Garamond Pro">
    <w:panose1 w:val="00000000000000000000"/>
    <w:charset w:val="00"/>
    <w:family w:val="roman"/>
    <w:notTrueType/>
    <w:pitch w:val="variable"/>
    <w:sig w:usb0="800000AF" w:usb1="5000205B" w:usb2="00000000" w:usb3="00000000" w:csb0="0000009B" w:csb1="00000000"/>
  </w:font>
  <w:font w:name="TimesLT">
    <w:altName w:val="Times New Roman"/>
    <w:charset w:val="BA"/>
    <w:family w:val="roman"/>
    <w:pitch w:val="variable"/>
    <w:sig w:usb0="20002A87" w:usb1="00000000" w:usb2="00000000"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00"/>
    <w:family w:val="roman"/>
    <w:pitch w:val="variable"/>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Linux Libertine G">
    <w:charset w:val="00"/>
    <w:family w:val="auto"/>
    <w:pitch w:val="variable"/>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122BF" w14:textId="77777777" w:rsidR="00E81C3D" w:rsidRDefault="00E81C3D" w:rsidP="00585DBF">
      <w:pPr>
        <w:spacing w:after="0" w:line="240" w:lineRule="auto"/>
      </w:pPr>
      <w:r>
        <w:separator/>
      </w:r>
    </w:p>
  </w:footnote>
  <w:footnote w:type="continuationSeparator" w:id="0">
    <w:p w14:paraId="084414E2" w14:textId="77777777" w:rsidR="00E81C3D" w:rsidRDefault="00E81C3D" w:rsidP="00585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8581518"/>
      <w:docPartObj>
        <w:docPartGallery w:val="Page Numbers (Top of Page)"/>
        <w:docPartUnique/>
      </w:docPartObj>
    </w:sdtPr>
    <w:sdtEndPr/>
    <w:sdtContent>
      <w:p w14:paraId="55C86EDD" w14:textId="0822DB3D" w:rsidR="00585DBF" w:rsidRDefault="00585DBF">
        <w:pPr>
          <w:pStyle w:val="Header"/>
          <w:jc w:val="center"/>
        </w:pPr>
        <w:r>
          <w:fldChar w:fldCharType="begin"/>
        </w:r>
        <w:r>
          <w:instrText>PAGE   \* MERGEFORMAT</w:instrText>
        </w:r>
        <w:r>
          <w:fldChar w:fldCharType="separate"/>
        </w:r>
        <w:r>
          <w:t>2</w:t>
        </w:r>
        <w:r>
          <w:fldChar w:fldCharType="end"/>
        </w:r>
      </w:p>
    </w:sdtContent>
  </w:sdt>
  <w:p w14:paraId="791D49AE" w14:textId="77777777" w:rsidR="00585DBF" w:rsidRDefault="00585D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6E8615A"/>
    <w:lvl w:ilvl="0">
      <w:start w:val="1"/>
      <w:numFmt w:val="bullet"/>
      <w:pStyle w:val="ListBullet5"/>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7F8230A0"/>
    <w:lvl w:ilvl="0">
      <w:start w:val="1"/>
      <w:numFmt w:val="bullet"/>
      <w:pStyle w:val="ListBullet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4CF4A9A6"/>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1F86DD2C"/>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156082" w:themeColor="accent1"/>
      </w:rPr>
    </w:lvl>
  </w:abstractNum>
  <w:abstractNum w:abstractNumId="5" w15:restartNumberingAfterBreak="0">
    <w:nsid w:val="0401461C"/>
    <w:multiLevelType w:val="hybridMultilevel"/>
    <w:tmpl w:val="18FCF144"/>
    <w:lvl w:ilvl="0" w:tplc="958A45B8">
      <w:start w:val="202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9DE4704"/>
    <w:multiLevelType w:val="hybridMultilevel"/>
    <w:tmpl w:val="2AB0208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55C1031"/>
    <w:multiLevelType w:val="hybridMultilevel"/>
    <w:tmpl w:val="FB24189A"/>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B6F205A"/>
    <w:multiLevelType w:val="multilevel"/>
    <w:tmpl w:val="9CA4ABB8"/>
    <w:styleLink w:val="Metinataskaita"/>
    <w:lvl w:ilvl="0">
      <w:start w:val="1"/>
      <w:numFmt w:val="decimal"/>
      <w:lvlText w:val="%1."/>
      <w:lvlJc w:val="left"/>
      <w:pPr>
        <w:ind w:left="360" w:hanging="360"/>
      </w:pPr>
    </w:lvl>
    <w:lvl w:ilvl="1">
      <w:start w:val="1"/>
      <w:numFmt w:val="decimal"/>
      <w:suff w:val="space"/>
      <w:lvlText w:val="%1.%2"/>
      <w:lvlJc w:val="left"/>
      <w:pPr>
        <w:ind w:left="360" w:hanging="360"/>
      </w:pPr>
    </w:lvl>
    <w:lvl w:ilvl="2">
      <w:start w:val="1"/>
      <w:numFmt w:val="lowerLetter"/>
      <w:lvlText w:val="%3."/>
      <w:lvlJc w:val="left"/>
      <w:pPr>
        <w:ind w:left="720" w:hanging="360"/>
      </w:pPr>
    </w:lvl>
    <w:lvl w:ilvl="3">
      <w:start w:val="1"/>
      <w:numFmt w:val="lowerRoman"/>
      <w:lvlText w:val="%4."/>
      <w:lvlJc w:val="left"/>
      <w:pPr>
        <w:ind w:left="108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E3A60AA"/>
    <w:multiLevelType w:val="hybridMultilevel"/>
    <w:tmpl w:val="55B67F8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3E119FE"/>
    <w:multiLevelType w:val="hybridMultilevel"/>
    <w:tmpl w:val="965E0936"/>
    <w:lvl w:ilvl="0" w:tplc="BCF4591A">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45749D7"/>
    <w:multiLevelType w:val="hybridMultilevel"/>
    <w:tmpl w:val="15C22226"/>
    <w:lvl w:ilvl="0" w:tplc="8F6EE246">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1B50F21"/>
    <w:multiLevelType w:val="hybridMultilevel"/>
    <w:tmpl w:val="BDB8D5BC"/>
    <w:lvl w:ilvl="0" w:tplc="1ECE1B0A">
      <w:start w:val="1"/>
      <w:numFmt w:val="bullet"/>
      <w:lvlText w:val="-"/>
      <w:lvlJc w:val="left"/>
      <w:pPr>
        <w:ind w:left="720" w:hanging="360"/>
      </w:pPr>
      <w:rPr>
        <w:rFonts w:ascii="Times New Roman" w:hAnsi="Times New Roman" w:hint="default"/>
      </w:rPr>
    </w:lvl>
    <w:lvl w:ilvl="1" w:tplc="A132996C">
      <w:start w:val="1"/>
      <w:numFmt w:val="bullet"/>
      <w:lvlText w:val="o"/>
      <w:lvlJc w:val="left"/>
      <w:pPr>
        <w:ind w:left="1440" w:hanging="360"/>
      </w:pPr>
      <w:rPr>
        <w:rFonts w:ascii="Courier New" w:hAnsi="Courier New" w:hint="default"/>
      </w:rPr>
    </w:lvl>
    <w:lvl w:ilvl="2" w:tplc="749AC5B6">
      <w:start w:val="1"/>
      <w:numFmt w:val="bullet"/>
      <w:lvlText w:val=""/>
      <w:lvlJc w:val="left"/>
      <w:pPr>
        <w:ind w:left="2160" w:hanging="360"/>
      </w:pPr>
      <w:rPr>
        <w:rFonts w:ascii="Wingdings" w:hAnsi="Wingdings" w:hint="default"/>
      </w:rPr>
    </w:lvl>
    <w:lvl w:ilvl="3" w:tplc="8ECA7590">
      <w:start w:val="1"/>
      <w:numFmt w:val="bullet"/>
      <w:lvlText w:val=""/>
      <w:lvlJc w:val="left"/>
      <w:pPr>
        <w:ind w:left="2880" w:hanging="360"/>
      </w:pPr>
      <w:rPr>
        <w:rFonts w:ascii="Symbol" w:hAnsi="Symbol" w:hint="default"/>
      </w:rPr>
    </w:lvl>
    <w:lvl w:ilvl="4" w:tplc="B34CEF68">
      <w:start w:val="1"/>
      <w:numFmt w:val="bullet"/>
      <w:lvlText w:val="o"/>
      <w:lvlJc w:val="left"/>
      <w:pPr>
        <w:ind w:left="3600" w:hanging="360"/>
      </w:pPr>
      <w:rPr>
        <w:rFonts w:ascii="Courier New" w:hAnsi="Courier New" w:hint="default"/>
      </w:rPr>
    </w:lvl>
    <w:lvl w:ilvl="5" w:tplc="1E109902">
      <w:start w:val="1"/>
      <w:numFmt w:val="bullet"/>
      <w:lvlText w:val=""/>
      <w:lvlJc w:val="left"/>
      <w:pPr>
        <w:ind w:left="4320" w:hanging="360"/>
      </w:pPr>
      <w:rPr>
        <w:rFonts w:ascii="Wingdings" w:hAnsi="Wingdings" w:hint="default"/>
      </w:rPr>
    </w:lvl>
    <w:lvl w:ilvl="6" w:tplc="50AEBC68">
      <w:start w:val="1"/>
      <w:numFmt w:val="bullet"/>
      <w:lvlText w:val=""/>
      <w:lvlJc w:val="left"/>
      <w:pPr>
        <w:ind w:left="5040" w:hanging="360"/>
      </w:pPr>
      <w:rPr>
        <w:rFonts w:ascii="Symbol" w:hAnsi="Symbol" w:hint="default"/>
      </w:rPr>
    </w:lvl>
    <w:lvl w:ilvl="7" w:tplc="600C3FA8">
      <w:start w:val="1"/>
      <w:numFmt w:val="bullet"/>
      <w:lvlText w:val="o"/>
      <w:lvlJc w:val="left"/>
      <w:pPr>
        <w:ind w:left="5760" w:hanging="360"/>
      </w:pPr>
      <w:rPr>
        <w:rFonts w:ascii="Courier New" w:hAnsi="Courier New" w:hint="default"/>
      </w:rPr>
    </w:lvl>
    <w:lvl w:ilvl="8" w:tplc="89120A62">
      <w:start w:val="1"/>
      <w:numFmt w:val="bullet"/>
      <w:lvlText w:val=""/>
      <w:lvlJc w:val="left"/>
      <w:pPr>
        <w:ind w:left="6480" w:hanging="360"/>
      </w:pPr>
      <w:rPr>
        <w:rFonts w:ascii="Wingdings" w:hAnsi="Wingdings" w:hint="default"/>
      </w:rPr>
    </w:lvl>
  </w:abstractNum>
  <w:abstractNum w:abstractNumId="13" w15:restartNumberingAfterBreak="0">
    <w:nsid w:val="367F6A45"/>
    <w:multiLevelType w:val="multilevel"/>
    <w:tmpl w:val="80C0D6D2"/>
    <w:lvl w:ilvl="0">
      <w:start w:val="1"/>
      <w:numFmt w:val="decimal"/>
      <w:pStyle w:val="ListNumber"/>
      <w:lvlText w:val="%1."/>
      <w:lvlJc w:val="left"/>
      <w:pPr>
        <w:ind w:left="360" w:hanging="360"/>
      </w:pPr>
    </w:lvl>
    <w:lvl w:ilvl="1">
      <w:start w:val="1"/>
      <w:numFmt w:val="decimal"/>
      <w:pStyle w:val="ListNumber2"/>
      <w:suff w:val="space"/>
      <w:lvlText w:val="%1.%2"/>
      <w:lvlJc w:val="left"/>
      <w:pPr>
        <w:ind w:left="936" w:hanging="576"/>
      </w:pPr>
    </w:lvl>
    <w:lvl w:ilvl="2">
      <w:start w:val="1"/>
      <w:numFmt w:val="lowerLetter"/>
      <w:pStyle w:val="ListNumber3"/>
      <w:lvlText w:val="%3."/>
      <w:lvlJc w:val="left"/>
      <w:pPr>
        <w:ind w:left="720" w:hanging="360"/>
      </w:pPr>
    </w:lvl>
    <w:lvl w:ilvl="3">
      <w:start w:val="1"/>
      <w:numFmt w:val="lowerRoman"/>
      <w:pStyle w:val="ListNumber4"/>
      <w:lvlText w:val="%4."/>
      <w:lvlJc w:val="left"/>
      <w:pPr>
        <w:ind w:left="1080" w:hanging="360"/>
      </w:pPr>
    </w:lvl>
    <w:lvl w:ilvl="4">
      <w:start w:val="1"/>
      <w:numFmt w:val="lowerLetter"/>
      <w:pStyle w:val="ListNumber5"/>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FB07F7A"/>
    <w:multiLevelType w:val="hybridMultilevel"/>
    <w:tmpl w:val="92D80364"/>
    <w:lvl w:ilvl="0" w:tplc="77A6B390">
      <w:start w:val="3"/>
      <w:numFmt w:val="bullet"/>
      <w:lvlText w:val="-"/>
      <w:lvlJc w:val="left"/>
      <w:pPr>
        <w:ind w:left="720" w:hanging="360"/>
      </w:pPr>
      <w:rPr>
        <w:rFonts w:ascii="Times New Roman" w:eastAsia="Arial Unicode MS" w:hAnsi="Times New Roman" w:cs="Times New Roman"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3433347"/>
    <w:multiLevelType w:val="hybridMultilevel"/>
    <w:tmpl w:val="C0868064"/>
    <w:lvl w:ilvl="0" w:tplc="77A6B390">
      <w:start w:val="3"/>
      <w:numFmt w:val="bullet"/>
      <w:lvlText w:val="-"/>
      <w:lvlJc w:val="left"/>
      <w:pPr>
        <w:ind w:left="720" w:hanging="360"/>
      </w:pPr>
      <w:rPr>
        <w:rFonts w:ascii="Times New Roman" w:eastAsia="Arial Unicode MS" w:hAnsi="Times New Roman" w:cs="Times New Roman" w:hint="default"/>
        <w:b/>
        <w:bCs/>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5FD0050F"/>
    <w:multiLevelType w:val="multilevel"/>
    <w:tmpl w:val="6E902850"/>
    <w:lvl w:ilvl="0">
      <w:start w:val="16"/>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F0525"/>
    <w:multiLevelType w:val="hybridMultilevel"/>
    <w:tmpl w:val="954C2212"/>
    <w:lvl w:ilvl="0" w:tplc="BCF4591A">
      <w:numFmt w:val="bullet"/>
      <w:lvlText w:val="-"/>
      <w:lvlJc w:val="left"/>
      <w:pPr>
        <w:ind w:left="420" w:hanging="360"/>
      </w:pPr>
      <w:rPr>
        <w:rFonts w:ascii="Times New Roman" w:eastAsia="Calibr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8" w15:restartNumberingAfterBreak="0">
    <w:nsid w:val="7EB95439"/>
    <w:multiLevelType w:val="hybridMultilevel"/>
    <w:tmpl w:val="C9660B04"/>
    <w:lvl w:ilvl="0" w:tplc="199CF236">
      <w:start w:val="1"/>
      <w:numFmt w:val="decimal"/>
      <w:lvlText w:val="%1."/>
      <w:lvlJc w:val="left"/>
      <w:pPr>
        <w:ind w:left="720"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53580650">
    <w:abstractNumId w:val="11"/>
  </w:num>
  <w:num w:numId="2" w16cid:durableId="1623612210">
    <w:abstractNumId w:val="17"/>
  </w:num>
  <w:num w:numId="3" w16cid:durableId="1349481081">
    <w:abstractNumId w:val="16"/>
  </w:num>
  <w:num w:numId="4" w16cid:durableId="1413889468">
    <w:abstractNumId w:val="4"/>
  </w:num>
  <w:num w:numId="5" w16cid:durableId="17964399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2314919">
    <w:abstractNumId w:val="3"/>
  </w:num>
  <w:num w:numId="7" w16cid:durableId="1703631883">
    <w:abstractNumId w:val="2"/>
  </w:num>
  <w:num w:numId="8" w16cid:durableId="634456780">
    <w:abstractNumId w:val="1"/>
  </w:num>
  <w:num w:numId="9" w16cid:durableId="466050918">
    <w:abstractNumId w:val="0"/>
  </w:num>
  <w:num w:numId="10" w16cid:durableId="1048723384">
    <w:abstractNumId w:val="8"/>
  </w:num>
  <w:num w:numId="11" w16cid:durableId="573274483">
    <w:abstractNumId w:val="18"/>
  </w:num>
  <w:num w:numId="12" w16cid:durableId="1542942344">
    <w:abstractNumId w:val="6"/>
  </w:num>
  <w:num w:numId="13" w16cid:durableId="57214550">
    <w:abstractNumId w:val="5"/>
  </w:num>
  <w:num w:numId="14" w16cid:durableId="1684554129">
    <w:abstractNumId w:val="7"/>
  </w:num>
  <w:num w:numId="15" w16cid:durableId="1902053890">
    <w:abstractNumId w:val="10"/>
  </w:num>
  <w:num w:numId="16" w16cid:durableId="1318074795">
    <w:abstractNumId w:val="9"/>
  </w:num>
  <w:num w:numId="17" w16cid:durableId="472020508">
    <w:abstractNumId w:val="12"/>
  </w:num>
  <w:num w:numId="18" w16cid:durableId="875121673">
    <w:abstractNumId w:val="15"/>
  </w:num>
  <w:num w:numId="19" w16cid:durableId="13479005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15F"/>
    <w:rsid w:val="00057F3C"/>
    <w:rsid w:val="0006461B"/>
    <w:rsid w:val="00137F00"/>
    <w:rsid w:val="001A6895"/>
    <w:rsid w:val="001D5B83"/>
    <w:rsid w:val="002351E2"/>
    <w:rsid w:val="0026542E"/>
    <w:rsid w:val="00334B8F"/>
    <w:rsid w:val="00383CF6"/>
    <w:rsid w:val="003F18C5"/>
    <w:rsid w:val="00445D0E"/>
    <w:rsid w:val="00553613"/>
    <w:rsid w:val="00585DBF"/>
    <w:rsid w:val="005E7252"/>
    <w:rsid w:val="005F73FB"/>
    <w:rsid w:val="00613C41"/>
    <w:rsid w:val="0066313C"/>
    <w:rsid w:val="006C39F0"/>
    <w:rsid w:val="00711202"/>
    <w:rsid w:val="00734A99"/>
    <w:rsid w:val="00751CC1"/>
    <w:rsid w:val="008A60AF"/>
    <w:rsid w:val="00942576"/>
    <w:rsid w:val="009E31A8"/>
    <w:rsid w:val="009E7B0B"/>
    <w:rsid w:val="009F141D"/>
    <w:rsid w:val="009F28E0"/>
    <w:rsid w:val="00A118C2"/>
    <w:rsid w:val="00A45374"/>
    <w:rsid w:val="00A5242B"/>
    <w:rsid w:val="00A5775B"/>
    <w:rsid w:val="00CD7D4D"/>
    <w:rsid w:val="00D022FA"/>
    <w:rsid w:val="00DA0975"/>
    <w:rsid w:val="00DA44F0"/>
    <w:rsid w:val="00DC4577"/>
    <w:rsid w:val="00DF644B"/>
    <w:rsid w:val="00E512F4"/>
    <w:rsid w:val="00E557A6"/>
    <w:rsid w:val="00E81C3D"/>
    <w:rsid w:val="00ED5802"/>
    <w:rsid w:val="00F12250"/>
    <w:rsid w:val="00F73F17"/>
    <w:rsid w:val="00FD315F"/>
    <w:rsid w:val="00FE439D"/>
    <w:rsid w:val="02B4E26F"/>
    <w:rsid w:val="033C2B1B"/>
    <w:rsid w:val="041A93DA"/>
    <w:rsid w:val="06BEC5BE"/>
    <w:rsid w:val="08998A82"/>
    <w:rsid w:val="09094F7B"/>
    <w:rsid w:val="0B02C728"/>
    <w:rsid w:val="0B3AE5B3"/>
    <w:rsid w:val="0C103787"/>
    <w:rsid w:val="0DB13DBE"/>
    <w:rsid w:val="0E365454"/>
    <w:rsid w:val="0EF2C61E"/>
    <w:rsid w:val="1239B7B1"/>
    <w:rsid w:val="12A1D3AD"/>
    <w:rsid w:val="1550C06D"/>
    <w:rsid w:val="17EC0B79"/>
    <w:rsid w:val="188B4439"/>
    <w:rsid w:val="18A425A1"/>
    <w:rsid w:val="18B04E09"/>
    <w:rsid w:val="18F6D93E"/>
    <w:rsid w:val="191EDCFB"/>
    <w:rsid w:val="1988CC27"/>
    <w:rsid w:val="1A41C4CB"/>
    <w:rsid w:val="1AB3811C"/>
    <w:rsid w:val="1B563EC5"/>
    <w:rsid w:val="1BF1C4E8"/>
    <w:rsid w:val="1D1FC8AE"/>
    <w:rsid w:val="1D486D47"/>
    <w:rsid w:val="1EB4EA33"/>
    <w:rsid w:val="1EB62E51"/>
    <w:rsid w:val="207A2382"/>
    <w:rsid w:val="20D39341"/>
    <w:rsid w:val="21C3F62C"/>
    <w:rsid w:val="2232F88C"/>
    <w:rsid w:val="2579A100"/>
    <w:rsid w:val="258601A6"/>
    <w:rsid w:val="25C85968"/>
    <w:rsid w:val="260E5E70"/>
    <w:rsid w:val="270AA953"/>
    <w:rsid w:val="274D28B8"/>
    <w:rsid w:val="277E4F27"/>
    <w:rsid w:val="2907D62E"/>
    <w:rsid w:val="296DCA3F"/>
    <w:rsid w:val="2D7C53BE"/>
    <w:rsid w:val="2E36246C"/>
    <w:rsid w:val="2EC65A1B"/>
    <w:rsid w:val="2F0D50F5"/>
    <w:rsid w:val="312185B7"/>
    <w:rsid w:val="3139C95E"/>
    <w:rsid w:val="31FE81B0"/>
    <w:rsid w:val="321E8830"/>
    <w:rsid w:val="3240BACF"/>
    <w:rsid w:val="3409DAC9"/>
    <w:rsid w:val="344E08A8"/>
    <w:rsid w:val="368872A3"/>
    <w:rsid w:val="38BD56C1"/>
    <w:rsid w:val="38DBAAAA"/>
    <w:rsid w:val="39786377"/>
    <w:rsid w:val="3E61167E"/>
    <w:rsid w:val="40C65886"/>
    <w:rsid w:val="41FD5813"/>
    <w:rsid w:val="42964279"/>
    <w:rsid w:val="42E56343"/>
    <w:rsid w:val="446A7D4B"/>
    <w:rsid w:val="465F472E"/>
    <w:rsid w:val="46FFEB56"/>
    <w:rsid w:val="48225E47"/>
    <w:rsid w:val="4878A46B"/>
    <w:rsid w:val="4C000114"/>
    <w:rsid w:val="4C71BBD1"/>
    <w:rsid w:val="4C905D0D"/>
    <w:rsid w:val="50E329A0"/>
    <w:rsid w:val="51D3DA90"/>
    <w:rsid w:val="52AE368B"/>
    <w:rsid w:val="53777202"/>
    <w:rsid w:val="53DC56BC"/>
    <w:rsid w:val="58FEFFFA"/>
    <w:rsid w:val="5AA1DD82"/>
    <w:rsid w:val="5C35DEBB"/>
    <w:rsid w:val="5CB49D6A"/>
    <w:rsid w:val="5CC36668"/>
    <w:rsid w:val="5D06F029"/>
    <w:rsid w:val="622FCD4A"/>
    <w:rsid w:val="63AB12CB"/>
    <w:rsid w:val="63CB4629"/>
    <w:rsid w:val="66F47DD9"/>
    <w:rsid w:val="69059F92"/>
    <w:rsid w:val="692A9483"/>
    <w:rsid w:val="6A12BFCA"/>
    <w:rsid w:val="6AD8FBF3"/>
    <w:rsid w:val="6BD47FC1"/>
    <w:rsid w:val="6C621337"/>
    <w:rsid w:val="6C8AC4B3"/>
    <w:rsid w:val="6FE11BB8"/>
    <w:rsid w:val="707F89B7"/>
    <w:rsid w:val="72347E6A"/>
    <w:rsid w:val="72B0DABC"/>
    <w:rsid w:val="72EBA463"/>
    <w:rsid w:val="73FAD22B"/>
    <w:rsid w:val="7492F6D1"/>
    <w:rsid w:val="7548A4BE"/>
    <w:rsid w:val="75932513"/>
    <w:rsid w:val="76EB8CD0"/>
    <w:rsid w:val="7793E8FD"/>
    <w:rsid w:val="78D8A68F"/>
    <w:rsid w:val="7B87127A"/>
    <w:rsid w:val="7DF65FDD"/>
    <w:rsid w:val="7E1E7857"/>
    <w:rsid w:val="7E4C04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D0144"/>
  <w15:chartTrackingRefBased/>
  <w15:docId w15:val="{F49DB514-E1B4-4568-84B3-958452C50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lsdException w:name="List Number 3" w:semiHidden="1" w:uiPriority="18" w:unhideWhenUsed="1"/>
    <w:lsdException w:name="List Number 4" w:semiHidden="1" w:uiPriority="18" w:unhideWhenUsed="1"/>
    <w:lsdException w:name="List Number 5" w:semiHidden="1" w:uiPriority="18" w:unhideWhenUsed="1"/>
    <w:lsdException w:name="Title" w:uiPriority="10" w:qFormat="1"/>
    <w:lsdException w:name="Closing" w:semiHidden="1" w:unhideWhenUsed="1"/>
    <w:lsdException w:name="Signature" w:semiHidden="1" w:uiPriority="9"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15F"/>
  </w:style>
  <w:style w:type="paragraph" w:styleId="Heading1">
    <w:name w:val="heading 1"/>
    <w:basedOn w:val="Normal"/>
    <w:next w:val="Normal"/>
    <w:link w:val="Heading1Char"/>
    <w:qFormat/>
    <w:rsid w:val="00FD31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31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31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31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31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31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1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1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1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31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31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31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31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31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31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1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1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15F"/>
    <w:rPr>
      <w:rFonts w:eastAsiaTheme="majorEastAsia" w:cstheme="majorBidi"/>
      <w:color w:val="272727" w:themeColor="text1" w:themeTint="D8"/>
    </w:rPr>
  </w:style>
  <w:style w:type="paragraph" w:styleId="Title">
    <w:name w:val="Title"/>
    <w:basedOn w:val="Normal"/>
    <w:next w:val="Normal"/>
    <w:link w:val="TitleChar"/>
    <w:uiPriority w:val="10"/>
    <w:qFormat/>
    <w:rsid w:val="00FD31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1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1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1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15F"/>
    <w:pPr>
      <w:spacing w:before="160"/>
      <w:jc w:val="center"/>
    </w:pPr>
    <w:rPr>
      <w:i/>
      <w:iCs/>
      <w:color w:val="404040" w:themeColor="text1" w:themeTint="BF"/>
    </w:rPr>
  </w:style>
  <w:style w:type="character" w:customStyle="1" w:styleId="QuoteChar">
    <w:name w:val="Quote Char"/>
    <w:basedOn w:val="DefaultParagraphFont"/>
    <w:link w:val="Quote"/>
    <w:uiPriority w:val="29"/>
    <w:rsid w:val="00FD315F"/>
    <w:rPr>
      <w:i/>
      <w:iCs/>
      <w:color w:val="404040" w:themeColor="text1" w:themeTint="BF"/>
    </w:rPr>
  </w:style>
  <w:style w:type="paragraph" w:styleId="ListParagraph">
    <w:name w:val="List Paragraph"/>
    <w:aliases w:val="List Paragraph LVL 1,Viñetas (Inicio Parrafo),Listenabsatz,2,Numbered Para 1,Dot pt,No Spacing1,List Paragraph Char Char Char,Indicator Text,List Paragraph1,Bullet 1,Bullet Points,MAIN CONTENT,IFCL - List Paragraph,List Paragraph12,body"/>
    <w:basedOn w:val="Normal"/>
    <w:link w:val="ListParagraphChar"/>
    <w:uiPriority w:val="34"/>
    <w:qFormat/>
    <w:rsid w:val="00FD315F"/>
    <w:pPr>
      <w:ind w:left="720"/>
      <w:contextualSpacing/>
    </w:pPr>
  </w:style>
  <w:style w:type="character" w:styleId="IntenseEmphasis">
    <w:name w:val="Intense Emphasis"/>
    <w:basedOn w:val="DefaultParagraphFont"/>
    <w:uiPriority w:val="21"/>
    <w:qFormat/>
    <w:rsid w:val="00FD315F"/>
    <w:rPr>
      <w:i/>
      <w:iCs/>
      <w:color w:val="0F4761" w:themeColor="accent1" w:themeShade="BF"/>
    </w:rPr>
  </w:style>
  <w:style w:type="paragraph" w:styleId="IntenseQuote">
    <w:name w:val="Intense Quote"/>
    <w:basedOn w:val="Normal"/>
    <w:next w:val="Normal"/>
    <w:link w:val="IntenseQuoteChar"/>
    <w:uiPriority w:val="30"/>
    <w:qFormat/>
    <w:rsid w:val="00FD31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315F"/>
    <w:rPr>
      <w:i/>
      <w:iCs/>
      <w:color w:val="0F4761" w:themeColor="accent1" w:themeShade="BF"/>
    </w:rPr>
  </w:style>
  <w:style w:type="character" w:styleId="IntenseReference">
    <w:name w:val="Intense Reference"/>
    <w:basedOn w:val="DefaultParagraphFont"/>
    <w:uiPriority w:val="32"/>
    <w:qFormat/>
    <w:rsid w:val="00FD315F"/>
    <w:rPr>
      <w:b/>
      <w:bCs/>
      <w:smallCaps/>
      <w:color w:val="0F4761" w:themeColor="accent1" w:themeShade="BF"/>
      <w:spacing w:val="5"/>
    </w:rPr>
  </w:style>
  <w:style w:type="numbering" w:customStyle="1" w:styleId="Sraonra1">
    <w:name w:val="Sąrašo nėra1"/>
    <w:next w:val="NoList"/>
    <w:uiPriority w:val="99"/>
    <w:semiHidden/>
    <w:unhideWhenUsed/>
    <w:rsid w:val="00FD315F"/>
  </w:style>
  <w:style w:type="character" w:customStyle="1" w:styleId="FontStyle12">
    <w:name w:val="Font Style12"/>
    <w:uiPriority w:val="99"/>
    <w:rsid w:val="00FD315F"/>
    <w:rPr>
      <w:rFonts w:ascii="Times New Roman" w:hAnsi="Times New Roman"/>
      <w:sz w:val="20"/>
    </w:rPr>
  </w:style>
  <w:style w:type="character" w:styleId="Hyperlink">
    <w:name w:val="Hyperlink"/>
    <w:uiPriority w:val="99"/>
    <w:unhideWhenUsed/>
    <w:rsid w:val="00FD315F"/>
    <w:rPr>
      <w:color w:val="0000FF"/>
      <w:u w:val="single"/>
    </w:rPr>
  </w:style>
  <w:style w:type="paragraph" w:customStyle="1" w:styleId="1">
    <w:name w:val="1"/>
    <w:basedOn w:val="Normal"/>
    <w:next w:val="NormalWeb"/>
    <w:uiPriority w:val="99"/>
    <w:unhideWhenUsed/>
    <w:rsid w:val="00FD315F"/>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customStyle="1" w:styleId="A5">
    <w:name w:val="A5"/>
    <w:uiPriority w:val="99"/>
    <w:rsid w:val="00FD315F"/>
    <w:rPr>
      <w:rFonts w:cs="Adobe Garamond Pro"/>
      <w:color w:val="000000"/>
      <w:sz w:val="23"/>
      <w:szCs w:val="23"/>
    </w:rPr>
  </w:style>
  <w:style w:type="paragraph" w:styleId="NormalWeb">
    <w:name w:val="Normal (Web)"/>
    <w:basedOn w:val="Normal"/>
    <w:uiPriority w:val="99"/>
    <w:unhideWhenUsed/>
    <w:rsid w:val="00FD315F"/>
    <w:pPr>
      <w:spacing w:after="0" w:line="240" w:lineRule="auto"/>
    </w:pPr>
    <w:rPr>
      <w:rFonts w:ascii="Times New Roman" w:eastAsia="Times New Roman" w:hAnsi="Times New Roman" w:cs="Times New Roman"/>
      <w:kern w:val="0"/>
      <w:sz w:val="24"/>
      <w:szCs w:val="24"/>
      <w:lang w:eastAsia="lt-LT"/>
      <w14:ligatures w14:val="none"/>
    </w:rPr>
  </w:style>
  <w:style w:type="paragraph" w:customStyle="1" w:styleId="Standard">
    <w:name w:val="Standard"/>
    <w:uiPriority w:val="99"/>
    <w:rsid w:val="00FD315F"/>
    <w:pPr>
      <w:suppressAutoHyphens/>
      <w:autoSpaceDN w:val="0"/>
      <w:spacing w:after="0" w:line="240" w:lineRule="auto"/>
      <w:textAlignment w:val="baseline"/>
    </w:pPr>
    <w:rPr>
      <w:rFonts w:ascii="Times New Roman" w:eastAsia="Times New Roman" w:hAnsi="Times New Roman" w:cs="Times New Roman"/>
      <w:kern w:val="3"/>
      <w:sz w:val="24"/>
      <w:szCs w:val="20"/>
      <w:lang w:eastAsia="zh-CN"/>
      <w14:ligatures w14:val="none"/>
    </w:rPr>
  </w:style>
  <w:style w:type="paragraph" w:styleId="Header">
    <w:name w:val="header"/>
    <w:aliases w:val="Char,Diagrama,Hipersaitas1,Char Diagrama Diagrama,Diagrama Diagrama Diagrama,Char Char Char Char,Char Char Char1,Char Char1"/>
    <w:basedOn w:val="Standard"/>
    <w:link w:val="HeaderChar"/>
    <w:uiPriority w:val="99"/>
    <w:rsid w:val="00FD315F"/>
    <w:pPr>
      <w:tabs>
        <w:tab w:val="center" w:pos="4320"/>
        <w:tab w:val="right" w:pos="8640"/>
      </w:tabs>
    </w:pPr>
  </w:style>
  <w:style w:type="character" w:customStyle="1" w:styleId="HeaderChar">
    <w:name w:val="Header Char"/>
    <w:aliases w:val="Char Char,Diagrama Char,Hipersaitas1 Char,Char Diagrama Diagrama Char,Diagrama Diagrama Diagrama Char,Char Char Char Char Char,Char Char Char1 Char,Char Char1 Char"/>
    <w:basedOn w:val="DefaultParagraphFont"/>
    <w:link w:val="Header"/>
    <w:uiPriority w:val="99"/>
    <w:rsid w:val="00FD315F"/>
    <w:rPr>
      <w:rFonts w:ascii="Times New Roman" w:eastAsia="Times New Roman" w:hAnsi="Times New Roman" w:cs="Times New Roman"/>
      <w:kern w:val="3"/>
      <w:sz w:val="24"/>
      <w:szCs w:val="20"/>
      <w:lang w:eastAsia="zh-CN"/>
      <w14:ligatures w14:val="none"/>
    </w:rPr>
  </w:style>
  <w:style w:type="paragraph" w:customStyle="1" w:styleId="TableContents">
    <w:name w:val="Table Contents"/>
    <w:basedOn w:val="Standard"/>
    <w:rsid w:val="00FD315F"/>
    <w:pPr>
      <w:suppressLineNumbers/>
    </w:pPr>
  </w:style>
  <w:style w:type="character" w:customStyle="1" w:styleId="StrongEmphasis">
    <w:name w:val="Strong Emphasis"/>
    <w:rsid w:val="00FD315F"/>
    <w:rPr>
      <w:b/>
      <w:bCs/>
    </w:rPr>
  </w:style>
  <w:style w:type="character" w:customStyle="1" w:styleId="CharStyle7">
    <w:name w:val="CharStyle7"/>
    <w:basedOn w:val="DefaultParagraphFont"/>
    <w:rsid w:val="00FD315F"/>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Default">
    <w:name w:val="Default"/>
    <w:uiPriority w:val="99"/>
    <w:rsid w:val="00FD315F"/>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bidi="hi-IN"/>
      <w14:ligatures w14:val="none"/>
    </w:rPr>
  </w:style>
  <w:style w:type="paragraph" w:customStyle="1" w:styleId="Textbody">
    <w:name w:val="Text body"/>
    <w:basedOn w:val="Standard"/>
    <w:uiPriority w:val="99"/>
    <w:rsid w:val="00FD315F"/>
    <w:pPr>
      <w:spacing w:after="140" w:line="288" w:lineRule="auto"/>
    </w:pPr>
  </w:style>
  <w:style w:type="paragraph" w:customStyle="1" w:styleId="Footnote">
    <w:name w:val="Footnote"/>
    <w:basedOn w:val="Standard"/>
    <w:rsid w:val="00FD315F"/>
    <w:rPr>
      <w:sz w:val="20"/>
    </w:rPr>
  </w:style>
  <w:style w:type="character" w:styleId="FootnoteReference">
    <w:name w:val="footnote reference"/>
    <w:aliases w:val="4_G,Footnote Reference/,ftref,Footnote Refernece,Texto de nota al pie,Appel note de bas de page,Footnotes refss,Footnote number,referencia nota al pie,BVI fnr,f,16 Point,Superscript 6 Point,Texto nota al pie"/>
    <w:basedOn w:val="DefaultParagraphFont"/>
    <w:link w:val="4GCharChar"/>
    <w:uiPriority w:val="99"/>
    <w:unhideWhenUsed/>
    <w:qFormat/>
    <w:rsid w:val="00FD315F"/>
    <w:rPr>
      <w:vertAlign w:val="superscript"/>
    </w:rPr>
  </w:style>
  <w:style w:type="character" w:customStyle="1" w:styleId="CharStyle4">
    <w:name w:val="CharStyle4"/>
    <w:basedOn w:val="DefaultParagraphFont"/>
    <w:rsid w:val="00FD315F"/>
    <w:rPr>
      <w:rFonts w:ascii="Times New Roman" w:eastAsia="Times New Roman" w:hAnsi="Times New Roman" w:cs="Times New Roman"/>
      <w:b w:val="0"/>
      <w:bCs w:val="0"/>
      <w:i w:val="0"/>
      <w:iCs w:val="0"/>
      <w:strike w:val="0"/>
      <w:dstrike w:val="0"/>
      <w:color w:val="000000"/>
      <w:spacing w:val="0"/>
      <w:w w:val="100"/>
      <w:position w:val="0"/>
      <w:sz w:val="22"/>
      <w:szCs w:val="22"/>
      <w:u w:val="none"/>
      <w:vertAlign w:val="baseline"/>
    </w:rPr>
  </w:style>
  <w:style w:type="paragraph" w:styleId="Footer">
    <w:name w:val="footer"/>
    <w:basedOn w:val="Normal"/>
    <w:link w:val="FooterChar"/>
    <w:uiPriority w:val="99"/>
    <w:unhideWhenUsed/>
    <w:rsid w:val="00FD315F"/>
    <w:pPr>
      <w:tabs>
        <w:tab w:val="center" w:pos="4819"/>
        <w:tab w:val="right" w:pos="9638"/>
      </w:tabs>
      <w:spacing w:after="0" w:line="240" w:lineRule="auto"/>
    </w:pPr>
    <w:rPr>
      <w:rFonts w:ascii="Times New Roman" w:eastAsia="Times New Roman" w:hAnsi="Times New Roman" w:cs="Times New Roman"/>
      <w:kern w:val="0"/>
      <w:sz w:val="24"/>
      <w:szCs w:val="24"/>
      <w:lang w:eastAsia="lt-LT"/>
      <w14:ligatures w14:val="none"/>
    </w:rPr>
  </w:style>
  <w:style w:type="character" w:customStyle="1" w:styleId="FooterChar">
    <w:name w:val="Footer Char"/>
    <w:basedOn w:val="DefaultParagraphFont"/>
    <w:link w:val="Footer"/>
    <w:uiPriority w:val="99"/>
    <w:rsid w:val="00FD315F"/>
    <w:rPr>
      <w:rFonts w:ascii="Times New Roman" w:eastAsia="Times New Roman" w:hAnsi="Times New Roman" w:cs="Times New Roman"/>
      <w:kern w:val="0"/>
      <w:sz w:val="24"/>
      <w:szCs w:val="24"/>
      <w:lang w:eastAsia="lt-LT"/>
      <w14:ligatures w14:val="none"/>
    </w:rPr>
  </w:style>
  <w:style w:type="paragraph" w:customStyle="1" w:styleId="SingleTxtG">
    <w:name w:val="_ Single Txt_G"/>
    <w:basedOn w:val="Normal"/>
    <w:link w:val="SingleTxtGChar"/>
    <w:rsid w:val="00FD315F"/>
    <w:pPr>
      <w:suppressAutoHyphens/>
      <w:spacing w:after="120" w:line="240" w:lineRule="atLeast"/>
      <w:ind w:left="1134" w:right="1134"/>
      <w:jc w:val="both"/>
    </w:pPr>
    <w:rPr>
      <w:rFonts w:ascii="Times New Roman" w:eastAsia="Times New Roman" w:hAnsi="Times New Roman" w:cs="Times New Roman"/>
      <w:kern w:val="0"/>
      <w:sz w:val="20"/>
      <w:szCs w:val="20"/>
      <w:lang w:val="en-GB"/>
      <w14:ligatures w14:val="none"/>
    </w:rPr>
  </w:style>
  <w:style w:type="paragraph" w:customStyle="1" w:styleId="HChG">
    <w:name w:val="_ H _Ch_G"/>
    <w:basedOn w:val="Normal"/>
    <w:next w:val="Normal"/>
    <w:rsid w:val="00FD315F"/>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en-GB"/>
      <w14:ligatures w14:val="none"/>
    </w:rPr>
  </w:style>
  <w:style w:type="paragraph" w:customStyle="1" w:styleId="H1G">
    <w:name w:val="_ H_1_G"/>
    <w:basedOn w:val="Normal"/>
    <w:next w:val="Normal"/>
    <w:rsid w:val="00FD315F"/>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kern w:val="0"/>
      <w:sz w:val="24"/>
      <w:szCs w:val="20"/>
      <w:lang w:val="en-GB"/>
      <w14:ligatures w14:val="none"/>
    </w:rPr>
  </w:style>
  <w:style w:type="character" w:customStyle="1" w:styleId="SingleTxtGChar">
    <w:name w:val="_ Single Txt_G Char"/>
    <w:link w:val="SingleTxtG"/>
    <w:rsid w:val="00FD315F"/>
    <w:rPr>
      <w:rFonts w:ascii="Times New Roman" w:eastAsia="Times New Roman" w:hAnsi="Times New Roman" w:cs="Times New Roman"/>
      <w:kern w:val="0"/>
      <w:sz w:val="20"/>
      <w:szCs w:val="20"/>
      <w:lang w:val="en-GB"/>
      <w14:ligatures w14:val="none"/>
    </w:rPr>
  </w:style>
  <w:style w:type="character" w:customStyle="1" w:styleId="alt-edited1">
    <w:name w:val="alt-edited1"/>
    <w:basedOn w:val="DefaultParagraphFont"/>
    <w:rsid w:val="00FD315F"/>
    <w:rPr>
      <w:color w:val="4D90F0"/>
    </w:rPr>
  </w:style>
  <w:style w:type="character" w:customStyle="1" w:styleId="alt-edited">
    <w:name w:val="alt-edited"/>
    <w:basedOn w:val="DefaultParagraphFont"/>
    <w:rsid w:val="00FD315F"/>
  </w:style>
  <w:style w:type="paragraph" w:customStyle="1" w:styleId="Standarduser">
    <w:name w:val="Standard (user)"/>
    <w:basedOn w:val="Normal"/>
    <w:rsid w:val="00FD315F"/>
    <w:pPr>
      <w:autoSpaceDN w:val="0"/>
      <w:spacing w:after="0" w:line="240" w:lineRule="auto"/>
    </w:pPr>
    <w:rPr>
      <w:rFonts w:ascii="TimesLT" w:hAnsi="TimesLT" w:cs="Times New Roman"/>
      <w:color w:val="00000A"/>
      <w:kern w:val="0"/>
      <w:sz w:val="24"/>
      <w:szCs w:val="24"/>
      <w14:ligatures w14:val="none"/>
    </w:rPr>
  </w:style>
  <w:style w:type="character" w:styleId="Emphasis">
    <w:name w:val="Emphasis"/>
    <w:rsid w:val="00FD315F"/>
    <w:rPr>
      <w:i/>
      <w:iCs/>
    </w:rPr>
  </w:style>
  <w:style w:type="paragraph" w:styleId="NoSpacing">
    <w:name w:val="No Spacing"/>
    <w:link w:val="NoSpacingChar"/>
    <w:uiPriority w:val="1"/>
    <w:qFormat/>
    <w:rsid w:val="00FD315F"/>
    <w:pPr>
      <w:spacing w:after="0" w:line="240" w:lineRule="auto"/>
    </w:pPr>
    <w:rPr>
      <w:rFonts w:ascii="Times New Roman" w:eastAsia="Times New Roman" w:hAnsi="Times New Roman" w:cs="Times New Roman"/>
      <w:kern w:val="0"/>
      <w:sz w:val="24"/>
      <w:szCs w:val="24"/>
      <w:lang w:eastAsia="lt-LT"/>
      <w14:ligatures w14:val="none"/>
    </w:rPr>
  </w:style>
  <w:style w:type="paragraph" w:styleId="FootnoteText">
    <w:name w:val="footnote text"/>
    <w:aliases w:val="5_G"/>
    <w:basedOn w:val="Normal"/>
    <w:link w:val="FootnoteTextChar"/>
    <w:uiPriority w:val="99"/>
    <w:unhideWhenUsed/>
    <w:qFormat/>
    <w:rsid w:val="00FD315F"/>
    <w:pPr>
      <w:spacing w:after="0" w:line="240" w:lineRule="auto"/>
    </w:pPr>
    <w:rPr>
      <w:rFonts w:ascii="Times New Roman" w:eastAsia="Times New Roman" w:hAnsi="Times New Roman" w:cs="Times New Roman"/>
      <w:kern w:val="0"/>
      <w:sz w:val="20"/>
      <w:szCs w:val="20"/>
      <w:lang w:eastAsia="lt-LT"/>
      <w14:ligatures w14:val="none"/>
    </w:rPr>
  </w:style>
  <w:style w:type="character" w:customStyle="1" w:styleId="FootnoteTextChar">
    <w:name w:val="Footnote Text Char"/>
    <w:aliases w:val="5_G Char"/>
    <w:basedOn w:val="DefaultParagraphFont"/>
    <w:link w:val="FootnoteText"/>
    <w:uiPriority w:val="99"/>
    <w:rsid w:val="00FD315F"/>
    <w:rPr>
      <w:rFonts w:ascii="Times New Roman" w:eastAsia="Times New Roman" w:hAnsi="Times New Roman" w:cs="Times New Roman"/>
      <w:kern w:val="0"/>
      <w:sz w:val="20"/>
      <w:szCs w:val="20"/>
      <w:lang w:eastAsia="lt-LT"/>
      <w14:ligatures w14:val="none"/>
    </w:rPr>
  </w:style>
  <w:style w:type="paragraph" w:styleId="BalloonText">
    <w:name w:val="Balloon Text"/>
    <w:basedOn w:val="Normal"/>
    <w:link w:val="BalloonTextChar"/>
    <w:uiPriority w:val="99"/>
    <w:semiHidden/>
    <w:unhideWhenUsed/>
    <w:rsid w:val="00FD315F"/>
    <w:pPr>
      <w:spacing w:after="0" w:line="240" w:lineRule="auto"/>
    </w:pPr>
    <w:rPr>
      <w:rFonts w:ascii="Segoe UI" w:eastAsia="Times New Roman" w:hAnsi="Segoe UI" w:cs="Segoe UI"/>
      <w:kern w:val="0"/>
      <w:sz w:val="18"/>
      <w:szCs w:val="18"/>
      <w:lang w:eastAsia="lt-LT"/>
      <w14:ligatures w14:val="none"/>
    </w:rPr>
  </w:style>
  <w:style w:type="character" w:customStyle="1" w:styleId="BalloonTextChar">
    <w:name w:val="Balloon Text Char"/>
    <w:basedOn w:val="DefaultParagraphFont"/>
    <w:link w:val="BalloonText"/>
    <w:uiPriority w:val="99"/>
    <w:semiHidden/>
    <w:rsid w:val="00FD315F"/>
    <w:rPr>
      <w:rFonts w:ascii="Segoe UI" w:eastAsia="Times New Roman" w:hAnsi="Segoe UI" w:cs="Segoe UI"/>
      <w:kern w:val="0"/>
      <w:sz w:val="18"/>
      <w:szCs w:val="18"/>
      <w:lang w:eastAsia="lt-LT"/>
      <w14:ligatures w14:val="none"/>
    </w:rPr>
  </w:style>
  <w:style w:type="character" w:styleId="CommentReference">
    <w:name w:val="annotation reference"/>
    <w:basedOn w:val="DefaultParagraphFont"/>
    <w:uiPriority w:val="99"/>
    <w:semiHidden/>
    <w:unhideWhenUsed/>
    <w:rsid w:val="00FD315F"/>
    <w:rPr>
      <w:sz w:val="16"/>
      <w:szCs w:val="16"/>
    </w:rPr>
  </w:style>
  <w:style w:type="paragraph" w:styleId="CommentText">
    <w:name w:val="annotation text"/>
    <w:basedOn w:val="Normal"/>
    <w:link w:val="CommentTextChar"/>
    <w:uiPriority w:val="99"/>
    <w:semiHidden/>
    <w:unhideWhenUsed/>
    <w:rsid w:val="00FD315F"/>
    <w:pPr>
      <w:spacing w:after="0" w:line="240" w:lineRule="auto"/>
    </w:pPr>
    <w:rPr>
      <w:rFonts w:ascii="Times New Roman" w:eastAsia="Times New Roman" w:hAnsi="Times New Roman" w:cs="Times New Roman"/>
      <w:kern w:val="0"/>
      <w:sz w:val="20"/>
      <w:szCs w:val="20"/>
      <w:lang w:eastAsia="lt-LT"/>
      <w14:ligatures w14:val="none"/>
    </w:rPr>
  </w:style>
  <w:style w:type="character" w:customStyle="1" w:styleId="CommentTextChar">
    <w:name w:val="Comment Text Char"/>
    <w:basedOn w:val="DefaultParagraphFont"/>
    <w:link w:val="CommentText"/>
    <w:uiPriority w:val="99"/>
    <w:semiHidden/>
    <w:rsid w:val="00FD315F"/>
    <w:rPr>
      <w:rFonts w:ascii="Times New Roman" w:eastAsia="Times New Roman" w:hAnsi="Times New Roman" w:cs="Times New Roman"/>
      <w:kern w:val="0"/>
      <w:sz w:val="20"/>
      <w:szCs w:val="20"/>
      <w:lang w:eastAsia="lt-LT"/>
      <w14:ligatures w14:val="none"/>
    </w:rPr>
  </w:style>
  <w:style w:type="paragraph" w:styleId="CommentSubject">
    <w:name w:val="annotation subject"/>
    <w:basedOn w:val="CommentText"/>
    <w:next w:val="CommentText"/>
    <w:link w:val="CommentSubjectChar"/>
    <w:uiPriority w:val="99"/>
    <w:semiHidden/>
    <w:unhideWhenUsed/>
    <w:rsid w:val="00FD315F"/>
    <w:rPr>
      <w:b/>
      <w:bCs/>
    </w:rPr>
  </w:style>
  <w:style w:type="character" w:customStyle="1" w:styleId="CommentSubjectChar">
    <w:name w:val="Comment Subject Char"/>
    <w:basedOn w:val="CommentTextChar"/>
    <w:link w:val="CommentSubject"/>
    <w:uiPriority w:val="99"/>
    <w:semiHidden/>
    <w:rsid w:val="00FD315F"/>
    <w:rPr>
      <w:rFonts w:ascii="Times New Roman" w:eastAsia="Times New Roman" w:hAnsi="Times New Roman" w:cs="Times New Roman"/>
      <w:b/>
      <w:bCs/>
      <w:kern w:val="0"/>
      <w:sz w:val="20"/>
      <w:szCs w:val="20"/>
      <w:lang w:eastAsia="lt-LT"/>
      <w14:ligatures w14:val="none"/>
    </w:rPr>
  </w:style>
  <w:style w:type="table" w:styleId="TableGrid">
    <w:name w:val="Table Grid"/>
    <w:basedOn w:val="TableNormal"/>
    <w:uiPriority w:val="59"/>
    <w:rsid w:val="00FD3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ewriter">
    <w:name w:val="typewriter"/>
    <w:rsid w:val="00FD315F"/>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uiPriority w:val="99"/>
    <w:rsid w:val="00FD315F"/>
    <w:pPr>
      <w:spacing w:line="240" w:lineRule="exact"/>
      <w:jc w:val="both"/>
    </w:pPr>
    <w:rPr>
      <w:vertAlign w:val="superscript"/>
    </w:rPr>
  </w:style>
  <w:style w:type="character" w:styleId="UnresolvedMention">
    <w:name w:val="Unresolved Mention"/>
    <w:basedOn w:val="DefaultParagraphFont"/>
    <w:uiPriority w:val="99"/>
    <w:semiHidden/>
    <w:unhideWhenUsed/>
    <w:rsid w:val="00FD315F"/>
    <w:rPr>
      <w:color w:val="605E5C"/>
      <w:shd w:val="clear" w:color="auto" w:fill="E1DFDD"/>
    </w:rPr>
  </w:style>
  <w:style w:type="character" w:customStyle="1" w:styleId="ListParagraphChar">
    <w:name w:val="List Paragraph Char"/>
    <w:aliases w:val="List Paragraph LVL 1 Char,Viñetas (Inicio Parrafo) Char,Listenabsatz Char,2 Char,Numbered Para 1 Char,Dot pt Char,No Spacing1 Char,List Paragraph Char Char Char Char,Indicator Text Char,List Paragraph1 Char,Bullet 1 Char,body Char"/>
    <w:basedOn w:val="DefaultParagraphFont"/>
    <w:link w:val="ListParagraph"/>
    <w:uiPriority w:val="34"/>
    <w:qFormat/>
    <w:locked/>
    <w:rsid w:val="00FD315F"/>
  </w:style>
  <w:style w:type="character" w:customStyle="1" w:styleId="Bodytext1">
    <w:name w:val="Body text|1_"/>
    <w:basedOn w:val="DefaultParagraphFont"/>
    <w:link w:val="Bodytext10"/>
    <w:locked/>
    <w:rsid w:val="00FD315F"/>
    <w:rPr>
      <w:sz w:val="20"/>
    </w:rPr>
  </w:style>
  <w:style w:type="paragraph" w:customStyle="1" w:styleId="Bodytext10">
    <w:name w:val="Body text|1"/>
    <w:basedOn w:val="Normal"/>
    <w:link w:val="Bodytext1"/>
    <w:rsid w:val="00FD315F"/>
    <w:pPr>
      <w:widowControl w:val="0"/>
      <w:spacing w:after="120" w:line="240" w:lineRule="auto"/>
      <w:jc w:val="both"/>
    </w:pPr>
    <w:rPr>
      <w:sz w:val="20"/>
    </w:rPr>
  </w:style>
  <w:style w:type="character" w:styleId="FollowedHyperlink">
    <w:name w:val="FollowedHyperlink"/>
    <w:basedOn w:val="DefaultParagraphFont"/>
    <w:uiPriority w:val="99"/>
    <w:semiHidden/>
    <w:unhideWhenUsed/>
    <w:rsid w:val="00FD315F"/>
    <w:rPr>
      <w:color w:val="96607D" w:themeColor="followedHyperlink"/>
      <w:u w:val="single"/>
    </w:rPr>
  </w:style>
  <w:style w:type="character" w:customStyle="1" w:styleId="NoSpacingChar">
    <w:name w:val="No Spacing Char"/>
    <w:basedOn w:val="DefaultParagraphFont"/>
    <w:link w:val="NoSpacing"/>
    <w:uiPriority w:val="1"/>
    <w:locked/>
    <w:rsid w:val="00FD315F"/>
    <w:rPr>
      <w:rFonts w:ascii="Times New Roman" w:eastAsia="Times New Roman" w:hAnsi="Times New Roman" w:cs="Times New Roman"/>
      <w:kern w:val="0"/>
      <w:sz w:val="24"/>
      <w:szCs w:val="24"/>
      <w:lang w:eastAsia="lt-LT"/>
      <w14:ligatures w14:val="none"/>
    </w:rPr>
  </w:style>
  <w:style w:type="paragraph" w:customStyle="1" w:styleId="Quotations">
    <w:name w:val="Quotations"/>
    <w:basedOn w:val="Normal"/>
    <w:uiPriority w:val="99"/>
    <w:rsid w:val="00FD315F"/>
    <w:pPr>
      <w:widowControl w:val="0"/>
      <w:suppressAutoHyphens/>
      <w:autoSpaceDN w:val="0"/>
      <w:spacing w:after="283" w:line="240" w:lineRule="auto"/>
      <w:ind w:left="567" w:right="567"/>
    </w:pPr>
    <w:rPr>
      <w:rFonts w:ascii="Liberation Serif" w:eastAsia="Segoe UI" w:hAnsi="Liberation Serif" w:cs="Tahoma"/>
      <w:color w:val="000000"/>
      <w:kern w:val="3"/>
      <w:sz w:val="24"/>
      <w:szCs w:val="24"/>
      <w:lang w:eastAsia="zh-CN" w:bidi="hi-IN"/>
      <w14:ligatures w14:val="none"/>
    </w:rPr>
  </w:style>
  <w:style w:type="paragraph" w:styleId="HTMLAddress">
    <w:name w:val="HTML Address"/>
    <w:basedOn w:val="Normal"/>
    <w:link w:val="HTMLAddressChar"/>
    <w:uiPriority w:val="99"/>
    <w:semiHidden/>
    <w:unhideWhenUsed/>
    <w:rsid w:val="00FD315F"/>
    <w:pPr>
      <w:spacing w:after="0" w:line="240" w:lineRule="auto"/>
    </w:pPr>
    <w:rPr>
      <w:rFonts w:ascii="Times New Roman" w:eastAsiaTheme="minorEastAsia" w:hAnsi="Times New Roman" w:cs="Times New Roman"/>
      <w:i/>
      <w:iCs/>
      <w:kern w:val="0"/>
      <w:sz w:val="24"/>
      <w:lang w:val="en-US"/>
      <w14:ligatures w14:val="none"/>
    </w:rPr>
  </w:style>
  <w:style w:type="character" w:customStyle="1" w:styleId="HTMLAddressChar">
    <w:name w:val="HTML Address Char"/>
    <w:basedOn w:val="DefaultParagraphFont"/>
    <w:link w:val="HTMLAddress"/>
    <w:uiPriority w:val="99"/>
    <w:semiHidden/>
    <w:rsid w:val="00FD315F"/>
    <w:rPr>
      <w:rFonts w:ascii="Times New Roman" w:eastAsiaTheme="minorEastAsia" w:hAnsi="Times New Roman" w:cs="Times New Roman"/>
      <w:i/>
      <w:iCs/>
      <w:kern w:val="0"/>
      <w:sz w:val="24"/>
      <w:lang w:val="en-US"/>
      <w14:ligatures w14:val="none"/>
    </w:rPr>
  </w:style>
  <w:style w:type="character" w:styleId="HTMLCode">
    <w:name w:val="HTML Code"/>
    <w:basedOn w:val="DefaultParagraphFont"/>
    <w:uiPriority w:val="99"/>
    <w:semiHidden/>
    <w:unhideWhenUsed/>
    <w:rsid w:val="00FD315F"/>
    <w:rPr>
      <w:rFonts w:ascii="Consolas" w:eastAsia="Times New Roman" w:hAnsi="Consolas" w:cs="Consolas" w:hint="default"/>
      <w:sz w:val="20"/>
      <w:szCs w:val="20"/>
    </w:rPr>
  </w:style>
  <w:style w:type="character" w:styleId="HTMLKeyboard">
    <w:name w:val="HTML Keyboard"/>
    <w:basedOn w:val="DefaultParagraphFont"/>
    <w:uiPriority w:val="99"/>
    <w:semiHidden/>
    <w:unhideWhenUsed/>
    <w:rsid w:val="00FD315F"/>
    <w:rPr>
      <w:rFonts w:ascii="Consolas" w:eastAsia="Times New Roman" w:hAnsi="Consolas" w:cs="Consolas" w:hint="default"/>
      <w:sz w:val="20"/>
      <w:szCs w:val="20"/>
    </w:rPr>
  </w:style>
  <w:style w:type="paragraph" w:styleId="HTMLPreformatted">
    <w:name w:val="HTML Preformatted"/>
    <w:basedOn w:val="Normal"/>
    <w:link w:val="HTMLPreformattedChar"/>
    <w:uiPriority w:val="99"/>
    <w:semiHidden/>
    <w:unhideWhenUsed/>
    <w:rsid w:val="00FD3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heme="minorEastAsia" w:hAnsi="Consolas" w:cs="Consolas"/>
      <w:kern w:val="0"/>
      <w:sz w:val="24"/>
      <w:lang w:val="en-US"/>
      <w14:ligatures w14:val="none"/>
    </w:rPr>
  </w:style>
  <w:style w:type="character" w:customStyle="1" w:styleId="HTMLPreformattedChar">
    <w:name w:val="HTML Preformatted Char"/>
    <w:basedOn w:val="DefaultParagraphFont"/>
    <w:link w:val="HTMLPreformatted"/>
    <w:uiPriority w:val="99"/>
    <w:semiHidden/>
    <w:rsid w:val="00FD315F"/>
    <w:rPr>
      <w:rFonts w:ascii="Consolas" w:eastAsiaTheme="minorEastAsia" w:hAnsi="Consolas" w:cs="Consolas"/>
      <w:kern w:val="0"/>
      <w:sz w:val="24"/>
      <w:lang w:val="en-US"/>
      <w14:ligatures w14:val="none"/>
    </w:rPr>
  </w:style>
  <w:style w:type="character" w:styleId="HTMLSample">
    <w:name w:val="HTML Sample"/>
    <w:basedOn w:val="DefaultParagraphFont"/>
    <w:uiPriority w:val="99"/>
    <w:semiHidden/>
    <w:unhideWhenUsed/>
    <w:rsid w:val="00FD315F"/>
    <w:rPr>
      <w:rFonts w:ascii="Consolas" w:eastAsia="Times New Roman" w:hAnsi="Consolas" w:cs="Consolas" w:hint="default"/>
      <w:sz w:val="24"/>
    </w:rPr>
  </w:style>
  <w:style w:type="character" w:styleId="HTMLTypewriter">
    <w:name w:val="HTML Typewriter"/>
    <w:basedOn w:val="DefaultParagraphFont"/>
    <w:uiPriority w:val="99"/>
    <w:semiHidden/>
    <w:unhideWhenUsed/>
    <w:rsid w:val="00FD315F"/>
    <w:rPr>
      <w:rFonts w:ascii="Consolas" w:eastAsia="Times New Roman" w:hAnsi="Consolas" w:cs="Consolas" w:hint="default"/>
      <w:sz w:val="20"/>
      <w:szCs w:val="20"/>
    </w:rPr>
  </w:style>
  <w:style w:type="paragraph" w:customStyle="1" w:styleId="msonormal0">
    <w:name w:val="msonormal"/>
    <w:basedOn w:val="Normal"/>
    <w:uiPriority w:val="99"/>
    <w:rsid w:val="00FD315F"/>
    <w:pPr>
      <w:spacing w:before="100" w:beforeAutospacing="1" w:after="100" w:afterAutospacing="1" w:line="276" w:lineRule="auto"/>
    </w:pPr>
    <w:rPr>
      <w:rFonts w:ascii="Times New Roman" w:eastAsia="Times New Roman" w:hAnsi="Times New Roman" w:cs="Times New Roman"/>
      <w:sz w:val="24"/>
      <w:szCs w:val="24"/>
      <w:lang w:eastAsia="lt-LT"/>
    </w:rPr>
  </w:style>
  <w:style w:type="paragraph" w:styleId="Index1">
    <w:name w:val="index 1"/>
    <w:basedOn w:val="Normal"/>
    <w:next w:val="Normal"/>
    <w:autoRedefine/>
    <w:uiPriority w:val="99"/>
    <w:semiHidden/>
    <w:unhideWhenUsed/>
    <w:rsid w:val="00FD315F"/>
    <w:pPr>
      <w:spacing w:after="0" w:line="240" w:lineRule="auto"/>
      <w:ind w:left="220" w:hanging="220"/>
    </w:pPr>
    <w:rPr>
      <w:rFonts w:ascii="Times New Roman" w:eastAsiaTheme="minorEastAsia" w:hAnsi="Times New Roman" w:cs="Times New Roman"/>
      <w:kern w:val="0"/>
      <w:sz w:val="24"/>
      <w:lang w:val="en-US"/>
      <w14:ligatures w14:val="none"/>
    </w:rPr>
  </w:style>
  <w:style w:type="paragraph" w:styleId="Index2">
    <w:name w:val="index 2"/>
    <w:basedOn w:val="Normal"/>
    <w:next w:val="Normal"/>
    <w:autoRedefine/>
    <w:uiPriority w:val="99"/>
    <w:semiHidden/>
    <w:unhideWhenUsed/>
    <w:rsid w:val="00FD315F"/>
    <w:pPr>
      <w:spacing w:after="0" w:line="240" w:lineRule="auto"/>
      <w:ind w:left="440" w:hanging="220"/>
    </w:pPr>
    <w:rPr>
      <w:rFonts w:ascii="Times New Roman" w:eastAsiaTheme="minorEastAsia" w:hAnsi="Times New Roman" w:cs="Times New Roman"/>
      <w:kern w:val="0"/>
      <w:sz w:val="24"/>
      <w:lang w:val="en-US"/>
      <w14:ligatures w14:val="none"/>
    </w:rPr>
  </w:style>
  <w:style w:type="paragraph" w:styleId="Index3">
    <w:name w:val="index 3"/>
    <w:basedOn w:val="Normal"/>
    <w:next w:val="Normal"/>
    <w:autoRedefine/>
    <w:uiPriority w:val="99"/>
    <w:semiHidden/>
    <w:unhideWhenUsed/>
    <w:rsid w:val="00FD315F"/>
    <w:pPr>
      <w:spacing w:after="0" w:line="240" w:lineRule="auto"/>
      <w:ind w:left="660" w:hanging="220"/>
    </w:pPr>
    <w:rPr>
      <w:rFonts w:ascii="Times New Roman" w:eastAsiaTheme="minorEastAsia" w:hAnsi="Times New Roman" w:cs="Times New Roman"/>
      <w:kern w:val="0"/>
      <w:sz w:val="24"/>
      <w:lang w:val="en-US"/>
      <w14:ligatures w14:val="none"/>
    </w:rPr>
  </w:style>
  <w:style w:type="paragraph" w:styleId="Index4">
    <w:name w:val="index 4"/>
    <w:basedOn w:val="Normal"/>
    <w:next w:val="Normal"/>
    <w:autoRedefine/>
    <w:uiPriority w:val="99"/>
    <w:semiHidden/>
    <w:unhideWhenUsed/>
    <w:rsid w:val="00FD315F"/>
    <w:pPr>
      <w:spacing w:after="0" w:line="240" w:lineRule="auto"/>
      <w:ind w:left="880" w:hanging="220"/>
    </w:pPr>
    <w:rPr>
      <w:rFonts w:ascii="Times New Roman" w:eastAsiaTheme="minorEastAsia" w:hAnsi="Times New Roman" w:cs="Times New Roman"/>
      <w:kern w:val="0"/>
      <w:sz w:val="24"/>
      <w:lang w:val="en-US"/>
      <w14:ligatures w14:val="none"/>
    </w:rPr>
  </w:style>
  <w:style w:type="paragraph" w:styleId="Index5">
    <w:name w:val="index 5"/>
    <w:basedOn w:val="Normal"/>
    <w:next w:val="Normal"/>
    <w:autoRedefine/>
    <w:uiPriority w:val="99"/>
    <w:semiHidden/>
    <w:unhideWhenUsed/>
    <w:rsid w:val="00FD315F"/>
    <w:pPr>
      <w:spacing w:after="0" w:line="240" w:lineRule="auto"/>
      <w:ind w:left="1100" w:hanging="220"/>
    </w:pPr>
    <w:rPr>
      <w:rFonts w:ascii="Times New Roman" w:eastAsiaTheme="minorEastAsia" w:hAnsi="Times New Roman" w:cs="Times New Roman"/>
      <w:kern w:val="0"/>
      <w:sz w:val="24"/>
      <w:lang w:val="en-US"/>
      <w14:ligatures w14:val="none"/>
    </w:rPr>
  </w:style>
  <w:style w:type="paragraph" w:styleId="Index6">
    <w:name w:val="index 6"/>
    <w:basedOn w:val="Normal"/>
    <w:next w:val="Normal"/>
    <w:autoRedefine/>
    <w:uiPriority w:val="99"/>
    <w:semiHidden/>
    <w:unhideWhenUsed/>
    <w:rsid w:val="00FD315F"/>
    <w:pPr>
      <w:spacing w:after="0" w:line="240" w:lineRule="auto"/>
      <w:ind w:left="1320" w:hanging="220"/>
    </w:pPr>
    <w:rPr>
      <w:rFonts w:ascii="Times New Roman" w:eastAsiaTheme="minorEastAsia" w:hAnsi="Times New Roman" w:cs="Times New Roman"/>
      <w:kern w:val="0"/>
      <w:sz w:val="24"/>
      <w:lang w:val="en-US"/>
      <w14:ligatures w14:val="none"/>
    </w:rPr>
  </w:style>
  <w:style w:type="paragraph" w:styleId="Index7">
    <w:name w:val="index 7"/>
    <w:basedOn w:val="Normal"/>
    <w:next w:val="Normal"/>
    <w:autoRedefine/>
    <w:uiPriority w:val="99"/>
    <w:semiHidden/>
    <w:unhideWhenUsed/>
    <w:rsid w:val="00FD315F"/>
    <w:pPr>
      <w:spacing w:after="0" w:line="240" w:lineRule="auto"/>
      <w:ind w:left="1540" w:hanging="220"/>
    </w:pPr>
    <w:rPr>
      <w:rFonts w:ascii="Times New Roman" w:eastAsiaTheme="minorEastAsia" w:hAnsi="Times New Roman" w:cs="Times New Roman"/>
      <w:kern w:val="0"/>
      <w:sz w:val="24"/>
      <w:lang w:val="en-US"/>
      <w14:ligatures w14:val="none"/>
    </w:rPr>
  </w:style>
  <w:style w:type="paragraph" w:styleId="Index8">
    <w:name w:val="index 8"/>
    <w:basedOn w:val="Normal"/>
    <w:next w:val="Normal"/>
    <w:autoRedefine/>
    <w:uiPriority w:val="99"/>
    <w:semiHidden/>
    <w:unhideWhenUsed/>
    <w:rsid w:val="00FD315F"/>
    <w:pPr>
      <w:spacing w:after="0" w:line="240" w:lineRule="auto"/>
      <w:ind w:left="1760" w:hanging="220"/>
    </w:pPr>
    <w:rPr>
      <w:rFonts w:ascii="Times New Roman" w:eastAsiaTheme="minorEastAsia" w:hAnsi="Times New Roman" w:cs="Times New Roman"/>
      <w:kern w:val="0"/>
      <w:sz w:val="24"/>
      <w:lang w:val="en-US"/>
      <w14:ligatures w14:val="none"/>
    </w:rPr>
  </w:style>
  <w:style w:type="paragraph" w:styleId="Index9">
    <w:name w:val="index 9"/>
    <w:basedOn w:val="Normal"/>
    <w:next w:val="Normal"/>
    <w:autoRedefine/>
    <w:uiPriority w:val="99"/>
    <w:semiHidden/>
    <w:unhideWhenUsed/>
    <w:rsid w:val="00FD315F"/>
    <w:pPr>
      <w:spacing w:after="0" w:line="240" w:lineRule="auto"/>
      <w:ind w:left="1980" w:hanging="220"/>
    </w:pPr>
    <w:rPr>
      <w:rFonts w:ascii="Times New Roman" w:eastAsiaTheme="minorEastAsia" w:hAnsi="Times New Roman" w:cs="Times New Roman"/>
      <w:kern w:val="0"/>
      <w:sz w:val="24"/>
      <w:lang w:val="en-US"/>
      <w14:ligatures w14:val="none"/>
    </w:rPr>
  </w:style>
  <w:style w:type="paragraph" w:styleId="TOC1">
    <w:name w:val="toc 1"/>
    <w:aliases w:val="rita"/>
    <w:basedOn w:val="Normal"/>
    <w:next w:val="Normal"/>
    <w:autoRedefine/>
    <w:uiPriority w:val="39"/>
    <w:semiHidden/>
    <w:unhideWhenUsed/>
    <w:rsid w:val="00FD315F"/>
    <w:pPr>
      <w:tabs>
        <w:tab w:val="right" w:leader="underscore" w:pos="9628"/>
      </w:tabs>
      <w:spacing w:after="0" w:line="240" w:lineRule="auto"/>
      <w:jc w:val="both"/>
    </w:pPr>
    <w:rPr>
      <w:rFonts w:ascii="Times New Roman" w:hAnsi="Times New Roman" w:cs="Times New Roman"/>
      <w:bCs/>
      <w:kern w:val="0"/>
      <w:sz w:val="24"/>
      <w:szCs w:val="20"/>
      <w14:ligatures w14:val="none"/>
    </w:rPr>
  </w:style>
  <w:style w:type="paragraph" w:styleId="TOC2">
    <w:name w:val="toc 2"/>
    <w:basedOn w:val="Normal"/>
    <w:next w:val="Normal"/>
    <w:autoRedefine/>
    <w:uiPriority w:val="39"/>
    <w:semiHidden/>
    <w:unhideWhenUsed/>
    <w:rsid w:val="00FD315F"/>
    <w:pPr>
      <w:tabs>
        <w:tab w:val="right" w:leader="dot" w:pos="9628"/>
      </w:tabs>
      <w:spacing w:after="0" w:line="240" w:lineRule="auto"/>
      <w:jc w:val="both"/>
    </w:pPr>
    <w:rPr>
      <w:rFonts w:ascii="Times New Roman" w:hAnsi="Times New Roman" w:cs="Times New Roman"/>
      <w:smallCaps/>
      <w:kern w:val="0"/>
      <w:sz w:val="20"/>
      <w:szCs w:val="20"/>
      <w14:ligatures w14:val="none"/>
    </w:rPr>
  </w:style>
  <w:style w:type="paragraph" w:styleId="TOC3">
    <w:name w:val="toc 3"/>
    <w:basedOn w:val="Normal"/>
    <w:next w:val="Normal"/>
    <w:autoRedefine/>
    <w:uiPriority w:val="39"/>
    <w:semiHidden/>
    <w:unhideWhenUsed/>
    <w:rsid w:val="00FD315F"/>
    <w:pPr>
      <w:spacing w:after="0" w:line="240" w:lineRule="auto"/>
      <w:ind w:left="440"/>
    </w:pPr>
    <w:rPr>
      <w:rFonts w:ascii="Times New Roman" w:hAnsi="Times New Roman" w:cs="Times New Roman"/>
      <w:i/>
      <w:iCs/>
      <w:kern w:val="0"/>
      <w:sz w:val="20"/>
      <w:szCs w:val="20"/>
      <w14:ligatures w14:val="none"/>
    </w:rPr>
  </w:style>
  <w:style w:type="paragraph" w:styleId="TOC4">
    <w:name w:val="toc 4"/>
    <w:basedOn w:val="Normal"/>
    <w:next w:val="Normal"/>
    <w:autoRedefine/>
    <w:uiPriority w:val="39"/>
    <w:semiHidden/>
    <w:unhideWhenUsed/>
    <w:rsid w:val="00FD315F"/>
    <w:pPr>
      <w:spacing w:after="0" w:line="240" w:lineRule="auto"/>
      <w:ind w:left="660"/>
    </w:pPr>
    <w:rPr>
      <w:rFonts w:ascii="Times New Roman" w:hAnsi="Times New Roman" w:cs="Times New Roman"/>
      <w:kern w:val="0"/>
      <w:sz w:val="18"/>
      <w:szCs w:val="18"/>
      <w14:ligatures w14:val="none"/>
    </w:rPr>
  </w:style>
  <w:style w:type="paragraph" w:styleId="TOC5">
    <w:name w:val="toc 5"/>
    <w:basedOn w:val="Normal"/>
    <w:next w:val="Normal"/>
    <w:autoRedefine/>
    <w:uiPriority w:val="39"/>
    <w:semiHidden/>
    <w:unhideWhenUsed/>
    <w:rsid w:val="00FD315F"/>
    <w:pPr>
      <w:spacing w:after="0" w:line="240" w:lineRule="auto"/>
      <w:ind w:left="880"/>
    </w:pPr>
    <w:rPr>
      <w:rFonts w:ascii="Times New Roman" w:hAnsi="Times New Roman" w:cs="Times New Roman"/>
      <w:kern w:val="0"/>
      <w:sz w:val="18"/>
      <w:szCs w:val="18"/>
      <w14:ligatures w14:val="none"/>
    </w:rPr>
  </w:style>
  <w:style w:type="paragraph" w:styleId="TOC6">
    <w:name w:val="toc 6"/>
    <w:basedOn w:val="Normal"/>
    <w:next w:val="Normal"/>
    <w:autoRedefine/>
    <w:uiPriority w:val="39"/>
    <w:semiHidden/>
    <w:unhideWhenUsed/>
    <w:rsid w:val="00FD315F"/>
    <w:pPr>
      <w:spacing w:after="0" w:line="240" w:lineRule="auto"/>
      <w:ind w:left="1100"/>
    </w:pPr>
    <w:rPr>
      <w:rFonts w:ascii="Times New Roman" w:hAnsi="Times New Roman" w:cs="Times New Roman"/>
      <w:kern w:val="0"/>
      <w:sz w:val="18"/>
      <w:szCs w:val="18"/>
      <w14:ligatures w14:val="none"/>
    </w:rPr>
  </w:style>
  <w:style w:type="paragraph" w:styleId="TOC7">
    <w:name w:val="toc 7"/>
    <w:basedOn w:val="Normal"/>
    <w:next w:val="Normal"/>
    <w:autoRedefine/>
    <w:uiPriority w:val="39"/>
    <w:semiHidden/>
    <w:unhideWhenUsed/>
    <w:rsid w:val="00FD315F"/>
    <w:pPr>
      <w:spacing w:after="0" w:line="240" w:lineRule="auto"/>
      <w:ind w:left="1320"/>
    </w:pPr>
    <w:rPr>
      <w:rFonts w:ascii="Times New Roman" w:hAnsi="Times New Roman" w:cs="Times New Roman"/>
      <w:kern w:val="0"/>
      <w:sz w:val="18"/>
      <w:szCs w:val="18"/>
      <w14:ligatures w14:val="none"/>
    </w:rPr>
  </w:style>
  <w:style w:type="paragraph" w:styleId="TOC8">
    <w:name w:val="toc 8"/>
    <w:basedOn w:val="Normal"/>
    <w:next w:val="Normal"/>
    <w:autoRedefine/>
    <w:uiPriority w:val="39"/>
    <w:semiHidden/>
    <w:unhideWhenUsed/>
    <w:rsid w:val="00FD315F"/>
    <w:pPr>
      <w:spacing w:after="0" w:line="240" w:lineRule="auto"/>
      <w:ind w:left="1540"/>
    </w:pPr>
    <w:rPr>
      <w:rFonts w:ascii="Times New Roman" w:hAnsi="Times New Roman" w:cs="Times New Roman"/>
      <w:kern w:val="0"/>
      <w:sz w:val="18"/>
      <w:szCs w:val="18"/>
      <w14:ligatures w14:val="none"/>
    </w:rPr>
  </w:style>
  <w:style w:type="paragraph" w:styleId="TOC9">
    <w:name w:val="toc 9"/>
    <w:basedOn w:val="Normal"/>
    <w:next w:val="Normal"/>
    <w:autoRedefine/>
    <w:uiPriority w:val="39"/>
    <w:semiHidden/>
    <w:unhideWhenUsed/>
    <w:rsid w:val="00FD315F"/>
    <w:pPr>
      <w:spacing w:after="0" w:line="240" w:lineRule="auto"/>
      <w:ind w:left="1760"/>
    </w:pPr>
    <w:rPr>
      <w:rFonts w:ascii="Times New Roman" w:hAnsi="Times New Roman" w:cs="Times New Roman"/>
      <w:kern w:val="0"/>
      <w:sz w:val="18"/>
      <w:szCs w:val="18"/>
      <w14:ligatures w14:val="none"/>
    </w:rPr>
  </w:style>
  <w:style w:type="paragraph" w:styleId="NormalIndent">
    <w:name w:val="Normal Indent"/>
    <w:basedOn w:val="Normal"/>
    <w:uiPriority w:val="99"/>
    <w:semiHidden/>
    <w:unhideWhenUsed/>
    <w:rsid w:val="00FD315F"/>
    <w:pPr>
      <w:spacing w:after="200" w:line="276" w:lineRule="auto"/>
      <w:ind w:left="720"/>
    </w:pPr>
    <w:rPr>
      <w:rFonts w:ascii="Times New Roman" w:eastAsiaTheme="minorEastAsia" w:hAnsi="Times New Roman" w:cs="Times New Roman"/>
      <w:kern w:val="0"/>
      <w:sz w:val="24"/>
      <w:lang w:val="en-US"/>
      <w14:ligatures w14:val="none"/>
    </w:rPr>
  </w:style>
  <w:style w:type="character" w:customStyle="1" w:styleId="AntratsDiagrama1">
    <w:name w:val="Antraštės Diagrama1"/>
    <w:aliases w:val="Char Diagrama1,Diagrama Diagrama1,Hipersaitas1 Diagrama1,Char Diagrama Diagrama Diagrama1,Diagrama Diagrama Diagrama Diagrama1,Char Char Char Char Diagrama1,Char Char Char1 Diagrama1,Char Char1 Diagrama1"/>
    <w:basedOn w:val="DefaultParagraphFont"/>
    <w:uiPriority w:val="99"/>
    <w:semiHidden/>
    <w:rsid w:val="00FD315F"/>
    <w:rPr>
      <w:sz w:val="24"/>
      <w:szCs w:val="24"/>
    </w:rPr>
  </w:style>
  <w:style w:type="paragraph" w:styleId="IndexHeading">
    <w:name w:val="index heading"/>
    <w:basedOn w:val="Normal"/>
    <w:next w:val="Index1"/>
    <w:uiPriority w:val="99"/>
    <w:semiHidden/>
    <w:unhideWhenUsed/>
    <w:rsid w:val="00FD315F"/>
    <w:pPr>
      <w:spacing w:after="200" w:line="276" w:lineRule="auto"/>
    </w:pPr>
    <w:rPr>
      <w:rFonts w:asciiTheme="majorHAnsi" w:eastAsiaTheme="majorEastAsia" w:hAnsiTheme="majorHAnsi" w:cstheme="majorBidi"/>
      <w:b/>
      <w:bCs/>
      <w:kern w:val="0"/>
      <w:sz w:val="24"/>
      <w:lang w:val="en-US"/>
      <w14:ligatures w14:val="none"/>
    </w:rPr>
  </w:style>
  <w:style w:type="paragraph" w:styleId="Caption">
    <w:name w:val="caption"/>
    <w:basedOn w:val="Normal"/>
    <w:next w:val="Normal"/>
    <w:uiPriority w:val="35"/>
    <w:semiHidden/>
    <w:unhideWhenUsed/>
    <w:qFormat/>
    <w:rsid w:val="00FD315F"/>
    <w:pPr>
      <w:spacing w:after="200" w:line="240" w:lineRule="auto"/>
    </w:pPr>
    <w:rPr>
      <w:rFonts w:ascii="Times New Roman" w:eastAsiaTheme="minorEastAsia" w:hAnsi="Times New Roman" w:cs="Times New Roman"/>
      <w:b/>
      <w:bCs/>
      <w:color w:val="156082" w:themeColor="accent1"/>
      <w:kern w:val="0"/>
      <w:sz w:val="18"/>
      <w:szCs w:val="18"/>
      <w:lang w:val="en-US"/>
      <w14:ligatures w14:val="none"/>
    </w:rPr>
  </w:style>
  <w:style w:type="paragraph" w:styleId="TableofFigures">
    <w:name w:val="table of figures"/>
    <w:basedOn w:val="Normal"/>
    <w:next w:val="Normal"/>
    <w:uiPriority w:val="99"/>
    <w:semiHidden/>
    <w:unhideWhenUsed/>
    <w:rsid w:val="00FD315F"/>
    <w:pPr>
      <w:spacing w:after="0" w:line="276" w:lineRule="auto"/>
    </w:pPr>
    <w:rPr>
      <w:rFonts w:ascii="Times New Roman" w:eastAsiaTheme="minorEastAsia" w:hAnsi="Times New Roman" w:cs="Times New Roman"/>
      <w:kern w:val="0"/>
      <w:sz w:val="24"/>
      <w:lang w:val="en-US"/>
      <w14:ligatures w14:val="none"/>
    </w:rPr>
  </w:style>
  <w:style w:type="paragraph" w:styleId="EnvelopeAddress">
    <w:name w:val="envelope address"/>
    <w:basedOn w:val="Normal"/>
    <w:uiPriority w:val="99"/>
    <w:semiHidden/>
    <w:unhideWhenUsed/>
    <w:rsid w:val="00FD315F"/>
    <w:pPr>
      <w:framePr w:w="7920" w:h="1980" w:hSpace="180" w:wrap="auto" w:hAnchor="page" w:xAlign="center" w:yAlign="bottom"/>
      <w:spacing w:after="0" w:line="240" w:lineRule="auto"/>
      <w:ind w:left="2880"/>
    </w:pPr>
    <w:rPr>
      <w:rFonts w:asciiTheme="majorHAnsi" w:eastAsiaTheme="majorEastAsia" w:hAnsiTheme="majorHAnsi" w:cstheme="majorBidi"/>
      <w:kern w:val="0"/>
      <w:sz w:val="24"/>
      <w:lang w:val="en-US"/>
      <w14:ligatures w14:val="none"/>
    </w:rPr>
  </w:style>
  <w:style w:type="paragraph" w:styleId="EnvelopeReturn">
    <w:name w:val="envelope return"/>
    <w:basedOn w:val="Normal"/>
    <w:uiPriority w:val="99"/>
    <w:semiHidden/>
    <w:unhideWhenUsed/>
    <w:rsid w:val="00FD315F"/>
    <w:pPr>
      <w:spacing w:after="0" w:line="240" w:lineRule="auto"/>
    </w:pPr>
    <w:rPr>
      <w:rFonts w:asciiTheme="majorHAnsi" w:eastAsiaTheme="majorEastAsia" w:hAnsiTheme="majorHAnsi" w:cstheme="majorBidi"/>
      <w:kern w:val="0"/>
      <w:sz w:val="24"/>
      <w:lang w:val="en-US"/>
      <w14:ligatures w14:val="none"/>
    </w:rPr>
  </w:style>
  <w:style w:type="paragraph" w:styleId="EndnoteText">
    <w:name w:val="endnote text"/>
    <w:basedOn w:val="Normal"/>
    <w:link w:val="EndnoteTextChar"/>
    <w:uiPriority w:val="99"/>
    <w:semiHidden/>
    <w:unhideWhenUsed/>
    <w:rsid w:val="00FD315F"/>
    <w:pPr>
      <w:spacing w:after="0" w:line="240" w:lineRule="auto"/>
    </w:pPr>
    <w:rPr>
      <w:rFonts w:ascii="Times New Roman" w:eastAsiaTheme="minorEastAsia" w:hAnsi="Times New Roman" w:cs="Times New Roman"/>
      <w:kern w:val="0"/>
      <w:sz w:val="24"/>
      <w:lang w:val="en-US"/>
      <w14:ligatures w14:val="none"/>
    </w:rPr>
  </w:style>
  <w:style w:type="character" w:customStyle="1" w:styleId="EndnoteTextChar">
    <w:name w:val="Endnote Text Char"/>
    <w:basedOn w:val="DefaultParagraphFont"/>
    <w:link w:val="EndnoteText"/>
    <w:uiPriority w:val="99"/>
    <w:semiHidden/>
    <w:rsid w:val="00FD315F"/>
    <w:rPr>
      <w:rFonts w:ascii="Times New Roman" w:eastAsiaTheme="minorEastAsia" w:hAnsi="Times New Roman" w:cs="Times New Roman"/>
      <w:kern w:val="0"/>
      <w:sz w:val="24"/>
      <w:lang w:val="en-US"/>
      <w14:ligatures w14:val="none"/>
    </w:rPr>
  </w:style>
  <w:style w:type="paragraph" w:styleId="TableofAuthorities">
    <w:name w:val="table of authorities"/>
    <w:basedOn w:val="Normal"/>
    <w:next w:val="Normal"/>
    <w:uiPriority w:val="99"/>
    <w:semiHidden/>
    <w:unhideWhenUsed/>
    <w:rsid w:val="00FD315F"/>
    <w:pPr>
      <w:spacing w:after="0" w:line="276" w:lineRule="auto"/>
      <w:ind w:left="220" w:hanging="220"/>
    </w:pPr>
    <w:rPr>
      <w:rFonts w:ascii="Times New Roman" w:eastAsiaTheme="minorEastAsia" w:hAnsi="Times New Roman" w:cs="Times New Roman"/>
      <w:kern w:val="0"/>
      <w:sz w:val="24"/>
      <w:lang w:val="en-US"/>
      <w14:ligatures w14:val="none"/>
    </w:rPr>
  </w:style>
  <w:style w:type="paragraph" w:styleId="MacroText">
    <w:name w:val="macro"/>
    <w:link w:val="MacroTextChar"/>
    <w:uiPriority w:val="99"/>
    <w:semiHidden/>
    <w:unhideWhenUsed/>
    <w:rsid w:val="00FD315F"/>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eastAsiaTheme="minorEastAsia" w:hAnsi="Consolas" w:cs="Consolas"/>
      <w:kern w:val="0"/>
      <w:lang w:val="en-US"/>
      <w14:ligatures w14:val="none"/>
    </w:rPr>
  </w:style>
  <w:style w:type="character" w:customStyle="1" w:styleId="MacroTextChar">
    <w:name w:val="Macro Text Char"/>
    <w:basedOn w:val="DefaultParagraphFont"/>
    <w:link w:val="MacroText"/>
    <w:uiPriority w:val="99"/>
    <w:semiHidden/>
    <w:rsid w:val="00FD315F"/>
    <w:rPr>
      <w:rFonts w:ascii="Consolas" w:eastAsiaTheme="minorEastAsia" w:hAnsi="Consolas" w:cs="Consolas"/>
      <w:kern w:val="0"/>
      <w:lang w:val="en-US"/>
      <w14:ligatures w14:val="none"/>
    </w:rPr>
  </w:style>
  <w:style w:type="paragraph" w:styleId="TOAHeading">
    <w:name w:val="toa heading"/>
    <w:basedOn w:val="Normal"/>
    <w:next w:val="Normal"/>
    <w:uiPriority w:val="99"/>
    <w:semiHidden/>
    <w:unhideWhenUsed/>
    <w:rsid w:val="00FD315F"/>
    <w:pPr>
      <w:spacing w:before="120" w:after="200" w:line="276" w:lineRule="auto"/>
    </w:pPr>
    <w:rPr>
      <w:rFonts w:asciiTheme="majorHAnsi" w:eastAsiaTheme="majorEastAsia" w:hAnsiTheme="majorHAnsi" w:cstheme="majorBidi"/>
      <w:b/>
      <w:bCs/>
      <w:kern w:val="0"/>
      <w:sz w:val="24"/>
      <w:lang w:val="en-US"/>
      <w14:ligatures w14:val="none"/>
    </w:rPr>
  </w:style>
  <w:style w:type="paragraph" w:styleId="List">
    <w:name w:val="List"/>
    <w:basedOn w:val="Normal"/>
    <w:uiPriority w:val="99"/>
    <w:semiHidden/>
    <w:unhideWhenUsed/>
    <w:rsid w:val="00FD315F"/>
    <w:pPr>
      <w:spacing w:after="200" w:line="276" w:lineRule="auto"/>
      <w:ind w:left="360" w:hanging="360"/>
      <w:contextualSpacing/>
    </w:pPr>
    <w:rPr>
      <w:rFonts w:ascii="Times New Roman" w:eastAsiaTheme="minorEastAsia" w:hAnsi="Times New Roman" w:cs="Times New Roman"/>
      <w:kern w:val="0"/>
      <w:sz w:val="24"/>
      <w:lang w:val="en-US"/>
      <w14:ligatures w14:val="none"/>
    </w:rPr>
  </w:style>
  <w:style w:type="paragraph" w:styleId="ListBullet">
    <w:name w:val="List Bullet"/>
    <w:basedOn w:val="Normal"/>
    <w:uiPriority w:val="1"/>
    <w:semiHidden/>
    <w:unhideWhenUsed/>
    <w:rsid w:val="00FD315F"/>
    <w:pPr>
      <w:numPr>
        <w:numId w:val="4"/>
      </w:numPr>
      <w:spacing w:after="40" w:line="276" w:lineRule="auto"/>
      <w:ind w:left="0" w:firstLine="0"/>
    </w:pPr>
    <w:rPr>
      <w:rFonts w:ascii="Times New Roman" w:eastAsiaTheme="minorEastAsia" w:hAnsi="Times New Roman" w:cs="Times New Roman"/>
      <w:kern w:val="0"/>
      <w:sz w:val="24"/>
      <w:lang w:val="en-US"/>
      <w14:ligatures w14:val="none"/>
    </w:rPr>
  </w:style>
  <w:style w:type="paragraph" w:styleId="ListNumber">
    <w:name w:val="List Number"/>
    <w:basedOn w:val="Normal"/>
    <w:uiPriority w:val="1"/>
    <w:semiHidden/>
    <w:unhideWhenUsed/>
    <w:rsid w:val="00FD315F"/>
    <w:pPr>
      <w:numPr>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2">
    <w:name w:val="List 2"/>
    <w:basedOn w:val="Normal"/>
    <w:uiPriority w:val="99"/>
    <w:semiHidden/>
    <w:unhideWhenUsed/>
    <w:rsid w:val="00FD315F"/>
    <w:pPr>
      <w:spacing w:after="200" w:line="276" w:lineRule="auto"/>
      <w:ind w:left="720" w:hanging="360"/>
      <w:contextualSpacing/>
    </w:pPr>
    <w:rPr>
      <w:rFonts w:ascii="Times New Roman" w:eastAsiaTheme="minorEastAsia" w:hAnsi="Times New Roman" w:cs="Times New Roman"/>
      <w:kern w:val="0"/>
      <w:sz w:val="24"/>
      <w:lang w:val="en-US"/>
      <w14:ligatures w14:val="none"/>
    </w:rPr>
  </w:style>
  <w:style w:type="paragraph" w:styleId="List3">
    <w:name w:val="List 3"/>
    <w:basedOn w:val="Normal"/>
    <w:uiPriority w:val="99"/>
    <w:semiHidden/>
    <w:unhideWhenUsed/>
    <w:rsid w:val="00FD315F"/>
    <w:pPr>
      <w:spacing w:after="200" w:line="276" w:lineRule="auto"/>
      <w:ind w:left="1080" w:hanging="360"/>
      <w:contextualSpacing/>
    </w:pPr>
    <w:rPr>
      <w:rFonts w:ascii="Times New Roman" w:eastAsiaTheme="minorEastAsia" w:hAnsi="Times New Roman" w:cs="Times New Roman"/>
      <w:kern w:val="0"/>
      <w:sz w:val="24"/>
      <w:lang w:val="en-US"/>
      <w14:ligatures w14:val="none"/>
    </w:rPr>
  </w:style>
  <w:style w:type="paragraph" w:styleId="List4">
    <w:name w:val="List 4"/>
    <w:basedOn w:val="Normal"/>
    <w:uiPriority w:val="99"/>
    <w:semiHidden/>
    <w:unhideWhenUsed/>
    <w:rsid w:val="00FD315F"/>
    <w:pPr>
      <w:spacing w:after="200" w:line="276" w:lineRule="auto"/>
      <w:ind w:left="1440" w:hanging="360"/>
      <w:contextualSpacing/>
    </w:pPr>
    <w:rPr>
      <w:rFonts w:ascii="Times New Roman" w:eastAsiaTheme="minorEastAsia" w:hAnsi="Times New Roman" w:cs="Times New Roman"/>
      <w:kern w:val="0"/>
      <w:sz w:val="24"/>
      <w:lang w:val="en-US"/>
      <w14:ligatures w14:val="none"/>
    </w:rPr>
  </w:style>
  <w:style w:type="paragraph" w:styleId="List5">
    <w:name w:val="List 5"/>
    <w:basedOn w:val="Normal"/>
    <w:uiPriority w:val="99"/>
    <w:semiHidden/>
    <w:unhideWhenUsed/>
    <w:rsid w:val="00FD315F"/>
    <w:pPr>
      <w:spacing w:after="200" w:line="276" w:lineRule="auto"/>
      <w:ind w:left="1800" w:hanging="360"/>
      <w:contextualSpacing/>
    </w:pPr>
    <w:rPr>
      <w:rFonts w:ascii="Times New Roman" w:eastAsiaTheme="minorEastAsia" w:hAnsi="Times New Roman" w:cs="Times New Roman"/>
      <w:kern w:val="0"/>
      <w:sz w:val="24"/>
      <w:lang w:val="en-US"/>
      <w14:ligatures w14:val="none"/>
    </w:rPr>
  </w:style>
  <w:style w:type="paragraph" w:styleId="ListBullet2">
    <w:name w:val="List Bullet 2"/>
    <w:basedOn w:val="Normal"/>
    <w:uiPriority w:val="99"/>
    <w:semiHidden/>
    <w:unhideWhenUsed/>
    <w:rsid w:val="00FD315F"/>
    <w:pPr>
      <w:numPr>
        <w:numId w:val="6"/>
      </w:numPr>
      <w:tabs>
        <w:tab w:val="clear" w:pos="720"/>
      </w:tabs>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Bullet3">
    <w:name w:val="List Bullet 3"/>
    <w:basedOn w:val="Normal"/>
    <w:uiPriority w:val="99"/>
    <w:semiHidden/>
    <w:unhideWhenUsed/>
    <w:rsid w:val="00FD315F"/>
    <w:pPr>
      <w:numPr>
        <w:numId w:val="7"/>
      </w:numPr>
      <w:tabs>
        <w:tab w:val="clear" w:pos="1080"/>
      </w:tabs>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Bullet4">
    <w:name w:val="List Bullet 4"/>
    <w:basedOn w:val="Normal"/>
    <w:uiPriority w:val="99"/>
    <w:semiHidden/>
    <w:unhideWhenUsed/>
    <w:rsid w:val="00FD315F"/>
    <w:pPr>
      <w:numPr>
        <w:numId w:val="8"/>
      </w:numPr>
      <w:tabs>
        <w:tab w:val="clear" w:pos="1440"/>
      </w:tabs>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Bullet5">
    <w:name w:val="List Bullet 5"/>
    <w:basedOn w:val="Normal"/>
    <w:uiPriority w:val="99"/>
    <w:semiHidden/>
    <w:unhideWhenUsed/>
    <w:rsid w:val="00FD315F"/>
    <w:pPr>
      <w:numPr>
        <w:numId w:val="9"/>
      </w:numPr>
      <w:tabs>
        <w:tab w:val="clear" w:pos="1800"/>
      </w:tabs>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Number2">
    <w:name w:val="List Number 2"/>
    <w:basedOn w:val="Normal"/>
    <w:uiPriority w:val="1"/>
    <w:semiHidden/>
    <w:unhideWhenUsed/>
    <w:rsid w:val="00FD315F"/>
    <w:pPr>
      <w:numPr>
        <w:ilvl w:val="1"/>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Number3">
    <w:name w:val="List Number 3"/>
    <w:basedOn w:val="Normal"/>
    <w:uiPriority w:val="18"/>
    <w:semiHidden/>
    <w:unhideWhenUsed/>
    <w:rsid w:val="00FD315F"/>
    <w:pPr>
      <w:numPr>
        <w:ilvl w:val="2"/>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Number4">
    <w:name w:val="List Number 4"/>
    <w:basedOn w:val="Normal"/>
    <w:uiPriority w:val="18"/>
    <w:semiHidden/>
    <w:unhideWhenUsed/>
    <w:rsid w:val="00FD315F"/>
    <w:pPr>
      <w:numPr>
        <w:ilvl w:val="3"/>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Number5">
    <w:name w:val="List Number 5"/>
    <w:basedOn w:val="Normal"/>
    <w:uiPriority w:val="18"/>
    <w:semiHidden/>
    <w:unhideWhenUsed/>
    <w:rsid w:val="00FD315F"/>
    <w:pPr>
      <w:numPr>
        <w:ilvl w:val="4"/>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Closing">
    <w:name w:val="Closing"/>
    <w:basedOn w:val="Normal"/>
    <w:link w:val="ClosingChar"/>
    <w:uiPriority w:val="99"/>
    <w:semiHidden/>
    <w:unhideWhenUsed/>
    <w:rsid w:val="00FD315F"/>
    <w:pPr>
      <w:spacing w:after="0" w:line="240" w:lineRule="auto"/>
      <w:ind w:left="4320"/>
    </w:pPr>
    <w:rPr>
      <w:rFonts w:ascii="Times New Roman" w:eastAsiaTheme="minorEastAsia" w:hAnsi="Times New Roman" w:cs="Times New Roman"/>
      <w:kern w:val="0"/>
      <w:sz w:val="24"/>
      <w:lang w:val="en-US"/>
      <w14:ligatures w14:val="none"/>
    </w:rPr>
  </w:style>
  <w:style w:type="character" w:customStyle="1" w:styleId="ClosingChar">
    <w:name w:val="Closing Char"/>
    <w:basedOn w:val="DefaultParagraphFont"/>
    <w:link w:val="Closing"/>
    <w:uiPriority w:val="99"/>
    <w:semiHidden/>
    <w:rsid w:val="00FD315F"/>
    <w:rPr>
      <w:rFonts w:ascii="Times New Roman" w:eastAsiaTheme="minorEastAsia" w:hAnsi="Times New Roman" w:cs="Times New Roman"/>
      <w:kern w:val="0"/>
      <w:sz w:val="24"/>
      <w:lang w:val="en-US"/>
      <w14:ligatures w14:val="none"/>
    </w:rPr>
  </w:style>
  <w:style w:type="paragraph" w:styleId="Signature">
    <w:name w:val="Signature"/>
    <w:basedOn w:val="Normal"/>
    <w:link w:val="SignatureChar"/>
    <w:uiPriority w:val="9"/>
    <w:semiHidden/>
    <w:unhideWhenUsed/>
    <w:rsid w:val="00FD315F"/>
    <w:pPr>
      <w:spacing w:before="720" w:after="0" w:line="312" w:lineRule="auto"/>
      <w:contextualSpacing/>
    </w:pPr>
    <w:rPr>
      <w:rFonts w:ascii="Times New Roman" w:eastAsiaTheme="minorEastAsia" w:hAnsi="Times New Roman" w:cs="Times New Roman"/>
      <w:kern w:val="0"/>
      <w:sz w:val="24"/>
      <w:lang w:val="en-US"/>
      <w14:ligatures w14:val="none"/>
    </w:rPr>
  </w:style>
  <w:style w:type="character" w:customStyle="1" w:styleId="SignatureChar">
    <w:name w:val="Signature Char"/>
    <w:basedOn w:val="DefaultParagraphFont"/>
    <w:link w:val="Signature"/>
    <w:uiPriority w:val="9"/>
    <w:semiHidden/>
    <w:rsid w:val="00FD315F"/>
    <w:rPr>
      <w:rFonts w:ascii="Times New Roman" w:eastAsiaTheme="minorEastAsia" w:hAnsi="Times New Roman" w:cs="Times New Roman"/>
      <w:kern w:val="0"/>
      <w:sz w:val="24"/>
      <w:lang w:val="en-US"/>
      <w14:ligatures w14:val="none"/>
    </w:rPr>
  </w:style>
  <w:style w:type="paragraph" w:styleId="BodyText">
    <w:name w:val="Body Text"/>
    <w:basedOn w:val="Normal"/>
    <w:link w:val="BodyTextChar"/>
    <w:uiPriority w:val="99"/>
    <w:semiHidden/>
    <w:unhideWhenUsed/>
    <w:rsid w:val="00FD315F"/>
    <w:pPr>
      <w:spacing w:after="120" w:line="276" w:lineRule="auto"/>
    </w:pPr>
    <w:rPr>
      <w:rFonts w:ascii="Times New Roman" w:eastAsiaTheme="minorEastAsia" w:hAnsi="Times New Roman" w:cs="Times New Roman"/>
      <w:kern w:val="0"/>
      <w:sz w:val="24"/>
      <w:lang w:val="en-US"/>
      <w14:ligatures w14:val="none"/>
    </w:rPr>
  </w:style>
  <w:style w:type="character" w:customStyle="1" w:styleId="BodyTextChar">
    <w:name w:val="Body Text Char"/>
    <w:basedOn w:val="DefaultParagraphFont"/>
    <w:link w:val="BodyText"/>
    <w:uiPriority w:val="99"/>
    <w:semiHidden/>
    <w:rsid w:val="00FD315F"/>
    <w:rPr>
      <w:rFonts w:ascii="Times New Roman" w:eastAsiaTheme="minorEastAsia" w:hAnsi="Times New Roman" w:cs="Times New Roman"/>
      <w:kern w:val="0"/>
      <w:sz w:val="24"/>
      <w:lang w:val="en-US"/>
      <w14:ligatures w14:val="none"/>
    </w:rPr>
  </w:style>
  <w:style w:type="paragraph" w:styleId="BodyTextIndent">
    <w:name w:val="Body Text Indent"/>
    <w:basedOn w:val="Normal"/>
    <w:link w:val="BodyTextIndentChar"/>
    <w:uiPriority w:val="99"/>
    <w:semiHidden/>
    <w:unhideWhenUsed/>
    <w:rsid w:val="00FD315F"/>
    <w:pPr>
      <w:spacing w:after="120" w:line="276" w:lineRule="auto"/>
      <w:ind w:left="360"/>
    </w:pPr>
    <w:rPr>
      <w:rFonts w:ascii="Times New Roman" w:eastAsiaTheme="minorEastAsia" w:hAnsi="Times New Roman" w:cs="Times New Roman"/>
      <w:kern w:val="0"/>
      <w:sz w:val="24"/>
      <w:lang w:val="en-US"/>
      <w14:ligatures w14:val="none"/>
    </w:rPr>
  </w:style>
  <w:style w:type="character" w:customStyle="1" w:styleId="BodyTextIndentChar">
    <w:name w:val="Body Text Indent Char"/>
    <w:basedOn w:val="DefaultParagraphFont"/>
    <w:link w:val="BodyTextIndent"/>
    <w:uiPriority w:val="99"/>
    <w:semiHidden/>
    <w:rsid w:val="00FD315F"/>
    <w:rPr>
      <w:rFonts w:ascii="Times New Roman" w:eastAsiaTheme="minorEastAsia" w:hAnsi="Times New Roman" w:cs="Times New Roman"/>
      <w:kern w:val="0"/>
      <w:sz w:val="24"/>
      <w:lang w:val="en-US"/>
      <w14:ligatures w14:val="none"/>
    </w:rPr>
  </w:style>
  <w:style w:type="paragraph" w:styleId="ListContinue">
    <w:name w:val="List Continue"/>
    <w:basedOn w:val="Normal"/>
    <w:uiPriority w:val="99"/>
    <w:semiHidden/>
    <w:unhideWhenUsed/>
    <w:rsid w:val="00FD315F"/>
    <w:pPr>
      <w:spacing w:after="120" w:line="276" w:lineRule="auto"/>
      <w:ind w:left="360"/>
      <w:contextualSpacing/>
    </w:pPr>
    <w:rPr>
      <w:rFonts w:ascii="Times New Roman" w:eastAsiaTheme="minorEastAsia" w:hAnsi="Times New Roman" w:cs="Times New Roman"/>
      <w:kern w:val="0"/>
      <w:sz w:val="24"/>
      <w:lang w:val="en-US"/>
      <w14:ligatures w14:val="none"/>
    </w:rPr>
  </w:style>
  <w:style w:type="paragraph" w:styleId="ListContinue2">
    <w:name w:val="List Continue 2"/>
    <w:basedOn w:val="Normal"/>
    <w:uiPriority w:val="99"/>
    <w:semiHidden/>
    <w:unhideWhenUsed/>
    <w:rsid w:val="00FD315F"/>
    <w:pPr>
      <w:spacing w:after="120" w:line="276" w:lineRule="auto"/>
      <w:ind w:left="720"/>
      <w:contextualSpacing/>
    </w:pPr>
    <w:rPr>
      <w:rFonts w:ascii="Times New Roman" w:eastAsiaTheme="minorEastAsia" w:hAnsi="Times New Roman" w:cs="Times New Roman"/>
      <w:kern w:val="0"/>
      <w:sz w:val="24"/>
      <w:lang w:val="en-US"/>
      <w14:ligatures w14:val="none"/>
    </w:rPr>
  </w:style>
  <w:style w:type="paragraph" w:styleId="ListContinue3">
    <w:name w:val="List Continue 3"/>
    <w:basedOn w:val="Normal"/>
    <w:uiPriority w:val="99"/>
    <w:semiHidden/>
    <w:unhideWhenUsed/>
    <w:rsid w:val="00FD315F"/>
    <w:pPr>
      <w:spacing w:after="120" w:line="276" w:lineRule="auto"/>
      <w:ind w:left="1080"/>
      <w:contextualSpacing/>
    </w:pPr>
    <w:rPr>
      <w:rFonts w:ascii="Times New Roman" w:eastAsiaTheme="minorEastAsia" w:hAnsi="Times New Roman" w:cs="Times New Roman"/>
      <w:kern w:val="0"/>
      <w:sz w:val="24"/>
      <w:lang w:val="en-US"/>
      <w14:ligatures w14:val="none"/>
    </w:rPr>
  </w:style>
  <w:style w:type="paragraph" w:styleId="ListContinue4">
    <w:name w:val="List Continue 4"/>
    <w:basedOn w:val="Normal"/>
    <w:uiPriority w:val="99"/>
    <w:semiHidden/>
    <w:unhideWhenUsed/>
    <w:rsid w:val="00FD315F"/>
    <w:pPr>
      <w:spacing w:after="120" w:line="276" w:lineRule="auto"/>
      <w:ind w:left="1440"/>
      <w:contextualSpacing/>
    </w:pPr>
    <w:rPr>
      <w:rFonts w:ascii="Times New Roman" w:eastAsiaTheme="minorEastAsia" w:hAnsi="Times New Roman" w:cs="Times New Roman"/>
      <w:kern w:val="0"/>
      <w:sz w:val="24"/>
      <w:lang w:val="en-US"/>
      <w14:ligatures w14:val="none"/>
    </w:rPr>
  </w:style>
  <w:style w:type="paragraph" w:styleId="ListContinue5">
    <w:name w:val="List Continue 5"/>
    <w:basedOn w:val="Normal"/>
    <w:uiPriority w:val="99"/>
    <w:semiHidden/>
    <w:unhideWhenUsed/>
    <w:rsid w:val="00FD315F"/>
    <w:pPr>
      <w:spacing w:after="120" w:line="276" w:lineRule="auto"/>
      <w:ind w:left="1800"/>
      <w:contextualSpacing/>
    </w:pPr>
    <w:rPr>
      <w:rFonts w:ascii="Times New Roman" w:eastAsiaTheme="minorEastAsia" w:hAnsi="Times New Roman" w:cs="Times New Roman"/>
      <w:kern w:val="0"/>
      <w:sz w:val="24"/>
      <w:lang w:val="en-US"/>
      <w14:ligatures w14:val="none"/>
    </w:rPr>
  </w:style>
  <w:style w:type="paragraph" w:styleId="MessageHeader">
    <w:name w:val="Message Header"/>
    <w:basedOn w:val="Normal"/>
    <w:link w:val="MessageHeaderChar"/>
    <w:uiPriority w:val="99"/>
    <w:semiHidden/>
    <w:unhideWhenUsed/>
    <w:rsid w:val="00FD315F"/>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kern w:val="0"/>
      <w:sz w:val="24"/>
      <w:lang w:val="en-US"/>
      <w14:ligatures w14:val="none"/>
    </w:rPr>
  </w:style>
  <w:style w:type="character" w:customStyle="1" w:styleId="MessageHeaderChar">
    <w:name w:val="Message Header Char"/>
    <w:basedOn w:val="DefaultParagraphFont"/>
    <w:link w:val="MessageHeader"/>
    <w:uiPriority w:val="99"/>
    <w:semiHidden/>
    <w:rsid w:val="00FD315F"/>
    <w:rPr>
      <w:rFonts w:asciiTheme="majorHAnsi" w:eastAsiaTheme="majorEastAsia" w:hAnsiTheme="majorHAnsi" w:cstheme="majorBidi"/>
      <w:kern w:val="0"/>
      <w:sz w:val="24"/>
      <w:shd w:val="pct20" w:color="auto" w:fill="auto"/>
      <w:lang w:val="en-US"/>
      <w14:ligatures w14:val="none"/>
    </w:rPr>
  </w:style>
  <w:style w:type="paragraph" w:styleId="Salutation">
    <w:name w:val="Salutation"/>
    <w:basedOn w:val="Normal"/>
    <w:next w:val="Normal"/>
    <w:link w:val="SalutationChar"/>
    <w:uiPriority w:val="99"/>
    <w:semiHidden/>
    <w:unhideWhenUsed/>
    <w:rsid w:val="00FD315F"/>
    <w:pPr>
      <w:spacing w:after="200" w:line="276" w:lineRule="auto"/>
    </w:pPr>
    <w:rPr>
      <w:rFonts w:ascii="Times New Roman" w:eastAsiaTheme="minorEastAsia" w:hAnsi="Times New Roman" w:cs="Times New Roman"/>
      <w:kern w:val="0"/>
      <w:sz w:val="24"/>
      <w:lang w:val="en-US"/>
      <w14:ligatures w14:val="none"/>
    </w:rPr>
  </w:style>
  <w:style w:type="character" w:customStyle="1" w:styleId="SalutationChar">
    <w:name w:val="Salutation Char"/>
    <w:basedOn w:val="DefaultParagraphFont"/>
    <w:link w:val="Salutation"/>
    <w:uiPriority w:val="99"/>
    <w:semiHidden/>
    <w:rsid w:val="00FD315F"/>
    <w:rPr>
      <w:rFonts w:ascii="Times New Roman" w:eastAsiaTheme="minorEastAsia" w:hAnsi="Times New Roman" w:cs="Times New Roman"/>
      <w:kern w:val="0"/>
      <w:sz w:val="24"/>
      <w:lang w:val="en-US"/>
      <w14:ligatures w14:val="none"/>
    </w:rPr>
  </w:style>
  <w:style w:type="paragraph" w:styleId="Date">
    <w:name w:val="Date"/>
    <w:basedOn w:val="Normal"/>
    <w:next w:val="Normal"/>
    <w:link w:val="DateChar"/>
    <w:uiPriority w:val="99"/>
    <w:semiHidden/>
    <w:unhideWhenUsed/>
    <w:rsid w:val="00FD315F"/>
    <w:pPr>
      <w:spacing w:after="200" w:line="276" w:lineRule="auto"/>
    </w:pPr>
    <w:rPr>
      <w:rFonts w:ascii="Times New Roman" w:eastAsiaTheme="minorEastAsia" w:hAnsi="Times New Roman" w:cs="Times New Roman"/>
      <w:kern w:val="0"/>
      <w:sz w:val="24"/>
      <w:lang w:val="en-US"/>
      <w14:ligatures w14:val="none"/>
    </w:rPr>
  </w:style>
  <w:style w:type="character" w:customStyle="1" w:styleId="DateChar">
    <w:name w:val="Date Char"/>
    <w:basedOn w:val="DefaultParagraphFont"/>
    <w:link w:val="Date"/>
    <w:uiPriority w:val="99"/>
    <w:semiHidden/>
    <w:rsid w:val="00FD315F"/>
    <w:rPr>
      <w:rFonts w:ascii="Times New Roman" w:eastAsiaTheme="minorEastAsia" w:hAnsi="Times New Roman" w:cs="Times New Roman"/>
      <w:kern w:val="0"/>
      <w:sz w:val="24"/>
      <w:lang w:val="en-US"/>
      <w14:ligatures w14:val="none"/>
    </w:rPr>
  </w:style>
  <w:style w:type="paragraph" w:styleId="BodyTextFirstIndent">
    <w:name w:val="Body Text First Indent"/>
    <w:basedOn w:val="BodyText"/>
    <w:link w:val="BodyTextFirstIndentChar"/>
    <w:uiPriority w:val="99"/>
    <w:semiHidden/>
    <w:unhideWhenUsed/>
    <w:rsid w:val="00FD315F"/>
    <w:pPr>
      <w:spacing w:after="200"/>
      <w:ind w:firstLine="360"/>
    </w:pPr>
  </w:style>
  <w:style w:type="character" w:customStyle="1" w:styleId="BodyTextFirstIndentChar">
    <w:name w:val="Body Text First Indent Char"/>
    <w:basedOn w:val="BodyTextChar"/>
    <w:link w:val="BodyTextFirstIndent"/>
    <w:uiPriority w:val="99"/>
    <w:semiHidden/>
    <w:rsid w:val="00FD315F"/>
    <w:rPr>
      <w:rFonts w:ascii="Times New Roman" w:eastAsiaTheme="minorEastAsia" w:hAnsi="Times New Roman" w:cs="Times New Roman"/>
      <w:kern w:val="0"/>
      <w:sz w:val="24"/>
      <w:lang w:val="en-US"/>
      <w14:ligatures w14:val="none"/>
    </w:rPr>
  </w:style>
  <w:style w:type="paragraph" w:styleId="BodyTextFirstIndent2">
    <w:name w:val="Body Text First Indent 2"/>
    <w:basedOn w:val="BodyTextIndent"/>
    <w:link w:val="BodyTextFirstIndent2Char"/>
    <w:uiPriority w:val="99"/>
    <w:semiHidden/>
    <w:unhideWhenUsed/>
    <w:rsid w:val="00FD315F"/>
    <w:pPr>
      <w:spacing w:after="200"/>
      <w:ind w:firstLine="360"/>
    </w:pPr>
  </w:style>
  <w:style w:type="character" w:customStyle="1" w:styleId="BodyTextFirstIndent2Char">
    <w:name w:val="Body Text First Indent 2 Char"/>
    <w:basedOn w:val="BodyTextIndentChar"/>
    <w:link w:val="BodyTextFirstIndent2"/>
    <w:uiPriority w:val="99"/>
    <w:semiHidden/>
    <w:rsid w:val="00FD315F"/>
    <w:rPr>
      <w:rFonts w:ascii="Times New Roman" w:eastAsiaTheme="minorEastAsia" w:hAnsi="Times New Roman" w:cs="Times New Roman"/>
      <w:kern w:val="0"/>
      <w:sz w:val="24"/>
      <w:lang w:val="en-US"/>
      <w14:ligatures w14:val="none"/>
    </w:rPr>
  </w:style>
  <w:style w:type="paragraph" w:styleId="NoteHeading">
    <w:name w:val="Note Heading"/>
    <w:basedOn w:val="Normal"/>
    <w:next w:val="Normal"/>
    <w:link w:val="NoteHeadingChar"/>
    <w:uiPriority w:val="99"/>
    <w:semiHidden/>
    <w:unhideWhenUsed/>
    <w:rsid w:val="00FD315F"/>
    <w:pPr>
      <w:spacing w:after="0" w:line="240" w:lineRule="auto"/>
    </w:pPr>
    <w:rPr>
      <w:rFonts w:ascii="Times New Roman" w:eastAsiaTheme="minorEastAsia" w:hAnsi="Times New Roman" w:cs="Times New Roman"/>
      <w:kern w:val="0"/>
      <w:sz w:val="24"/>
      <w:lang w:val="en-US"/>
      <w14:ligatures w14:val="none"/>
    </w:rPr>
  </w:style>
  <w:style w:type="character" w:customStyle="1" w:styleId="NoteHeadingChar">
    <w:name w:val="Note Heading Char"/>
    <w:basedOn w:val="DefaultParagraphFont"/>
    <w:link w:val="NoteHeading"/>
    <w:uiPriority w:val="99"/>
    <w:semiHidden/>
    <w:rsid w:val="00FD315F"/>
    <w:rPr>
      <w:rFonts w:ascii="Times New Roman" w:eastAsiaTheme="minorEastAsia" w:hAnsi="Times New Roman" w:cs="Times New Roman"/>
      <w:kern w:val="0"/>
      <w:sz w:val="24"/>
      <w:lang w:val="en-US"/>
      <w14:ligatures w14:val="none"/>
    </w:rPr>
  </w:style>
  <w:style w:type="paragraph" w:styleId="BodyText2">
    <w:name w:val="Body Text 2"/>
    <w:basedOn w:val="Normal"/>
    <w:link w:val="BodyText2Char"/>
    <w:uiPriority w:val="99"/>
    <w:semiHidden/>
    <w:unhideWhenUsed/>
    <w:rsid w:val="00FD315F"/>
    <w:pPr>
      <w:spacing w:after="120" w:line="480" w:lineRule="auto"/>
    </w:pPr>
    <w:rPr>
      <w:rFonts w:ascii="Times New Roman" w:eastAsiaTheme="minorEastAsia" w:hAnsi="Times New Roman" w:cs="Times New Roman"/>
      <w:kern w:val="0"/>
      <w:sz w:val="24"/>
      <w:lang w:val="en-US"/>
      <w14:ligatures w14:val="none"/>
    </w:rPr>
  </w:style>
  <w:style w:type="character" w:customStyle="1" w:styleId="BodyText2Char">
    <w:name w:val="Body Text 2 Char"/>
    <w:basedOn w:val="DefaultParagraphFont"/>
    <w:link w:val="BodyText2"/>
    <w:uiPriority w:val="99"/>
    <w:semiHidden/>
    <w:rsid w:val="00FD315F"/>
    <w:rPr>
      <w:rFonts w:ascii="Times New Roman" w:eastAsiaTheme="minorEastAsia" w:hAnsi="Times New Roman" w:cs="Times New Roman"/>
      <w:kern w:val="0"/>
      <w:sz w:val="24"/>
      <w:lang w:val="en-US"/>
      <w14:ligatures w14:val="none"/>
    </w:rPr>
  </w:style>
  <w:style w:type="paragraph" w:styleId="BodyText3">
    <w:name w:val="Body Text 3"/>
    <w:basedOn w:val="Normal"/>
    <w:link w:val="BodyText3Char"/>
    <w:uiPriority w:val="99"/>
    <w:semiHidden/>
    <w:unhideWhenUsed/>
    <w:rsid w:val="00FD315F"/>
    <w:pPr>
      <w:spacing w:after="120" w:line="276" w:lineRule="auto"/>
    </w:pPr>
    <w:rPr>
      <w:rFonts w:ascii="Times New Roman" w:eastAsiaTheme="minorEastAsia" w:hAnsi="Times New Roman" w:cs="Times New Roman"/>
      <w:kern w:val="0"/>
      <w:sz w:val="16"/>
      <w:lang w:val="en-US"/>
      <w14:ligatures w14:val="none"/>
    </w:rPr>
  </w:style>
  <w:style w:type="character" w:customStyle="1" w:styleId="BodyText3Char">
    <w:name w:val="Body Text 3 Char"/>
    <w:basedOn w:val="DefaultParagraphFont"/>
    <w:link w:val="BodyText3"/>
    <w:uiPriority w:val="99"/>
    <w:semiHidden/>
    <w:rsid w:val="00FD315F"/>
    <w:rPr>
      <w:rFonts w:ascii="Times New Roman" w:eastAsiaTheme="minorEastAsia" w:hAnsi="Times New Roman" w:cs="Times New Roman"/>
      <w:kern w:val="0"/>
      <w:sz w:val="16"/>
      <w:lang w:val="en-US"/>
      <w14:ligatures w14:val="none"/>
    </w:rPr>
  </w:style>
  <w:style w:type="paragraph" w:styleId="BodyTextIndent2">
    <w:name w:val="Body Text Indent 2"/>
    <w:basedOn w:val="Normal"/>
    <w:link w:val="BodyTextIndent2Char"/>
    <w:uiPriority w:val="99"/>
    <w:semiHidden/>
    <w:unhideWhenUsed/>
    <w:rsid w:val="00FD315F"/>
    <w:pPr>
      <w:spacing w:after="120" w:line="480" w:lineRule="auto"/>
      <w:ind w:left="360"/>
    </w:pPr>
    <w:rPr>
      <w:rFonts w:ascii="Times New Roman" w:eastAsiaTheme="minorEastAsia" w:hAnsi="Times New Roman" w:cs="Times New Roman"/>
      <w:kern w:val="0"/>
      <w:sz w:val="24"/>
      <w:lang w:val="en-US"/>
      <w14:ligatures w14:val="none"/>
    </w:rPr>
  </w:style>
  <w:style w:type="character" w:customStyle="1" w:styleId="BodyTextIndent2Char">
    <w:name w:val="Body Text Indent 2 Char"/>
    <w:basedOn w:val="DefaultParagraphFont"/>
    <w:link w:val="BodyTextIndent2"/>
    <w:uiPriority w:val="99"/>
    <w:semiHidden/>
    <w:rsid w:val="00FD315F"/>
    <w:rPr>
      <w:rFonts w:ascii="Times New Roman" w:eastAsiaTheme="minorEastAsia" w:hAnsi="Times New Roman" w:cs="Times New Roman"/>
      <w:kern w:val="0"/>
      <w:sz w:val="24"/>
      <w:lang w:val="en-US"/>
      <w14:ligatures w14:val="none"/>
    </w:rPr>
  </w:style>
  <w:style w:type="paragraph" w:styleId="BodyTextIndent3">
    <w:name w:val="Body Text Indent 3"/>
    <w:basedOn w:val="Normal"/>
    <w:link w:val="BodyTextIndent3Char"/>
    <w:uiPriority w:val="99"/>
    <w:semiHidden/>
    <w:unhideWhenUsed/>
    <w:rsid w:val="00FD315F"/>
    <w:pPr>
      <w:spacing w:after="120" w:line="276" w:lineRule="auto"/>
      <w:ind w:left="360"/>
    </w:pPr>
    <w:rPr>
      <w:rFonts w:ascii="Times New Roman" w:eastAsiaTheme="minorEastAsia" w:hAnsi="Times New Roman" w:cs="Times New Roman"/>
      <w:kern w:val="0"/>
      <w:sz w:val="16"/>
      <w:lang w:val="en-US"/>
      <w14:ligatures w14:val="none"/>
    </w:rPr>
  </w:style>
  <w:style w:type="character" w:customStyle="1" w:styleId="BodyTextIndent3Char">
    <w:name w:val="Body Text Indent 3 Char"/>
    <w:basedOn w:val="DefaultParagraphFont"/>
    <w:link w:val="BodyTextIndent3"/>
    <w:uiPriority w:val="99"/>
    <w:semiHidden/>
    <w:rsid w:val="00FD315F"/>
    <w:rPr>
      <w:rFonts w:ascii="Times New Roman" w:eastAsiaTheme="minorEastAsia" w:hAnsi="Times New Roman" w:cs="Times New Roman"/>
      <w:kern w:val="0"/>
      <w:sz w:val="16"/>
      <w:lang w:val="en-US"/>
      <w14:ligatures w14:val="none"/>
    </w:rPr>
  </w:style>
  <w:style w:type="paragraph" w:styleId="BlockText">
    <w:name w:val="Block Text"/>
    <w:basedOn w:val="Normal"/>
    <w:uiPriority w:val="99"/>
    <w:semiHidden/>
    <w:unhideWhenUsed/>
    <w:rsid w:val="00FD315F"/>
    <w:pPr>
      <w:pBdr>
        <w:top w:val="single" w:sz="2" w:space="10" w:color="156082" w:themeColor="accent1"/>
        <w:left w:val="single" w:sz="2" w:space="10" w:color="156082" w:themeColor="accent1"/>
        <w:bottom w:val="single" w:sz="2" w:space="10" w:color="156082" w:themeColor="accent1"/>
        <w:right w:val="single" w:sz="2" w:space="10" w:color="156082" w:themeColor="accent1"/>
      </w:pBdr>
      <w:spacing w:after="200" w:line="276" w:lineRule="auto"/>
      <w:ind w:left="1152" w:right="1152"/>
    </w:pPr>
    <w:rPr>
      <w:rFonts w:ascii="Times New Roman" w:eastAsiaTheme="minorEastAsia" w:hAnsi="Times New Roman" w:cs="Times New Roman"/>
      <w:i/>
      <w:iCs/>
      <w:color w:val="156082" w:themeColor="accent1"/>
      <w:kern w:val="0"/>
      <w:sz w:val="24"/>
      <w:lang w:val="en-US"/>
      <w14:ligatures w14:val="none"/>
    </w:rPr>
  </w:style>
  <w:style w:type="paragraph" w:styleId="DocumentMap">
    <w:name w:val="Document Map"/>
    <w:basedOn w:val="Normal"/>
    <w:link w:val="DocumentMapChar"/>
    <w:uiPriority w:val="99"/>
    <w:semiHidden/>
    <w:unhideWhenUsed/>
    <w:rsid w:val="00FD315F"/>
    <w:pPr>
      <w:spacing w:after="0" w:line="240" w:lineRule="auto"/>
    </w:pPr>
    <w:rPr>
      <w:rFonts w:ascii="Tahoma" w:eastAsiaTheme="minorEastAsia" w:hAnsi="Tahoma" w:cs="Tahoma"/>
      <w:kern w:val="0"/>
      <w:sz w:val="16"/>
      <w:lang w:val="en-US"/>
      <w14:ligatures w14:val="none"/>
    </w:rPr>
  </w:style>
  <w:style w:type="character" w:customStyle="1" w:styleId="DocumentMapChar">
    <w:name w:val="Document Map Char"/>
    <w:basedOn w:val="DefaultParagraphFont"/>
    <w:link w:val="DocumentMap"/>
    <w:uiPriority w:val="99"/>
    <w:semiHidden/>
    <w:rsid w:val="00FD315F"/>
    <w:rPr>
      <w:rFonts w:ascii="Tahoma" w:eastAsiaTheme="minorEastAsia" w:hAnsi="Tahoma" w:cs="Tahoma"/>
      <w:kern w:val="0"/>
      <w:sz w:val="16"/>
      <w:lang w:val="en-US"/>
      <w14:ligatures w14:val="none"/>
    </w:rPr>
  </w:style>
  <w:style w:type="paragraph" w:styleId="PlainText">
    <w:name w:val="Plain Text"/>
    <w:basedOn w:val="Normal"/>
    <w:link w:val="PlainTextChar"/>
    <w:uiPriority w:val="99"/>
    <w:semiHidden/>
    <w:unhideWhenUsed/>
    <w:rsid w:val="00FD315F"/>
    <w:pPr>
      <w:spacing w:after="0" w:line="240" w:lineRule="auto"/>
      <w:jc w:val="both"/>
    </w:pPr>
    <w:rPr>
      <w:rFonts w:ascii="Calibri" w:eastAsiaTheme="minorEastAsia" w:hAnsi="Calibri" w:cs="Calibri"/>
      <w:kern w:val="0"/>
      <w:szCs w:val="21"/>
      <w:lang w:eastAsia="lt-LT"/>
      <w14:ligatures w14:val="none"/>
    </w:rPr>
  </w:style>
  <w:style w:type="character" w:customStyle="1" w:styleId="PlainTextChar">
    <w:name w:val="Plain Text Char"/>
    <w:basedOn w:val="DefaultParagraphFont"/>
    <w:link w:val="PlainText"/>
    <w:uiPriority w:val="99"/>
    <w:semiHidden/>
    <w:rsid w:val="00FD315F"/>
    <w:rPr>
      <w:rFonts w:ascii="Calibri" w:eastAsiaTheme="minorEastAsia" w:hAnsi="Calibri" w:cs="Calibri"/>
      <w:kern w:val="0"/>
      <w:szCs w:val="21"/>
      <w:lang w:eastAsia="lt-LT"/>
      <w14:ligatures w14:val="none"/>
    </w:rPr>
  </w:style>
  <w:style w:type="paragraph" w:styleId="E-mailSignature">
    <w:name w:val="E-mail Signature"/>
    <w:basedOn w:val="Normal"/>
    <w:link w:val="E-mailSignatureChar"/>
    <w:uiPriority w:val="99"/>
    <w:semiHidden/>
    <w:unhideWhenUsed/>
    <w:rsid w:val="00FD315F"/>
    <w:pPr>
      <w:spacing w:after="0" w:line="240" w:lineRule="auto"/>
    </w:pPr>
    <w:rPr>
      <w:rFonts w:ascii="Times New Roman" w:eastAsiaTheme="minorEastAsia" w:hAnsi="Times New Roman" w:cs="Times New Roman"/>
      <w:kern w:val="0"/>
      <w:sz w:val="24"/>
      <w:lang w:val="en-US"/>
      <w14:ligatures w14:val="none"/>
    </w:rPr>
  </w:style>
  <w:style w:type="character" w:customStyle="1" w:styleId="E-mailSignatureChar">
    <w:name w:val="E-mail Signature Char"/>
    <w:basedOn w:val="DefaultParagraphFont"/>
    <w:link w:val="E-mailSignature"/>
    <w:uiPriority w:val="99"/>
    <w:semiHidden/>
    <w:rsid w:val="00FD315F"/>
    <w:rPr>
      <w:rFonts w:ascii="Times New Roman" w:eastAsiaTheme="minorEastAsia" w:hAnsi="Times New Roman" w:cs="Times New Roman"/>
      <w:kern w:val="0"/>
      <w:sz w:val="24"/>
      <w:lang w:val="en-US"/>
      <w14:ligatures w14:val="none"/>
    </w:rPr>
  </w:style>
  <w:style w:type="paragraph" w:styleId="Revision">
    <w:name w:val="Revision"/>
    <w:uiPriority w:val="99"/>
    <w:semiHidden/>
    <w:rsid w:val="00FD315F"/>
    <w:pPr>
      <w:spacing w:after="0" w:line="240" w:lineRule="auto"/>
    </w:pPr>
    <w:rPr>
      <w:kern w:val="0"/>
      <w14:ligatures w14:val="none"/>
    </w:rPr>
  </w:style>
  <w:style w:type="paragraph" w:styleId="Bibliography">
    <w:name w:val="Bibliography"/>
    <w:basedOn w:val="Normal"/>
    <w:next w:val="Normal"/>
    <w:uiPriority w:val="37"/>
    <w:semiHidden/>
    <w:unhideWhenUsed/>
    <w:rsid w:val="00FD315F"/>
    <w:pPr>
      <w:spacing w:after="200" w:line="276" w:lineRule="auto"/>
    </w:pPr>
    <w:rPr>
      <w:rFonts w:ascii="Times New Roman" w:eastAsiaTheme="minorEastAsia" w:hAnsi="Times New Roman" w:cs="Times New Roman"/>
      <w:kern w:val="0"/>
      <w:sz w:val="24"/>
      <w:lang w:val="en-US"/>
      <w14:ligatures w14:val="none"/>
    </w:rPr>
  </w:style>
  <w:style w:type="paragraph" w:styleId="TOCHeading">
    <w:name w:val="TOC Heading"/>
    <w:basedOn w:val="Heading1"/>
    <w:next w:val="Normal"/>
    <w:uiPriority w:val="39"/>
    <w:semiHidden/>
    <w:unhideWhenUsed/>
    <w:qFormat/>
    <w:rsid w:val="00FD315F"/>
    <w:pPr>
      <w:shd w:val="clear" w:color="auto" w:fill="0036A2"/>
      <w:spacing w:before="0" w:after="0" w:line="240" w:lineRule="auto"/>
      <w:jc w:val="both"/>
      <w:outlineLvl w:val="9"/>
    </w:pPr>
    <w:rPr>
      <w:rFonts w:ascii="Times New Roman" w:hAnsi="Times New Roman" w:cs="Times New Roman"/>
      <w:b/>
      <w:bCs/>
      <w:color w:val="E8E8E8" w:themeColor="background2"/>
      <w:kern w:val="0"/>
      <w:sz w:val="28"/>
      <w:szCs w:val="28"/>
      <w14:ligatures w14:val="none"/>
    </w:rPr>
  </w:style>
  <w:style w:type="paragraph" w:customStyle="1" w:styleId="Body">
    <w:name w:val="Body"/>
    <w:uiPriority w:val="99"/>
    <w:rsid w:val="00FD315F"/>
    <w:pPr>
      <w:spacing w:after="0" w:line="240" w:lineRule="auto"/>
    </w:pPr>
    <w:rPr>
      <w:rFonts w:ascii="Helvetica" w:eastAsia="Arial Unicode MS" w:hAnsi="Helvetica" w:cs="Arial Unicode MS"/>
      <w:color w:val="000000"/>
      <w:kern w:val="0"/>
      <w:lang w:val="en-US"/>
      <w14:ligatures w14:val="none"/>
    </w:rPr>
  </w:style>
  <w:style w:type="paragraph" w:customStyle="1" w:styleId="Lentelsantrat">
    <w:name w:val="Lentelės antraštė"/>
    <w:basedOn w:val="Normal"/>
    <w:uiPriority w:val="1"/>
    <w:rsid w:val="00FD315F"/>
    <w:pPr>
      <w:keepNext/>
      <w:pBdr>
        <w:top w:val="single" w:sz="4" w:space="1" w:color="156082" w:themeColor="accent1"/>
        <w:left w:val="single" w:sz="4" w:space="6" w:color="156082" w:themeColor="accent1"/>
        <w:bottom w:val="single" w:sz="4" w:space="1" w:color="156082" w:themeColor="accent1"/>
        <w:right w:val="single" w:sz="4" w:space="6" w:color="156082" w:themeColor="accent1"/>
      </w:pBdr>
      <w:shd w:val="clear" w:color="auto" w:fill="156082" w:themeFill="accent1"/>
      <w:spacing w:before="160" w:after="200" w:line="276" w:lineRule="auto"/>
      <w:ind w:left="144" w:right="144"/>
    </w:pPr>
    <w:rPr>
      <w:rFonts w:asciiTheme="majorHAnsi" w:eastAsiaTheme="majorEastAsia" w:hAnsiTheme="majorHAnsi" w:cstheme="majorBidi"/>
      <w:caps/>
      <w:color w:val="FFFFFF" w:themeColor="background1"/>
      <w:kern w:val="0"/>
      <w:sz w:val="24"/>
      <w:lang w:val="en-US"/>
      <w14:ligatures w14:val="none"/>
    </w:rPr>
  </w:style>
  <w:style w:type="paragraph" w:customStyle="1" w:styleId="Lentelstekstodeimtainskiltis">
    <w:name w:val="Lentelės teksto dešimtainė skiltis"/>
    <w:basedOn w:val="Normal"/>
    <w:uiPriority w:val="1"/>
    <w:rsid w:val="00FD315F"/>
    <w:pPr>
      <w:tabs>
        <w:tab w:val="decimal" w:pos="1252"/>
      </w:tabs>
      <w:spacing w:before="60" w:after="60" w:line="240" w:lineRule="auto"/>
      <w:ind w:left="144" w:right="144"/>
    </w:pPr>
    <w:rPr>
      <w:rFonts w:ascii="Times New Roman" w:eastAsiaTheme="minorEastAsia" w:hAnsi="Times New Roman" w:cs="Times New Roman"/>
      <w:kern w:val="0"/>
      <w:sz w:val="24"/>
      <w:lang w:val="en-US"/>
      <w14:ligatures w14:val="none"/>
    </w:rPr>
  </w:style>
  <w:style w:type="paragraph" w:customStyle="1" w:styleId="Santrauka">
    <w:name w:val="Santrauka"/>
    <w:basedOn w:val="Normal"/>
    <w:uiPriority w:val="19"/>
    <w:rsid w:val="00FD315F"/>
    <w:pPr>
      <w:spacing w:before="360" w:after="600" w:line="276" w:lineRule="auto"/>
      <w:ind w:left="144" w:right="144"/>
    </w:pPr>
    <w:rPr>
      <w:rFonts w:ascii="Times New Roman" w:eastAsiaTheme="minorEastAsia" w:hAnsi="Times New Roman" w:cs="Times New Roman"/>
      <w:i/>
      <w:iCs/>
      <w:color w:val="7F7F7F" w:themeColor="text1" w:themeTint="80"/>
      <w:kern w:val="0"/>
      <w:sz w:val="28"/>
      <w:lang w:val="en-US"/>
      <w14:ligatures w14:val="none"/>
    </w:rPr>
  </w:style>
  <w:style w:type="paragraph" w:customStyle="1" w:styleId="Lentelstekstas">
    <w:name w:val="Lentelės tekstas"/>
    <w:basedOn w:val="Normal"/>
    <w:uiPriority w:val="9"/>
    <w:rsid w:val="00FD315F"/>
    <w:pPr>
      <w:spacing w:before="60" w:after="60" w:line="240" w:lineRule="auto"/>
      <w:ind w:left="144" w:right="144"/>
    </w:pPr>
    <w:rPr>
      <w:rFonts w:ascii="Times New Roman" w:eastAsiaTheme="minorEastAsia" w:hAnsi="Times New Roman" w:cs="Times New Roman"/>
      <w:kern w:val="0"/>
      <w:sz w:val="24"/>
      <w:lang w:val="en-US"/>
      <w14:ligatures w14:val="none"/>
    </w:rPr>
  </w:style>
  <w:style w:type="paragraph" w:customStyle="1" w:styleId="Lentelskitospussantrat">
    <w:name w:val="Lentelės kitos pusės antraštė"/>
    <w:basedOn w:val="Normal"/>
    <w:uiPriority w:val="9"/>
    <w:rsid w:val="00FD315F"/>
    <w:pPr>
      <w:spacing w:after="40" w:line="240" w:lineRule="auto"/>
      <w:ind w:left="144" w:right="144"/>
    </w:pPr>
    <w:rPr>
      <w:rFonts w:asciiTheme="majorHAnsi" w:eastAsiaTheme="majorEastAsia" w:hAnsiTheme="majorHAnsi" w:cstheme="majorBidi"/>
      <w:caps/>
      <w:color w:val="FFFFFF" w:themeColor="background1"/>
      <w:kern w:val="0"/>
      <w:sz w:val="24"/>
      <w:lang w:val="en-US"/>
      <w14:ligatures w14:val="none"/>
    </w:rPr>
  </w:style>
  <w:style w:type="paragraph" w:customStyle="1" w:styleId="eliuotaantrat">
    <w:name w:val="Šešėliuota antraštė"/>
    <w:basedOn w:val="Normal"/>
    <w:uiPriority w:val="19"/>
    <w:rsid w:val="00FD315F"/>
    <w:pPr>
      <w:pBdr>
        <w:top w:val="single" w:sz="2" w:space="2" w:color="156082" w:themeColor="accent1"/>
        <w:left w:val="single" w:sz="2" w:space="6" w:color="156082" w:themeColor="accent1"/>
        <w:bottom w:val="single" w:sz="2" w:space="2" w:color="156082" w:themeColor="accent1"/>
        <w:right w:val="single" w:sz="2" w:space="6" w:color="156082" w:themeColor="accent1"/>
      </w:pBdr>
      <w:shd w:val="clear" w:color="auto" w:fill="156082" w:themeFill="accent1"/>
      <w:spacing w:after="0" w:line="240" w:lineRule="auto"/>
      <w:ind w:left="-360" w:right="-360"/>
    </w:pPr>
    <w:rPr>
      <w:rFonts w:asciiTheme="majorHAnsi" w:eastAsiaTheme="majorEastAsia" w:hAnsiTheme="majorHAnsi" w:cstheme="majorBidi"/>
      <w:caps/>
      <w:color w:val="FFFFFF" w:themeColor="background1"/>
      <w:kern w:val="0"/>
      <w:sz w:val="48"/>
      <w:lang w:val="en-US"/>
      <w14:ligatures w14:val="none"/>
    </w:rPr>
  </w:style>
  <w:style w:type="paragraph" w:customStyle="1" w:styleId="bodytext0">
    <w:name w:val="bodytext"/>
    <w:basedOn w:val="Normal"/>
    <w:uiPriority w:val="99"/>
    <w:rsid w:val="00FD315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prastasis1">
    <w:name w:val="Įprastasis1"/>
    <w:uiPriority w:val="99"/>
    <w:rsid w:val="00FD315F"/>
    <w:pPr>
      <w:suppressAutoHyphens/>
      <w:autoSpaceDN w:val="0"/>
      <w:spacing w:line="254" w:lineRule="auto"/>
    </w:pPr>
    <w:rPr>
      <w:rFonts w:ascii="Calibri" w:eastAsia="Calibri" w:hAnsi="Calibri" w:cs="Times New Roman"/>
      <w:kern w:val="0"/>
      <w14:ligatures w14:val="none"/>
    </w:rPr>
  </w:style>
  <w:style w:type="paragraph" w:customStyle="1" w:styleId="Sraopastraipa1">
    <w:name w:val="Sąrašo pastraipa1"/>
    <w:basedOn w:val="prastasis1"/>
    <w:uiPriority w:val="99"/>
    <w:rsid w:val="00FD315F"/>
    <w:pPr>
      <w:ind w:left="720"/>
    </w:pPr>
  </w:style>
  <w:style w:type="paragraph" w:customStyle="1" w:styleId="Fait">
    <w:name w:val="Fait ?"/>
    <w:basedOn w:val="Normal"/>
    <w:next w:val="Normal"/>
    <w:uiPriority w:val="99"/>
    <w:rsid w:val="00FD315F"/>
    <w:pPr>
      <w:spacing w:before="120" w:after="0" w:line="240" w:lineRule="auto"/>
      <w:jc w:val="both"/>
    </w:pPr>
    <w:rPr>
      <w:rFonts w:ascii="Times New Roman" w:eastAsia="Times New Roman" w:hAnsi="Times New Roman" w:cs="Times New Roman"/>
      <w:kern w:val="0"/>
      <w:sz w:val="24"/>
      <w:szCs w:val="20"/>
      <w:lang w:val="en-GB"/>
      <w14:ligatures w14:val="none"/>
    </w:rPr>
  </w:style>
  <w:style w:type="paragraph" w:customStyle="1" w:styleId="xl65">
    <w:name w:val="xl65"/>
    <w:basedOn w:val="Normal"/>
    <w:uiPriority w:val="99"/>
    <w:rsid w:val="00FD3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66">
    <w:name w:val="xl66"/>
    <w:basedOn w:val="Normal"/>
    <w:uiPriority w:val="99"/>
    <w:rsid w:val="00FD315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67">
    <w:name w:val="xl67"/>
    <w:basedOn w:val="Normal"/>
    <w:uiPriority w:val="99"/>
    <w:rsid w:val="00FD315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68">
    <w:name w:val="xl68"/>
    <w:basedOn w:val="Normal"/>
    <w:uiPriority w:val="99"/>
    <w:rsid w:val="00FD315F"/>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69">
    <w:name w:val="xl69"/>
    <w:basedOn w:val="Normal"/>
    <w:uiPriority w:val="99"/>
    <w:rsid w:val="00FD315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70">
    <w:name w:val="xl70"/>
    <w:basedOn w:val="Normal"/>
    <w:uiPriority w:val="99"/>
    <w:rsid w:val="00FD315F"/>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71">
    <w:name w:val="xl71"/>
    <w:basedOn w:val="Normal"/>
    <w:uiPriority w:val="99"/>
    <w:rsid w:val="00FD315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72">
    <w:name w:val="xl72"/>
    <w:basedOn w:val="Normal"/>
    <w:uiPriority w:val="99"/>
    <w:rsid w:val="00FD315F"/>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Betarp1">
    <w:name w:val="Be tarpų1"/>
    <w:uiPriority w:val="99"/>
    <w:rsid w:val="00FD315F"/>
    <w:pPr>
      <w:spacing w:after="0" w:line="240" w:lineRule="auto"/>
    </w:pPr>
    <w:rPr>
      <w:rFonts w:ascii="Times New Roman" w:eastAsia="Times New Roman" w:hAnsi="Times New Roman" w:cs="Times New Roman"/>
      <w:kern w:val="0"/>
      <w:sz w:val="24"/>
      <w:szCs w:val="24"/>
      <w:lang w:val="en-GB"/>
      <w14:ligatures w14:val="none"/>
    </w:rPr>
  </w:style>
  <w:style w:type="paragraph" w:customStyle="1" w:styleId="pf0">
    <w:name w:val="pf0"/>
    <w:basedOn w:val="Normal"/>
    <w:uiPriority w:val="99"/>
    <w:rsid w:val="00FD315F"/>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EndnoteReference">
    <w:name w:val="endnote reference"/>
    <w:basedOn w:val="DefaultParagraphFont"/>
    <w:uiPriority w:val="99"/>
    <w:semiHidden/>
    <w:unhideWhenUsed/>
    <w:rsid w:val="00FD315F"/>
    <w:rPr>
      <w:vertAlign w:val="superscript"/>
    </w:rPr>
  </w:style>
  <w:style w:type="character" w:styleId="PlaceholderText">
    <w:name w:val="Placeholder Text"/>
    <w:basedOn w:val="DefaultParagraphFont"/>
    <w:uiPriority w:val="99"/>
    <w:semiHidden/>
    <w:rsid w:val="00FD315F"/>
    <w:rPr>
      <w:color w:val="808080"/>
    </w:rPr>
  </w:style>
  <w:style w:type="character" w:styleId="SubtleEmphasis">
    <w:name w:val="Subtle Emphasis"/>
    <w:basedOn w:val="DefaultParagraphFont"/>
    <w:uiPriority w:val="19"/>
    <w:qFormat/>
    <w:rsid w:val="00FD315F"/>
    <w:rPr>
      <w:i/>
      <w:iCs/>
      <w:color w:val="808080" w:themeColor="text1" w:themeTint="7F"/>
    </w:rPr>
  </w:style>
  <w:style w:type="character" w:styleId="SubtleReference">
    <w:name w:val="Subtle Reference"/>
    <w:basedOn w:val="DefaultParagraphFont"/>
    <w:uiPriority w:val="31"/>
    <w:qFormat/>
    <w:rsid w:val="00FD315F"/>
    <w:rPr>
      <w:smallCaps/>
      <w:color w:val="E97132" w:themeColor="accent2"/>
      <w:u w:val="single"/>
    </w:rPr>
  </w:style>
  <w:style w:type="character" w:styleId="BookTitle">
    <w:name w:val="Book Title"/>
    <w:basedOn w:val="DefaultParagraphFont"/>
    <w:uiPriority w:val="33"/>
    <w:qFormat/>
    <w:rsid w:val="00FD315F"/>
    <w:rPr>
      <w:b/>
      <w:bCs/>
      <w:smallCaps/>
      <w:spacing w:val="5"/>
    </w:rPr>
  </w:style>
  <w:style w:type="character" w:customStyle="1" w:styleId="dlxnowrap1">
    <w:name w:val="dlxnowrap1"/>
    <w:basedOn w:val="DefaultParagraphFont"/>
    <w:rsid w:val="00FD315F"/>
  </w:style>
  <w:style w:type="character" w:customStyle="1" w:styleId="Numatytasispastraiposriftas1">
    <w:name w:val="Numatytasis pastraipos šriftas1"/>
    <w:rsid w:val="00FD315F"/>
  </w:style>
  <w:style w:type="character" w:customStyle="1" w:styleId="apple-converted-space">
    <w:name w:val="apple-converted-space"/>
    <w:basedOn w:val="DefaultParagraphFont"/>
    <w:rsid w:val="00FD315F"/>
  </w:style>
  <w:style w:type="character" w:customStyle="1" w:styleId="FooterChar1">
    <w:name w:val="Footer Char1"/>
    <w:basedOn w:val="DefaultParagraphFont"/>
    <w:uiPriority w:val="99"/>
    <w:semiHidden/>
    <w:rsid w:val="00FD315F"/>
    <w:rPr>
      <w:rFonts w:ascii="Times New Roman" w:eastAsia="Calibri" w:hAnsi="Times New Roman" w:cs="Times New Roman" w:hint="default"/>
      <w:sz w:val="24"/>
      <w:szCs w:val="24"/>
    </w:rPr>
  </w:style>
  <w:style w:type="character" w:customStyle="1" w:styleId="DocumentMapChar1">
    <w:name w:val="Document Map Char1"/>
    <w:basedOn w:val="DefaultParagraphFont"/>
    <w:uiPriority w:val="99"/>
    <w:semiHidden/>
    <w:rsid w:val="00FD315F"/>
    <w:rPr>
      <w:rFonts w:ascii="Tahoma" w:eastAsia="Calibri" w:hAnsi="Tahoma" w:cs="Tahoma" w:hint="default"/>
      <w:sz w:val="16"/>
      <w:szCs w:val="16"/>
    </w:rPr>
  </w:style>
  <w:style w:type="character" w:customStyle="1" w:styleId="Neapdorotaspaminjimas1">
    <w:name w:val="Neapdorotas paminėjimas1"/>
    <w:basedOn w:val="DefaultParagraphFont"/>
    <w:uiPriority w:val="99"/>
    <w:semiHidden/>
    <w:rsid w:val="00FD315F"/>
    <w:rPr>
      <w:color w:val="808080"/>
      <w:shd w:val="clear" w:color="auto" w:fill="E6E6E6"/>
    </w:rPr>
  </w:style>
  <w:style w:type="character" w:customStyle="1" w:styleId="UnresolvedMention1">
    <w:name w:val="Unresolved Mention1"/>
    <w:basedOn w:val="DefaultParagraphFont"/>
    <w:uiPriority w:val="99"/>
    <w:semiHidden/>
    <w:rsid w:val="00FD315F"/>
    <w:rPr>
      <w:color w:val="605E5C"/>
      <w:shd w:val="clear" w:color="auto" w:fill="E1DFDD"/>
    </w:rPr>
  </w:style>
  <w:style w:type="character" w:customStyle="1" w:styleId="UnresolvedMention2">
    <w:name w:val="Unresolved Mention2"/>
    <w:basedOn w:val="DefaultParagraphFont"/>
    <w:uiPriority w:val="99"/>
    <w:semiHidden/>
    <w:rsid w:val="00FD315F"/>
    <w:rPr>
      <w:color w:val="605E5C"/>
      <w:shd w:val="clear" w:color="auto" w:fill="E1DFDD"/>
    </w:rPr>
  </w:style>
  <w:style w:type="character" w:customStyle="1" w:styleId="cf01">
    <w:name w:val="cf01"/>
    <w:basedOn w:val="DefaultParagraphFont"/>
    <w:rsid w:val="00FD315F"/>
    <w:rPr>
      <w:rFonts w:ascii="Segoe UI" w:hAnsi="Segoe UI" w:cs="Segoe UI" w:hint="default"/>
      <w:sz w:val="18"/>
      <w:szCs w:val="18"/>
    </w:rPr>
  </w:style>
  <w:style w:type="character" w:customStyle="1" w:styleId="Neapdorotaspaminjimas2">
    <w:name w:val="Neapdorotas paminėjimas2"/>
    <w:basedOn w:val="DefaultParagraphFont"/>
    <w:uiPriority w:val="99"/>
    <w:semiHidden/>
    <w:rsid w:val="00FD315F"/>
    <w:rPr>
      <w:color w:val="605E5C"/>
      <w:shd w:val="clear" w:color="auto" w:fill="E1DFDD"/>
    </w:rPr>
  </w:style>
  <w:style w:type="character" w:customStyle="1" w:styleId="Neapdorotaspaminjimas3">
    <w:name w:val="Neapdorotas paminėjimas3"/>
    <w:basedOn w:val="DefaultParagraphFont"/>
    <w:uiPriority w:val="99"/>
    <w:semiHidden/>
    <w:rsid w:val="00FD315F"/>
    <w:rPr>
      <w:color w:val="605E5C"/>
      <w:shd w:val="clear" w:color="auto" w:fill="E1DFDD"/>
    </w:rPr>
  </w:style>
  <w:style w:type="table" w:styleId="TableSimple1">
    <w:name w:val="Table Simple 1"/>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D315F"/>
    <w:pPr>
      <w:spacing w:after="200" w:line="300" w:lineRule="auto"/>
    </w:pPr>
    <w:rPr>
      <w:rFonts w:eastAsiaTheme="minorEastAsia"/>
      <w:kern w:val="0"/>
      <w:lang w:val="en-US"/>
      <w14:ligatures w14:val="none"/>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D315F"/>
    <w:pPr>
      <w:spacing w:after="200" w:line="300" w:lineRule="auto"/>
    </w:pPr>
    <w:rPr>
      <w:rFonts w:eastAsiaTheme="minorEastAsia"/>
      <w:color w:val="000080"/>
      <w:kern w:val="0"/>
      <w:lang w:val="en-U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D315F"/>
    <w:pPr>
      <w:spacing w:after="200" w:line="300" w:lineRule="auto"/>
    </w:pPr>
    <w:rPr>
      <w:rFonts w:eastAsiaTheme="minorEastAsia"/>
      <w:color w:val="FFFFFF"/>
      <w:kern w:val="0"/>
      <w:lang w:val="en-US"/>
      <w14:ligatures w14:val="none"/>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D315F"/>
    <w:pPr>
      <w:spacing w:after="200" w:line="300" w:lineRule="auto"/>
    </w:pPr>
    <w:rPr>
      <w:rFonts w:eastAsiaTheme="minorEastAsia"/>
      <w:b/>
      <w:bCs/>
      <w:kern w:val="0"/>
      <w:lang w:val="en-US"/>
      <w14:ligatures w14:val="none"/>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D315F"/>
    <w:pPr>
      <w:spacing w:after="200" w:line="300" w:lineRule="auto"/>
    </w:pPr>
    <w:rPr>
      <w:rFonts w:eastAsiaTheme="minorEastAsia"/>
      <w:b/>
      <w:bCs/>
      <w:kern w:val="0"/>
      <w:lang w:val="en-US"/>
      <w14:ligatures w14:val="none"/>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D315F"/>
    <w:pPr>
      <w:spacing w:after="200" w:line="300" w:lineRule="auto"/>
    </w:pPr>
    <w:rPr>
      <w:rFonts w:eastAsiaTheme="minorEastAsia"/>
      <w:b/>
      <w:bCs/>
      <w:kern w:val="0"/>
      <w:lang w:val="en-US"/>
      <w14:ligatures w14:val="none"/>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D315F"/>
    <w:pPr>
      <w:spacing w:after="200" w:line="300" w:lineRule="auto"/>
    </w:pPr>
    <w:rPr>
      <w:rFonts w:eastAsiaTheme="minorEastAsia"/>
      <w:kern w:val="0"/>
      <w:lang w:val="en-US"/>
      <w14:ligatures w14:val="none"/>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D315F"/>
    <w:pPr>
      <w:spacing w:after="200" w:line="300" w:lineRule="auto"/>
    </w:pPr>
    <w:rPr>
      <w:rFonts w:eastAsiaTheme="minorEastAsia"/>
      <w:kern w:val="0"/>
      <w:lang w:val="en-US"/>
      <w14:ligatures w14:val="none"/>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D315F"/>
    <w:pPr>
      <w:spacing w:after="200" w:line="300" w:lineRule="auto"/>
    </w:pPr>
    <w:rPr>
      <w:rFonts w:eastAsiaTheme="minorEastAsia"/>
      <w:b/>
      <w:bCs/>
      <w:kern w:val="0"/>
      <w:lang w:val="en-US"/>
      <w14:ligatures w14:val="none"/>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D315F"/>
    <w:pPr>
      <w:spacing w:after="200" w:line="300" w:lineRule="auto"/>
    </w:pPr>
    <w:rPr>
      <w:rFonts w:eastAsiaTheme="minorEastAsia"/>
      <w:kern w:val="0"/>
      <w:lang w:val="en-US"/>
      <w14:ligatures w14:val="none"/>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D315F"/>
    <w:pPr>
      <w:spacing w:after="200" w:line="300" w:lineRule="auto"/>
    </w:pPr>
    <w:rPr>
      <w:rFonts w:eastAsiaTheme="minorEastAsia"/>
      <w:kern w:val="0"/>
      <w:lang w:val="en-US"/>
      <w14:ligatures w14:val="none"/>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D315F"/>
    <w:pPr>
      <w:spacing w:after="200" w:line="300" w:lineRule="auto"/>
    </w:pPr>
    <w:rPr>
      <w:rFonts w:eastAsiaTheme="minorEastAsia"/>
      <w:kern w:val="0"/>
      <w:lang w:val="en-US"/>
      <w14:ligatures w14:val="none"/>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D315F"/>
    <w:pPr>
      <w:spacing w:after="200" w:line="300" w:lineRule="auto"/>
    </w:pPr>
    <w:rPr>
      <w:rFonts w:eastAsiaTheme="minorEastAsia"/>
      <w:kern w:val="0"/>
      <w:lang w:val="en-US"/>
      <w14:ligatures w14:val="none"/>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D315F"/>
    <w:pPr>
      <w:spacing w:after="200" w:line="300" w:lineRule="auto"/>
    </w:pPr>
    <w:rPr>
      <w:rFonts w:eastAsiaTheme="minorEastAsia"/>
      <w:kern w:val="0"/>
      <w:lang w:val="en-U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iPriority w:val="99"/>
    <w:semiHidden/>
    <w:unhideWhenUsed/>
    <w:rsid w:val="00FD315F"/>
    <w:pPr>
      <w:spacing w:after="200" w:line="300" w:lineRule="auto"/>
    </w:pPr>
    <w:rPr>
      <w:rFonts w:eastAsiaTheme="minorEastAsia"/>
      <w:kern w:val="0"/>
      <w:lang w:val="en-U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D315F"/>
    <w:pPr>
      <w:spacing w:after="200" w:line="300" w:lineRule="auto"/>
    </w:pPr>
    <w:rPr>
      <w:rFonts w:eastAsiaTheme="minorEastAsia"/>
      <w:kern w:val="0"/>
      <w:lang w:val="en-US"/>
      <w14:ligatures w14:val="none"/>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D315F"/>
    <w:pPr>
      <w:spacing w:after="200" w:line="300" w:lineRule="auto"/>
    </w:pPr>
    <w:rPr>
      <w:rFonts w:eastAsiaTheme="minorEastAsia"/>
      <w:kern w:val="0"/>
      <w:lang w:val="en-US"/>
      <w14:ligatures w14:val="none"/>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iPriority w:val="99"/>
    <w:semiHidden/>
    <w:unhideWhenUsed/>
    <w:rsid w:val="00FD315F"/>
    <w:pPr>
      <w:spacing w:after="200" w:line="300" w:lineRule="auto"/>
    </w:pPr>
    <w:rPr>
      <w:rFonts w:eastAsiaTheme="minorEastAsia"/>
      <w:kern w:val="0"/>
      <w:lang w:val="en-US"/>
      <w14:ligatures w14:val="none"/>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D315F"/>
    <w:pPr>
      <w:spacing w:after="200" w:line="300" w:lineRule="auto"/>
    </w:pPr>
    <w:rPr>
      <w:rFonts w:eastAsiaTheme="minorEastAsia"/>
      <w:kern w:val="0"/>
      <w:lang w:val="en-US"/>
      <w14:ligatures w14:val="none"/>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semiHidden/>
    <w:unhideWhenUsed/>
    <w:rsid w:val="00FD315F"/>
    <w:pPr>
      <w:spacing w:after="200" w:line="300" w:lineRule="auto"/>
    </w:pPr>
    <w:rPr>
      <w:rFonts w:eastAsiaTheme="minorEastAsia"/>
      <w:kern w:val="0"/>
      <w:lang w:val="en-US"/>
      <w14:ligatures w14:val="none"/>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D315F"/>
    <w:pPr>
      <w:spacing w:after="200" w:line="300" w:lineRule="auto"/>
    </w:pPr>
    <w:rPr>
      <w:rFonts w:eastAsiaTheme="minorEastAsia"/>
      <w:kern w:val="0"/>
      <w:lang w:val="en-US"/>
      <w14:ligatures w14:val="none"/>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D315F"/>
    <w:pPr>
      <w:spacing w:after="200" w:line="300" w:lineRule="auto"/>
    </w:pPr>
    <w:rPr>
      <w:rFonts w:eastAsiaTheme="minorEastAsia"/>
      <w:kern w:val="0"/>
      <w:lang w:val="en-US"/>
      <w14:ligatures w14:val="none"/>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D315F"/>
    <w:pPr>
      <w:spacing w:after="200" w:line="300" w:lineRule="auto"/>
    </w:pPr>
    <w:rPr>
      <w:rFonts w:eastAsiaTheme="minorEastAsia"/>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semiHidden/>
    <w:unhideWhenUsed/>
    <w:rsid w:val="00FD315F"/>
    <w:pPr>
      <w:spacing w:after="0" w:line="240" w:lineRule="auto"/>
    </w:pPr>
    <w:rPr>
      <w:rFonts w:eastAsiaTheme="minorEastAsia"/>
      <w:color w:val="000000" w:themeColor="text1" w:themeShade="BF"/>
      <w:kern w:val="0"/>
      <w:lang w:val="en-US"/>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2">
    <w:name w:val="Medium List 2"/>
    <w:basedOn w:val="TableNormal"/>
    <w:uiPriority w:val="66"/>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arkList">
    <w:name w:val="Dark List"/>
    <w:basedOn w:val="TableNormal"/>
    <w:uiPriority w:val="70"/>
    <w:semiHidden/>
    <w:unhideWhenUsed/>
    <w:rsid w:val="00FD315F"/>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olorfulShading">
    <w:name w:val="Colorful Shading"/>
    <w:basedOn w:val="TableNormal"/>
    <w:uiPriority w:val="71"/>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ghtShading-Accent1">
    <w:name w:val="Light Shading Accent 1"/>
    <w:basedOn w:val="TableNormal"/>
    <w:uiPriority w:val="60"/>
    <w:semiHidden/>
    <w:unhideWhenUsed/>
    <w:rsid w:val="00FD315F"/>
    <w:pPr>
      <w:spacing w:after="0" w:line="240" w:lineRule="auto"/>
    </w:pPr>
    <w:rPr>
      <w:rFonts w:eastAsiaTheme="minorEastAsia"/>
      <w:color w:val="0F4761" w:themeColor="accent1" w:themeShade="BF"/>
      <w:kern w:val="0"/>
      <w:lang w:val="en-US"/>
      <w14:ligatures w14:val="none"/>
    </w:rPr>
    <w:tblPr>
      <w:tblStyleRowBandSize w:val="1"/>
      <w:tblStyleColBandSize w:val="1"/>
      <w:tblInd w:w="0" w:type="nil"/>
      <w:tblBorders>
        <w:top w:val="single" w:sz="8" w:space="0" w:color="156082" w:themeColor="accent1"/>
        <w:bottom w:val="single" w:sz="8" w:space="0" w:color="156082" w:themeColor="accent1"/>
      </w:tblBorders>
    </w:tblPr>
    <w:tblStylePr w:type="fir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List-Accent1">
    <w:name w:val="Light List Accent 1"/>
    <w:basedOn w:val="TableNormal"/>
    <w:uiPriority w:val="61"/>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Grid-Accent1">
    <w:name w:val="Light Grid Accent 1"/>
    <w:basedOn w:val="TableNormal"/>
    <w:uiPriority w:val="62"/>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MediumShading1-Accent1">
    <w:name w:val="Medium Shading 1 Accent 1"/>
    <w:basedOn w:val="TableClassic1"/>
    <w:uiPriority w:val="63"/>
    <w:semiHidden/>
    <w:unhideWhenUsed/>
    <w:rsid w:val="00FD315F"/>
    <w:pPr>
      <w:spacing w:after="0" w:line="240" w:lineRule="auto"/>
    </w:pPr>
    <w:tblPr>
      <w:tblStyleRowBandSize w:val="1"/>
      <w:tblStyleColBandSize w:val="1"/>
      <w:tblBorders>
        <w:top w:val="single" w:sz="4" w:space="0" w:color="1C6C6E"/>
        <w:left w:val="single" w:sz="4" w:space="0" w:color="1C6C6E"/>
        <w:bottom w:val="single" w:sz="4" w:space="0" w:color="1C6C6E"/>
        <w:right w:val="single" w:sz="4" w:space="0" w:color="1C6C6E"/>
        <w:insideH w:val="single" w:sz="4" w:space="0" w:color="1C6C6E"/>
        <w:insideV w:val="single" w:sz="4" w:space="0" w:color="1C6C6E"/>
      </w:tblBorders>
    </w:tblPr>
    <w:tcPr>
      <w:shd w:val="clear" w:color="auto" w:fill="33C7CB"/>
    </w:tcPr>
    <w:tblStylePr w:type="firstRow">
      <w:pPr>
        <w:spacing w:beforeLines="0" w:before="0" w:beforeAutospacing="0" w:afterLines="0" w:after="0" w:afterAutospacing="0" w:line="240" w:lineRule="auto"/>
      </w:pPr>
      <w:rPr>
        <w:b/>
        <w:bCs/>
        <w:i/>
        <w:iCs/>
        <w:color w:val="FFFFFF" w:themeColor="background1"/>
      </w:rPr>
      <w:tblPr/>
      <w:tcPr>
        <w:tcBorders>
          <w:bottom w:val="single" w:sz="6" w:space="0" w:color="000000"/>
          <w:tl2br w:val="none" w:sz="0" w:space="0" w:color="auto"/>
          <w:tr2bl w:val="none" w:sz="0" w:space="0" w:color="auto"/>
        </w:tcBorders>
        <w:shd w:val="clear" w:color="auto" w:fill="33C7CB"/>
      </w:tcPr>
    </w:tblStylePr>
    <w:tblStylePr w:type="lastRow">
      <w:pPr>
        <w:spacing w:beforeLines="0" w:before="0" w:beforeAutospacing="0" w:afterLines="0" w:after="0" w:afterAutospacing="0" w:line="240" w:lineRule="auto"/>
      </w:pPr>
      <w:rPr>
        <w:b/>
        <w:bCs/>
        <w:color w:val="auto"/>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Shading2-Accent1">
    <w:name w:val="Medium Shading 2 Accent 1"/>
    <w:basedOn w:val="TableNormal"/>
    <w:uiPriority w:val="64"/>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1">
    <w:name w:val="Medium List 1 Accent 1"/>
    <w:basedOn w:val="TableNormal"/>
    <w:uiPriority w:val="65"/>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hint="default"/>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2-Accent1">
    <w:name w:val="Medium List 2 Accent 1"/>
    <w:basedOn w:val="TableNormal"/>
    <w:uiPriority w:val="66"/>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1">
    <w:name w:val="Medium Grid 1 Accent 1"/>
    <w:basedOn w:val="TableNormal"/>
    <w:uiPriority w:val="67"/>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2-Accent1">
    <w:name w:val="Medium Grid 2 Accent 1"/>
    <w:basedOn w:val="TableNormal"/>
    <w:uiPriority w:val="68"/>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DarkList-Accent1">
    <w:name w:val="Dark List Accent 1"/>
    <w:basedOn w:val="TableNormal"/>
    <w:uiPriority w:val="70"/>
    <w:semiHidden/>
    <w:unhideWhenUsed/>
    <w:rsid w:val="00FD315F"/>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ColorfulShading-Accent1">
    <w:name w:val="Colorful Shading Accent 1"/>
    <w:basedOn w:val="TableNormal"/>
    <w:uiPriority w:val="71"/>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Grid-Accent1">
    <w:name w:val="Colorful Grid Accent 1"/>
    <w:basedOn w:val="TableNormal"/>
    <w:uiPriority w:val="73"/>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LightShading-Accent2">
    <w:name w:val="Light Shading Accent 2"/>
    <w:basedOn w:val="TableNormal"/>
    <w:uiPriority w:val="60"/>
    <w:semiHidden/>
    <w:unhideWhenUsed/>
    <w:rsid w:val="00FD315F"/>
    <w:pPr>
      <w:spacing w:after="0" w:line="240" w:lineRule="auto"/>
    </w:pPr>
    <w:rPr>
      <w:rFonts w:eastAsiaTheme="minorEastAsia"/>
      <w:color w:val="BF4E14" w:themeColor="accent2" w:themeShade="BF"/>
      <w:kern w:val="0"/>
      <w:lang w:val="en-US"/>
      <w14:ligatures w14:val="none"/>
    </w:rPr>
    <w:tblPr>
      <w:tblStyleRowBandSize w:val="1"/>
      <w:tblStyleColBandSize w:val="1"/>
      <w:tblInd w:w="0" w:type="nil"/>
      <w:tblBorders>
        <w:top w:val="single" w:sz="8" w:space="0" w:color="E97132" w:themeColor="accent2"/>
        <w:bottom w:val="single" w:sz="8" w:space="0" w:color="E97132" w:themeColor="accent2"/>
      </w:tblBorders>
    </w:tblPr>
    <w:tblStylePr w:type="fir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List-Accent2">
    <w:name w:val="Light List Accent 2"/>
    <w:basedOn w:val="TableNormal"/>
    <w:uiPriority w:val="61"/>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Grid-Accent2">
    <w:name w:val="Light Grid Accent 2"/>
    <w:basedOn w:val="TableNormal"/>
    <w:uiPriority w:val="62"/>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MediumShading1-Accent2">
    <w:name w:val="Medium Shading 1 Accent 2"/>
    <w:basedOn w:val="TableNormal"/>
    <w:uiPriority w:val="63"/>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65"/>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hint="default"/>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2-Accent2">
    <w:name w:val="Medium List 2 Accent 2"/>
    <w:basedOn w:val="TableNormal"/>
    <w:uiPriority w:val="66"/>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2">
    <w:name w:val="Medium Grid 1 Accent 2"/>
    <w:basedOn w:val="TableNormal"/>
    <w:uiPriority w:val="67"/>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2-Accent2">
    <w:name w:val="Medium Grid 2 Accent 2"/>
    <w:basedOn w:val="TableNormal"/>
    <w:uiPriority w:val="68"/>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3-Accent2">
    <w:name w:val="Medium Grid 3 Accent 2"/>
    <w:basedOn w:val="TableNormal"/>
    <w:uiPriority w:val="69"/>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DarkList-Accent2">
    <w:name w:val="Dark List Accent 2"/>
    <w:basedOn w:val="TableNormal"/>
    <w:uiPriority w:val="70"/>
    <w:semiHidden/>
    <w:unhideWhenUsed/>
    <w:rsid w:val="00FD315F"/>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ColorfulShading-Accent2">
    <w:name w:val="Colorful Shading Accent 2"/>
    <w:basedOn w:val="TableNormal"/>
    <w:uiPriority w:val="71"/>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List-Accent2">
    <w:name w:val="Colorful List Accent 2"/>
    <w:basedOn w:val="TableNormal"/>
    <w:uiPriority w:val="72"/>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Grid-Accent2">
    <w:name w:val="Colorful Grid Accent 2"/>
    <w:basedOn w:val="TableNormal"/>
    <w:uiPriority w:val="73"/>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LightShading-Accent3">
    <w:name w:val="Light Shading Accent 3"/>
    <w:basedOn w:val="TableNormal"/>
    <w:uiPriority w:val="60"/>
    <w:semiHidden/>
    <w:unhideWhenUsed/>
    <w:rsid w:val="00FD315F"/>
    <w:pPr>
      <w:spacing w:after="0" w:line="240" w:lineRule="auto"/>
    </w:pPr>
    <w:rPr>
      <w:rFonts w:eastAsiaTheme="minorEastAsia"/>
      <w:color w:val="124F1A" w:themeColor="accent3" w:themeShade="BF"/>
      <w:kern w:val="0"/>
      <w:lang w:val="en-US"/>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List-Accent3">
    <w:name w:val="Light List Accent 3"/>
    <w:basedOn w:val="TableNormal"/>
    <w:uiPriority w:val="61"/>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Grid-Accent3">
    <w:name w:val="Light Grid Accent 3"/>
    <w:basedOn w:val="TableNormal"/>
    <w:uiPriority w:val="62"/>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MediumShading1-Accent3">
    <w:name w:val="Medium Shading 1 Accent 3"/>
    <w:basedOn w:val="TableNormal"/>
    <w:uiPriority w:val="63"/>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hint="default"/>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2-Accent3">
    <w:name w:val="Medium List 2 Accent 3"/>
    <w:basedOn w:val="TableNormal"/>
    <w:uiPriority w:val="66"/>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2-Accent3">
    <w:name w:val="Medium Grid 2 Accent 3"/>
    <w:basedOn w:val="TableNormal"/>
    <w:uiPriority w:val="68"/>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DarkList-Accent3">
    <w:name w:val="Dark List Accent 3"/>
    <w:basedOn w:val="TableNormal"/>
    <w:uiPriority w:val="70"/>
    <w:semiHidden/>
    <w:unhideWhenUsed/>
    <w:rsid w:val="00FD315F"/>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ColorfulShading-Accent3">
    <w:name w:val="Colorful Shading Accent 3"/>
    <w:basedOn w:val="TableNormal"/>
    <w:uiPriority w:val="71"/>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List-Accent3">
    <w:name w:val="Colorful List Accent 3"/>
    <w:basedOn w:val="TableNormal"/>
    <w:uiPriority w:val="72"/>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Grid-Accent3">
    <w:name w:val="Colorful Grid Accent 3"/>
    <w:basedOn w:val="TableNormal"/>
    <w:uiPriority w:val="73"/>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LightShading-Accent4">
    <w:name w:val="Light Shading Accent 4"/>
    <w:basedOn w:val="TableNormal"/>
    <w:uiPriority w:val="60"/>
    <w:semiHidden/>
    <w:unhideWhenUsed/>
    <w:rsid w:val="00FD315F"/>
    <w:pPr>
      <w:spacing w:after="0" w:line="240" w:lineRule="auto"/>
    </w:pPr>
    <w:rPr>
      <w:rFonts w:eastAsiaTheme="minorEastAsia"/>
      <w:color w:val="0B769F" w:themeColor="accent4" w:themeShade="BF"/>
      <w:kern w:val="0"/>
      <w:lang w:val="en-US"/>
      <w14:ligatures w14:val="none"/>
    </w:rPr>
    <w:tblPr>
      <w:tblStyleRowBandSize w:val="1"/>
      <w:tblStyleColBandSize w:val="1"/>
      <w:tblInd w:w="0" w:type="nil"/>
      <w:tblBorders>
        <w:top w:val="single" w:sz="8" w:space="0" w:color="0F9ED5" w:themeColor="accent4"/>
        <w:bottom w:val="single" w:sz="8" w:space="0" w:color="0F9ED5" w:themeColor="accent4"/>
      </w:tblBorders>
    </w:tblPr>
    <w:tblStylePr w:type="fir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List-Accent4">
    <w:name w:val="Light List Accent 4"/>
    <w:basedOn w:val="TableNormal"/>
    <w:uiPriority w:val="61"/>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Grid-Accent4">
    <w:name w:val="Light Grid Accent 4"/>
    <w:basedOn w:val="TableNormal"/>
    <w:uiPriority w:val="62"/>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MediumShading1-Accent4">
    <w:name w:val="Medium Shading 1 Accent 4"/>
    <w:basedOn w:val="TableNormal"/>
    <w:uiPriority w:val="63"/>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2-Accent4">
    <w:name w:val="Medium Shading 2 Accent 4"/>
    <w:basedOn w:val="TableNormal"/>
    <w:uiPriority w:val="64"/>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4">
    <w:name w:val="Medium List 1 Accent 4"/>
    <w:basedOn w:val="TableNormal"/>
    <w:uiPriority w:val="65"/>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hint="default"/>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2-Accent4">
    <w:name w:val="Medium List 2 Accent 4"/>
    <w:basedOn w:val="TableNormal"/>
    <w:uiPriority w:val="66"/>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4">
    <w:name w:val="Medium Grid 1 Accent 4"/>
    <w:basedOn w:val="TableNormal"/>
    <w:uiPriority w:val="67"/>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2-Accent4">
    <w:name w:val="Medium Grid 2 Accent 4"/>
    <w:basedOn w:val="TableNormal"/>
    <w:uiPriority w:val="68"/>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3-Accent4">
    <w:name w:val="Medium Grid 3 Accent 4"/>
    <w:basedOn w:val="TableNormal"/>
    <w:uiPriority w:val="69"/>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DarkList-Accent4">
    <w:name w:val="Dark List Accent 4"/>
    <w:basedOn w:val="TableNormal"/>
    <w:uiPriority w:val="70"/>
    <w:semiHidden/>
    <w:unhideWhenUsed/>
    <w:rsid w:val="00FD315F"/>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ColorfulShading-Accent4">
    <w:name w:val="Colorful Shading Accent 4"/>
    <w:basedOn w:val="TableNormal"/>
    <w:uiPriority w:val="71"/>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List-Accent4">
    <w:name w:val="Colorful List Accent 4"/>
    <w:basedOn w:val="TableNormal"/>
    <w:uiPriority w:val="72"/>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Grid-Accent4">
    <w:name w:val="Colorful Grid Accent 4"/>
    <w:basedOn w:val="TableNormal"/>
    <w:uiPriority w:val="73"/>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LightShading-Accent5">
    <w:name w:val="Light Shading Accent 5"/>
    <w:basedOn w:val="TableNormal"/>
    <w:uiPriority w:val="60"/>
    <w:semiHidden/>
    <w:unhideWhenUsed/>
    <w:rsid w:val="00FD315F"/>
    <w:pPr>
      <w:spacing w:after="0" w:line="240" w:lineRule="auto"/>
    </w:pPr>
    <w:rPr>
      <w:rFonts w:eastAsiaTheme="minorEastAsia"/>
      <w:color w:val="77206D" w:themeColor="accent5" w:themeShade="BF"/>
      <w:kern w:val="0"/>
      <w:lang w:val="en-US"/>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List-Accent5">
    <w:name w:val="Light List Accent 5"/>
    <w:basedOn w:val="TableNormal"/>
    <w:uiPriority w:val="61"/>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Grid-Accent5">
    <w:name w:val="Light Grid Accent 5"/>
    <w:basedOn w:val="TableNormal"/>
    <w:uiPriority w:val="62"/>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MediumShading1-Accent5">
    <w:name w:val="Medium Shading 1 Accent 5"/>
    <w:basedOn w:val="TableNormal"/>
    <w:uiPriority w:val="63"/>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5">
    <w:name w:val="Medium List 1 Accent 5"/>
    <w:basedOn w:val="TableNormal"/>
    <w:uiPriority w:val="65"/>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hint="default"/>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2-Accent5">
    <w:name w:val="Medium List 2 Accent 5"/>
    <w:basedOn w:val="TableNormal"/>
    <w:uiPriority w:val="66"/>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5">
    <w:name w:val="Medium Grid 1 Accent 5"/>
    <w:basedOn w:val="TableNormal"/>
    <w:uiPriority w:val="67"/>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2-Accent5">
    <w:name w:val="Medium Grid 2 Accent 5"/>
    <w:basedOn w:val="TableNormal"/>
    <w:uiPriority w:val="68"/>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3-Accent5">
    <w:name w:val="Medium Grid 3 Accent 5"/>
    <w:basedOn w:val="TableNormal"/>
    <w:uiPriority w:val="69"/>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DarkList-Accent5">
    <w:name w:val="Dark List Accent 5"/>
    <w:basedOn w:val="TableNormal"/>
    <w:uiPriority w:val="70"/>
    <w:semiHidden/>
    <w:unhideWhenUsed/>
    <w:rsid w:val="00FD315F"/>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ColorfulShading-Accent5">
    <w:name w:val="Colorful Shading Accent 5"/>
    <w:basedOn w:val="TableNormal"/>
    <w:uiPriority w:val="71"/>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List-Accent5">
    <w:name w:val="Colorful List Accent 5"/>
    <w:basedOn w:val="TableNormal"/>
    <w:uiPriority w:val="72"/>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Grid-Accent5">
    <w:name w:val="Colorful Grid Accent 5"/>
    <w:basedOn w:val="TableNormal"/>
    <w:uiPriority w:val="73"/>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LightShading-Accent6">
    <w:name w:val="Light Shading Accent 6"/>
    <w:basedOn w:val="TableNormal"/>
    <w:uiPriority w:val="60"/>
    <w:semiHidden/>
    <w:unhideWhenUsed/>
    <w:rsid w:val="00FD315F"/>
    <w:pPr>
      <w:spacing w:after="0" w:line="240" w:lineRule="auto"/>
    </w:pPr>
    <w:rPr>
      <w:rFonts w:eastAsiaTheme="minorEastAsia"/>
      <w:color w:val="3A7C22" w:themeColor="accent6" w:themeShade="BF"/>
      <w:kern w:val="0"/>
      <w:lang w:val="en-US"/>
      <w14:ligatures w14:val="none"/>
    </w:rPr>
    <w:tblPr>
      <w:tblStyleRowBandSize w:val="1"/>
      <w:tblStyleColBandSize w:val="1"/>
      <w:tblInd w:w="0" w:type="nil"/>
      <w:tblBorders>
        <w:top w:val="single" w:sz="8" w:space="0" w:color="4EA72E" w:themeColor="accent6"/>
        <w:bottom w:val="single" w:sz="8" w:space="0" w:color="4EA72E" w:themeColor="accent6"/>
      </w:tblBorders>
    </w:tblPr>
    <w:tblStylePr w:type="fir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Accent6">
    <w:name w:val="Light List Accent 6"/>
    <w:basedOn w:val="TableNormal"/>
    <w:uiPriority w:val="61"/>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Accent6">
    <w:name w:val="Light Grid Accent 6"/>
    <w:basedOn w:val="TableNormal"/>
    <w:uiPriority w:val="62"/>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Accent6">
    <w:name w:val="Medium Shading 1 Accent 6"/>
    <w:basedOn w:val="TableNormal"/>
    <w:uiPriority w:val="63"/>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6">
    <w:name w:val="Medium List 1 Accent 6"/>
    <w:basedOn w:val="TableNormal"/>
    <w:uiPriority w:val="65"/>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hint="default"/>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Accent6">
    <w:name w:val="Medium List 2 Accent 6"/>
    <w:basedOn w:val="TableNormal"/>
    <w:uiPriority w:val="66"/>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Accent6">
    <w:name w:val="Medium Grid 2 Accent 6"/>
    <w:basedOn w:val="TableNormal"/>
    <w:uiPriority w:val="68"/>
    <w:semiHidden/>
    <w:unhideWhenUsed/>
    <w:rsid w:val="00FD315F"/>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semiHidden/>
    <w:unhideWhenUsed/>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Accent6">
    <w:name w:val="Dark List Accent 6"/>
    <w:basedOn w:val="TableNormal"/>
    <w:uiPriority w:val="70"/>
    <w:semiHidden/>
    <w:unhideWhenUsed/>
    <w:rsid w:val="00FD315F"/>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Accent6">
    <w:name w:val="Colorful Shading Accent 6"/>
    <w:basedOn w:val="TableNormal"/>
    <w:uiPriority w:val="71"/>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Accent6">
    <w:name w:val="Colorful List Accent 6"/>
    <w:basedOn w:val="TableNormal"/>
    <w:uiPriority w:val="72"/>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Accent6">
    <w:name w:val="Colorful Grid Accent 6"/>
    <w:basedOn w:val="TableNormal"/>
    <w:uiPriority w:val="73"/>
    <w:semiHidden/>
    <w:unhideWhenUsed/>
    <w:rsid w:val="00FD315F"/>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GridTable2-Accent1">
    <w:name w:val="Grid Table 2 Accent 1"/>
    <w:basedOn w:val="TableNormal"/>
    <w:uiPriority w:val="47"/>
    <w:rsid w:val="00FD315F"/>
    <w:pPr>
      <w:spacing w:after="0" w:line="240" w:lineRule="auto"/>
    </w:pPr>
    <w:rPr>
      <w:kern w:val="0"/>
      <w14:ligatures w14:val="none"/>
    </w:rPr>
    <w:tblPr>
      <w:tblStyleRowBandSize w:val="1"/>
      <w:tblStyleColBandSize w:val="1"/>
      <w:tblInd w:w="0" w:type="nil"/>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1">
    <w:name w:val="Grid Table 4 Accent 1"/>
    <w:basedOn w:val="TableNormal"/>
    <w:uiPriority w:val="49"/>
    <w:rsid w:val="00FD315F"/>
    <w:pPr>
      <w:spacing w:after="0" w:line="240" w:lineRule="auto"/>
    </w:pPr>
    <w:rPr>
      <w:kern w:val="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FD315F"/>
    <w:pPr>
      <w:spacing w:after="0" w:line="240" w:lineRule="auto"/>
    </w:pPr>
    <w:rPr>
      <w:kern w:val="0"/>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6Colorful-Accent1">
    <w:name w:val="Grid Table 6 Colorful Accent 1"/>
    <w:basedOn w:val="TableNormal"/>
    <w:uiPriority w:val="51"/>
    <w:rsid w:val="00FD315F"/>
    <w:pPr>
      <w:spacing w:after="0" w:line="240" w:lineRule="auto"/>
    </w:pPr>
    <w:rPr>
      <w:color w:val="0F4761" w:themeColor="accent1" w:themeShade="BF"/>
      <w:kern w:val="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3">
    <w:name w:val="Grid Table 4 Accent 3"/>
    <w:basedOn w:val="TableNormal"/>
    <w:uiPriority w:val="49"/>
    <w:rsid w:val="00FD315F"/>
    <w:pPr>
      <w:spacing w:after="0" w:line="240" w:lineRule="auto"/>
    </w:pPr>
    <w:rPr>
      <w:kern w:val="0"/>
      <w14:ligatures w14:val="none"/>
    </w:rPr>
    <w:tblPr>
      <w:tblStyleRowBandSize w:val="1"/>
      <w:tblStyleColBandSize w:val="1"/>
      <w:tblInd w:w="0" w:type="nil"/>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5">
    <w:name w:val="Grid Table 1 Light Accent 5"/>
    <w:basedOn w:val="TableNormal"/>
    <w:uiPriority w:val="46"/>
    <w:rsid w:val="00FD315F"/>
    <w:pPr>
      <w:spacing w:after="0" w:line="240" w:lineRule="auto"/>
    </w:pPr>
    <w:rPr>
      <w:kern w:val="0"/>
      <w14:ligatures w14:val="none"/>
    </w:rPr>
    <w:tblPr>
      <w:tblStyleRowBandSize w:val="1"/>
      <w:tblStyleColBandSize w:val="1"/>
      <w:tblInd w:w="0" w:type="nil"/>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D315F"/>
    <w:pPr>
      <w:spacing w:after="0" w:line="240" w:lineRule="auto"/>
    </w:pPr>
    <w:rPr>
      <w:kern w:val="0"/>
      <w:lang w:val="en-US"/>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1">
    <w:name w:val="List Table 4 Accent 1"/>
    <w:basedOn w:val="TableNormal"/>
    <w:uiPriority w:val="49"/>
    <w:rsid w:val="00FD315F"/>
    <w:pPr>
      <w:spacing w:after="0" w:line="240" w:lineRule="auto"/>
    </w:pPr>
    <w:rPr>
      <w:kern w:val="0"/>
      <w:sz w:val="2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pPr>
        <w:jc w:val="center"/>
      </w:pPr>
      <w:rPr>
        <w:b/>
        <w:bCs/>
        <w:color w:val="000000" w:themeColor="text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vAlign w:val="center"/>
      </w:tcPr>
    </w:tblStylePr>
    <w:tblStylePr w:type="lastRow">
      <w:rPr>
        <w:b/>
        <w:bCs/>
      </w:rPr>
      <w:tblPr/>
      <w:tcPr>
        <w:shd w:val="clear" w:color="auto" w:fill="45B0E1" w:themeFill="accent1" w:themeFillTint="99"/>
      </w:tcPr>
    </w:tblStylePr>
    <w:tblStylePr w:type="firstCol">
      <w:rPr>
        <w:b w:val="0"/>
        <w:bCs/>
      </w:rPr>
    </w:tblStylePr>
    <w:tblStylePr w:type="lastCol">
      <w:rPr>
        <w:b w:val="0"/>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5">
    <w:name w:val="List Table 3 Accent 5"/>
    <w:basedOn w:val="TableNormal"/>
    <w:uiPriority w:val="48"/>
    <w:rsid w:val="00FD315F"/>
    <w:pPr>
      <w:spacing w:after="0" w:line="240" w:lineRule="auto"/>
    </w:pPr>
    <w:rPr>
      <w:kern w:val="0"/>
      <w14:ligatures w14:val="none"/>
    </w:rPr>
    <w:tblPr>
      <w:tblStyleRowBandSize w:val="1"/>
      <w:tblStyleColBandSize w:val="1"/>
      <w:tblInd w:w="0" w:type="nil"/>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4-Accent5">
    <w:name w:val="List Table 4 Accent 5"/>
    <w:basedOn w:val="TableNormal"/>
    <w:uiPriority w:val="49"/>
    <w:rsid w:val="00FD315F"/>
    <w:pPr>
      <w:spacing w:after="0" w:line="240" w:lineRule="auto"/>
    </w:pPr>
    <w:rPr>
      <w:kern w:val="0"/>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ListTable4-Accent11">
    <w:name w:val="List Table 4 - Accent 11"/>
    <w:basedOn w:val="TableNormal"/>
    <w:uiPriority w:val="49"/>
    <w:rsid w:val="00FD315F"/>
    <w:pPr>
      <w:spacing w:after="0" w:line="240" w:lineRule="auto"/>
    </w:pPr>
    <w:rPr>
      <w:kern w:val="0"/>
      <w:sz w:val="2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pPr>
        <w:jc w:val="center"/>
      </w:pPr>
      <w:rPr>
        <w:b/>
        <w:bCs/>
        <w:color w:val="000000" w:themeColor="text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vAlign w:val="center"/>
      </w:tcPr>
    </w:tblStylePr>
    <w:tblStylePr w:type="lastRow">
      <w:rPr>
        <w:b/>
        <w:bCs/>
      </w:rPr>
      <w:tblPr/>
      <w:tcPr>
        <w:shd w:val="clear" w:color="auto" w:fill="45B0E1" w:themeFill="accent1" w:themeFillTint="99"/>
      </w:tcPr>
    </w:tblStylePr>
    <w:tblStylePr w:type="firstCol">
      <w:rPr>
        <w:b w:val="0"/>
        <w:bCs/>
      </w:rPr>
    </w:tblStylePr>
    <w:tblStylePr w:type="lastCol">
      <w:rPr>
        <w:b w:val="0"/>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4sraolentel1parykinimas1">
    <w:name w:val="4 sąrašo lentelė – 1 paryškinimas1"/>
    <w:basedOn w:val="TableNormal"/>
    <w:uiPriority w:val="49"/>
    <w:rsid w:val="00FD315F"/>
    <w:pPr>
      <w:spacing w:after="0" w:line="240" w:lineRule="auto"/>
    </w:pPr>
    <w:rPr>
      <w:kern w:val="0"/>
      <w:sz w:val="2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pPr>
        <w:jc w:val="center"/>
      </w:pPr>
      <w:rPr>
        <w:b/>
        <w:bCs/>
        <w:color w:val="000000" w:themeColor="text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vAlign w:val="center"/>
      </w:tcPr>
    </w:tblStylePr>
    <w:tblStylePr w:type="lastRow">
      <w:rPr>
        <w:b/>
        <w:bCs/>
      </w:rPr>
      <w:tblPr/>
      <w:tcPr>
        <w:shd w:val="clear" w:color="auto" w:fill="45B0E1" w:themeFill="accent1" w:themeFillTint="99"/>
      </w:tcPr>
    </w:tblStylePr>
    <w:tblStylePr w:type="firstCol">
      <w:rPr>
        <w:b w:val="0"/>
        <w:bCs/>
      </w:rPr>
    </w:tblStylePr>
    <w:tblStylePr w:type="lastCol">
      <w:rPr>
        <w:b w:val="0"/>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4tinkleliolentel-1parykinimas1">
    <w:name w:val="4 tinklelio lentelė - 1 paryškinimas1"/>
    <w:basedOn w:val="TableNormal"/>
    <w:uiPriority w:val="49"/>
    <w:rsid w:val="00FD315F"/>
    <w:pPr>
      <w:spacing w:after="0" w:line="240" w:lineRule="auto"/>
    </w:pPr>
    <w:rPr>
      <w:rFonts w:eastAsiaTheme="minorEastAsia"/>
      <w:kern w:val="0"/>
      <w:lang w:val="en-US"/>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Style2">
    <w:name w:val="Style2"/>
    <w:basedOn w:val="TableNormal"/>
    <w:uiPriority w:val="99"/>
    <w:rsid w:val="00FD315F"/>
    <w:pPr>
      <w:spacing w:after="0" w:line="240" w:lineRule="auto"/>
    </w:pPr>
    <w:rPr>
      <w:kern w:val="0"/>
      <w:lang w:val="en-US"/>
      <w14:ligatures w14:val="none"/>
    </w:rPr>
    <w:tblPr>
      <w:tblStyleRowBandSize w:val="1"/>
      <w:tblInd w:w="0" w:type="nil"/>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blStylePr w:type="firstRow">
      <w:pPr>
        <w:jc w:val="center"/>
      </w:pPr>
      <w:rPr>
        <w:b/>
        <w:color w:val="FFFFFF" w:themeColor="background1"/>
      </w:rPr>
      <w:tblPr/>
      <w:tcPr>
        <w:shd w:val="clear" w:color="auto" w:fill="156082" w:themeFill="accent1"/>
        <w:vAlign w:val="center"/>
      </w:tcPr>
    </w:tblStylePr>
    <w:tblStylePr w:type="lastRow">
      <w:rPr>
        <w:b/>
        <w:color w:val="auto"/>
      </w:rPr>
    </w:tblStylePr>
    <w:tblStylePr w:type="band1Horz">
      <w:tblPr/>
      <w:tcPr>
        <w:shd w:val="clear" w:color="auto" w:fill="B7D4EF" w:themeFill="text2" w:themeFillTint="33"/>
      </w:tcPr>
    </w:tblStylePr>
  </w:style>
  <w:style w:type="table" w:customStyle="1" w:styleId="TableGrid20">
    <w:name w:val="TableGrid2"/>
    <w:rsid w:val="00FD315F"/>
    <w:pPr>
      <w:spacing w:after="0" w:line="240" w:lineRule="auto"/>
    </w:pPr>
    <w:rPr>
      <w:rFonts w:eastAsiaTheme="minorEastAsia"/>
      <w:kern w:val="0"/>
      <w14:ligatures w14:val="none"/>
    </w:rPr>
    <w:tblPr>
      <w:tblCellMar>
        <w:top w:w="0" w:type="dxa"/>
        <w:left w:w="0" w:type="dxa"/>
        <w:bottom w:w="0" w:type="dxa"/>
        <w:right w:w="0" w:type="dxa"/>
      </w:tblCellMar>
    </w:tblPr>
  </w:style>
  <w:style w:type="table" w:customStyle="1" w:styleId="Finansinlentel">
    <w:name w:val="Finansinė lentelė"/>
    <w:basedOn w:val="TableNormal"/>
    <w:uiPriority w:val="99"/>
    <w:rsid w:val="00FD315F"/>
    <w:pPr>
      <w:spacing w:after="0" w:line="240" w:lineRule="auto"/>
      <w:ind w:left="144" w:right="144"/>
    </w:pPr>
    <w:rPr>
      <w:rFonts w:eastAsiaTheme="minorEastAsia"/>
      <w:kern w:val="0"/>
      <w:lang w:val="en-US"/>
      <w14:ligatures w14:val="none"/>
    </w:rPr>
    <w:tblPr>
      <w:tblInd w:w="0" w:type="nil"/>
      <w:tblBorders>
        <w:insideH w:val="single" w:sz="4" w:space="0" w:color="D9D9D9" w:themeColor="background1" w:themeShade="D9"/>
      </w:tblBorders>
      <w:tblCellMar>
        <w:left w:w="0" w:type="dxa"/>
        <w:right w:w="0" w:type="dxa"/>
      </w:tblCellMar>
    </w:tblPr>
    <w:tblStylePr w:type="firstRow">
      <w:rPr>
        <w:rFonts w:asciiTheme="majorHAnsi" w:hAnsiTheme="majorHAnsi" w:hint="default"/>
        <w:b w:val="0"/>
        <w:caps/>
        <w:smallCaps w:val="0"/>
        <w:color w:val="156082" w:themeColor="accent1"/>
        <w:sz w:val="22"/>
        <w:szCs w:val="22"/>
      </w:rPr>
    </w:tblStylePr>
    <w:tblStylePr w:type="firstCol">
      <w:rPr>
        <w:b/>
      </w:rPr>
    </w:tblStylePr>
  </w:style>
  <w:style w:type="table" w:customStyle="1" w:styleId="GridTable1Light-Accent61">
    <w:name w:val="Grid Table 1 Light - Accent 61"/>
    <w:basedOn w:val="TableNormal"/>
    <w:uiPriority w:val="46"/>
    <w:rsid w:val="00FD315F"/>
    <w:pPr>
      <w:spacing w:after="0" w:line="240" w:lineRule="auto"/>
    </w:pPr>
    <w:rPr>
      <w:kern w:val="0"/>
      <w:sz w:val="20"/>
      <w14:ligatures w14:val="none"/>
    </w:rPr>
    <w:tblPr>
      <w:tblStyleRowBandSize w:val="1"/>
      <w:tblStyleColBandSize w:val="1"/>
      <w:tblInd w:w="0" w:type="nil"/>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cBorders>
        <w:shd w:val="clear" w:color="auto" w:fill="8DD873" w:themeFill="accent6" w:themeFillTint="99"/>
      </w:tcPr>
    </w:tblStylePr>
    <w:tblStylePr w:type="lastRow">
      <w:rPr>
        <w:b/>
        <w:bCs/>
      </w:rPr>
      <w:tblPr/>
      <w:tcPr>
        <w:shd w:val="clear" w:color="auto" w:fill="8DD873" w:themeFill="accent6" w:themeFillTint="99"/>
      </w:tcPr>
    </w:tblStylePr>
    <w:tblStylePr w:type="firstCol">
      <w:rPr>
        <w:b w:val="0"/>
        <w:bCs/>
      </w:rPr>
    </w:tblStylePr>
    <w:tblStylePr w:type="lastCol">
      <w:rPr>
        <w:b w:val="0"/>
        <w:bCs/>
      </w:rPr>
    </w:tblStylePr>
  </w:style>
  <w:style w:type="table" w:customStyle="1" w:styleId="Metrascio">
    <w:name w:val="Metrascio"/>
    <w:basedOn w:val="TableNormal"/>
    <w:uiPriority w:val="99"/>
    <w:qFormat/>
    <w:rsid w:val="00FD315F"/>
    <w:pPr>
      <w:spacing w:after="0" w:line="240" w:lineRule="auto"/>
    </w:pPr>
    <w:rPr>
      <w:rFonts w:ascii="Times New Roman" w:eastAsia="Times New Roman" w:hAnsi="Times New Roman" w:cs="Times New Roman"/>
      <w:kern w:val="0"/>
      <w:sz w:val="20"/>
      <w:szCs w:val="20"/>
      <w14:ligatures w14:val="none"/>
    </w:rPr>
    <w:tblPr>
      <w:tblInd w:w="0" w:type="nil"/>
      <w:tblBorders>
        <w:top w:val="single" w:sz="18" w:space="0" w:color="7030A0"/>
        <w:bottom w:val="single" w:sz="18" w:space="0" w:color="7030A0"/>
        <w:insideH w:val="single" w:sz="6" w:space="0" w:color="7030A0"/>
        <w:insideV w:val="single" w:sz="6" w:space="0" w:color="7030A0"/>
      </w:tblBorders>
    </w:tblPr>
    <w:tcPr>
      <w:vAlign w:val="center"/>
    </w:tcPr>
    <w:tblStylePr w:type="firstRow">
      <w:pPr>
        <w:jc w:val="center"/>
      </w:pPr>
      <w:rPr>
        <w:b w:val="0"/>
      </w:rPr>
      <w:tblPr/>
      <w:tcPr>
        <w:tcBorders>
          <w:bottom w:val="single" w:sz="18" w:space="0" w:color="7030A0"/>
        </w:tcBorders>
      </w:tcPr>
    </w:tblStylePr>
    <w:tblStylePr w:type="lastRow">
      <w:pPr>
        <w:jc w:val="right"/>
      </w:pPr>
      <w:rPr>
        <w:b w:val="0"/>
      </w:rPr>
      <w:tblPr/>
      <w:tcPr>
        <w:tcBorders>
          <w:top w:val="single" w:sz="18" w:space="0" w:color="7030A0"/>
        </w:tcBorders>
        <w:shd w:val="clear" w:color="auto" w:fill="CAEDFB" w:themeFill="accent4" w:themeFillTint="33"/>
        <w:vAlign w:val="bottom"/>
      </w:tcPr>
    </w:tblStylePr>
    <w:tblStylePr w:type="firstCol">
      <w:pPr>
        <w:jc w:val="left"/>
      </w:pPr>
    </w:tblStylePr>
  </w:style>
  <w:style w:type="table" w:customStyle="1" w:styleId="Metrascio2011">
    <w:name w:val="Metrascio2011"/>
    <w:basedOn w:val="TableNormal"/>
    <w:uiPriority w:val="99"/>
    <w:qFormat/>
    <w:rsid w:val="00FD315F"/>
    <w:pPr>
      <w:spacing w:after="0" w:line="240" w:lineRule="auto"/>
    </w:pPr>
    <w:rPr>
      <w:rFonts w:ascii="Times New Roman" w:eastAsia="Calibri" w:hAnsi="Times New Roman" w:cs="Times New Roman"/>
      <w:kern w:val="0"/>
      <w:sz w:val="24"/>
      <w:szCs w:val="24"/>
      <w14:ligatures w14:val="none"/>
    </w:rPr>
    <w:tblPr>
      <w:tblInd w:w="0" w:type="nil"/>
      <w:tblBorders>
        <w:top w:val="thinThickSmallGap" w:sz="24" w:space="0" w:color="0C3512" w:themeColor="accent3" w:themeShade="80"/>
        <w:bottom w:val="thinThickSmallGap" w:sz="24" w:space="0" w:color="0C3512" w:themeColor="accent3" w:themeShade="80"/>
        <w:insideH w:val="single" w:sz="4" w:space="0" w:color="0C3512" w:themeColor="accent3" w:themeShade="80"/>
        <w:insideV w:val="single" w:sz="4" w:space="0" w:color="0C3512" w:themeColor="accent3" w:themeShade="80"/>
      </w:tblBorders>
    </w:tblPr>
    <w:tcPr>
      <w:vAlign w:val="center"/>
    </w:tcPr>
    <w:tblStylePr w:type="firstRow">
      <w:rPr>
        <w:b/>
      </w:rPr>
      <w:tblPr/>
      <w:tcPr>
        <w:tcBorders>
          <w:top w:val="thinThickSmallGap" w:sz="24" w:space="0" w:color="0C3512" w:themeColor="accent3" w:themeShade="80"/>
          <w:left w:val="nil"/>
          <w:bottom w:val="single" w:sz="12" w:space="0" w:color="0C3512" w:themeColor="accent3" w:themeShade="80"/>
          <w:right w:val="nil"/>
          <w:insideH w:val="nil"/>
          <w:insideV w:val="single" w:sz="4" w:space="0" w:color="0C3512" w:themeColor="accent3" w:themeShade="80"/>
          <w:tl2br w:val="nil"/>
          <w:tr2bl w:val="nil"/>
        </w:tcBorders>
      </w:tcPr>
    </w:tblStylePr>
    <w:tblStylePr w:type="lastRow">
      <w:rPr>
        <w:b/>
      </w:rPr>
      <w:tblPr/>
      <w:tcPr>
        <w:tcBorders>
          <w:top w:val="single" w:sz="12" w:space="0" w:color="0C3512" w:themeColor="accent3" w:themeShade="80"/>
          <w:left w:val="nil"/>
          <w:bottom w:val="thickThinSmallGap" w:sz="24" w:space="0" w:color="0C3512" w:themeColor="accent3" w:themeShade="80"/>
          <w:right w:val="nil"/>
          <w:insideH w:val="nil"/>
          <w:insideV w:val="single" w:sz="2" w:space="0" w:color="0C3512" w:themeColor="accent3" w:themeShade="80"/>
          <w:tl2br w:val="nil"/>
          <w:tr2bl w:val="nil"/>
        </w:tcBorders>
        <w:shd w:val="clear" w:color="auto" w:fill="C1F0C7" w:themeFill="accent3" w:themeFillTint="33"/>
      </w:tcPr>
    </w:tblStylePr>
  </w:style>
  <w:style w:type="table" w:customStyle="1" w:styleId="Metrascio1">
    <w:name w:val="Metrascio1"/>
    <w:basedOn w:val="TableNormal"/>
    <w:uiPriority w:val="99"/>
    <w:qFormat/>
    <w:rsid w:val="00FD315F"/>
    <w:pPr>
      <w:spacing w:after="0" w:line="240" w:lineRule="auto"/>
    </w:pPr>
    <w:rPr>
      <w:rFonts w:ascii="Times New Roman" w:eastAsia="Times New Roman" w:hAnsi="Times New Roman" w:cs="Times New Roman"/>
      <w:kern w:val="0"/>
      <w:sz w:val="20"/>
      <w:szCs w:val="20"/>
      <w14:ligatures w14:val="none"/>
    </w:rPr>
    <w:tblPr>
      <w:tblInd w:w="0" w:type="nil"/>
      <w:tblBorders>
        <w:top w:val="single" w:sz="18" w:space="0" w:color="7030A0"/>
        <w:bottom w:val="single" w:sz="18" w:space="0" w:color="7030A0"/>
        <w:insideH w:val="single" w:sz="6" w:space="0" w:color="7030A0"/>
        <w:insideV w:val="single" w:sz="6" w:space="0" w:color="7030A0"/>
      </w:tblBorders>
    </w:tblPr>
    <w:tcPr>
      <w:vAlign w:val="center"/>
    </w:tcPr>
    <w:tblStylePr w:type="firstRow">
      <w:pPr>
        <w:jc w:val="center"/>
      </w:pPr>
      <w:rPr>
        <w:b w:val="0"/>
      </w:rPr>
      <w:tblPr/>
      <w:tcPr>
        <w:tcBorders>
          <w:bottom w:val="single" w:sz="18" w:space="0" w:color="7030A0"/>
        </w:tcBorders>
      </w:tcPr>
    </w:tblStylePr>
    <w:tblStylePr w:type="lastRow">
      <w:pPr>
        <w:jc w:val="right"/>
      </w:pPr>
      <w:rPr>
        <w:b w:val="0"/>
      </w:rPr>
      <w:tblPr/>
      <w:tcPr>
        <w:tcBorders>
          <w:top w:val="single" w:sz="18" w:space="0" w:color="7030A0"/>
        </w:tcBorders>
        <w:shd w:val="clear" w:color="auto" w:fill="CAEDFB" w:themeFill="accent4" w:themeFillTint="33"/>
        <w:vAlign w:val="bottom"/>
      </w:tcPr>
    </w:tblStylePr>
    <w:tblStylePr w:type="firstCol">
      <w:pPr>
        <w:jc w:val="left"/>
      </w:pPr>
    </w:tblStylePr>
  </w:style>
  <w:style w:type="table" w:customStyle="1" w:styleId="metrastis2012">
    <w:name w:val="metrastis2012"/>
    <w:basedOn w:val="TableNormal"/>
    <w:uiPriority w:val="99"/>
    <w:qFormat/>
    <w:rsid w:val="00FD315F"/>
    <w:pPr>
      <w:spacing w:after="0" w:line="240" w:lineRule="auto"/>
    </w:pPr>
    <w:rPr>
      <w:rFonts w:ascii="Calibri" w:eastAsia="Calibri" w:hAnsi="Calibri" w:cs="Times New Roman"/>
      <w:color w:val="595959"/>
      <w:kern w:val="0"/>
      <w:sz w:val="20"/>
      <w:szCs w:val="20"/>
      <w:lang w:val="en-US"/>
      <w14:ligatures w14:val="none"/>
    </w:rPr>
    <w:tblPr>
      <w:tblInd w:w="0" w:type="nil"/>
      <w:tblBorders>
        <w:insideH w:val="single" w:sz="2" w:space="0" w:color="808080"/>
        <w:insideV w:val="single" w:sz="2" w:space="0" w:color="808080"/>
      </w:tblBorders>
    </w:tblPr>
    <w:tblStylePr w:type="firstRow">
      <w:pPr>
        <w:wordWrap/>
        <w:spacing w:beforeLines="0" w:before="100" w:beforeAutospacing="1" w:afterLines="0" w:after="100" w:afterAutospacing="1" w:line="240" w:lineRule="auto"/>
        <w:jc w:val="center"/>
      </w:pPr>
      <w:rPr>
        <w:rFonts w:ascii="Calibri" w:hAnsi="Calibri" w:cs="Calibri" w:hint="default"/>
        <w:b/>
        <w:color w:val="FFFFFF"/>
        <w:sz w:val="20"/>
        <w:szCs w:val="20"/>
      </w:rPr>
      <w:tblPr/>
      <w:tcPr>
        <w:tcBorders>
          <w:top w:val="nil"/>
          <w:left w:val="nil"/>
          <w:bottom w:val="nil"/>
          <w:right w:val="nil"/>
          <w:insideH w:val="nil"/>
          <w:insideV w:val="nil"/>
          <w:tl2br w:val="nil"/>
          <w:tr2bl w:val="nil"/>
        </w:tcBorders>
        <w:shd w:val="clear" w:color="auto" w:fill="F7972D"/>
        <w:vAlign w:val="center"/>
      </w:tcPr>
    </w:tblStylePr>
    <w:tblStylePr w:type="lastRow">
      <w:rPr>
        <w:rFonts w:ascii="Calibri" w:hAnsi="Calibri" w:cs="Calibri" w:hint="default"/>
        <w:b/>
        <w:color w:val="FFFFFF"/>
        <w:sz w:val="20"/>
        <w:szCs w:val="20"/>
      </w:rPr>
      <w:tblPr/>
      <w:tcPr>
        <w:tcBorders>
          <w:insideV w:val="nil"/>
        </w:tcBorders>
        <w:shd w:val="clear" w:color="auto" w:fill="F7972D"/>
      </w:tcPr>
    </w:tblStylePr>
  </w:style>
  <w:style w:type="table" w:customStyle="1" w:styleId="Style1">
    <w:name w:val="Style1"/>
    <w:basedOn w:val="TableNormal"/>
    <w:uiPriority w:val="99"/>
    <w:qFormat/>
    <w:rsid w:val="00FD315F"/>
    <w:pPr>
      <w:spacing w:after="0" w:line="240" w:lineRule="auto"/>
    </w:pPr>
    <w:rPr>
      <w:color w:val="284448"/>
      <w:kern w:val="0"/>
      <w:lang w:val="en-US"/>
      <w14:ligatures w14:val="none"/>
    </w:rPr>
    <w:tblPr>
      <w:tblStyleRowBandSize w:val="1"/>
      <w:tblInd w:w="0" w:type="nil"/>
      <w:tblBorders>
        <w:top w:val="single" w:sz="4" w:space="0" w:color="B1C9B3"/>
        <w:left w:val="single" w:sz="4" w:space="0" w:color="B1C9B3"/>
        <w:bottom w:val="single" w:sz="4" w:space="0" w:color="B1C9B3"/>
        <w:right w:val="single" w:sz="4" w:space="0" w:color="B1C9B3"/>
        <w:insideH w:val="single" w:sz="4" w:space="0" w:color="B1C9B3"/>
        <w:insideV w:val="single" w:sz="4" w:space="0" w:color="B1C9B3"/>
      </w:tblBorders>
    </w:tblPr>
    <w:tcPr>
      <w:shd w:val="clear" w:color="auto" w:fill="FFFFFF" w:themeFill="background1"/>
    </w:tcPr>
    <w:tblStylePr w:type="firstRow">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lastRow">
      <w:rPr>
        <w:color w:val="284448"/>
      </w:rPr>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band1Horz">
      <w:tblPr/>
      <w:tcPr>
        <w:shd w:val="clear" w:color="auto" w:fill="E1EBE2"/>
      </w:tcPr>
    </w:tblStylePr>
  </w:style>
  <w:style w:type="table" w:customStyle="1" w:styleId="1tinkleliolentelviesi3parykinimas1">
    <w:name w:val="1 tinklelio lentelė (šviesi) – 3 paryškinimas1"/>
    <w:basedOn w:val="TableNormal"/>
    <w:uiPriority w:val="46"/>
    <w:rsid w:val="00FD315F"/>
    <w:pPr>
      <w:spacing w:after="0" w:line="240" w:lineRule="auto"/>
    </w:pPr>
    <w:rPr>
      <w:rFonts w:ascii="Times New Roman" w:hAnsi="Times New Roman"/>
      <w:kern w:val="0"/>
      <w:sz w:val="24"/>
      <w14:ligatures w14:val="none"/>
    </w:rPr>
    <w:tblPr>
      <w:tblStyleRowBandSize w:val="1"/>
      <w:tblStyleColBandSize w:val="1"/>
      <w:tblInd w:w="0" w:type="nil"/>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Lentelstinklelisviesus1">
    <w:name w:val="Lentelės tinklelis – šviesus1"/>
    <w:basedOn w:val="TableNormal"/>
    <w:uiPriority w:val="40"/>
    <w:rsid w:val="00FD315F"/>
    <w:pPr>
      <w:spacing w:after="0" w:line="240" w:lineRule="auto"/>
    </w:pPr>
    <w:rPr>
      <w:rFonts w:ascii="Times New Roman" w:hAnsi="Times New Roman"/>
      <w:kern w:val="0"/>
      <w:sz w:val="24"/>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0">
    <w:name w:val="Table Grid1"/>
    <w:basedOn w:val="TableNormal"/>
    <w:uiPriority w:val="59"/>
    <w:rsid w:val="00FD315F"/>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
    <w:basedOn w:val="TableNormal"/>
    <w:uiPriority w:val="59"/>
    <w:rsid w:val="00FD315F"/>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1">
    <w:name w:val="Style11"/>
    <w:basedOn w:val="TableNormal"/>
    <w:uiPriority w:val="99"/>
    <w:qFormat/>
    <w:rsid w:val="00FD315F"/>
    <w:pPr>
      <w:spacing w:after="0" w:line="240" w:lineRule="auto"/>
    </w:pPr>
    <w:rPr>
      <w:rFonts w:ascii="Calibri" w:eastAsia="Calibri" w:hAnsi="Calibri" w:cs="Times New Roman"/>
      <w:color w:val="284448"/>
      <w:kern w:val="0"/>
      <w:lang w:val="en-US"/>
      <w14:ligatures w14:val="none"/>
    </w:rPr>
    <w:tblPr>
      <w:tblStyleRowBandSize w:val="1"/>
      <w:tblInd w:w="0" w:type="nil"/>
      <w:tblBorders>
        <w:top w:val="single" w:sz="4" w:space="0" w:color="B1C9B3"/>
        <w:left w:val="single" w:sz="4" w:space="0" w:color="B1C9B3"/>
        <w:bottom w:val="single" w:sz="4" w:space="0" w:color="B1C9B3"/>
        <w:right w:val="single" w:sz="4" w:space="0" w:color="B1C9B3"/>
        <w:insideH w:val="single" w:sz="4" w:space="0" w:color="B1C9B3"/>
        <w:insideV w:val="single" w:sz="4" w:space="0" w:color="B1C9B3"/>
      </w:tblBorders>
    </w:tblPr>
    <w:tcPr>
      <w:shd w:val="clear" w:color="auto" w:fill="FFFFFF"/>
    </w:tcPr>
    <w:tblStylePr w:type="firstRow">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lastRow">
      <w:rPr>
        <w:color w:val="284448"/>
      </w:rPr>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band1Horz">
      <w:tblPr/>
      <w:tcPr>
        <w:shd w:val="clear" w:color="auto" w:fill="E1EBE2"/>
      </w:tcPr>
    </w:tblStylePr>
  </w:style>
  <w:style w:type="table" w:customStyle="1" w:styleId="Metratis">
    <w:name w:val="Metraštis"/>
    <w:basedOn w:val="Lentelstinklelisviesus1"/>
    <w:uiPriority w:val="99"/>
    <w:rsid w:val="00FD315F"/>
    <w:pPr>
      <w:jc w:val="center"/>
    </w:pPr>
    <w:tblPr>
      <w:tblStyleRowBandSize w:val="1"/>
      <w:tblBorders>
        <w:top w:val="single" w:sz="4" w:space="0" w:color="1C6C6E"/>
        <w:left w:val="single" w:sz="4" w:space="0" w:color="1C6C6E"/>
        <w:bottom w:val="single" w:sz="4" w:space="0" w:color="1C6C6E"/>
        <w:right w:val="single" w:sz="4" w:space="0" w:color="1C6C6E"/>
        <w:insideH w:val="single" w:sz="4" w:space="0" w:color="1C6C6E"/>
        <w:insideV w:val="single" w:sz="4" w:space="0" w:color="1C6C6E"/>
      </w:tblBorders>
    </w:tblPr>
    <w:tcPr>
      <w:vAlign w:val="center"/>
    </w:tcPr>
    <w:tblStylePr w:type="firstRow">
      <w:pPr>
        <w:jc w:val="center"/>
      </w:pPr>
      <w:rPr>
        <w:b/>
      </w:rPr>
      <w:tblPr/>
      <w:tcPr>
        <w:tcBorders>
          <w:top w:val="single" w:sz="4" w:space="0" w:color="1C6C6E"/>
          <w:left w:val="single" w:sz="4" w:space="0" w:color="1C6C6E"/>
          <w:bottom w:val="single" w:sz="4" w:space="0" w:color="1C6C6E"/>
          <w:right w:val="single" w:sz="4" w:space="0" w:color="1C6C6E"/>
          <w:insideH w:val="single" w:sz="4" w:space="0" w:color="1C6C6E"/>
          <w:insideV w:val="single" w:sz="4" w:space="0" w:color="1C6C6E"/>
        </w:tcBorders>
        <w:shd w:val="clear" w:color="auto" w:fill="33C7CB"/>
      </w:tcPr>
    </w:tblStylePr>
    <w:tblStylePr w:type="lastRow">
      <w:tblPr/>
      <w:tcPr>
        <w:tcBorders>
          <w:top w:val="double" w:sz="4" w:space="0" w:color="1C6C6E"/>
        </w:tcBorders>
        <w:shd w:val="clear" w:color="auto" w:fill="33C7CB"/>
      </w:tcPr>
    </w:tblStylePr>
    <w:tblStylePr w:type="firstCol">
      <w:tblPr/>
      <w:tcPr>
        <w:shd w:val="clear" w:color="auto" w:fill="B8EDEE"/>
      </w:tcPr>
    </w:tblStylePr>
    <w:tblStylePr w:type="band2Horz">
      <w:tblPr/>
      <w:tcPr>
        <w:shd w:val="clear" w:color="auto" w:fill="B8EDEE"/>
      </w:tcPr>
    </w:tblStylePr>
  </w:style>
  <w:style w:type="table" w:customStyle="1" w:styleId="2tinkleliolentel5parykinimas1">
    <w:name w:val="2 tinklelio lentelė – 5 paryškinimas1"/>
    <w:basedOn w:val="TableNormal"/>
    <w:uiPriority w:val="47"/>
    <w:rsid w:val="00FD315F"/>
    <w:pPr>
      <w:spacing w:after="0" w:line="240" w:lineRule="auto"/>
    </w:pPr>
    <w:rPr>
      <w:rFonts w:ascii="Times New Roman" w:hAnsi="Times New Roman"/>
      <w:kern w:val="0"/>
      <w:sz w:val="24"/>
      <w14:ligatures w14:val="none"/>
    </w:rPr>
    <w:tblPr>
      <w:tblStyleRowBandSize w:val="1"/>
      <w:tblStyleColBandSize w:val="1"/>
      <w:tblInd w:w="0" w:type="nil"/>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1tinkleliolentelviesi5parykinimas1">
    <w:name w:val="1 tinklelio lentelė (šviesi) – 5 paryškinimas1"/>
    <w:basedOn w:val="TableNormal"/>
    <w:uiPriority w:val="46"/>
    <w:rsid w:val="00FD315F"/>
    <w:pPr>
      <w:spacing w:after="0" w:line="240" w:lineRule="auto"/>
    </w:pPr>
    <w:rPr>
      <w:kern w:val="0"/>
      <w14:ligatures w14:val="none"/>
    </w:rPr>
    <w:tblPr>
      <w:tblStyleRowBandSize w:val="1"/>
      <w:tblStyleColBandSize w:val="1"/>
      <w:tblInd w:w="0" w:type="nil"/>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4tinkleliolentel5parykinimas1">
    <w:name w:val="4 tinklelio lentelė – 5 paryškinimas1"/>
    <w:basedOn w:val="TableNormal"/>
    <w:uiPriority w:val="49"/>
    <w:rsid w:val="00FD315F"/>
    <w:pPr>
      <w:spacing w:after="0" w:line="240" w:lineRule="auto"/>
    </w:pPr>
    <w:rPr>
      <w:kern w:val="0"/>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5tinkleliolenteltamsi-1parykinimas1">
    <w:name w:val="5 tinklelio lentelė (tamsi) - 1 paryškinimas1"/>
    <w:basedOn w:val="TableNormal"/>
    <w:uiPriority w:val="50"/>
    <w:rsid w:val="00FD315F"/>
    <w:pPr>
      <w:spacing w:after="0" w:line="240" w:lineRule="auto"/>
    </w:pPr>
    <w:rPr>
      <w:kern w:val="0"/>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customStyle="1" w:styleId="4tinkleliolentel-1parykinimas2">
    <w:name w:val="4 tinklelio lentelė - 1 paryškinimas2"/>
    <w:basedOn w:val="TableNormal"/>
    <w:uiPriority w:val="49"/>
    <w:rsid w:val="00FD315F"/>
    <w:pPr>
      <w:spacing w:after="0" w:line="240" w:lineRule="auto"/>
    </w:pPr>
    <w:rPr>
      <w:kern w:val="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3sraolentel5parykinimas1">
    <w:name w:val="3 sąrašo lentelė – 5 paryškinimas1"/>
    <w:basedOn w:val="TableNormal"/>
    <w:uiPriority w:val="48"/>
    <w:rsid w:val="00FD315F"/>
    <w:pPr>
      <w:spacing w:after="0" w:line="240" w:lineRule="auto"/>
    </w:pPr>
    <w:rPr>
      <w:kern w:val="0"/>
      <w14:ligatures w14:val="none"/>
    </w:rPr>
    <w:tblPr>
      <w:tblStyleRowBandSize w:val="1"/>
      <w:tblStyleColBandSize w:val="1"/>
      <w:tblInd w:w="0" w:type="nil"/>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customStyle="1" w:styleId="4sraolentel5parykinimas1">
    <w:name w:val="4 sąrašo lentelė – 5 paryškinimas1"/>
    <w:basedOn w:val="TableNormal"/>
    <w:uiPriority w:val="49"/>
    <w:rsid w:val="00FD315F"/>
    <w:pPr>
      <w:spacing w:after="0" w:line="240" w:lineRule="auto"/>
    </w:pPr>
    <w:rPr>
      <w:kern w:val="0"/>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4tinkleliolentel-1parykinimas11">
    <w:name w:val="4 tinklelio lentelė - 1 paryškinimas11"/>
    <w:basedOn w:val="TableNormal"/>
    <w:uiPriority w:val="49"/>
    <w:rsid w:val="00FD315F"/>
    <w:pPr>
      <w:spacing w:after="0" w:line="240" w:lineRule="auto"/>
    </w:pPr>
    <w:rPr>
      <w:rFonts w:eastAsiaTheme="minorEastAsia" w:cs="Times New Roman"/>
      <w:kern w:val="0"/>
      <w:lang w:val="en-US"/>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rFonts w:ascii="Aptos" w:hAnsi="Aptos" w:cs="Times New Roman" w:hint="default"/>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rFonts w:ascii="Aptos" w:hAnsi="Aptos" w:cs="Times New Roman" w:hint="default"/>
        <w:b/>
        <w:bCs/>
      </w:rPr>
      <w:tblPr/>
      <w:tcPr>
        <w:tcBorders>
          <w:top w:val="double" w:sz="4" w:space="0" w:color="156082" w:themeColor="accent1"/>
        </w:tcBorders>
      </w:tcPr>
    </w:tblStylePr>
    <w:tblStylePr w:type="firstCol">
      <w:rPr>
        <w:rFonts w:ascii="Aptos" w:hAnsi="Aptos" w:cs="Times New Roman" w:hint="default"/>
        <w:b/>
        <w:bCs/>
      </w:rPr>
    </w:tblStylePr>
    <w:tblStylePr w:type="lastCol">
      <w:rPr>
        <w:rFonts w:ascii="Aptos" w:hAnsi="Aptos" w:cs="Times New Roman" w:hint="default"/>
        <w:b/>
        <w:bCs/>
      </w:rPr>
    </w:tblStylePr>
    <w:tblStylePr w:type="band1Vert">
      <w:rPr>
        <w:rFonts w:ascii="Aptos" w:hAnsi="Aptos" w:cs="Times New Roman" w:hint="default"/>
      </w:rPr>
      <w:tblPr/>
      <w:tcPr>
        <w:shd w:val="clear" w:color="auto" w:fill="C1E4F5" w:themeFill="accent1" w:themeFillTint="33"/>
      </w:tcPr>
    </w:tblStylePr>
    <w:tblStylePr w:type="band1Horz">
      <w:rPr>
        <w:rFonts w:ascii="Aptos" w:hAnsi="Aptos" w:cs="Times New Roman" w:hint="default"/>
      </w:rPr>
      <w:tblPr/>
      <w:tcPr>
        <w:shd w:val="clear" w:color="auto" w:fill="C1E4F5" w:themeFill="accent1" w:themeFillTint="33"/>
      </w:tcPr>
    </w:tblStylePr>
  </w:style>
  <w:style w:type="table" w:customStyle="1" w:styleId="4sraolentel1parykinimas11">
    <w:name w:val="4 sąrašo lentelė – 1 paryškinimas11"/>
    <w:basedOn w:val="TableNormal"/>
    <w:uiPriority w:val="49"/>
    <w:rsid w:val="00FD315F"/>
    <w:pPr>
      <w:spacing w:after="0" w:line="240" w:lineRule="auto"/>
    </w:pPr>
    <w:rPr>
      <w:rFonts w:eastAsia="Times New Roman" w:cs="Times New Roman"/>
      <w:kern w:val="0"/>
      <w:sz w:val="2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pPr>
        <w:jc w:val="center"/>
      </w:pPr>
      <w:rPr>
        <w:rFonts w:ascii="Aptos" w:hAnsi="Aptos" w:cs="Times New Roman" w:hint="default"/>
        <w:b/>
        <w:bCs/>
        <w:color w:val="000000" w:themeColor="text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rFonts w:ascii="Aptos" w:hAnsi="Aptos" w:cs="Times New Roman" w:hint="default"/>
        <w:b/>
        <w:bCs/>
      </w:rPr>
      <w:tblPr/>
      <w:tcPr>
        <w:shd w:val="clear" w:color="auto" w:fill="45B0E1" w:themeFill="accent1" w:themeFillTint="99"/>
      </w:tcPr>
    </w:tblStylePr>
    <w:tblStylePr w:type="firstCol">
      <w:rPr>
        <w:rFonts w:ascii="Aptos" w:hAnsi="Aptos" w:cs="Times New Roman" w:hint="default"/>
        <w:b w:val="0"/>
        <w:bCs/>
      </w:rPr>
    </w:tblStylePr>
    <w:tblStylePr w:type="lastCol">
      <w:rPr>
        <w:rFonts w:ascii="Aptos" w:hAnsi="Aptos" w:cs="Times New Roman" w:hint="default"/>
        <w:b w:val="0"/>
        <w:bCs/>
      </w:rPr>
    </w:tblStylePr>
    <w:tblStylePr w:type="band1Vert">
      <w:rPr>
        <w:rFonts w:ascii="Aptos" w:hAnsi="Aptos" w:cs="Times New Roman" w:hint="default"/>
      </w:rPr>
      <w:tblPr/>
      <w:tcPr>
        <w:shd w:val="clear" w:color="auto" w:fill="C1E4F5" w:themeFill="accent1" w:themeFillTint="33"/>
      </w:tcPr>
    </w:tblStylePr>
    <w:tblStylePr w:type="band1Horz">
      <w:rPr>
        <w:rFonts w:ascii="Aptos" w:hAnsi="Aptos" w:cs="Times New Roman" w:hint="default"/>
      </w:rPr>
      <w:tblPr/>
      <w:tcPr>
        <w:shd w:val="clear" w:color="auto" w:fill="C1E4F5" w:themeFill="accent1" w:themeFillTint="33"/>
      </w:tcPr>
    </w:tblStylePr>
  </w:style>
  <w:style w:type="numbering" w:customStyle="1" w:styleId="Metinataskaita">
    <w:name w:val="Metinė ataskaita"/>
    <w:uiPriority w:val="99"/>
    <w:rsid w:val="00FD315F"/>
    <w:pPr>
      <w:numPr>
        <w:numId w:val="10"/>
      </w:numPr>
    </w:pPr>
  </w:style>
  <w:style w:type="character" w:styleId="LineNumber">
    <w:name w:val="line number"/>
    <w:basedOn w:val="DefaultParagraphFont"/>
    <w:uiPriority w:val="99"/>
    <w:semiHidden/>
    <w:unhideWhenUsed/>
    <w:rsid w:val="00FD315F"/>
  </w:style>
  <w:style w:type="table" w:customStyle="1" w:styleId="Lentelstinklelis1">
    <w:name w:val="Lentelės tinklelis1"/>
    <w:basedOn w:val="TableNormal"/>
    <w:next w:val="TableGrid"/>
    <w:uiPriority w:val="59"/>
    <w:rsid w:val="00FD315F"/>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TableNormal"/>
    <w:next w:val="TableGrid"/>
    <w:uiPriority w:val="59"/>
    <w:rsid w:val="00FD315F"/>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TableNormal"/>
    <w:next w:val="TableGrid"/>
    <w:uiPriority w:val="59"/>
    <w:rsid w:val="00FD315F"/>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TableNormal"/>
    <w:next w:val="TableGrid"/>
    <w:uiPriority w:val="59"/>
    <w:rsid w:val="00FD315F"/>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TableNormal"/>
    <w:next w:val="TableGrid"/>
    <w:uiPriority w:val="59"/>
    <w:rsid w:val="00FD315F"/>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5641547cb561e588171f6763cb67417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5b567a3b683ad13b079b86c7836dd494"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2025-12-10T14:25:21+00:00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2025-12-10T14:25:21+00:00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2025-12-10T14:25:21+00:00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3EBD1F6-09D1-4301-BE94-178A623E22CF}"/>
</file>

<file path=customXml/itemProps2.xml><?xml version="1.0" encoding="utf-8"?>
<ds:datastoreItem xmlns:ds="http://schemas.openxmlformats.org/officeDocument/2006/customXml" ds:itemID="{27368CA6-AE40-4F3D-9AE5-E459A09E9520}"/>
</file>

<file path=customXml/itemProps3.xml><?xml version="1.0" encoding="utf-8"?>
<ds:datastoreItem xmlns:ds="http://schemas.openxmlformats.org/officeDocument/2006/customXml" ds:itemID="{BC65FE4B-5DA7-4B15-A011-1405B74595DE}"/>
</file>

<file path=docProps/app.xml><?xml version="1.0" encoding="utf-8"?>
<Properties xmlns="http://schemas.openxmlformats.org/officeDocument/2006/extended-properties" xmlns:vt="http://schemas.openxmlformats.org/officeDocument/2006/docPropsVTypes">
  <Template>Normal</Template>
  <TotalTime>5</TotalTime>
  <Pages>36</Pages>
  <Words>90212</Words>
  <Characters>51421</Characters>
  <Application>Microsoft Office Word</Application>
  <DocSecurity>4</DocSecurity>
  <Lines>428</Lines>
  <Paragraphs>282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Tauras Rutkūnas</dc:creator>
  <cp:lastModifiedBy>Viktė Džiaugytė</cp:lastModifiedBy>
  <cp:revision>2</cp:revision>
  <dcterms:created xsi:type="dcterms:W3CDTF">2025-12-04T09:36:00Z</dcterms:created>
  <dcterms:modified xsi:type="dcterms:W3CDTF">2025-12-04T09:36:00Z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