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DA6E14" w14:textId="77777777" w:rsidR="007B42C8" w:rsidRDefault="000E4A94" w:rsidP="007B42C8">
      <w:pPr>
        <w:pStyle w:val="Title-chapterpink"/>
        <w:rPr>
          <w:color w:val="auto"/>
          <w:sz w:val="100"/>
          <w:szCs w:val="100"/>
        </w:rPr>
      </w:pPr>
      <w:bookmarkStart w:id="0" w:name="_Toc534726596"/>
      <w:bookmarkStart w:id="1" w:name="_Toc516150995"/>
      <w:bookmarkStart w:id="2" w:name="_Toc474325238"/>
      <w:r w:rsidRPr="000E4A94">
        <w:rPr>
          <w:color w:val="auto"/>
          <w:sz w:val="100"/>
          <w:szCs w:val="100"/>
        </w:rPr>
        <w:t>Women’s rights and gender equality in 2018</w:t>
      </w:r>
      <w:r w:rsidR="006A439B">
        <w:rPr>
          <w:color w:val="auto"/>
          <w:sz w:val="100"/>
          <w:szCs w:val="100"/>
        </w:rPr>
        <w:t xml:space="preserve"> </w:t>
      </w:r>
      <w:r w:rsidR="007B42C8">
        <w:rPr>
          <w:color w:val="auto"/>
          <w:sz w:val="100"/>
          <w:szCs w:val="100"/>
        </w:rPr>
        <w:t>–</w:t>
      </w:r>
      <w:r w:rsidR="006A439B">
        <w:rPr>
          <w:color w:val="auto"/>
          <w:sz w:val="100"/>
          <w:szCs w:val="100"/>
        </w:rPr>
        <w:t xml:space="preserve"> update</w:t>
      </w:r>
      <w:bookmarkEnd w:id="0"/>
      <w:r w:rsidR="007B42C8">
        <w:rPr>
          <w:color w:val="auto"/>
          <w:sz w:val="100"/>
          <w:szCs w:val="100"/>
        </w:rPr>
        <w:t xml:space="preserve"> report</w:t>
      </w:r>
      <w:bookmarkStart w:id="3" w:name="_Toc534726597"/>
    </w:p>
    <w:p w14:paraId="005E6B04" w14:textId="4CFD7766" w:rsidR="007B42C8" w:rsidRPr="00F11C26" w:rsidRDefault="009E1CCD" w:rsidP="007B42C8">
      <w:pPr>
        <w:pStyle w:val="Title-chapterpink"/>
        <w:rPr>
          <w:color w:val="auto"/>
        </w:rPr>
      </w:pPr>
      <w:r w:rsidRPr="00F11C26">
        <w:rPr>
          <w:color w:val="auto"/>
        </w:rPr>
        <w:t>Annex I</w:t>
      </w:r>
      <w:bookmarkEnd w:id="1"/>
      <w:bookmarkEnd w:id="3"/>
      <w:r w:rsidR="00FF0F83" w:rsidRPr="00F11C26">
        <w:rPr>
          <w:color w:val="auto"/>
        </w:rPr>
        <w:t>I</w:t>
      </w:r>
      <w:r w:rsidR="00211F67" w:rsidRPr="00F11C26">
        <w:rPr>
          <w:color w:val="auto"/>
        </w:rPr>
        <w:t xml:space="preserve"> </w:t>
      </w:r>
      <w:bookmarkStart w:id="4" w:name="_Toc489219171"/>
      <w:bookmarkStart w:id="5" w:name="_Toc515631840"/>
      <w:bookmarkStart w:id="6" w:name="_Toc474411460"/>
      <w:bookmarkStart w:id="7" w:name="_Toc516150996"/>
      <w:bookmarkStart w:id="8" w:name="_Toc534726598"/>
    </w:p>
    <w:p w14:paraId="339BB801" w14:textId="660246AE" w:rsidR="00211F67" w:rsidRPr="006D423D" w:rsidRDefault="00211F67" w:rsidP="007B42C8">
      <w:pPr>
        <w:pStyle w:val="Title-chapterpink"/>
        <w:spacing w:after="960"/>
        <w:rPr>
          <w:rFonts w:asciiTheme="majorHAnsi" w:eastAsiaTheme="majorEastAsia" w:hAnsiTheme="majorHAnsi" w:cstheme="majorBidi"/>
          <w:b/>
          <w:bCs w:val="0"/>
          <w:color w:val="2E74B5" w:themeColor="accent1" w:themeShade="BF"/>
          <w:sz w:val="44"/>
          <w:szCs w:val="44"/>
          <w:highlight w:val="yellow"/>
        </w:rPr>
      </w:pPr>
      <w:r w:rsidRPr="00F11C26">
        <w:rPr>
          <w:sz w:val="44"/>
          <w:szCs w:val="44"/>
        </w:rPr>
        <w:t>E</w:t>
      </w:r>
      <w:r w:rsidRPr="00F11C26">
        <w:rPr>
          <w:szCs w:val="44"/>
        </w:rPr>
        <w:t>quality and Human Rights Commission annex</w:t>
      </w:r>
      <w:r w:rsidR="00357CC4" w:rsidRPr="00F11C26">
        <w:rPr>
          <w:szCs w:val="44"/>
        </w:rPr>
        <w:t xml:space="preserve">ed </w:t>
      </w:r>
      <w:r w:rsidRPr="00F11C26">
        <w:rPr>
          <w:szCs w:val="44"/>
        </w:rPr>
        <w:t>submission to the UN Committee on the Elimination of All Forms of Discrimination Against Women</w:t>
      </w:r>
      <w:r w:rsidR="005466C3" w:rsidRPr="00F11C26">
        <w:rPr>
          <w:szCs w:val="44"/>
        </w:rPr>
        <w:t>, in response</w:t>
      </w:r>
      <w:r w:rsidRPr="00F11C26">
        <w:rPr>
          <w:szCs w:val="44"/>
        </w:rPr>
        <w:t xml:space="preserve"> </w:t>
      </w:r>
      <w:bookmarkEnd w:id="4"/>
      <w:r w:rsidRPr="00F11C26">
        <w:rPr>
          <w:szCs w:val="44"/>
        </w:rPr>
        <w:t>to</w:t>
      </w:r>
      <w:r w:rsidR="005466C3" w:rsidRPr="00F11C26">
        <w:rPr>
          <w:szCs w:val="44"/>
        </w:rPr>
        <w:t xml:space="preserve"> </w:t>
      </w:r>
      <w:r w:rsidRPr="00F11C26">
        <w:rPr>
          <w:szCs w:val="44"/>
        </w:rPr>
        <w:t>the UK List of Issues</w:t>
      </w:r>
      <w:bookmarkEnd w:id="2"/>
      <w:bookmarkEnd w:id="5"/>
      <w:bookmarkEnd w:id="6"/>
      <w:bookmarkEnd w:id="7"/>
      <w:bookmarkEnd w:id="8"/>
      <w:r w:rsidRPr="006D423D">
        <w:rPr>
          <w:rFonts w:asciiTheme="majorHAnsi" w:eastAsiaTheme="majorEastAsia" w:hAnsiTheme="majorHAnsi" w:cstheme="majorBidi"/>
          <w:b/>
          <w:color w:val="2E74B5" w:themeColor="accent1" w:themeShade="BF"/>
          <w:sz w:val="44"/>
          <w:szCs w:val="44"/>
          <w:highlight w:val="yellow"/>
        </w:rPr>
        <w:br w:type="page"/>
      </w:r>
    </w:p>
    <w:p w14:paraId="77EEC46B" w14:textId="4296F789" w:rsidR="00211F67" w:rsidRDefault="00211F67" w:rsidP="00211F67">
      <w:pPr>
        <w:pStyle w:val="Title-chapterpink"/>
      </w:pPr>
      <w:bookmarkStart w:id="9" w:name="_Toc515631842"/>
      <w:bookmarkStart w:id="10" w:name="_Toc516150997"/>
      <w:bookmarkStart w:id="11" w:name="_Toc534726599"/>
      <w:r w:rsidRPr="00211F67">
        <w:lastRenderedPageBreak/>
        <w:t>C</w:t>
      </w:r>
      <w:r w:rsidRPr="001C23DE">
        <w:t>ontents</w:t>
      </w:r>
      <w:bookmarkEnd w:id="9"/>
      <w:bookmarkEnd w:id="10"/>
      <w:bookmarkEnd w:id="11"/>
    </w:p>
    <w:sdt>
      <w:sdtPr>
        <w:id w:val="-732230089"/>
        <w:docPartObj>
          <w:docPartGallery w:val="Table of Contents"/>
          <w:docPartUnique/>
        </w:docPartObj>
      </w:sdtPr>
      <w:sdtEndPr>
        <w:rPr>
          <w:b/>
          <w:bCs/>
          <w:noProof/>
        </w:rPr>
      </w:sdtEndPr>
      <w:sdtContent>
        <w:p w14:paraId="2A37DF1B" w14:textId="6492C1D1" w:rsidR="00357CC4" w:rsidRDefault="001C23DE">
          <w:pPr>
            <w:pStyle w:val="TOC1"/>
            <w:tabs>
              <w:tab w:val="right" w:pos="9016"/>
            </w:tabs>
            <w:rPr>
              <w:rFonts w:asciiTheme="minorHAnsi" w:eastAsiaTheme="minorEastAsia" w:hAnsiTheme="minorHAnsi" w:cstheme="minorBidi"/>
              <w:noProof/>
              <w:sz w:val="22"/>
              <w:lang w:eastAsia="en-GB"/>
            </w:rPr>
          </w:pPr>
          <w:r w:rsidRPr="00C01D92">
            <w:rPr>
              <w:rFonts w:asciiTheme="majorHAnsi" w:eastAsiaTheme="majorEastAsia" w:hAnsiTheme="majorHAnsi" w:cstheme="majorBidi"/>
              <w:color w:val="2E74B5" w:themeColor="accent1" w:themeShade="BF"/>
              <w:sz w:val="32"/>
              <w:szCs w:val="32"/>
              <w:lang w:val="en-US"/>
            </w:rPr>
            <w:fldChar w:fldCharType="begin"/>
          </w:r>
          <w:r w:rsidRPr="00C01D92">
            <w:instrText xml:space="preserve"> TOC \o "1-3" \h \z \u </w:instrText>
          </w:r>
          <w:r w:rsidRPr="00C01D92">
            <w:rPr>
              <w:rFonts w:asciiTheme="majorHAnsi" w:eastAsiaTheme="majorEastAsia" w:hAnsiTheme="majorHAnsi" w:cstheme="majorBidi"/>
              <w:color w:val="2E74B5" w:themeColor="accent1" w:themeShade="BF"/>
              <w:sz w:val="32"/>
              <w:szCs w:val="32"/>
              <w:lang w:val="en-US"/>
            </w:rPr>
            <w:fldChar w:fldCharType="separate"/>
          </w:r>
          <w:hyperlink w:anchor="_Toc534726600" w:history="1">
            <w:r w:rsidR="00357CC4" w:rsidRPr="00485194">
              <w:rPr>
                <w:rStyle w:val="Hyperlink"/>
                <w:noProof/>
              </w:rPr>
              <w:t>List of abbreviations</w:t>
            </w:r>
            <w:r w:rsidR="00357CC4">
              <w:rPr>
                <w:noProof/>
                <w:webHidden/>
              </w:rPr>
              <w:tab/>
            </w:r>
            <w:r w:rsidR="00357CC4">
              <w:rPr>
                <w:noProof/>
                <w:webHidden/>
              </w:rPr>
              <w:fldChar w:fldCharType="begin"/>
            </w:r>
            <w:r w:rsidR="00357CC4">
              <w:rPr>
                <w:noProof/>
                <w:webHidden/>
              </w:rPr>
              <w:instrText xml:space="preserve"> PAGEREF _Toc534726600 \h </w:instrText>
            </w:r>
            <w:r w:rsidR="00357CC4">
              <w:rPr>
                <w:noProof/>
                <w:webHidden/>
              </w:rPr>
            </w:r>
            <w:r w:rsidR="00357CC4">
              <w:rPr>
                <w:noProof/>
                <w:webHidden/>
              </w:rPr>
              <w:fldChar w:fldCharType="separate"/>
            </w:r>
            <w:r w:rsidR="00032B9E">
              <w:rPr>
                <w:noProof/>
                <w:webHidden/>
              </w:rPr>
              <w:t>2</w:t>
            </w:r>
            <w:r w:rsidR="00357CC4">
              <w:rPr>
                <w:noProof/>
                <w:webHidden/>
              </w:rPr>
              <w:fldChar w:fldCharType="end"/>
            </w:r>
          </w:hyperlink>
        </w:p>
        <w:p w14:paraId="3C76E281" w14:textId="0432ABAC" w:rsidR="00357CC4" w:rsidRDefault="004F37B8">
          <w:pPr>
            <w:pStyle w:val="TOC1"/>
            <w:tabs>
              <w:tab w:val="right" w:pos="9016"/>
            </w:tabs>
            <w:rPr>
              <w:rFonts w:asciiTheme="minorHAnsi" w:eastAsiaTheme="minorEastAsia" w:hAnsiTheme="minorHAnsi" w:cstheme="minorBidi"/>
              <w:noProof/>
              <w:sz w:val="22"/>
              <w:lang w:eastAsia="en-GB"/>
            </w:rPr>
          </w:pPr>
          <w:hyperlink w:anchor="_Toc534726601" w:history="1">
            <w:r w:rsidR="00357CC4" w:rsidRPr="00485194">
              <w:rPr>
                <w:rStyle w:val="Hyperlink"/>
                <w:rFonts w:eastAsiaTheme="majorEastAsia"/>
                <w:noProof/>
              </w:rPr>
              <w:t>Introduction</w:t>
            </w:r>
            <w:r w:rsidR="00357CC4">
              <w:rPr>
                <w:noProof/>
                <w:webHidden/>
              </w:rPr>
              <w:tab/>
            </w:r>
            <w:r w:rsidR="00357CC4">
              <w:rPr>
                <w:noProof/>
                <w:webHidden/>
              </w:rPr>
              <w:fldChar w:fldCharType="begin"/>
            </w:r>
            <w:r w:rsidR="00357CC4">
              <w:rPr>
                <w:noProof/>
                <w:webHidden/>
              </w:rPr>
              <w:instrText xml:space="preserve"> PAGEREF _Toc534726601 \h </w:instrText>
            </w:r>
            <w:r w:rsidR="00357CC4">
              <w:rPr>
                <w:noProof/>
                <w:webHidden/>
              </w:rPr>
            </w:r>
            <w:r w:rsidR="00357CC4">
              <w:rPr>
                <w:noProof/>
                <w:webHidden/>
              </w:rPr>
              <w:fldChar w:fldCharType="separate"/>
            </w:r>
            <w:r w:rsidR="00032B9E">
              <w:rPr>
                <w:noProof/>
                <w:webHidden/>
              </w:rPr>
              <w:t>2</w:t>
            </w:r>
            <w:r w:rsidR="00357CC4">
              <w:rPr>
                <w:noProof/>
                <w:webHidden/>
              </w:rPr>
              <w:fldChar w:fldCharType="end"/>
            </w:r>
          </w:hyperlink>
        </w:p>
        <w:p w14:paraId="37DC4495" w14:textId="78BB54EE" w:rsidR="00357CC4" w:rsidRDefault="004F37B8" w:rsidP="00E37437">
          <w:pPr>
            <w:pStyle w:val="TOC2"/>
            <w:rPr>
              <w:rFonts w:asciiTheme="minorHAnsi" w:eastAsiaTheme="minorEastAsia" w:hAnsiTheme="minorHAnsi" w:cstheme="minorBidi"/>
              <w:sz w:val="22"/>
              <w:lang w:eastAsia="en-GB"/>
            </w:rPr>
          </w:pPr>
          <w:hyperlink w:anchor="_Toc534726602" w:history="1">
            <w:r w:rsidR="00357CC4" w:rsidRPr="00485194">
              <w:rPr>
                <w:rStyle w:val="Hyperlink"/>
              </w:rPr>
              <w:t>How to read this report</w:t>
            </w:r>
            <w:r w:rsidR="00357CC4">
              <w:rPr>
                <w:webHidden/>
              </w:rPr>
              <w:tab/>
            </w:r>
            <w:r w:rsidR="00357CC4">
              <w:rPr>
                <w:webHidden/>
              </w:rPr>
              <w:fldChar w:fldCharType="begin"/>
            </w:r>
            <w:r w:rsidR="00357CC4">
              <w:rPr>
                <w:webHidden/>
              </w:rPr>
              <w:instrText xml:space="preserve"> PAGEREF _Toc534726602 \h </w:instrText>
            </w:r>
            <w:r w:rsidR="00357CC4">
              <w:rPr>
                <w:webHidden/>
              </w:rPr>
            </w:r>
            <w:r w:rsidR="00357CC4">
              <w:rPr>
                <w:webHidden/>
              </w:rPr>
              <w:fldChar w:fldCharType="separate"/>
            </w:r>
            <w:r w:rsidR="00032B9E">
              <w:rPr>
                <w:webHidden/>
              </w:rPr>
              <w:t>2</w:t>
            </w:r>
            <w:r w:rsidR="00357CC4">
              <w:rPr>
                <w:webHidden/>
              </w:rPr>
              <w:fldChar w:fldCharType="end"/>
            </w:r>
          </w:hyperlink>
        </w:p>
        <w:p w14:paraId="183FDA2E" w14:textId="78DE44DD" w:rsidR="00357CC4" w:rsidRDefault="004F37B8" w:rsidP="00E37437">
          <w:pPr>
            <w:pStyle w:val="TOC2"/>
            <w:rPr>
              <w:rFonts w:asciiTheme="minorHAnsi" w:eastAsiaTheme="minorEastAsia" w:hAnsiTheme="minorHAnsi" w:cstheme="minorBidi"/>
              <w:sz w:val="22"/>
              <w:lang w:eastAsia="en-GB"/>
            </w:rPr>
          </w:pPr>
          <w:hyperlink w:anchor="_Toc534726603" w:history="1">
            <w:r w:rsidR="00357CC4" w:rsidRPr="00485194">
              <w:rPr>
                <w:rStyle w:val="Hyperlink"/>
              </w:rPr>
              <w:t>Devolution and the geographic scope of this report</w:t>
            </w:r>
            <w:r w:rsidR="00357CC4">
              <w:rPr>
                <w:webHidden/>
              </w:rPr>
              <w:tab/>
            </w:r>
            <w:r w:rsidR="00357CC4">
              <w:rPr>
                <w:webHidden/>
              </w:rPr>
              <w:fldChar w:fldCharType="begin"/>
            </w:r>
            <w:r w:rsidR="00357CC4">
              <w:rPr>
                <w:webHidden/>
              </w:rPr>
              <w:instrText xml:space="preserve"> PAGEREF _Toc534726603 \h </w:instrText>
            </w:r>
            <w:r w:rsidR="00357CC4">
              <w:rPr>
                <w:webHidden/>
              </w:rPr>
            </w:r>
            <w:r w:rsidR="00357CC4">
              <w:rPr>
                <w:webHidden/>
              </w:rPr>
              <w:fldChar w:fldCharType="separate"/>
            </w:r>
            <w:r w:rsidR="00032B9E">
              <w:rPr>
                <w:webHidden/>
              </w:rPr>
              <w:t>2</w:t>
            </w:r>
            <w:r w:rsidR="00357CC4">
              <w:rPr>
                <w:webHidden/>
              </w:rPr>
              <w:fldChar w:fldCharType="end"/>
            </w:r>
          </w:hyperlink>
        </w:p>
        <w:p w14:paraId="64A1C637" w14:textId="0DD5398B" w:rsidR="00357CC4" w:rsidRDefault="004F37B8" w:rsidP="00E37437">
          <w:pPr>
            <w:pStyle w:val="TOC2"/>
            <w:rPr>
              <w:rFonts w:asciiTheme="minorHAnsi" w:eastAsiaTheme="minorEastAsia" w:hAnsiTheme="minorHAnsi" w:cstheme="minorBidi"/>
              <w:sz w:val="22"/>
              <w:lang w:eastAsia="en-GB"/>
            </w:rPr>
          </w:pPr>
          <w:hyperlink w:anchor="_Toc534726604" w:history="1">
            <w:r w:rsidR="00357CC4" w:rsidRPr="00485194">
              <w:rPr>
                <w:rStyle w:val="Hyperlink"/>
              </w:rPr>
              <w:t>Role and remit of the Equality and Human Rights Commission</w:t>
            </w:r>
            <w:r w:rsidR="00357CC4">
              <w:rPr>
                <w:webHidden/>
              </w:rPr>
              <w:tab/>
            </w:r>
            <w:r w:rsidR="00357CC4">
              <w:rPr>
                <w:webHidden/>
              </w:rPr>
              <w:fldChar w:fldCharType="begin"/>
            </w:r>
            <w:r w:rsidR="00357CC4">
              <w:rPr>
                <w:webHidden/>
              </w:rPr>
              <w:instrText xml:space="preserve"> PAGEREF _Toc534726604 \h </w:instrText>
            </w:r>
            <w:r w:rsidR="00357CC4">
              <w:rPr>
                <w:webHidden/>
              </w:rPr>
            </w:r>
            <w:r w:rsidR="00357CC4">
              <w:rPr>
                <w:webHidden/>
              </w:rPr>
              <w:fldChar w:fldCharType="separate"/>
            </w:r>
            <w:r w:rsidR="00032B9E">
              <w:rPr>
                <w:webHidden/>
              </w:rPr>
              <w:t>2</w:t>
            </w:r>
            <w:r w:rsidR="00357CC4">
              <w:rPr>
                <w:webHidden/>
              </w:rPr>
              <w:fldChar w:fldCharType="end"/>
            </w:r>
          </w:hyperlink>
        </w:p>
        <w:p w14:paraId="2D3E0BF7" w14:textId="3F142331" w:rsidR="00357CC4" w:rsidRDefault="004F37B8" w:rsidP="00E37437">
          <w:pPr>
            <w:pStyle w:val="TOC2"/>
            <w:rPr>
              <w:rFonts w:asciiTheme="minorHAnsi" w:eastAsiaTheme="minorEastAsia" w:hAnsiTheme="minorHAnsi" w:cstheme="minorBidi"/>
              <w:sz w:val="22"/>
              <w:lang w:eastAsia="en-GB"/>
            </w:rPr>
          </w:pPr>
          <w:hyperlink w:anchor="_Toc534726605" w:history="1">
            <w:r w:rsidR="00357CC4" w:rsidRPr="00485194">
              <w:rPr>
                <w:rStyle w:val="Hyperlink"/>
              </w:rPr>
              <w:t>Engagement with civil society</w:t>
            </w:r>
            <w:r w:rsidR="00357CC4">
              <w:rPr>
                <w:webHidden/>
              </w:rPr>
              <w:tab/>
            </w:r>
            <w:r w:rsidR="00357CC4">
              <w:rPr>
                <w:webHidden/>
              </w:rPr>
              <w:fldChar w:fldCharType="begin"/>
            </w:r>
            <w:r w:rsidR="00357CC4">
              <w:rPr>
                <w:webHidden/>
              </w:rPr>
              <w:instrText xml:space="preserve"> PAGEREF _Toc534726605 \h </w:instrText>
            </w:r>
            <w:r w:rsidR="00357CC4">
              <w:rPr>
                <w:webHidden/>
              </w:rPr>
            </w:r>
            <w:r w:rsidR="00357CC4">
              <w:rPr>
                <w:webHidden/>
              </w:rPr>
              <w:fldChar w:fldCharType="separate"/>
            </w:r>
            <w:r w:rsidR="00032B9E">
              <w:rPr>
                <w:webHidden/>
              </w:rPr>
              <w:t>2</w:t>
            </w:r>
            <w:r w:rsidR="00357CC4">
              <w:rPr>
                <w:webHidden/>
              </w:rPr>
              <w:fldChar w:fldCharType="end"/>
            </w:r>
          </w:hyperlink>
        </w:p>
        <w:p w14:paraId="6A0F13CA" w14:textId="7336A3F0" w:rsidR="00357CC4" w:rsidRDefault="004F37B8">
          <w:pPr>
            <w:pStyle w:val="TOC1"/>
            <w:tabs>
              <w:tab w:val="right" w:pos="9016"/>
            </w:tabs>
            <w:rPr>
              <w:rFonts w:asciiTheme="minorHAnsi" w:eastAsiaTheme="minorEastAsia" w:hAnsiTheme="minorHAnsi" w:cstheme="minorBidi"/>
              <w:noProof/>
              <w:sz w:val="22"/>
              <w:lang w:eastAsia="en-GB"/>
            </w:rPr>
          </w:pPr>
          <w:hyperlink w:anchor="_Toc534726606" w:history="1">
            <w:r w:rsidR="00357CC4" w:rsidRPr="00485194">
              <w:rPr>
                <w:rStyle w:val="Hyperlink"/>
                <w:rFonts w:eastAsiaTheme="majorEastAsia"/>
                <w:noProof/>
              </w:rPr>
              <w:t>1. Enhancing the status of international human rights in domestic law:</w:t>
            </w:r>
            <w:r w:rsidR="00C848AB">
              <w:rPr>
                <w:rStyle w:val="Hyperlink"/>
                <w:rFonts w:eastAsiaTheme="majorEastAsia"/>
                <w:noProof/>
              </w:rPr>
              <w:t xml:space="preserve"> </w:t>
            </w:r>
            <w:r w:rsidR="00C848AB" w:rsidRPr="00C848AB">
              <w:rPr>
                <w:rStyle w:val="Hyperlink"/>
                <w:rFonts w:eastAsiaTheme="majorEastAsia"/>
                <w:noProof/>
              </w:rPr>
              <w:t>relates to CEDAW List of Issues (LoI) paragraphs 2 and 5, articles 2 and 3, CEDAW Concluding Observations 2013 (CO) paragraphs 9, 11, 13, 17, 29, 66 and 67 and Sustainable Development Goal (SDG) 10</w:t>
            </w:r>
            <w:r w:rsidR="00357CC4">
              <w:rPr>
                <w:noProof/>
                <w:webHidden/>
              </w:rPr>
              <w:tab/>
            </w:r>
            <w:r w:rsidR="00357CC4">
              <w:rPr>
                <w:noProof/>
                <w:webHidden/>
              </w:rPr>
              <w:fldChar w:fldCharType="begin"/>
            </w:r>
            <w:r w:rsidR="00357CC4">
              <w:rPr>
                <w:noProof/>
                <w:webHidden/>
              </w:rPr>
              <w:instrText xml:space="preserve"> PAGEREF _Toc534726606 \h </w:instrText>
            </w:r>
            <w:r w:rsidR="00357CC4">
              <w:rPr>
                <w:noProof/>
                <w:webHidden/>
              </w:rPr>
            </w:r>
            <w:r w:rsidR="00357CC4">
              <w:rPr>
                <w:noProof/>
                <w:webHidden/>
              </w:rPr>
              <w:fldChar w:fldCharType="separate"/>
            </w:r>
            <w:r w:rsidR="00032B9E">
              <w:rPr>
                <w:noProof/>
                <w:webHidden/>
              </w:rPr>
              <w:t>2</w:t>
            </w:r>
            <w:r w:rsidR="00357CC4">
              <w:rPr>
                <w:noProof/>
                <w:webHidden/>
              </w:rPr>
              <w:fldChar w:fldCharType="end"/>
            </w:r>
          </w:hyperlink>
        </w:p>
        <w:p w14:paraId="5F771954" w14:textId="25828C68" w:rsidR="00357CC4" w:rsidRDefault="004F37B8" w:rsidP="00E37437">
          <w:pPr>
            <w:pStyle w:val="TOC2"/>
            <w:rPr>
              <w:rFonts w:asciiTheme="minorHAnsi" w:eastAsiaTheme="minorEastAsia" w:hAnsiTheme="minorHAnsi" w:cstheme="minorBidi"/>
              <w:sz w:val="22"/>
              <w:lang w:eastAsia="en-GB"/>
            </w:rPr>
          </w:pPr>
          <w:hyperlink w:anchor="_Toc534726608" w:history="1">
            <w:r w:rsidR="00357CC4" w:rsidRPr="00485194">
              <w:rPr>
                <w:rStyle w:val="Hyperlink"/>
                <w:rFonts w:eastAsiaTheme="majorEastAsia"/>
              </w:rPr>
              <w:t>Full implementation and incorporation of CEDAW</w:t>
            </w:r>
            <w:r w:rsidR="00357CC4">
              <w:rPr>
                <w:webHidden/>
              </w:rPr>
              <w:tab/>
            </w:r>
            <w:r w:rsidR="00357CC4">
              <w:rPr>
                <w:webHidden/>
              </w:rPr>
              <w:fldChar w:fldCharType="begin"/>
            </w:r>
            <w:r w:rsidR="00357CC4">
              <w:rPr>
                <w:webHidden/>
              </w:rPr>
              <w:instrText xml:space="preserve"> PAGEREF _Toc534726608 \h </w:instrText>
            </w:r>
            <w:r w:rsidR="00357CC4">
              <w:rPr>
                <w:webHidden/>
              </w:rPr>
            </w:r>
            <w:r w:rsidR="00357CC4">
              <w:rPr>
                <w:webHidden/>
              </w:rPr>
              <w:fldChar w:fldCharType="separate"/>
            </w:r>
            <w:r w:rsidR="00032B9E">
              <w:rPr>
                <w:webHidden/>
              </w:rPr>
              <w:t>2</w:t>
            </w:r>
            <w:r w:rsidR="00357CC4">
              <w:rPr>
                <w:webHidden/>
              </w:rPr>
              <w:fldChar w:fldCharType="end"/>
            </w:r>
          </w:hyperlink>
        </w:p>
        <w:p w14:paraId="77138966" w14:textId="74959287" w:rsidR="00357CC4" w:rsidRDefault="004F37B8" w:rsidP="00E37437">
          <w:pPr>
            <w:pStyle w:val="TOC2"/>
            <w:rPr>
              <w:rFonts w:asciiTheme="minorHAnsi" w:eastAsiaTheme="minorEastAsia" w:hAnsiTheme="minorHAnsi" w:cstheme="minorBidi"/>
              <w:sz w:val="22"/>
              <w:lang w:eastAsia="en-GB"/>
            </w:rPr>
          </w:pPr>
          <w:hyperlink w:anchor="_Toc534726609" w:history="1">
            <w:r w:rsidR="00357CC4" w:rsidRPr="00485194">
              <w:rPr>
                <w:rStyle w:val="Hyperlink"/>
                <w:rFonts w:eastAsiaTheme="majorEastAsia"/>
              </w:rPr>
              <w:t>Data gaps</w:t>
            </w:r>
            <w:r w:rsidR="00357CC4">
              <w:rPr>
                <w:webHidden/>
              </w:rPr>
              <w:tab/>
            </w:r>
            <w:r w:rsidR="00357CC4">
              <w:rPr>
                <w:webHidden/>
              </w:rPr>
              <w:fldChar w:fldCharType="begin"/>
            </w:r>
            <w:r w:rsidR="00357CC4">
              <w:rPr>
                <w:webHidden/>
              </w:rPr>
              <w:instrText xml:space="preserve"> PAGEREF _Toc534726609 \h </w:instrText>
            </w:r>
            <w:r w:rsidR="00357CC4">
              <w:rPr>
                <w:webHidden/>
              </w:rPr>
            </w:r>
            <w:r w:rsidR="00357CC4">
              <w:rPr>
                <w:webHidden/>
              </w:rPr>
              <w:fldChar w:fldCharType="separate"/>
            </w:r>
            <w:r w:rsidR="00032B9E">
              <w:rPr>
                <w:webHidden/>
              </w:rPr>
              <w:t>2</w:t>
            </w:r>
            <w:r w:rsidR="00357CC4">
              <w:rPr>
                <w:webHidden/>
              </w:rPr>
              <w:fldChar w:fldCharType="end"/>
            </w:r>
          </w:hyperlink>
        </w:p>
        <w:p w14:paraId="438AFEBF" w14:textId="4766C79B" w:rsidR="00357CC4" w:rsidRDefault="004F37B8" w:rsidP="00E37437">
          <w:pPr>
            <w:pStyle w:val="TOC2"/>
            <w:rPr>
              <w:rFonts w:asciiTheme="minorHAnsi" w:eastAsiaTheme="minorEastAsia" w:hAnsiTheme="minorHAnsi" w:cstheme="minorBidi"/>
              <w:sz w:val="22"/>
              <w:lang w:eastAsia="en-GB"/>
            </w:rPr>
          </w:pPr>
          <w:hyperlink w:anchor="_Toc534726610" w:history="1">
            <w:r w:rsidR="00357CC4" w:rsidRPr="00485194">
              <w:rPr>
                <w:rStyle w:val="Hyperlink"/>
                <w:rFonts w:eastAsiaTheme="majorEastAsia"/>
              </w:rPr>
              <w:t>Full implementation of the Equality Act 2010</w:t>
            </w:r>
            <w:r w:rsidR="00357CC4">
              <w:rPr>
                <w:webHidden/>
              </w:rPr>
              <w:tab/>
            </w:r>
            <w:r w:rsidR="00357CC4">
              <w:rPr>
                <w:webHidden/>
              </w:rPr>
              <w:fldChar w:fldCharType="begin"/>
            </w:r>
            <w:r w:rsidR="00357CC4">
              <w:rPr>
                <w:webHidden/>
              </w:rPr>
              <w:instrText xml:space="preserve"> PAGEREF _Toc534726610 \h </w:instrText>
            </w:r>
            <w:r w:rsidR="00357CC4">
              <w:rPr>
                <w:webHidden/>
              </w:rPr>
            </w:r>
            <w:r w:rsidR="00357CC4">
              <w:rPr>
                <w:webHidden/>
              </w:rPr>
              <w:fldChar w:fldCharType="separate"/>
            </w:r>
            <w:r w:rsidR="00032B9E">
              <w:rPr>
                <w:webHidden/>
              </w:rPr>
              <w:t>2</w:t>
            </w:r>
            <w:r w:rsidR="00357CC4">
              <w:rPr>
                <w:webHidden/>
              </w:rPr>
              <w:fldChar w:fldCharType="end"/>
            </w:r>
          </w:hyperlink>
        </w:p>
        <w:p w14:paraId="465BC66B" w14:textId="39AF3E67" w:rsidR="00357CC4" w:rsidRDefault="004F37B8" w:rsidP="00E37437">
          <w:pPr>
            <w:pStyle w:val="TOC2"/>
            <w:rPr>
              <w:rFonts w:asciiTheme="minorHAnsi" w:eastAsiaTheme="minorEastAsia" w:hAnsiTheme="minorHAnsi" w:cstheme="minorBidi"/>
              <w:sz w:val="22"/>
              <w:lang w:eastAsia="en-GB"/>
            </w:rPr>
          </w:pPr>
          <w:hyperlink w:anchor="_Toc534726611" w:history="1">
            <w:r w:rsidR="00357CC4" w:rsidRPr="00485194">
              <w:rPr>
                <w:rStyle w:val="Hyperlink"/>
              </w:rPr>
              <w:t>Implications of leaving the European Union</w:t>
            </w:r>
            <w:r w:rsidR="00357CC4">
              <w:rPr>
                <w:webHidden/>
              </w:rPr>
              <w:tab/>
            </w:r>
            <w:r w:rsidR="00357CC4">
              <w:rPr>
                <w:webHidden/>
              </w:rPr>
              <w:fldChar w:fldCharType="begin"/>
            </w:r>
            <w:r w:rsidR="00357CC4">
              <w:rPr>
                <w:webHidden/>
              </w:rPr>
              <w:instrText xml:space="preserve"> PAGEREF _Toc534726611 \h </w:instrText>
            </w:r>
            <w:r w:rsidR="00357CC4">
              <w:rPr>
                <w:webHidden/>
              </w:rPr>
            </w:r>
            <w:r w:rsidR="00357CC4">
              <w:rPr>
                <w:webHidden/>
              </w:rPr>
              <w:fldChar w:fldCharType="separate"/>
            </w:r>
            <w:r w:rsidR="00032B9E">
              <w:rPr>
                <w:webHidden/>
              </w:rPr>
              <w:t>2</w:t>
            </w:r>
            <w:r w:rsidR="00357CC4">
              <w:rPr>
                <w:webHidden/>
              </w:rPr>
              <w:fldChar w:fldCharType="end"/>
            </w:r>
          </w:hyperlink>
        </w:p>
        <w:p w14:paraId="49D7D954" w14:textId="13C4D1D5" w:rsidR="00357CC4" w:rsidRDefault="004F37B8">
          <w:pPr>
            <w:pStyle w:val="TOC1"/>
            <w:tabs>
              <w:tab w:val="right" w:pos="9016"/>
            </w:tabs>
            <w:rPr>
              <w:rFonts w:asciiTheme="minorHAnsi" w:eastAsiaTheme="minorEastAsia" w:hAnsiTheme="minorHAnsi" w:cstheme="minorBidi"/>
              <w:noProof/>
              <w:sz w:val="22"/>
              <w:lang w:eastAsia="en-GB"/>
            </w:rPr>
          </w:pPr>
          <w:hyperlink w:anchor="_Toc534726612" w:history="1">
            <w:r w:rsidR="00357CC4" w:rsidRPr="00485194">
              <w:rPr>
                <w:rStyle w:val="Hyperlink"/>
                <w:noProof/>
              </w:rPr>
              <w:t>2. Participation in political and civic life: relates to LoI paragraphs 6, 7, 13 and 14, articles 4, 7 and 8, CO paragraphs 31 and 43.a and SDGs 5, 9, 10, 11 and 16</w:t>
            </w:r>
            <w:r w:rsidR="00357CC4">
              <w:rPr>
                <w:noProof/>
                <w:webHidden/>
              </w:rPr>
              <w:tab/>
            </w:r>
            <w:r w:rsidR="00357CC4">
              <w:rPr>
                <w:noProof/>
                <w:webHidden/>
              </w:rPr>
              <w:fldChar w:fldCharType="begin"/>
            </w:r>
            <w:r w:rsidR="00357CC4">
              <w:rPr>
                <w:noProof/>
                <w:webHidden/>
              </w:rPr>
              <w:instrText xml:space="preserve"> PAGEREF _Toc534726612 \h </w:instrText>
            </w:r>
            <w:r w:rsidR="00357CC4">
              <w:rPr>
                <w:noProof/>
                <w:webHidden/>
              </w:rPr>
            </w:r>
            <w:r w:rsidR="00357CC4">
              <w:rPr>
                <w:noProof/>
                <w:webHidden/>
              </w:rPr>
              <w:fldChar w:fldCharType="separate"/>
            </w:r>
            <w:r w:rsidR="00032B9E">
              <w:rPr>
                <w:noProof/>
                <w:webHidden/>
              </w:rPr>
              <w:t>2</w:t>
            </w:r>
            <w:r w:rsidR="00357CC4">
              <w:rPr>
                <w:noProof/>
                <w:webHidden/>
              </w:rPr>
              <w:fldChar w:fldCharType="end"/>
            </w:r>
          </w:hyperlink>
        </w:p>
        <w:p w14:paraId="78B938EA" w14:textId="6035997E" w:rsidR="00357CC4" w:rsidRDefault="004F37B8" w:rsidP="00E37437">
          <w:pPr>
            <w:pStyle w:val="TOC2"/>
            <w:rPr>
              <w:rFonts w:asciiTheme="minorHAnsi" w:eastAsiaTheme="minorEastAsia" w:hAnsiTheme="minorHAnsi" w:cstheme="minorBidi"/>
              <w:sz w:val="22"/>
              <w:lang w:eastAsia="en-GB"/>
            </w:rPr>
          </w:pPr>
          <w:hyperlink w:anchor="_Toc534726613" w:history="1">
            <w:r w:rsidR="00357CC4" w:rsidRPr="00485194">
              <w:rPr>
                <w:rStyle w:val="Hyperlink"/>
              </w:rPr>
              <w:t>Political participation</w:t>
            </w:r>
            <w:r w:rsidR="00357CC4">
              <w:rPr>
                <w:webHidden/>
              </w:rPr>
              <w:tab/>
            </w:r>
            <w:r w:rsidR="00357CC4">
              <w:rPr>
                <w:webHidden/>
              </w:rPr>
              <w:fldChar w:fldCharType="begin"/>
            </w:r>
            <w:r w:rsidR="00357CC4">
              <w:rPr>
                <w:webHidden/>
              </w:rPr>
              <w:instrText xml:space="preserve"> PAGEREF _Toc534726613 \h </w:instrText>
            </w:r>
            <w:r w:rsidR="00357CC4">
              <w:rPr>
                <w:webHidden/>
              </w:rPr>
            </w:r>
            <w:r w:rsidR="00357CC4">
              <w:rPr>
                <w:webHidden/>
              </w:rPr>
              <w:fldChar w:fldCharType="separate"/>
            </w:r>
            <w:r w:rsidR="00032B9E">
              <w:rPr>
                <w:webHidden/>
              </w:rPr>
              <w:t>2</w:t>
            </w:r>
            <w:r w:rsidR="00357CC4">
              <w:rPr>
                <w:webHidden/>
              </w:rPr>
              <w:fldChar w:fldCharType="end"/>
            </w:r>
          </w:hyperlink>
        </w:p>
        <w:p w14:paraId="74C95B32" w14:textId="6F54CA36" w:rsidR="00357CC4" w:rsidRDefault="004F37B8" w:rsidP="00E37437">
          <w:pPr>
            <w:pStyle w:val="TOC2"/>
            <w:rPr>
              <w:rFonts w:asciiTheme="minorHAnsi" w:eastAsiaTheme="minorEastAsia" w:hAnsiTheme="minorHAnsi" w:cstheme="minorBidi"/>
              <w:sz w:val="22"/>
              <w:lang w:eastAsia="en-GB"/>
            </w:rPr>
          </w:pPr>
          <w:hyperlink w:anchor="_Toc534726614" w:history="1">
            <w:r w:rsidR="00357CC4" w:rsidRPr="00485194">
              <w:rPr>
                <w:rStyle w:val="Hyperlink"/>
              </w:rPr>
              <w:t>Gender stereotypes</w:t>
            </w:r>
            <w:r w:rsidR="00357CC4">
              <w:rPr>
                <w:webHidden/>
              </w:rPr>
              <w:tab/>
            </w:r>
            <w:r w:rsidR="00357CC4">
              <w:rPr>
                <w:webHidden/>
              </w:rPr>
              <w:fldChar w:fldCharType="begin"/>
            </w:r>
            <w:r w:rsidR="00357CC4">
              <w:rPr>
                <w:webHidden/>
              </w:rPr>
              <w:instrText xml:space="preserve"> PAGEREF _Toc534726614 \h </w:instrText>
            </w:r>
            <w:r w:rsidR="00357CC4">
              <w:rPr>
                <w:webHidden/>
              </w:rPr>
            </w:r>
            <w:r w:rsidR="00357CC4">
              <w:rPr>
                <w:webHidden/>
              </w:rPr>
              <w:fldChar w:fldCharType="separate"/>
            </w:r>
            <w:r w:rsidR="00032B9E">
              <w:rPr>
                <w:webHidden/>
              </w:rPr>
              <w:t>2</w:t>
            </w:r>
            <w:r w:rsidR="00357CC4">
              <w:rPr>
                <w:webHidden/>
              </w:rPr>
              <w:fldChar w:fldCharType="end"/>
            </w:r>
          </w:hyperlink>
        </w:p>
        <w:p w14:paraId="3A7FACCB" w14:textId="491FF68E" w:rsidR="00357CC4" w:rsidRDefault="004F37B8">
          <w:pPr>
            <w:pStyle w:val="TOC1"/>
            <w:tabs>
              <w:tab w:val="right" w:pos="9016"/>
            </w:tabs>
            <w:rPr>
              <w:rFonts w:asciiTheme="minorHAnsi" w:eastAsiaTheme="minorEastAsia" w:hAnsiTheme="minorHAnsi" w:cstheme="minorBidi"/>
              <w:noProof/>
              <w:sz w:val="22"/>
              <w:lang w:eastAsia="en-GB"/>
            </w:rPr>
          </w:pPr>
          <w:hyperlink w:anchor="_Toc534726615" w:history="1">
            <w:r w:rsidR="00357CC4" w:rsidRPr="00485194">
              <w:rPr>
                <w:rStyle w:val="Hyperlink"/>
                <w:noProof/>
              </w:rPr>
              <w:t>3. Gender-based violence, harassment and abuse:</w:t>
            </w:r>
            <w:r w:rsidR="00C848AB">
              <w:rPr>
                <w:rStyle w:val="Hyperlink"/>
                <w:noProof/>
              </w:rPr>
              <w:t xml:space="preserve"> </w:t>
            </w:r>
            <w:r w:rsidR="00C848AB" w:rsidRPr="00C848AB">
              <w:rPr>
                <w:rStyle w:val="Hyperlink"/>
                <w:noProof/>
              </w:rPr>
              <w:t>relates to LoI paragraphs 8, 9, 10 and 21, articles 1, 2, 5.a and 16, CO paragraphs 21, 35.a-d and 37 and SDGs 5 and 16</w:t>
            </w:r>
            <w:r w:rsidR="00357CC4">
              <w:rPr>
                <w:noProof/>
                <w:webHidden/>
              </w:rPr>
              <w:tab/>
            </w:r>
            <w:r w:rsidR="00357CC4">
              <w:rPr>
                <w:noProof/>
                <w:webHidden/>
              </w:rPr>
              <w:fldChar w:fldCharType="begin"/>
            </w:r>
            <w:r w:rsidR="00357CC4">
              <w:rPr>
                <w:noProof/>
                <w:webHidden/>
              </w:rPr>
              <w:instrText xml:space="preserve"> PAGEREF _Toc534726615 \h </w:instrText>
            </w:r>
            <w:r w:rsidR="00357CC4">
              <w:rPr>
                <w:noProof/>
                <w:webHidden/>
              </w:rPr>
            </w:r>
            <w:r w:rsidR="00357CC4">
              <w:rPr>
                <w:noProof/>
                <w:webHidden/>
              </w:rPr>
              <w:fldChar w:fldCharType="separate"/>
            </w:r>
            <w:r w:rsidR="00032B9E">
              <w:rPr>
                <w:noProof/>
                <w:webHidden/>
              </w:rPr>
              <w:t>2</w:t>
            </w:r>
            <w:r w:rsidR="00357CC4">
              <w:rPr>
                <w:noProof/>
                <w:webHidden/>
              </w:rPr>
              <w:fldChar w:fldCharType="end"/>
            </w:r>
          </w:hyperlink>
        </w:p>
        <w:p w14:paraId="4F14C3AF" w14:textId="1319B60B" w:rsidR="00357CC4" w:rsidRDefault="004F37B8" w:rsidP="00E37437">
          <w:pPr>
            <w:pStyle w:val="TOC2"/>
            <w:rPr>
              <w:rFonts w:asciiTheme="minorHAnsi" w:eastAsiaTheme="minorEastAsia" w:hAnsiTheme="minorHAnsi" w:cstheme="minorBidi"/>
              <w:sz w:val="22"/>
              <w:lang w:eastAsia="en-GB"/>
            </w:rPr>
          </w:pPr>
          <w:hyperlink w:anchor="_Toc534726617" w:history="1">
            <w:r w:rsidR="00357CC4" w:rsidRPr="00485194">
              <w:rPr>
                <w:rStyle w:val="Hyperlink"/>
              </w:rPr>
              <w:t>Background and context</w:t>
            </w:r>
            <w:r w:rsidR="00357CC4">
              <w:rPr>
                <w:webHidden/>
              </w:rPr>
              <w:tab/>
            </w:r>
            <w:r w:rsidR="00357CC4">
              <w:rPr>
                <w:webHidden/>
              </w:rPr>
              <w:fldChar w:fldCharType="begin"/>
            </w:r>
            <w:r w:rsidR="00357CC4">
              <w:rPr>
                <w:webHidden/>
              </w:rPr>
              <w:instrText xml:space="preserve"> PAGEREF _Toc534726617 \h </w:instrText>
            </w:r>
            <w:r w:rsidR="00357CC4">
              <w:rPr>
                <w:webHidden/>
              </w:rPr>
            </w:r>
            <w:r w:rsidR="00357CC4">
              <w:rPr>
                <w:webHidden/>
              </w:rPr>
              <w:fldChar w:fldCharType="separate"/>
            </w:r>
            <w:r w:rsidR="00032B9E">
              <w:rPr>
                <w:webHidden/>
              </w:rPr>
              <w:t>2</w:t>
            </w:r>
            <w:r w:rsidR="00357CC4">
              <w:rPr>
                <w:webHidden/>
              </w:rPr>
              <w:fldChar w:fldCharType="end"/>
            </w:r>
          </w:hyperlink>
        </w:p>
        <w:p w14:paraId="6AA3E58A" w14:textId="53BD5E47" w:rsidR="00357CC4" w:rsidRDefault="004F37B8" w:rsidP="00E37437">
          <w:pPr>
            <w:pStyle w:val="TOC2"/>
            <w:rPr>
              <w:rFonts w:asciiTheme="minorHAnsi" w:eastAsiaTheme="minorEastAsia" w:hAnsiTheme="minorHAnsi" w:cstheme="minorBidi"/>
              <w:sz w:val="22"/>
              <w:lang w:eastAsia="en-GB"/>
            </w:rPr>
          </w:pPr>
          <w:hyperlink w:anchor="_Toc534726618" w:history="1">
            <w:r w:rsidR="00357CC4" w:rsidRPr="00485194">
              <w:rPr>
                <w:rStyle w:val="Hyperlink"/>
              </w:rPr>
              <w:t>Sexual violence and abuse</w:t>
            </w:r>
            <w:r w:rsidR="00357CC4">
              <w:rPr>
                <w:webHidden/>
              </w:rPr>
              <w:tab/>
            </w:r>
            <w:r w:rsidR="00357CC4">
              <w:rPr>
                <w:webHidden/>
              </w:rPr>
              <w:fldChar w:fldCharType="begin"/>
            </w:r>
            <w:r w:rsidR="00357CC4">
              <w:rPr>
                <w:webHidden/>
              </w:rPr>
              <w:instrText xml:space="preserve"> PAGEREF _Toc534726618 \h </w:instrText>
            </w:r>
            <w:r w:rsidR="00357CC4">
              <w:rPr>
                <w:webHidden/>
              </w:rPr>
            </w:r>
            <w:r w:rsidR="00357CC4">
              <w:rPr>
                <w:webHidden/>
              </w:rPr>
              <w:fldChar w:fldCharType="separate"/>
            </w:r>
            <w:r w:rsidR="00032B9E">
              <w:rPr>
                <w:webHidden/>
              </w:rPr>
              <w:t>2</w:t>
            </w:r>
            <w:r w:rsidR="00357CC4">
              <w:rPr>
                <w:webHidden/>
              </w:rPr>
              <w:fldChar w:fldCharType="end"/>
            </w:r>
          </w:hyperlink>
        </w:p>
        <w:p w14:paraId="2CA9DE96" w14:textId="1F3C306E" w:rsidR="00357CC4" w:rsidRDefault="004F37B8" w:rsidP="00E37437">
          <w:pPr>
            <w:pStyle w:val="TOC2"/>
            <w:rPr>
              <w:rFonts w:asciiTheme="minorHAnsi" w:eastAsiaTheme="minorEastAsia" w:hAnsiTheme="minorHAnsi" w:cstheme="minorBidi"/>
              <w:sz w:val="22"/>
              <w:lang w:eastAsia="en-GB"/>
            </w:rPr>
          </w:pPr>
          <w:hyperlink w:anchor="_Toc534726619" w:history="1">
            <w:r w:rsidR="00357CC4" w:rsidRPr="00485194">
              <w:rPr>
                <w:rStyle w:val="Hyperlink"/>
              </w:rPr>
              <w:t>Domestic violence and abuse</w:t>
            </w:r>
            <w:r w:rsidR="00357CC4">
              <w:rPr>
                <w:webHidden/>
              </w:rPr>
              <w:tab/>
            </w:r>
            <w:r w:rsidR="00357CC4">
              <w:rPr>
                <w:webHidden/>
              </w:rPr>
              <w:fldChar w:fldCharType="begin"/>
            </w:r>
            <w:r w:rsidR="00357CC4">
              <w:rPr>
                <w:webHidden/>
              </w:rPr>
              <w:instrText xml:space="preserve"> PAGEREF _Toc534726619 \h </w:instrText>
            </w:r>
            <w:r w:rsidR="00357CC4">
              <w:rPr>
                <w:webHidden/>
              </w:rPr>
            </w:r>
            <w:r w:rsidR="00357CC4">
              <w:rPr>
                <w:webHidden/>
              </w:rPr>
              <w:fldChar w:fldCharType="separate"/>
            </w:r>
            <w:r w:rsidR="00032B9E">
              <w:rPr>
                <w:webHidden/>
              </w:rPr>
              <w:t>2</w:t>
            </w:r>
            <w:r w:rsidR="00357CC4">
              <w:rPr>
                <w:webHidden/>
              </w:rPr>
              <w:fldChar w:fldCharType="end"/>
            </w:r>
          </w:hyperlink>
        </w:p>
        <w:p w14:paraId="0BCCF936" w14:textId="13A4CC59" w:rsidR="00357CC4" w:rsidRDefault="004F37B8" w:rsidP="00E37437">
          <w:pPr>
            <w:pStyle w:val="TOC2"/>
            <w:rPr>
              <w:rFonts w:asciiTheme="minorHAnsi" w:eastAsiaTheme="minorEastAsia" w:hAnsiTheme="minorHAnsi" w:cstheme="minorBidi"/>
              <w:sz w:val="22"/>
              <w:lang w:eastAsia="en-GB"/>
            </w:rPr>
          </w:pPr>
          <w:hyperlink w:anchor="_Toc534726620" w:history="1">
            <w:r w:rsidR="00357CC4" w:rsidRPr="00485194">
              <w:rPr>
                <w:rStyle w:val="Hyperlink"/>
              </w:rPr>
              <w:t>Harmful practices</w:t>
            </w:r>
            <w:r w:rsidR="00357CC4">
              <w:rPr>
                <w:webHidden/>
              </w:rPr>
              <w:tab/>
            </w:r>
            <w:r w:rsidR="00357CC4">
              <w:rPr>
                <w:webHidden/>
              </w:rPr>
              <w:fldChar w:fldCharType="begin"/>
            </w:r>
            <w:r w:rsidR="00357CC4">
              <w:rPr>
                <w:webHidden/>
              </w:rPr>
              <w:instrText xml:space="preserve"> PAGEREF _Toc534726620 \h </w:instrText>
            </w:r>
            <w:r w:rsidR="00357CC4">
              <w:rPr>
                <w:webHidden/>
              </w:rPr>
            </w:r>
            <w:r w:rsidR="00357CC4">
              <w:rPr>
                <w:webHidden/>
              </w:rPr>
              <w:fldChar w:fldCharType="separate"/>
            </w:r>
            <w:r w:rsidR="00032B9E">
              <w:rPr>
                <w:webHidden/>
              </w:rPr>
              <w:t>2</w:t>
            </w:r>
            <w:r w:rsidR="00357CC4">
              <w:rPr>
                <w:webHidden/>
              </w:rPr>
              <w:fldChar w:fldCharType="end"/>
            </w:r>
          </w:hyperlink>
        </w:p>
        <w:p w14:paraId="5181427D" w14:textId="1D8C95A3" w:rsidR="00357CC4" w:rsidRDefault="004F37B8" w:rsidP="00E37437">
          <w:pPr>
            <w:pStyle w:val="TOC2"/>
            <w:rPr>
              <w:rFonts w:asciiTheme="minorHAnsi" w:eastAsiaTheme="minorEastAsia" w:hAnsiTheme="minorHAnsi" w:cstheme="minorBidi"/>
              <w:sz w:val="22"/>
              <w:lang w:eastAsia="en-GB"/>
            </w:rPr>
          </w:pPr>
          <w:hyperlink w:anchor="_Toc534726621" w:history="1">
            <w:r w:rsidR="00357CC4" w:rsidRPr="00485194">
              <w:rPr>
                <w:rStyle w:val="Hyperlink"/>
              </w:rPr>
              <w:t>Hate crime, hate speech and identity-based harassment</w:t>
            </w:r>
            <w:r w:rsidR="00357CC4">
              <w:rPr>
                <w:webHidden/>
              </w:rPr>
              <w:tab/>
            </w:r>
            <w:r w:rsidR="00357CC4">
              <w:rPr>
                <w:webHidden/>
              </w:rPr>
              <w:fldChar w:fldCharType="begin"/>
            </w:r>
            <w:r w:rsidR="00357CC4">
              <w:rPr>
                <w:webHidden/>
              </w:rPr>
              <w:instrText xml:space="preserve"> PAGEREF _Toc534726621 \h </w:instrText>
            </w:r>
            <w:r w:rsidR="00357CC4">
              <w:rPr>
                <w:webHidden/>
              </w:rPr>
            </w:r>
            <w:r w:rsidR="00357CC4">
              <w:rPr>
                <w:webHidden/>
              </w:rPr>
              <w:fldChar w:fldCharType="separate"/>
            </w:r>
            <w:r w:rsidR="00032B9E">
              <w:rPr>
                <w:webHidden/>
              </w:rPr>
              <w:t>2</w:t>
            </w:r>
            <w:r w:rsidR="00357CC4">
              <w:rPr>
                <w:webHidden/>
              </w:rPr>
              <w:fldChar w:fldCharType="end"/>
            </w:r>
          </w:hyperlink>
        </w:p>
        <w:p w14:paraId="5356D438" w14:textId="279CDD3C" w:rsidR="00357CC4" w:rsidRDefault="004F37B8">
          <w:pPr>
            <w:pStyle w:val="TOC1"/>
            <w:tabs>
              <w:tab w:val="right" w:pos="9016"/>
            </w:tabs>
            <w:rPr>
              <w:rFonts w:asciiTheme="minorHAnsi" w:eastAsiaTheme="minorEastAsia" w:hAnsiTheme="minorHAnsi" w:cstheme="minorBidi"/>
              <w:noProof/>
              <w:sz w:val="22"/>
              <w:lang w:eastAsia="en-GB"/>
            </w:rPr>
          </w:pPr>
          <w:hyperlink w:anchor="_Toc534726622" w:history="1">
            <w:r w:rsidR="00357CC4" w:rsidRPr="00485194">
              <w:rPr>
                <w:rStyle w:val="Hyperlink"/>
                <w:rFonts w:eastAsiaTheme="majorEastAsia"/>
                <w:noProof/>
              </w:rPr>
              <w:t>4. Access to civil justice:</w:t>
            </w:r>
            <w:r w:rsidR="00C848AB">
              <w:rPr>
                <w:rStyle w:val="Hyperlink"/>
                <w:rFonts w:eastAsiaTheme="majorEastAsia"/>
                <w:noProof/>
              </w:rPr>
              <w:t xml:space="preserve"> </w:t>
            </w:r>
            <w:r w:rsidR="00C848AB" w:rsidRPr="00C848AB">
              <w:rPr>
                <w:rStyle w:val="Hyperlink"/>
                <w:rFonts w:eastAsiaTheme="majorEastAsia"/>
                <w:noProof/>
              </w:rPr>
              <w:t>relates to LoI paragraph 4, articles 2.c and 15, CO paragraphs 23.a-b and 47.e and SDG 16</w:t>
            </w:r>
            <w:r w:rsidR="00357CC4">
              <w:rPr>
                <w:noProof/>
                <w:webHidden/>
              </w:rPr>
              <w:tab/>
            </w:r>
            <w:r w:rsidR="00357CC4">
              <w:rPr>
                <w:noProof/>
                <w:webHidden/>
              </w:rPr>
              <w:fldChar w:fldCharType="begin"/>
            </w:r>
            <w:r w:rsidR="00357CC4">
              <w:rPr>
                <w:noProof/>
                <w:webHidden/>
              </w:rPr>
              <w:instrText xml:space="preserve"> PAGEREF _Toc534726622 \h </w:instrText>
            </w:r>
            <w:r w:rsidR="00357CC4">
              <w:rPr>
                <w:noProof/>
                <w:webHidden/>
              </w:rPr>
            </w:r>
            <w:r w:rsidR="00357CC4">
              <w:rPr>
                <w:noProof/>
                <w:webHidden/>
              </w:rPr>
              <w:fldChar w:fldCharType="separate"/>
            </w:r>
            <w:r w:rsidR="00032B9E">
              <w:rPr>
                <w:noProof/>
                <w:webHidden/>
              </w:rPr>
              <w:t>2</w:t>
            </w:r>
            <w:r w:rsidR="00357CC4">
              <w:rPr>
                <w:noProof/>
                <w:webHidden/>
              </w:rPr>
              <w:fldChar w:fldCharType="end"/>
            </w:r>
          </w:hyperlink>
        </w:p>
        <w:p w14:paraId="4518428F" w14:textId="7A87D372" w:rsidR="00357CC4" w:rsidRDefault="004F37B8" w:rsidP="00E37437">
          <w:pPr>
            <w:pStyle w:val="TOC2"/>
            <w:rPr>
              <w:rFonts w:asciiTheme="minorHAnsi" w:eastAsiaTheme="minorEastAsia" w:hAnsiTheme="minorHAnsi" w:cstheme="minorBidi"/>
              <w:sz w:val="22"/>
              <w:lang w:eastAsia="en-GB"/>
            </w:rPr>
          </w:pPr>
          <w:hyperlink w:anchor="_Toc534726624" w:history="1">
            <w:r w:rsidR="00357CC4" w:rsidRPr="00485194">
              <w:rPr>
                <w:rStyle w:val="Hyperlink"/>
                <w:rFonts w:eastAsiaTheme="majorEastAsia"/>
              </w:rPr>
              <w:t>Legal aid</w:t>
            </w:r>
            <w:r w:rsidR="00357CC4">
              <w:rPr>
                <w:webHidden/>
              </w:rPr>
              <w:tab/>
            </w:r>
            <w:r w:rsidR="00357CC4">
              <w:rPr>
                <w:webHidden/>
              </w:rPr>
              <w:fldChar w:fldCharType="begin"/>
            </w:r>
            <w:r w:rsidR="00357CC4">
              <w:rPr>
                <w:webHidden/>
              </w:rPr>
              <w:instrText xml:space="preserve"> PAGEREF _Toc534726624 \h </w:instrText>
            </w:r>
            <w:r w:rsidR="00357CC4">
              <w:rPr>
                <w:webHidden/>
              </w:rPr>
            </w:r>
            <w:r w:rsidR="00357CC4">
              <w:rPr>
                <w:webHidden/>
              </w:rPr>
              <w:fldChar w:fldCharType="separate"/>
            </w:r>
            <w:r w:rsidR="00032B9E">
              <w:rPr>
                <w:webHidden/>
              </w:rPr>
              <w:t>2</w:t>
            </w:r>
            <w:r w:rsidR="00357CC4">
              <w:rPr>
                <w:webHidden/>
              </w:rPr>
              <w:fldChar w:fldCharType="end"/>
            </w:r>
          </w:hyperlink>
        </w:p>
        <w:p w14:paraId="4EBE3619" w14:textId="550066B1" w:rsidR="00357CC4" w:rsidRDefault="004F37B8">
          <w:pPr>
            <w:pStyle w:val="TOC1"/>
            <w:tabs>
              <w:tab w:val="right" w:pos="9016"/>
            </w:tabs>
            <w:rPr>
              <w:rFonts w:asciiTheme="minorHAnsi" w:eastAsiaTheme="minorEastAsia" w:hAnsiTheme="minorHAnsi" w:cstheme="minorBidi"/>
              <w:noProof/>
              <w:sz w:val="22"/>
              <w:lang w:eastAsia="en-GB"/>
            </w:rPr>
          </w:pPr>
          <w:hyperlink w:anchor="_Toc534726625" w:history="1">
            <w:r w:rsidR="00357CC4" w:rsidRPr="00485194">
              <w:rPr>
                <w:rStyle w:val="Hyperlink"/>
                <w:noProof/>
              </w:rPr>
              <w:t>5. Human trafficking and modern slavery: relates to LoI paragraph 11, article 6, CO paragraphs 39.a-b and 55.e and SDGs 5, 8 and 16</w:t>
            </w:r>
            <w:r w:rsidR="00357CC4">
              <w:rPr>
                <w:noProof/>
                <w:webHidden/>
              </w:rPr>
              <w:tab/>
            </w:r>
            <w:r w:rsidR="00357CC4">
              <w:rPr>
                <w:noProof/>
                <w:webHidden/>
              </w:rPr>
              <w:fldChar w:fldCharType="begin"/>
            </w:r>
            <w:r w:rsidR="00357CC4">
              <w:rPr>
                <w:noProof/>
                <w:webHidden/>
              </w:rPr>
              <w:instrText xml:space="preserve"> PAGEREF _Toc534726625 \h </w:instrText>
            </w:r>
            <w:r w:rsidR="00357CC4">
              <w:rPr>
                <w:noProof/>
                <w:webHidden/>
              </w:rPr>
            </w:r>
            <w:r w:rsidR="00357CC4">
              <w:rPr>
                <w:noProof/>
                <w:webHidden/>
              </w:rPr>
              <w:fldChar w:fldCharType="separate"/>
            </w:r>
            <w:r w:rsidR="00032B9E">
              <w:rPr>
                <w:noProof/>
                <w:webHidden/>
              </w:rPr>
              <w:t>2</w:t>
            </w:r>
            <w:r w:rsidR="00357CC4">
              <w:rPr>
                <w:noProof/>
                <w:webHidden/>
              </w:rPr>
              <w:fldChar w:fldCharType="end"/>
            </w:r>
          </w:hyperlink>
        </w:p>
        <w:p w14:paraId="722E483A" w14:textId="76A52590" w:rsidR="00357CC4" w:rsidRDefault="004F37B8" w:rsidP="00E37437">
          <w:pPr>
            <w:pStyle w:val="TOC2"/>
            <w:rPr>
              <w:rFonts w:asciiTheme="minorHAnsi" w:eastAsiaTheme="minorEastAsia" w:hAnsiTheme="minorHAnsi" w:cstheme="minorBidi"/>
              <w:sz w:val="22"/>
              <w:lang w:eastAsia="en-GB"/>
            </w:rPr>
          </w:pPr>
          <w:hyperlink w:anchor="_Toc534726626" w:history="1">
            <w:r w:rsidR="00357CC4" w:rsidRPr="00485194">
              <w:rPr>
                <w:rStyle w:val="Hyperlink"/>
              </w:rPr>
              <w:t>Strengthening the National Referral Mechanism</w:t>
            </w:r>
            <w:r w:rsidR="00357CC4">
              <w:rPr>
                <w:webHidden/>
              </w:rPr>
              <w:tab/>
            </w:r>
            <w:r w:rsidR="00357CC4">
              <w:rPr>
                <w:webHidden/>
              </w:rPr>
              <w:fldChar w:fldCharType="begin"/>
            </w:r>
            <w:r w:rsidR="00357CC4">
              <w:rPr>
                <w:webHidden/>
              </w:rPr>
              <w:instrText xml:space="preserve"> PAGEREF _Toc534726626 \h </w:instrText>
            </w:r>
            <w:r w:rsidR="00357CC4">
              <w:rPr>
                <w:webHidden/>
              </w:rPr>
            </w:r>
            <w:r w:rsidR="00357CC4">
              <w:rPr>
                <w:webHidden/>
              </w:rPr>
              <w:fldChar w:fldCharType="separate"/>
            </w:r>
            <w:r w:rsidR="00032B9E">
              <w:rPr>
                <w:webHidden/>
              </w:rPr>
              <w:t>2</w:t>
            </w:r>
            <w:r w:rsidR="00357CC4">
              <w:rPr>
                <w:webHidden/>
              </w:rPr>
              <w:fldChar w:fldCharType="end"/>
            </w:r>
          </w:hyperlink>
        </w:p>
        <w:p w14:paraId="324774FD" w14:textId="446A6FBE" w:rsidR="00357CC4" w:rsidRDefault="004F37B8">
          <w:pPr>
            <w:pStyle w:val="TOC1"/>
            <w:tabs>
              <w:tab w:val="right" w:pos="9016"/>
            </w:tabs>
            <w:rPr>
              <w:rFonts w:asciiTheme="minorHAnsi" w:eastAsiaTheme="minorEastAsia" w:hAnsiTheme="minorHAnsi" w:cstheme="minorBidi"/>
              <w:noProof/>
              <w:sz w:val="22"/>
              <w:lang w:eastAsia="en-GB"/>
            </w:rPr>
          </w:pPr>
          <w:hyperlink w:anchor="_Toc534726627" w:history="1">
            <w:r w:rsidR="00357CC4" w:rsidRPr="00485194">
              <w:rPr>
                <w:rStyle w:val="Hyperlink"/>
                <w:noProof/>
              </w:rPr>
              <w:t>6. Detention and asylum:</w:t>
            </w:r>
            <w:r w:rsidR="00C848AB">
              <w:rPr>
                <w:rStyle w:val="Hyperlink"/>
                <w:noProof/>
              </w:rPr>
              <w:t xml:space="preserve"> </w:t>
            </w:r>
            <w:r w:rsidR="00C848AB" w:rsidRPr="00C848AB">
              <w:rPr>
                <w:rStyle w:val="Hyperlink"/>
                <w:noProof/>
              </w:rPr>
              <w:t>relates to LoI paragraphs 10, 21 and 22, articles 2 and 15, CO paragraphs 55.a-d, 57.a-b and 59.a and SDGs 3 and 16</w:t>
            </w:r>
            <w:r w:rsidR="00357CC4">
              <w:rPr>
                <w:noProof/>
                <w:webHidden/>
              </w:rPr>
              <w:tab/>
            </w:r>
            <w:r w:rsidR="00357CC4">
              <w:rPr>
                <w:noProof/>
                <w:webHidden/>
              </w:rPr>
              <w:fldChar w:fldCharType="begin"/>
            </w:r>
            <w:r w:rsidR="00357CC4">
              <w:rPr>
                <w:noProof/>
                <w:webHidden/>
              </w:rPr>
              <w:instrText xml:space="preserve"> PAGEREF _Toc534726627 \h </w:instrText>
            </w:r>
            <w:r w:rsidR="00357CC4">
              <w:rPr>
                <w:noProof/>
                <w:webHidden/>
              </w:rPr>
            </w:r>
            <w:r w:rsidR="00357CC4">
              <w:rPr>
                <w:noProof/>
                <w:webHidden/>
              </w:rPr>
              <w:fldChar w:fldCharType="separate"/>
            </w:r>
            <w:r w:rsidR="00032B9E">
              <w:rPr>
                <w:noProof/>
                <w:webHidden/>
              </w:rPr>
              <w:t>2</w:t>
            </w:r>
            <w:r w:rsidR="00357CC4">
              <w:rPr>
                <w:noProof/>
                <w:webHidden/>
              </w:rPr>
              <w:fldChar w:fldCharType="end"/>
            </w:r>
          </w:hyperlink>
        </w:p>
        <w:p w14:paraId="7A5FECFE" w14:textId="36D58CFC" w:rsidR="00357CC4" w:rsidRDefault="004F37B8" w:rsidP="00E37437">
          <w:pPr>
            <w:pStyle w:val="TOC2"/>
            <w:rPr>
              <w:rFonts w:asciiTheme="minorHAnsi" w:eastAsiaTheme="minorEastAsia" w:hAnsiTheme="minorHAnsi" w:cstheme="minorBidi"/>
              <w:sz w:val="22"/>
              <w:lang w:eastAsia="en-GB"/>
            </w:rPr>
          </w:pPr>
          <w:hyperlink w:anchor="_Toc534726629" w:history="1">
            <w:r w:rsidR="00357CC4" w:rsidRPr="00485194">
              <w:rPr>
                <w:rStyle w:val="Hyperlink"/>
              </w:rPr>
              <w:t>Women in prison</w:t>
            </w:r>
            <w:r w:rsidR="00357CC4">
              <w:rPr>
                <w:webHidden/>
              </w:rPr>
              <w:tab/>
            </w:r>
            <w:r w:rsidR="00357CC4">
              <w:rPr>
                <w:webHidden/>
              </w:rPr>
              <w:fldChar w:fldCharType="begin"/>
            </w:r>
            <w:r w:rsidR="00357CC4">
              <w:rPr>
                <w:webHidden/>
              </w:rPr>
              <w:instrText xml:space="preserve"> PAGEREF _Toc534726629 \h </w:instrText>
            </w:r>
            <w:r w:rsidR="00357CC4">
              <w:rPr>
                <w:webHidden/>
              </w:rPr>
            </w:r>
            <w:r w:rsidR="00357CC4">
              <w:rPr>
                <w:webHidden/>
              </w:rPr>
              <w:fldChar w:fldCharType="separate"/>
            </w:r>
            <w:r w:rsidR="00032B9E">
              <w:rPr>
                <w:webHidden/>
              </w:rPr>
              <w:t>2</w:t>
            </w:r>
            <w:r w:rsidR="00357CC4">
              <w:rPr>
                <w:webHidden/>
              </w:rPr>
              <w:fldChar w:fldCharType="end"/>
            </w:r>
          </w:hyperlink>
        </w:p>
        <w:p w14:paraId="4D13B95E" w14:textId="29B3FE10" w:rsidR="00357CC4" w:rsidRDefault="004F37B8" w:rsidP="00E37437">
          <w:pPr>
            <w:pStyle w:val="TOC2"/>
            <w:rPr>
              <w:rFonts w:asciiTheme="minorHAnsi" w:eastAsiaTheme="minorEastAsia" w:hAnsiTheme="minorHAnsi" w:cstheme="minorBidi"/>
              <w:sz w:val="22"/>
              <w:lang w:eastAsia="en-GB"/>
            </w:rPr>
          </w:pPr>
          <w:hyperlink w:anchor="_Toc534726630" w:history="1">
            <w:r w:rsidR="00357CC4" w:rsidRPr="00485194">
              <w:rPr>
                <w:rStyle w:val="Hyperlink"/>
              </w:rPr>
              <w:t>Immigration detention</w:t>
            </w:r>
            <w:r w:rsidR="00357CC4">
              <w:rPr>
                <w:webHidden/>
              </w:rPr>
              <w:tab/>
            </w:r>
            <w:r w:rsidR="00357CC4">
              <w:rPr>
                <w:webHidden/>
              </w:rPr>
              <w:fldChar w:fldCharType="begin"/>
            </w:r>
            <w:r w:rsidR="00357CC4">
              <w:rPr>
                <w:webHidden/>
              </w:rPr>
              <w:instrText xml:space="preserve"> PAGEREF _Toc534726630 \h </w:instrText>
            </w:r>
            <w:r w:rsidR="00357CC4">
              <w:rPr>
                <w:webHidden/>
              </w:rPr>
            </w:r>
            <w:r w:rsidR="00357CC4">
              <w:rPr>
                <w:webHidden/>
              </w:rPr>
              <w:fldChar w:fldCharType="separate"/>
            </w:r>
            <w:r w:rsidR="00032B9E">
              <w:rPr>
                <w:webHidden/>
              </w:rPr>
              <w:t>2</w:t>
            </w:r>
            <w:r w:rsidR="00357CC4">
              <w:rPr>
                <w:webHidden/>
              </w:rPr>
              <w:fldChar w:fldCharType="end"/>
            </w:r>
          </w:hyperlink>
        </w:p>
        <w:p w14:paraId="08BB36F9" w14:textId="511C804D" w:rsidR="00357CC4" w:rsidRDefault="004F37B8" w:rsidP="00E37437">
          <w:pPr>
            <w:pStyle w:val="TOC2"/>
            <w:rPr>
              <w:rFonts w:asciiTheme="minorHAnsi" w:eastAsiaTheme="minorEastAsia" w:hAnsiTheme="minorHAnsi" w:cstheme="minorBidi"/>
              <w:sz w:val="22"/>
              <w:lang w:eastAsia="en-GB"/>
            </w:rPr>
          </w:pPr>
          <w:hyperlink w:anchor="_Toc534726631" w:history="1">
            <w:r w:rsidR="00357CC4" w:rsidRPr="00485194">
              <w:rPr>
                <w:rStyle w:val="Hyperlink"/>
              </w:rPr>
              <w:t>Asylum seekers’ access to services</w:t>
            </w:r>
            <w:r w:rsidR="00357CC4">
              <w:rPr>
                <w:webHidden/>
              </w:rPr>
              <w:tab/>
            </w:r>
            <w:r w:rsidR="00357CC4">
              <w:rPr>
                <w:webHidden/>
              </w:rPr>
              <w:fldChar w:fldCharType="begin"/>
            </w:r>
            <w:r w:rsidR="00357CC4">
              <w:rPr>
                <w:webHidden/>
              </w:rPr>
              <w:instrText xml:space="preserve"> PAGEREF _Toc534726631 \h </w:instrText>
            </w:r>
            <w:r w:rsidR="00357CC4">
              <w:rPr>
                <w:webHidden/>
              </w:rPr>
            </w:r>
            <w:r w:rsidR="00357CC4">
              <w:rPr>
                <w:webHidden/>
              </w:rPr>
              <w:fldChar w:fldCharType="separate"/>
            </w:r>
            <w:r w:rsidR="00032B9E">
              <w:rPr>
                <w:webHidden/>
              </w:rPr>
              <w:t>2</w:t>
            </w:r>
            <w:r w:rsidR="00357CC4">
              <w:rPr>
                <w:webHidden/>
              </w:rPr>
              <w:fldChar w:fldCharType="end"/>
            </w:r>
          </w:hyperlink>
        </w:p>
        <w:p w14:paraId="46D9A647" w14:textId="4F4F098E" w:rsidR="00357CC4" w:rsidRDefault="004F37B8">
          <w:pPr>
            <w:pStyle w:val="TOC1"/>
            <w:tabs>
              <w:tab w:val="right" w:pos="9016"/>
            </w:tabs>
            <w:rPr>
              <w:rFonts w:asciiTheme="minorHAnsi" w:eastAsiaTheme="minorEastAsia" w:hAnsiTheme="minorHAnsi" w:cstheme="minorBidi"/>
              <w:noProof/>
              <w:sz w:val="22"/>
              <w:lang w:eastAsia="en-GB"/>
            </w:rPr>
          </w:pPr>
          <w:hyperlink w:anchor="_Toc534726632" w:history="1">
            <w:r w:rsidR="00357CC4" w:rsidRPr="00485194">
              <w:rPr>
                <w:rStyle w:val="Hyperlink"/>
                <w:noProof/>
              </w:rPr>
              <w:t>7. Adequate standard of living and social security:</w:t>
            </w:r>
            <w:r w:rsidR="00C848AB">
              <w:rPr>
                <w:rStyle w:val="Hyperlink"/>
                <w:noProof/>
              </w:rPr>
              <w:t xml:space="preserve"> </w:t>
            </w:r>
            <w:r w:rsidR="00C848AB" w:rsidRPr="00C848AB">
              <w:rPr>
                <w:rStyle w:val="Hyperlink"/>
                <w:noProof/>
              </w:rPr>
              <w:t>relates to LoI paragraphs 5 and 21, articles 2, 3, 13 and 14, CO paragraphs 21, 61.b and 63, and SDGs 1, 3, 5, 8 10 and 11</w:t>
            </w:r>
            <w:r w:rsidR="00357CC4">
              <w:rPr>
                <w:noProof/>
                <w:webHidden/>
              </w:rPr>
              <w:tab/>
            </w:r>
            <w:r w:rsidR="00357CC4">
              <w:rPr>
                <w:noProof/>
                <w:webHidden/>
              </w:rPr>
              <w:fldChar w:fldCharType="begin"/>
            </w:r>
            <w:r w:rsidR="00357CC4">
              <w:rPr>
                <w:noProof/>
                <w:webHidden/>
              </w:rPr>
              <w:instrText xml:space="preserve"> PAGEREF _Toc534726632 \h </w:instrText>
            </w:r>
            <w:r w:rsidR="00357CC4">
              <w:rPr>
                <w:noProof/>
                <w:webHidden/>
              </w:rPr>
            </w:r>
            <w:r w:rsidR="00357CC4">
              <w:rPr>
                <w:noProof/>
                <w:webHidden/>
              </w:rPr>
              <w:fldChar w:fldCharType="separate"/>
            </w:r>
            <w:r w:rsidR="00032B9E">
              <w:rPr>
                <w:noProof/>
                <w:webHidden/>
              </w:rPr>
              <w:t>2</w:t>
            </w:r>
            <w:r w:rsidR="00357CC4">
              <w:rPr>
                <w:noProof/>
                <w:webHidden/>
              </w:rPr>
              <w:fldChar w:fldCharType="end"/>
            </w:r>
          </w:hyperlink>
        </w:p>
        <w:p w14:paraId="26CCCD35" w14:textId="60359193" w:rsidR="00357CC4" w:rsidRDefault="004F37B8" w:rsidP="00E37437">
          <w:pPr>
            <w:pStyle w:val="TOC2"/>
            <w:rPr>
              <w:rFonts w:asciiTheme="minorHAnsi" w:eastAsiaTheme="minorEastAsia" w:hAnsiTheme="minorHAnsi" w:cstheme="minorBidi"/>
              <w:sz w:val="22"/>
              <w:lang w:eastAsia="en-GB"/>
            </w:rPr>
          </w:pPr>
          <w:hyperlink w:anchor="_Toc534726634" w:history="1">
            <w:r w:rsidR="00357CC4" w:rsidRPr="00485194">
              <w:rPr>
                <w:rStyle w:val="Hyperlink"/>
                <w:rFonts w:eastAsia="Calibri"/>
              </w:rPr>
              <w:t>Cumulative impact of welfare and tax changes</w:t>
            </w:r>
            <w:r w:rsidR="00357CC4">
              <w:rPr>
                <w:webHidden/>
              </w:rPr>
              <w:tab/>
            </w:r>
            <w:r w:rsidR="00357CC4">
              <w:rPr>
                <w:webHidden/>
              </w:rPr>
              <w:fldChar w:fldCharType="begin"/>
            </w:r>
            <w:r w:rsidR="00357CC4">
              <w:rPr>
                <w:webHidden/>
              </w:rPr>
              <w:instrText xml:space="preserve"> PAGEREF _Toc534726634 \h </w:instrText>
            </w:r>
            <w:r w:rsidR="00357CC4">
              <w:rPr>
                <w:webHidden/>
              </w:rPr>
            </w:r>
            <w:r w:rsidR="00357CC4">
              <w:rPr>
                <w:webHidden/>
              </w:rPr>
              <w:fldChar w:fldCharType="separate"/>
            </w:r>
            <w:r w:rsidR="00032B9E">
              <w:rPr>
                <w:webHidden/>
              </w:rPr>
              <w:t>2</w:t>
            </w:r>
            <w:r w:rsidR="00357CC4">
              <w:rPr>
                <w:webHidden/>
              </w:rPr>
              <w:fldChar w:fldCharType="end"/>
            </w:r>
          </w:hyperlink>
        </w:p>
        <w:p w14:paraId="19E934CF" w14:textId="6B37DBB1" w:rsidR="00357CC4" w:rsidRDefault="004F37B8" w:rsidP="00E37437">
          <w:pPr>
            <w:pStyle w:val="TOC2"/>
            <w:rPr>
              <w:rFonts w:asciiTheme="minorHAnsi" w:eastAsiaTheme="minorEastAsia" w:hAnsiTheme="minorHAnsi" w:cstheme="minorBidi"/>
              <w:sz w:val="22"/>
              <w:lang w:eastAsia="en-GB"/>
            </w:rPr>
          </w:pPr>
          <w:hyperlink w:anchor="_Toc534726635" w:history="1">
            <w:r w:rsidR="00357CC4" w:rsidRPr="00485194">
              <w:rPr>
                <w:rStyle w:val="Hyperlink"/>
              </w:rPr>
              <w:t>Specific changes to the social security system</w:t>
            </w:r>
            <w:r w:rsidR="00357CC4">
              <w:rPr>
                <w:webHidden/>
              </w:rPr>
              <w:tab/>
            </w:r>
            <w:r w:rsidR="00357CC4">
              <w:rPr>
                <w:webHidden/>
              </w:rPr>
              <w:fldChar w:fldCharType="begin"/>
            </w:r>
            <w:r w:rsidR="00357CC4">
              <w:rPr>
                <w:webHidden/>
              </w:rPr>
              <w:instrText xml:space="preserve"> PAGEREF _Toc534726635 \h </w:instrText>
            </w:r>
            <w:r w:rsidR="00357CC4">
              <w:rPr>
                <w:webHidden/>
              </w:rPr>
            </w:r>
            <w:r w:rsidR="00357CC4">
              <w:rPr>
                <w:webHidden/>
              </w:rPr>
              <w:fldChar w:fldCharType="separate"/>
            </w:r>
            <w:r w:rsidR="00032B9E">
              <w:rPr>
                <w:webHidden/>
              </w:rPr>
              <w:t>2</w:t>
            </w:r>
            <w:r w:rsidR="00357CC4">
              <w:rPr>
                <w:webHidden/>
              </w:rPr>
              <w:fldChar w:fldCharType="end"/>
            </w:r>
          </w:hyperlink>
        </w:p>
        <w:p w14:paraId="229BB8C6" w14:textId="22DF0D19" w:rsidR="00357CC4" w:rsidRDefault="004F37B8" w:rsidP="00E37437">
          <w:pPr>
            <w:pStyle w:val="TOC2"/>
            <w:rPr>
              <w:rFonts w:asciiTheme="minorHAnsi" w:eastAsiaTheme="minorEastAsia" w:hAnsiTheme="minorHAnsi" w:cstheme="minorBidi"/>
              <w:sz w:val="22"/>
              <w:lang w:eastAsia="en-GB"/>
            </w:rPr>
          </w:pPr>
          <w:hyperlink w:anchor="_Toc534726636" w:history="1">
            <w:r w:rsidR="00357CC4" w:rsidRPr="00485194">
              <w:rPr>
                <w:rStyle w:val="Hyperlink"/>
              </w:rPr>
              <w:t>Changes to the state pension age</w:t>
            </w:r>
            <w:r w:rsidR="00357CC4">
              <w:rPr>
                <w:webHidden/>
              </w:rPr>
              <w:tab/>
            </w:r>
            <w:r w:rsidR="00357CC4">
              <w:rPr>
                <w:webHidden/>
              </w:rPr>
              <w:fldChar w:fldCharType="begin"/>
            </w:r>
            <w:r w:rsidR="00357CC4">
              <w:rPr>
                <w:webHidden/>
              </w:rPr>
              <w:instrText xml:space="preserve"> PAGEREF _Toc534726636 \h </w:instrText>
            </w:r>
            <w:r w:rsidR="00357CC4">
              <w:rPr>
                <w:webHidden/>
              </w:rPr>
            </w:r>
            <w:r w:rsidR="00357CC4">
              <w:rPr>
                <w:webHidden/>
              </w:rPr>
              <w:fldChar w:fldCharType="separate"/>
            </w:r>
            <w:r w:rsidR="00032B9E">
              <w:rPr>
                <w:webHidden/>
              </w:rPr>
              <w:t>2</w:t>
            </w:r>
            <w:r w:rsidR="00357CC4">
              <w:rPr>
                <w:webHidden/>
              </w:rPr>
              <w:fldChar w:fldCharType="end"/>
            </w:r>
          </w:hyperlink>
        </w:p>
        <w:p w14:paraId="33E666B5" w14:textId="2431A28F" w:rsidR="00357CC4" w:rsidRDefault="004F37B8">
          <w:pPr>
            <w:pStyle w:val="TOC1"/>
            <w:tabs>
              <w:tab w:val="right" w:pos="9016"/>
            </w:tabs>
            <w:rPr>
              <w:rFonts w:asciiTheme="minorHAnsi" w:eastAsiaTheme="minorEastAsia" w:hAnsiTheme="minorHAnsi" w:cstheme="minorBidi"/>
              <w:noProof/>
              <w:sz w:val="22"/>
              <w:lang w:eastAsia="en-GB"/>
            </w:rPr>
          </w:pPr>
          <w:hyperlink w:anchor="_Toc534726637" w:history="1">
            <w:r w:rsidR="00357CC4" w:rsidRPr="00485194">
              <w:rPr>
                <w:rStyle w:val="Hyperlink"/>
                <w:noProof/>
              </w:rPr>
              <w:t>8. Just and fair conditions of work:</w:t>
            </w:r>
            <w:r w:rsidR="00C848AB">
              <w:rPr>
                <w:rStyle w:val="Hyperlink"/>
                <w:noProof/>
              </w:rPr>
              <w:t xml:space="preserve"> </w:t>
            </w:r>
            <w:r w:rsidR="00C848AB" w:rsidRPr="00C848AB">
              <w:rPr>
                <w:rStyle w:val="Hyperlink"/>
                <w:noProof/>
              </w:rPr>
              <w:t>relates to LoI paragraphs 16 and 18, articles 2, 5 and 11, CO paragraphs 47.a-d, 49, 59.b and 61.a and SDGs 4, 5, 8 and 9</w:t>
            </w:r>
            <w:r w:rsidR="00357CC4">
              <w:rPr>
                <w:noProof/>
                <w:webHidden/>
              </w:rPr>
              <w:tab/>
            </w:r>
            <w:r w:rsidR="00357CC4">
              <w:rPr>
                <w:noProof/>
                <w:webHidden/>
              </w:rPr>
              <w:fldChar w:fldCharType="begin"/>
            </w:r>
            <w:r w:rsidR="00357CC4">
              <w:rPr>
                <w:noProof/>
                <w:webHidden/>
              </w:rPr>
              <w:instrText xml:space="preserve"> PAGEREF _Toc534726637 \h </w:instrText>
            </w:r>
            <w:r w:rsidR="00357CC4">
              <w:rPr>
                <w:noProof/>
                <w:webHidden/>
              </w:rPr>
            </w:r>
            <w:r w:rsidR="00357CC4">
              <w:rPr>
                <w:noProof/>
                <w:webHidden/>
              </w:rPr>
              <w:fldChar w:fldCharType="separate"/>
            </w:r>
            <w:r w:rsidR="00032B9E">
              <w:rPr>
                <w:noProof/>
                <w:webHidden/>
              </w:rPr>
              <w:t>2</w:t>
            </w:r>
            <w:r w:rsidR="00357CC4">
              <w:rPr>
                <w:noProof/>
                <w:webHidden/>
              </w:rPr>
              <w:fldChar w:fldCharType="end"/>
            </w:r>
          </w:hyperlink>
        </w:p>
        <w:p w14:paraId="28FEEF05" w14:textId="78E0C964" w:rsidR="00357CC4" w:rsidRDefault="004F37B8" w:rsidP="00E37437">
          <w:pPr>
            <w:pStyle w:val="TOC2"/>
            <w:rPr>
              <w:rFonts w:asciiTheme="minorHAnsi" w:eastAsiaTheme="minorEastAsia" w:hAnsiTheme="minorHAnsi" w:cstheme="minorBidi"/>
              <w:sz w:val="22"/>
              <w:lang w:eastAsia="en-GB"/>
            </w:rPr>
          </w:pPr>
          <w:hyperlink w:anchor="_Toc534726639" w:history="1">
            <w:r w:rsidR="00357CC4" w:rsidRPr="00485194">
              <w:rPr>
                <w:rStyle w:val="Hyperlink"/>
              </w:rPr>
              <w:t>Women in work</w:t>
            </w:r>
            <w:r w:rsidR="00357CC4">
              <w:rPr>
                <w:webHidden/>
              </w:rPr>
              <w:tab/>
            </w:r>
            <w:r w:rsidR="00357CC4">
              <w:rPr>
                <w:webHidden/>
              </w:rPr>
              <w:fldChar w:fldCharType="begin"/>
            </w:r>
            <w:r w:rsidR="00357CC4">
              <w:rPr>
                <w:webHidden/>
              </w:rPr>
              <w:instrText xml:space="preserve"> PAGEREF _Toc534726639 \h </w:instrText>
            </w:r>
            <w:r w:rsidR="00357CC4">
              <w:rPr>
                <w:webHidden/>
              </w:rPr>
            </w:r>
            <w:r w:rsidR="00357CC4">
              <w:rPr>
                <w:webHidden/>
              </w:rPr>
              <w:fldChar w:fldCharType="separate"/>
            </w:r>
            <w:r w:rsidR="00032B9E">
              <w:rPr>
                <w:webHidden/>
              </w:rPr>
              <w:t>2</w:t>
            </w:r>
            <w:r w:rsidR="00357CC4">
              <w:rPr>
                <w:webHidden/>
              </w:rPr>
              <w:fldChar w:fldCharType="end"/>
            </w:r>
          </w:hyperlink>
        </w:p>
        <w:p w14:paraId="57244E4F" w14:textId="6DF00316" w:rsidR="00357CC4" w:rsidRDefault="004F37B8" w:rsidP="00E37437">
          <w:pPr>
            <w:pStyle w:val="TOC2"/>
            <w:rPr>
              <w:rFonts w:asciiTheme="minorHAnsi" w:eastAsiaTheme="minorEastAsia" w:hAnsiTheme="minorHAnsi" w:cstheme="minorBidi"/>
              <w:sz w:val="22"/>
              <w:lang w:eastAsia="en-GB"/>
            </w:rPr>
          </w:pPr>
          <w:hyperlink w:anchor="_Toc534726640" w:history="1">
            <w:r w:rsidR="00357CC4" w:rsidRPr="00485194">
              <w:rPr>
                <w:rStyle w:val="Hyperlink"/>
              </w:rPr>
              <w:t>Discrimination and harassment in the workplace</w:t>
            </w:r>
            <w:r w:rsidR="00357CC4">
              <w:rPr>
                <w:webHidden/>
              </w:rPr>
              <w:tab/>
            </w:r>
            <w:r w:rsidR="00357CC4">
              <w:rPr>
                <w:webHidden/>
              </w:rPr>
              <w:fldChar w:fldCharType="begin"/>
            </w:r>
            <w:r w:rsidR="00357CC4">
              <w:rPr>
                <w:webHidden/>
              </w:rPr>
              <w:instrText xml:space="preserve"> PAGEREF _Toc534726640 \h </w:instrText>
            </w:r>
            <w:r w:rsidR="00357CC4">
              <w:rPr>
                <w:webHidden/>
              </w:rPr>
            </w:r>
            <w:r w:rsidR="00357CC4">
              <w:rPr>
                <w:webHidden/>
              </w:rPr>
              <w:fldChar w:fldCharType="separate"/>
            </w:r>
            <w:r w:rsidR="00032B9E">
              <w:rPr>
                <w:webHidden/>
              </w:rPr>
              <w:t>2</w:t>
            </w:r>
            <w:r w:rsidR="00357CC4">
              <w:rPr>
                <w:webHidden/>
              </w:rPr>
              <w:fldChar w:fldCharType="end"/>
            </w:r>
          </w:hyperlink>
        </w:p>
        <w:p w14:paraId="26DD0F15" w14:textId="1AAC759A" w:rsidR="00357CC4" w:rsidRDefault="004F37B8" w:rsidP="00E37437">
          <w:pPr>
            <w:pStyle w:val="TOC2"/>
            <w:rPr>
              <w:rFonts w:asciiTheme="minorHAnsi" w:eastAsiaTheme="minorEastAsia" w:hAnsiTheme="minorHAnsi" w:cstheme="minorBidi"/>
              <w:sz w:val="22"/>
              <w:lang w:eastAsia="en-GB"/>
            </w:rPr>
          </w:pPr>
          <w:hyperlink w:anchor="_Toc534726641" w:history="1">
            <w:r w:rsidR="00357CC4" w:rsidRPr="00485194">
              <w:rPr>
                <w:rStyle w:val="Hyperlink"/>
              </w:rPr>
              <w:t>Occupational segregation</w:t>
            </w:r>
            <w:r w:rsidR="00357CC4">
              <w:rPr>
                <w:webHidden/>
              </w:rPr>
              <w:tab/>
            </w:r>
            <w:r w:rsidR="00357CC4">
              <w:rPr>
                <w:webHidden/>
              </w:rPr>
              <w:fldChar w:fldCharType="begin"/>
            </w:r>
            <w:r w:rsidR="00357CC4">
              <w:rPr>
                <w:webHidden/>
              </w:rPr>
              <w:instrText xml:space="preserve"> PAGEREF _Toc534726641 \h </w:instrText>
            </w:r>
            <w:r w:rsidR="00357CC4">
              <w:rPr>
                <w:webHidden/>
              </w:rPr>
            </w:r>
            <w:r w:rsidR="00357CC4">
              <w:rPr>
                <w:webHidden/>
              </w:rPr>
              <w:fldChar w:fldCharType="separate"/>
            </w:r>
            <w:r w:rsidR="00032B9E">
              <w:rPr>
                <w:webHidden/>
              </w:rPr>
              <w:t>2</w:t>
            </w:r>
            <w:r w:rsidR="00357CC4">
              <w:rPr>
                <w:webHidden/>
              </w:rPr>
              <w:fldChar w:fldCharType="end"/>
            </w:r>
          </w:hyperlink>
        </w:p>
        <w:p w14:paraId="09985F11" w14:textId="5840A872" w:rsidR="00357CC4" w:rsidRDefault="004F37B8" w:rsidP="00E37437">
          <w:pPr>
            <w:pStyle w:val="TOC2"/>
            <w:rPr>
              <w:rFonts w:asciiTheme="minorHAnsi" w:eastAsiaTheme="minorEastAsia" w:hAnsiTheme="minorHAnsi" w:cstheme="minorBidi"/>
              <w:sz w:val="22"/>
              <w:lang w:eastAsia="en-GB"/>
            </w:rPr>
          </w:pPr>
          <w:hyperlink w:anchor="_Toc534726642" w:history="1">
            <w:r w:rsidR="00357CC4" w:rsidRPr="00485194">
              <w:rPr>
                <w:rStyle w:val="Hyperlink"/>
              </w:rPr>
              <w:t>Pay</w:t>
            </w:r>
            <w:r w:rsidR="00357CC4">
              <w:rPr>
                <w:webHidden/>
              </w:rPr>
              <w:tab/>
            </w:r>
            <w:r w:rsidR="00357CC4">
              <w:rPr>
                <w:webHidden/>
              </w:rPr>
              <w:fldChar w:fldCharType="begin"/>
            </w:r>
            <w:r w:rsidR="00357CC4">
              <w:rPr>
                <w:webHidden/>
              </w:rPr>
              <w:instrText xml:space="preserve"> PAGEREF _Toc534726642 \h </w:instrText>
            </w:r>
            <w:r w:rsidR="00357CC4">
              <w:rPr>
                <w:webHidden/>
              </w:rPr>
            </w:r>
            <w:r w:rsidR="00357CC4">
              <w:rPr>
                <w:webHidden/>
              </w:rPr>
              <w:fldChar w:fldCharType="separate"/>
            </w:r>
            <w:r w:rsidR="00032B9E">
              <w:rPr>
                <w:webHidden/>
              </w:rPr>
              <w:t>2</w:t>
            </w:r>
            <w:r w:rsidR="00357CC4">
              <w:rPr>
                <w:webHidden/>
              </w:rPr>
              <w:fldChar w:fldCharType="end"/>
            </w:r>
          </w:hyperlink>
        </w:p>
        <w:p w14:paraId="3583B8C3" w14:textId="4561A89B" w:rsidR="00357CC4" w:rsidRDefault="004F37B8">
          <w:pPr>
            <w:pStyle w:val="TOC1"/>
            <w:tabs>
              <w:tab w:val="right" w:pos="9016"/>
            </w:tabs>
            <w:rPr>
              <w:rFonts w:asciiTheme="minorHAnsi" w:eastAsiaTheme="minorEastAsia" w:hAnsiTheme="minorHAnsi" w:cstheme="minorBidi"/>
              <w:noProof/>
              <w:sz w:val="22"/>
              <w:lang w:eastAsia="en-GB"/>
            </w:rPr>
          </w:pPr>
          <w:hyperlink w:anchor="_Toc534726643" w:history="1">
            <w:r w:rsidR="00357CC4" w:rsidRPr="00485194">
              <w:rPr>
                <w:rStyle w:val="Hyperlink"/>
                <w:noProof/>
              </w:rPr>
              <w:t>9. Highest attainable standard of health: relates to LoI paragraph 21, articles 12 and 16, CO paragraphs 53.a-b and 61.a and SDGs 3 and 5</w:t>
            </w:r>
            <w:r w:rsidR="00357CC4">
              <w:rPr>
                <w:noProof/>
                <w:webHidden/>
              </w:rPr>
              <w:tab/>
            </w:r>
            <w:r w:rsidR="00357CC4">
              <w:rPr>
                <w:noProof/>
                <w:webHidden/>
              </w:rPr>
              <w:fldChar w:fldCharType="begin"/>
            </w:r>
            <w:r w:rsidR="00357CC4">
              <w:rPr>
                <w:noProof/>
                <w:webHidden/>
              </w:rPr>
              <w:instrText xml:space="preserve"> PAGEREF _Toc534726643 \h </w:instrText>
            </w:r>
            <w:r w:rsidR="00357CC4">
              <w:rPr>
                <w:noProof/>
                <w:webHidden/>
              </w:rPr>
            </w:r>
            <w:r w:rsidR="00357CC4">
              <w:rPr>
                <w:noProof/>
                <w:webHidden/>
              </w:rPr>
              <w:fldChar w:fldCharType="separate"/>
            </w:r>
            <w:r w:rsidR="00032B9E">
              <w:rPr>
                <w:noProof/>
                <w:webHidden/>
              </w:rPr>
              <w:t>2</w:t>
            </w:r>
            <w:r w:rsidR="00357CC4">
              <w:rPr>
                <w:noProof/>
                <w:webHidden/>
              </w:rPr>
              <w:fldChar w:fldCharType="end"/>
            </w:r>
          </w:hyperlink>
        </w:p>
        <w:p w14:paraId="1953E36A" w14:textId="3A81EA82" w:rsidR="00357CC4" w:rsidRDefault="004F37B8" w:rsidP="00E37437">
          <w:pPr>
            <w:pStyle w:val="TOC2"/>
            <w:rPr>
              <w:rFonts w:asciiTheme="minorHAnsi" w:eastAsiaTheme="minorEastAsia" w:hAnsiTheme="minorHAnsi" w:cstheme="minorBidi"/>
              <w:sz w:val="22"/>
              <w:lang w:eastAsia="en-GB"/>
            </w:rPr>
          </w:pPr>
          <w:hyperlink w:anchor="_Toc534726644" w:history="1">
            <w:r w:rsidR="00357CC4" w:rsidRPr="00485194">
              <w:rPr>
                <w:rStyle w:val="Hyperlink"/>
              </w:rPr>
              <w:t>Mental and physical health</w:t>
            </w:r>
            <w:r w:rsidR="00357CC4">
              <w:rPr>
                <w:webHidden/>
              </w:rPr>
              <w:tab/>
            </w:r>
            <w:r w:rsidR="00357CC4">
              <w:rPr>
                <w:webHidden/>
              </w:rPr>
              <w:fldChar w:fldCharType="begin"/>
            </w:r>
            <w:r w:rsidR="00357CC4">
              <w:rPr>
                <w:webHidden/>
              </w:rPr>
              <w:instrText xml:space="preserve"> PAGEREF _Toc534726644 \h </w:instrText>
            </w:r>
            <w:r w:rsidR="00357CC4">
              <w:rPr>
                <w:webHidden/>
              </w:rPr>
            </w:r>
            <w:r w:rsidR="00357CC4">
              <w:rPr>
                <w:webHidden/>
              </w:rPr>
              <w:fldChar w:fldCharType="separate"/>
            </w:r>
            <w:r w:rsidR="00032B9E">
              <w:rPr>
                <w:webHidden/>
              </w:rPr>
              <w:t>2</w:t>
            </w:r>
            <w:r w:rsidR="00357CC4">
              <w:rPr>
                <w:webHidden/>
              </w:rPr>
              <w:fldChar w:fldCharType="end"/>
            </w:r>
          </w:hyperlink>
        </w:p>
        <w:p w14:paraId="621E2618" w14:textId="2EF5FDF7" w:rsidR="00357CC4" w:rsidRDefault="004F37B8">
          <w:pPr>
            <w:pStyle w:val="TOC1"/>
            <w:tabs>
              <w:tab w:val="right" w:pos="9016"/>
            </w:tabs>
            <w:rPr>
              <w:rFonts w:asciiTheme="minorHAnsi" w:eastAsiaTheme="minorEastAsia" w:hAnsiTheme="minorHAnsi" w:cstheme="minorBidi"/>
              <w:noProof/>
              <w:sz w:val="22"/>
              <w:lang w:eastAsia="en-GB"/>
            </w:rPr>
          </w:pPr>
          <w:hyperlink w:anchor="_Toc534726645" w:history="1">
            <w:r w:rsidR="00357CC4" w:rsidRPr="00485194">
              <w:rPr>
                <w:rStyle w:val="Hyperlink"/>
                <w:noProof/>
              </w:rPr>
              <w:t>10. Equality in education:</w:t>
            </w:r>
            <w:r w:rsidR="00C848AB">
              <w:rPr>
                <w:rStyle w:val="Hyperlink"/>
                <w:noProof/>
              </w:rPr>
              <w:t xml:space="preserve"> </w:t>
            </w:r>
            <w:r w:rsidR="00C848AB" w:rsidRPr="00C848AB">
              <w:rPr>
                <w:rStyle w:val="Hyperlink"/>
                <w:noProof/>
              </w:rPr>
              <w:t>relates to LoI paragraph 17, articles 5 and 10, CO paragraphs 45.a-d and 61.a and SDG 4</w:t>
            </w:r>
            <w:r w:rsidR="00357CC4">
              <w:rPr>
                <w:noProof/>
                <w:webHidden/>
              </w:rPr>
              <w:tab/>
            </w:r>
            <w:r w:rsidR="00357CC4">
              <w:rPr>
                <w:noProof/>
                <w:webHidden/>
              </w:rPr>
              <w:fldChar w:fldCharType="begin"/>
            </w:r>
            <w:r w:rsidR="00357CC4">
              <w:rPr>
                <w:noProof/>
                <w:webHidden/>
              </w:rPr>
              <w:instrText xml:space="preserve"> PAGEREF _Toc534726645 \h </w:instrText>
            </w:r>
            <w:r w:rsidR="00357CC4">
              <w:rPr>
                <w:noProof/>
                <w:webHidden/>
              </w:rPr>
            </w:r>
            <w:r w:rsidR="00357CC4">
              <w:rPr>
                <w:noProof/>
                <w:webHidden/>
              </w:rPr>
              <w:fldChar w:fldCharType="separate"/>
            </w:r>
            <w:r w:rsidR="00032B9E">
              <w:rPr>
                <w:noProof/>
                <w:webHidden/>
              </w:rPr>
              <w:t>2</w:t>
            </w:r>
            <w:r w:rsidR="00357CC4">
              <w:rPr>
                <w:noProof/>
                <w:webHidden/>
              </w:rPr>
              <w:fldChar w:fldCharType="end"/>
            </w:r>
          </w:hyperlink>
        </w:p>
        <w:p w14:paraId="39A85D55" w14:textId="1FEF4CBE" w:rsidR="00357CC4" w:rsidRPr="00E37437" w:rsidRDefault="004F37B8" w:rsidP="00E37437">
          <w:pPr>
            <w:pStyle w:val="TOC2"/>
            <w:rPr>
              <w:rFonts w:asciiTheme="minorHAnsi" w:eastAsiaTheme="minorEastAsia" w:hAnsiTheme="minorHAnsi" w:cstheme="minorBidi"/>
              <w:sz w:val="22"/>
              <w:lang w:eastAsia="en-GB"/>
            </w:rPr>
          </w:pPr>
          <w:hyperlink w:anchor="_Toc534726647" w:history="1">
            <w:r w:rsidR="00357CC4" w:rsidRPr="00E37437">
              <w:rPr>
                <w:rStyle w:val="Hyperlink"/>
              </w:rPr>
              <w:t>Personal, social, health and economic (PSHE), Relationships Education (RelEd) and relationships and sex education (RSE)</w:t>
            </w:r>
            <w:r w:rsidR="00357CC4" w:rsidRPr="00E37437">
              <w:rPr>
                <w:webHidden/>
              </w:rPr>
              <w:tab/>
            </w:r>
            <w:r w:rsidR="00357CC4" w:rsidRPr="00E37437">
              <w:rPr>
                <w:webHidden/>
              </w:rPr>
              <w:fldChar w:fldCharType="begin"/>
            </w:r>
            <w:r w:rsidR="00357CC4" w:rsidRPr="00E37437">
              <w:rPr>
                <w:webHidden/>
              </w:rPr>
              <w:instrText xml:space="preserve"> PAGEREF _Toc534726647 \h </w:instrText>
            </w:r>
            <w:r w:rsidR="00357CC4" w:rsidRPr="00E37437">
              <w:rPr>
                <w:webHidden/>
              </w:rPr>
            </w:r>
            <w:r w:rsidR="00357CC4" w:rsidRPr="00E37437">
              <w:rPr>
                <w:webHidden/>
              </w:rPr>
              <w:fldChar w:fldCharType="separate"/>
            </w:r>
            <w:r w:rsidR="00032B9E">
              <w:rPr>
                <w:webHidden/>
              </w:rPr>
              <w:t>2</w:t>
            </w:r>
            <w:r w:rsidR="00357CC4" w:rsidRPr="00E37437">
              <w:rPr>
                <w:webHidden/>
              </w:rPr>
              <w:fldChar w:fldCharType="end"/>
            </w:r>
          </w:hyperlink>
        </w:p>
        <w:p w14:paraId="0B114DF7" w14:textId="6BE8B3DE" w:rsidR="00357CC4" w:rsidRDefault="004F37B8">
          <w:pPr>
            <w:pStyle w:val="TOC1"/>
            <w:tabs>
              <w:tab w:val="right" w:pos="9016"/>
            </w:tabs>
            <w:rPr>
              <w:rFonts w:asciiTheme="minorHAnsi" w:eastAsiaTheme="minorEastAsia" w:hAnsiTheme="minorHAnsi" w:cstheme="minorBidi"/>
              <w:noProof/>
              <w:sz w:val="22"/>
              <w:lang w:eastAsia="en-GB"/>
            </w:rPr>
          </w:pPr>
          <w:hyperlink w:anchor="_Toc534726648" w:history="1">
            <w:r w:rsidR="00357CC4" w:rsidRPr="00485194">
              <w:rPr>
                <w:rStyle w:val="Hyperlink"/>
                <w:noProof/>
              </w:rPr>
              <w:t>Contacts</w:t>
            </w:r>
            <w:r w:rsidR="00357CC4">
              <w:rPr>
                <w:noProof/>
                <w:webHidden/>
              </w:rPr>
              <w:tab/>
            </w:r>
            <w:r w:rsidR="00357CC4">
              <w:rPr>
                <w:noProof/>
                <w:webHidden/>
              </w:rPr>
              <w:fldChar w:fldCharType="begin"/>
            </w:r>
            <w:r w:rsidR="00357CC4">
              <w:rPr>
                <w:noProof/>
                <w:webHidden/>
              </w:rPr>
              <w:instrText xml:space="preserve"> PAGEREF _Toc534726648 \h </w:instrText>
            </w:r>
            <w:r w:rsidR="00357CC4">
              <w:rPr>
                <w:noProof/>
                <w:webHidden/>
              </w:rPr>
              <w:fldChar w:fldCharType="separate"/>
            </w:r>
            <w:r w:rsidR="00032B9E">
              <w:rPr>
                <w:b/>
                <w:bCs/>
                <w:noProof/>
                <w:webHidden/>
                <w:lang w:val="en-US"/>
              </w:rPr>
              <w:t>Error! Bookmark not defined.</w:t>
            </w:r>
            <w:r w:rsidR="00357CC4">
              <w:rPr>
                <w:noProof/>
                <w:webHidden/>
              </w:rPr>
              <w:fldChar w:fldCharType="end"/>
            </w:r>
          </w:hyperlink>
        </w:p>
        <w:p w14:paraId="2524A628" w14:textId="245D30F4" w:rsidR="001C23DE" w:rsidRPr="00C01D92" w:rsidRDefault="001C23DE">
          <w:r w:rsidRPr="00C01D92">
            <w:rPr>
              <w:b/>
              <w:bCs/>
              <w:noProof/>
            </w:rPr>
            <w:fldChar w:fldCharType="end"/>
          </w:r>
        </w:p>
      </w:sdtContent>
    </w:sdt>
    <w:p w14:paraId="2C35F73A" w14:textId="77777777" w:rsidR="001C23DE" w:rsidRPr="00C01D92" w:rsidRDefault="001C23DE">
      <w:pPr>
        <w:spacing w:after="160" w:line="259" w:lineRule="auto"/>
        <w:rPr>
          <w:rFonts w:ascii="Georgia" w:eastAsia="Times New Roman" w:hAnsi="Georgia"/>
          <w:bCs/>
          <w:color w:val="D40F7D"/>
          <w:sz w:val="48"/>
          <w:szCs w:val="48"/>
        </w:rPr>
      </w:pPr>
      <w:r w:rsidRPr="00C01D92">
        <w:br w:type="page"/>
      </w:r>
    </w:p>
    <w:p w14:paraId="6084EA23" w14:textId="77777777" w:rsidR="001C23DE" w:rsidRPr="00C01D92" w:rsidRDefault="00211F67" w:rsidP="001C23DE">
      <w:pPr>
        <w:pStyle w:val="Title-chapterpink"/>
      </w:pPr>
      <w:bookmarkStart w:id="12" w:name="_Toc534726600"/>
      <w:r w:rsidRPr="00C01D92">
        <w:lastRenderedPageBreak/>
        <w:t>List of abbreviations</w:t>
      </w:r>
      <w:bookmarkEnd w:id="12"/>
    </w:p>
    <w:p w14:paraId="5F4DBFB5" w14:textId="77777777" w:rsidR="0058112E" w:rsidRPr="00C01D92" w:rsidRDefault="0058112E" w:rsidP="0058112E">
      <w:pPr>
        <w:pStyle w:val="Parabeforeanother"/>
      </w:pPr>
      <w:r w:rsidRPr="00C01D92">
        <w:t>AMs</w:t>
      </w:r>
      <w:r w:rsidRPr="00C01D92">
        <w:tab/>
      </w:r>
      <w:r w:rsidRPr="00C01D92">
        <w:tab/>
      </w:r>
      <w:r w:rsidRPr="00C01D92">
        <w:tab/>
        <w:t>Assembly Members</w:t>
      </w:r>
    </w:p>
    <w:p w14:paraId="61FCBCE8" w14:textId="21C6764D" w:rsidR="0029610F" w:rsidRPr="00C01D92" w:rsidRDefault="0029610F" w:rsidP="0029610F">
      <w:pPr>
        <w:pStyle w:val="Parabeforeanother"/>
      </w:pPr>
      <w:r w:rsidRPr="00C01D92">
        <w:t>BIS</w:t>
      </w:r>
      <w:r w:rsidRPr="00C01D92">
        <w:tab/>
      </w:r>
      <w:r w:rsidRPr="00C01D92">
        <w:tab/>
      </w:r>
      <w:r w:rsidRPr="00C01D92">
        <w:tab/>
        <w:t xml:space="preserve">Department for Business, </w:t>
      </w:r>
      <w:r w:rsidR="007C1DEE">
        <w:t>Energy and Industrial Strategy</w:t>
      </w:r>
    </w:p>
    <w:p w14:paraId="19D24520" w14:textId="77777777" w:rsidR="0029610F" w:rsidRPr="00C01D92" w:rsidRDefault="0029610F" w:rsidP="0029610F">
      <w:pPr>
        <w:pStyle w:val="Parabeforeanother"/>
        <w:ind w:left="2160" w:hanging="2160"/>
      </w:pPr>
      <w:r w:rsidRPr="00C01D92">
        <w:t>CEDAW</w:t>
      </w:r>
      <w:r w:rsidRPr="00C01D92">
        <w:tab/>
        <w:t>Convention on the Elimination of All Forms of Discrimination Against Women</w:t>
      </w:r>
    </w:p>
    <w:p w14:paraId="648E7CB1" w14:textId="706C2FE4" w:rsidR="0029610F" w:rsidRPr="00C01D92" w:rsidRDefault="0029610F" w:rsidP="0029610F">
      <w:pPr>
        <w:pStyle w:val="Parabeforeanother"/>
      </w:pPr>
      <w:r w:rsidRPr="00C01D92">
        <w:t>CO</w:t>
      </w:r>
      <w:r w:rsidRPr="00C01D92">
        <w:tab/>
      </w:r>
      <w:r w:rsidRPr="00C01D92">
        <w:tab/>
      </w:r>
      <w:r w:rsidRPr="00C01D92">
        <w:tab/>
        <w:t>Concluding Observation</w:t>
      </w:r>
    </w:p>
    <w:p w14:paraId="473BAE85" w14:textId="77777777" w:rsidR="0029610F" w:rsidRPr="00C01D92" w:rsidRDefault="0029610F" w:rsidP="0029610F">
      <w:pPr>
        <w:pStyle w:val="Parabeforeanother"/>
      </w:pPr>
      <w:r w:rsidRPr="00C01D92">
        <w:t>CPS</w:t>
      </w:r>
      <w:r w:rsidRPr="00C01D92">
        <w:tab/>
      </w:r>
      <w:r w:rsidRPr="00C01D92">
        <w:tab/>
      </w:r>
      <w:r w:rsidRPr="00C01D92">
        <w:tab/>
        <w:t>Crown Prosecution Service</w:t>
      </w:r>
    </w:p>
    <w:p w14:paraId="50427FDB" w14:textId="77777777" w:rsidR="0029610F" w:rsidRDefault="0029610F" w:rsidP="0029610F">
      <w:pPr>
        <w:pStyle w:val="Parabeforeanother"/>
      </w:pPr>
      <w:r w:rsidRPr="00C01D92">
        <w:t>CQC</w:t>
      </w:r>
      <w:r w:rsidRPr="00C01D92">
        <w:tab/>
      </w:r>
      <w:r w:rsidRPr="00C01D92">
        <w:tab/>
      </w:r>
      <w:r w:rsidRPr="00C01D92">
        <w:tab/>
        <w:t>Care Quality Commission</w:t>
      </w:r>
    </w:p>
    <w:p w14:paraId="27CFE208" w14:textId="6D1F1C2E" w:rsidR="00915230" w:rsidRPr="00C01D92" w:rsidRDefault="00915230" w:rsidP="0029610F">
      <w:pPr>
        <w:pStyle w:val="Parabeforeanother"/>
      </w:pPr>
      <w:r>
        <w:t>CRC</w:t>
      </w:r>
      <w:r>
        <w:tab/>
      </w:r>
      <w:r>
        <w:tab/>
      </w:r>
      <w:r>
        <w:tab/>
        <w:t>Committee on the Rights of the Child</w:t>
      </w:r>
    </w:p>
    <w:p w14:paraId="44AAE9E5" w14:textId="77777777" w:rsidR="0029610F" w:rsidRPr="00C01D92" w:rsidRDefault="0029610F" w:rsidP="0029610F">
      <w:pPr>
        <w:pStyle w:val="Parabeforeanother"/>
      </w:pPr>
      <w:r w:rsidRPr="00C01D92">
        <w:t>DfE</w:t>
      </w:r>
      <w:r w:rsidRPr="00C01D92">
        <w:tab/>
      </w:r>
      <w:r w:rsidRPr="00C01D92">
        <w:tab/>
      </w:r>
      <w:r w:rsidRPr="00C01D92">
        <w:tab/>
        <w:t>Department for Education</w:t>
      </w:r>
    </w:p>
    <w:p w14:paraId="365D5EDE" w14:textId="77777777" w:rsidR="0029610F" w:rsidRPr="00C01D92" w:rsidRDefault="0029610F" w:rsidP="0029610F">
      <w:pPr>
        <w:pStyle w:val="Parabeforeanother"/>
      </w:pPr>
      <w:r w:rsidRPr="00C01D92">
        <w:t>DWP</w:t>
      </w:r>
      <w:r w:rsidRPr="00C01D92">
        <w:tab/>
      </w:r>
      <w:r w:rsidRPr="00C01D92">
        <w:tab/>
      </w:r>
      <w:r w:rsidRPr="00C01D92">
        <w:tab/>
        <w:t>Department for Work and Pensions</w:t>
      </w:r>
    </w:p>
    <w:p w14:paraId="3CB4A73F" w14:textId="77777777" w:rsidR="0058112E" w:rsidRDefault="0058112E" w:rsidP="0058112E">
      <w:pPr>
        <w:pStyle w:val="Parabeforeanother"/>
      </w:pPr>
      <w:r w:rsidRPr="00C01D92">
        <w:t>EA</w:t>
      </w:r>
      <w:r w:rsidRPr="00C01D92">
        <w:tab/>
      </w:r>
      <w:r w:rsidRPr="00C01D92">
        <w:tab/>
      </w:r>
      <w:r w:rsidRPr="00C01D92">
        <w:tab/>
        <w:t>Equality Act</w:t>
      </w:r>
    </w:p>
    <w:p w14:paraId="79810322" w14:textId="77777777" w:rsidR="0058112E" w:rsidRDefault="0058112E" w:rsidP="0058112E">
      <w:pPr>
        <w:pStyle w:val="Parabeforeanother"/>
      </w:pPr>
      <w:r>
        <w:t>ECHR</w:t>
      </w:r>
      <w:r>
        <w:tab/>
      </w:r>
      <w:r>
        <w:tab/>
      </w:r>
      <w:r>
        <w:tab/>
        <w:t>European Convention on Human Rights</w:t>
      </w:r>
    </w:p>
    <w:p w14:paraId="0DBCFC95" w14:textId="005C7D46" w:rsidR="001C23DE" w:rsidRDefault="00117D16" w:rsidP="001C23DE">
      <w:pPr>
        <w:pStyle w:val="Parabeforeanother"/>
      </w:pPr>
      <w:r>
        <w:t>EHRC</w:t>
      </w:r>
      <w:r>
        <w:tab/>
      </w:r>
      <w:r>
        <w:tab/>
      </w:r>
      <w:r w:rsidR="009805DB">
        <w:tab/>
      </w:r>
      <w:r w:rsidR="001C23DE">
        <w:t>Equality and Human Rights Commission</w:t>
      </w:r>
    </w:p>
    <w:p w14:paraId="01AA1C57" w14:textId="77777777" w:rsidR="0058112E" w:rsidRDefault="0058112E" w:rsidP="0058112E">
      <w:pPr>
        <w:pStyle w:val="Parabeforeanother"/>
      </w:pPr>
      <w:r>
        <w:t>EU</w:t>
      </w:r>
      <w:r>
        <w:tab/>
      </w:r>
      <w:r>
        <w:tab/>
      </w:r>
      <w:r>
        <w:tab/>
        <w:t>European Union</w:t>
      </w:r>
    </w:p>
    <w:p w14:paraId="69679549" w14:textId="5D2C5080" w:rsidR="0058112E" w:rsidRDefault="00C5764B" w:rsidP="0058112E">
      <w:pPr>
        <w:pStyle w:val="Parabeforeanother"/>
      </w:pPr>
      <w:r>
        <w:t>FGM</w:t>
      </w:r>
      <w:r>
        <w:tab/>
      </w:r>
      <w:r>
        <w:tab/>
      </w:r>
      <w:r>
        <w:tab/>
      </w:r>
      <w:r w:rsidR="007C1DEE">
        <w:t>f</w:t>
      </w:r>
      <w:r>
        <w:t xml:space="preserve">emale </w:t>
      </w:r>
      <w:r w:rsidR="007C1DEE">
        <w:t>g</w:t>
      </w:r>
      <w:r w:rsidR="0058112E">
        <w:t xml:space="preserve">enital </w:t>
      </w:r>
      <w:r w:rsidR="007C1DEE">
        <w:t>m</w:t>
      </w:r>
      <w:r w:rsidR="0058112E">
        <w:t>utilation</w:t>
      </w:r>
    </w:p>
    <w:p w14:paraId="0CBEAD39" w14:textId="3EF44D15" w:rsidR="00B275E3" w:rsidRDefault="00B275E3" w:rsidP="0058112E">
      <w:pPr>
        <w:pStyle w:val="Parabeforeanother"/>
      </w:pPr>
      <w:r>
        <w:t>GRA</w:t>
      </w:r>
      <w:r>
        <w:tab/>
      </w:r>
      <w:r>
        <w:tab/>
      </w:r>
      <w:r>
        <w:tab/>
        <w:t>Gender Recognition Act</w:t>
      </w:r>
    </w:p>
    <w:p w14:paraId="3300C0E1" w14:textId="3D3DF433" w:rsidR="00B275E3" w:rsidRDefault="00B275E3" w:rsidP="0058112E">
      <w:pPr>
        <w:pStyle w:val="Parabeforeanother"/>
      </w:pPr>
      <w:r>
        <w:t>GRC</w:t>
      </w:r>
      <w:r>
        <w:tab/>
      </w:r>
      <w:r>
        <w:tab/>
      </w:r>
      <w:r>
        <w:tab/>
        <w:t>gender recognition certificate</w:t>
      </w:r>
    </w:p>
    <w:p w14:paraId="05CDDC60" w14:textId="458C0606" w:rsidR="00915230" w:rsidRDefault="00915230" w:rsidP="0058112E">
      <w:pPr>
        <w:pStyle w:val="Parabeforeanother"/>
      </w:pPr>
      <w:r>
        <w:t xml:space="preserve">HASC </w:t>
      </w:r>
      <w:r>
        <w:tab/>
      </w:r>
      <w:r>
        <w:tab/>
        <w:t>Home Affairs Select Committee</w:t>
      </w:r>
    </w:p>
    <w:p w14:paraId="56B7E876" w14:textId="77777777" w:rsidR="0058112E" w:rsidRDefault="0058112E" w:rsidP="0058112E">
      <w:pPr>
        <w:pStyle w:val="Parabeforeanother"/>
      </w:pPr>
      <w:r>
        <w:t>HMIC</w:t>
      </w:r>
      <w:r>
        <w:tab/>
      </w:r>
      <w:r>
        <w:tab/>
      </w:r>
      <w:r>
        <w:tab/>
        <w:t>HM Inspector of Constabulary</w:t>
      </w:r>
    </w:p>
    <w:p w14:paraId="38339320" w14:textId="3E2CC6FE" w:rsidR="0058112E" w:rsidRDefault="0058112E" w:rsidP="0058112E">
      <w:pPr>
        <w:pStyle w:val="Parabeforeanother"/>
        <w:ind w:left="2160" w:hanging="2160"/>
      </w:pPr>
      <w:r>
        <w:t>HMICFRS</w:t>
      </w:r>
      <w:r>
        <w:tab/>
        <w:t xml:space="preserve">Her Majesty’s Inspectorate of Constabulary and Fire </w:t>
      </w:r>
      <w:r w:rsidR="007C1DEE">
        <w:t>&amp;</w:t>
      </w:r>
      <w:r>
        <w:t xml:space="preserve"> Rescue Services</w:t>
      </w:r>
    </w:p>
    <w:p w14:paraId="04BDFE74" w14:textId="77777777" w:rsidR="0058112E" w:rsidRDefault="0058112E" w:rsidP="0058112E">
      <w:pPr>
        <w:pStyle w:val="Parabeforeanother"/>
      </w:pPr>
      <w:r>
        <w:t>HMI Prisons</w:t>
      </w:r>
      <w:r>
        <w:tab/>
      </w:r>
      <w:r>
        <w:tab/>
        <w:t>HM Inspectorate of Prisons</w:t>
      </w:r>
      <w:r>
        <w:tab/>
      </w:r>
    </w:p>
    <w:p w14:paraId="2B1E4FF8" w14:textId="77777777" w:rsidR="0058112E" w:rsidRDefault="0058112E" w:rsidP="0058112E">
      <w:pPr>
        <w:pStyle w:val="Parabeforeanother"/>
      </w:pPr>
      <w:r w:rsidRPr="00C01D92">
        <w:t>HRA</w:t>
      </w:r>
      <w:r w:rsidRPr="00C01D92">
        <w:tab/>
      </w:r>
      <w:r w:rsidRPr="00C01D92">
        <w:tab/>
      </w:r>
      <w:r w:rsidRPr="00C01D92">
        <w:tab/>
        <w:t>Human Rights Act</w:t>
      </w:r>
    </w:p>
    <w:p w14:paraId="70755E1D" w14:textId="0FCAAF2A" w:rsidR="0058112E" w:rsidRDefault="0058112E" w:rsidP="0058112E">
      <w:pPr>
        <w:pStyle w:val="Parabeforeanother"/>
      </w:pPr>
      <w:r>
        <w:lastRenderedPageBreak/>
        <w:t>IRC</w:t>
      </w:r>
      <w:r>
        <w:tab/>
      </w:r>
      <w:r>
        <w:tab/>
      </w:r>
      <w:r>
        <w:tab/>
      </w:r>
      <w:r w:rsidR="007C1DEE">
        <w:t>i</w:t>
      </w:r>
      <w:r>
        <w:t xml:space="preserve">mmigration </w:t>
      </w:r>
      <w:r w:rsidR="007C1DEE">
        <w:t>r</w:t>
      </w:r>
      <w:r>
        <w:t xml:space="preserve">emoval </w:t>
      </w:r>
      <w:r w:rsidR="007C1DEE">
        <w:t>c</w:t>
      </w:r>
      <w:r>
        <w:t>entre</w:t>
      </w:r>
    </w:p>
    <w:p w14:paraId="6B3AC3ED" w14:textId="77777777" w:rsidR="0058112E" w:rsidRPr="00C01D92" w:rsidRDefault="0058112E" w:rsidP="0058112E">
      <w:pPr>
        <w:pStyle w:val="Parabeforeanother"/>
      </w:pPr>
      <w:r w:rsidRPr="00C01D92">
        <w:t>JCHR</w:t>
      </w:r>
      <w:r w:rsidRPr="00C01D92">
        <w:tab/>
      </w:r>
      <w:r w:rsidRPr="00C01D92">
        <w:tab/>
      </w:r>
      <w:r w:rsidRPr="00C01D92">
        <w:tab/>
        <w:t>Joint Committee on Human Rights</w:t>
      </w:r>
    </w:p>
    <w:p w14:paraId="751787CE" w14:textId="51B46AAB" w:rsidR="0058112E" w:rsidRPr="00C01D92" w:rsidRDefault="0058112E" w:rsidP="0058112E">
      <w:pPr>
        <w:pStyle w:val="Parabeforeanother"/>
      </w:pPr>
      <w:r w:rsidRPr="00C01D92">
        <w:t>LASPO</w:t>
      </w:r>
      <w:r w:rsidRPr="00C01D92">
        <w:tab/>
      </w:r>
      <w:r w:rsidRPr="00C01D92">
        <w:tab/>
        <w:t>Legal Aid, Sentencing and Punishment of Offenders Act</w:t>
      </w:r>
      <w:r w:rsidR="00C01D92" w:rsidRPr="00C01D92">
        <w:t xml:space="preserve"> 2012</w:t>
      </w:r>
    </w:p>
    <w:p w14:paraId="34C3CDBA" w14:textId="52171DC0" w:rsidR="009B2CE2" w:rsidRDefault="0058112E" w:rsidP="0058112E">
      <w:pPr>
        <w:pStyle w:val="Parabeforeanother"/>
      </w:pPr>
      <w:r w:rsidRPr="00C01D92">
        <w:t>LGBT</w:t>
      </w:r>
      <w:r w:rsidRPr="00C01D92">
        <w:tab/>
      </w:r>
      <w:r w:rsidRPr="00C01D92">
        <w:tab/>
      </w:r>
      <w:r w:rsidRPr="00C01D92">
        <w:tab/>
      </w:r>
      <w:r w:rsidR="007C1DEE">
        <w:t>l</w:t>
      </w:r>
      <w:r w:rsidRPr="00C01D92">
        <w:t xml:space="preserve">esbian, gay, bisexual </w:t>
      </w:r>
      <w:r w:rsidRPr="004F37B8">
        <w:t>and trans</w:t>
      </w:r>
    </w:p>
    <w:p w14:paraId="58B8A495" w14:textId="12CE5FD0" w:rsidR="0058112E" w:rsidRPr="00C01D92" w:rsidRDefault="009B2CE2" w:rsidP="0058112E">
      <w:pPr>
        <w:pStyle w:val="Parabeforeanother"/>
      </w:pPr>
      <w:r>
        <w:t>LOI</w:t>
      </w:r>
      <w:r>
        <w:tab/>
      </w:r>
      <w:r>
        <w:tab/>
      </w:r>
      <w:r>
        <w:tab/>
        <w:t>List of Issues</w:t>
      </w:r>
    </w:p>
    <w:p w14:paraId="15214ED7" w14:textId="77777777" w:rsidR="0058112E" w:rsidRDefault="0058112E" w:rsidP="0058112E">
      <w:pPr>
        <w:pStyle w:val="Parabeforeanother"/>
      </w:pPr>
      <w:r w:rsidRPr="00C01D92">
        <w:t>MSA</w:t>
      </w:r>
      <w:r w:rsidRPr="00C01D92">
        <w:tab/>
      </w:r>
      <w:r w:rsidRPr="00C01D92">
        <w:tab/>
      </w:r>
      <w:r w:rsidRPr="00C01D92">
        <w:tab/>
        <w:t>Modern Slavery Act</w:t>
      </w:r>
    </w:p>
    <w:p w14:paraId="79712F3E" w14:textId="21D8A70B" w:rsidR="00117D16" w:rsidRDefault="00117D16" w:rsidP="001C23DE">
      <w:pPr>
        <w:pStyle w:val="Parabeforeanother"/>
      </w:pPr>
      <w:r>
        <w:t>NHRIs</w:t>
      </w:r>
      <w:r>
        <w:tab/>
      </w:r>
      <w:r>
        <w:tab/>
      </w:r>
      <w:r w:rsidR="009805DB">
        <w:tab/>
      </w:r>
      <w:r>
        <w:t>National Human Rights Institutions</w:t>
      </w:r>
    </w:p>
    <w:p w14:paraId="1C1B04AE" w14:textId="77777777" w:rsidR="0058112E" w:rsidRDefault="0058112E" w:rsidP="0058112E">
      <w:pPr>
        <w:pStyle w:val="Parabeforeanother"/>
      </w:pPr>
      <w:r>
        <w:t>NICE</w:t>
      </w:r>
      <w:r>
        <w:tab/>
      </w:r>
      <w:r>
        <w:tab/>
      </w:r>
      <w:r>
        <w:tab/>
        <w:t>National Institute for Health and Care Excellence</w:t>
      </w:r>
    </w:p>
    <w:p w14:paraId="5B4AC838" w14:textId="77777777" w:rsidR="0058112E" w:rsidRDefault="0058112E" w:rsidP="0058112E">
      <w:pPr>
        <w:pStyle w:val="Parabeforeanother"/>
      </w:pPr>
      <w:r>
        <w:t>NRM</w:t>
      </w:r>
      <w:r>
        <w:tab/>
      </w:r>
      <w:r>
        <w:tab/>
      </w:r>
      <w:r>
        <w:tab/>
        <w:t>National Referral Mechanism</w:t>
      </w:r>
    </w:p>
    <w:p w14:paraId="105E0AEF" w14:textId="48FAF711" w:rsidR="00FF109E" w:rsidRDefault="00FF109E" w:rsidP="001C23DE">
      <w:pPr>
        <w:pStyle w:val="Parabeforeanother"/>
      </w:pPr>
      <w:r>
        <w:t>ONS</w:t>
      </w:r>
      <w:r w:rsidR="00117D16">
        <w:tab/>
      </w:r>
      <w:r w:rsidR="00117D16">
        <w:tab/>
      </w:r>
      <w:r w:rsidR="009805DB">
        <w:tab/>
      </w:r>
      <w:r w:rsidR="00117D16">
        <w:t>Office for National Statistics</w:t>
      </w:r>
    </w:p>
    <w:p w14:paraId="265582D7" w14:textId="18419309" w:rsidR="0058112E" w:rsidRDefault="0058112E" w:rsidP="0058112E">
      <w:pPr>
        <w:pStyle w:val="Parabeforeanother"/>
      </w:pPr>
      <w:r w:rsidRPr="00C01D92">
        <w:t>PSHE</w:t>
      </w:r>
      <w:r w:rsidR="007C1DEE">
        <w:tab/>
      </w:r>
      <w:r w:rsidRPr="00C01D92">
        <w:tab/>
      </w:r>
      <w:r w:rsidR="007C1DEE">
        <w:tab/>
        <w:t>p</w:t>
      </w:r>
      <w:r w:rsidRPr="00C01D92">
        <w:t>ersonal, social</w:t>
      </w:r>
      <w:r w:rsidR="00D17335">
        <w:t xml:space="preserve"> and</w:t>
      </w:r>
      <w:r w:rsidRPr="00C01D92">
        <w:t xml:space="preserve"> health </w:t>
      </w:r>
      <w:r w:rsidR="00D17335">
        <w:t>education</w:t>
      </w:r>
    </w:p>
    <w:p w14:paraId="2114A2F0" w14:textId="2DB743A5" w:rsidR="007C1DEE" w:rsidRDefault="007C1DEE" w:rsidP="0058112E">
      <w:pPr>
        <w:pStyle w:val="Parabeforeanother"/>
      </w:pPr>
      <w:r>
        <w:t>RelEd</w:t>
      </w:r>
      <w:r>
        <w:tab/>
      </w:r>
      <w:r>
        <w:tab/>
      </w:r>
      <w:r>
        <w:tab/>
        <w:t>relationships education</w:t>
      </w:r>
    </w:p>
    <w:p w14:paraId="7E6DF7DE" w14:textId="26B27BCD" w:rsidR="0058112E" w:rsidRDefault="0058112E" w:rsidP="0058112E">
      <w:pPr>
        <w:pStyle w:val="Parabeforeanother"/>
      </w:pPr>
      <w:r>
        <w:t>RSE</w:t>
      </w:r>
      <w:r>
        <w:tab/>
      </w:r>
      <w:r>
        <w:tab/>
      </w:r>
      <w:r>
        <w:tab/>
      </w:r>
      <w:r w:rsidR="007C1DEE">
        <w:t>r</w:t>
      </w:r>
      <w:r>
        <w:t>elationships and sex education</w:t>
      </w:r>
    </w:p>
    <w:p w14:paraId="0882E3A2" w14:textId="77777777" w:rsidR="0058112E" w:rsidRDefault="0058112E" w:rsidP="0058112E">
      <w:pPr>
        <w:pStyle w:val="Parabeforeanother"/>
      </w:pPr>
      <w:r>
        <w:t>SDG</w:t>
      </w:r>
      <w:r>
        <w:tab/>
      </w:r>
      <w:r>
        <w:tab/>
      </w:r>
      <w:r>
        <w:tab/>
        <w:t>Sustainable Development Goal</w:t>
      </w:r>
    </w:p>
    <w:p w14:paraId="7CEB20E5" w14:textId="28443A28" w:rsidR="0058112E" w:rsidRDefault="0058112E" w:rsidP="0058112E">
      <w:pPr>
        <w:pStyle w:val="Parabeforeanother"/>
      </w:pPr>
      <w:r>
        <w:t>SPA</w:t>
      </w:r>
      <w:r>
        <w:tab/>
      </w:r>
      <w:r>
        <w:tab/>
      </w:r>
      <w:r>
        <w:tab/>
      </w:r>
      <w:r w:rsidR="007C1DEE">
        <w:t>s</w:t>
      </w:r>
      <w:r>
        <w:t>tate pension age</w:t>
      </w:r>
    </w:p>
    <w:p w14:paraId="418124F3" w14:textId="12734BD5" w:rsidR="00D17335" w:rsidRDefault="00D17335" w:rsidP="0058112E">
      <w:pPr>
        <w:pStyle w:val="Parabeforeanother"/>
      </w:pPr>
      <w:r>
        <w:t>SPL</w:t>
      </w:r>
      <w:r>
        <w:tab/>
      </w:r>
      <w:r>
        <w:tab/>
      </w:r>
      <w:r>
        <w:tab/>
        <w:t>shared parental leave</w:t>
      </w:r>
    </w:p>
    <w:p w14:paraId="4B249459" w14:textId="36A05006" w:rsidR="0058112E" w:rsidRDefault="0058112E" w:rsidP="0058112E">
      <w:pPr>
        <w:pStyle w:val="Parabeforeanother"/>
      </w:pPr>
      <w:r>
        <w:t>SR VAW</w:t>
      </w:r>
      <w:r>
        <w:tab/>
      </w:r>
      <w:r>
        <w:tab/>
        <w:t>Special Rapporteur on violence against women</w:t>
      </w:r>
    </w:p>
    <w:p w14:paraId="09687736" w14:textId="77777777" w:rsidR="0058112E" w:rsidRDefault="0058112E" w:rsidP="0058112E">
      <w:pPr>
        <w:pStyle w:val="Parabeforeanother"/>
      </w:pPr>
      <w:r>
        <w:t>UC</w:t>
      </w:r>
      <w:r>
        <w:tab/>
      </w:r>
      <w:r>
        <w:tab/>
      </w:r>
      <w:r>
        <w:tab/>
        <w:t>Universal Credit</w:t>
      </w:r>
    </w:p>
    <w:p w14:paraId="7DF8C5D4" w14:textId="77777777" w:rsidR="0058112E" w:rsidRDefault="0058112E" w:rsidP="0058112E">
      <w:pPr>
        <w:pStyle w:val="Parabeforeanother"/>
      </w:pPr>
      <w:r>
        <w:t>UK</w:t>
      </w:r>
      <w:r>
        <w:tab/>
      </w:r>
      <w:r>
        <w:tab/>
      </w:r>
      <w:r>
        <w:tab/>
        <w:t>United Kingdom</w:t>
      </w:r>
    </w:p>
    <w:p w14:paraId="6FA69A32" w14:textId="77777777" w:rsidR="00052516" w:rsidRDefault="00052516" w:rsidP="00052516">
      <w:pPr>
        <w:pStyle w:val="Parabeforeanother"/>
      </w:pPr>
      <w:r>
        <w:t>UN</w:t>
      </w:r>
      <w:r>
        <w:tab/>
      </w:r>
      <w:r>
        <w:tab/>
      </w:r>
      <w:r>
        <w:tab/>
        <w:t>United Nations</w:t>
      </w:r>
    </w:p>
    <w:p w14:paraId="5C336BD2" w14:textId="61709161" w:rsidR="00D17335" w:rsidRDefault="00D17335" w:rsidP="00052516">
      <w:pPr>
        <w:pStyle w:val="Parabeforeanother"/>
      </w:pPr>
      <w:r>
        <w:t>CRC</w:t>
      </w:r>
      <w:r>
        <w:tab/>
      </w:r>
      <w:r>
        <w:tab/>
      </w:r>
      <w:r w:rsidR="00C63DD5">
        <w:tab/>
      </w:r>
      <w:r>
        <w:t>UN Co</w:t>
      </w:r>
      <w:r w:rsidR="00915230">
        <w:t>nvention</w:t>
      </w:r>
      <w:r>
        <w:t xml:space="preserve"> on the Rights of the Child</w:t>
      </w:r>
    </w:p>
    <w:p w14:paraId="613370F6" w14:textId="7B028331" w:rsidR="00067DE6" w:rsidRDefault="00067DE6" w:rsidP="00052516">
      <w:pPr>
        <w:pStyle w:val="Parabeforeanother"/>
      </w:pPr>
      <w:r>
        <w:t>WESC</w:t>
      </w:r>
      <w:r>
        <w:tab/>
      </w:r>
      <w:r>
        <w:tab/>
        <w:t>Women and Equalities Select Committee</w:t>
      </w:r>
    </w:p>
    <w:p w14:paraId="3EDA511E" w14:textId="6EC765FC" w:rsidR="0058112E" w:rsidRDefault="0058112E" w:rsidP="0058112E">
      <w:pPr>
        <w:pStyle w:val="Parabeforeanother"/>
      </w:pPr>
      <w:r>
        <w:t>VAWG</w:t>
      </w:r>
      <w:r>
        <w:tab/>
      </w:r>
      <w:r>
        <w:tab/>
      </w:r>
      <w:r w:rsidR="007C1DEE">
        <w:t>v</w:t>
      </w:r>
      <w:r>
        <w:t>iolence against women and girls</w:t>
      </w:r>
    </w:p>
    <w:p w14:paraId="44B479B5" w14:textId="77777777" w:rsidR="0058112E" w:rsidRDefault="0058112E" w:rsidP="0058112E">
      <w:pPr>
        <w:pStyle w:val="Parabeforeanother"/>
      </w:pPr>
      <w:r>
        <w:t>WASPI</w:t>
      </w:r>
      <w:r>
        <w:tab/>
      </w:r>
      <w:r>
        <w:tab/>
        <w:t>Women Against State Pension Inequality</w:t>
      </w:r>
    </w:p>
    <w:p w14:paraId="6CD70777" w14:textId="77777777" w:rsidR="0058112E" w:rsidRDefault="0058112E" w:rsidP="0058112E">
      <w:pPr>
        <w:pStyle w:val="Parabeforeanother"/>
      </w:pPr>
      <w:r>
        <w:t>WAVE</w:t>
      </w:r>
      <w:r>
        <w:tab/>
      </w:r>
      <w:r>
        <w:tab/>
      </w:r>
      <w:r>
        <w:tab/>
        <w:t>Women Adding Value to the Economy</w:t>
      </w:r>
    </w:p>
    <w:p w14:paraId="2A7E77AB" w14:textId="22882986" w:rsidR="00211F67" w:rsidRPr="001C23DE" w:rsidRDefault="0058112E" w:rsidP="001C23DE">
      <w:pPr>
        <w:pStyle w:val="Parabeforeanother"/>
        <w:rPr>
          <w:rFonts w:ascii="Georgia" w:hAnsi="Georgia" w:cs="Times New Roman"/>
        </w:rPr>
      </w:pPr>
      <w:r>
        <w:t>YWT</w:t>
      </w:r>
      <w:r>
        <w:tab/>
      </w:r>
      <w:r>
        <w:tab/>
      </w:r>
      <w:r>
        <w:tab/>
        <w:t>Young Women’s Trust</w:t>
      </w:r>
      <w:r w:rsidR="00211F67">
        <w:br w:type="page"/>
      </w:r>
    </w:p>
    <w:p w14:paraId="1F1FBCB2" w14:textId="0FC29938" w:rsidR="002F74A2" w:rsidRPr="00FC4DAE" w:rsidRDefault="00211F67" w:rsidP="00FC4DAE">
      <w:pPr>
        <w:pStyle w:val="Title-chapterpink"/>
        <w:rPr>
          <w:rFonts w:eastAsiaTheme="majorEastAsia"/>
        </w:rPr>
      </w:pPr>
      <w:bookmarkStart w:id="13" w:name="_Toc534726601"/>
      <w:r w:rsidRPr="003A30AB">
        <w:rPr>
          <w:rFonts w:eastAsiaTheme="majorEastAsia"/>
        </w:rPr>
        <w:lastRenderedPageBreak/>
        <w:t>Introduction</w:t>
      </w:r>
      <w:bookmarkEnd w:id="13"/>
    </w:p>
    <w:p w14:paraId="79DBB616" w14:textId="4B5FA090" w:rsidR="009E3D7B" w:rsidRDefault="00312911" w:rsidP="001C23DE">
      <w:pPr>
        <w:pStyle w:val="Title-sectionspink"/>
      </w:pPr>
      <w:bookmarkStart w:id="14" w:name="_Toc534726602"/>
      <w:r>
        <w:t>How to read this report</w:t>
      </w:r>
      <w:bookmarkEnd w:id="14"/>
    </w:p>
    <w:p w14:paraId="01CDF802" w14:textId="42AF6F62" w:rsidR="00FC4DAE" w:rsidRDefault="00FC4DAE" w:rsidP="002F74A2">
      <w:pPr>
        <w:pStyle w:val="Parabeforeanother"/>
      </w:pPr>
      <w:r w:rsidRPr="00D70EA9">
        <w:t>This report represents the response o</w:t>
      </w:r>
      <w:r>
        <w:t xml:space="preserve">f the Equality and Human Rights </w:t>
      </w:r>
      <w:r w:rsidRPr="00D70EA9">
        <w:t xml:space="preserve">Commission </w:t>
      </w:r>
      <w:r>
        <w:t>(</w:t>
      </w:r>
      <w:r w:rsidRPr="005B69DC">
        <w:t xml:space="preserve">EHRC) to </w:t>
      </w:r>
      <w:r>
        <w:t xml:space="preserve">some of the issues raised by the Committee </w:t>
      </w:r>
      <w:r w:rsidRPr="005B69DC">
        <w:t>on the Elimination of All Forms of Discrimination Against Women</w:t>
      </w:r>
      <w:r>
        <w:t xml:space="preserve"> (CEDAW Committee) in its ‘</w:t>
      </w:r>
      <w:r w:rsidR="006F2CC9">
        <w:t xml:space="preserve">List of issues in relation to the eighth periodic report of </w:t>
      </w:r>
      <w:r>
        <w:t xml:space="preserve">the United Kingdom of Great Britain and Northern Ireland’, published in August </w:t>
      </w:r>
      <w:r w:rsidRPr="00505EC0">
        <w:t>2018.</w:t>
      </w:r>
      <w:r w:rsidRPr="00505EC0">
        <w:rPr>
          <w:rStyle w:val="FootnoteReference"/>
        </w:rPr>
        <w:footnoteReference w:id="1"/>
      </w:r>
    </w:p>
    <w:p w14:paraId="74801A96" w14:textId="72A06B88" w:rsidR="003831A6" w:rsidRDefault="002F74A2" w:rsidP="006F2CC9">
      <w:pPr>
        <w:pStyle w:val="Parabeforeanother"/>
      </w:pPr>
      <w:r>
        <w:t xml:space="preserve">This </w:t>
      </w:r>
      <w:r w:rsidR="003831A6">
        <w:t>report</w:t>
      </w:r>
      <w:r>
        <w:t xml:space="preserve"> focuses on relevant developments or evidence to have emerged since</w:t>
      </w:r>
      <w:r w:rsidR="003831A6">
        <w:t xml:space="preserve"> our previous report was submitted</w:t>
      </w:r>
      <w:r>
        <w:t>, and should therefore be read in conjunction with ‘</w:t>
      </w:r>
      <w:r w:rsidRPr="002F74A2">
        <w:t>Women’s rights and gender equality in 2018</w:t>
      </w:r>
      <w:r>
        <w:t xml:space="preserve">’, </w:t>
      </w:r>
      <w:r w:rsidR="003831A6">
        <w:t>provided to</w:t>
      </w:r>
      <w:r>
        <w:t xml:space="preserve"> the CEDAW Committee in June 2018.</w:t>
      </w:r>
      <w:r w:rsidR="007C29CE">
        <w:rPr>
          <w:rStyle w:val="FootnoteReference"/>
        </w:rPr>
        <w:footnoteReference w:id="2"/>
      </w:r>
    </w:p>
    <w:p w14:paraId="4177693C" w14:textId="10A63851" w:rsidR="006F2CC9" w:rsidRPr="002F74A2" w:rsidRDefault="002F74A2" w:rsidP="0049243D">
      <w:pPr>
        <w:pStyle w:val="Parabeforenewsection"/>
      </w:pPr>
      <w:r>
        <w:t xml:space="preserve">This </w:t>
      </w:r>
      <w:r w:rsidR="00FC4DAE">
        <w:t xml:space="preserve">detailed </w:t>
      </w:r>
      <w:r>
        <w:t xml:space="preserve">report is </w:t>
      </w:r>
      <w:r w:rsidR="00FC4DAE">
        <w:t xml:space="preserve">an annex to the shorter, formal submission to the CEDAW Committee. Also submitted as an annex is a full, merged list of recommendations taken from both the June 2018 and January 2019 EHRC </w:t>
      </w:r>
      <w:r w:rsidR="003831A6">
        <w:t xml:space="preserve">submissions, which serves as a comprehensive statement of how we believe the State Party could improve implementation of </w:t>
      </w:r>
      <w:r w:rsidR="00A836F6">
        <w:t>the Convention on the Elimination of All Forms of Discrimination Against Women (</w:t>
      </w:r>
      <w:r w:rsidR="003831A6">
        <w:t>CEDAW</w:t>
      </w:r>
      <w:r w:rsidR="00A836F6">
        <w:t>)</w:t>
      </w:r>
      <w:r w:rsidR="003831A6">
        <w:t xml:space="preserve">. </w:t>
      </w:r>
      <w:r w:rsidRPr="003166B8">
        <w:t xml:space="preserve">Our aim is to encourage the </w:t>
      </w:r>
      <w:r>
        <w:t xml:space="preserve">UK and Welsh governments </w:t>
      </w:r>
      <w:r w:rsidRPr="003166B8">
        <w:t xml:space="preserve">to use the </w:t>
      </w:r>
      <w:r>
        <w:t>CEDAW</w:t>
      </w:r>
      <w:r w:rsidRPr="003166B8">
        <w:t xml:space="preserve"> reporting process </w:t>
      </w:r>
      <w:r>
        <w:t xml:space="preserve">to </w:t>
      </w:r>
      <w:r w:rsidRPr="003166B8">
        <w:t>continu</w:t>
      </w:r>
      <w:r>
        <w:t>e</w:t>
      </w:r>
      <w:r w:rsidR="00A836F6">
        <w:t>,</w:t>
      </w:r>
      <w:r w:rsidRPr="003166B8">
        <w:t xml:space="preserve"> and </w:t>
      </w:r>
      <w:r w:rsidR="00A836F6">
        <w:t xml:space="preserve">to </w:t>
      </w:r>
      <w:r w:rsidRPr="003166B8">
        <w:t>strengthen</w:t>
      </w:r>
      <w:r w:rsidR="00A836F6">
        <w:t>,</w:t>
      </w:r>
      <w:r w:rsidRPr="003166B8">
        <w:t xml:space="preserve"> their efforts to</w:t>
      </w:r>
      <w:r>
        <w:t xml:space="preserve"> assess progress and</w:t>
      </w:r>
      <w:r w:rsidRPr="003166B8">
        <w:t xml:space="preserve"> improve compliance with </w:t>
      </w:r>
      <w:r w:rsidR="0049243D">
        <w:t>their human rights obligations.</w:t>
      </w:r>
    </w:p>
    <w:p w14:paraId="79385135" w14:textId="45B76D8E" w:rsidR="00211F67" w:rsidRPr="001C23DE" w:rsidRDefault="00211F67" w:rsidP="001C23DE">
      <w:pPr>
        <w:pStyle w:val="Title-sectionspink"/>
      </w:pPr>
      <w:bookmarkStart w:id="15" w:name="_Toc534726603"/>
      <w:r>
        <w:t xml:space="preserve">Devolution and the </w:t>
      </w:r>
      <w:r w:rsidR="00FC4DAE">
        <w:t xml:space="preserve">geographic </w:t>
      </w:r>
      <w:r>
        <w:t>scope of this report</w:t>
      </w:r>
      <w:bookmarkEnd w:id="15"/>
    </w:p>
    <w:p w14:paraId="3EFD0F62" w14:textId="1AEB809B" w:rsidR="00211F67" w:rsidRDefault="00211F67" w:rsidP="0049243D">
      <w:pPr>
        <w:pStyle w:val="Parabeforeanother"/>
      </w:pPr>
      <w:r w:rsidRPr="00843F6C">
        <w:t xml:space="preserve">The UK comprises four countries – England, Scotland, Wales and Northern Ireland. The UK Parliament has devolved various powers to the Scottish Parliament, the </w:t>
      </w:r>
      <w:r w:rsidRPr="00843F6C">
        <w:lastRenderedPageBreak/>
        <w:t>National Assembly for Wales and the Northern Ireland Assembly, and it maintains responsibility for matters that have not been devolved (‘reserved’ matters) and for England. Respon</w:t>
      </w:r>
      <w:r>
        <w:t>sibility for implementing CEDAW</w:t>
      </w:r>
      <w:r w:rsidRPr="00843F6C">
        <w:t xml:space="preserve"> therefore lies with the UK and devolved governments.</w:t>
      </w:r>
    </w:p>
    <w:p w14:paraId="05D365B2" w14:textId="474C926C" w:rsidR="00211F67" w:rsidRDefault="00211F67" w:rsidP="0049243D">
      <w:pPr>
        <w:pStyle w:val="Parabeforeanother"/>
      </w:pPr>
      <w:r w:rsidRPr="00843F6C">
        <w:t>In addition, there are three separate legal systems in the U</w:t>
      </w:r>
      <w:r>
        <w:t>K – England and Wales, Scotland</w:t>
      </w:r>
      <w:r w:rsidRPr="00843F6C">
        <w:t xml:space="preserve"> and Northern Ireland. The Supreme Court is the UK’s highest court of law. It is the final court of appeal for all UK civil cases. It also decides ‘devolution issues’ about whether the devolved authorities in Scotland, Wales and Northern Ireland have acted</w:t>
      </w:r>
      <w:r>
        <w:t>,</w:t>
      </w:r>
      <w:r w:rsidRPr="00843F6C">
        <w:t xml:space="preserve"> or propose to act</w:t>
      </w:r>
      <w:r>
        <w:t>,</w:t>
      </w:r>
      <w:r w:rsidRPr="00843F6C">
        <w:t xml:space="preserve"> within their powers.  </w:t>
      </w:r>
    </w:p>
    <w:p w14:paraId="52928813" w14:textId="5390305D" w:rsidR="00211F67" w:rsidRDefault="00211F67" w:rsidP="0049243D">
      <w:pPr>
        <w:pStyle w:val="Parabeforeanother"/>
      </w:pPr>
      <w:r>
        <w:t xml:space="preserve">This report </w:t>
      </w:r>
      <w:r w:rsidRPr="00343D90">
        <w:t xml:space="preserve">aims to cover England and Wales for all areas and Scotland for issues </w:t>
      </w:r>
      <w:r>
        <w:t>that</w:t>
      </w:r>
      <w:r w:rsidRPr="00343D90">
        <w:t xml:space="preserve"> are</w:t>
      </w:r>
      <w:r>
        <w:t xml:space="preserve"> reserved to the UK Parliament (</w:t>
      </w:r>
      <w:r w:rsidRPr="00343D90">
        <w:t xml:space="preserve">although in some </w:t>
      </w:r>
      <w:r w:rsidRPr="00584E57">
        <w:t>cases, statistics and evidence for the UK or Great Britain as a whole are presented).</w:t>
      </w:r>
      <w:r>
        <w:t xml:space="preserve"> </w:t>
      </w:r>
    </w:p>
    <w:p w14:paraId="3FBDBCB2" w14:textId="6ABDD412" w:rsidR="00211F67" w:rsidRDefault="00211F67" w:rsidP="0049243D">
      <w:pPr>
        <w:pStyle w:val="Parabeforeanother"/>
      </w:pPr>
      <w:r>
        <w:t>These recommendations are</w:t>
      </w:r>
      <w:r w:rsidR="00B61B63">
        <w:t xml:space="preserve"> addressed to the UK and Welsh g</w:t>
      </w:r>
      <w:r>
        <w:t xml:space="preserve">overnments only, though they may also be relevant to other devolved administrations. </w:t>
      </w:r>
      <w:r w:rsidRPr="00343D90">
        <w:t xml:space="preserve">The </w:t>
      </w:r>
      <w:r>
        <w:t xml:space="preserve">separate </w:t>
      </w:r>
      <w:r w:rsidRPr="00343D90">
        <w:t>submission of the Scottish Human Rights Commission will cover</w:t>
      </w:r>
      <w:r>
        <w:t xml:space="preserve"> areas devolved to the Scottish Parliament,</w:t>
      </w:r>
      <w:r w:rsidRPr="00343D90">
        <w:t xml:space="preserve"> and the</w:t>
      </w:r>
      <w:r>
        <w:t xml:space="preserve"> separate</w:t>
      </w:r>
      <w:r w:rsidRPr="00343D90">
        <w:t xml:space="preserve"> submission of the Northern Ireland Human Rights Commission will cover Northern Ireland. </w:t>
      </w:r>
      <w:r>
        <w:t xml:space="preserve">Cross-governmental working across the whole of the UK will be needed </w:t>
      </w:r>
      <w:r w:rsidRPr="00343D90">
        <w:t xml:space="preserve">to </w:t>
      </w:r>
      <w:r>
        <w:t>fully realise the rights set out in CEDAW.</w:t>
      </w:r>
    </w:p>
    <w:p w14:paraId="6CFCD20D" w14:textId="236FBDD7" w:rsidR="00211F67" w:rsidRPr="00935871" w:rsidRDefault="00211F67" w:rsidP="0049243D">
      <w:pPr>
        <w:pStyle w:val="Parabeforenewsection"/>
      </w:pPr>
      <w:r w:rsidRPr="00935871">
        <w:t>This report contains 1</w:t>
      </w:r>
      <w:r w:rsidR="00505EC0">
        <w:t xml:space="preserve">0 themes and 25 </w:t>
      </w:r>
      <w:r w:rsidRPr="00935871">
        <w:t xml:space="preserve">sub-themes. The start of each section includes a note highlighting the CEDAW articles, the </w:t>
      </w:r>
      <w:r w:rsidR="009A2356">
        <w:t xml:space="preserve">CEDAW </w:t>
      </w:r>
      <w:r w:rsidRPr="00935871">
        <w:t>Committe</w:t>
      </w:r>
      <w:r w:rsidR="00FC4DAE">
        <w:t>e’s Concluding Observations</w:t>
      </w:r>
      <w:r w:rsidR="000B2F32">
        <w:t xml:space="preserve"> (COs)</w:t>
      </w:r>
      <w:r w:rsidR="00FC4DAE">
        <w:t xml:space="preserve">, the UK List of Issues </w:t>
      </w:r>
      <w:r w:rsidR="000B2F32">
        <w:t xml:space="preserve">(LoI) </w:t>
      </w:r>
      <w:r w:rsidR="00FC4DAE">
        <w:t xml:space="preserve">and </w:t>
      </w:r>
      <w:r w:rsidRPr="00935871">
        <w:t xml:space="preserve">the Sustainable Development Goals </w:t>
      </w:r>
      <w:r w:rsidR="000B2F32">
        <w:t xml:space="preserve">(SDGs) </w:t>
      </w:r>
      <w:r w:rsidRPr="00935871">
        <w:t>that particular theme relates to.</w:t>
      </w:r>
    </w:p>
    <w:p w14:paraId="3A133150" w14:textId="77777777" w:rsidR="00211F67" w:rsidRPr="00343D90" w:rsidRDefault="00211F67" w:rsidP="00B8596C">
      <w:pPr>
        <w:pStyle w:val="Title-sectionspink"/>
      </w:pPr>
      <w:bookmarkStart w:id="16" w:name="_Toc534726604"/>
      <w:r w:rsidRPr="00343D90">
        <w:t xml:space="preserve">Role and remit of </w:t>
      </w:r>
      <w:r>
        <w:t xml:space="preserve">the </w:t>
      </w:r>
      <w:r w:rsidRPr="00343D90">
        <w:t>E</w:t>
      </w:r>
      <w:r>
        <w:t xml:space="preserve">quality and </w:t>
      </w:r>
      <w:r w:rsidRPr="00343D90">
        <w:t>H</w:t>
      </w:r>
      <w:r>
        <w:t xml:space="preserve">uman </w:t>
      </w:r>
      <w:r w:rsidRPr="00343D90">
        <w:t>R</w:t>
      </w:r>
      <w:r>
        <w:t xml:space="preserve">ights </w:t>
      </w:r>
      <w:r w:rsidRPr="00343D90">
        <w:t>C</w:t>
      </w:r>
      <w:r>
        <w:t>ommission</w:t>
      </w:r>
      <w:bookmarkEnd w:id="16"/>
    </w:p>
    <w:p w14:paraId="6D9AC435" w14:textId="77777777" w:rsidR="0043552F" w:rsidRDefault="00211F67" w:rsidP="0043552F">
      <w:pPr>
        <w:pStyle w:val="Parabeforeanother"/>
      </w:pPr>
      <w:r w:rsidRPr="005B69DC">
        <w:t>The EHRC was established by the UK Parliament through the Equality Act 2006 as an independent body with a mandate covering equality and human rights. Among other human rights responsibilities, the EHRC is responsible for ‘encouraging good practice in relation to human rights</w:t>
      </w:r>
      <w:r w:rsidR="009B2CE2">
        <w:t>’</w:t>
      </w:r>
      <w:r w:rsidRPr="005B69DC">
        <w:t xml:space="preserve">. Our geographic remit for human rights covers England, Wales and those issues in Scotland that are reserved to the UK Parliament. </w:t>
      </w:r>
      <w:bookmarkStart w:id="17" w:name="_Toc534726605"/>
    </w:p>
    <w:p w14:paraId="6EFDA929" w14:textId="473C411D" w:rsidR="00C562DF" w:rsidRPr="0043552F" w:rsidRDefault="00C562DF" w:rsidP="0043552F">
      <w:pPr>
        <w:pStyle w:val="Parabeforenewsection"/>
      </w:pPr>
      <w:r w:rsidRPr="00C562DF">
        <w:t>The EHRC’s role as a National Human Rights Instit</w:t>
      </w:r>
      <w:r>
        <w:t xml:space="preserve">ution (NHRI) requires </w:t>
      </w:r>
      <w:r w:rsidR="009A2356">
        <w:t>us</w:t>
      </w:r>
      <w:r>
        <w:t xml:space="preserve"> </w:t>
      </w:r>
      <w:r w:rsidRPr="00C562DF">
        <w:t xml:space="preserve">to assess and report on the UK’s progress in realising the human rights in the treaties it has ratified. The EHRC works with other NHRIs in the UK – the Scottish Human Rights Commission and the Northern Ireland Human Rights Commission – and </w:t>
      </w:r>
      <w:r w:rsidRPr="00C562DF">
        <w:lastRenderedPageBreak/>
        <w:t>liaises with government departments and agencies to fulfil this role. All three NHRIs hold ‘A status’ accreditation with the United Nations.</w:t>
      </w:r>
    </w:p>
    <w:p w14:paraId="104A0112" w14:textId="21590410" w:rsidR="00211F67" w:rsidRPr="00B8596C" w:rsidRDefault="00211F67" w:rsidP="00C562DF">
      <w:pPr>
        <w:pStyle w:val="Title-sectionspink"/>
      </w:pPr>
      <w:r w:rsidRPr="00B8596C">
        <w:t>Engagement with civil society</w:t>
      </w:r>
      <w:bookmarkEnd w:id="17"/>
    </w:p>
    <w:p w14:paraId="650B9D57" w14:textId="6150F007" w:rsidR="00211F67" w:rsidRPr="005B69DC" w:rsidRDefault="00211F67" w:rsidP="00B8596C">
      <w:pPr>
        <w:pStyle w:val="Parabeforeanother"/>
      </w:pPr>
      <w:r>
        <w:t xml:space="preserve">The </w:t>
      </w:r>
      <w:r w:rsidRPr="005B69DC">
        <w:t>UK previously had a separate Women’s National Commission, an independent organisation to present the views of women to government; however this was abolished in 2010.</w:t>
      </w:r>
      <w:r w:rsidRPr="005B69DC">
        <w:rPr>
          <w:rStyle w:val="FootnoteReference"/>
        </w:rPr>
        <w:footnoteReference w:id="3"/>
      </w:r>
    </w:p>
    <w:p w14:paraId="5752D92F" w14:textId="3F5BEBE9" w:rsidR="00211F67" w:rsidRPr="005B69DC" w:rsidRDefault="00211F67" w:rsidP="001C23DE">
      <w:pPr>
        <w:pStyle w:val="Parabeforeanother"/>
      </w:pPr>
      <w:r w:rsidRPr="005B69DC">
        <w:t xml:space="preserve">As part of the EHRC’s NHRI role in supporting the implementation of international human rights instruments, </w:t>
      </w:r>
      <w:r w:rsidR="00643E2D" w:rsidRPr="005B69DC">
        <w:t>we</w:t>
      </w:r>
      <w:r w:rsidRPr="005B69DC">
        <w:t xml:space="preserve"> conducted a competitive tender in 2017 and appointed Engender, the Women’s Equality Network Wales and the Women’s Resource Centre to independently submit a joint civil society shadow report to the CEDAW Committee. </w:t>
      </w:r>
    </w:p>
    <w:p w14:paraId="2062B9EA" w14:textId="77777777" w:rsidR="00211F67" w:rsidRPr="005B69DC" w:rsidRDefault="00211F67" w:rsidP="001C23DE">
      <w:pPr>
        <w:pStyle w:val="Parabeforebulletss"/>
      </w:pPr>
      <w:r w:rsidRPr="005B69DC">
        <w:t>Engender, the Women’s Equality Network Wales and the Women’s Resource Centre were also provided with EHRC funding to:</w:t>
      </w:r>
    </w:p>
    <w:p w14:paraId="068317AF" w14:textId="77777777" w:rsidR="00211F67" w:rsidRPr="005B69DC" w:rsidRDefault="00211F67" w:rsidP="001C23DE">
      <w:pPr>
        <w:pStyle w:val="Bullet-followedbyothers"/>
      </w:pPr>
      <w:r w:rsidRPr="005B69DC">
        <w:t>produce three separately submitted reports on gender equality issues in Scotland, Wales and England respectively</w:t>
      </w:r>
    </w:p>
    <w:p w14:paraId="6E304799" w14:textId="21B49F87" w:rsidR="00211F67" w:rsidRDefault="00211F67" w:rsidP="001C23DE">
      <w:pPr>
        <w:pStyle w:val="Bullet-followedbyothers"/>
      </w:pPr>
      <w:r>
        <w:t>hold consultation events and conduct an online call for evidence on the major gender equality issues affecting women</w:t>
      </w:r>
      <w:r w:rsidR="0043552F">
        <w:t>, and</w:t>
      </w:r>
    </w:p>
    <w:p w14:paraId="67C89FDB" w14:textId="77777777" w:rsidR="00FC4DAE" w:rsidRDefault="00211F67" w:rsidP="00FC4DAE">
      <w:pPr>
        <w:pStyle w:val="Bullet-lastingroup"/>
      </w:pPr>
      <w:r>
        <w:t>provide training for civil society organisations on how to</w:t>
      </w:r>
      <w:r w:rsidRPr="00D70EA9">
        <w:t xml:space="preserve"> engage with the</w:t>
      </w:r>
      <w:r>
        <w:t xml:space="preserve"> CEDAW</w:t>
      </w:r>
      <w:r w:rsidRPr="00D70EA9">
        <w:t xml:space="preserve"> treaty reporting process.</w:t>
      </w:r>
    </w:p>
    <w:p w14:paraId="4D37AD2C" w14:textId="342C5689" w:rsidR="00211F67" w:rsidRPr="003166B8" w:rsidRDefault="00FC4DAE" w:rsidP="0043552F">
      <w:pPr>
        <w:pStyle w:val="Parabeforeanother"/>
      </w:pPr>
      <w:r>
        <w:t>This work came to an end in August 2018</w:t>
      </w:r>
      <w:r w:rsidR="009B2CE2">
        <w:t>;</w:t>
      </w:r>
      <w:r>
        <w:t xml:space="preserve"> however</w:t>
      </w:r>
      <w:r w:rsidR="009B2CE2">
        <w:t>,</w:t>
      </w:r>
      <w:r>
        <w:t xml:space="preserve"> our engagement with women’s rights organisations across Great Britain continues. In 2019 we provided grant funding to a number of </w:t>
      </w:r>
      <w:r w:rsidR="00C562DF">
        <w:t>civil society</w:t>
      </w:r>
      <w:r>
        <w:t xml:space="preserve"> groups to support their attendance and input at the CEDAW examination in Geneva.</w:t>
      </w:r>
      <w:r w:rsidR="00211F67">
        <w:br w:type="page"/>
      </w:r>
    </w:p>
    <w:p w14:paraId="3DA168D2" w14:textId="77777777" w:rsidR="00AE3FC5" w:rsidRDefault="00211F67" w:rsidP="00AE3FC5">
      <w:pPr>
        <w:pStyle w:val="Title-chapterpink"/>
        <w:spacing w:after="0"/>
        <w:rPr>
          <w:rFonts w:eastAsiaTheme="majorEastAsia"/>
        </w:rPr>
      </w:pPr>
      <w:bookmarkStart w:id="18" w:name="_Toc534726606"/>
      <w:r w:rsidRPr="004408D9">
        <w:rPr>
          <w:rFonts w:eastAsiaTheme="majorEastAsia"/>
        </w:rPr>
        <w:lastRenderedPageBreak/>
        <w:t>1. Enhancing the status of international human rights in domestic law</w:t>
      </w:r>
      <w:r>
        <w:rPr>
          <w:rFonts w:eastAsiaTheme="majorEastAsia"/>
        </w:rPr>
        <w:t>:</w:t>
      </w:r>
      <w:bookmarkEnd w:id="18"/>
      <w:r>
        <w:rPr>
          <w:rFonts w:eastAsiaTheme="majorEastAsia"/>
        </w:rPr>
        <w:t xml:space="preserve"> </w:t>
      </w:r>
    </w:p>
    <w:p w14:paraId="6BFB3CBC" w14:textId="14BC9A2D" w:rsidR="00211F67" w:rsidRPr="00212E21" w:rsidRDefault="00211F67" w:rsidP="00B8596C">
      <w:pPr>
        <w:pStyle w:val="Title-chapterpink"/>
        <w:rPr>
          <w:rFonts w:eastAsiaTheme="majorEastAsia"/>
          <w:sz w:val="36"/>
          <w:szCs w:val="36"/>
        </w:rPr>
      </w:pPr>
      <w:bookmarkStart w:id="19" w:name="_Toc516151004"/>
      <w:bookmarkStart w:id="20" w:name="_Toc534726607"/>
      <w:r w:rsidRPr="00212E21">
        <w:rPr>
          <w:rFonts w:eastAsiaTheme="majorEastAsia"/>
          <w:color w:val="auto"/>
          <w:sz w:val="36"/>
          <w:szCs w:val="36"/>
        </w:rPr>
        <w:t xml:space="preserve">relates to </w:t>
      </w:r>
      <w:r w:rsidR="006F2CC9">
        <w:rPr>
          <w:rFonts w:eastAsiaTheme="majorEastAsia"/>
          <w:color w:val="auto"/>
          <w:sz w:val="36"/>
          <w:szCs w:val="36"/>
        </w:rPr>
        <w:t xml:space="preserve">CEDAW List of Issues (LoI) paragraphs </w:t>
      </w:r>
      <w:r w:rsidR="00FE2B6D">
        <w:rPr>
          <w:rFonts w:eastAsiaTheme="majorEastAsia"/>
          <w:color w:val="auto"/>
          <w:sz w:val="36"/>
          <w:szCs w:val="36"/>
        </w:rPr>
        <w:t xml:space="preserve">2 and 5, </w:t>
      </w:r>
      <w:r w:rsidRPr="00212E21">
        <w:rPr>
          <w:rFonts w:eastAsiaTheme="majorEastAsia"/>
          <w:color w:val="auto"/>
          <w:sz w:val="36"/>
          <w:szCs w:val="36"/>
        </w:rPr>
        <w:t>articles 2 and 3, CEDAW Concluding Observations</w:t>
      </w:r>
      <w:r w:rsidR="006F2CC9">
        <w:rPr>
          <w:rFonts w:eastAsiaTheme="majorEastAsia"/>
          <w:color w:val="auto"/>
          <w:sz w:val="36"/>
          <w:szCs w:val="36"/>
        </w:rPr>
        <w:t xml:space="preserve"> 2013</w:t>
      </w:r>
      <w:r w:rsidRPr="00212E21">
        <w:rPr>
          <w:rFonts w:eastAsiaTheme="majorEastAsia"/>
          <w:color w:val="auto"/>
          <w:sz w:val="36"/>
          <w:szCs w:val="36"/>
        </w:rPr>
        <w:t xml:space="preserve"> (CO</w:t>
      </w:r>
      <w:r w:rsidR="00054CB3">
        <w:rPr>
          <w:rFonts w:eastAsiaTheme="majorEastAsia"/>
          <w:color w:val="auto"/>
          <w:sz w:val="36"/>
          <w:szCs w:val="36"/>
        </w:rPr>
        <w:t>s</w:t>
      </w:r>
      <w:r w:rsidRPr="00212E21">
        <w:rPr>
          <w:rFonts w:eastAsiaTheme="majorEastAsia"/>
          <w:color w:val="auto"/>
          <w:sz w:val="36"/>
          <w:szCs w:val="36"/>
        </w:rPr>
        <w:t>) paragraphs 9, 11, 13, 17, 29, 66 and 67 and Sustainable Development Goal (SDG) 10</w:t>
      </w:r>
      <w:bookmarkEnd w:id="19"/>
      <w:bookmarkEnd w:id="20"/>
    </w:p>
    <w:p w14:paraId="2055EAA4" w14:textId="77777777" w:rsidR="00211F67" w:rsidRPr="004408D9" w:rsidRDefault="00211F67" w:rsidP="00B8596C">
      <w:pPr>
        <w:pStyle w:val="Title-sectionspink"/>
        <w:rPr>
          <w:rFonts w:eastAsiaTheme="majorEastAsia"/>
        </w:rPr>
      </w:pPr>
      <w:bookmarkStart w:id="21" w:name="_Toc534726608"/>
      <w:r>
        <w:rPr>
          <w:rFonts w:eastAsiaTheme="majorEastAsia"/>
        </w:rPr>
        <w:t>Full i</w:t>
      </w:r>
      <w:r w:rsidRPr="004408D9">
        <w:rPr>
          <w:rFonts w:eastAsiaTheme="majorEastAsia"/>
        </w:rPr>
        <w:t>mplementation</w:t>
      </w:r>
      <w:r>
        <w:rPr>
          <w:rFonts w:eastAsiaTheme="majorEastAsia"/>
        </w:rPr>
        <w:t xml:space="preserve"> and incorporation of CEDAW</w:t>
      </w:r>
      <w:bookmarkEnd w:id="21"/>
      <w:r>
        <w:rPr>
          <w:rFonts w:eastAsiaTheme="majorEastAsia"/>
        </w:rPr>
        <w:t xml:space="preserve"> </w:t>
      </w:r>
    </w:p>
    <w:p w14:paraId="1F4B4438" w14:textId="2652B333" w:rsidR="002B69EC" w:rsidRDefault="002B69EC" w:rsidP="0043552F">
      <w:pPr>
        <w:pStyle w:val="Parabeforeanother"/>
      </w:pPr>
      <w:r>
        <w:t xml:space="preserve">In November 2018, the UK Parliament’s Women and Equalities Select Committee </w:t>
      </w:r>
      <w:r w:rsidR="0084355B">
        <w:t xml:space="preserve">(WESC) </w:t>
      </w:r>
      <w:r>
        <w:t>held an oral evidence session on the UK Government’</w:t>
      </w:r>
      <w:r w:rsidR="00E72BD7">
        <w:t>s implementation of CEDAW.</w:t>
      </w:r>
      <w:r w:rsidR="00893B39">
        <w:rPr>
          <w:rStyle w:val="FootnoteReference"/>
        </w:rPr>
        <w:footnoteReference w:id="4"/>
      </w:r>
      <w:r w:rsidR="00E72BD7">
        <w:t xml:space="preserve"> </w:t>
      </w:r>
      <w:r>
        <w:t xml:space="preserve">EHRC spoke at this session, and shared </w:t>
      </w:r>
      <w:r w:rsidR="00893B39">
        <w:t>our</w:t>
      </w:r>
      <w:r>
        <w:t xml:space="preserve"> concern that there is no coherent plan for achieving the full realisation of the Convention. To this end, we called for the UK Government to consider establishing a </w:t>
      </w:r>
      <w:r w:rsidR="009B7937">
        <w:t>n</w:t>
      </w:r>
      <w:r>
        <w:t xml:space="preserve">ational </w:t>
      </w:r>
      <w:r w:rsidR="009B7937">
        <w:t>m</w:t>
      </w:r>
      <w:r>
        <w:t xml:space="preserve">echanism for </w:t>
      </w:r>
      <w:r w:rsidR="009B7937">
        <w:t>i</w:t>
      </w:r>
      <w:r>
        <w:t xml:space="preserve">mplementation, </w:t>
      </w:r>
      <w:r w:rsidR="009B7937">
        <w:t>r</w:t>
      </w:r>
      <w:r>
        <w:t xml:space="preserve">eporting and </w:t>
      </w:r>
      <w:r w:rsidR="009B7937">
        <w:t>f</w:t>
      </w:r>
      <w:r>
        <w:t>ollow-up, in line with international best practice.</w:t>
      </w:r>
      <w:r w:rsidR="00893B39">
        <w:rPr>
          <w:rStyle w:val="FootnoteReference"/>
        </w:rPr>
        <w:footnoteReference w:id="5"/>
      </w:r>
      <w:r w:rsidR="00893B39">
        <w:t xml:space="preserve"> </w:t>
      </w:r>
    </w:p>
    <w:p w14:paraId="1D440C3F" w14:textId="7D5AC63D" w:rsidR="006B3215" w:rsidRPr="00D03B5E" w:rsidRDefault="006B3215" w:rsidP="0043552F">
      <w:pPr>
        <w:pStyle w:val="Parabeforeanother"/>
      </w:pPr>
      <w:r w:rsidRPr="006B3215">
        <w:t>A recent inquiry into human rights in Wales resulted in a recommendation by the Equalit</w:t>
      </w:r>
      <w:r w:rsidR="004273A2">
        <w:t>y</w:t>
      </w:r>
      <w:r w:rsidRPr="006B3215">
        <w:t>, Local Government and Communities Committee for the Welsh Government to consider further incorporation of international human rights treaties in Wales.</w:t>
      </w:r>
      <w:r w:rsidRPr="006B3215">
        <w:rPr>
          <w:vertAlign w:val="superscript"/>
        </w:rPr>
        <w:footnoteReference w:id="6"/>
      </w:r>
      <w:r w:rsidR="00D03B5E">
        <w:t xml:space="preserve"> </w:t>
      </w:r>
      <w:r w:rsidRPr="006B3215">
        <w:t>Whil</w:t>
      </w:r>
      <w:r w:rsidR="009B7937">
        <w:t>e</w:t>
      </w:r>
      <w:r w:rsidRPr="006B3215">
        <w:t xml:space="preserve"> recognising that Wales is not the nation state, the Welsh Government is currently exploring how to embed further the provisions contained in CEDAW and the Council of Europe convention on </w:t>
      </w:r>
      <w:r w:rsidRPr="006B3215">
        <w:rPr>
          <w:shd w:val="clear" w:color="auto" w:fill="FFFFFF"/>
        </w:rPr>
        <w:t>preventing and combating violence against women and domestic violence</w:t>
      </w:r>
      <w:r w:rsidRPr="006B3215">
        <w:t xml:space="preserve"> (the Istanbul Convention) where the</w:t>
      </w:r>
      <w:r w:rsidR="00D03B5E">
        <w:t>y</w:t>
      </w:r>
      <w:r w:rsidRPr="006B3215">
        <w:t xml:space="preserve"> relate to devolved powers.</w:t>
      </w:r>
      <w:r w:rsidRPr="006B3215">
        <w:rPr>
          <w:vertAlign w:val="superscript"/>
        </w:rPr>
        <w:footnoteReference w:id="7"/>
      </w:r>
    </w:p>
    <w:p w14:paraId="1A12CB99" w14:textId="4F6FEB94" w:rsidR="006B3215" w:rsidRPr="006B3215" w:rsidRDefault="006B3215" w:rsidP="0043552F">
      <w:pPr>
        <w:pStyle w:val="Parabeforenewsubsection"/>
      </w:pPr>
      <w:r w:rsidRPr="006B3215">
        <w:lastRenderedPageBreak/>
        <w:t>In April</w:t>
      </w:r>
      <w:r w:rsidR="00D03B5E">
        <w:t xml:space="preserve"> 2018,</w:t>
      </w:r>
      <w:r w:rsidRPr="006B3215">
        <w:t xml:space="preserve"> the First Minister commissioned a rapid review of gender equality</w:t>
      </w:r>
      <w:r w:rsidRPr="006B3215">
        <w:rPr>
          <w:vertAlign w:val="superscript"/>
        </w:rPr>
        <w:footnoteReference w:id="8"/>
      </w:r>
      <w:r w:rsidRPr="006B3215">
        <w:t xml:space="preserve"> in Wales to explore what is working well, </w:t>
      </w:r>
      <w:r w:rsidR="009B7937">
        <w:t xml:space="preserve">what is </w:t>
      </w:r>
      <w:r w:rsidRPr="006B3215">
        <w:t xml:space="preserve">not working and what lessons can be learned from </w:t>
      </w:r>
      <w:r w:rsidR="00893B39">
        <w:t>international</w:t>
      </w:r>
      <w:r w:rsidR="00893B39" w:rsidRPr="006B3215">
        <w:t xml:space="preserve"> best</w:t>
      </w:r>
      <w:r w:rsidRPr="006B3215">
        <w:t xml:space="preserve"> practice. </w:t>
      </w:r>
      <w:r w:rsidR="00D03B5E">
        <w:t>Phase one</w:t>
      </w:r>
      <w:r w:rsidR="00B31893">
        <w:t xml:space="preserve"> of the review</w:t>
      </w:r>
      <w:r w:rsidRPr="006B3215">
        <w:t xml:space="preserve"> </w:t>
      </w:r>
      <w:r w:rsidRPr="006B3215">
        <w:rPr>
          <w:shd w:val="clear" w:color="auto" w:fill="FFFFFF"/>
        </w:rPr>
        <w:t>found that the Welsh Government lacks a shared vision for gender equality. It recognised that whil</w:t>
      </w:r>
      <w:r w:rsidR="009B7937">
        <w:rPr>
          <w:shd w:val="clear" w:color="auto" w:fill="FFFFFF"/>
        </w:rPr>
        <w:t>e</w:t>
      </w:r>
      <w:r w:rsidRPr="006B3215">
        <w:rPr>
          <w:shd w:val="clear" w:color="auto" w:fill="FFFFFF"/>
        </w:rPr>
        <w:t xml:space="preserve"> Wales has</w:t>
      </w:r>
      <w:r w:rsidR="00B31893">
        <w:rPr>
          <w:shd w:val="clear" w:color="auto" w:fill="FFFFFF"/>
        </w:rPr>
        <w:t xml:space="preserve"> relevant</w:t>
      </w:r>
      <w:r w:rsidRPr="006B3215">
        <w:rPr>
          <w:shd w:val="clear" w:color="auto" w:fill="FFFFFF"/>
        </w:rPr>
        <w:t xml:space="preserve"> </w:t>
      </w:r>
      <w:r w:rsidR="00B31893">
        <w:rPr>
          <w:shd w:val="clear" w:color="auto" w:fill="FFFFFF"/>
        </w:rPr>
        <w:t xml:space="preserve">legislation in place, </w:t>
      </w:r>
      <w:r w:rsidRPr="006B3215">
        <w:rPr>
          <w:shd w:val="clear" w:color="auto" w:fill="FFFFFF"/>
        </w:rPr>
        <w:t xml:space="preserve">implementation and integration is </w:t>
      </w:r>
      <w:r w:rsidR="00B31893">
        <w:rPr>
          <w:shd w:val="clear" w:color="auto" w:fill="FFFFFF"/>
        </w:rPr>
        <w:t>in</w:t>
      </w:r>
      <w:r w:rsidRPr="006B3215">
        <w:rPr>
          <w:shd w:val="clear" w:color="auto" w:fill="FFFFFF"/>
        </w:rPr>
        <w:t>consistent. The report called for the Welsh Government to be bolder and lead by example and for external scrutiny mechanisms to be strengthened.</w:t>
      </w:r>
      <w:r w:rsidRPr="006B3215">
        <w:rPr>
          <w:shd w:val="clear" w:color="auto" w:fill="FFFFFF"/>
          <w:vertAlign w:val="superscript"/>
        </w:rPr>
        <w:footnoteReference w:id="9"/>
      </w:r>
      <w:r w:rsidRPr="006B3215">
        <w:rPr>
          <w:shd w:val="clear" w:color="auto" w:fill="FFFFFF"/>
        </w:rPr>
        <w:t xml:space="preserve"> </w:t>
      </w:r>
      <w:r w:rsidRPr="006B3215">
        <w:t>Phase two will recommend next steps.</w:t>
      </w:r>
    </w:p>
    <w:p w14:paraId="11C88B9F" w14:textId="2D1D3B0F" w:rsidR="006B3215" w:rsidRPr="006B3215" w:rsidRDefault="003A30AB" w:rsidP="0043552F">
      <w:pPr>
        <w:pStyle w:val="Title-subsections"/>
      </w:pPr>
      <w:r>
        <w:t>Recommendations</w:t>
      </w:r>
    </w:p>
    <w:p w14:paraId="13BA17EC" w14:textId="152C429F" w:rsidR="00956631" w:rsidRPr="006B3215" w:rsidRDefault="006B3215" w:rsidP="0043552F">
      <w:pPr>
        <w:pStyle w:val="Parabeforebulletss"/>
      </w:pPr>
      <w:r w:rsidRPr="006B3215">
        <w:t>The</w:t>
      </w:r>
      <w:r w:rsidR="004F37B8">
        <w:t xml:space="preserve"> EHRC recommends that the</w:t>
      </w:r>
      <w:r w:rsidRPr="006B3215">
        <w:t xml:space="preserve"> UK and Welsh </w:t>
      </w:r>
      <w:r w:rsidR="009B7937">
        <w:t>g</w:t>
      </w:r>
      <w:r w:rsidRPr="006B3215">
        <w:t>overnments</w:t>
      </w:r>
      <w:r w:rsidR="003A30AB">
        <w:t>,</w:t>
      </w:r>
      <w:r w:rsidRPr="006B3215">
        <w:t xml:space="preserve"> where relevant</w:t>
      </w:r>
      <w:r w:rsidR="003A30AB">
        <w:t>,</w:t>
      </w:r>
      <w:r w:rsidRPr="006B3215">
        <w:t xml:space="preserve"> should:</w:t>
      </w:r>
    </w:p>
    <w:p w14:paraId="09F307B0" w14:textId="38FB33AF" w:rsidR="008A00E3" w:rsidRPr="00E37437" w:rsidRDefault="003C343C" w:rsidP="0043552F">
      <w:pPr>
        <w:pStyle w:val="Bullet-followedbyothers"/>
      </w:pPr>
      <w:r>
        <w:t>c</w:t>
      </w:r>
      <w:r w:rsidR="008A00E3" w:rsidRPr="00E37437">
        <w:t xml:space="preserve">onsider establishing a </w:t>
      </w:r>
      <w:r w:rsidR="009B7937">
        <w:t>n</w:t>
      </w:r>
      <w:r w:rsidR="008A00E3" w:rsidRPr="00E37437">
        <w:t xml:space="preserve">ational </w:t>
      </w:r>
      <w:r w:rsidR="009B7937">
        <w:t>m</w:t>
      </w:r>
      <w:r w:rsidR="008A00E3" w:rsidRPr="00E37437">
        <w:t xml:space="preserve">echanism for </w:t>
      </w:r>
      <w:r w:rsidR="009B7937">
        <w:t>i</w:t>
      </w:r>
      <w:r w:rsidR="008A00E3" w:rsidRPr="00E37437">
        <w:t xml:space="preserve">mplementation, </w:t>
      </w:r>
      <w:r w:rsidR="009B7937">
        <w:t>r</w:t>
      </w:r>
      <w:r w:rsidR="008A00E3" w:rsidRPr="00E37437">
        <w:t xml:space="preserve">eporting and </w:t>
      </w:r>
      <w:r w:rsidR="009B7937">
        <w:t>f</w:t>
      </w:r>
      <w:r w:rsidR="008A00E3" w:rsidRPr="00E37437">
        <w:t>ollow-up to oversee all UN treaty obligations, which would ensure that implementation plans are published in follow-up to CEDAW, demonstrating a joined-up approach in relation to the UK’s various human rights commitments</w:t>
      </w:r>
      <w:r w:rsidR="0043552F">
        <w:t>, and</w:t>
      </w:r>
    </w:p>
    <w:p w14:paraId="1C45BCF5" w14:textId="58E84AD9" w:rsidR="006B3215" w:rsidRPr="0043552F" w:rsidRDefault="003C343C" w:rsidP="0043552F">
      <w:pPr>
        <w:pStyle w:val="Bullet-lastingroup"/>
      </w:pPr>
      <w:r>
        <w:t>i</w:t>
      </w:r>
      <w:r w:rsidR="00E1148E" w:rsidRPr="00E37437">
        <w:t>ncorporate CEDAW into domestic law, so that individuals can effectively challenge rights violations using the domestic legal system and access a domestic remedy for alleged breaches of CEDAW rights</w:t>
      </w:r>
      <w:r w:rsidR="00B31893" w:rsidRPr="00E37437">
        <w:t>.</w:t>
      </w:r>
    </w:p>
    <w:p w14:paraId="2F1C5C54" w14:textId="02429F46" w:rsidR="003C343C" w:rsidRPr="00E37437" w:rsidRDefault="006B3215" w:rsidP="0043552F">
      <w:pPr>
        <w:pStyle w:val="Parabeforebulletss"/>
      </w:pPr>
      <w:r w:rsidRPr="00E37437">
        <w:t xml:space="preserve">The </w:t>
      </w:r>
      <w:r w:rsidR="00032B9E">
        <w:t xml:space="preserve">EHRC recommends that the </w:t>
      </w:r>
      <w:bookmarkStart w:id="22" w:name="_GoBack"/>
      <w:bookmarkEnd w:id="22"/>
      <w:r w:rsidRPr="00E37437">
        <w:t xml:space="preserve">Welsh Government should: </w:t>
      </w:r>
    </w:p>
    <w:p w14:paraId="1EB28E0E" w14:textId="60151BEF" w:rsidR="00D03B5E" w:rsidRPr="0043552F" w:rsidRDefault="003C343C" w:rsidP="0043552F">
      <w:pPr>
        <w:pStyle w:val="Bullet-lastingroup"/>
        <w:spacing w:after="680"/>
      </w:pPr>
      <w:r>
        <w:t>e</w:t>
      </w:r>
      <w:r w:rsidR="008A00E3" w:rsidRPr="00E37437">
        <w:t xml:space="preserve">nsure phase </w:t>
      </w:r>
      <w:r w:rsidR="009B7937">
        <w:t>two</w:t>
      </w:r>
      <w:r w:rsidR="008A00E3" w:rsidRPr="00E37437">
        <w:t xml:space="preserve"> of the Welsh Government gender equality review builds on lessons learned from </w:t>
      </w:r>
      <w:r w:rsidR="009B7937">
        <w:t>p</w:t>
      </w:r>
      <w:r w:rsidR="008A00E3" w:rsidRPr="00E37437">
        <w:t xml:space="preserve">hase </w:t>
      </w:r>
      <w:r w:rsidR="009B7937">
        <w:t>one</w:t>
      </w:r>
      <w:r w:rsidR="008A00E3" w:rsidRPr="00E37437">
        <w:t>, takes into account the outcome of the CEDAW examination and is sufficiently resourced</w:t>
      </w:r>
      <w:r w:rsidR="00893B39" w:rsidRPr="00E37437">
        <w:t>.</w:t>
      </w:r>
    </w:p>
    <w:p w14:paraId="05E61418" w14:textId="1A443912" w:rsidR="00211F67" w:rsidRPr="00212E21" w:rsidRDefault="006B3215" w:rsidP="00144D9A">
      <w:pPr>
        <w:pStyle w:val="Title-sectionspink"/>
        <w:rPr>
          <w:rFonts w:eastAsiaTheme="majorEastAsia"/>
        </w:rPr>
      </w:pPr>
      <w:bookmarkStart w:id="23" w:name="_Toc534726609"/>
      <w:r>
        <w:rPr>
          <w:rFonts w:eastAsiaTheme="majorEastAsia"/>
        </w:rPr>
        <w:t>Data gaps</w:t>
      </w:r>
      <w:bookmarkEnd w:id="23"/>
      <w:r w:rsidR="00211F67" w:rsidRPr="00212E21">
        <w:rPr>
          <w:rFonts w:eastAsiaTheme="majorEastAsia"/>
        </w:rPr>
        <w:t xml:space="preserve"> </w:t>
      </w:r>
    </w:p>
    <w:p w14:paraId="48ADB10B" w14:textId="57FBB1FB" w:rsidR="006B3215" w:rsidRPr="006B3215" w:rsidRDefault="006B3215" w:rsidP="0043552F">
      <w:pPr>
        <w:pStyle w:val="Parabeforeanother"/>
      </w:pPr>
      <w:r w:rsidRPr="006B3215">
        <w:t xml:space="preserve">In our </w:t>
      </w:r>
      <w:r w:rsidR="00E44734">
        <w:t xml:space="preserve">2018 </w:t>
      </w:r>
      <w:r w:rsidR="009B7937">
        <w:t>‘</w:t>
      </w:r>
      <w:r w:rsidRPr="006B3215">
        <w:t>Is Britain Fairer?</w:t>
      </w:r>
      <w:r w:rsidR="009B7937">
        <w:t>’</w:t>
      </w:r>
      <w:r w:rsidRPr="006B3215">
        <w:t xml:space="preserve"> report, we have been able to paint a comprehensive picture of equality and human rights for disabled people, people from ethnic </w:t>
      </w:r>
      <w:r w:rsidRPr="006B3215">
        <w:lastRenderedPageBreak/>
        <w:t>minorities, women and men.</w:t>
      </w:r>
      <w:r>
        <w:rPr>
          <w:rStyle w:val="FootnoteReference"/>
        </w:rPr>
        <w:footnoteReference w:id="10"/>
      </w:r>
      <w:r w:rsidRPr="006B3215">
        <w:t xml:space="preserve"> But gaps in the data available means that we do not know as much as we would like about the experiences of groups who share other protected characteristics. </w:t>
      </w:r>
    </w:p>
    <w:p w14:paraId="7294312F" w14:textId="7D2EA288" w:rsidR="006B3215" w:rsidRPr="006B3215" w:rsidRDefault="006B3215" w:rsidP="0043552F">
      <w:pPr>
        <w:pStyle w:val="Parabeforeanother"/>
      </w:pPr>
      <w:r w:rsidRPr="006B3215">
        <w:t xml:space="preserve">Evidence is particularly scarce for </w:t>
      </w:r>
      <w:r w:rsidR="00956631">
        <w:t>lesbia</w:t>
      </w:r>
      <w:r w:rsidR="004F37B8">
        <w:t>n, gay, bisexual and trans</w:t>
      </w:r>
      <w:r w:rsidR="00956631">
        <w:t xml:space="preserve"> (</w:t>
      </w:r>
      <w:r w:rsidRPr="006B3215">
        <w:t>LGBT</w:t>
      </w:r>
      <w:r w:rsidR="00956631">
        <w:t>)</w:t>
      </w:r>
      <w:r w:rsidRPr="006B3215">
        <w:t xml:space="preserve"> people, people with a religion or belief, and pregnant women and new mothers. It is also difficult to get a comprehensive understanding of intersectional data. </w:t>
      </w:r>
    </w:p>
    <w:p w14:paraId="5985E228" w14:textId="4D6546CF" w:rsidR="006B3215" w:rsidRPr="00036260" w:rsidRDefault="00570136" w:rsidP="0043552F">
      <w:pPr>
        <w:pStyle w:val="Parabeforebulletss"/>
      </w:pPr>
      <w:r>
        <w:t>O</w:t>
      </w:r>
      <w:r w:rsidRPr="00570136">
        <w:t xml:space="preserve">ur </w:t>
      </w:r>
      <w:r w:rsidR="00956631">
        <w:t>equality and human rights m</w:t>
      </w:r>
      <w:r w:rsidRPr="00570136">
        <w:t xml:space="preserve">easurement </w:t>
      </w:r>
      <w:r w:rsidR="00956631">
        <w:t>f</w:t>
      </w:r>
      <w:r w:rsidRPr="00570136">
        <w:t>ramework has highlighted specific issues with data on women and girls relating to</w:t>
      </w:r>
      <w:r w:rsidR="00036260">
        <w:t>:</w:t>
      </w:r>
    </w:p>
    <w:p w14:paraId="092921AC" w14:textId="415A56A1" w:rsidR="00570136" w:rsidRPr="00570136" w:rsidRDefault="00956631" w:rsidP="0043552F">
      <w:pPr>
        <w:pStyle w:val="Bullet-followedbyothers"/>
      </w:pPr>
      <w:r>
        <w:t>h</w:t>
      </w:r>
      <w:r w:rsidR="00570136" w:rsidRPr="00570136">
        <w:t>arassment and unfair treatment in employment and education</w:t>
      </w:r>
    </w:p>
    <w:p w14:paraId="09FD76F7" w14:textId="41BA39C0" w:rsidR="00570136" w:rsidRPr="00570136" w:rsidRDefault="00956631" w:rsidP="0043552F">
      <w:pPr>
        <w:pStyle w:val="Bullet-followedbyothers"/>
      </w:pPr>
      <w:r>
        <w:t>t</w:t>
      </w:r>
      <w:r w:rsidR="00570136" w:rsidRPr="00570136">
        <w:t>he marginalisation of disabled girls in education</w:t>
      </w:r>
    </w:p>
    <w:p w14:paraId="5BC98D0A" w14:textId="20465DBC" w:rsidR="00570136" w:rsidRPr="00570136" w:rsidRDefault="00956631" w:rsidP="0043552F">
      <w:pPr>
        <w:pStyle w:val="Bullet-followedbyothers"/>
      </w:pPr>
      <w:r>
        <w:t>w</w:t>
      </w:r>
      <w:r w:rsidR="00570136" w:rsidRPr="00570136">
        <w:t>aiting times for health services</w:t>
      </w:r>
    </w:p>
    <w:p w14:paraId="5E349205" w14:textId="36B7E918" w:rsidR="00570136" w:rsidRPr="00570136" w:rsidRDefault="00956631" w:rsidP="0043552F">
      <w:pPr>
        <w:pStyle w:val="Bullet-followedbyothers"/>
      </w:pPr>
      <w:r>
        <w:t>p</w:t>
      </w:r>
      <w:r w:rsidR="00570136" w:rsidRPr="00570136">
        <w:t>olice</w:t>
      </w:r>
      <w:r>
        <w:t>-</w:t>
      </w:r>
      <w:r w:rsidR="00570136" w:rsidRPr="00570136">
        <w:t>recorded sexual assault</w:t>
      </w:r>
    </w:p>
    <w:p w14:paraId="21D2BE68" w14:textId="3E12FB2F" w:rsidR="00570136" w:rsidRPr="00570136" w:rsidRDefault="00956631" w:rsidP="0043552F">
      <w:pPr>
        <w:pStyle w:val="Bullet-followedbyothers"/>
      </w:pPr>
      <w:r>
        <w:t>u</w:t>
      </w:r>
      <w:r w:rsidR="00570136" w:rsidRPr="00570136">
        <w:t>rban</w:t>
      </w:r>
      <w:r w:rsidR="00E44734">
        <w:t>–</w:t>
      </w:r>
      <w:r w:rsidR="00570136" w:rsidRPr="00570136">
        <w:t>rural divides</w:t>
      </w:r>
      <w:r w:rsidR="0043552F">
        <w:t>, and</w:t>
      </w:r>
    </w:p>
    <w:p w14:paraId="1172ABD6" w14:textId="18FEC929" w:rsidR="006B3215" w:rsidRPr="006B3215" w:rsidRDefault="00956631" w:rsidP="0043552F">
      <w:pPr>
        <w:pStyle w:val="Bullet-lastingroup"/>
        <w:spacing w:after="420"/>
      </w:pPr>
      <w:r>
        <w:t>a</w:t>
      </w:r>
      <w:r w:rsidR="00570136" w:rsidRPr="00570136">
        <w:t>pplications for legal aid</w:t>
      </w:r>
      <w:r>
        <w:t>.</w:t>
      </w:r>
    </w:p>
    <w:p w14:paraId="12B2696E" w14:textId="67907FC7" w:rsidR="006B3215" w:rsidRPr="0043552F" w:rsidRDefault="003A30AB" w:rsidP="0043552F">
      <w:pPr>
        <w:pStyle w:val="Title-subsections"/>
      </w:pPr>
      <w:r>
        <w:t>Recommendations</w:t>
      </w:r>
    </w:p>
    <w:p w14:paraId="05D82389" w14:textId="7B890635" w:rsidR="006B3215" w:rsidRPr="0043552F" w:rsidRDefault="003A30AB" w:rsidP="0043552F">
      <w:pPr>
        <w:pStyle w:val="Parabeforebulletss"/>
      </w:pPr>
      <w:r>
        <w:t>T</w:t>
      </w:r>
      <w:r w:rsidR="006B3215" w:rsidRPr="003A30AB">
        <w:t xml:space="preserve">he </w:t>
      </w:r>
      <w:r w:rsidR="004F37B8">
        <w:t xml:space="preserve">EHRC recommends that the </w:t>
      </w:r>
      <w:r w:rsidR="006B3215" w:rsidRPr="003A30AB">
        <w:t>UK and devolved governments should:</w:t>
      </w:r>
    </w:p>
    <w:p w14:paraId="3F09B6E0" w14:textId="77777777" w:rsidR="001D0F88" w:rsidRPr="001D0F88" w:rsidRDefault="001D0F88" w:rsidP="0043552F">
      <w:pPr>
        <w:pStyle w:val="Bullet-followedbyothers"/>
      </w:pPr>
      <w:r w:rsidRPr="001D0F88">
        <w:t>institute national surveys, or extend existing surveys, to collect data by protected characteristic. Coverage should include all aspects of life, such as employment, transport, and access to public and private services</w:t>
      </w:r>
    </w:p>
    <w:p w14:paraId="72B996D9" w14:textId="5F69E2B9" w:rsidR="001D0F88" w:rsidRPr="001D0F88" w:rsidRDefault="001D0F88" w:rsidP="0043552F">
      <w:pPr>
        <w:pStyle w:val="Bullet-followedbyothers"/>
      </w:pPr>
      <w:r w:rsidRPr="001D0F88">
        <w:t xml:space="preserve">identify where data </w:t>
      </w:r>
      <w:r w:rsidR="003C343C">
        <w:t>is</w:t>
      </w:r>
      <w:r w:rsidRPr="001D0F88">
        <w:t xml:space="preserve"> not collected on protected characteristics, take steps to address these gaps </w:t>
      </w:r>
    </w:p>
    <w:p w14:paraId="1C93F09C" w14:textId="58B81F58" w:rsidR="006B3215" w:rsidRPr="0043552F" w:rsidRDefault="001D0F88" w:rsidP="0043552F">
      <w:pPr>
        <w:pStyle w:val="Bullet-lastingroup"/>
        <w:spacing w:after="680"/>
      </w:pPr>
      <w:r w:rsidRPr="001D0F88">
        <w:t>enable meaningful intersectional analysis</w:t>
      </w:r>
      <w:r w:rsidR="003C343C">
        <w:t>.</w:t>
      </w:r>
    </w:p>
    <w:p w14:paraId="04877E95" w14:textId="77777777" w:rsidR="00211F67" w:rsidRPr="004E36B9" w:rsidRDefault="00211F67" w:rsidP="004E36B9">
      <w:pPr>
        <w:pStyle w:val="Title-sectionspink"/>
        <w:rPr>
          <w:rFonts w:eastAsiaTheme="majorEastAsia"/>
        </w:rPr>
      </w:pPr>
      <w:bookmarkStart w:id="24" w:name="_Toc534726610"/>
      <w:r w:rsidRPr="004E36B9">
        <w:rPr>
          <w:rFonts w:eastAsiaTheme="majorEastAsia"/>
        </w:rPr>
        <w:t>Full implementation of the Equality Act 2010</w:t>
      </w:r>
      <w:bookmarkEnd w:id="24"/>
      <w:r w:rsidRPr="004E36B9">
        <w:rPr>
          <w:rFonts w:eastAsiaTheme="majorEastAsia"/>
        </w:rPr>
        <w:t xml:space="preserve"> </w:t>
      </w:r>
    </w:p>
    <w:p w14:paraId="4DBBB5FF" w14:textId="2648E781" w:rsidR="006B3215" w:rsidRPr="00D03B5E" w:rsidRDefault="006B3215" w:rsidP="0043552F">
      <w:pPr>
        <w:pStyle w:val="Parabeforeanother"/>
        <w:rPr>
          <w:lang w:eastAsia="en-GB"/>
        </w:rPr>
      </w:pPr>
      <w:r>
        <w:rPr>
          <w:lang w:eastAsia="en-GB"/>
        </w:rPr>
        <w:t>Our ‘Women’s rights and gender equality in 2018’</w:t>
      </w:r>
      <w:r w:rsidRPr="006B3215">
        <w:rPr>
          <w:lang w:eastAsia="en-GB"/>
        </w:rPr>
        <w:t xml:space="preserve"> report raised concerns in relation to the</w:t>
      </w:r>
      <w:r w:rsidR="00D03B5E">
        <w:rPr>
          <w:lang w:eastAsia="en-GB"/>
        </w:rPr>
        <w:t xml:space="preserve"> full</w:t>
      </w:r>
      <w:r w:rsidRPr="006B3215">
        <w:rPr>
          <w:lang w:eastAsia="en-GB"/>
        </w:rPr>
        <w:t xml:space="preserve"> implementation of the Equality Act 2010 (EA 2010)</w:t>
      </w:r>
      <w:r w:rsidR="00D03B5E">
        <w:rPr>
          <w:lang w:eastAsia="en-GB"/>
        </w:rPr>
        <w:t>.</w:t>
      </w:r>
      <w:r w:rsidRPr="006B3215">
        <w:rPr>
          <w:vertAlign w:val="superscript"/>
          <w:lang w:eastAsia="en-GB"/>
        </w:rPr>
        <w:footnoteReference w:id="11"/>
      </w:r>
      <w:r w:rsidR="00D03B5E">
        <w:rPr>
          <w:lang w:eastAsia="en-GB"/>
        </w:rPr>
        <w:t xml:space="preserve"> </w:t>
      </w:r>
      <w:r w:rsidRPr="006B3215">
        <w:t xml:space="preserve">In July 2018, the UK Parliament’s </w:t>
      </w:r>
      <w:r w:rsidR="00B85C0B">
        <w:t xml:space="preserve">WESC </w:t>
      </w:r>
      <w:r w:rsidRPr="006B3215">
        <w:t xml:space="preserve">launched an inquiry into how effectively individuals are able to </w:t>
      </w:r>
      <w:r w:rsidRPr="006B3215">
        <w:lastRenderedPageBreak/>
        <w:t>enforce their EA 2010 rights.</w:t>
      </w:r>
      <w:r w:rsidRPr="006B3215">
        <w:rPr>
          <w:vertAlign w:val="superscript"/>
        </w:rPr>
        <w:footnoteReference w:id="12"/>
      </w:r>
      <w:r w:rsidRPr="006B3215">
        <w:t xml:space="preserve"> In EHRC’s evidence to the inquiry</w:t>
      </w:r>
      <w:r w:rsidR="00D03B5E">
        <w:t>,</w:t>
      </w:r>
      <w:r w:rsidRPr="006B3215">
        <w:rPr>
          <w:vertAlign w:val="superscript"/>
        </w:rPr>
        <w:footnoteReference w:id="13"/>
      </w:r>
      <w:r w:rsidRPr="006B3215">
        <w:t xml:space="preserve"> we raised a number of concerns about the difficulties individual</w:t>
      </w:r>
      <w:r w:rsidR="00D03B5E">
        <w:t xml:space="preserve">s face in understanding their </w:t>
      </w:r>
      <w:r w:rsidRPr="006B3215">
        <w:t>rights and accessing redress. For example, the complexity and expense of litigation and inadequate remedies can be prohibitive or create strong disincentives to bringing a claim.</w:t>
      </w:r>
      <w:r w:rsidRPr="006B3215">
        <w:rPr>
          <w:vertAlign w:val="superscript"/>
        </w:rPr>
        <w:footnoteReference w:id="14"/>
      </w:r>
    </w:p>
    <w:p w14:paraId="3541E7F5" w14:textId="7C2BBC7A" w:rsidR="006B3215" w:rsidRPr="006B3215" w:rsidRDefault="006B3215" w:rsidP="0043552F">
      <w:pPr>
        <w:pStyle w:val="Parabeforeanother"/>
      </w:pPr>
      <w:r w:rsidRPr="006B3215">
        <w:t xml:space="preserve">We also raised the inherent challenges in a model of protection for equality rights </w:t>
      </w:r>
      <w:r w:rsidR="0065754C">
        <w:t>that</w:t>
      </w:r>
      <w:r w:rsidRPr="006B3215">
        <w:t xml:space="preserve"> relies predominantly on individuals bringing claims through courts, with the imbalance of power this entails. Greater consideration should be given to placing the onus on duty-bearers to root out discrimination and ensure respect for equality rights,</w:t>
      </w:r>
      <w:r w:rsidR="00634D9B" w:rsidRPr="006B3215">
        <w:rPr>
          <w:vertAlign w:val="superscript"/>
        </w:rPr>
        <w:footnoteReference w:id="15"/>
      </w:r>
      <w:r w:rsidRPr="006B3215">
        <w:t xml:space="preserve"> for example by ensuring the P</w:t>
      </w:r>
      <w:r w:rsidR="00F01703">
        <w:t xml:space="preserve">ublic </w:t>
      </w:r>
      <w:r w:rsidRPr="006B3215">
        <w:t>S</w:t>
      </w:r>
      <w:r w:rsidR="00F01703">
        <w:t xml:space="preserve">ector </w:t>
      </w:r>
      <w:r w:rsidRPr="006B3215">
        <w:t>E</w:t>
      </w:r>
      <w:r w:rsidR="00F01703">
        <w:t xml:space="preserve">quality </w:t>
      </w:r>
      <w:r w:rsidRPr="006B3215">
        <w:t>D</w:t>
      </w:r>
      <w:r w:rsidR="00F01703">
        <w:t>uty (PSED)</w:t>
      </w:r>
      <w:r w:rsidRPr="006B3215">
        <w:t xml:space="preserve"> reaches its potential for achieving wide</w:t>
      </w:r>
      <w:r>
        <w:t>-</w:t>
      </w:r>
      <w:r w:rsidRPr="006B3215">
        <w:t>scale transfor</w:t>
      </w:r>
      <w:r w:rsidR="00F01703">
        <w:t>mative change</w:t>
      </w:r>
      <w:r w:rsidRPr="006B3215">
        <w:t>.</w:t>
      </w:r>
      <w:r w:rsidRPr="006B3215">
        <w:rPr>
          <w:vertAlign w:val="superscript"/>
        </w:rPr>
        <w:footnoteReference w:id="16"/>
      </w:r>
      <w:r w:rsidRPr="006B3215">
        <w:t xml:space="preserve"> </w:t>
      </w:r>
    </w:p>
    <w:p w14:paraId="3C6C6032" w14:textId="5D835A0E" w:rsidR="006B3215" w:rsidRPr="006B3215" w:rsidRDefault="006B3215" w:rsidP="0043552F">
      <w:pPr>
        <w:pStyle w:val="Parabeforeanother"/>
      </w:pPr>
      <w:r w:rsidRPr="006B3215">
        <w:t>In July 2018, the UK Government launched a consultation on reforming the Gender Recognition Act 2004 (GRA), proposing to simplify the process of legal gender recognition.</w:t>
      </w:r>
      <w:r w:rsidR="002837D5" w:rsidRPr="006B3215">
        <w:rPr>
          <w:vertAlign w:val="superscript"/>
        </w:rPr>
        <w:footnoteReference w:id="17"/>
      </w:r>
      <w:r w:rsidR="002837D5">
        <w:rPr>
          <w:vertAlign w:val="superscript"/>
        </w:rPr>
        <w:t xml:space="preserve">, </w:t>
      </w:r>
      <w:r w:rsidRPr="006B3215">
        <w:rPr>
          <w:vertAlign w:val="superscript"/>
        </w:rPr>
        <w:footnoteReference w:id="18"/>
      </w:r>
      <w:r w:rsidRPr="006B3215">
        <w:t xml:space="preserve"> The interaction between the GRA and the EA 2010 is a complex area of law with implications for how the </w:t>
      </w:r>
      <w:r w:rsidR="00200D3C">
        <w:t xml:space="preserve">legal </w:t>
      </w:r>
      <w:r w:rsidRPr="006B3215">
        <w:t>protections on the basis of sex and gender reassignment work in practice. Although we understand that the UK Government does not intend to make changes to the EA 2010, our consultation response sought to bring clarity to both the legal and practical issues at stake</w:t>
      </w:r>
      <w:r w:rsidR="00200D3C">
        <w:t>,</w:t>
      </w:r>
      <w:r w:rsidRPr="006B3215">
        <w:t xml:space="preserve"> and </w:t>
      </w:r>
      <w:r w:rsidR="00200D3C">
        <w:t>made</w:t>
      </w:r>
      <w:r w:rsidRPr="006B3215">
        <w:t xml:space="preserve"> recommendations on the best ways to respect the rights of all those affected by changes to the GRA.</w:t>
      </w:r>
      <w:r w:rsidR="002837D5" w:rsidRPr="006B3215">
        <w:rPr>
          <w:vertAlign w:val="superscript"/>
        </w:rPr>
        <w:footnoteReference w:id="19"/>
      </w:r>
      <w:r w:rsidRPr="006B3215">
        <w:t xml:space="preserve"> </w:t>
      </w:r>
    </w:p>
    <w:p w14:paraId="3714CC00" w14:textId="6BC40A2D" w:rsidR="006B3215" w:rsidRPr="006B3215" w:rsidRDefault="006B3215" w:rsidP="0043552F">
      <w:pPr>
        <w:pStyle w:val="Parabeforeanother"/>
        <w:rPr>
          <w:sz w:val="28"/>
          <w:szCs w:val="28"/>
        </w:rPr>
      </w:pPr>
      <w:r w:rsidRPr="006B3215">
        <w:rPr>
          <w:color w:val="000000"/>
        </w:rPr>
        <w:lastRenderedPageBreak/>
        <w:t>Our consultation response recognise</w:t>
      </w:r>
      <w:r w:rsidR="0084355B">
        <w:rPr>
          <w:color w:val="000000"/>
        </w:rPr>
        <w:t>d</w:t>
      </w:r>
      <w:r w:rsidRPr="006B3215">
        <w:rPr>
          <w:color w:val="000000"/>
        </w:rPr>
        <w:t xml:space="preserve"> the unnecessary barriers to acquiring legal </w:t>
      </w:r>
      <w:r w:rsidRPr="004F37B8">
        <w:rPr>
          <w:color w:val="000000"/>
        </w:rPr>
        <w:t>gender recognition under the present system, which amount t</w:t>
      </w:r>
      <w:r w:rsidR="00E8623D" w:rsidRPr="004F37B8">
        <w:rPr>
          <w:color w:val="000000"/>
        </w:rPr>
        <w:t>o an additional burden for trans</w:t>
      </w:r>
      <w:r w:rsidRPr="004F37B8">
        <w:rPr>
          <w:color w:val="000000"/>
        </w:rPr>
        <w:t xml:space="preserve"> women, who already face a number of obstacles to full participation in wider society. We also note a related concern that the current process is medicalised, and perpetuates the false assumption that being trans is a mental </w:t>
      </w:r>
      <w:r w:rsidR="004F37B8">
        <w:rPr>
          <w:color w:val="000000"/>
        </w:rPr>
        <w:t>health condition</w:t>
      </w:r>
      <w:r w:rsidRPr="004F37B8">
        <w:rPr>
          <w:color w:val="000000"/>
        </w:rPr>
        <w:t>. At the same time, we called for processes to be in place to ensure that trans women</w:t>
      </w:r>
      <w:r w:rsidRPr="006B3215">
        <w:rPr>
          <w:color w:val="000000"/>
        </w:rPr>
        <w:t xml:space="preserve"> seeking to change legal sex provide valid</w:t>
      </w:r>
      <w:r w:rsidR="0084355B">
        <w:rPr>
          <w:color w:val="000000"/>
        </w:rPr>
        <w:t xml:space="preserve"> consent</w:t>
      </w:r>
      <w:r w:rsidRPr="006B3215">
        <w:rPr>
          <w:color w:val="000000"/>
        </w:rPr>
        <w:t>, and fully understand the legal, social and personal implications of doing so.</w:t>
      </w:r>
    </w:p>
    <w:p w14:paraId="2226CB80" w14:textId="64B3A6D0" w:rsidR="006B3215" w:rsidRPr="0043552F" w:rsidRDefault="006B3215" w:rsidP="0043552F">
      <w:pPr>
        <w:pStyle w:val="Parabeforenewsubsection"/>
        <w:rPr>
          <w:color w:val="000000"/>
          <w:sz w:val="28"/>
          <w:szCs w:val="28"/>
        </w:rPr>
      </w:pPr>
      <w:r w:rsidRPr="006B3215">
        <w:t>Our consultation response acknowledged concerns that removing barriers to acquiring legal gender recognition might affect women-only spaces and services provided under the single-sex and separate-sex service provisions in the E</w:t>
      </w:r>
      <w:r w:rsidR="00BB398B">
        <w:t>A 2010</w:t>
      </w:r>
      <w:r w:rsidRPr="006B3215">
        <w:t xml:space="preserve">. </w:t>
      </w:r>
      <w:r w:rsidRPr="006B3215">
        <w:rPr>
          <w:color w:val="000000"/>
        </w:rPr>
        <w:t>Our engagement with stakeholder</w:t>
      </w:r>
      <w:r w:rsidR="0084355B">
        <w:rPr>
          <w:color w:val="000000"/>
        </w:rPr>
        <w:t>s</w:t>
      </w:r>
      <w:r w:rsidR="00E95382">
        <w:rPr>
          <w:color w:val="000000"/>
        </w:rPr>
        <w:t xml:space="preserve"> provided us with</w:t>
      </w:r>
      <w:r w:rsidRPr="006B3215">
        <w:rPr>
          <w:color w:val="000000"/>
        </w:rPr>
        <w:t xml:space="preserve"> accounts of the lengths to which some people will go to gain access to single-sex spaces such as domestic violence refuges.</w:t>
      </w:r>
      <w:r w:rsidRPr="006B3215">
        <w:rPr>
          <w:vertAlign w:val="superscript"/>
        </w:rPr>
        <w:footnoteReference w:id="20"/>
      </w:r>
      <w:r w:rsidRPr="006B3215">
        <w:t xml:space="preserve"> Our firm legal view </w:t>
      </w:r>
      <w:r w:rsidR="00843F18">
        <w:t xml:space="preserve">is </w:t>
      </w:r>
      <w:r w:rsidRPr="006B3215">
        <w:t>that reform of the GRA will not erode the special status of these important services and facilities.</w:t>
      </w:r>
      <w:r w:rsidRPr="006B3215">
        <w:rPr>
          <w:vertAlign w:val="superscript"/>
        </w:rPr>
        <w:footnoteReference w:id="21"/>
      </w:r>
      <w:r w:rsidRPr="006B3215">
        <w:t xml:space="preserve"> </w:t>
      </w:r>
      <w:r w:rsidRPr="006B3215">
        <w:rPr>
          <w:color w:val="000000"/>
        </w:rPr>
        <w:t xml:space="preserve">There is evidence that practical guidance and other forms of assistance </w:t>
      </w:r>
      <w:r w:rsidR="00BB398B">
        <w:rPr>
          <w:color w:val="000000"/>
        </w:rPr>
        <w:t>are</w:t>
      </w:r>
      <w:r w:rsidRPr="006B3215">
        <w:rPr>
          <w:color w:val="000000"/>
        </w:rPr>
        <w:t xml:space="preserve"> required to </w:t>
      </w:r>
      <w:r w:rsidRPr="004F37B8">
        <w:rPr>
          <w:color w:val="000000"/>
        </w:rPr>
        <w:t>help trans women,</w:t>
      </w:r>
      <w:r w:rsidRPr="006B3215">
        <w:rPr>
          <w:color w:val="000000"/>
        </w:rPr>
        <w:t xml:space="preserve"> single-sex and separate-sex service providers understand and navigate the complexities of sex-based exceptions in the EA 2010, without compromising the service provided to women in difficult and vulnerable situations.</w:t>
      </w:r>
      <w:r w:rsidRPr="006B3215">
        <w:rPr>
          <w:color w:val="000000"/>
          <w:vertAlign w:val="superscript"/>
        </w:rPr>
        <w:footnoteReference w:id="22"/>
      </w:r>
    </w:p>
    <w:p w14:paraId="4559A758" w14:textId="77777777" w:rsidR="006B3215" w:rsidRPr="006B3215" w:rsidRDefault="006B3215" w:rsidP="0043552F">
      <w:pPr>
        <w:pStyle w:val="Title-subsections"/>
      </w:pPr>
      <w:r w:rsidRPr="006B3215">
        <w:t>Recommendations</w:t>
      </w:r>
    </w:p>
    <w:p w14:paraId="3DB688A7" w14:textId="285C695B" w:rsidR="00BE5C36" w:rsidRDefault="00BE5C36" w:rsidP="0043552F">
      <w:pPr>
        <w:pStyle w:val="Parabeforebulletss"/>
      </w:pPr>
      <w:r>
        <w:t xml:space="preserve">The </w:t>
      </w:r>
      <w:r w:rsidR="004F37B8">
        <w:t xml:space="preserve">EHRC recommends that the </w:t>
      </w:r>
      <w:r>
        <w:t>UK and Welsh G</w:t>
      </w:r>
      <w:r w:rsidR="006B3215" w:rsidRPr="006B3215">
        <w:t>overnment</w:t>
      </w:r>
      <w:r>
        <w:t>s</w:t>
      </w:r>
      <w:r w:rsidR="006B3215" w:rsidRPr="006B3215">
        <w:t>, where relevant, should</w:t>
      </w:r>
      <w:r>
        <w:t>:</w:t>
      </w:r>
    </w:p>
    <w:p w14:paraId="1B75BD81" w14:textId="34EA9C64" w:rsidR="006B3215" w:rsidRPr="006B3215" w:rsidRDefault="006B3215" w:rsidP="0043552F">
      <w:pPr>
        <w:pStyle w:val="Bullet-followedbyothers"/>
      </w:pPr>
      <w:r w:rsidRPr="006B3215">
        <w:t xml:space="preserve">reinstate all original, and commence any outstanding, provisions of the Equality Act 2010, including the socio-economic duty and dual discrimination provision, and introduce new measures to address gaps in protection </w:t>
      </w:r>
    </w:p>
    <w:p w14:paraId="0EF3ABDF" w14:textId="53CF78AE" w:rsidR="006B3215" w:rsidRPr="006B3215" w:rsidRDefault="006B3215" w:rsidP="0043552F">
      <w:pPr>
        <w:pStyle w:val="Bullet-followedbyothers"/>
      </w:pPr>
      <w:r w:rsidRPr="006B3215">
        <w:t>commission a full examination of the options for improving access to redress for discrimination, ensuring any such examination should take full account of the PSED</w:t>
      </w:r>
      <w:r w:rsidR="0043552F">
        <w:t>, and</w:t>
      </w:r>
    </w:p>
    <w:p w14:paraId="1D845942" w14:textId="1108BDB5" w:rsidR="00BC5968" w:rsidRPr="0043552F" w:rsidRDefault="006B3215" w:rsidP="0043552F">
      <w:pPr>
        <w:pStyle w:val="Bullet-lastingroup"/>
      </w:pPr>
      <w:r w:rsidRPr="006B3215">
        <w:lastRenderedPageBreak/>
        <w:t>set equality objectives or outcomes and publish evidence of action and progress</w:t>
      </w:r>
      <w:r w:rsidR="00BE5C36">
        <w:t xml:space="preserve">, and </w:t>
      </w:r>
      <w:r w:rsidRPr="00BE5C36">
        <w:t>review how the PSED specific duties could be amended to focus public bodie</w:t>
      </w:r>
      <w:r w:rsidR="00BE5C36" w:rsidRPr="00BE5C36">
        <w:t>s on taking action to tackle</w:t>
      </w:r>
      <w:r w:rsidRPr="00BE5C36">
        <w:t xml:space="preserve"> key challenges</w:t>
      </w:r>
      <w:r w:rsidR="00B94F07">
        <w:t>.</w:t>
      </w:r>
    </w:p>
    <w:p w14:paraId="5B8CE01D" w14:textId="224FA448" w:rsidR="00BC5968" w:rsidRPr="00165EBE" w:rsidRDefault="00BC5968" w:rsidP="0043552F">
      <w:pPr>
        <w:pStyle w:val="Parabeforebulletss"/>
      </w:pPr>
      <w:r w:rsidRPr="00165EBE">
        <w:t xml:space="preserve">The </w:t>
      </w:r>
      <w:r w:rsidR="002806AC">
        <w:t xml:space="preserve">EHRC recommends that the </w:t>
      </w:r>
      <w:r w:rsidRPr="00165EBE">
        <w:t>UK Government should:</w:t>
      </w:r>
    </w:p>
    <w:p w14:paraId="054572AE" w14:textId="3FBF1F26" w:rsidR="00156B9D" w:rsidRPr="0043552F" w:rsidRDefault="00B94F07" w:rsidP="0043552F">
      <w:pPr>
        <w:pStyle w:val="Bullet-lastingroup"/>
        <w:spacing w:after="680"/>
      </w:pPr>
      <w:r>
        <w:t>i</w:t>
      </w:r>
      <w:r w:rsidR="001F6A40" w:rsidRPr="00165EBE">
        <w:t xml:space="preserve">n any reform of the process for obtaining legal gender recognition in England and Wales, remove unnecessary barriers in the process for acquiring a </w:t>
      </w:r>
      <w:r>
        <w:t>g</w:t>
      </w:r>
      <w:r w:rsidR="001F6A40" w:rsidRPr="00165EBE">
        <w:t xml:space="preserve">ender </w:t>
      </w:r>
      <w:r>
        <w:t>r</w:t>
      </w:r>
      <w:r w:rsidR="001F6A40" w:rsidRPr="00165EBE">
        <w:t xml:space="preserve">ecognition </w:t>
      </w:r>
      <w:r>
        <w:t>c</w:t>
      </w:r>
      <w:r w:rsidR="001F6A40" w:rsidRPr="00165EBE">
        <w:t xml:space="preserve">ertificate, ensure appropriate mechanisms to ensure that individuals fully understand the implications of changing legal sex, and clarify the operation of exceptions in the Equality Act 2010 </w:t>
      </w:r>
      <w:r>
        <w:t>that</w:t>
      </w:r>
      <w:r w:rsidR="001F6A40" w:rsidRPr="00165EBE">
        <w:t xml:space="preserve"> protect single-sex spaces and services</w:t>
      </w:r>
      <w:r>
        <w:t>.</w:t>
      </w:r>
    </w:p>
    <w:p w14:paraId="4565FD64" w14:textId="77777777" w:rsidR="00211F67" w:rsidRPr="004E36B9" w:rsidRDefault="00211F67" w:rsidP="004E36B9">
      <w:pPr>
        <w:pStyle w:val="Title-sectionspink"/>
      </w:pPr>
      <w:bookmarkStart w:id="25" w:name="_Toc534726611"/>
      <w:r w:rsidRPr="004E36B9">
        <w:t>Implications of leaving the European Union</w:t>
      </w:r>
      <w:bookmarkEnd w:id="25"/>
      <w:r w:rsidRPr="004E36B9">
        <w:t xml:space="preserve"> </w:t>
      </w:r>
    </w:p>
    <w:p w14:paraId="7479A3BE" w14:textId="41DA6015" w:rsidR="00200D3C" w:rsidRPr="00200D3C" w:rsidRDefault="006B3215" w:rsidP="0043552F">
      <w:pPr>
        <w:pStyle w:val="Parabeforeanother"/>
      </w:pPr>
      <w:r>
        <w:t>The removal of the EU Charter of Fundamental Rights from domestic law through the E</w:t>
      </w:r>
      <w:r w:rsidR="00095128">
        <w:t xml:space="preserve">uropean </w:t>
      </w:r>
      <w:r>
        <w:t>U</w:t>
      </w:r>
      <w:r w:rsidR="00095128">
        <w:t>nion (</w:t>
      </w:r>
      <w:r>
        <w:t>Withdrawal</w:t>
      </w:r>
      <w:r w:rsidR="00095128">
        <w:t>)</w:t>
      </w:r>
      <w:r>
        <w:t xml:space="preserve"> Act </w:t>
      </w:r>
      <w:r w:rsidR="00095128">
        <w:t xml:space="preserve">2018 </w:t>
      </w:r>
      <w:r w:rsidR="00843F18">
        <w:t xml:space="preserve">may result in a loss of rights as a result following </w:t>
      </w:r>
      <w:r>
        <w:t>the UK’s departure from the EU.</w:t>
      </w:r>
      <w:r w:rsidR="00843F18">
        <w:rPr>
          <w:rStyle w:val="FootnoteReference"/>
        </w:rPr>
        <w:footnoteReference w:id="23"/>
      </w:r>
      <w:r>
        <w:t xml:space="preserve"> We</w:t>
      </w:r>
      <w:r w:rsidRPr="005A7F28">
        <w:t xml:space="preserve"> welcome the</w:t>
      </w:r>
      <w:r>
        <w:t xml:space="preserve"> UK</w:t>
      </w:r>
      <w:r w:rsidRPr="005A7F28">
        <w:t xml:space="preserve"> </w:t>
      </w:r>
      <w:r>
        <w:t>Government’s commitment, however, to remain a party to the E</w:t>
      </w:r>
      <w:r w:rsidR="00BC5968">
        <w:t xml:space="preserve">uropean </w:t>
      </w:r>
      <w:r>
        <w:t>C</w:t>
      </w:r>
      <w:r w:rsidR="00BC5968">
        <w:t xml:space="preserve">onvention on </w:t>
      </w:r>
      <w:r>
        <w:t>H</w:t>
      </w:r>
      <w:r w:rsidR="00BC5968">
        <w:t xml:space="preserve">uman </w:t>
      </w:r>
      <w:r>
        <w:t>R</w:t>
      </w:r>
      <w:r w:rsidR="00BC5968">
        <w:t>ights (ECHR)</w:t>
      </w:r>
      <w:r>
        <w:t xml:space="preserve"> in its </w:t>
      </w:r>
      <w:r w:rsidRPr="002E6EBF">
        <w:rPr>
          <w:rStyle w:val="Hyperlink"/>
          <w:color w:val="auto"/>
          <w:u w:val="none"/>
        </w:rPr>
        <w:t>White Paper</w:t>
      </w:r>
      <w:r w:rsidR="00095128">
        <w:rPr>
          <w:rStyle w:val="Hyperlink"/>
          <w:color w:val="auto"/>
          <w:u w:val="none"/>
        </w:rPr>
        <w:t>,</w:t>
      </w:r>
      <w:r w:rsidRPr="002E6EBF">
        <w:t xml:space="preserve"> </w:t>
      </w:r>
      <w:r>
        <w:t>‘The</w:t>
      </w:r>
      <w:r w:rsidRPr="00521926">
        <w:t xml:space="preserve"> </w:t>
      </w:r>
      <w:r>
        <w:t>future relationship between the United Kingdom and the European Union’</w:t>
      </w:r>
      <w:r w:rsidR="00095128">
        <w:t>,</w:t>
      </w:r>
      <w:r>
        <w:t xml:space="preserve"> published in July 2018</w:t>
      </w:r>
      <w:r w:rsidR="00843F18">
        <w:t>.</w:t>
      </w:r>
      <w:r>
        <w:rPr>
          <w:rStyle w:val="FootnoteReference"/>
        </w:rPr>
        <w:footnoteReference w:id="24"/>
      </w:r>
      <w:r w:rsidR="00843F18">
        <w:t xml:space="preserve"> We also note its further pledge in the draft political declaration</w:t>
      </w:r>
      <w:r>
        <w:t xml:space="preserve"> with the EU</w:t>
      </w:r>
      <w:r w:rsidR="00843F18">
        <w:t xml:space="preserve"> </w:t>
      </w:r>
      <w:r w:rsidR="00843F18" w:rsidRPr="00843F18">
        <w:t>of ‘continued adherence and giving effect to the ECHR’ (which can only be fully achieved by remaining a member of the ECHR and subject to the jurisdiction of the European Court of Human Rights).</w:t>
      </w:r>
      <w:r w:rsidR="00843F18">
        <w:rPr>
          <w:rStyle w:val="FootnoteReference"/>
        </w:rPr>
        <w:footnoteReference w:id="25"/>
      </w:r>
      <w:r>
        <w:t xml:space="preserve"> </w:t>
      </w:r>
    </w:p>
    <w:p w14:paraId="133C2D10" w14:textId="767CAF8A" w:rsidR="009F5687" w:rsidRDefault="006B3215" w:rsidP="0043552F">
      <w:pPr>
        <w:pStyle w:val="Parabeforeanother"/>
      </w:pPr>
      <w:r w:rsidRPr="004408D9">
        <w:t>There are underlying concerns about the potential impact of the loss of EU f</w:t>
      </w:r>
      <w:r>
        <w:t>unding.</w:t>
      </w:r>
      <w:r w:rsidDel="0028086D">
        <w:rPr>
          <w:rStyle w:val="FootnoteReference"/>
        </w:rPr>
        <w:t xml:space="preserve"> </w:t>
      </w:r>
      <w:r>
        <w:t xml:space="preserve"> Our report ‘If not the EU, then who?’</w:t>
      </w:r>
      <w:r w:rsidR="007600DC">
        <w:rPr>
          <w:rStyle w:val="FootnoteReference"/>
        </w:rPr>
        <w:footnoteReference w:id="26"/>
      </w:r>
      <w:r>
        <w:t xml:space="preserve"> demonstrates that there are a large number of projects across England and Wales in receipt of EU funding that aim to help women </w:t>
      </w:r>
      <w:r>
        <w:lastRenderedPageBreak/>
        <w:t>to develop their skills and support them in preparing to enter the labour market, for example the Women’s Organisation based in Liverpool.</w:t>
      </w:r>
      <w:r>
        <w:rPr>
          <w:rStyle w:val="FootnoteReference"/>
        </w:rPr>
        <w:footnoteReference w:id="27"/>
      </w:r>
      <w:r>
        <w:t xml:space="preserve"> </w:t>
      </w:r>
    </w:p>
    <w:p w14:paraId="0AF3DD02" w14:textId="7A19F62F" w:rsidR="009F5687" w:rsidRDefault="006B3215" w:rsidP="0043552F">
      <w:pPr>
        <w:pStyle w:val="Parabeforeanother"/>
      </w:pPr>
      <w:r>
        <w:t xml:space="preserve">There has been a commitment from </w:t>
      </w:r>
      <w:r w:rsidR="00200D3C">
        <w:t xml:space="preserve">the UK </w:t>
      </w:r>
      <w:r>
        <w:t xml:space="preserve">Government to replace EU </w:t>
      </w:r>
      <w:r w:rsidR="00854F16">
        <w:t>s</w:t>
      </w:r>
      <w:r>
        <w:t xml:space="preserve">tructural and </w:t>
      </w:r>
      <w:r w:rsidR="00854F16">
        <w:t>i</w:t>
      </w:r>
      <w:r>
        <w:t xml:space="preserve">nvestment </w:t>
      </w:r>
      <w:r w:rsidR="00854F16">
        <w:t>f</w:t>
      </w:r>
      <w:r>
        <w:t>unds with the UK Shared Prosperity Fund.</w:t>
      </w:r>
      <w:r>
        <w:rPr>
          <w:rStyle w:val="FootnoteReference"/>
        </w:rPr>
        <w:footnoteReference w:id="28"/>
      </w:r>
      <w:r>
        <w:t xml:space="preserve"> There has been no public commitment as yet to replace </w:t>
      </w:r>
      <w:r w:rsidR="00095128">
        <w:t xml:space="preserve">funding under </w:t>
      </w:r>
      <w:r>
        <w:t xml:space="preserve">the Rights, Equality and Citizenship </w:t>
      </w:r>
      <w:r w:rsidR="00095128">
        <w:t>Programme,</w:t>
      </w:r>
      <w:r>
        <w:t xml:space="preserve"> which has specific objectives to promote equality between women and men and prevent violence against children, young people, women and other groups at risk.</w:t>
      </w:r>
      <w:r>
        <w:rPr>
          <w:vertAlign w:val="superscript"/>
        </w:rPr>
        <w:footnoteReference w:id="29"/>
      </w:r>
    </w:p>
    <w:p w14:paraId="762CD977" w14:textId="7EAA10EA" w:rsidR="006B3215" w:rsidRPr="0043552F" w:rsidRDefault="006B3215" w:rsidP="0043552F">
      <w:pPr>
        <w:pStyle w:val="Parabeforenewsubsection"/>
      </w:pPr>
      <w:r>
        <w:t>The fiscal impact of Brexit on women is likely to go beyond just the loss of EU funding. Research suggests that the economic repercussions will have a greater impact on women as workers, as consumers and as users of public services.</w:t>
      </w:r>
      <w:r>
        <w:rPr>
          <w:rStyle w:val="FootnoteReference"/>
        </w:rPr>
        <w:footnoteReference w:id="30"/>
      </w:r>
    </w:p>
    <w:p w14:paraId="31D3334B" w14:textId="78789FA8" w:rsidR="006B3215" w:rsidRPr="006B3215" w:rsidRDefault="003A30AB" w:rsidP="006B3215">
      <w:pPr>
        <w:pStyle w:val="NoSpacing"/>
        <w:tabs>
          <w:tab w:val="left" w:pos="2550"/>
        </w:tabs>
        <w:rPr>
          <w:rFonts w:ascii="Arial" w:hAnsi="Arial" w:cs="Arial"/>
          <w:b/>
          <w:sz w:val="24"/>
          <w:szCs w:val="24"/>
        </w:rPr>
      </w:pPr>
      <w:r>
        <w:rPr>
          <w:rFonts w:ascii="Arial" w:hAnsi="Arial" w:cs="Arial"/>
          <w:b/>
          <w:sz w:val="24"/>
          <w:szCs w:val="24"/>
        </w:rPr>
        <w:t>Recommendations</w:t>
      </w:r>
    </w:p>
    <w:p w14:paraId="0E63825D" w14:textId="77777777" w:rsidR="006B3215" w:rsidRPr="00A636A8" w:rsidRDefault="006B3215" w:rsidP="006B3215">
      <w:pPr>
        <w:pStyle w:val="NoSpacing"/>
        <w:tabs>
          <w:tab w:val="left" w:pos="2550"/>
        </w:tabs>
        <w:rPr>
          <w:b/>
          <w:szCs w:val="24"/>
        </w:rPr>
      </w:pPr>
    </w:p>
    <w:p w14:paraId="1A8CF384" w14:textId="5784502A" w:rsidR="006B3215" w:rsidRDefault="003A30AB" w:rsidP="0043552F">
      <w:pPr>
        <w:pStyle w:val="Parabeforebulletss"/>
      </w:pPr>
      <w:r>
        <w:t>The</w:t>
      </w:r>
      <w:r w:rsidR="006B3215">
        <w:t xml:space="preserve"> </w:t>
      </w:r>
      <w:r w:rsidR="002806AC">
        <w:t xml:space="preserve">EHRC recommends that the </w:t>
      </w:r>
      <w:r w:rsidR="006B3215">
        <w:t xml:space="preserve">UK </w:t>
      </w:r>
      <w:r w:rsidR="006B3215" w:rsidRPr="0043552F">
        <w:t>Government</w:t>
      </w:r>
      <w:r w:rsidR="006B3215">
        <w:t xml:space="preserve"> </w:t>
      </w:r>
      <w:r>
        <w:t>should</w:t>
      </w:r>
      <w:r w:rsidR="006B3215">
        <w:t>:</w:t>
      </w:r>
    </w:p>
    <w:p w14:paraId="2C66DE9A" w14:textId="19C1FE42" w:rsidR="006B3215" w:rsidRPr="0043552F" w:rsidRDefault="006B3215" w:rsidP="0043552F">
      <w:pPr>
        <w:pStyle w:val="Bullet-followedbyothers"/>
      </w:pPr>
      <w:r w:rsidRPr="0043552F">
        <w:t xml:space="preserve">ensure that there is no further regression in the respect, protection and fulfilment of human rights as a result of the changes introduced following the UK’s withdrawal from the EU </w:t>
      </w:r>
    </w:p>
    <w:p w14:paraId="42F5AA51" w14:textId="4A688F15" w:rsidR="001F6A40" w:rsidRPr="0043552F" w:rsidRDefault="001F6A40" w:rsidP="0043552F">
      <w:pPr>
        <w:pStyle w:val="Bullet-followedbyothers"/>
      </w:pPr>
      <w:r w:rsidRPr="0043552F">
        <w:t xml:space="preserve">ensure that the loss of EU funding does not undermine the UK’s equality and human rights infrastructure, including the already scarce funding available to specialist services, such as those that support women survivors of violence and domestic abuse. In particular, ensure that there is a domestic replacement for the funding currently provided by the Rights, Equality and Citizenship </w:t>
      </w:r>
      <w:r w:rsidR="00854F16" w:rsidRPr="0043552F">
        <w:t xml:space="preserve">Programme </w:t>
      </w:r>
      <w:r w:rsidRPr="0043552F">
        <w:t>covering the same priorities</w:t>
      </w:r>
      <w:r w:rsidR="0043552F">
        <w:t>, and</w:t>
      </w:r>
    </w:p>
    <w:p w14:paraId="18C0F14F" w14:textId="4748B8FC" w:rsidR="00211F67" w:rsidRPr="00260236" w:rsidRDefault="006B3215" w:rsidP="0043552F">
      <w:pPr>
        <w:pStyle w:val="Bullet-lastingroup"/>
      </w:pPr>
      <w:r w:rsidRPr="0043552F">
        <w:t>publish rigorous equality and human rights impact assessments in advance of proposed changes to laws protecting equality and human rights, including analysis of the impact on women, and if it intends to introduce a new domestic right to equality in UK legislation.</w:t>
      </w:r>
      <w:r w:rsidR="00211F67" w:rsidRPr="00260236">
        <w:br w:type="page"/>
      </w:r>
    </w:p>
    <w:p w14:paraId="3CF635E5" w14:textId="267F1B8C" w:rsidR="00211F67" w:rsidRPr="00212E21" w:rsidRDefault="00211F67" w:rsidP="004E36B9">
      <w:pPr>
        <w:pStyle w:val="Title-chapterpink"/>
        <w:rPr>
          <w:color w:val="auto"/>
          <w:sz w:val="36"/>
          <w:szCs w:val="36"/>
        </w:rPr>
      </w:pPr>
      <w:bookmarkStart w:id="26" w:name="_Toc534726612"/>
      <w:r w:rsidRPr="00FF4B20">
        <w:lastRenderedPageBreak/>
        <w:t>2. Participation in political and civic life</w:t>
      </w:r>
      <w:r>
        <w:t xml:space="preserve">: </w:t>
      </w:r>
      <w:r w:rsidRPr="00212E21">
        <w:rPr>
          <w:color w:val="auto"/>
          <w:sz w:val="36"/>
          <w:szCs w:val="36"/>
        </w:rPr>
        <w:t xml:space="preserve">relates to </w:t>
      </w:r>
      <w:r w:rsidR="00FE2B6D">
        <w:rPr>
          <w:color w:val="auto"/>
          <w:sz w:val="36"/>
          <w:szCs w:val="36"/>
        </w:rPr>
        <w:t xml:space="preserve">LoI paragraphs 6, 7, 13 and 14, </w:t>
      </w:r>
      <w:r w:rsidRPr="00212E21">
        <w:rPr>
          <w:color w:val="auto"/>
          <w:sz w:val="36"/>
          <w:szCs w:val="36"/>
        </w:rPr>
        <w:t>articles 4, 7 and 8, CO paragraphs 31 and 43.a and SDGs 5, 9, 10, 11 and 16</w:t>
      </w:r>
      <w:bookmarkEnd w:id="26"/>
    </w:p>
    <w:p w14:paraId="2A2C8E50" w14:textId="53447FB9" w:rsidR="003902E4" w:rsidRPr="00200D3C" w:rsidRDefault="00211F67" w:rsidP="00200D3C">
      <w:pPr>
        <w:pStyle w:val="Title-sectionspink"/>
      </w:pPr>
      <w:bookmarkStart w:id="27" w:name="_Toc534726613"/>
      <w:r w:rsidRPr="00FF4B20">
        <w:t>Political participation</w:t>
      </w:r>
      <w:bookmarkEnd w:id="27"/>
      <w:r w:rsidRPr="00FF4B20">
        <w:t xml:space="preserve"> </w:t>
      </w:r>
    </w:p>
    <w:p w14:paraId="62ADC71C" w14:textId="510FCDBB" w:rsidR="003902E4" w:rsidRPr="0043552F" w:rsidRDefault="00D4128D" w:rsidP="0043552F">
      <w:pPr>
        <w:pStyle w:val="Parabeforeanother"/>
      </w:pPr>
      <w:r>
        <w:t>Disabled women are</w:t>
      </w:r>
      <w:r w:rsidR="003902E4" w:rsidRPr="003902E4">
        <w:t xml:space="preserve"> under-represented in politics a</w:t>
      </w:r>
      <w:r>
        <w:t>nd public life. In the UK, just over</w:t>
      </w:r>
      <w:r w:rsidR="003902E4" w:rsidRPr="003902E4">
        <w:t xml:space="preserve"> one in five people ha</w:t>
      </w:r>
      <w:r w:rsidR="005D2837">
        <w:t xml:space="preserve">s </w:t>
      </w:r>
      <w:r w:rsidR="003902E4" w:rsidRPr="003902E4">
        <w:t>a disability</w:t>
      </w:r>
      <w:r>
        <w:t>,</w:t>
      </w:r>
      <w:r w:rsidR="003902E4" w:rsidRPr="003902E4">
        <w:t xml:space="preserve"> yet </w:t>
      </w:r>
      <w:r>
        <w:t xml:space="preserve">available data suggests that a much lower proportion of </w:t>
      </w:r>
      <w:r w:rsidR="003902E4" w:rsidRPr="003902E4">
        <w:t>members of the House of Commons are disabled.</w:t>
      </w:r>
      <w:r w:rsidR="003902E4" w:rsidRPr="003902E4">
        <w:rPr>
          <w:vertAlign w:val="superscript"/>
        </w:rPr>
        <w:footnoteReference w:id="31"/>
      </w:r>
      <w:r w:rsidR="0078116F">
        <w:t xml:space="preserve"> </w:t>
      </w:r>
      <w:r>
        <w:rPr>
          <w:rStyle w:val="FootnoteReference"/>
        </w:rPr>
        <w:footnoteReference w:id="32"/>
      </w:r>
      <w:r w:rsidR="003902E4" w:rsidRPr="003902E4">
        <w:t xml:space="preserve"> However, there is no statutory requirement to collect consistent, standardised data on the protected characteristics of elected officials</w:t>
      </w:r>
      <w:r w:rsidR="001C1BEE">
        <w:t xml:space="preserve"> or electoral candidates</w:t>
      </w:r>
      <w:r w:rsidR="003902E4" w:rsidRPr="003902E4">
        <w:t>, as s</w:t>
      </w:r>
      <w:r w:rsidR="00A56065">
        <w:t>ection</w:t>
      </w:r>
      <w:r w:rsidR="001C1BEE">
        <w:t xml:space="preserve"> </w:t>
      </w:r>
      <w:r w:rsidR="003902E4" w:rsidRPr="003902E4">
        <w:t>106 of the</w:t>
      </w:r>
      <w:r w:rsidR="008B33CB">
        <w:t xml:space="preserve"> EA </w:t>
      </w:r>
      <w:r w:rsidR="003902E4" w:rsidRPr="003902E4">
        <w:t xml:space="preserve">2010 is still not in force, and it may be that the number is actually greater. </w:t>
      </w:r>
      <w:r w:rsidR="007B7F25">
        <w:t>Forthcoming EHRC research suggest</w:t>
      </w:r>
      <w:r w:rsidR="00E95382">
        <w:t>s</w:t>
      </w:r>
      <w:r w:rsidR="007B7F25">
        <w:t xml:space="preserve"> that t</w:t>
      </w:r>
      <w:r w:rsidR="003902E4" w:rsidRPr="003902E4">
        <w:rPr>
          <w:color w:val="000000"/>
          <w:lang w:eastAsia="en-GB"/>
        </w:rPr>
        <w:t xml:space="preserve">he data collected is sometimes unreliable, is not consistent with definitions used in the </w:t>
      </w:r>
      <w:r w:rsidR="008B33CB">
        <w:rPr>
          <w:color w:val="000000"/>
          <w:lang w:eastAsia="en-GB"/>
        </w:rPr>
        <w:t xml:space="preserve">EA </w:t>
      </w:r>
      <w:r w:rsidR="003902E4" w:rsidRPr="003902E4">
        <w:rPr>
          <w:color w:val="000000"/>
          <w:lang w:eastAsia="en-GB"/>
        </w:rPr>
        <w:t>2010 or population statistics, and there are significant gaps.</w:t>
      </w:r>
    </w:p>
    <w:p w14:paraId="3FBC6AA4" w14:textId="5BCE2829" w:rsidR="003902E4" w:rsidRPr="003902E4" w:rsidRDefault="003902E4" w:rsidP="0043552F">
      <w:pPr>
        <w:pStyle w:val="Parabeforeanother"/>
        <w:rPr>
          <w:color w:val="000000"/>
          <w:lang w:eastAsia="en-GB"/>
        </w:rPr>
      </w:pPr>
      <w:r w:rsidRPr="003902E4">
        <w:rPr>
          <w:color w:val="000000"/>
          <w:lang w:eastAsia="en-GB"/>
        </w:rPr>
        <w:t>The EHRC has repeatedly encouraged the UK Government to commit to reinstatement or replacement of the Access to Elected Office Fund (AEOF)</w:t>
      </w:r>
      <w:r w:rsidR="005D2837">
        <w:rPr>
          <w:color w:val="000000"/>
          <w:lang w:eastAsia="en-GB"/>
        </w:rPr>
        <w:t>,</w:t>
      </w:r>
      <w:r w:rsidRPr="003902E4">
        <w:rPr>
          <w:color w:val="000000"/>
          <w:lang w:eastAsia="en-GB"/>
        </w:rPr>
        <w:t xml:space="preserve"> which provided financial assistance to disabled people who wished to stand for elected office. In May 2018 the Minister for Women and Equalities announced funding </w:t>
      </w:r>
      <w:r w:rsidR="0093219E">
        <w:rPr>
          <w:color w:val="000000"/>
          <w:lang w:eastAsia="en-GB"/>
        </w:rPr>
        <w:t xml:space="preserve">of </w:t>
      </w:r>
      <w:r w:rsidRPr="003902E4">
        <w:rPr>
          <w:color w:val="000000"/>
          <w:lang w:eastAsia="en-GB"/>
        </w:rPr>
        <w:t xml:space="preserve"> £250,000</w:t>
      </w:r>
      <w:r w:rsidR="0093219E">
        <w:rPr>
          <w:color w:val="000000"/>
          <w:lang w:eastAsia="en-GB"/>
        </w:rPr>
        <w:t xml:space="preserve"> available over 12 months</w:t>
      </w:r>
      <w:r w:rsidRPr="003902E4">
        <w:rPr>
          <w:color w:val="000000"/>
          <w:lang w:eastAsia="en-GB"/>
        </w:rPr>
        <w:t xml:space="preserve"> (</w:t>
      </w:r>
      <w:r w:rsidR="00EB44D7">
        <w:rPr>
          <w:color w:val="000000"/>
          <w:lang w:eastAsia="en-GB"/>
        </w:rPr>
        <w:t xml:space="preserve">called </w:t>
      </w:r>
      <w:r w:rsidRPr="003902E4">
        <w:rPr>
          <w:color w:val="000000"/>
          <w:lang w:eastAsia="en-GB"/>
        </w:rPr>
        <w:t>the EnAble Fund</w:t>
      </w:r>
      <w:r w:rsidR="00A56065">
        <w:rPr>
          <w:color w:val="000000"/>
          <w:lang w:eastAsia="en-GB"/>
        </w:rPr>
        <w:t xml:space="preserve"> for Elected Office</w:t>
      </w:r>
      <w:r w:rsidRPr="003902E4">
        <w:rPr>
          <w:color w:val="000000"/>
          <w:lang w:eastAsia="en-GB"/>
        </w:rPr>
        <w:t>) to provide similar support.</w:t>
      </w:r>
      <w:r w:rsidRPr="003902E4">
        <w:rPr>
          <w:color w:val="000000"/>
          <w:vertAlign w:val="superscript"/>
          <w:lang w:eastAsia="en-GB"/>
        </w:rPr>
        <w:footnoteReference w:id="33"/>
      </w:r>
      <w:r w:rsidRPr="003902E4">
        <w:rPr>
          <w:color w:val="000000"/>
          <w:lang w:eastAsia="en-GB"/>
        </w:rPr>
        <w:t xml:space="preserve"> </w:t>
      </w:r>
    </w:p>
    <w:p w14:paraId="2E513059" w14:textId="75ED6A24" w:rsidR="003902E4" w:rsidRPr="003902E4" w:rsidRDefault="003902E4" w:rsidP="0043552F">
      <w:pPr>
        <w:pStyle w:val="Parabeforeanother"/>
        <w:rPr>
          <w:color w:val="000000"/>
          <w:lang w:eastAsia="en-GB"/>
        </w:rPr>
      </w:pPr>
      <w:r w:rsidRPr="003902E4">
        <w:rPr>
          <w:color w:val="000000"/>
          <w:lang w:eastAsia="en-GB"/>
        </w:rPr>
        <w:lastRenderedPageBreak/>
        <w:t>The EHRC remains concerned though that the EnAble Fund is an interim measure and that the UK Government considers it the ‘prime responsibility’</w:t>
      </w:r>
      <w:r w:rsidR="0088647C">
        <w:rPr>
          <w:color w:val="000000"/>
          <w:lang w:eastAsia="en-GB"/>
        </w:rPr>
        <w:t xml:space="preserve"> </w:t>
      </w:r>
      <w:r w:rsidRPr="003902E4">
        <w:rPr>
          <w:color w:val="000000"/>
          <w:lang w:eastAsia="en-GB"/>
        </w:rPr>
        <w:t>of political parties to provide support for disabled candidates.</w:t>
      </w:r>
      <w:r w:rsidR="0088647C" w:rsidRPr="003902E4">
        <w:rPr>
          <w:color w:val="000000"/>
          <w:vertAlign w:val="superscript"/>
          <w:lang w:eastAsia="en-GB"/>
        </w:rPr>
        <w:footnoteReference w:id="34"/>
      </w:r>
      <w:r w:rsidRPr="003902E4">
        <w:rPr>
          <w:color w:val="000000"/>
          <w:lang w:eastAsia="en-GB"/>
        </w:rPr>
        <w:t xml:space="preserve"> While political parties have a responsibility under s</w:t>
      </w:r>
      <w:r w:rsidR="00A56065">
        <w:rPr>
          <w:color w:val="000000"/>
          <w:lang w:eastAsia="en-GB"/>
        </w:rPr>
        <w:t xml:space="preserve">ection </w:t>
      </w:r>
      <w:r w:rsidRPr="003902E4">
        <w:rPr>
          <w:color w:val="000000"/>
          <w:lang w:eastAsia="en-GB"/>
        </w:rPr>
        <w:t xml:space="preserve">20 of the </w:t>
      </w:r>
      <w:r w:rsidR="00BD6CE4">
        <w:rPr>
          <w:color w:val="000000"/>
          <w:lang w:eastAsia="en-GB"/>
        </w:rPr>
        <w:t xml:space="preserve">EA </w:t>
      </w:r>
      <w:r w:rsidRPr="003902E4">
        <w:rPr>
          <w:color w:val="000000"/>
          <w:lang w:eastAsia="en-GB"/>
        </w:rPr>
        <w:t xml:space="preserve">2010 to make reasonable adjustments, we </w:t>
      </w:r>
      <w:r w:rsidR="00570136">
        <w:rPr>
          <w:color w:val="000000"/>
          <w:lang w:eastAsia="en-GB"/>
        </w:rPr>
        <w:t xml:space="preserve">are concerned that placing </w:t>
      </w:r>
      <w:r w:rsidRPr="003902E4">
        <w:rPr>
          <w:color w:val="000000"/>
          <w:lang w:eastAsia="en-GB"/>
        </w:rPr>
        <w:t xml:space="preserve">responsibility on parties to provide financial support may not create the level playing field required for disabled women to stand as candidates. </w:t>
      </w:r>
    </w:p>
    <w:p w14:paraId="700EA165" w14:textId="0A7178AC" w:rsidR="003902E4" w:rsidRPr="003902E4" w:rsidRDefault="003902E4" w:rsidP="0043552F">
      <w:pPr>
        <w:pStyle w:val="Parabeforeanother"/>
      </w:pPr>
      <w:r w:rsidRPr="003902E4">
        <w:t>Further devolution of election powers and processes came into force in April 2018.</w:t>
      </w:r>
      <w:r w:rsidR="00036260">
        <w:rPr>
          <w:rStyle w:val="FootnoteReference"/>
        </w:rPr>
        <w:footnoteReference w:id="35"/>
      </w:r>
      <w:r w:rsidRPr="003902E4">
        <w:t xml:space="preserve"> The Welsh Government</w:t>
      </w:r>
      <w:r w:rsidR="00CA4540">
        <w:t xml:space="preserve"> accordingly</w:t>
      </w:r>
      <w:r w:rsidRPr="003902E4">
        <w:t xml:space="preserve"> now has the ability to establish an AEOF similar to those </w:t>
      </w:r>
      <w:r w:rsidR="00570136">
        <w:t>that have operated</w:t>
      </w:r>
      <w:r w:rsidRPr="003902E4">
        <w:t xml:space="preserve"> in</w:t>
      </w:r>
      <w:r w:rsidR="00CA4540">
        <w:t xml:space="preserve"> England and Scotland. No such scheme, however</w:t>
      </w:r>
      <w:r w:rsidR="00A56065">
        <w:t>,</w:t>
      </w:r>
      <w:r w:rsidR="00CA4540">
        <w:t xml:space="preserve"> has been</w:t>
      </w:r>
      <w:r w:rsidRPr="003902E4">
        <w:t xml:space="preserve"> implemented.</w:t>
      </w:r>
    </w:p>
    <w:p w14:paraId="0A5C4C89" w14:textId="15CDAF3D" w:rsidR="003902E4" w:rsidRDefault="003902E4" w:rsidP="0043552F">
      <w:pPr>
        <w:pStyle w:val="Parabeforenewsubsection"/>
      </w:pPr>
      <w:r w:rsidRPr="003902E4">
        <w:t xml:space="preserve">The Assembly Commission </w:t>
      </w:r>
      <w:r>
        <w:t>has been given</w:t>
      </w:r>
      <w:r w:rsidRPr="003902E4">
        <w:t xml:space="preserve"> approval to introduce the Welsh Parliament and Elections (Wales) Bill.</w:t>
      </w:r>
      <w:r w:rsidRPr="003902E4">
        <w:rPr>
          <w:vertAlign w:val="superscript"/>
        </w:rPr>
        <w:footnoteReference w:id="36"/>
      </w:r>
      <w:r w:rsidRPr="003902E4">
        <w:t xml:space="preserve"> This Bill proposes to lower the voting age to 16 for Assembly elections, and make other changes to electoral and internal arrangements. This presents a</w:t>
      </w:r>
      <w:r w:rsidR="00E95382">
        <w:t>n</w:t>
      </w:r>
      <w:r w:rsidRPr="003902E4">
        <w:t xml:space="preserve"> opportunity to involve a more diverse range of women and girls in decision-making in Wales.</w:t>
      </w:r>
    </w:p>
    <w:p w14:paraId="0CE5C6E7" w14:textId="1F110898" w:rsidR="00E1148E" w:rsidRPr="0043552F" w:rsidRDefault="003902E4" w:rsidP="0043552F">
      <w:pPr>
        <w:pStyle w:val="Title-subsections"/>
      </w:pPr>
      <w:r>
        <w:t>Recommendations</w:t>
      </w:r>
    </w:p>
    <w:p w14:paraId="00E47D2B" w14:textId="4B250451" w:rsidR="00A56065" w:rsidRDefault="00E1148E" w:rsidP="0043552F">
      <w:pPr>
        <w:pStyle w:val="Parabeforebulletss"/>
      </w:pPr>
      <w:r>
        <w:t>The</w:t>
      </w:r>
      <w:r w:rsidR="002806AC">
        <w:t xml:space="preserve"> EHRC recommends that the</w:t>
      </w:r>
      <w:r>
        <w:t xml:space="preserve"> UK and Welsh Governments, where relevant, should:</w:t>
      </w:r>
    </w:p>
    <w:p w14:paraId="7417FB39" w14:textId="08A1844E" w:rsidR="00A56065" w:rsidRPr="00A56065" w:rsidRDefault="00E1148E" w:rsidP="0043552F">
      <w:pPr>
        <w:pStyle w:val="Bullet-followedbyothers"/>
      </w:pPr>
      <w:r w:rsidRPr="00E1148E">
        <w:t xml:space="preserve">implement the statutory requirement for political parties to publish their parliamentary candidate diversity data for general elections, as set out in </w:t>
      </w:r>
      <w:r w:rsidR="00A56065">
        <w:t>s</w:t>
      </w:r>
      <w:r w:rsidRPr="00E1148E">
        <w:t>ection 106 of the Equality Act 2010, and in the interim, encourage political parties to publish voluntary diversity data via an independent third party</w:t>
      </w:r>
    </w:p>
    <w:p w14:paraId="1077C57B" w14:textId="2D80A0A5" w:rsidR="00A56065" w:rsidRPr="00A56065" w:rsidRDefault="00E1148E" w:rsidP="0043552F">
      <w:pPr>
        <w:pStyle w:val="Bullet-followedbyothers"/>
      </w:pPr>
      <w:r w:rsidRPr="00E1148E">
        <w:t>encourage all women, particularly those sharing other protected characteristics, to participate in democracy and politics through outreach initiatives, and continue to investigate ways of reducing barriers to women’s participation</w:t>
      </w:r>
      <w:r w:rsidR="0043552F">
        <w:t>, and</w:t>
      </w:r>
    </w:p>
    <w:p w14:paraId="4C950187" w14:textId="075771F9" w:rsidR="00E1148E" w:rsidRDefault="00E1148E" w:rsidP="0043552F">
      <w:pPr>
        <w:pStyle w:val="Bullet-followedbyothers"/>
      </w:pPr>
      <w:r w:rsidRPr="00A63AF0">
        <w:t>work with political parties and other stakeholders to improve the</w:t>
      </w:r>
      <w:r w:rsidR="00A63AF0" w:rsidRPr="00A63AF0">
        <w:t xml:space="preserve"> reliability of</w:t>
      </w:r>
      <w:r w:rsidRPr="00A63AF0">
        <w:t xml:space="preserve"> support available to disabled</w:t>
      </w:r>
      <w:r w:rsidR="00A63AF0" w:rsidRPr="00A63AF0">
        <w:t xml:space="preserve"> women</w:t>
      </w:r>
      <w:r w:rsidRPr="00A63AF0">
        <w:t xml:space="preserve"> candidates, and </w:t>
      </w:r>
      <w:r w:rsidR="00A63AF0" w:rsidRPr="00A63AF0">
        <w:t>legislate to</w:t>
      </w:r>
      <w:r w:rsidRPr="00A63AF0">
        <w:t xml:space="preserve"> </w:t>
      </w:r>
      <w:r w:rsidR="00A63AF0" w:rsidRPr="00A63AF0">
        <w:t xml:space="preserve">exempt costs </w:t>
      </w:r>
      <w:r w:rsidR="00A63AF0" w:rsidRPr="00A63AF0">
        <w:lastRenderedPageBreak/>
        <w:t>arising from disabled</w:t>
      </w:r>
      <w:r w:rsidR="00A63AF0">
        <w:t xml:space="preserve"> </w:t>
      </w:r>
      <w:r w:rsidR="00A63AF0" w:rsidRPr="00A63AF0">
        <w:t>candidates’ impairments from statutory</w:t>
      </w:r>
      <w:r w:rsidR="00A63AF0">
        <w:t xml:space="preserve"> </w:t>
      </w:r>
      <w:r w:rsidR="00A63AF0" w:rsidRPr="00A63AF0">
        <w:t>limits on campaign expenditure</w:t>
      </w:r>
      <w:r w:rsidR="00A56065">
        <w:t>.</w:t>
      </w:r>
    </w:p>
    <w:p w14:paraId="40BC0FA9" w14:textId="77777777" w:rsidR="002806AC" w:rsidRPr="00A63AF0" w:rsidRDefault="002806AC" w:rsidP="002806AC">
      <w:pPr>
        <w:pStyle w:val="Bullet-followedbyothers"/>
        <w:numPr>
          <w:ilvl w:val="0"/>
          <w:numId w:val="0"/>
        </w:numPr>
        <w:ind w:left="340"/>
      </w:pPr>
    </w:p>
    <w:p w14:paraId="0FBAC15A" w14:textId="0478BD6A" w:rsidR="00211F67" w:rsidRPr="00F90308" w:rsidRDefault="003902E4" w:rsidP="00F90308">
      <w:pPr>
        <w:pStyle w:val="Title-sectionspink"/>
      </w:pPr>
      <w:bookmarkStart w:id="28" w:name="_Toc534726614"/>
      <w:r>
        <w:t>Gender stereotypes</w:t>
      </w:r>
      <w:bookmarkEnd w:id="28"/>
      <w:r w:rsidR="00211F67" w:rsidRPr="00F90308">
        <w:t xml:space="preserve"> </w:t>
      </w:r>
    </w:p>
    <w:p w14:paraId="4F7E07C4" w14:textId="158506C1" w:rsidR="00C12EEB" w:rsidRPr="0055654B" w:rsidRDefault="00C12EEB" w:rsidP="0043552F">
      <w:pPr>
        <w:pStyle w:val="Parabeforeanother"/>
      </w:pPr>
      <w:r w:rsidRPr="0055654B">
        <w:t xml:space="preserve">Under article </w:t>
      </w:r>
      <w:r w:rsidR="003E7D1C">
        <w:t>5</w:t>
      </w:r>
      <w:r w:rsidRPr="0055654B">
        <w:t xml:space="preserve"> of CEDAW, on modifying the social and cultural patterns of conduct of men and women, </w:t>
      </w:r>
      <w:r w:rsidR="003E7D1C">
        <w:t>S</w:t>
      </w:r>
      <w:r w:rsidRPr="0055654B">
        <w:t xml:space="preserve">tate </w:t>
      </w:r>
      <w:r w:rsidR="003E7D1C">
        <w:t>P</w:t>
      </w:r>
      <w:r w:rsidRPr="0055654B">
        <w:t xml:space="preserve">arties have an obligation to eliminate practices </w:t>
      </w:r>
      <w:r w:rsidR="003E7D1C">
        <w:t>that</w:t>
      </w:r>
      <w:r w:rsidRPr="0055654B">
        <w:t xml:space="preserve"> are based on the idea of the inferiority or the superiority of either of the sexes</w:t>
      </w:r>
      <w:r w:rsidR="003E7D1C">
        <w:t>,</w:t>
      </w:r>
      <w:r w:rsidRPr="0055654B">
        <w:t xml:space="preserve"> or on stereotyped roles for men and women.  </w:t>
      </w:r>
    </w:p>
    <w:p w14:paraId="73D22749" w14:textId="662520F3" w:rsidR="0055654B" w:rsidRPr="0055654B" w:rsidRDefault="0055654B" w:rsidP="0043552F">
      <w:pPr>
        <w:pStyle w:val="Parabeforeanother"/>
      </w:pPr>
      <w:r w:rsidRPr="0055654B">
        <w:t>The EHRC has welcomed the proactive approach adopted by the Advertising Standards Authority (ASA)</w:t>
      </w:r>
      <w:r w:rsidR="00665F37">
        <w:t>,</w:t>
      </w:r>
      <w:r w:rsidRPr="0055654B">
        <w:t xml:space="preserve"> as the regulator for the advertising industry</w:t>
      </w:r>
      <w:r w:rsidR="00665F37">
        <w:t>,</w:t>
      </w:r>
      <w:r w:rsidRPr="0055654B">
        <w:t xml:space="preserve"> in presenting the evidence base for tackling gender stereotyping in its </w:t>
      </w:r>
      <w:r w:rsidR="00122E67">
        <w:t xml:space="preserve">2017 </w:t>
      </w:r>
      <w:r w:rsidRPr="0055654B">
        <w:t xml:space="preserve">report ‘Depictions, </w:t>
      </w:r>
      <w:r w:rsidR="00665F37">
        <w:t>p</w:t>
      </w:r>
      <w:r w:rsidRPr="0055654B">
        <w:t xml:space="preserve">erceptions and </w:t>
      </w:r>
      <w:r w:rsidR="00665F37">
        <w:t>h</w:t>
      </w:r>
      <w:r w:rsidRPr="0055654B">
        <w:t>arm’.</w:t>
      </w:r>
      <w:r>
        <w:rPr>
          <w:rStyle w:val="FootnoteReference"/>
        </w:rPr>
        <w:footnoteReference w:id="37"/>
      </w:r>
      <w:r w:rsidRPr="0055654B">
        <w:t xml:space="preserve"> </w:t>
      </w:r>
    </w:p>
    <w:p w14:paraId="0CCDC922" w14:textId="5A5C2F50" w:rsidR="0055654B" w:rsidRPr="0055654B" w:rsidRDefault="0055654B" w:rsidP="0043552F">
      <w:pPr>
        <w:pStyle w:val="Parabeforeanother"/>
      </w:pPr>
      <w:r w:rsidRPr="0055654B">
        <w:t xml:space="preserve">The ASA’s report described the weight of evidence from academics and in the form of public opinion that demonstrated gender stereotyping in the media </w:t>
      </w:r>
      <w:r w:rsidR="00665F37">
        <w:t>‘</w:t>
      </w:r>
      <w:r w:rsidRPr="0055654B">
        <w:t>can lead to mental, physical and social harm which can limit the potential of groups and individuals</w:t>
      </w:r>
      <w:r w:rsidR="00665F37">
        <w:t>’</w:t>
      </w:r>
      <w:r w:rsidRPr="0055654B">
        <w:t>.</w:t>
      </w:r>
      <w:r>
        <w:t xml:space="preserve"> </w:t>
      </w:r>
      <w:r w:rsidR="00A62652">
        <w:t>The ASA</w:t>
      </w:r>
      <w:r w:rsidRPr="0055654B">
        <w:t xml:space="preserve"> consulted on </w:t>
      </w:r>
      <w:r w:rsidR="00B20351">
        <w:t xml:space="preserve">how to </w:t>
      </w:r>
      <w:r w:rsidRPr="0055654B">
        <w:t>address the use of harmful gender st</w:t>
      </w:r>
      <w:r w:rsidR="00A62652">
        <w:t>ereotypes in advertising,</w:t>
      </w:r>
      <w:r w:rsidR="00B20351">
        <w:rPr>
          <w:rStyle w:val="FootnoteReference"/>
        </w:rPr>
        <w:footnoteReference w:id="38"/>
      </w:r>
      <w:r w:rsidR="00A62652">
        <w:t xml:space="preserve"> and issued new guidance in December 2018</w:t>
      </w:r>
      <w:r w:rsidRPr="0055654B">
        <w:t>.</w:t>
      </w:r>
      <w:r w:rsidR="00A62652">
        <w:rPr>
          <w:rStyle w:val="FootnoteReference"/>
        </w:rPr>
        <w:footnoteReference w:id="39"/>
      </w:r>
    </w:p>
    <w:p w14:paraId="135F2751" w14:textId="1C60BC24" w:rsidR="00E93D38" w:rsidRDefault="0055654B" w:rsidP="0043552F">
      <w:pPr>
        <w:pStyle w:val="Parabeforeanother"/>
      </w:pPr>
      <w:r w:rsidRPr="0055654B">
        <w:t xml:space="preserve">In January 2018, </w:t>
      </w:r>
      <w:r w:rsidR="00665F37">
        <w:t xml:space="preserve">the </w:t>
      </w:r>
      <w:r w:rsidRPr="0055654B">
        <w:t>Welsh Government produced a multimedia campaign aimed at challenging gender stereotypes in Wales.</w:t>
      </w:r>
      <w:r w:rsidRPr="0055654B">
        <w:rPr>
          <w:vertAlign w:val="superscript"/>
        </w:rPr>
        <w:footnoteReference w:id="40"/>
      </w:r>
      <w:r w:rsidRPr="0055654B">
        <w:t xml:space="preserve"> The campaign recognised</w:t>
      </w:r>
      <w:r w:rsidRPr="0055654B">
        <w:rPr>
          <w:sz w:val="16"/>
          <w:szCs w:val="16"/>
        </w:rPr>
        <w:t xml:space="preserve"> </w:t>
      </w:r>
      <w:r w:rsidRPr="0055654B">
        <w:t>gender stereotyping as both a cause and a consequence of violence against women and girls. The campaign reports to have had a broad reach</w:t>
      </w:r>
      <w:r w:rsidR="00665F37">
        <w:t>,</w:t>
      </w:r>
      <w:r w:rsidRPr="0055654B">
        <w:t xml:space="preserve"> with </w:t>
      </w:r>
      <w:r w:rsidR="00665F37">
        <w:t>7m</w:t>
      </w:r>
      <w:r w:rsidRPr="0055654B">
        <w:t xml:space="preserve"> ‘views’ through TV and radio advertisements. This is part of an ongoing communications campaign by the Welsh Government to increase awareness and challenge attitudes </w:t>
      </w:r>
      <w:r w:rsidR="00A63AF0">
        <w:t>towards violence against women.</w:t>
      </w:r>
    </w:p>
    <w:p w14:paraId="687D18DE" w14:textId="7141C141" w:rsidR="00A63AF0" w:rsidRPr="00A63AF0" w:rsidRDefault="00E93D38" w:rsidP="0043552F">
      <w:pPr>
        <w:pStyle w:val="Parabeforenewsubsection"/>
      </w:pPr>
      <w:r w:rsidRPr="00E93D38">
        <w:t xml:space="preserve">Evidence from </w:t>
      </w:r>
      <w:r>
        <w:t>our</w:t>
      </w:r>
      <w:r w:rsidRPr="00E93D38">
        <w:t xml:space="preserve"> work to develop a national survey of pr</w:t>
      </w:r>
      <w:r>
        <w:t>ejudice and discrimination in Britain</w:t>
      </w:r>
      <w:r w:rsidRPr="00E93D38">
        <w:t xml:space="preserve"> found that 22% of people said they had experienced discrimination on the </w:t>
      </w:r>
      <w:r w:rsidRPr="00E93D38">
        <w:lastRenderedPageBreak/>
        <w:t>basis of their sex in the past year. This was more common among women (30%) than men (13%). The survey also found that 10% of people felt that attempts to give equal opportunities to women had ‘gone too far’.</w:t>
      </w:r>
      <w:r>
        <w:rPr>
          <w:rStyle w:val="FootnoteReference"/>
        </w:rPr>
        <w:footnoteReference w:id="41"/>
      </w:r>
    </w:p>
    <w:p w14:paraId="6F2044FB" w14:textId="77777777" w:rsidR="00211F67" w:rsidRDefault="00211F67" w:rsidP="00F90308">
      <w:pPr>
        <w:pStyle w:val="Title-subsections"/>
      </w:pPr>
      <w:r w:rsidRPr="00212E21">
        <w:t>Recommendations</w:t>
      </w:r>
    </w:p>
    <w:p w14:paraId="7D6ADBCC" w14:textId="569A16F8" w:rsidR="00600C1C" w:rsidRPr="0043552F" w:rsidRDefault="0055654B" w:rsidP="0043552F">
      <w:pPr>
        <w:pStyle w:val="Parabeforebulletss"/>
      </w:pPr>
      <w:r>
        <w:t xml:space="preserve">The </w:t>
      </w:r>
      <w:r w:rsidR="002806AC">
        <w:t xml:space="preserve">EHRC recommends that the </w:t>
      </w:r>
      <w:r>
        <w:t xml:space="preserve">UK </w:t>
      </w:r>
      <w:r w:rsidRPr="0055654B">
        <w:t>Government should:</w:t>
      </w:r>
    </w:p>
    <w:p w14:paraId="3BA91EDD" w14:textId="0303A8E6" w:rsidR="0055654B" w:rsidRPr="00D43A2A" w:rsidRDefault="00600C1C" w:rsidP="0043552F">
      <w:pPr>
        <w:pStyle w:val="Bullet-followedbyothers"/>
      </w:pPr>
      <w:r>
        <w:t>w</w:t>
      </w:r>
      <w:r w:rsidR="0055654B" w:rsidRPr="00D43A2A">
        <w:t>ork with the relevant authorities to ensure that any new guidance</w:t>
      </w:r>
      <w:r w:rsidR="00E95382">
        <w:t xml:space="preserve"> on advertising standards</w:t>
      </w:r>
      <w:r w:rsidR="0055654B" w:rsidRPr="00D43A2A">
        <w:t>:</w:t>
      </w:r>
    </w:p>
    <w:p w14:paraId="355D3F2F" w14:textId="6306BC43" w:rsidR="00D43A2A" w:rsidRDefault="0055654B" w:rsidP="0043552F">
      <w:pPr>
        <w:pStyle w:val="Bullets-sub-bullets"/>
        <w:rPr>
          <w:lang w:val="en-US"/>
        </w:rPr>
      </w:pPr>
      <w:r w:rsidRPr="00D43A2A">
        <w:rPr>
          <w:lang w:val="en-US"/>
        </w:rPr>
        <w:t>recognises the link between gender stereotyping and gender</w:t>
      </w:r>
      <w:r w:rsidR="00600C1C">
        <w:rPr>
          <w:lang w:val="en-US"/>
        </w:rPr>
        <w:t>-</w:t>
      </w:r>
      <w:r w:rsidRPr="00D43A2A">
        <w:rPr>
          <w:lang w:val="en-US"/>
        </w:rPr>
        <w:t xml:space="preserve">based violence, and the consequent societal harm such stereotypes may cause </w:t>
      </w:r>
    </w:p>
    <w:p w14:paraId="6371D890" w14:textId="10426DE7" w:rsidR="0055654B" w:rsidRPr="00D43A2A" w:rsidRDefault="0055654B" w:rsidP="0043552F">
      <w:pPr>
        <w:pStyle w:val="Bullets-sub-bullets"/>
        <w:rPr>
          <w:lang w:val="en-US"/>
        </w:rPr>
      </w:pPr>
      <w:r w:rsidRPr="00D43A2A">
        <w:rPr>
          <w:lang w:val="en-US"/>
        </w:rPr>
        <w:t xml:space="preserve">clarifies when adverts for the sex industry will fall </w:t>
      </w:r>
      <w:r w:rsidR="00E95382">
        <w:rPr>
          <w:lang w:val="en-US"/>
        </w:rPr>
        <w:t>under</w:t>
      </w:r>
      <w:r w:rsidRPr="00D43A2A">
        <w:rPr>
          <w:lang w:val="en-US"/>
        </w:rPr>
        <w:t xml:space="preserve"> the new rule in light of the harm and offence they may cause</w:t>
      </w:r>
      <w:r w:rsidR="0079413F">
        <w:rPr>
          <w:lang w:val="en-US"/>
        </w:rPr>
        <w:t>, and</w:t>
      </w:r>
    </w:p>
    <w:p w14:paraId="218DE8ED" w14:textId="42C28617" w:rsidR="0055654B" w:rsidRPr="0055654B" w:rsidRDefault="0055654B" w:rsidP="0079413F">
      <w:pPr>
        <w:pStyle w:val="Bullets-sub-bullets"/>
        <w:spacing w:after="240"/>
        <w:rPr>
          <w:lang w:val="en-US"/>
        </w:rPr>
      </w:pPr>
      <w:r w:rsidRPr="0055654B">
        <w:rPr>
          <w:lang w:val="en-US"/>
        </w:rPr>
        <w:t xml:space="preserve">sets out how the ASA will approach compliance with the Public Sector Equality Duty in its adjudication of complaints under the new rule. </w:t>
      </w:r>
    </w:p>
    <w:p w14:paraId="650027B8" w14:textId="63FAF1C5" w:rsidR="0055654B" w:rsidRDefault="0055654B" w:rsidP="0079413F">
      <w:pPr>
        <w:pStyle w:val="Parabeforebulletss"/>
      </w:pPr>
      <w:r>
        <w:t xml:space="preserve">The </w:t>
      </w:r>
      <w:r w:rsidR="002806AC">
        <w:t xml:space="preserve">EHRC recommends that the </w:t>
      </w:r>
      <w:r>
        <w:t>Welsh Government should:</w:t>
      </w:r>
    </w:p>
    <w:p w14:paraId="7A012AD5" w14:textId="6AEAE1D7" w:rsidR="00D43A2A" w:rsidRPr="0079413F" w:rsidRDefault="00600C1C" w:rsidP="0079413F">
      <w:pPr>
        <w:pStyle w:val="Bullet-lastingroup"/>
      </w:pPr>
      <w:r>
        <w:t>e</w:t>
      </w:r>
      <w:r w:rsidR="0055654B" w:rsidRPr="00165EBE">
        <w:t>valuate, and publish the results of, the impact its multimedia campaign has had in changing attitude</w:t>
      </w:r>
      <w:r w:rsidR="00FC345C" w:rsidRPr="00165EBE">
        <w:t>s on gender stereotype</w:t>
      </w:r>
      <w:r w:rsidR="0055654B" w:rsidRPr="00165EBE">
        <w:t>s</w:t>
      </w:r>
      <w:r>
        <w:t>.</w:t>
      </w:r>
    </w:p>
    <w:p w14:paraId="68851600" w14:textId="240F4CC7" w:rsidR="00212E21" w:rsidRDefault="00211F67" w:rsidP="00212E21">
      <w:pPr>
        <w:pStyle w:val="Title-chapterpink"/>
        <w:spacing w:after="0"/>
      </w:pPr>
      <w:bookmarkStart w:id="29" w:name="_Toc534726615"/>
      <w:r w:rsidRPr="00164F60">
        <w:lastRenderedPageBreak/>
        <w:t>3. Gender-based violence, harassment and abuse</w:t>
      </w:r>
      <w:r>
        <w:t>:</w:t>
      </w:r>
      <w:bookmarkEnd w:id="29"/>
      <w:r>
        <w:t xml:space="preserve"> </w:t>
      </w:r>
    </w:p>
    <w:p w14:paraId="20378BE7" w14:textId="4C2DE02A" w:rsidR="00211F67" w:rsidRPr="00212E21" w:rsidRDefault="00211F67" w:rsidP="00F90308">
      <w:pPr>
        <w:pStyle w:val="Title-chapterpink"/>
        <w:rPr>
          <w:color w:val="auto"/>
          <w:sz w:val="36"/>
          <w:szCs w:val="36"/>
        </w:rPr>
      </w:pPr>
      <w:bookmarkStart w:id="30" w:name="_Toc534726616"/>
      <w:r w:rsidRPr="00212E21">
        <w:rPr>
          <w:color w:val="auto"/>
          <w:sz w:val="36"/>
          <w:szCs w:val="36"/>
        </w:rPr>
        <w:t>relates to</w:t>
      </w:r>
      <w:r w:rsidR="00BA33B1">
        <w:rPr>
          <w:color w:val="auto"/>
          <w:sz w:val="36"/>
          <w:szCs w:val="36"/>
        </w:rPr>
        <w:t xml:space="preserve"> LoI paragraphs 8, 9, 10 and 21,</w:t>
      </w:r>
      <w:r w:rsidRPr="00212E21">
        <w:rPr>
          <w:color w:val="auto"/>
          <w:sz w:val="36"/>
          <w:szCs w:val="36"/>
        </w:rPr>
        <w:t xml:space="preserve"> articles 1, 2, 5.a and 16, CO paragraphs 21, 35.a-d and 37 and SDGs 5 and 16</w:t>
      </w:r>
      <w:bookmarkEnd w:id="30"/>
      <w:r w:rsidRPr="00212E21">
        <w:rPr>
          <w:color w:val="auto"/>
          <w:sz w:val="36"/>
          <w:szCs w:val="36"/>
        </w:rPr>
        <w:t xml:space="preserve"> </w:t>
      </w:r>
    </w:p>
    <w:p w14:paraId="05A70C2F" w14:textId="77777777" w:rsidR="00211F67" w:rsidRPr="00164F60" w:rsidRDefault="00211F67" w:rsidP="00F90308">
      <w:pPr>
        <w:pStyle w:val="Title-sectionspink"/>
      </w:pPr>
      <w:bookmarkStart w:id="31" w:name="_Toc534726617"/>
      <w:r w:rsidRPr="00164F60">
        <w:t>Background and context</w:t>
      </w:r>
      <w:bookmarkEnd w:id="31"/>
    </w:p>
    <w:p w14:paraId="75CB7ACE" w14:textId="486D0715" w:rsidR="00FE5442" w:rsidRDefault="00FE5442" w:rsidP="0079413F">
      <w:pPr>
        <w:pStyle w:val="Parabeforeanother"/>
        <w:rPr>
          <w:lang w:eastAsia="en-GB"/>
        </w:rPr>
      </w:pPr>
      <w:r>
        <w:rPr>
          <w:lang w:eastAsia="en-GB"/>
        </w:rPr>
        <w:t xml:space="preserve">In October 2018, the UK Government published its second annual report on progress towards </w:t>
      </w:r>
      <w:r w:rsidR="00D13A1E">
        <w:rPr>
          <w:lang w:eastAsia="en-GB"/>
        </w:rPr>
        <w:t>ratifying</w:t>
      </w:r>
      <w:r w:rsidR="00E95382">
        <w:rPr>
          <w:lang w:eastAsia="en-GB"/>
        </w:rPr>
        <w:t xml:space="preserve"> the</w:t>
      </w:r>
      <w:r w:rsidR="00D13A1E">
        <w:rPr>
          <w:lang w:eastAsia="en-GB"/>
        </w:rPr>
        <w:t xml:space="preserve"> </w:t>
      </w:r>
      <w:r>
        <w:rPr>
          <w:lang w:eastAsia="en-GB"/>
        </w:rPr>
        <w:t>Istanbul Convention.</w:t>
      </w:r>
      <w:r>
        <w:rPr>
          <w:rStyle w:val="FootnoteReference"/>
          <w:rFonts w:eastAsia="Times New Roman"/>
          <w:lang w:eastAsia="en-GB"/>
        </w:rPr>
        <w:footnoteReference w:id="42"/>
      </w:r>
      <w:r>
        <w:rPr>
          <w:lang w:eastAsia="en-GB"/>
        </w:rPr>
        <w:t xml:space="preserve"> </w:t>
      </w:r>
      <w:r w:rsidR="00200D3C">
        <w:rPr>
          <w:lang w:eastAsia="en-GB"/>
        </w:rPr>
        <w:t>I</w:t>
      </w:r>
      <w:r>
        <w:rPr>
          <w:lang w:eastAsia="en-GB"/>
        </w:rPr>
        <w:t>t reaffirmed the UK Government’s intention to take further steps in the context of the proposed Domestic Abuse Bill, and included a commitment to refresh the</w:t>
      </w:r>
      <w:r w:rsidR="00997E89">
        <w:rPr>
          <w:lang w:eastAsia="en-GB"/>
        </w:rPr>
        <w:t xml:space="preserve"> UK Government’s</w:t>
      </w:r>
      <w:r>
        <w:rPr>
          <w:lang w:eastAsia="en-GB"/>
        </w:rPr>
        <w:t xml:space="preserve"> violence against women and girls </w:t>
      </w:r>
      <w:r w:rsidR="004273A2">
        <w:rPr>
          <w:lang w:eastAsia="en-GB"/>
        </w:rPr>
        <w:t xml:space="preserve">(VAWG) </w:t>
      </w:r>
      <w:r>
        <w:rPr>
          <w:lang w:eastAsia="en-GB"/>
        </w:rPr>
        <w:t>strategy.</w:t>
      </w:r>
      <w:r w:rsidR="00997E89">
        <w:rPr>
          <w:lang w:eastAsia="en-GB"/>
        </w:rPr>
        <w:t xml:space="preserve"> </w:t>
      </w:r>
    </w:p>
    <w:p w14:paraId="2F5F4294" w14:textId="73D9B840" w:rsidR="00FE5442" w:rsidRPr="00FE5442" w:rsidRDefault="00FE5442" w:rsidP="0079413F">
      <w:pPr>
        <w:pStyle w:val="Parabeforenewsubsection"/>
        <w:rPr>
          <w:lang w:eastAsia="en-GB"/>
        </w:rPr>
      </w:pPr>
      <w:r w:rsidRPr="00FE5442">
        <w:rPr>
          <w:lang w:eastAsia="en-GB"/>
        </w:rPr>
        <w:t>In June 2018, the Welsh Government reported on progress</w:t>
      </w:r>
      <w:r w:rsidRPr="00FE5442">
        <w:rPr>
          <w:vertAlign w:val="superscript"/>
          <w:lang w:eastAsia="en-GB"/>
        </w:rPr>
        <w:footnoteReference w:id="43"/>
      </w:r>
      <w:r w:rsidRPr="00FE5442">
        <w:rPr>
          <w:lang w:eastAsia="en-GB"/>
        </w:rPr>
        <w:t xml:space="preserve"> made towards achieving the aims of the Vi</w:t>
      </w:r>
      <w:r w:rsidR="00026302">
        <w:rPr>
          <w:lang w:eastAsia="en-GB"/>
        </w:rPr>
        <w:t xml:space="preserve">olence </w:t>
      </w:r>
      <w:r w:rsidR="004273A2">
        <w:rPr>
          <w:lang w:eastAsia="en-GB"/>
        </w:rPr>
        <w:t>a</w:t>
      </w:r>
      <w:r w:rsidR="00026302">
        <w:rPr>
          <w:lang w:eastAsia="en-GB"/>
        </w:rPr>
        <w:t>gainst Women, Domestic A</w:t>
      </w:r>
      <w:r w:rsidRPr="00FE5442">
        <w:rPr>
          <w:lang w:eastAsia="en-GB"/>
        </w:rPr>
        <w:t xml:space="preserve">buse and Sexual Violence (Wales) Act 2015 and the objectives set out in the </w:t>
      </w:r>
      <w:r w:rsidR="004273A2">
        <w:rPr>
          <w:lang w:eastAsia="en-GB"/>
        </w:rPr>
        <w:t>a</w:t>
      </w:r>
      <w:r w:rsidRPr="00FE5442">
        <w:rPr>
          <w:lang w:eastAsia="en-GB"/>
        </w:rPr>
        <w:t>ct’s acc</w:t>
      </w:r>
      <w:r w:rsidR="00997E89">
        <w:rPr>
          <w:lang w:eastAsia="en-GB"/>
        </w:rPr>
        <w:t xml:space="preserve">ompanying national strategy. </w:t>
      </w:r>
      <w:r w:rsidRPr="00FE5442">
        <w:rPr>
          <w:lang w:eastAsia="en-GB"/>
        </w:rPr>
        <w:t xml:space="preserve">The Welsh Government reported on a wide range of activities </w:t>
      </w:r>
      <w:r w:rsidR="00E95382">
        <w:rPr>
          <w:lang w:eastAsia="en-GB"/>
        </w:rPr>
        <w:t>but</w:t>
      </w:r>
      <w:r w:rsidRPr="00FE5442">
        <w:rPr>
          <w:lang w:eastAsia="en-GB"/>
        </w:rPr>
        <w:t xml:space="preserve"> the</w:t>
      </w:r>
      <w:r w:rsidR="00484951">
        <w:rPr>
          <w:lang w:eastAsia="en-GB"/>
        </w:rPr>
        <w:t xml:space="preserve"> document</w:t>
      </w:r>
      <w:r w:rsidRPr="00FE5442">
        <w:rPr>
          <w:lang w:eastAsia="en-GB"/>
        </w:rPr>
        <w:t xml:space="preserve"> does </w:t>
      </w:r>
      <w:r w:rsidR="005F0B54">
        <w:rPr>
          <w:lang w:eastAsia="en-GB"/>
        </w:rPr>
        <w:t xml:space="preserve">not contain evidence of impact. </w:t>
      </w:r>
      <w:r w:rsidRPr="00FE5442">
        <w:rPr>
          <w:lang w:eastAsia="en-GB"/>
        </w:rPr>
        <w:t>A delivery plan for 2018</w:t>
      </w:r>
      <w:r w:rsidR="004273A2">
        <w:rPr>
          <w:lang w:eastAsia="en-GB"/>
        </w:rPr>
        <w:t>–</w:t>
      </w:r>
      <w:r w:rsidRPr="00FE5442">
        <w:rPr>
          <w:lang w:eastAsia="en-GB"/>
        </w:rPr>
        <w:t>21 was launched in Ju</w:t>
      </w:r>
      <w:r w:rsidR="005F0B54">
        <w:rPr>
          <w:lang w:eastAsia="en-GB"/>
        </w:rPr>
        <w:t xml:space="preserve">ly 2018 </w:t>
      </w:r>
      <w:r w:rsidR="004273A2">
        <w:rPr>
          <w:lang w:eastAsia="en-GB"/>
        </w:rPr>
        <w:t>that</w:t>
      </w:r>
      <w:r w:rsidR="005F0B54">
        <w:rPr>
          <w:lang w:eastAsia="en-GB"/>
        </w:rPr>
        <w:t xml:space="preserve"> sets out how the Welsh G</w:t>
      </w:r>
      <w:r w:rsidRPr="00FE5442">
        <w:rPr>
          <w:lang w:eastAsia="en-GB"/>
        </w:rPr>
        <w:t xml:space="preserve">overnment </w:t>
      </w:r>
      <w:r w:rsidR="005F0B54">
        <w:rPr>
          <w:lang w:eastAsia="en-GB"/>
        </w:rPr>
        <w:t>will achieve its objectives,</w:t>
      </w:r>
      <w:r w:rsidRPr="00FE5442">
        <w:rPr>
          <w:lang w:eastAsia="en-GB"/>
        </w:rPr>
        <w:t xml:space="preserve"> although there are still no</w:t>
      </w:r>
      <w:r>
        <w:rPr>
          <w:lang w:eastAsia="en-GB"/>
        </w:rPr>
        <w:t xml:space="preserve"> finalised national indicators.</w:t>
      </w:r>
      <w:r w:rsidR="00684947">
        <w:rPr>
          <w:lang w:eastAsia="en-GB"/>
        </w:rPr>
        <w:t xml:space="preserve"> In November 2018, </w:t>
      </w:r>
      <w:r w:rsidR="00684947">
        <w:rPr>
          <w:lang w:eastAsia="en-GB"/>
        </w:rPr>
        <w:lastRenderedPageBreak/>
        <w:t xml:space="preserve">the Welsh Government announced a separate review into </w:t>
      </w:r>
      <w:r w:rsidR="00684947" w:rsidRPr="00684947">
        <w:rPr>
          <w:lang w:eastAsia="en-GB"/>
        </w:rPr>
        <w:t>refuge provision and sexual violence services</w:t>
      </w:r>
      <w:r w:rsidR="00684947">
        <w:rPr>
          <w:lang w:eastAsia="en-GB"/>
        </w:rPr>
        <w:t>.</w:t>
      </w:r>
      <w:r w:rsidR="00684947">
        <w:rPr>
          <w:rStyle w:val="FootnoteReference"/>
          <w:rFonts w:eastAsia="Times New Roman"/>
          <w:lang w:eastAsia="en-GB"/>
        </w:rPr>
        <w:footnoteReference w:id="44"/>
      </w:r>
    </w:p>
    <w:p w14:paraId="7E15FCBE" w14:textId="171CA7A6" w:rsidR="00211F67" w:rsidRPr="00212E21" w:rsidRDefault="00211F67" w:rsidP="0079413F">
      <w:pPr>
        <w:pStyle w:val="Title-subsections"/>
      </w:pPr>
      <w:r w:rsidRPr="00212E21">
        <w:t>Recommendations</w:t>
      </w:r>
    </w:p>
    <w:p w14:paraId="2C8DFB56" w14:textId="36B75D40" w:rsidR="00211F67" w:rsidRPr="00212E21" w:rsidRDefault="00D43A2A" w:rsidP="0079413F">
      <w:pPr>
        <w:pStyle w:val="Parabeforebulletss"/>
      </w:pPr>
      <w:r>
        <w:t>The</w:t>
      </w:r>
      <w:r w:rsidR="002806AC">
        <w:t xml:space="preserve"> EHRC recommends that the</w:t>
      </w:r>
      <w:r>
        <w:t xml:space="preserve"> </w:t>
      </w:r>
      <w:r w:rsidR="00211F67" w:rsidRPr="00212E21">
        <w:t>UK and Welsh</w:t>
      </w:r>
      <w:r w:rsidR="00B61B63" w:rsidRPr="00212E21">
        <w:t xml:space="preserve"> </w:t>
      </w:r>
      <w:r w:rsidR="00B61B63" w:rsidRPr="0079413F">
        <w:t>g</w:t>
      </w:r>
      <w:r w:rsidR="00211F67" w:rsidRPr="0079413F">
        <w:t>overnments</w:t>
      </w:r>
      <w:r w:rsidR="00211F67" w:rsidRPr="00212E21">
        <w:t xml:space="preserve">, where relevant, </w:t>
      </w:r>
      <w:r>
        <w:t>should</w:t>
      </w:r>
      <w:r w:rsidR="00211F67" w:rsidRPr="00212E21">
        <w:t>:</w:t>
      </w:r>
    </w:p>
    <w:p w14:paraId="0A759070" w14:textId="18D83FD6" w:rsidR="004273A2" w:rsidRPr="0079413F" w:rsidRDefault="00211F67" w:rsidP="0079413F">
      <w:pPr>
        <w:pStyle w:val="Bullet-followedbyothers"/>
      </w:pPr>
      <w:r w:rsidRPr="0079413F">
        <w:t>u</w:t>
      </w:r>
      <w:r w:rsidR="00D43A2A" w:rsidRPr="0079413F">
        <w:t>ndertake</w:t>
      </w:r>
      <w:r w:rsidRPr="0079413F">
        <w:t xml:space="preserve"> joined-up, strategic cross-UK and cross-</w:t>
      </w:r>
      <w:r w:rsidR="004273A2" w:rsidRPr="0079413F">
        <w:t>g</w:t>
      </w:r>
      <w:r w:rsidRPr="0079413F">
        <w:t>overnment action to tackle VAWG and raise awareness of the issue</w:t>
      </w:r>
      <w:r w:rsidR="0079413F">
        <w:t>, and</w:t>
      </w:r>
    </w:p>
    <w:p w14:paraId="7436130E" w14:textId="22FEDE28" w:rsidR="00A63AF0" w:rsidRPr="0079413F" w:rsidRDefault="00D43A2A" w:rsidP="00A63AF0">
      <w:pPr>
        <w:pStyle w:val="Bullet-lastingroup"/>
      </w:pPr>
      <w:r w:rsidRPr="0079413F">
        <w:t>take</w:t>
      </w:r>
      <w:r w:rsidR="00211F67" w:rsidRPr="0079413F">
        <w:t xml:space="preserve"> urgent steps to put in place the necessary law, policy and practice changes to be able to ratify the Istanbul Convention and, once it is ratified, dedicate sufficient resources to central, devolved and local authorities</w:t>
      </w:r>
      <w:r w:rsidR="00E77AE0" w:rsidRPr="0079413F">
        <w:t xml:space="preserve"> to ensure its effective impleme</w:t>
      </w:r>
      <w:r w:rsidR="00211F67" w:rsidRPr="0079413F">
        <w:t>ntation.</w:t>
      </w:r>
    </w:p>
    <w:p w14:paraId="51D851D0" w14:textId="358B1B5E" w:rsidR="004273A2" w:rsidRPr="0079413F" w:rsidRDefault="00E77AE0" w:rsidP="0079413F">
      <w:pPr>
        <w:pStyle w:val="Parabeforebulletss"/>
      </w:pPr>
      <w:r w:rsidRPr="00A63AF0">
        <w:t xml:space="preserve">The </w:t>
      </w:r>
      <w:r w:rsidR="002806AC">
        <w:t xml:space="preserve">EHRC recommends that the </w:t>
      </w:r>
      <w:r w:rsidRPr="00A63AF0">
        <w:t xml:space="preserve">Welsh Government should: </w:t>
      </w:r>
    </w:p>
    <w:p w14:paraId="3695733D" w14:textId="1D60D3CA" w:rsidR="00E77AE0" w:rsidRPr="0079413F" w:rsidRDefault="004273A2" w:rsidP="0079413F">
      <w:pPr>
        <w:pStyle w:val="Bullet-followedbyothers"/>
      </w:pPr>
      <w:r>
        <w:t>e</w:t>
      </w:r>
      <w:r w:rsidR="00D43A2A">
        <w:t>nsure</w:t>
      </w:r>
      <w:r w:rsidR="00E77AE0" w:rsidRPr="00E77AE0">
        <w:t xml:space="preserve"> the full implementation of the Violence against Women, Domestic Abuse and Sexual Violence (Wales) Act 2015 and deliver the national violence against women, domestic abuse and sexual violence strategy by November 2021</w:t>
      </w:r>
      <w:r w:rsidR="00165EBE">
        <w:t>,</w:t>
      </w:r>
      <w:r w:rsidR="001F6A40" w:rsidRPr="001F6A40">
        <w:t xml:space="preserve"> and publish national indicators to allow evaluation of impact</w:t>
      </w:r>
      <w:r w:rsidR="0079413F">
        <w:t>, and</w:t>
      </w:r>
    </w:p>
    <w:p w14:paraId="52096F25" w14:textId="300C7CF0" w:rsidR="00E77AE0" w:rsidRPr="00E77AE0" w:rsidRDefault="004273A2" w:rsidP="0079413F">
      <w:pPr>
        <w:pStyle w:val="Bullet-followedbyothers"/>
        <w:spacing w:after="680"/>
      </w:pPr>
      <w:r>
        <w:t>r</w:t>
      </w:r>
      <w:r w:rsidR="00E77AE0" w:rsidRPr="00E77AE0">
        <w:t>aise awareness of the issue, including by implementing all outstanding actions from the National Assembly for Wales Equality, Local Government and Communities Committee post-legislative scrutiny of the Violence against Women, Domestic Abuse and Sexual Violence (Wales) Act 2015</w:t>
      </w:r>
      <w:r w:rsidR="001F6A40">
        <w:t xml:space="preserve">, </w:t>
      </w:r>
      <w:r w:rsidR="001F6A40" w:rsidRPr="001F6A40">
        <w:t>and publish national indicator</w:t>
      </w:r>
      <w:r w:rsidR="001F6A40">
        <w:t>s to allow evaluation of impact</w:t>
      </w:r>
      <w:r w:rsidR="00E77AE0" w:rsidRPr="00E77AE0">
        <w:t xml:space="preserve">.  </w:t>
      </w:r>
    </w:p>
    <w:p w14:paraId="61FFBB6B" w14:textId="396C653D" w:rsidR="00211F67" w:rsidRPr="00F90308" w:rsidRDefault="00211F67" w:rsidP="00F90308">
      <w:pPr>
        <w:pStyle w:val="Title-sectionspink"/>
        <w:rPr>
          <w:rFonts w:eastAsia="Calibri"/>
        </w:rPr>
      </w:pPr>
      <w:bookmarkStart w:id="32" w:name="_Toc534726618"/>
      <w:r w:rsidRPr="00F90308">
        <w:t xml:space="preserve">Sexual violence </w:t>
      </w:r>
      <w:r w:rsidR="00E77AE0">
        <w:t>and abuse</w:t>
      </w:r>
      <w:bookmarkEnd w:id="32"/>
    </w:p>
    <w:p w14:paraId="0DF1F8AD" w14:textId="512D2B06" w:rsidR="00AD328B" w:rsidRDefault="00E77AE0" w:rsidP="0079413F">
      <w:pPr>
        <w:pStyle w:val="Parabeforeanother"/>
        <w:rPr>
          <w:lang w:eastAsia="en-GB"/>
        </w:rPr>
      </w:pPr>
      <w:r w:rsidRPr="00E77AE0">
        <w:rPr>
          <w:lang w:eastAsia="en-GB"/>
        </w:rPr>
        <w:t>In 2017, concerns were highlighted in the media about how the police and the Crown Prosecution Service (CPS) were shar</w:t>
      </w:r>
      <w:r w:rsidR="00AD328B">
        <w:rPr>
          <w:lang w:eastAsia="en-GB"/>
        </w:rPr>
        <w:t xml:space="preserve">ing evidence with the defence. </w:t>
      </w:r>
      <w:r w:rsidRPr="00E77AE0">
        <w:rPr>
          <w:lang w:eastAsia="en-GB"/>
        </w:rPr>
        <w:t>A number of high</w:t>
      </w:r>
      <w:r w:rsidR="00AE214B">
        <w:rPr>
          <w:lang w:eastAsia="en-GB"/>
        </w:rPr>
        <w:t>-</w:t>
      </w:r>
      <w:r w:rsidRPr="00E77AE0">
        <w:rPr>
          <w:lang w:eastAsia="en-GB"/>
        </w:rPr>
        <w:t>profile criminal cases</w:t>
      </w:r>
      <w:r w:rsidR="00402430">
        <w:rPr>
          <w:lang w:eastAsia="en-GB"/>
        </w:rPr>
        <w:t xml:space="preserve"> concerning</w:t>
      </w:r>
      <w:r w:rsidR="00C520AA">
        <w:rPr>
          <w:lang w:eastAsia="en-GB"/>
        </w:rPr>
        <w:t xml:space="preserve"> rape and sexual assault</w:t>
      </w:r>
      <w:r w:rsidRPr="00E77AE0">
        <w:rPr>
          <w:lang w:eastAsia="en-GB"/>
        </w:rPr>
        <w:t xml:space="preserve"> collapsed in late 2017 and early 2018.</w:t>
      </w:r>
      <w:r w:rsidR="0084355B">
        <w:rPr>
          <w:rStyle w:val="FootnoteReference"/>
          <w:rFonts w:eastAsia="Times New Roman"/>
          <w:lang w:eastAsia="en-GB"/>
        </w:rPr>
        <w:footnoteReference w:id="45"/>
      </w:r>
      <w:r w:rsidRPr="00E77AE0">
        <w:rPr>
          <w:lang w:eastAsia="en-GB"/>
        </w:rPr>
        <w:t xml:space="preserve"> As a result, the </w:t>
      </w:r>
      <w:r w:rsidR="00594560">
        <w:rPr>
          <w:lang w:eastAsia="en-GB"/>
        </w:rPr>
        <w:t xml:space="preserve">House of Commons </w:t>
      </w:r>
      <w:r w:rsidRPr="00E77AE0">
        <w:rPr>
          <w:lang w:eastAsia="en-GB"/>
        </w:rPr>
        <w:t>Justice Committee launched an inquiry to investigate this issue in January 2018.</w:t>
      </w:r>
      <w:r w:rsidR="00AD328B">
        <w:rPr>
          <w:lang w:eastAsia="en-GB"/>
        </w:rPr>
        <w:t xml:space="preserve"> Although this inquiry looked into issues across the criminal justice system, the </w:t>
      </w:r>
      <w:r w:rsidR="00594560">
        <w:rPr>
          <w:lang w:eastAsia="en-GB"/>
        </w:rPr>
        <w:t>c</w:t>
      </w:r>
      <w:r w:rsidR="00C64860">
        <w:rPr>
          <w:lang w:eastAsia="en-GB"/>
        </w:rPr>
        <w:t xml:space="preserve">ommittee’s conclusions and </w:t>
      </w:r>
      <w:r w:rsidR="00C64860">
        <w:rPr>
          <w:lang w:eastAsia="en-GB"/>
        </w:rPr>
        <w:lastRenderedPageBreak/>
        <w:t>recommendations, if acted upon</w:t>
      </w:r>
      <w:r w:rsidR="00AD328B">
        <w:rPr>
          <w:lang w:eastAsia="en-GB"/>
        </w:rPr>
        <w:t>, could improve sexual violenc</w:t>
      </w:r>
      <w:r w:rsidR="0079413F">
        <w:rPr>
          <w:lang w:eastAsia="en-GB"/>
        </w:rPr>
        <w:t>e survivors’ access to justice.</w:t>
      </w:r>
    </w:p>
    <w:p w14:paraId="5ECB1771" w14:textId="24EB989D" w:rsidR="00E77AE0" w:rsidRPr="00E77AE0" w:rsidRDefault="00AD328B" w:rsidP="0079413F">
      <w:pPr>
        <w:pStyle w:val="Parabeforeanother"/>
        <w:rPr>
          <w:lang w:eastAsia="en-GB"/>
        </w:rPr>
      </w:pPr>
      <w:r>
        <w:rPr>
          <w:lang w:eastAsia="en-GB"/>
        </w:rPr>
        <w:t>T</w:t>
      </w:r>
      <w:r w:rsidR="00E77AE0" w:rsidRPr="00E77AE0">
        <w:rPr>
          <w:lang w:eastAsia="en-GB"/>
        </w:rPr>
        <w:t xml:space="preserve">he </w:t>
      </w:r>
      <w:r w:rsidR="00594560">
        <w:rPr>
          <w:lang w:eastAsia="en-GB"/>
        </w:rPr>
        <w:t>c</w:t>
      </w:r>
      <w:r w:rsidR="00E77AE0" w:rsidRPr="00E77AE0">
        <w:rPr>
          <w:lang w:eastAsia="en-GB"/>
        </w:rPr>
        <w:t>ommittee concluded that failures in d</w:t>
      </w:r>
      <w:r w:rsidR="00E77AE0" w:rsidRPr="00E77AE0">
        <w:t>isclosure have been widely acknowledged</w:t>
      </w:r>
      <w:r w:rsidR="005F0B54">
        <w:t xml:space="preserve"> for years, but gone unresolved,</w:t>
      </w:r>
      <w:r w:rsidR="00E77AE0" w:rsidRPr="00E77AE0">
        <w:t xml:space="preserve"> partly a</w:t>
      </w:r>
      <w:r w:rsidR="00594560">
        <w:t>s a</w:t>
      </w:r>
      <w:r w:rsidR="00E77AE0" w:rsidRPr="00E77AE0">
        <w:t xml:space="preserve"> result of ‘insufficient focus and leadership by</w:t>
      </w:r>
      <w:r w:rsidR="00585D99">
        <w:t xml:space="preserve"> Ministers and senior officials</w:t>
      </w:r>
      <w:r w:rsidR="00594560">
        <w:t>’</w:t>
      </w:r>
      <w:r w:rsidR="00585D99">
        <w:t>.</w:t>
      </w:r>
      <w:r w:rsidR="00C520AA" w:rsidRPr="00E77AE0">
        <w:rPr>
          <w:vertAlign w:val="superscript"/>
          <w:lang w:eastAsia="en-GB"/>
        </w:rPr>
        <w:footnoteReference w:id="46"/>
      </w:r>
      <w:r w:rsidR="00E77AE0" w:rsidRPr="00E77AE0">
        <w:rPr>
          <w:lang w:eastAsia="en-GB"/>
        </w:rPr>
        <w:t xml:space="preserve"> The </w:t>
      </w:r>
      <w:r w:rsidR="00594560">
        <w:rPr>
          <w:lang w:eastAsia="en-GB"/>
        </w:rPr>
        <w:t>c</w:t>
      </w:r>
      <w:r w:rsidR="00E77AE0" w:rsidRPr="00E77AE0">
        <w:rPr>
          <w:lang w:eastAsia="en-GB"/>
        </w:rPr>
        <w:t xml:space="preserve">ommittee pointed to the need for: </w:t>
      </w:r>
      <w:r w:rsidR="00E77AE0" w:rsidRPr="00E77AE0">
        <w:t>a shift in culture so disclosure is seen as a core justice duty; the right skills and technology to be available, for reviewing police material, and clear guidelines on handling sensitive material.</w:t>
      </w:r>
      <w:r w:rsidR="00E77AE0" w:rsidRPr="00E77AE0">
        <w:rPr>
          <w:vertAlign w:val="superscript"/>
        </w:rPr>
        <w:footnoteReference w:id="47"/>
      </w:r>
      <w:r w:rsidR="00E77AE0" w:rsidRPr="00E77AE0">
        <w:rPr>
          <w:lang w:eastAsia="en-GB"/>
        </w:rPr>
        <w:t xml:space="preserve"> The Attorney General is currently undertaking a wider review of disclosure.</w:t>
      </w:r>
      <w:r w:rsidR="0084355B">
        <w:rPr>
          <w:rStyle w:val="FootnoteReference"/>
          <w:rFonts w:eastAsia="Times New Roman"/>
          <w:lang w:eastAsia="en-GB"/>
        </w:rPr>
        <w:footnoteReference w:id="48"/>
      </w:r>
      <w:r w:rsidR="00E77AE0" w:rsidRPr="00E77AE0">
        <w:rPr>
          <w:lang w:eastAsia="en-GB"/>
        </w:rPr>
        <w:t xml:space="preserve"> </w:t>
      </w:r>
    </w:p>
    <w:p w14:paraId="3D371486" w14:textId="77062511" w:rsidR="00E77AE0" w:rsidRPr="0079413F" w:rsidRDefault="00E77AE0" w:rsidP="0079413F">
      <w:pPr>
        <w:pStyle w:val="Parabeforenewsubsection"/>
        <w:rPr>
          <w:bCs/>
        </w:rPr>
      </w:pPr>
      <w:r w:rsidRPr="00E77AE0">
        <w:rPr>
          <w:bCs/>
        </w:rPr>
        <w:t>Progress has been made in recent months in relation to ‘up-skirting’ in England and Wales.</w:t>
      </w:r>
      <w:r w:rsidR="003155D5">
        <w:rPr>
          <w:rStyle w:val="FootnoteReference"/>
          <w:bCs/>
        </w:rPr>
        <w:footnoteReference w:id="49"/>
      </w:r>
      <w:r w:rsidR="003155D5">
        <w:rPr>
          <w:bCs/>
        </w:rPr>
        <w:t xml:space="preserve"> </w:t>
      </w:r>
      <w:r w:rsidRPr="00E77AE0">
        <w:rPr>
          <w:bCs/>
          <w:vertAlign w:val="superscript"/>
        </w:rPr>
        <w:footnoteReference w:id="50"/>
      </w:r>
      <w:r w:rsidRPr="00E77AE0">
        <w:rPr>
          <w:bCs/>
        </w:rPr>
        <w:t xml:space="preserve"> </w:t>
      </w:r>
      <w:r w:rsidRPr="00E77AE0">
        <w:rPr>
          <w:lang w:eastAsia="en-GB"/>
        </w:rPr>
        <w:t xml:space="preserve">A </w:t>
      </w:r>
      <w:r w:rsidR="00DE3D72">
        <w:rPr>
          <w:lang w:eastAsia="en-GB"/>
        </w:rPr>
        <w:t xml:space="preserve">Voyeurism </w:t>
      </w:r>
      <w:r w:rsidRPr="00E77AE0">
        <w:rPr>
          <w:lang w:eastAsia="en-GB"/>
        </w:rPr>
        <w:t>Bill currently being considered by</w:t>
      </w:r>
      <w:r w:rsidR="005F0B54">
        <w:rPr>
          <w:lang w:eastAsia="en-GB"/>
        </w:rPr>
        <w:t xml:space="preserve"> the UK</w:t>
      </w:r>
      <w:r w:rsidRPr="00E77AE0">
        <w:rPr>
          <w:lang w:eastAsia="en-GB"/>
        </w:rPr>
        <w:t xml:space="preserve"> Parliament </w:t>
      </w:r>
      <w:r w:rsidR="00A41215">
        <w:rPr>
          <w:lang w:eastAsia="en-GB"/>
        </w:rPr>
        <w:t>w</w:t>
      </w:r>
      <w:r w:rsidR="005F0B54">
        <w:rPr>
          <w:lang w:eastAsia="en-GB"/>
        </w:rPr>
        <w:t>ill create</w:t>
      </w:r>
      <w:r w:rsidRPr="00E77AE0">
        <w:rPr>
          <w:lang w:eastAsia="en-GB"/>
        </w:rPr>
        <w:t xml:space="preserve"> a new offence of </w:t>
      </w:r>
      <w:r w:rsidR="00A41215">
        <w:rPr>
          <w:lang w:eastAsia="en-GB"/>
        </w:rPr>
        <w:t>up-skirting</w:t>
      </w:r>
      <w:r w:rsidR="005F0B54">
        <w:rPr>
          <w:lang w:eastAsia="en-GB"/>
        </w:rPr>
        <w:t xml:space="preserve"> for a specified purpose</w:t>
      </w:r>
      <w:r w:rsidRPr="00E77AE0">
        <w:rPr>
          <w:lang w:eastAsia="en-GB"/>
        </w:rPr>
        <w:t>:</w:t>
      </w:r>
      <w:r w:rsidR="005F0B54">
        <w:rPr>
          <w:lang w:eastAsia="en-GB"/>
        </w:rPr>
        <w:t xml:space="preserve"> either</w:t>
      </w:r>
      <w:r w:rsidRPr="00E77AE0">
        <w:rPr>
          <w:lang w:eastAsia="en-GB"/>
        </w:rPr>
        <w:t xml:space="preserve"> obtaining sexual gratification or to humiliat</w:t>
      </w:r>
      <w:r w:rsidR="005F0B54">
        <w:rPr>
          <w:lang w:eastAsia="en-GB"/>
        </w:rPr>
        <w:t>e, distress or alarm the victim</w:t>
      </w:r>
      <w:r w:rsidRPr="00E77AE0">
        <w:rPr>
          <w:lang w:eastAsia="en-GB"/>
        </w:rPr>
        <w:t>.</w:t>
      </w:r>
      <w:r w:rsidRPr="00E77AE0">
        <w:rPr>
          <w:bCs/>
          <w:vertAlign w:val="superscript"/>
        </w:rPr>
        <w:footnoteReference w:id="51"/>
      </w:r>
      <w:r w:rsidRPr="00E77AE0">
        <w:rPr>
          <w:lang w:eastAsia="en-GB"/>
        </w:rPr>
        <w:t xml:space="preserve"> </w:t>
      </w:r>
      <w:r w:rsidRPr="00E77AE0">
        <w:rPr>
          <w:bCs/>
          <w:lang w:eastAsia="en-GB"/>
        </w:rPr>
        <w:t xml:space="preserve">The </w:t>
      </w:r>
      <w:r w:rsidR="00594560">
        <w:rPr>
          <w:bCs/>
          <w:lang w:eastAsia="en-GB"/>
        </w:rPr>
        <w:t>b</w:t>
      </w:r>
      <w:r w:rsidRPr="00E77AE0">
        <w:rPr>
          <w:bCs/>
          <w:lang w:eastAsia="en-GB"/>
        </w:rPr>
        <w:t xml:space="preserve">ill </w:t>
      </w:r>
      <w:r w:rsidRPr="00E77AE0">
        <w:rPr>
          <w:lang w:eastAsia="en-GB"/>
        </w:rPr>
        <w:t xml:space="preserve">would </w:t>
      </w:r>
      <w:r w:rsidR="005F0B54">
        <w:rPr>
          <w:lang w:eastAsia="en-GB"/>
        </w:rPr>
        <w:t xml:space="preserve">also </w:t>
      </w:r>
      <w:r w:rsidR="00DE3D72">
        <w:rPr>
          <w:lang w:eastAsia="en-GB"/>
        </w:rPr>
        <w:t>provide</w:t>
      </w:r>
      <w:r w:rsidRPr="00E77AE0">
        <w:rPr>
          <w:lang w:eastAsia="en-GB"/>
        </w:rPr>
        <w:t xml:space="preserve"> </w:t>
      </w:r>
      <w:r w:rsidR="00A41215" w:rsidRPr="00C1037A">
        <w:rPr>
          <w:lang w:eastAsia="en-GB"/>
        </w:rPr>
        <w:t>for certain offenders to be placed on the sex offenders register if they are convicted of up-skirting for sexual gratification</w:t>
      </w:r>
      <w:r w:rsidRPr="00E77AE0">
        <w:rPr>
          <w:lang w:eastAsia="en-GB"/>
        </w:rPr>
        <w:t>.</w:t>
      </w:r>
      <w:r w:rsidRPr="00E77AE0">
        <w:rPr>
          <w:vertAlign w:val="superscript"/>
          <w:lang w:eastAsia="en-GB"/>
        </w:rPr>
        <w:footnoteReference w:id="52"/>
      </w:r>
      <w:r w:rsidR="005F0B54">
        <w:rPr>
          <w:lang w:eastAsia="en-GB"/>
        </w:rPr>
        <w:t xml:space="preserve"> </w:t>
      </w:r>
      <w:r w:rsidR="0084355B">
        <w:rPr>
          <w:bCs/>
        </w:rPr>
        <w:t>The</w:t>
      </w:r>
      <w:r w:rsidRPr="00E77AE0">
        <w:rPr>
          <w:bCs/>
        </w:rPr>
        <w:t xml:space="preserve"> </w:t>
      </w:r>
      <w:r w:rsidR="00402430">
        <w:rPr>
          <w:bCs/>
        </w:rPr>
        <w:t>EHRC has</w:t>
      </w:r>
      <w:r w:rsidRPr="00E77AE0">
        <w:rPr>
          <w:bCs/>
        </w:rPr>
        <w:t xml:space="preserve"> welcomed</w:t>
      </w:r>
      <w:r w:rsidR="0084355B">
        <w:rPr>
          <w:bCs/>
        </w:rPr>
        <w:t xml:space="preserve"> the </w:t>
      </w:r>
      <w:r w:rsidR="00594560">
        <w:rPr>
          <w:bCs/>
        </w:rPr>
        <w:t>b</w:t>
      </w:r>
      <w:r w:rsidR="0084355B">
        <w:rPr>
          <w:bCs/>
        </w:rPr>
        <w:t>ill, and put forward proposed changes to further strengthen it</w:t>
      </w:r>
      <w:r w:rsidRPr="00E77AE0">
        <w:rPr>
          <w:bCs/>
        </w:rPr>
        <w:t>.</w:t>
      </w:r>
      <w:r w:rsidRPr="00E77AE0">
        <w:rPr>
          <w:bCs/>
          <w:vertAlign w:val="superscript"/>
        </w:rPr>
        <w:footnoteReference w:id="53"/>
      </w:r>
    </w:p>
    <w:p w14:paraId="615D2380" w14:textId="77777777" w:rsidR="00211F67" w:rsidRDefault="00211F67" w:rsidP="0079507D">
      <w:pPr>
        <w:pStyle w:val="Title-subsections"/>
      </w:pPr>
      <w:r w:rsidRPr="00212E21">
        <w:t>Recommendations</w:t>
      </w:r>
    </w:p>
    <w:p w14:paraId="7B30D708" w14:textId="5AE5D408" w:rsidR="00DB092B" w:rsidRPr="0079413F" w:rsidRDefault="00DB092B" w:rsidP="0079413F">
      <w:pPr>
        <w:pStyle w:val="Parabeforebulletss"/>
      </w:pPr>
      <w:r>
        <w:t>The</w:t>
      </w:r>
      <w:r w:rsidR="002806AC">
        <w:t xml:space="preserve"> EHRC recommends that the </w:t>
      </w:r>
      <w:r>
        <w:t>UK Government should:</w:t>
      </w:r>
    </w:p>
    <w:p w14:paraId="42E3D3FB" w14:textId="0186B91C" w:rsidR="00C520AA" w:rsidRDefault="00594560" w:rsidP="0079413F">
      <w:pPr>
        <w:pStyle w:val="Bullet-followedbyothers"/>
      </w:pPr>
      <w:r>
        <w:t>e</w:t>
      </w:r>
      <w:r w:rsidR="00C520AA" w:rsidRPr="00165EBE">
        <w:t>nsure the Attorney General’s review into disclosure of evidence addresses the concerns raised by the Justice Committee</w:t>
      </w:r>
      <w:r w:rsidR="0079413F">
        <w:t>, and</w:t>
      </w:r>
    </w:p>
    <w:p w14:paraId="0002B54D" w14:textId="5B0C1C2A" w:rsidR="00DB092B" w:rsidRPr="00165EBE" w:rsidRDefault="00594560" w:rsidP="0079413F">
      <w:pPr>
        <w:pStyle w:val="Bullet-followedbyothers"/>
      </w:pPr>
      <w:r>
        <w:lastRenderedPageBreak/>
        <w:t>a</w:t>
      </w:r>
      <w:r w:rsidR="00DB092B" w:rsidRPr="00165EBE">
        <w:t>mend the Voyeurism Bill so that:</w:t>
      </w:r>
    </w:p>
    <w:p w14:paraId="743BF305" w14:textId="03B7291D" w:rsidR="00DB092B" w:rsidRPr="00165EBE" w:rsidRDefault="00594560" w:rsidP="0079413F">
      <w:pPr>
        <w:pStyle w:val="Bullets-sub-bullets"/>
      </w:pPr>
      <w:r>
        <w:t>t</w:t>
      </w:r>
      <w:r w:rsidR="005F0B54" w:rsidRPr="00165EBE">
        <w:t xml:space="preserve">he motivation element of the offence </w:t>
      </w:r>
      <w:r w:rsidR="00DB092B" w:rsidRPr="00165EBE">
        <w:t>is</w:t>
      </w:r>
      <w:r w:rsidR="005F0B54" w:rsidRPr="00165EBE">
        <w:t xml:space="preserve"> removed, o</w:t>
      </w:r>
      <w:r w:rsidR="0079413F">
        <w:t>r two further purposes are</w:t>
      </w:r>
      <w:r w:rsidR="005F0B54" w:rsidRPr="00165EBE">
        <w:t xml:space="preserve"> added: ‘financial gain’ an</w:t>
      </w:r>
      <w:r w:rsidR="009710A1" w:rsidRPr="00165EBE">
        <w:t>d ‘entertainment or amusement</w:t>
      </w:r>
      <w:r w:rsidR="00DB092B" w:rsidRPr="00165EBE">
        <w:t>’</w:t>
      </w:r>
      <w:r w:rsidR="0079413F">
        <w:t>, and</w:t>
      </w:r>
    </w:p>
    <w:p w14:paraId="5A95F52E" w14:textId="2A4ED500" w:rsidR="009710A1" w:rsidRPr="0079413F" w:rsidRDefault="00DB092B" w:rsidP="0079413F">
      <w:pPr>
        <w:pStyle w:val="Bullets-sub-bullets"/>
        <w:spacing w:after="680"/>
      </w:pPr>
      <w:r w:rsidRPr="00165EBE">
        <w:t>it</w:t>
      </w:r>
      <w:r w:rsidR="005F0B54" w:rsidRPr="00165EBE">
        <w:t xml:space="preserve"> include</w:t>
      </w:r>
      <w:r w:rsidRPr="00165EBE">
        <w:t>s</w:t>
      </w:r>
      <w:r w:rsidR="005F0B54" w:rsidRPr="00165EBE">
        <w:t xml:space="preserve"> a new offence of ‘disclosure or distribution of up-skirting images</w:t>
      </w:r>
      <w:r w:rsidRPr="00165EBE">
        <w:t>’</w:t>
      </w:r>
      <w:r w:rsidR="00594560">
        <w:t>.</w:t>
      </w:r>
    </w:p>
    <w:p w14:paraId="61489932" w14:textId="306B06D0" w:rsidR="00211F67" w:rsidRPr="0079507D" w:rsidRDefault="00E77AE0" w:rsidP="0079507D">
      <w:pPr>
        <w:pStyle w:val="Title-sectionspink"/>
      </w:pPr>
      <w:bookmarkStart w:id="33" w:name="_Toc534726619"/>
      <w:r>
        <w:t>Domestic violence and</w:t>
      </w:r>
      <w:r w:rsidR="00211F67" w:rsidRPr="0079507D">
        <w:t xml:space="preserve"> abuse</w:t>
      </w:r>
      <w:bookmarkEnd w:id="33"/>
      <w:r w:rsidR="00211F67" w:rsidRPr="0079507D">
        <w:t xml:space="preserve"> </w:t>
      </w:r>
    </w:p>
    <w:p w14:paraId="1489A728" w14:textId="66B6CDBF" w:rsidR="0079413F" w:rsidRPr="00E77AE0" w:rsidRDefault="00E77AE0" w:rsidP="0079413F">
      <w:pPr>
        <w:pStyle w:val="Parabeforeanother"/>
      </w:pPr>
      <w:r w:rsidRPr="00E77AE0">
        <w:t xml:space="preserve">The UK Government is currently considering the responses to its spring 2018 consultation on addressing domestic violence and abuse in England and Wales, to which </w:t>
      </w:r>
      <w:r w:rsidR="00B57B67">
        <w:t>it</w:t>
      </w:r>
      <w:r w:rsidR="00402430">
        <w:t xml:space="preserve"> received over 3,2</w:t>
      </w:r>
      <w:r w:rsidRPr="00E77AE0">
        <w:t>00 submissions.</w:t>
      </w:r>
      <w:r w:rsidR="00402430">
        <w:rPr>
          <w:rStyle w:val="FootnoteReference"/>
        </w:rPr>
        <w:footnoteReference w:id="54"/>
      </w:r>
      <w:r w:rsidR="001F6A40">
        <w:t xml:space="preserve"> It wa</w:t>
      </w:r>
      <w:r w:rsidRPr="00E77AE0">
        <w:t>s expected to respond to the consultation in autumn 2018, and</w:t>
      </w:r>
      <w:r w:rsidR="001F6A40">
        <w:t xml:space="preserve"> to</w:t>
      </w:r>
      <w:r w:rsidRPr="00E77AE0">
        <w:t xml:space="preserve"> publish a </w:t>
      </w:r>
      <w:r w:rsidR="004E6456">
        <w:t>b</w:t>
      </w:r>
      <w:r w:rsidRPr="00E77AE0">
        <w:t>ill in spring 2019. One of the key proposals in the consultation was the establishment of a ‘</w:t>
      </w:r>
      <w:r w:rsidR="004E6456">
        <w:t>d</w:t>
      </w:r>
      <w:r w:rsidRPr="00E77AE0">
        <w:t xml:space="preserve">omestic </w:t>
      </w:r>
      <w:r w:rsidR="004E6456">
        <w:t>a</w:t>
      </w:r>
      <w:r w:rsidRPr="00E77AE0">
        <w:t xml:space="preserve">buse </w:t>
      </w:r>
      <w:r w:rsidR="004E6456">
        <w:t>c</w:t>
      </w:r>
      <w:r w:rsidRPr="00E77AE0">
        <w:t>ommissioner</w:t>
      </w:r>
      <w:r w:rsidR="004E6456">
        <w:t>’</w:t>
      </w:r>
      <w:r w:rsidRPr="00E77AE0">
        <w:t>. A number of respondents, including Women’s Aid,</w:t>
      </w:r>
      <w:r w:rsidRPr="00E77AE0">
        <w:rPr>
          <w:rStyle w:val="FootnoteReference"/>
        </w:rPr>
        <w:footnoteReference w:id="55"/>
      </w:r>
      <w:r w:rsidRPr="00E77AE0">
        <w:t xml:space="preserve">  the End Violence against Women Coalition</w:t>
      </w:r>
      <w:r w:rsidRPr="00E77AE0">
        <w:rPr>
          <w:rStyle w:val="FootnoteReference"/>
        </w:rPr>
        <w:footnoteReference w:id="56"/>
      </w:r>
      <w:r w:rsidRPr="00E77AE0">
        <w:t xml:space="preserve"> and the EHRC,</w:t>
      </w:r>
      <w:r w:rsidRPr="00E77AE0">
        <w:rPr>
          <w:rStyle w:val="FootnoteReference"/>
        </w:rPr>
        <w:footnoteReference w:id="57"/>
      </w:r>
      <w:r w:rsidRPr="00E77AE0">
        <w:t xml:space="preserve"> urged the </w:t>
      </w:r>
      <w:r w:rsidR="004E6456">
        <w:t>g</w:t>
      </w:r>
      <w:r w:rsidRPr="00E77AE0">
        <w:t xml:space="preserve">overnment to instead create a </w:t>
      </w:r>
      <w:r w:rsidR="004E6456">
        <w:t>‘</w:t>
      </w:r>
      <w:r w:rsidRPr="00E77AE0">
        <w:t xml:space="preserve">violence against women and girls (VAWG) </w:t>
      </w:r>
      <w:r w:rsidR="004E6456">
        <w:t>c</w:t>
      </w:r>
      <w:r w:rsidRPr="00E77AE0">
        <w:t>ommissioner</w:t>
      </w:r>
      <w:r w:rsidR="004E6456">
        <w:t>’</w:t>
      </w:r>
      <w:r w:rsidRPr="00E77AE0">
        <w:t>. This would cover issues beyond domestic abuse, and</w:t>
      </w:r>
      <w:r w:rsidR="0084355B">
        <w:t xml:space="preserve"> align with</w:t>
      </w:r>
      <w:r w:rsidRPr="00E77AE0">
        <w:t xml:space="preserve"> the existing policy framework, including the UK Government’s own VAWG strategy. Another key area explored in the </w:t>
      </w:r>
      <w:r w:rsidR="00312911">
        <w:t xml:space="preserve">UK </w:t>
      </w:r>
      <w:r w:rsidRPr="00E77AE0">
        <w:t>Government’s consultation was the statutory definition of</w:t>
      </w:r>
      <w:r w:rsidR="00402430">
        <w:t xml:space="preserve"> domestic abuse. Many respondents</w:t>
      </w:r>
      <w:r w:rsidRPr="00E77AE0">
        <w:t xml:space="preserve"> urged the UK Government to highlight the disproportionate impact of domestic abuse on women, within the definition. </w:t>
      </w:r>
    </w:p>
    <w:p w14:paraId="179CF49A" w14:textId="41586FCF" w:rsidR="00312911" w:rsidRDefault="00E77AE0" w:rsidP="0079413F">
      <w:pPr>
        <w:pStyle w:val="Parabeforeanother"/>
        <w:rPr>
          <w:bCs/>
          <w:color w:val="000000"/>
          <w:shd w:val="clear" w:color="auto" w:fill="FFFFFF"/>
        </w:rPr>
      </w:pPr>
      <w:r w:rsidRPr="00E77AE0">
        <w:t>In June 2018, the UK Parliament’s Home Affairs Select Committee</w:t>
      </w:r>
      <w:r w:rsidR="0054352B">
        <w:t xml:space="preserve"> (HASC)</w:t>
      </w:r>
      <w:r w:rsidRPr="00E77AE0">
        <w:t xml:space="preserve"> launched a separate inquiry into domestic abuse.</w:t>
      </w:r>
      <w:r w:rsidRPr="00E77AE0">
        <w:rPr>
          <w:rStyle w:val="FootnoteReference"/>
        </w:rPr>
        <w:footnoteReference w:id="58"/>
      </w:r>
      <w:r w:rsidR="00312911">
        <w:t xml:space="preserve"> </w:t>
      </w:r>
      <w:r w:rsidRPr="00E77AE0">
        <w:rPr>
          <w:bCs/>
          <w:color w:val="000000"/>
          <w:shd w:val="clear" w:color="auto" w:fill="FFFFFF"/>
        </w:rPr>
        <w:t>The EHRC submitted a response</w:t>
      </w:r>
      <w:r w:rsidR="00312911">
        <w:rPr>
          <w:bCs/>
          <w:color w:val="000000"/>
          <w:shd w:val="clear" w:color="auto" w:fill="FFFFFF"/>
        </w:rPr>
        <w:t>,</w:t>
      </w:r>
      <w:r w:rsidRPr="00E77AE0">
        <w:rPr>
          <w:bCs/>
          <w:color w:val="000000"/>
          <w:shd w:val="clear" w:color="auto" w:fill="FFFFFF"/>
        </w:rPr>
        <w:t xml:space="preserve"> </w:t>
      </w:r>
      <w:r w:rsidR="00312911">
        <w:rPr>
          <w:bCs/>
          <w:color w:val="000000"/>
          <w:shd w:val="clear" w:color="auto" w:fill="FFFFFF"/>
        </w:rPr>
        <w:t xml:space="preserve">reiterating many of the recommendations previously submitted to the CEDAW </w:t>
      </w:r>
      <w:r w:rsidR="00312911">
        <w:rPr>
          <w:bCs/>
          <w:color w:val="000000"/>
          <w:shd w:val="clear" w:color="auto" w:fill="FFFFFF"/>
        </w:rPr>
        <w:lastRenderedPageBreak/>
        <w:t>Committee and UK Government.</w:t>
      </w:r>
      <w:r w:rsidR="00312911" w:rsidRPr="00E77AE0">
        <w:rPr>
          <w:rStyle w:val="FootnoteReference"/>
          <w:bCs/>
          <w:color w:val="000000"/>
          <w:shd w:val="clear" w:color="auto" w:fill="FFFFFF"/>
        </w:rPr>
        <w:footnoteReference w:id="59"/>
      </w:r>
      <w:r w:rsidR="00312911" w:rsidRPr="00E77AE0">
        <w:rPr>
          <w:bCs/>
          <w:color w:val="000000"/>
          <w:shd w:val="clear" w:color="auto" w:fill="FFFFFF"/>
        </w:rPr>
        <w:t xml:space="preserve"> </w:t>
      </w:r>
      <w:r w:rsidR="0084355B">
        <w:rPr>
          <w:bCs/>
          <w:color w:val="000000"/>
          <w:shd w:val="clear" w:color="auto" w:fill="FFFFFF"/>
        </w:rPr>
        <w:t>The</w:t>
      </w:r>
      <w:r w:rsidR="0054352B">
        <w:rPr>
          <w:bCs/>
          <w:color w:val="000000"/>
          <w:shd w:val="clear" w:color="auto" w:fill="FFFFFF"/>
        </w:rPr>
        <w:t xml:space="preserve"> HASC</w:t>
      </w:r>
      <w:r w:rsidRPr="00E77AE0">
        <w:rPr>
          <w:bCs/>
          <w:color w:val="000000"/>
          <w:shd w:val="clear" w:color="auto" w:fill="FFFFFF"/>
        </w:rPr>
        <w:t xml:space="preserve"> publi</w:t>
      </w:r>
      <w:r w:rsidR="00312911">
        <w:rPr>
          <w:bCs/>
          <w:color w:val="000000"/>
          <w:shd w:val="clear" w:color="auto" w:fill="FFFFFF"/>
        </w:rPr>
        <w:t>shed its report in October 2018,</w:t>
      </w:r>
      <w:r w:rsidRPr="00E77AE0">
        <w:rPr>
          <w:rStyle w:val="FootnoteReference"/>
          <w:bCs/>
          <w:color w:val="000000"/>
          <w:shd w:val="clear" w:color="auto" w:fill="FFFFFF"/>
        </w:rPr>
        <w:footnoteReference w:id="60"/>
      </w:r>
      <w:r w:rsidRPr="00E77AE0">
        <w:rPr>
          <w:bCs/>
          <w:color w:val="000000"/>
          <w:shd w:val="clear" w:color="auto" w:fill="FFFFFF"/>
        </w:rPr>
        <w:t xml:space="preserve"> </w:t>
      </w:r>
      <w:r w:rsidR="00312911">
        <w:rPr>
          <w:bCs/>
          <w:color w:val="000000"/>
          <w:shd w:val="clear" w:color="auto" w:fill="FFFFFF"/>
        </w:rPr>
        <w:t>endorsing</w:t>
      </w:r>
      <w:r w:rsidR="00EF1D60">
        <w:rPr>
          <w:bCs/>
          <w:color w:val="000000"/>
          <w:shd w:val="clear" w:color="auto" w:fill="FFFFFF"/>
        </w:rPr>
        <w:t xml:space="preserve"> a number of</w:t>
      </w:r>
      <w:r w:rsidR="00312911">
        <w:rPr>
          <w:bCs/>
          <w:color w:val="000000"/>
          <w:shd w:val="clear" w:color="auto" w:fill="FFFFFF"/>
        </w:rPr>
        <w:t xml:space="preserve"> our calls</w:t>
      </w:r>
      <w:r w:rsidR="00EF1D60">
        <w:rPr>
          <w:bCs/>
          <w:color w:val="000000"/>
          <w:shd w:val="clear" w:color="auto" w:fill="FFFFFF"/>
        </w:rPr>
        <w:t>, including</w:t>
      </w:r>
      <w:r w:rsidR="00312911">
        <w:rPr>
          <w:bCs/>
          <w:color w:val="000000"/>
          <w:shd w:val="clear" w:color="auto" w:fill="FFFFFF"/>
        </w:rPr>
        <w:t xml:space="preserve"> for:</w:t>
      </w:r>
    </w:p>
    <w:p w14:paraId="65224D91" w14:textId="271706C2" w:rsidR="00EF1D60" w:rsidRPr="00EF1D60" w:rsidRDefault="00E77AE0" w:rsidP="0079413F">
      <w:pPr>
        <w:pStyle w:val="Bullet-followedbyothers"/>
        <w:rPr>
          <w:color w:val="000000"/>
        </w:rPr>
      </w:pPr>
      <w:r w:rsidRPr="00E77AE0">
        <w:rPr>
          <w:bCs/>
          <w:color w:val="000000"/>
          <w:shd w:val="clear" w:color="auto" w:fill="FFFFFF"/>
        </w:rPr>
        <w:t xml:space="preserve">a </w:t>
      </w:r>
      <w:r w:rsidR="00542190">
        <w:t>v</w:t>
      </w:r>
      <w:r w:rsidRPr="00E77AE0">
        <w:t xml:space="preserve">iolence </w:t>
      </w:r>
      <w:r w:rsidR="00542190">
        <w:t>a</w:t>
      </w:r>
      <w:r w:rsidRPr="00E77AE0">
        <w:t xml:space="preserve">gainst </w:t>
      </w:r>
      <w:r w:rsidR="00542190">
        <w:t>w</w:t>
      </w:r>
      <w:r w:rsidRPr="00E77AE0">
        <w:t xml:space="preserve">omen and </w:t>
      </w:r>
      <w:r w:rsidR="00542190">
        <w:t>g</w:t>
      </w:r>
      <w:r w:rsidRPr="00E77AE0">
        <w:t xml:space="preserve">irls and </w:t>
      </w:r>
      <w:r w:rsidR="00542190">
        <w:t>d</w:t>
      </w:r>
      <w:r w:rsidRPr="00E77AE0">
        <w:t xml:space="preserve">omestic </w:t>
      </w:r>
      <w:r w:rsidR="00542190">
        <w:t>a</w:t>
      </w:r>
      <w:r w:rsidRPr="00E77AE0">
        <w:t>buse</w:t>
      </w:r>
      <w:r w:rsidR="00312911">
        <w:t xml:space="preserve"> </w:t>
      </w:r>
      <w:r w:rsidR="00542190">
        <w:t>b</w:t>
      </w:r>
      <w:r w:rsidR="00312911">
        <w:t>ill</w:t>
      </w:r>
    </w:p>
    <w:p w14:paraId="015666CF" w14:textId="26750898" w:rsidR="00312911" w:rsidRDefault="00EF1D60" w:rsidP="0079413F">
      <w:pPr>
        <w:pStyle w:val="Bullet-followedbyothers"/>
        <w:rPr>
          <w:color w:val="000000"/>
        </w:rPr>
      </w:pPr>
      <w:r>
        <w:rPr>
          <w:color w:val="000000"/>
        </w:rPr>
        <w:t xml:space="preserve">a </w:t>
      </w:r>
      <w:r w:rsidR="00E77AE0" w:rsidRPr="00E77AE0">
        <w:rPr>
          <w:color w:val="000000"/>
        </w:rPr>
        <w:t>prohibit</w:t>
      </w:r>
      <w:r w:rsidR="00312911">
        <w:rPr>
          <w:color w:val="000000"/>
        </w:rPr>
        <w:t>ion on</w:t>
      </w:r>
      <w:r w:rsidR="00E77AE0" w:rsidRPr="00E77AE0">
        <w:rPr>
          <w:color w:val="000000"/>
        </w:rPr>
        <w:t xml:space="preserve"> the cross-examination of a victim by a perpetrator of dome</w:t>
      </w:r>
      <w:r w:rsidR="00312911">
        <w:rPr>
          <w:color w:val="000000"/>
        </w:rPr>
        <w:t>stic abuse in the family court</w:t>
      </w:r>
    </w:p>
    <w:p w14:paraId="64630BF9" w14:textId="18BCE2CB" w:rsidR="00F82E69" w:rsidRDefault="00A41215" w:rsidP="0079413F">
      <w:pPr>
        <w:pStyle w:val="Bullet-followedbyothers"/>
        <w:rPr>
          <w:color w:val="000000"/>
        </w:rPr>
      </w:pPr>
      <w:r>
        <w:rPr>
          <w:color w:val="000000"/>
        </w:rPr>
        <w:t>Universal Credit</w:t>
      </w:r>
      <w:r w:rsidR="0054352B">
        <w:rPr>
          <w:color w:val="000000"/>
        </w:rPr>
        <w:t xml:space="preserve"> to be made</w:t>
      </w:r>
      <w:r>
        <w:rPr>
          <w:color w:val="000000"/>
        </w:rPr>
        <w:t xml:space="preserve"> as</w:t>
      </w:r>
      <w:r w:rsidR="00F82E69">
        <w:rPr>
          <w:color w:val="000000"/>
        </w:rPr>
        <w:t xml:space="preserve"> split </w:t>
      </w:r>
      <w:r w:rsidR="00E77AE0" w:rsidRPr="00E77AE0">
        <w:rPr>
          <w:color w:val="000000"/>
        </w:rPr>
        <w:t>payments</w:t>
      </w:r>
      <w:r w:rsidR="00237BC2">
        <w:rPr>
          <w:color w:val="000000"/>
        </w:rPr>
        <w:t xml:space="preserve"> as</w:t>
      </w:r>
      <w:r>
        <w:rPr>
          <w:color w:val="000000"/>
        </w:rPr>
        <w:t xml:space="preserve"> standard for</w:t>
      </w:r>
      <w:r w:rsidR="00E77AE0" w:rsidRPr="00E77AE0">
        <w:rPr>
          <w:color w:val="000000"/>
        </w:rPr>
        <w:t xml:space="preserve"> al</w:t>
      </w:r>
      <w:r w:rsidR="00402430">
        <w:rPr>
          <w:color w:val="000000"/>
        </w:rPr>
        <w:t>l couples in England and Wales</w:t>
      </w:r>
      <w:r w:rsidR="0079413F">
        <w:rPr>
          <w:color w:val="000000"/>
        </w:rPr>
        <w:t>, and</w:t>
      </w:r>
    </w:p>
    <w:p w14:paraId="215A0FD8" w14:textId="532860E9" w:rsidR="004266CE" w:rsidRPr="0079413F" w:rsidRDefault="00E77AE0" w:rsidP="0079413F">
      <w:pPr>
        <w:pStyle w:val="Bullet-lastingroup"/>
      </w:pPr>
      <w:r w:rsidRPr="00E77AE0">
        <w:t>local authorities to be given a statutory responsibility to provide refuge places, with ring-fenced funding from central government, and for a comprehensive review of funding for survivors of domestic abuse and sex</w:t>
      </w:r>
      <w:r w:rsidR="0079413F">
        <w:t>ual violence to be carried out.</w:t>
      </w:r>
    </w:p>
    <w:p w14:paraId="251D3EB3" w14:textId="5AC3DF48" w:rsidR="004911BB" w:rsidRDefault="00E77AE0" w:rsidP="0079413F">
      <w:pPr>
        <w:pStyle w:val="Parabeforenewsubsection"/>
        <w:rPr>
          <w:rFonts w:eastAsia="Times New Roman"/>
          <w:lang w:eastAsia="en-GB"/>
        </w:rPr>
      </w:pPr>
      <w:r w:rsidRPr="00E77AE0">
        <w:rPr>
          <w:rFonts w:eastAsia="Times New Roman"/>
          <w:lang w:eastAsia="en-GB"/>
        </w:rPr>
        <w:t xml:space="preserve">The Ministry of Housing, Communities and Local Government is currently reviewing </w:t>
      </w:r>
      <w:r w:rsidRPr="00E77AE0">
        <w:t xml:space="preserve">how domestic abuse services are delivered across England, to understand </w:t>
      </w:r>
      <w:r w:rsidR="00402430">
        <w:t>what impact services are having</w:t>
      </w:r>
      <w:r w:rsidRPr="00E77AE0">
        <w:t xml:space="preserve"> and to identify any gaps.</w:t>
      </w:r>
      <w:r w:rsidRPr="00E77AE0">
        <w:rPr>
          <w:rStyle w:val="FootnoteReference"/>
        </w:rPr>
        <w:footnoteReference w:id="61"/>
      </w:r>
      <w:r w:rsidRPr="00E77AE0">
        <w:t xml:space="preserve"> The </w:t>
      </w:r>
      <w:r w:rsidR="001F77A1">
        <w:t>m</w:t>
      </w:r>
      <w:r w:rsidRPr="00E77AE0">
        <w:t xml:space="preserve">inistry has not yet reported its findings. </w:t>
      </w:r>
      <w:r w:rsidR="00237BC2">
        <w:rPr>
          <w:lang w:val="en"/>
        </w:rPr>
        <w:t>We</w:t>
      </w:r>
      <w:r w:rsidRPr="00E77AE0">
        <w:rPr>
          <w:lang w:val="en"/>
        </w:rPr>
        <w:t xml:space="preserve"> previously reported </w:t>
      </w:r>
      <w:r w:rsidR="00237BC2">
        <w:rPr>
          <w:lang w:val="en"/>
        </w:rPr>
        <w:t>our</w:t>
      </w:r>
      <w:r w:rsidRPr="00E77AE0">
        <w:rPr>
          <w:lang w:val="en"/>
        </w:rPr>
        <w:t xml:space="preserve"> concerns over the UK Government’s proposals that would have removed women’s ability to pay for refuge accommodation with housing benefit.</w:t>
      </w:r>
      <w:r w:rsidRPr="00E77AE0">
        <w:rPr>
          <w:rStyle w:val="FootnoteReference"/>
          <w:lang w:val="en"/>
        </w:rPr>
        <w:footnoteReference w:id="62"/>
      </w:r>
      <w:r w:rsidRPr="00E77AE0">
        <w:rPr>
          <w:lang w:val="en"/>
        </w:rPr>
        <w:t xml:space="preserve"> </w:t>
      </w:r>
      <w:r w:rsidRPr="00E77AE0">
        <w:rPr>
          <w:rFonts w:eastAsia="Times New Roman"/>
          <w:lang w:eastAsia="en-GB"/>
        </w:rPr>
        <w:t xml:space="preserve">The UK Government </w:t>
      </w:r>
      <w:r w:rsidR="00F82E69">
        <w:rPr>
          <w:rFonts w:eastAsia="Times New Roman"/>
          <w:lang w:eastAsia="en-GB"/>
        </w:rPr>
        <w:t>has since</w:t>
      </w:r>
      <w:r w:rsidRPr="00E77AE0">
        <w:rPr>
          <w:rFonts w:eastAsia="Times New Roman"/>
          <w:lang w:eastAsia="en-GB"/>
        </w:rPr>
        <w:t xml:space="preserve"> announced that </w:t>
      </w:r>
      <w:r w:rsidR="00F82E69">
        <w:rPr>
          <w:rFonts w:eastAsia="Times New Roman"/>
          <w:lang w:eastAsia="en-GB"/>
        </w:rPr>
        <w:t>it</w:t>
      </w:r>
      <w:r w:rsidRPr="00E77AE0">
        <w:rPr>
          <w:rFonts w:eastAsia="Times New Roman"/>
          <w:lang w:eastAsia="en-GB"/>
        </w:rPr>
        <w:t xml:space="preserve"> w</w:t>
      </w:r>
      <w:r w:rsidR="00237BC2">
        <w:rPr>
          <w:rFonts w:eastAsia="Times New Roman"/>
          <w:lang w:eastAsia="en-GB"/>
        </w:rPr>
        <w:t>ill</w:t>
      </w:r>
      <w:r w:rsidRPr="00E77AE0">
        <w:rPr>
          <w:rFonts w:eastAsia="Times New Roman"/>
          <w:lang w:eastAsia="en-GB"/>
        </w:rPr>
        <w:t xml:space="preserve"> not go ahead with the proposal.</w:t>
      </w:r>
      <w:r w:rsidRPr="00E77AE0">
        <w:rPr>
          <w:rStyle w:val="FootnoteReference"/>
          <w:rFonts w:eastAsia="Times New Roman"/>
          <w:lang w:eastAsia="en-GB"/>
        </w:rPr>
        <w:footnoteReference w:id="63"/>
      </w:r>
      <w:r w:rsidRPr="00E77AE0">
        <w:rPr>
          <w:rFonts w:eastAsia="Times New Roman"/>
          <w:lang w:eastAsia="en-GB"/>
        </w:rPr>
        <w:t xml:space="preserve"> </w:t>
      </w:r>
    </w:p>
    <w:p w14:paraId="171E925C" w14:textId="0ABBA350" w:rsidR="004266CE" w:rsidRDefault="004266CE" w:rsidP="0079413F">
      <w:pPr>
        <w:pStyle w:val="Title-subsections"/>
        <w:rPr>
          <w:shd w:val="clear" w:color="auto" w:fill="FFFFFF"/>
        </w:rPr>
      </w:pPr>
      <w:r>
        <w:rPr>
          <w:shd w:val="clear" w:color="auto" w:fill="FFFFFF"/>
        </w:rPr>
        <w:t>Recommendations</w:t>
      </w:r>
    </w:p>
    <w:p w14:paraId="0AE19271" w14:textId="3A9144DA" w:rsidR="004266CE" w:rsidRDefault="00F82E69" w:rsidP="0079413F">
      <w:pPr>
        <w:pStyle w:val="Parabeforebulletss"/>
        <w:rPr>
          <w:shd w:val="clear" w:color="auto" w:fill="FFFFFF"/>
        </w:rPr>
      </w:pPr>
      <w:r>
        <w:rPr>
          <w:shd w:val="clear" w:color="auto" w:fill="FFFFFF"/>
        </w:rPr>
        <w:t xml:space="preserve">The </w:t>
      </w:r>
      <w:r w:rsidR="002806AC">
        <w:rPr>
          <w:shd w:val="clear" w:color="auto" w:fill="FFFFFF"/>
        </w:rPr>
        <w:t xml:space="preserve">EHRC recommends that the </w:t>
      </w:r>
      <w:r>
        <w:rPr>
          <w:shd w:val="clear" w:color="auto" w:fill="FFFFFF"/>
        </w:rPr>
        <w:t>UK</w:t>
      </w:r>
      <w:r w:rsidR="00FF51E5">
        <w:rPr>
          <w:shd w:val="clear" w:color="auto" w:fill="FFFFFF"/>
        </w:rPr>
        <w:t xml:space="preserve"> </w:t>
      </w:r>
      <w:r>
        <w:rPr>
          <w:shd w:val="clear" w:color="auto" w:fill="FFFFFF"/>
        </w:rPr>
        <w:t>Government should:</w:t>
      </w:r>
    </w:p>
    <w:p w14:paraId="2B9E4CC3" w14:textId="2759A9EB" w:rsidR="00FF51E5" w:rsidRPr="00FF51E5" w:rsidRDefault="001F77A1" w:rsidP="0079413F">
      <w:pPr>
        <w:pStyle w:val="Bullet-followedbyothers"/>
        <w:rPr>
          <w:shd w:val="clear" w:color="auto" w:fill="FFFFFF"/>
        </w:rPr>
      </w:pPr>
      <w:r>
        <w:t>i</w:t>
      </w:r>
      <w:r w:rsidR="00FF51E5">
        <w:t xml:space="preserve">n the context of its current domestic abuse work: </w:t>
      </w:r>
    </w:p>
    <w:p w14:paraId="29C3A8C5" w14:textId="6AFAAD30" w:rsidR="00FF51E5" w:rsidRPr="00FF51E5" w:rsidRDefault="00FF51E5" w:rsidP="0079413F">
      <w:pPr>
        <w:pStyle w:val="Bullets-sub-bullets"/>
        <w:rPr>
          <w:shd w:val="clear" w:color="auto" w:fill="FFFFFF"/>
        </w:rPr>
      </w:pPr>
      <w:r>
        <w:lastRenderedPageBreak/>
        <w:t>c</w:t>
      </w:r>
      <w:r w:rsidRPr="00E77AE0">
        <w:t>reate a violenc</w:t>
      </w:r>
      <w:r>
        <w:t>e against women and girls</w:t>
      </w:r>
      <w:r w:rsidRPr="00E77AE0">
        <w:t xml:space="preserve"> </w:t>
      </w:r>
      <w:r w:rsidR="001F77A1">
        <w:t>c</w:t>
      </w:r>
      <w:r w:rsidRPr="00E77AE0">
        <w:t>ommissioner</w:t>
      </w:r>
      <w:r>
        <w:t>, with suf</w:t>
      </w:r>
      <w:r w:rsidR="0079413F">
        <w:t>ficient resources and powers, and</w:t>
      </w:r>
    </w:p>
    <w:p w14:paraId="590F9DA0" w14:textId="5B0D0A66" w:rsidR="00EE1CEF" w:rsidRPr="0079413F" w:rsidRDefault="00FF51E5" w:rsidP="0079413F">
      <w:pPr>
        <w:pStyle w:val="Bullets-sub-bullets"/>
        <w:spacing w:after="680"/>
        <w:rPr>
          <w:shd w:val="clear" w:color="auto" w:fill="FFFFFF"/>
        </w:rPr>
      </w:pPr>
      <w:r>
        <w:t xml:space="preserve">introduce a </w:t>
      </w:r>
      <w:r w:rsidR="00542190">
        <w:t>v</w:t>
      </w:r>
      <w:r>
        <w:t xml:space="preserve">iolence </w:t>
      </w:r>
      <w:r w:rsidR="00542190">
        <w:t>a</w:t>
      </w:r>
      <w:r>
        <w:t xml:space="preserve">gainst </w:t>
      </w:r>
      <w:r w:rsidR="00542190">
        <w:t>w</w:t>
      </w:r>
      <w:r>
        <w:t xml:space="preserve">omen and </w:t>
      </w:r>
      <w:r w:rsidR="00542190">
        <w:t>g</w:t>
      </w:r>
      <w:r>
        <w:t xml:space="preserve">irls and </w:t>
      </w:r>
      <w:r w:rsidR="00542190">
        <w:t>d</w:t>
      </w:r>
      <w:r>
        <w:t xml:space="preserve">omestic </w:t>
      </w:r>
      <w:r w:rsidR="00542190">
        <w:t>a</w:t>
      </w:r>
      <w:r>
        <w:t xml:space="preserve">buse </w:t>
      </w:r>
      <w:r w:rsidR="00542190">
        <w:t>b</w:t>
      </w:r>
      <w:r>
        <w:t xml:space="preserve">ill that includes a statutory definition </w:t>
      </w:r>
      <w:r w:rsidR="00542190">
        <w:t>that</w:t>
      </w:r>
      <w:r>
        <w:t xml:space="preserve"> </w:t>
      </w:r>
      <w:r w:rsidRPr="00E77AE0">
        <w:t>highlight</w:t>
      </w:r>
      <w:r>
        <w:t>s</w:t>
      </w:r>
      <w:r w:rsidRPr="00E77AE0">
        <w:t xml:space="preserve"> the disproportionate impact of domestic abuse on women</w:t>
      </w:r>
      <w:r w:rsidR="00542190">
        <w:t>.</w:t>
      </w:r>
    </w:p>
    <w:p w14:paraId="1444E9D9" w14:textId="63986160" w:rsidR="00211F67" w:rsidRPr="0079507D" w:rsidRDefault="00211F67" w:rsidP="00E77AE0">
      <w:pPr>
        <w:pStyle w:val="Title-sectionspink"/>
        <w:rPr>
          <w:rFonts w:eastAsia="Calibri"/>
        </w:rPr>
      </w:pPr>
      <w:bookmarkStart w:id="34" w:name="_Toc534726620"/>
      <w:r w:rsidRPr="0079507D">
        <w:t>Harmful practices</w:t>
      </w:r>
      <w:bookmarkEnd w:id="34"/>
      <w:r w:rsidRPr="0079507D">
        <w:t xml:space="preserve"> </w:t>
      </w:r>
    </w:p>
    <w:p w14:paraId="59DF9C3B" w14:textId="5E59F3FA" w:rsidR="00C30F5A" w:rsidRDefault="001F6A40" w:rsidP="0079413F">
      <w:pPr>
        <w:pStyle w:val="Title-subsections"/>
      </w:pPr>
      <w:r>
        <w:t>Female</w:t>
      </w:r>
      <w:r w:rsidR="00EF1D60">
        <w:t xml:space="preserve"> </w:t>
      </w:r>
      <w:r w:rsidR="00542190">
        <w:t>g</w:t>
      </w:r>
      <w:r w:rsidR="00C30F5A">
        <w:t xml:space="preserve">enital </w:t>
      </w:r>
      <w:r w:rsidR="00542190">
        <w:t>m</w:t>
      </w:r>
      <w:r w:rsidR="00C30F5A">
        <w:t>utilation (FGM)</w:t>
      </w:r>
    </w:p>
    <w:p w14:paraId="5A7531DB" w14:textId="0E882DA1" w:rsidR="00C30F5A" w:rsidRPr="00C30F5A" w:rsidRDefault="00C30F5A" w:rsidP="0079413F">
      <w:pPr>
        <w:pStyle w:val="Parabeforeanother"/>
      </w:pPr>
      <w:r w:rsidRPr="00C30F5A">
        <w:t>In September 2018, the Sentencing Council announced that new sentencing guidelines for the offence of failing to protect a girl from risk of FGM will come into force</w:t>
      </w:r>
      <w:r w:rsidR="00402430">
        <w:t xml:space="preserve"> in courts</w:t>
      </w:r>
      <w:r w:rsidRPr="00C30F5A">
        <w:t xml:space="preserve"> in England and Wales on 1 January 2019.</w:t>
      </w:r>
      <w:r w:rsidRPr="00C30F5A">
        <w:rPr>
          <w:vertAlign w:val="superscript"/>
        </w:rPr>
        <w:footnoteReference w:id="64"/>
      </w:r>
      <w:r w:rsidRPr="00C30F5A">
        <w:t xml:space="preserve"> These guidelines aim to </w:t>
      </w:r>
      <w:r w:rsidR="00A41215">
        <w:t>promote consistency in</w:t>
      </w:r>
      <w:r w:rsidRPr="00C30F5A">
        <w:t xml:space="preserve"> sentencing when offenders are convicted.</w:t>
      </w:r>
      <w:r w:rsidR="00107D90">
        <w:t xml:space="preserve"> </w:t>
      </w:r>
      <w:r w:rsidRPr="00C30F5A">
        <w:t>Meanwhile, the</w:t>
      </w:r>
      <w:r w:rsidR="00307722">
        <w:t xml:space="preserve"> </w:t>
      </w:r>
      <w:r w:rsidR="00542190">
        <w:t>Crown Prosecution Service (</w:t>
      </w:r>
      <w:r w:rsidR="00307722">
        <w:t>CPS</w:t>
      </w:r>
      <w:r w:rsidR="00542190">
        <w:t>)</w:t>
      </w:r>
      <w:r w:rsidRPr="00C30F5A">
        <w:t xml:space="preserve"> brought its third attempted FGM prosecution in August 2018</w:t>
      </w:r>
      <w:r w:rsidR="00542190">
        <w:t>; this</w:t>
      </w:r>
      <w:r w:rsidRPr="00C30F5A">
        <w:t xml:space="preserve"> is currently ongoing.</w:t>
      </w:r>
      <w:r w:rsidRPr="00C30F5A">
        <w:rPr>
          <w:vertAlign w:val="superscript"/>
        </w:rPr>
        <w:footnoteReference w:id="65"/>
      </w:r>
      <w:r w:rsidRPr="00C30F5A">
        <w:t xml:space="preserve"> None </w:t>
      </w:r>
      <w:r w:rsidR="00542190">
        <w:t xml:space="preserve">of its attempts </w:t>
      </w:r>
      <w:r w:rsidRPr="00C30F5A">
        <w:t>ha</w:t>
      </w:r>
      <w:r w:rsidR="00542190">
        <w:t>s</w:t>
      </w:r>
      <w:r w:rsidRPr="00C30F5A">
        <w:t xml:space="preserve"> yet resulted in a conviction. The trial has been set for January 2019.</w:t>
      </w:r>
    </w:p>
    <w:p w14:paraId="1C93F937" w14:textId="0B5422D7" w:rsidR="00BC0945" w:rsidRDefault="00C30F5A" w:rsidP="0079413F">
      <w:pPr>
        <w:pStyle w:val="Parabeforenewsubsection"/>
      </w:pPr>
      <w:r w:rsidRPr="00C30F5A">
        <w:t>The first clinic in Wales to provide medical and psychological help to victims of FGM opened in April 2018.</w:t>
      </w:r>
      <w:r w:rsidRPr="00C30F5A">
        <w:rPr>
          <w:vertAlign w:val="superscript"/>
        </w:rPr>
        <w:footnoteReference w:id="66"/>
      </w:r>
      <w:r w:rsidRPr="00C30F5A">
        <w:t xml:space="preserve"> The specialist Women's Wellbeing Clinic at Cardiff Royal Infirmary will offer individualised care, coun</w:t>
      </w:r>
      <w:r w:rsidR="00F81E55">
        <w:t xml:space="preserve">selling and advice for victims. </w:t>
      </w:r>
      <w:r w:rsidRPr="00C30F5A">
        <w:t>Between April 2017 and March 2018 there were 271 newly recorded cases of FGM reported in Wales, compared to 174 for the previous year.</w:t>
      </w:r>
      <w:r w:rsidRPr="00C30F5A">
        <w:rPr>
          <w:vertAlign w:val="superscript"/>
        </w:rPr>
        <w:footnoteReference w:id="67"/>
      </w:r>
      <w:r w:rsidRPr="00C30F5A">
        <w:t xml:space="preserve"> Three</w:t>
      </w:r>
      <w:r w:rsidR="00FE59B7">
        <w:t>-</w:t>
      </w:r>
      <w:r w:rsidRPr="00C30F5A">
        <w:t>quarters of all cases relate to women or girls from Cardiff and Vale University Health Board. The type of FGM was reported for 89% of the 271 women and children; type 1</w:t>
      </w:r>
      <w:r>
        <w:t xml:space="preserve"> </w:t>
      </w:r>
      <w:r w:rsidRPr="00C30F5A">
        <w:t>had the highest incidence (37%).</w:t>
      </w:r>
      <w:r w:rsidR="00107D90" w:rsidRPr="00C30F5A">
        <w:rPr>
          <w:vertAlign w:val="superscript"/>
        </w:rPr>
        <w:footnoteReference w:id="68"/>
      </w:r>
    </w:p>
    <w:p w14:paraId="5A55E815" w14:textId="0C0BE343" w:rsidR="00332F41" w:rsidRDefault="00332F41" w:rsidP="0079413F">
      <w:pPr>
        <w:pStyle w:val="Title-subsections"/>
      </w:pPr>
      <w:r>
        <w:lastRenderedPageBreak/>
        <w:t>Forced marriage</w:t>
      </w:r>
    </w:p>
    <w:p w14:paraId="5691697E" w14:textId="178E1E21" w:rsidR="00332F41" w:rsidRPr="00332F41" w:rsidRDefault="00332F41" w:rsidP="0079413F">
      <w:pPr>
        <w:pStyle w:val="Parabeforenewsubsection"/>
      </w:pPr>
      <w:r>
        <w:t>In November 2018, the UK Government launched a public consultation on whether it should bring in a new legal mandatory reporting duty, and how the current guidance on forced marriage could be improved.</w:t>
      </w:r>
      <w:r>
        <w:rPr>
          <w:rStyle w:val="FootnoteReference"/>
        </w:rPr>
        <w:footnoteReference w:id="69"/>
      </w:r>
      <w:r>
        <w:t xml:space="preserve"> The consultation document notes the barriers to reporting, but recognises that it must </w:t>
      </w:r>
      <w:r w:rsidR="00813358">
        <w:t>‘</w:t>
      </w:r>
      <w:r>
        <w:t xml:space="preserve">strike the right balance between ensuring that professionals appropriately identify victims and potential victims and not creating a </w:t>
      </w:r>
      <w:r w:rsidR="00813358">
        <w:t>“</w:t>
      </w:r>
      <w:r>
        <w:t>risk averse</w:t>
      </w:r>
      <w:r w:rsidR="00813358">
        <w:t>”</w:t>
      </w:r>
      <w:r>
        <w:t xml:space="preserve"> system where all cases of possible forced marriage are reported, which would adversely impact on the police’s ability to prioritise cases, and potentially stigmatise whole communities</w:t>
      </w:r>
      <w:r w:rsidR="00813358">
        <w:t>’</w:t>
      </w:r>
      <w:r>
        <w:t>.</w:t>
      </w:r>
    </w:p>
    <w:p w14:paraId="36778708" w14:textId="4FF15B4B" w:rsidR="00C30F5A" w:rsidRPr="00793D91" w:rsidRDefault="00793D91" w:rsidP="0079413F">
      <w:pPr>
        <w:pStyle w:val="Title-subsections"/>
      </w:pPr>
      <w:r>
        <w:t xml:space="preserve">Corporal punishment </w:t>
      </w:r>
    </w:p>
    <w:p w14:paraId="10B97183" w14:textId="73C8CF43" w:rsidR="00C30F5A" w:rsidRPr="00C30F5A" w:rsidRDefault="00C30F5A" w:rsidP="0079413F">
      <w:pPr>
        <w:pStyle w:val="Parabeforeanother"/>
      </w:pPr>
      <w:r w:rsidRPr="00C30F5A">
        <w:t>There is strong and consistent evidence of the harmful effects of physical punishment on children, and the risk of escalation into physical abuse.</w:t>
      </w:r>
      <w:r w:rsidRPr="00C30F5A">
        <w:rPr>
          <w:vertAlign w:val="superscript"/>
        </w:rPr>
        <w:footnoteReference w:id="70"/>
      </w:r>
      <w:r w:rsidRPr="00C30F5A">
        <w:t xml:space="preserve"> Children should be afforded more, not less, protection from violence than adults. Legal reform to protect children from all forms of physical punishment in all settings is an obligation under international human rights law. </w:t>
      </w:r>
    </w:p>
    <w:p w14:paraId="1CC068D9" w14:textId="5D66FBAF" w:rsidR="00C30F5A" w:rsidRPr="00C30F5A" w:rsidRDefault="00C30F5A" w:rsidP="0079413F">
      <w:pPr>
        <w:pStyle w:val="Parabeforeanother"/>
      </w:pPr>
      <w:r w:rsidRPr="00C30F5A">
        <w:t>Many UN treaty bodies, including the</w:t>
      </w:r>
      <w:r w:rsidR="00EB632A">
        <w:t xml:space="preserve"> UN</w:t>
      </w:r>
      <w:r w:rsidRPr="00C30F5A">
        <w:t xml:space="preserve"> Committee on the Rights of the Child</w:t>
      </w:r>
      <w:r w:rsidR="00EB632A">
        <w:t>,</w:t>
      </w:r>
      <w:r w:rsidRPr="00C30F5A">
        <w:t xml:space="preserve"> have found physical punishment to be a breach of children’s rights, and stressed that a child’s best interests must be interpreted consistently with the whole Convention</w:t>
      </w:r>
      <w:r w:rsidR="00937D9C">
        <w:t xml:space="preserve"> on the Rights of the Child (CRC)</w:t>
      </w:r>
      <w:r w:rsidRPr="00C30F5A">
        <w:t>.</w:t>
      </w:r>
      <w:r w:rsidRPr="00C30F5A">
        <w:rPr>
          <w:vertAlign w:val="superscript"/>
        </w:rPr>
        <w:footnoteReference w:id="71"/>
      </w:r>
      <w:r w:rsidRPr="00C30F5A">
        <w:t xml:space="preserve"> In England and Wales, </w:t>
      </w:r>
      <w:r w:rsidR="00A41215">
        <w:t>p</w:t>
      </w:r>
      <w:r w:rsidRPr="00C30F5A">
        <w:t xml:space="preserve">arents and those </w:t>
      </w:r>
      <w:r w:rsidR="004F395F">
        <w:t>‘</w:t>
      </w:r>
      <w:r w:rsidRPr="00C30F5A">
        <w:t>in loco parentis</w:t>
      </w:r>
      <w:r w:rsidR="004F395F">
        <w:t>’</w:t>
      </w:r>
      <w:r w:rsidRPr="00C30F5A">
        <w:t xml:space="preserve"> (for example sports coaches and babysitters) charged with the</w:t>
      </w:r>
      <w:r w:rsidR="00A41215">
        <w:t xml:space="preserve"> common</w:t>
      </w:r>
      <w:r w:rsidRPr="00C30F5A">
        <w:t xml:space="preserve"> assault of a child can </w:t>
      </w:r>
      <w:r w:rsidR="00A41215">
        <w:t xml:space="preserve">seek to </w:t>
      </w:r>
      <w:r w:rsidRPr="00C30F5A">
        <w:t xml:space="preserve">rely on the defence of </w:t>
      </w:r>
      <w:r w:rsidR="004F395F">
        <w:t>‘</w:t>
      </w:r>
      <w:r w:rsidRPr="00C30F5A">
        <w:t xml:space="preserve">reasonable </w:t>
      </w:r>
      <w:r w:rsidR="00F81E55">
        <w:t>punishment</w:t>
      </w:r>
      <w:r w:rsidR="004F395F">
        <w:t>’</w:t>
      </w:r>
      <w:r w:rsidRPr="00C30F5A">
        <w:t xml:space="preserve"> under section 58 of the Children Act 2004.</w:t>
      </w:r>
      <w:r w:rsidRPr="00C30F5A">
        <w:rPr>
          <w:vertAlign w:val="superscript"/>
        </w:rPr>
        <w:footnoteReference w:id="72"/>
      </w:r>
      <w:r w:rsidRPr="00C30F5A">
        <w:t xml:space="preserve"> This means that children do not have the same level of prote</w:t>
      </w:r>
      <w:r w:rsidR="0079413F">
        <w:t xml:space="preserve">ction from violence as adults. </w:t>
      </w:r>
    </w:p>
    <w:p w14:paraId="6BB7C573" w14:textId="30D16439" w:rsidR="00C30F5A" w:rsidRPr="00C30F5A" w:rsidRDefault="00793D91" w:rsidP="0079413F">
      <w:pPr>
        <w:pStyle w:val="Parabeforeanother"/>
      </w:pPr>
      <w:r>
        <w:t xml:space="preserve">EHRC </w:t>
      </w:r>
      <w:r w:rsidR="00C30F5A" w:rsidRPr="00C30F5A">
        <w:t xml:space="preserve">supports legal reform to ban the physical punishment of children in the family and in other settings. Removing the reasonable </w:t>
      </w:r>
      <w:r w:rsidR="00BC0945">
        <w:t>punishment</w:t>
      </w:r>
      <w:r w:rsidR="00C30F5A" w:rsidRPr="00C30F5A">
        <w:t xml:space="preserve"> and justifiable assault defences would create a full ban of the physical punishment of children, with the law applying equally to children and adults. However, it </w:t>
      </w:r>
      <w:r w:rsidR="00A41215">
        <w:t>is unlikely to</w:t>
      </w:r>
      <w:r w:rsidR="00C30F5A" w:rsidRPr="00C30F5A">
        <w:t xml:space="preserve"> result in the blanket </w:t>
      </w:r>
      <w:r w:rsidR="00C30F5A" w:rsidRPr="00C30F5A">
        <w:lastRenderedPageBreak/>
        <w:t xml:space="preserve">criminalisation of parents who physically </w:t>
      </w:r>
      <w:r w:rsidR="00BC0945">
        <w:t xml:space="preserve">punish </w:t>
      </w:r>
      <w:r w:rsidR="00C30F5A" w:rsidRPr="00C30F5A">
        <w:t xml:space="preserve">their children, because prosecutors will need to consider </w:t>
      </w:r>
      <w:r w:rsidR="00A41215">
        <w:t xml:space="preserve">in each case </w:t>
      </w:r>
      <w:r w:rsidR="00C30F5A" w:rsidRPr="00C30F5A">
        <w:t>whether a prosecu</w:t>
      </w:r>
      <w:r w:rsidR="00A41215">
        <w:t>tion is in the public interest.</w:t>
      </w:r>
    </w:p>
    <w:p w14:paraId="2C938BF7" w14:textId="661AEB29" w:rsidR="00C30F5A" w:rsidRPr="00C30F5A" w:rsidRDefault="00C30F5A" w:rsidP="0079413F">
      <w:pPr>
        <w:pStyle w:val="Parabeforenewsubsection"/>
      </w:pPr>
      <w:r w:rsidRPr="00C30F5A">
        <w:t>Since the enactment of the Rights of Children and Young Persons (Wales) Measure 2011,</w:t>
      </w:r>
      <w:r w:rsidRPr="00C30F5A">
        <w:rPr>
          <w:vertAlign w:val="superscript"/>
        </w:rPr>
        <w:footnoteReference w:id="73"/>
      </w:r>
      <w:r w:rsidR="00402430">
        <w:t xml:space="preserve"> </w:t>
      </w:r>
      <w:r w:rsidRPr="00C30F5A">
        <w:t xml:space="preserve">Welsh </w:t>
      </w:r>
      <w:r w:rsidR="00801A7F">
        <w:t>m</w:t>
      </w:r>
      <w:r w:rsidRPr="00C30F5A">
        <w:t>inisters have been obliged to have due regard to the CRC when making decisions. A Welsh Government consultation</w:t>
      </w:r>
      <w:r w:rsidRPr="00C30F5A">
        <w:rPr>
          <w:vertAlign w:val="superscript"/>
        </w:rPr>
        <w:footnoteReference w:id="74"/>
      </w:r>
      <w:r w:rsidRPr="00C30F5A">
        <w:t xml:space="preserve"> came out narrowly in favour </w:t>
      </w:r>
      <w:r w:rsidR="00FB6291">
        <w:t xml:space="preserve">of the view </w:t>
      </w:r>
      <w:r w:rsidRPr="00C30F5A">
        <w:t xml:space="preserve">that removal of the defence of reasonable punishment will protect children’s rights. The First Minister has announced the Welsh Government will introduce a </w:t>
      </w:r>
      <w:r w:rsidR="00801A7F">
        <w:t>b</w:t>
      </w:r>
      <w:r w:rsidRPr="00C30F5A">
        <w:t>ill to remove the defence of reasonable punishment between September 2018 and July 2019.</w:t>
      </w:r>
      <w:r w:rsidRPr="00C30F5A">
        <w:rPr>
          <w:vertAlign w:val="superscript"/>
        </w:rPr>
        <w:footnoteReference w:id="75"/>
      </w:r>
    </w:p>
    <w:p w14:paraId="05B03CC6" w14:textId="65BE1446" w:rsidR="00C30F5A" w:rsidRPr="00C30F5A" w:rsidRDefault="0079413F" w:rsidP="0079413F">
      <w:pPr>
        <w:pStyle w:val="Title-subsections"/>
      </w:pPr>
      <w:r>
        <w:t>Recommendations</w:t>
      </w:r>
    </w:p>
    <w:p w14:paraId="1D70CD7F" w14:textId="4430494A" w:rsidR="00C30F5A" w:rsidRPr="00165EBE" w:rsidRDefault="00C30F5A" w:rsidP="0079413F">
      <w:pPr>
        <w:pStyle w:val="Parabeforebulletss"/>
      </w:pPr>
      <w:r w:rsidRPr="00C30F5A">
        <w:t xml:space="preserve">The </w:t>
      </w:r>
      <w:r w:rsidR="002806AC">
        <w:t xml:space="preserve">EHRC recommends that the </w:t>
      </w:r>
      <w:r w:rsidRPr="00165EBE">
        <w:t xml:space="preserve">UK and </w:t>
      </w:r>
      <w:r w:rsidR="00107D90" w:rsidRPr="00165EBE">
        <w:t>Welsh</w:t>
      </w:r>
      <w:r w:rsidRPr="00165EBE">
        <w:t xml:space="preserve"> governments</w:t>
      </w:r>
      <w:r w:rsidR="00107D90" w:rsidRPr="00165EBE">
        <w:t>, where relevant,</w:t>
      </w:r>
      <w:r w:rsidR="00793D91" w:rsidRPr="00165EBE">
        <w:t xml:space="preserve"> should:</w:t>
      </w:r>
    </w:p>
    <w:p w14:paraId="2CA81E64" w14:textId="6776C228" w:rsidR="00107D90" w:rsidRPr="00165EBE" w:rsidRDefault="00F975AD" w:rsidP="0079413F">
      <w:pPr>
        <w:pStyle w:val="Bullet-followedbyothers"/>
      </w:pPr>
      <w:r>
        <w:t>t</w:t>
      </w:r>
      <w:r w:rsidR="00107D90" w:rsidRPr="00165EBE">
        <w:t>ake concrete steps to encourage successful prosecutions for FGM</w:t>
      </w:r>
    </w:p>
    <w:p w14:paraId="4DB1E416" w14:textId="67517696" w:rsidR="00332F41" w:rsidRPr="00165EBE" w:rsidRDefault="00F975AD" w:rsidP="0079413F">
      <w:pPr>
        <w:pStyle w:val="Bullet-followedbyothers"/>
      </w:pPr>
      <w:r>
        <w:t>e</w:t>
      </w:r>
      <w:r w:rsidR="00332F41" w:rsidRPr="00165EBE">
        <w:t xml:space="preserve">nsure any </w:t>
      </w:r>
      <w:r w:rsidR="00FC345C" w:rsidRPr="00165EBE">
        <w:t>new</w:t>
      </w:r>
      <w:r w:rsidR="00332F41" w:rsidRPr="00165EBE">
        <w:t xml:space="preserve"> mandatory reporting duty in relation to for</w:t>
      </w:r>
      <w:r w:rsidR="00615C1D" w:rsidRPr="00165EBE">
        <w:t>ced marriage is informed by an evaluation of the FGM reporting duty</w:t>
      </w:r>
      <w:r w:rsidR="0079413F">
        <w:t>, and</w:t>
      </w:r>
    </w:p>
    <w:p w14:paraId="0B883E6E" w14:textId="2B549BA4" w:rsidR="00C30F5A" w:rsidRPr="00165EBE" w:rsidRDefault="00F975AD" w:rsidP="0079413F">
      <w:pPr>
        <w:pStyle w:val="Bullet-followedbyothers"/>
        <w:spacing w:after="680"/>
      </w:pPr>
      <w:r>
        <w:t>p</w:t>
      </w:r>
      <w:r w:rsidR="00C30F5A" w:rsidRPr="00165EBE">
        <w:t>rohibit all forms of physical punishment of children</w:t>
      </w:r>
      <w:r w:rsidR="00A41215" w:rsidRPr="00165EBE">
        <w:t>,</w:t>
      </w:r>
      <w:r w:rsidR="00C30F5A" w:rsidRPr="00165EBE">
        <w:t xml:space="preserve"> including through the repeal of </w:t>
      </w:r>
      <w:r w:rsidR="00A41215" w:rsidRPr="00165EBE">
        <w:t>the</w:t>
      </w:r>
      <w:r w:rsidR="00EF7EAB" w:rsidRPr="00165EBE">
        <w:t xml:space="preserve"> </w:t>
      </w:r>
      <w:r>
        <w:t>‘</w:t>
      </w:r>
      <w:r w:rsidR="00EF7EAB" w:rsidRPr="00165EBE">
        <w:t>reasonable punishment</w:t>
      </w:r>
      <w:r>
        <w:t>’</w:t>
      </w:r>
      <w:r w:rsidR="00A41215" w:rsidRPr="00165EBE">
        <w:t xml:space="preserve"> defence</w:t>
      </w:r>
      <w:r>
        <w:t>.</w:t>
      </w:r>
      <w:r w:rsidR="00890BDA" w:rsidRPr="00165EBE">
        <w:t xml:space="preserve"> </w:t>
      </w:r>
    </w:p>
    <w:p w14:paraId="370C2B14" w14:textId="4330833A" w:rsidR="00211F67" w:rsidRPr="00C33493" w:rsidRDefault="00211F67" w:rsidP="00C33493">
      <w:pPr>
        <w:pStyle w:val="Title-sectionspink"/>
      </w:pPr>
      <w:bookmarkStart w:id="35" w:name="_Toc534726621"/>
      <w:r w:rsidRPr="00C33493">
        <w:t>Hate crime, hate speech and identity-based harassment</w:t>
      </w:r>
      <w:bookmarkEnd w:id="35"/>
      <w:r w:rsidRPr="00C33493">
        <w:t xml:space="preserve"> </w:t>
      </w:r>
    </w:p>
    <w:p w14:paraId="1AAF98F3" w14:textId="18C5CD46" w:rsidR="006F057B" w:rsidRDefault="006F057B" w:rsidP="0079413F">
      <w:pPr>
        <w:pStyle w:val="Parabeforeanother"/>
      </w:pPr>
      <w:r>
        <w:t>The</w:t>
      </w:r>
      <w:r w:rsidR="00C30F5A" w:rsidRPr="00C30F5A">
        <w:t xml:space="preserve"> UK Government</w:t>
      </w:r>
      <w:r>
        <w:t xml:space="preserve"> has recently</w:t>
      </w:r>
      <w:r w:rsidR="00C30F5A" w:rsidRPr="00C30F5A">
        <w:t xml:space="preserve"> announced a full review of hate crime law in England and Wales, </w:t>
      </w:r>
      <w:r w:rsidR="00F975AD">
        <w:t>‘</w:t>
      </w:r>
      <w:r w:rsidR="00C30F5A" w:rsidRPr="00C30F5A">
        <w:t>including how sex and gender characteristics should be</w:t>
      </w:r>
      <w:r w:rsidR="002806AC">
        <w:t xml:space="preserve"> </w:t>
      </w:r>
      <w:r w:rsidR="002806AC">
        <w:lastRenderedPageBreak/>
        <w:t>c</w:t>
      </w:r>
      <w:r w:rsidR="00C30F5A" w:rsidRPr="00C30F5A">
        <w:t>onsidered by new or existing hate crime law</w:t>
      </w:r>
      <w:r w:rsidR="00F975AD">
        <w:t>’</w:t>
      </w:r>
      <w:r w:rsidR="00C30F5A" w:rsidRPr="00C30F5A">
        <w:t>.</w:t>
      </w:r>
      <w:r w:rsidR="00C30F5A" w:rsidRPr="00C30F5A">
        <w:rPr>
          <w:vertAlign w:val="superscript"/>
        </w:rPr>
        <w:footnoteReference w:id="76"/>
      </w:r>
      <w:r w:rsidR="008A05DE">
        <w:t xml:space="preserve"> </w:t>
      </w:r>
      <w:r w:rsidR="008A05DE">
        <w:rPr>
          <w:rStyle w:val="FootnoteReference"/>
        </w:rPr>
        <w:footnoteReference w:id="77"/>
      </w:r>
      <w:r w:rsidR="00C30F5A" w:rsidRPr="00C30F5A">
        <w:t xml:space="preserve"> The review will commence in 2019.</w:t>
      </w:r>
      <w:r w:rsidR="00C30F5A" w:rsidRPr="00C30F5A">
        <w:rPr>
          <w:vertAlign w:val="superscript"/>
        </w:rPr>
        <w:footnoteReference w:id="78"/>
      </w:r>
      <w:r>
        <w:t xml:space="preserve"> </w:t>
      </w:r>
    </w:p>
    <w:p w14:paraId="4BBB2914" w14:textId="3B4935F7" w:rsidR="00C30F5A" w:rsidRPr="00C30F5A" w:rsidRDefault="00F81E55" w:rsidP="0079413F">
      <w:pPr>
        <w:pStyle w:val="Parabeforeanother"/>
      </w:pPr>
      <w:r>
        <w:t>The evaluation of a</w:t>
      </w:r>
      <w:r w:rsidR="00C30F5A" w:rsidRPr="00C30F5A">
        <w:t xml:space="preserve"> police trial in Nottinghamshire to record misogyny as a hate crime identified 174 reports made between April 2016 and March 2018, of which 73 were classified as crimes although only one led to a prosecution.</w:t>
      </w:r>
      <w:r w:rsidR="00C30F5A" w:rsidRPr="00C30F5A">
        <w:rPr>
          <w:vertAlign w:val="superscript"/>
        </w:rPr>
        <w:footnoteReference w:id="79"/>
      </w:r>
      <w:r w:rsidR="00C30F5A" w:rsidRPr="00C30F5A">
        <w:t xml:space="preserve"> The </w:t>
      </w:r>
      <w:r>
        <w:t xml:space="preserve">evaluation </w:t>
      </w:r>
      <w:r w:rsidR="00C30F5A" w:rsidRPr="00C30F5A">
        <w:t xml:space="preserve">findings suggested this behaviour was </w:t>
      </w:r>
      <w:r w:rsidR="00F975AD">
        <w:t>‘</w:t>
      </w:r>
      <w:r w:rsidR="00C30F5A" w:rsidRPr="00C30F5A">
        <w:t>overwhelmingly normalised</w:t>
      </w:r>
      <w:r w:rsidR="00F975AD">
        <w:t>’,</w:t>
      </w:r>
      <w:r w:rsidR="00C30F5A" w:rsidRPr="00C30F5A">
        <w:t xml:space="preserve"> which inhibited women from reporting it to the police.</w:t>
      </w:r>
      <w:r w:rsidR="00C30F5A" w:rsidRPr="00C30F5A">
        <w:rPr>
          <w:vertAlign w:val="superscript"/>
        </w:rPr>
        <w:footnoteReference w:id="80"/>
      </w:r>
    </w:p>
    <w:p w14:paraId="074060F4" w14:textId="6E66CB13" w:rsidR="00C30F5A" w:rsidRPr="00C30F5A" w:rsidRDefault="00C30F5A" w:rsidP="0079413F">
      <w:pPr>
        <w:pStyle w:val="Parabeforeanother"/>
      </w:pPr>
      <w:r w:rsidRPr="00C30F5A">
        <w:t xml:space="preserve">The 2018 Girls’ Attitudes Survey found </w:t>
      </w:r>
      <w:r w:rsidR="00F81E55">
        <w:t>25%</w:t>
      </w:r>
      <w:r w:rsidRPr="00C30F5A">
        <w:t xml:space="preserve"> of girls and young women </w:t>
      </w:r>
      <w:r w:rsidR="00F81E55">
        <w:t xml:space="preserve">aged 11 to 21 years old </w:t>
      </w:r>
      <w:r w:rsidRPr="00C30F5A">
        <w:t>had threatening things said about them on social media, an increase from 21</w:t>
      </w:r>
      <w:r w:rsidR="00F975AD">
        <w:t>%</w:t>
      </w:r>
      <w:r w:rsidRPr="00C30F5A">
        <w:t xml:space="preserve"> in 2013.</w:t>
      </w:r>
      <w:r w:rsidRPr="00C30F5A">
        <w:rPr>
          <w:vertAlign w:val="superscript"/>
        </w:rPr>
        <w:footnoteReference w:id="81"/>
      </w:r>
      <w:r w:rsidR="006F057B">
        <w:t xml:space="preserve"> The UK Government is expected to</w:t>
      </w:r>
      <w:r w:rsidRPr="00C30F5A">
        <w:t xml:space="preserve"> bring forward proposals for legislation to address online safety, which may include a social media code of practice and mandatory transparency reporting.</w:t>
      </w:r>
      <w:r w:rsidRPr="00C30F5A">
        <w:rPr>
          <w:vertAlign w:val="superscript"/>
        </w:rPr>
        <w:footnoteReference w:id="82"/>
      </w:r>
      <w:r w:rsidRPr="00C30F5A">
        <w:t xml:space="preserve"> In </w:t>
      </w:r>
      <w:r w:rsidR="001E1B52">
        <w:t xml:space="preserve">response to </w:t>
      </w:r>
      <w:r w:rsidRPr="00C30F5A">
        <w:t xml:space="preserve">the UK Government’s consultation on the proposed </w:t>
      </w:r>
      <w:r w:rsidR="00F975AD">
        <w:t>i</w:t>
      </w:r>
      <w:r w:rsidRPr="00C30F5A">
        <w:t xml:space="preserve">nternet </w:t>
      </w:r>
      <w:r w:rsidR="00F975AD">
        <w:t>s</w:t>
      </w:r>
      <w:r w:rsidR="001B0510">
        <w:t xml:space="preserve">afety </w:t>
      </w:r>
      <w:r w:rsidR="00F975AD">
        <w:t>s</w:t>
      </w:r>
      <w:r w:rsidR="001B0510">
        <w:t>trategy, 60</w:t>
      </w:r>
      <w:r w:rsidR="00F975AD">
        <w:t>%</w:t>
      </w:r>
      <w:r w:rsidR="001B0510">
        <w:t xml:space="preserve"> of individual </w:t>
      </w:r>
      <w:r w:rsidR="001B0510" w:rsidRPr="00C30F5A">
        <w:t xml:space="preserve">respondents </w:t>
      </w:r>
      <w:r w:rsidR="001B0510">
        <w:t xml:space="preserve">who chose to complete the consultation survey (296 individuals) </w:t>
      </w:r>
      <w:r w:rsidR="001B0510" w:rsidRPr="00C30F5A">
        <w:t xml:space="preserve">said they had seen inappropriate or harmful content online, of which half </w:t>
      </w:r>
      <w:r w:rsidR="001B0510">
        <w:t xml:space="preserve">(50%) </w:t>
      </w:r>
      <w:r w:rsidR="001B0510" w:rsidRPr="00C30F5A">
        <w:t>reported witnessing online misogyny</w:t>
      </w:r>
      <w:r w:rsidRPr="00C30F5A">
        <w:t>.</w:t>
      </w:r>
      <w:r w:rsidRPr="00C30F5A">
        <w:rPr>
          <w:vertAlign w:val="superscript"/>
        </w:rPr>
        <w:footnoteReference w:id="83"/>
      </w:r>
    </w:p>
    <w:p w14:paraId="263DB045" w14:textId="6B51B607" w:rsidR="00C30F5A" w:rsidRPr="00C30F5A" w:rsidRDefault="00C30F5A" w:rsidP="0079413F">
      <w:pPr>
        <w:pStyle w:val="Parabeforenewsubsection"/>
      </w:pPr>
      <w:r w:rsidRPr="00C30F5A">
        <w:t>Her Majesty’s Inspectorate of Constabular</w:t>
      </w:r>
      <w:r w:rsidR="00B839E3">
        <w:t>y and Fire &amp; Rescue Services</w:t>
      </w:r>
      <w:r w:rsidRPr="00C30F5A">
        <w:t xml:space="preserve"> </w:t>
      </w:r>
      <w:r w:rsidR="00B839E3">
        <w:t xml:space="preserve">(HMICFRS) </w:t>
      </w:r>
      <w:r w:rsidRPr="00C30F5A">
        <w:t>has reported on the effectiveness of the initial police response to hate crime across all currently protected characteristics, including race, sexual orie</w:t>
      </w:r>
      <w:r w:rsidR="002806AC">
        <w:t>ntation and gender reassignment</w:t>
      </w:r>
      <w:r w:rsidRPr="00C30F5A">
        <w:t xml:space="preserve">. While the report did not identify specific issues in relation to women who are victims of these crimes, it raised a number of general concerns that are relevant, including the lack of information about how different groups are victimised, </w:t>
      </w:r>
      <w:r w:rsidRPr="00C30F5A">
        <w:lastRenderedPageBreak/>
        <w:t xml:space="preserve">and </w:t>
      </w:r>
      <w:r w:rsidRPr="002806AC">
        <w:t>insufficient assessment of the risk of repeat targeting.</w:t>
      </w:r>
      <w:r w:rsidRPr="002806AC">
        <w:rPr>
          <w:vertAlign w:val="superscript"/>
        </w:rPr>
        <w:footnoteReference w:id="84"/>
      </w:r>
      <w:r w:rsidRPr="002806AC">
        <w:t xml:space="preserve"> The report highlighted the case of a trans woman who did not report an incident to the police because she had previous poor experiences, including being interviewed in detail about her trans status in a way she found inappropriate and offensive.</w:t>
      </w:r>
      <w:r w:rsidRPr="002806AC">
        <w:rPr>
          <w:vertAlign w:val="superscript"/>
        </w:rPr>
        <w:footnoteReference w:id="85"/>
      </w:r>
    </w:p>
    <w:p w14:paraId="40109005" w14:textId="6560EBDE" w:rsidR="00C30F5A" w:rsidRPr="0079413F" w:rsidRDefault="00D43A2A" w:rsidP="0079413F">
      <w:pPr>
        <w:pStyle w:val="Title-subsections"/>
      </w:pPr>
      <w:r>
        <w:t>Recommendations</w:t>
      </w:r>
    </w:p>
    <w:p w14:paraId="5671F21F" w14:textId="1DF8B16B" w:rsidR="00C30F5A" w:rsidRPr="00C30F5A" w:rsidRDefault="00C30F5A" w:rsidP="0079413F">
      <w:pPr>
        <w:pStyle w:val="Parabeforebulletss"/>
      </w:pPr>
      <w:r w:rsidRPr="00C30F5A">
        <w:t>The</w:t>
      </w:r>
      <w:r w:rsidR="002806AC">
        <w:t xml:space="preserve"> EHRC recommends that the UK</w:t>
      </w:r>
      <w:r w:rsidR="00D43A2A">
        <w:t xml:space="preserve"> </w:t>
      </w:r>
      <w:r w:rsidR="00CC1C84">
        <w:t xml:space="preserve">and devolved governments, where relevant, </w:t>
      </w:r>
      <w:r w:rsidR="00D43A2A">
        <w:t>should</w:t>
      </w:r>
      <w:r w:rsidRPr="00C30F5A">
        <w:t xml:space="preserve">: </w:t>
      </w:r>
    </w:p>
    <w:p w14:paraId="6C627516" w14:textId="1B4B3DFA" w:rsidR="00C30F5A" w:rsidRPr="00165EBE" w:rsidRDefault="00C30F5A" w:rsidP="0079413F">
      <w:pPr>
        <w:pStyle w:val="Bullet-followedbyothers"/>
      </w:pPr>
      <w:r w:rsidRPr="00165EBE">
        <w:t>ensure the</w:t>
      </w:r>
      <w:r w:rsidR="00AD328B" w:rsidRPr="00165EBE">
        <w:t xml:space="preserve"> Law Commission’s</w:t>
      </w:r>
      <w:r w:rsidRPr="00165EBE">
        <w:t xml:space="preserve"> review of hate crime legislation considers whether the law provides adequate protection for women and fair and appropriate access to justice, and consider amending legislation if gaps are identified</w:t>
      </w:r>
    </w:p>
    <w:p w14:paraId="1832C76E" w14:textId="30956475" w:rsidR="00C30F5A" w:rsidRPr="00C30F5A" w:rsidRDefault="00C30F5A" w:rsidP="0079413F">
      <w:pPr>
        <w:pStyle w:val="Bullet-followedbyothers"/>
      </w:pPr>
      <w:r w:rsidRPr="00C30F5A">
        <w:t>improve the way data is collected and shared so that robust analysis can be undertaken to inform effective approache</w:t>
      </w:r>
      <w:r w:rsidR="00107D90">
        <w:t>s to deal with hate crime</w:t>
      </w:r>
      <w:r w:rsidR="00B839E3">
        <w:t>,</w:t>
      </w:r>
      <w:r w:rsidR="00107D90">
        <w:t xml:space="preserve"> ensuring</w:t>
      </w:r>
      <w:r w:rsidRPr="00C30F5A">
        <w:t xml:space="preserve"> that data is fully disaggregated on the basi</w:t>
      </w:r>
      <w:r w:rsidR="00107D90">
        <w:t>s of protected characteristics</w:t>
      </w:r>
    </w:p>
    <w:p w14:paraId="63AFE805" w14:textId="5CDDE768" w:rsidR="004F6F1B" w:rsidRDefault="00C30F5A" w:rsidP="0079413F">
      <w:pPr>
        <w:pStyle w:val="Bullet-followedbyothers"/>
      </w:pPr>
      <w:r w:rsidRPr="00C30F5A">
        <w:t>with due regard for the right to freedom of expression, invest in further research into online abuse marked by misogyny, violence against women and girls, and other bias-motivated hostility, and develop effective mechanisms and interventions for tackling it</w:t>
      </w:r>
      <w:r w:rsidR="0079413F">
        <w:t>, and</w:t>
      </w:r>
    </w:p>
    <w:p w14:paraId="2A41882C" w14:textId="0042C883" w:rsidR="00B47C27" w:rsidRPr="00D43A2A" w:rsidRDefault="004F6F1B" w:rsidP="0079413F">
      <w:pPr>
        <w:pStyle w:val="Bullet-lastingroup"/>
      </w:pPr>
      <w:r>
        <w:t>i</w:t>
      </w:r>
      <w:r w:rsidR="0068366B" w:rsidRPr="004F6F1B">
        <w:t>mprove support for victims and witnesses to report online and offline hostility and intimidation, and develop effec</w:t>
      </w:r>
      <w:r>
        <w:t xml:space="preserve">tive mechanisms for tackling </w:t>
      </w:r>
      <w:r w:rsidR="00B839E3">
        <w:t>these.</w:t>
      </w:r>
      <w:r w:rsidR="00211F67" w:rsidRPr="00D43A2A">
        <w:rPr>
          <w:rFonts w:asciiTheme="majorHAnsi" w:eastAsiaTheme="majorEastAsia" w:hAnsiTheme="majorHAnsi" w:cstheme="majorBidi"/>
          <w:b/>
          <w:bCs/>
          <w:color w:val="2E74B5" w:themeColor="accent1" w:themeShade="BF"/>
          <w:sz w:val="28"/>
          <w:szCs w:val="28"/>
        </w:rPr>
        <w:br w:type="page"/>
      </w:r>
    </w:p>
    <w:p w14:paraId="26A15582" w14:textId="0CA76622" w:rsidR="003F699A" w:rsidRDefault="00211F67" w:rsidP="003F699A">
      <w:pPr>
        <w:pStyle w:val="Title-chapterpink"/>
        <w:spacing w:after="0"/>
        <w:rPr>
          <w:rFonts w:eastAsiaTheme="majorEastAsia"/>
        </w:rPr>
      </w:pPr>
      <w:bookmarkStart w:id="36" w:name="_Toc534726622"/>
      <w:r w:rsidRPr="00F007FE">
        <w:rPr>
          <w:rFonts w:eastAsiaTheme="majorEastAsia"/>
        </w:rPr>
        <w:lastRenderedPageBreak/>
        <w:t>4. Access to civil justice</w:t>
      </w:r>
      <w:r>
        <w:rPr>
          <w:rFonts w:eastAsiaTheme="majorEastAsia"/>
        </w:rPr>
        <w:t>:</w:t>
      </w:r>
      <w:bookmarkEnd w:id="36"/>
      <w:r>
        <w:rPr>
          <w:rFonts w:eastAsiaTheme="majorEastAsia"/>
        </w:rPr>
        <w:t xml:space="preserve"> </w:t>
      </w:r>
    </w:p>
    <w:p w14:paraId="04E72FF7" w14:textId="5344057A" w:rsidR="00211F67" w:rsidRPr="00F007FE" w:rsidRDefault="00211F67" w:rsidP="00C33493">
      <w:pPr>
        <w:pStyle w:val="Title-chapterpink"/>
        <w:rPr>
          <w:rFonts w:eastAsiaTheme="majorEastAsia"/>
        </w:rPr>
      </w:pPr>
      <w:bookmarkStart w:id="37" w:name="_Toc516151020"/>
      <w:bookmarkStart w:id="38" w:name="_Toc534726623"/>
      <w:r w:rsidRPr="003F699A">
        <w:rPr>
          <w:rFonts w:eastAsiaTheme="majorEastAsia"/>
          <w:color w:val="auto"/>
          <w:sz w:val="36"/>
          <w:szCs w:val="36"/>
        </w:rPr>
        <w:t>relates to</w:t>
      </w:r>
      <w:r w:rsidR="00BA33B1">
        <w:rPr>
          <w:rFonts w:eastAsiaTheme="majorEastAsia"/>
          <w:color w:val="auto"/>
          <w:sz w:val="36"/>
          <w:szCs w:val="36"/>
        </w:rPr>
        <w:t xml:space="preserve"> LoI paragraph 4,</w:t>
      </w:r>
      <w:r w:rsidRPr="003F699A">
        <w:rPr>
          <w:rFonts w:eastAsiaTheme="majorEastAsia"/>
          <w:color w:val="auto"/>
          <w:sz w:val="36"/>
          <w:szCs w:val="36"/>
        </w:rPr>
        <w:t xml:space="preserve"> articles 2.c and 15, CO paragraphs 23.a-b and 47.e and SDG 16</w:t>
      </w:r>
      <w:bookmarkEnd w:id="37"/>
      <w:bookmarkEnd w:id="38"/>
    </w:p>
    <w:p w14:paraId="7760DF85" w14:textId="77777777" w:rsidR="00211F67" w:rsidRPr="00F007FE" w:rsidRDefault="00211F67" w:rsidP="00C33493">
      <w:pPr>
        <w:pStyle w:val="Title-sectionspink"/>
        <w:rPr>
          <w:rFonts w:eastAsiaTheme="majorEastAsia"/>
        </w:rPr>
      </w:pPr>
      <w:bookmarkStart w:id="39" w:name="_Toc534726624"/>
      <w:r>
        <w:rPr>
          <w:rFonts w:eastAsiaTheme="majorEastAsia"/>
        </w:rPr>
        <w:t>Legal aid</w:t>
      </w:r>
      <w:bookmarkEnd w:id="39"/>
      <w:r>
        <w:rPr>
          <w:rFonts w:eastAsiaTheme="majorEastAsia"/>
        </w:rPr>
        <w:t xml:space="preserve"> </w:t>
      </w:r>
    </w:p>
    <w:p w14:paraId="75710BCB" w14:textId="2E14A2EE" w:rsidR="00C30F5A" w:rsidRPr="00C30F5A" w:rsidRDefault="00C30F5A" w:rsidP="0079413F">
      <w:pPr>
        <w:pStyle w:val="Parabeforeanother"/>
      </w:pPr>
      <w:r w:rsidRPr="00C30F5A">
        <w:t xml:space="preserve">The UK Government’s review of changes to legal aid under the Legal Aid, Sentencing and Punishment of Offenders Act 2012 (LASPO) was </w:t>
      </w:r>
      <w:r w:rsidR="00B20351">
        <w:t xml:space="preserve">expected to be </w:t>
      </w:r>
      <w:r w:rsidRPr="00C30F5A">
        <w:t>published in December 2018</w:t>
      </w:r>
      <w:r w:rsidR="0051033B">
        <w:t>.</w:t>
      </w:r>
      <w:r w:rsidRPr="00C30F5A">
        <w:rPr>
          <w:vertAlign w:val="superscript"/>
        </w:rPr>
        <w:footnoteReference w:id="86"/>
      </w:r>
      <w:r w:rsidR="00B20351">
        <w:t xml:space="preserve"> </w:t>
      </w:r>
      <w:r w:rsidR="0051033B">
        <w:t>H</w:t>
      </w:r>
      <w:r w:rsidR="00B20351">
        <w:t>owever</w:t>
      </w:r>
      <w:r w:rsidR="0051033B">
        <w:t>,</w:t>
      </w:r>
      <w:r w:rsidR="00B20351">
        <w:t xml:space="preserve"> this has since been delayed.</w:t>
      </w:r>
      <w:r w:rsidR="001B0510">
        <w:t xml:space="preserve"> </w:t>
      </w:r>
    </w:p>
    <w:p w14:paraId="489AA1FA" w14:textId="447C6680" w:rsidR="00C30F5A" w:rsidRPr="00C30F5A" w:rsidRDefault="00C30F5A" w:rsidP="0079413F">
      <w:pPr>
        <w:pStyle w:val="Parabeforeanother"/>
      </w:pPr>
      <w:r w:rsidRPr="00C30F5A">
        <w:t>The EHRC made a full response to the UK Government’s review, highlighting concerns about the impact of LASPO on access to justice and on access to redress for human rights breaches and discrimination.</w:t>
      </w:r>
      <w:r w:rsidRPr="00C30F5A">
        <w:rPr>
          <w:vertAlign w:val="superscript"/>
        </w:rPr>
        <w:footnoteReference w:id="87"/>
      </w:r>
      <w:r w:rsidRPr="00C30F5A">
        <w:t xml:space="preserve"> The submission drew attention to the likely disproportionate negative impact on women due to their over</w:t>
      </w:r>
      <w:r w:rsidR="00BB4F84">
        <w:t>-</w:t>
      </w:r>
      <w:r w:rsidRPr="00C30F5A">
        <w:t>representation in areas of law that were removed from the scope of legal aid, particularly h</w:t>
      </w:r>
      <w:r w:rsidR="0079413F">
        <w:t xml:space="preserve">ousing and private family law. </w:t>
      </w:r>
    </w:p>
    <w:p w14:paraId="3DC37BDE" w14:textId="474E55DB" w:rsidR="00C30F5A" w:rsidRPr="00C30F5A" w:rsidRDefault="00C30F5A" w:rsidP="0079413F">
      <w:pPr>
        <w:pStyle w:val="Parabeforeanother"/>
      </w:pPr>
      <w:r w:rsidRPr="00C30F5A">
        <w:t xml:space="preserve">Research we commissioned to support our response found that people who could not access legal aid also faced barriers in pursuing other routes to justice </w:t>
      </w:r>
      <w:r w:rsidR="00BB4F84">
        <w:t>–</w:t>
      </w:r>
      <w:r w:rsidRPr="00C30F5A">
        <w:t xml:space="preserve"> for example, some women with family law problems did not find mediation to be </w:t>
      </w:r>
      <w:r w:rsidRPr="00C30F5A">
        <w:lastRenderedPageBreak/>
        <w:t>effective but could not access funding to pay for a solicitor.</w:t>
      </w:r>
      <w:r w:rsidRPr="00C30F5A">
        <w:rPr>
          <w:vertAlign w:val="superscript"/>
        </w:rPr>
        <w:footnoteReference w:id="88"/>
      </w:r>
      <w:r w:rsidRPr="00C30F5A">
        <w:t xml:space="preserve"> The report highlighted the experience of a woman with a seemingly strong case of pregnancy discrimination against her former employer who did not know that legal aid may have been available to support her claim, as it is generally not availabl</w:t>
      </w:r>
      <w:r w:rsidR="0079413F">
        <w:t>e for other employment matters.</w:t>
      </w:r>
    </w:p>
    <w:p w14:paraId="69907B37" w14:textId="6C7FFD7C" w:rsidR="00C30F5A" w:rsidRPr="00C30F5A" w:rsidRDefault="00BB4F84" w:rsidP="0079413F">
      <w:pPr>
        <w:pStyle w:val="Parabeforeanother"/>
      </w:pPr>
      <w:r>
        <w:t xml:space="preserve">Campaigning and support charity </w:t>
      </w:r>
      <w:r w:rsidR="00C30F5A" w:rsidRPr="00C30F5A">
        <w:t>Rights of Women, supported by the Law Society, ha</w:t>
      </w:r>
      <w:r>
        <w:t xml:space="preserve">s </w:t>
      </w:r>
      <w:r w:rsidR="00C30F5A" w:rsidRPr="00C30F5A">
        <w:t>called for additional amendments to the evidence rules to access legal aid in domestic abuse cases.</w:t>
      </w:r>
      <w:r w:rsidR="00C30F5A" w:rsidRPr="00C30F5A">
        <w:rPr>
          <w:vertAlign w:val="superscript"/>
        </w:rPr>
        <w:footnoteReference w:id="89"/>
      </w:r>
      <w:r w:rsidR="00C30F5A" w:rsidRPr="00C30F5A">
        <w:t xml:space="preserve"> </w:t>
      </w:r>
      <w:r>
        <w:t xml:space="preserve">It has </w:t>
      </w:r>
      <w:r w:rsidR="00C30F5A" w:rsidRPr="00C30F5A">
        <w:t xml:space="preserve">highlighted concerns about powers to withdraw legal aid in certain cases </w:t>
      </w:r>
      <w:r>
        <w:t>–</w:t>
      </w:r>
      <w:r w:rsidR="00C30F5A" w:rsidRPr="00C30F5A">
        <w:t xml:space="preserve"> for example, whe</w:t>
      </w:r>
      <w:r>
        <w:t>n</w:t>
      </w:r>
      <w:r w:rsidR="00C30F5A" w:rsidRPr="00C30F5A">
        <w:t xml:space="preserve"> a local authority assesses that there has not been domestic violence despite contrary evidence from a domestic violence support service.</w:t>
      </w:r>
      <w:r w:rsidR="00C30F5A" w:rsidRPr="00C30F5A">
        <w:rPr>
          <w:vertAlign w:val="superscript"/>
        </w:rPr>
        <w:footnoteReference w:id="90"/>
      </w:r>
      <w:r w:rsidR="00C30F5A" w:rsidRPr="00C30F5A">
        <w:t xml:space="preserve"> The Joint Committee on Human Rights</w:t>
      </w:r>
      <w:r w:rsidR="001E1B52">
        <w:t xml:space="preserve"> (JCHR) </w:t>
      </w:r>
      <w:r w:rsidR="00C30F5A" w:rsidRPr="00C30F5A">
        <w:t>has recommended that the UK Government consider whether further amendme</w:t>
      </w:r>
      <w:r w:rsidR="005F46F6">
        <w:t>nts are needed to ensure survivors</w:t>
      </w:r>
      <w:r w:rsidR="00C30F5A" w:rsidRPr="00C30F5A">
        <w:t xml:space="preserve"> of domestic violence can access legal aid.</w:t>
      </w:r>
      <w:r w:rsidR="00C30F5A" w:rsidRPr="00C30F5A">
        <w:rPr>
          <w:vertAlign w:val="superscript"/>
        </w:rPr>
        <w:footnoteReference w:id="91"/>
      </w:r>
      <w:r w:rsidR="0079413F">
        <w:t xml:space="preserve"> </w:t>
      </w:r>
    </w:p>
    <w:p w14:paraId="6B0B3812" w14:textId="31B51FA5" w:rsidR="00C30F5A" w:rsidRPr="00C30F5A" w:rsidRDefault="00C30F5A" w:rsidP="0079413F">
      <w:pPr>
        <w:pStyle w:val="Parabeforenewsubsection"/>
      </w:pPr>
      <w:r w:rsidRPr="00C30F5A">
        <w:t>A Commission on Justice in Wales has been established by the First Minister to review the operation of the justice system in Wales and set a long</w:t>
      </w:r>
      <w:r w:rsidR="00BB4F84">
        <w:t>-</w:t>
      </w:r>
      <w:r w:rsidRPr="00C30F5A">
        <w:t>term vision for its future.</w:t>
      </w:r>
      <w:r w:rsidRPr="00C30F5A">
        <w:rPr>
          <w:vertAlign w:val="superscript"/>
        </w:rPr>
        <w:footnoteReference w:id="92"/>
      </w:r>
      <w:r w:rsidRPr="00C30F5A">
        <w:t xml:space="preserve"> The Commission on Justice is currently consulting on how criminal justice, civil justice, and access to legal advice can be improved.</w:t>
      </w:r>
      <w:r w:rsidRPr="00C30F5A">
        <w:rPr>
          <w:vertAlign w:val="superscript"/>
        </w:rPr>
        <w:footnoteReference w:id="93"/>
      </w:r>
      <w:r w:rsidRPr="00C30F5A">
        <w:t xml:space="preserve"> This offers an opportunity to address barriers to access to justice that women face.</w:t>
      </w:r>
    </w:p>
    <w:p w14:paraId="5FFCF1F1" w14:textId="7737E504" w:rsidR="00C30F5A" w:rsidRPr="0079413F" w:rsidRDefault="00D43A2A" w:rsidP="0079413F">
      <w:pPr>
        <w:pStyle w:val="Title-subsections"/>
      </w:pPr>
      <w:r>
        <w:t>Recommendations</w:t>
      </w:r>
      <w:r w:rsidR="00C30F5A" w:rsidRPr="00C30F5A">
        <w:t xml:space="preserve"> </w:t>
      </w:r>
    </w:p>
    <w:p w14:paraId="05DA964D" w14:textId="1FC98D59" w:rsidR="00C30F5A" w:rsidRPr="00C30F5A" w:rsidRDefault="00C30F5A" w:rsidP="0079413F">
      <w:pPr>
        <w:pStyle w:val="Parabeforebulletss"/>
      </w:pPr>
      <w:r w:rsidRPr="00C30F5A">
        <w:t xml:space="preserve">The </w:t>
      </w:r>
      <w:r w:rsidR="002806AC">
        <w:t xml:space="preserve">EHRC recommends that the </w:t>
      </w:r>
      <w:r w:rsidRPr="00C30F5A">
        <w:t xml:space="preserve">UK Government should: </w:t>
      </w:r>
    </w:p>
    <w:p w14:paraId="2DC4C318" w14:textId="677DE027" w:rsidR="00C30F5A" w:rsidRPr="00165EBE" w:rsidRDefault="00BB4F84" w:rsidP="0079413F">
      <w:pPr>
        <w:pStyle w:val="Bullet-followedbyothers"/>
      </w:pPr>
      <w:r>
        <w:t>u</w:t>
      </w:r>
      <w:r w:rsidR="00C30F5A" w:rsidRPr="00C30F5A">
        <w:t>se the full range of evidence available to assess the impact of LASPO on the ability of individuals to en</w:t>
      </w:r>
      <w:r w:rsidR="005F46F6">
        <w:t xml:space="preserve">joy effective access to justice, </w:t>
      </w:r>
      <w:r w:rsidR="00C30F5A" w:rsidRPr="00C30F5A">
        <w:t>commission</w:t>
      </w:r>
      <w:r w:rsidR="005F46F6">
        <w:t>ing</w:t>
      </w:r>
      <w:r w:rsidR="00C30F5A" w:rsidRPr="00C30F5A">
        <w:t xml:space="preserve"> further research and analysis where necessary, including</w:t>
      </w:r>
      <w:r w:rsidR="005F46F6">
        <w:t xml:space="preserve"> an</w:t>
      </w:r>
      <w:r w:rsidR="00C30F5A" w:rsidRPr="00C30F5A">
        <w:t xml:space="preserve"> analysis of how </w:t>
      </w:r>
      <w:r w:rsidR="00C30F5A" w:rsidRPr="00165EBE">
        <w:t xml:space="preserve">and whether </w:t>
      </w:r>
      <w:r w:rsidR="00BC660C" w:rsidRPr="00165EBE">
        <w:t>women</w:t>
      </w:r>
      <w:r w:rsidR="00C30F5A" w:rsidRPr="00165EBE">
        <w:t xml:space="preserve"> can access justice when they cannot access legal aid </w:t>
      </w:r>
    </w:p>
    <w:p w14:paraId="4809A5D7" w14:textId="593AD838" w:rsidR="005F46F6" w:rsidRPr="00165EBE" w:rsidRDefault="00BB4F84" w:rsidP="0079413F">
      <w:pPr>
        <w:pStyle w:val="Bullet-followedbyothers"/>
      </w:pPr>
      <w:r>
        <w:lastRenderedPageBreak/>
        <w:t>e</w:t>
      </w:r>
      <w:r w:rsidR="00FC345C" w:rsidRPr="00165EBE">
        <w:t>nsure the LASPO review assesses whether further amendments are needed to ensure that legal aid is available for survivors of domestic violence</w:t>
      </w:r>
      <w:r>
        <w:t xml:space="preserve"> so</w:t>
      </w:r>
      <w:r w:rsidR="00B171E9" w:rsidRPr="00165EBE">
        <w:t xml:space="preserve"> that they have access to </w:t>
      </w:r>
      <w:r w:rsidR="00FC345C" w:rsidRPr="00165EBE">
        <w:t>justice</w:t>
      </w:r>
      <w:r w:rsidR="0079413F">
        <w:t>, and</w:t>
      </w:r>
    </w:p>
    <w:p w14:paraId="1CAD444C" w14:textId="6E78C4DB" w:rsidR="00793D91" w:rsidRDefault="00BB4F84" w:rsidP="0079413F">
      <w:pPr>
        <w:pStyle w:val="Bullet-lastingroup"/>
      </w:pPr>
      <w:r>
        <w:t>i</w:t>
      </w:r>
      <w:r w:rsidR="00C30F5A" w:rsidRPr="00165EBE">
        <w:t xml:space="preserve">dentify where LASPO has had a disproportionately </w:t>
      </w:r>
      <w:r w:rsidR="00C30F5A" w:rsidRPr="00C30F5A">
        <w:t>negative impact on people sharing certain protected characteristics</w:t>
      </w:r>
      <w:r>
        <w:t>,</w:t>
      </w:r>
      <w:r w:rsidR="00C30F5A" w:rsidRPr="00C30F5A">
        <w:t xml:space="preserve"> and take mitigating action, including bringing areas of law back into scope where necessary. Priority attention should be given to the impacts on disabled people, women an</w:t>
      </w:r>
      <w:r w:rsidR="005F46F6">
        <w:t>d people from ethnic minorities</w:t>
      </w:r>
      <w:r w:rsidR="00C30F5A" w:rsidRPr="00C30F5A">
        <w:t>.</w:t>
      </w:r>
      <w:r w:rsidR="00C30F5A" w:rsidRPr="00C30F5A">
        <w:rPr>
          <w:vertAlign w:val="superscript"/>
        </w:rPr>
        <w:footnoteReference w:id="94"/>
      </w:r>
    </w:p>
    <w:p w14:paraId="05D1142E" w14:textId="709CE4E7" w:rsidR="0068366B" w:rsidRDefault="0068366B" w:rsidP="0079413F">
      <w:pPr>
        <w:pStyle w:val="Parabeforebulletss"/>
      </w:pPr>
      <w:r>
        <w:t>The</w:t>
      </w:r>
      <w:r w:rsidR="002806AC">
        <w:t xml:space="preserve"> EHRC recommends that the</w:t>
      </w:r>
      <w:r>
        <w:t xml:space="preserve"> Welsh Government should:</w:t>
      </w:r>
    </w:p>
    <w:p w14:paraId="3D0384D4" w14:textId="5761AA34" w:rsidR="001D0F88" w:rsidRPr="001D0F88" w:rsidRDefault="001D0F88" w:rsidP="0079413F">
      <w:pPr>
        <w:pStyle w:val="Bullet-lastingroup"/>
      </w:pPr>
      <w:r w:rsidRPr="001D0F88">
        <w:t>implement any recommendations of the Commission on Justice in Wales, when published in 2019, including on the mitigation of UK legislation and policy on access to justice and legal aid</w:t>
      </w:r>
      <w:r w:rsidR="00BB4F84">
        <w:t>.</w:t>
      </w:r>
    </w:p>
    <w:p w14:paraId="0BA62185" w14:textId="77777777" w:rsidR="005131D5" w:rsidRDefault="005131D5">
      <w:pPr>
        <w:spacing w:after="160" w:line="259" w:lineRule="auto"/>
        <w:rPr>
          <w:rFonts w:ascii="Georgia" w:eastAsia="Times New Roman" w:hAnsi="Georgia"/>
          <w:bCs/>
          <w:color w:val="D40F7D"/>
          <w:sz w:val="48"/>
          <w:szCs w:val="48"/>
        </w:rPr>
      </w:pPr>
      <w:r>
        <w:br w:type="page"/>
      </w:r>
    </w:p>
    <w:p w14:paraId="766A2459" w14:textId="1D10C1D1" w:rsidR="00211F67" w:rsidRPr="003F699A" w:rsidRDefault="00211F67" w:rsidP="00C33493">
      <w:pPr>
        <w:pStyle w:val="Title-chapterpink"/>
        <w:rPr>
          <w:color w:val="auto"/>
          <w:sz w:val="36"/>
          <w:szCs w:val="36"/>
        </w:rPr>
      </w:pPr>
      <w:bookmarkStart w:id="40" w:name="_Toc534726625"/>
      <w:r w:rsidRPr="006F2C52">
        <w:lastRenderedPageBreak/>
        <w:t xml:space="preserve">5. Human trafficking and modern slavery: </w:t>
      </w:r>
      <w:r w:rsidRPr="003F699A">
        <w:rPr>
          <w:color w:val="auto"/>
          <w:sz w:val="36"/>
          <w:szCs w:val="36"/>
        </w:rPr>
        <w:t xml:space="preserve">relates to </w:t>
      </w:r>
      <w:r w:rsidR="00BA33B1">
        <w:rPr>
          <w:color w:val="auto"/>
          <w:sz w:val="36"/>
          <w:szCs w:val="36"/>
        </w:rPr>
        <w:t xml:space="preserve">LoI paragraph 11, </w:t>
      </w:r>
      <w:r w:rsidRPr="003F699A">
        <w:rPr>
          <w:color w:val="auto"/>
          <w:sz w:val="36"/>
          <w:szCs w:val="36"/>
        </w:rPr>
        <w:t>article 6, CO paragraphs 39.a-b and 55.e and SDGs 5, 8 and 16</w:t>
      </w:r>
      <w:bookmarkEnd w:id="40"/>
    </w:p>
    <w:p w14:paraId="091343B5" w14:textId="77777777" w:rsidR="00211F67" w:rsidRPr="00C812EE" w:rsidRDefault="00211F67" w:rsidP="00C812EE">
      <w:pPr>
        <w:pStyle w:val="Title-sectionspink"/>
      </w:pPr>
      <w:bookmarkStart w:id="41" w:name="_Toc534726626"/>
      <w:r w:rsidRPr="00C812EE">
        <w:t>Strengthening the National Referral Mechanism</w:t>
      </w:r>
      <w:bookmarkEnd w:id="41"/>
    </w:p>
    <w:p w14:paraId="10E70438" w14:textId="204B3079" w:rsidR="00C30F5A" w:rsidRPr="00C30F5A" w:rsidRDefault="00C30F5A" w:rsidP="00DB1F04">
      <w:pPr>
        <w:pStyle w:val="Parabeforeanother"/>
      </w:pPr>
      <w:r w:rsidRPr="00C30F5A">
        <w:t>The timetable for implementing the UK Government’s changes to the National Referral Mechanism (NRM), announced in October 2017, is still unclear.</w:t>
      </w:r>
      <w:r w:rsidR="00E93D38">
        <w:rPr>
          <w:rStyle w:val="FootnoteReference"/>
        </w:rPr>
        <w:footnoteReference w:id="95"/>
      </w:r>
      <w:r w:rsidRPr="00C30F5A">
        <w:t xml:space="preserve"> The changes include the creation of: a single, expert unit in the Home Office to streamline the victim identification process, an independent panel of experts to review all negative decisions, and a new digital system to make it easier for frontline staff to refer victims for support.</w:t>
      </w:r>
      <w:r w:rsidRPr="00C30F5A">
        <w:rPr>
          <w:vertAlign w:val="superscript"/>
        </w:rPr>
        <w:footnoteReference w:id="96"/>
      </w:r>
      <w:r>
        <w:t xml:space="preserve"> </w:t>
      </w:r>
      <w:r w:rsidRPr="00C30F5A">
        <w:t>The EHRC is not aware of any formal consultation undertaken by the UK Government on</w:t>
      </w:r>
      <w:r w:rsidR="00237BC2">
        <w:t xml:space="preserve"> the implementation of these</w:t>
      </w:r>
      <w:r w:rsidR="00441A89">
        <w:t xml:space="preserve"> planned reforms.</w:t>
      </w:r>
      <w:r w:rsidR="00237BC2">
        <w:rPr>
          <w:rStyle w:val="FootnoteReference"/>
        </w:rPr>
        <w:footnoteReference w:id="97"/>
      </w:r>
      <w:r w:rsidRPr="00C30F5A">
        <w:t xml:space="preserve"> </w:t>
      </w:r>
    </w:p>
    <w:p w14:paraId="6475D35D" w14:textId="73C2E909" w:rsidR="00C30F5A" w:rsidRPr="00C30F5A" w:rsidRDefault="00C30F5A" w:rsidP="00DB1F04">
      <w:pPr>
        <w:pStyle w:val="Parabeforeanother"/>
      </w:pPr>
      <w:r w:rsidRPr="00C30F5A">
        <w:t>In August 2018, the UK Government announced it had commissioned a</w:t>
      </w:r>
      <w:r w:rsidR="00D069B0">
        <w:t>n</w:t>
      </w:r>
      <w:r w:rsidRPr="00C30F5A">
        <w:t xml:space="preserve"> </w:t>
      </w:r>
      <w:r w:rsidR="00D069B0">
        <w:t>independent</w:t>
      </w:r>
      <w:r w:rsidRPr="00C30F5A">
        <w:t xml:space="preserve"> review of the operation and effectiveness of the Modern Slavery Act (MSA) 2015. The EHRC welcome</w:t>
      </w:r>
      <w:r w:rsidR="00C61B3C">
        <w:t>s</w:t>
      </w:r>
      <w:r w:rsidR="00441A89">
        <w:t xml:space="preserve"> </w:t>
      </w:r>
      <w:r w:rsidRPr="00C30F5A">
        <w:t xml:space="preserve">the </w:t>
      </w:r>
      <w:r w:rsidR="00E65A90">
        <w:t>t</w:t>
      </w:r>
      <w:r w:rsidRPr="00C30F5A">
        <w:t xml:space="preserve">erms of </w:t>
      </w:r>
      <w:r w:rsidR="00E65A90">
        <w:t>r</w:t>
      </w:r>
      <w:r w:rsidRPr="00C30F5A">
        <w:t xml:space="preserve">eference for this review, which will look at several key areas of concern that we have previously identified: the definition of modern slavery offences, access to legal remedies and compensation for victims, and whether existing safeguards against criminal prosecution for victims need to be strengthened. The review will also consider ways of strengthening support for child </w:t>
      </w:r>
      <w:r w:rsidRPr="00C30F5A">
        <w:lastRenderedPageBreak/>
        <w:t>victims, but stops short of reviewing the MSA’s provisions regarding adult support entitlements.</w:t>
      </w:r>
      <w:r w:rsidRPr="00C30F5A">
        <w:rPr>
          <w:vertAlign w:val="superscript"/>
        </w:rPr>
        <w:footnoteReference w:id="98"/>
      </w:r>
    </w:p>
    <w:p w14:paraId="38475891" w14:textId="20ABC0D8" w:rsidR="00C30F5A" w:rsidRPr="00C30F5A" w:rsidRDefault="00C30F5A" w:rsidP="00DB1F04">
      <w:pPr>
        <w:pStyle w:val="Parabeforeanother"/>
      </w:pPr>
      <w:r w:rsidRPr="00C30F5A">
        <w:t>The EHRC remains concerned by the continuing absence of a specific legal duty to provide adult victims</w:t>
      </w:r>
      <w:r w:rsidR="00237BC2">
        <w:t xml:space="preserve"> </w:t>
      </w:r>
      <w:r w:rsidRPr="00C30F5A">
        <w:t>with support.</w:t>
      </w:r>
      <w:r w:rsidRPr="00C30F5A">
        <w:rPr>
          <w:vertAlign w:val="superscript"/>
        </w:rPr>
        <w:footnoteReference w:id="99"/>
      </w:r>
      <w:r w:rsidRPr="00C30F5A">
        <w:t xml:space="preserve"> While the EHRC welcomed the UK Government’s decision in October 2017 to increase the minimum period of ‘move on’ support for recognised victims of trafficking and modern slavery (from 14 to 45 days), </w:t>
      </w:r>
      <w:r w:rsidR="00E95382">
        <w:t xml:space="preserve">stakeholders have stated that </w:t>
      </w:r>
      <w:r w:rsidRPr="00C30F5A">
        <w:t>this support is still not sufficient to ensure that victims are adequately supported and protected from the risk of homelessness and re-trafficking.</w:t>
      </w:r>
      <w:r w:rsidR="0061539A" w:rsidRPr="0061539A">
        <w:rPr>
          <w:vertAlign w:val="superscript"/>
        </w:rPr>
        <w:t xml:space="preserve"> </w:t>
      </w:r>
      <w:r w:rsidR="0061539A" w:rsidRPr="00C30F5A">
        <w:rPr>
          <w:vertAlign w:val="superscript"/>
        </w:rPr>
        <w:footnoteReference w:id="100"/>
      </w:r>
      <w:r w:rsidR="0061539A">
        <w:rPr>
          <w:vertAlign w:val="superscript"/>
        </w:rPr>
        <w:t xml:space="preserve"> </w:t>
      </w:r>
      <w:r w:rsidRPr="00C30F5A">
        <w:rPr>
          <w:vertAlign w:val="superscript"/>
        </w:rPr>
        <w:footnoteReference w:id="101"/>
      </w:r>
    </w:p>
    <w:p w14:paraId="18A243CC" w14:textId="249DCC67" w:rsidR="00C30F5A" w:rsidRPr="00C30F5A" w:rsidRDefault="00C30F5A" w:rsidP="00DB1F04">
      <w:pPr>
        <w:pStyle w:val="Parabeforeanother"/>
      </w:pPr>
      <w:r w:rsidRPr="00C30F5A">
        <w:t xml:space="preserve">Following the resignation of the </w:t>
      </w:r>
      <w:r w:rsidR="007718B3">
        <w:t xml:space="preserve">Independent </w:t>
      </w:r>
      <w:r w:rsidRPr="00C30F5A">
        <w:t xml:space="preserve">Anti-Slavery Commissioner in May 2018, citing government interference in </w:t>
      </w:r>
      <w:r w:rsidR="00E65A90">
        <w:t>the</w:t>
      </w:r>
      <w:r w:rsidRPr="00C30F5A">
        <w:t xml:space="preserve"> role,</w:t>
      </w:r>
      <w:r w:rsidRPr="00C30F5A">
        <w:rPr>
          <w:vertAlign w:val="superscript"/>
        </w:rPr>
        <w:footnoteReference w:id="102"/>
      </w:r>
      <w:r w:rsidRPr="00C30F5A">
        <w:t xml:space="preserve"> the EHRC welcomes </w:t>
      </w:r>
      <w:r w:rsidR="00D069B0">
        <w:t>the decision to include in the</w:t>
      </w:r>
      <w:r w:rsidRPr="00C30F5A">
        <w:t xml:space="preserve"> review of the MSA 2015 ways of ensuring the </w:t>
      </w:r>
      <w:r w:rsidR="007718B3">
        <w:t>c</w:t>
      </w:r>
      <w:r w:rsidRPr="00C30F5A">
        <w:t>ommissioner’s independence.</w:t>
      </w:r>
      <w:r w:rsidRPr="00C30F5A">
        <w:rPr>
          <w:vertAlign w:val="superscript"/>
        </w:rPr>
        <w:footnoteReference w:id="103"/>
      </w:r>
    </w:p>
    <w:p w14:paraId="7D370774" w14:textId="7600C3EF" w:rsidR="00C30F5A" w:rsidRDefault="00C30F5A" w:rsidP="00DB1F04">
      <w:pPr>
        <w:pStyle w:val="Parabeforenewsubsection"/>
      </w:pPr>
      <w:r w:rsidRPr="00C30F5A">
        <w:t xml:space="preserve">In March 2018 the Welsh Government launched its Code of Practice for Ethical Employment in Supply Chains in Wales, designed to improve the wellbeing of workers involved in public sector supply chains in Wales and across the world. In relation to modern slavery, the </w:t>
      </w:r>
      <w:r w:rsidR="00E65A90">
        <w:t>c</w:t>
      </w:r>
      <w:r w:rsidRPr="00C30F5A">
        <w:t xml:space="preserve">ode goes further than existing UK Government legislation by including all sectors and not imposing a minimum turnover threshold. </w:t>
      </w:r>
      <w:r w:rsidRPr="00C30F5A">
        <w:lastRenderedPageBreak/>
        <w:t>All businesses, public sector</w:t>
      </w:r>
      <w:r w:rsidR="00FE59B7">
        <w:t>, charities and voluntary</w:t>
      </w:r>
      <w:r w:rsidRPr="00C30F5A">
        <w:t xml:space="preserve"> organisations in Wales in receipt of Welsh public sector funding will be expected to sign up to the </w:t>
      </w:r>
      <w:r w:rsidR="00E65A90">
        <w:t>c</w:t>
      </w:r>
      <w:r w:rsidRPr="00C30F5A">
        <w:t>ode.</w:t>
      </w:r>
      <w:r w:rsidRPr="00C30F5A">
        <w:rPr>
          <w:vertAlign w:val="superscript"/>
        </w:rPr>
        <w:footnoteReference w:id="104"/>
      </w:r>
    </w:p>
    <w:p w14:paraId="5FA1A210" w14:textId="6E163A09" w:rsidR="00C30F5A" w:rsidRPr="00C30F5A" w:rsidRDefault="00453C19" w:rsidP="00DB1F04">
      <w:pPr>
        <w:pStyle w:val="Title-subsections"/>
      </w:pPr>
      <w:r>
        <w:t>Recommendations</w:t>
      </w:r>
    </w:p>
    <w:p w14:paraId="73ED6E0E" w14:textId="31106292" w:rsidR="00914FFE" w:rsidRPr="00C30F5A" w:rsidRDefault="00C30F5A" w:rsidP="00DB1F04">
      <w:pPr>
        <w:pStyle w:val="Parabeforebulletss"/>
      </w:pPr>
      <w:r w:rsidRPr="00C30F5A">
        <w:t xml:space="preserve">The </w:t>
      </w:r>
      <w:r w:rsidR="002806AC">
        <w:t xml:space="preserve">EHRC recommends that the </w:t>
      </w:r>
      <w:r w:rsidR="00793D91">
        <w:t>UK Government should:</w:t>
      </w:r>
    </w:p>
    <w:p w14:paraId="4E7450FD" w14:textId="523D4ECF" w:rsidR="00D6358A" w:rsidRDefault="00914FFE" w:rsidP="00DB1F04">
      <w:pPr>
        <w:pStyle w:val="Bullet-followedbyothers"/>
      </w:pPr>
      <w:r>
        <w:t>p</w:t>
      </w:r>
      <w:r w:rsidR="00C30F5A" w:rsidRPr="00C30F5A">
        <w:t>ublish the timetable for im</w:t>
      </w:r>
      <w:r w:rsidR="00D6358A">
        <w:t>plementing the N</w:t>
      </w:r>
      <w:r w:rsidR="00237BC2">
        <w:t xml:space="preserve">ational </w:t>
      </w:r>
      <w:r w:rsidR="00D6358A">
        <w:t>R</w:t>
      </w:r>
      <w:r w:rsidR="00237BC2">
        <w:t xml:space="preserve">eferral </w:t>
      </w:r>
      <w:r w:rsidR="00D6358A">
        <w:t>M</w:t>
      </w:r>
      <w:r w:rsidR="00237BC2">
        <w:t>echanism</w:t>
      </w:r>
      <w:r w:rsidR="00D6358A">
        <w:t xml:space="preserve"> reforms</w:t>
      </w:r>
    </w:p>
    <w:p w14:paraId="0B927DC2" w14:textId="2FF33735" w:rsidR="00793D91" w:rsidRPr="00165EBE" w:rsidRDefault="00914FFE" w:rsidP="00DB1F04">
      <w:pPr>
        <w:pStyle w:val="Bullet-followedbyothers"/>
      </w:pPr>
      <w:r>
        <w:t>c</w:t>
      </w:r>
      <w:r w:rsidR="00C30F5A" w:rsidRPr="00165EBE">
        <w:t>ommit to reviewing the impact of the</w:t>
      </w:r>
      <w:r w:rsidR="00AD328B" w:rsidRPr="00165EBE">
        <w:t>se</w:t>
      </w:r>
      <w:r w:rsidR="00C30F5A" w:rsidRPr="00165EBE">
        <w:t xml:space="preserve"> reforms on the quality and timeliness of the identification process three years on from their implementation</w:t>
      </w:r>
      <w:r w:rsidR="00DB1F04">
        <w:t>, and</w:t>
      </w:r>
    </w:p>
    <w:p w14:paraId="0AD66DCF" w14:textId="037B62E2" w:rsidR="00C61B3C" w:rsidRPr="00165EBE" w:rsidRDefault="00914FFE" w:rsidP="00DB1F04">
      <w:pPr>
        <w:pStyle w:val="Bullet-lastingroup"/>
      </w:pPr>
      <w:r>
        <w:t>i</w:t>
      </w:r>
      <w:r w:rsidR="00AF4019" w:rsidRPr="00165EBE">
        <w:t>n preparing for</w:t>
      </w:r>
      <w:r w:rsidR="00C61B3C" w:rsidRPr="00165EBE">
        <w:t xml:space="preserve"> the outcome of the independent review of the Modern Slavery Act 2015, give adequate attention to</w:t>
      </w:r>
      <w:r w:rsidR="009439F8" w:rsidRPr="00165EBE">
        <w:t xml:space="preserve"> adult support entitlements, which</w:t>
      </w:r>
      <w:r w:rsidR="00C61B3C" w:rsidRPr="00165EBE">
        <w:t xml:space="preserve"> fall out of the review’s terms of reference</w:t>
      </w:r>
      <w:r>
        <w:t>.</w:t>
      </w:r>
    </w:p>
    <w:p w14:paraId="05866501" w14:textId="77777777" w:rsidR="00A74B48" w:rsidRDefault="00A74B48" w:rsidP="003F699A">
      <w:pPr>
        <w:pStyle w:val="Title-chapterpink"/>
        <w:spacing w:after="0"/>
      </w:pPr>
      <w:r>
        <w:br w:type="page"/>
      </w:r>
    </w:p>
    <w:p w14:paraId="1179C44B" w14:textId="77777777" w:rsidR="00254203" w:rsidRDefault="00254203" w:rsidP="00254203">
      <w:pPr>
        <w:pStyle w:val="Title-chapterpink"/>
        <w:spacing w:after="0"/>
      </w:pPr>
      <w:bookmarkStart w:id="42" w:name="_Toc534726627"/>
      <w:r w:rsidRPr="00A146BF">
        <w:lastRenderedPageBreak/>
        <w:t>6. Detention and asylum</w:t>
      </w:r>
      <w:r>
        <w:t>:</w:t>
      </w:r>
      <w:bookmarkEnd w:id="42"/>
      <w:r>
        <w:t xml:space="preserve"> </w:t>
      </w:r>
    </w:p>
    <w:p w14:paraId="076C26AC" w14:textId="71D5ACCF" w:rsidR="00254203" w:rsidRPr="003F699A" w:rsidRDefault="00254203" w:rsidP="00254203">
      <w:pPr>
        <w:pStyle w:val="Title-chapterpink"/>
        <w:rPr>
          <w:color w:val="auto"/>
          <w:sz w:val="36"/>
          <w:szCs w:val="36"/>
        </w:rPr>
      </w:pPr>
      <w:bookmarkStart w:id="43" w:name="_Toc516151027"/>
      <w:bookmarkStart w:id="44" w:name="_Toc534726628"/>
      <w:r w:rsidRPr="003F699A">
        <w:rPr>
          <w:color w:val="auto"/>
          <w:sz w:val="36"/>
          <w:szCs w:val="36"/>
        </w:rPr>
        <w:t xml:space="preserve">relates to </w:t>
      </w:r>
      <w:r w:rsidR="00BA33B1">
        <w:rPr>
          <w:color w:val="auto"/>
          <w:sz w:val="36"/>
          <w:szCs w:val="36"/>
        </w:rPr>
        <w:t xml:space="preserve">LoI paragraphs 10, 21 and 22, </w:t>
      </w:r>
      <w:r w:rsidRPr="003F699A">
        <w:rPr>
          <w:color w:val="auto"/>
          <w:sz w:val="36"/>
          <w:szCs w:val="36"/>
        </w:rPr>
        <w:t>articles 2 and 15, CO paragraphs 55.a-d, 57.a-b and 59.a and SDGs 3 and 16</w:t>
      </w:r>
      <w:bookmarkEnd w:id="43"/>
      <w:bookmarkEnd w:id="44"/>
    </w:p>
    <w:p w14:paraId="5B145B84" w14:textId="77777777" w:rsidR="00254203" w:rsidRPr="00C812EE" w:rsidRDefault="00254203" w:rsidP="00254203">
      <w:pPr>
        <w:pStyle w:val="Title-sectionspink"/>
      </w:pPr>
      <w:bookmarkStart w:id="45" w:name="_Toc534726629"/>
      <w:r w:rsidRPr="00C812EE">
        <w:t>Women in prison</w:t>
      </w:r>
      <w:bookmarkEnd w:id="45"/>
      <w:r w:rsidRPr="00C812EE">
        <w:t xml:space="preserve"> </w:t>
      </w:r>
    </w:p>
    <w:p w14:paraId="3E35A07C" w14:textId="7E946FEC" w:rsidR="00254203" w:rsidRPr="008B635D" w:rsidRDefault="00254203" w:rsidP="00AC23FD">
      <w:pPr>
        <w:pStyle w:val="Parabeforeanother"/>
      </w:pPr>
      <w:r w:rsidRPr="008B635D">
        <w:t>In June 2018, the UK Government published its female offender strategy.</w:t>
      </w:r>
      <w:r w:rsidRPr="008B635D">
        <w:rPr>
          <w:vertAlign w:val="superscript"/>
        </w:rPr>
        <w:footnoteReference w:id="105"/>
      </w:r>
      <w:r w:rsidRPr="008B635D">
        <w:t xml:space="preserve"> The strategy sets out the measures it will take to enhance mental health services for women in prisons, promote alternative sentencing and ensure that treatment of women in the criminal justice system takes account of </w:t>
      </w:r>
      <w:r w:rsidR="00E95382">
        <w:t xml:space="preserve">gender and </w:t>
      </w:r>
      <w:r w:rsidRPr="008B635D">
        <w:t>gender</w:t>
      </w:r>
      <w:r w:rsidR="00E95382">
        <w:t>-based</w:t>
      </w:r>
      <w:r w:rsidRPr="008B635D">
        <w:t xml:space="preserve"> violence.</w:t>
      </w:r>
      <w:r>
        <w:t xml:space="preserve"> It also includes</w:t>
      </w:r>
      <w:r w:rsidRPr="008B635D">
        <w:t xml:space="preserve"> a shift away from building </w:t>
      </w:r>
      <w:r>
        <w:t xml:space="preserve">new community prisons for </w:t>
      </w:r>
      <w:r w:rsidRPr="008B635D">
        <w:t xml:space="preserve">women to </w:t>
      </w:r>
      <w:r>
        <w:t xml:space="preserve">encouraging the greater use of non-custodial sentences by increasing community-based support. </w:t>
      </w:r>
    </w:p>
    <w:p w14:paraId="70929BD7" w14:textId="1B816809" w:rsidR="00254203" w:rsidRPr="008B635D" w:rsidRDefault="00254203" w:rsidP="00AC23FD">
      <w:pPr>
        <w:pStyle w:val="Parabeforeanother"/>
      </w:pPr>
      <w:r w:rsidRPr="008B635D">
        <w:t>Whil</w:t>
      </w:r>
      <w:r w:rsidR="001340B5">
        <w:t>e</w:t>
      </w:r>
      <w:r w:rsidRPr="008B635D">
        <w:t xml:space="preserve"> the general directio</w:t>
      </w:r>
      <w:r w:rsidR="00697364">
        <w:t xml:space="preserve">n of the policy has been </w:t>
      </w:r>
      <w:r w:rsidRPr="008B635D">
        <w:t>praised, several organisations, including the Association of Police and Crime Commissioners and members of the female offender strategy advisory board, have expressed concerns about how effective the strategy is likely to be in practice.</w:t>
      </w:r>
      <w:r w:rsidRPr="008B635D">
        <w:rPr>
          <w:vertAlign w:val="superscript"/>
        </w:rPr>
        <w:footnoteReference w:id="106"/>
      </w:r>
    </w:p>
    <w:p w14:paraId="723BD7A8" w14:textId="303E8581" w:rsidR="00254203" w:rsidRPr="008B635D" w:rsidRDefault="00254203" w:rsidP="00AC23FD">
      <w:pPr>
        <w:pStyle w:val="Parabeforeanother"/>
      </w:pPr>
      <w:r>
        <w:t>R</w:t>
      </w:r>
      <w:r w:rsidRPr="008B635D">
        <w:t>esources allocated to community services – £5</w:t>
      </w:r>
      <w:r>
        <w:t xml:space="preserve"> </w:t>
      </w:r>
      <w:r w:rsidRPr="008B635D">
        <w:t xml:space="preserve">million – </w:t>
      </w:r>
      <w:r w:rsidR="001340B5">
        <w:t>are</w:t>
      </w:r>
      <w:r w:rsidRPr="008B635D">
        <w:t xml:space="preserve"> limited and substantially smaller than the </w:t>
      </w:r>
      <w:r>
        <w:t xml:space="preserve">estimated </w:t>
      </w:r>
      <w:r w:rsidRPr="008B635D">
        <w:t xml:space="preserve">£50 million that the UK Government will </w:t>
      </w:r>
      <w:r w:rsidRPr="008B635D">
        <w:lastRenderedPageBreak/>
        <w:t>save as a result of cancelling its plans to build five women’s prisons.</w:t>
      </w:r>
      <w:r w:rsidRPr="008B635D">
        <w:rPr>
          <w:vertAlign w:val="superscript"/>
        </w:rPr>
        <w:footnoteReference w:id="107"/>
      </w:r>
      <w:r>
        <w:t xml:space="preserve"> T</w:t>
      </w:r>
      <w:r w:rsidRPr="008B635D">
        <w:t>here are</w:t>
      </w:r>
      <w:r>
        <w:t xml:space="preserve"> also</w:t>
      </w:r>
      <w:r w:rsidRPr="008B635D">
        <w:t xml:space="preserve"> concerns about </w:t>
      </w:r>
      <w:r>
        <w:t xml:space="preserve">plans for </w:t>
      </w:r>
      <w:r w:rsidRPr="008B635D">
        <w:t xml:space="preserve">the delivery of the strategy and a lack of detail about how </w:t>
      </w:r>
      <w:r>
        <w:t xml:space="preserve">it </w:t>
      </w:r>
      <w:r w:rsidRPr="008B635D">
        <w:t>will be evaluated.</w:t>
      </w:r>
      <w:r w:rsidRPr="008B635D">
        <w:rPr>
          <w:vertAlign w:val="superscript"/>
        </w:rPr>
        <w:footnoteReference w:id="108"/>
      </w:r>
      <w:r w:rsidRPr="008B635D">
        <w:t xml:space="preserve"> Instead, there are arrangements for local coordination and further devolution of responsibility, along with a promise to work through a number of cross-Whitehall working groups.</w:t>
      </w:r>
      <w:r w:rsidRPr="008B635D">
        <w:rPr>
          <w:vertAlign w:val="superscript"/>
        </w:rPr>
        <w:footnoteReference w:id="109"/>
      </w:r>
    </w:p>
    <w:p w14:paraId="66064968" w14:textId="73F50DA9" w:rsidR="00254203" w:rsidRPr="008B635D" w:rsidRDefault="00254203" w:rsidP="00AC23FD">
      <w:pPr>
        <w:pStyle w:val="Parabeforeanother"/>
      </w:pPr>
      <w:r>
        <w:t>Details in the strategy on</w:t>
      </w:r>
      <w:r w:rsidRPr="008B635D">
        <w:t xml:space="preserve"> </w:t>
      </w:r>
      <w:r>
        <w:t>some policy areas remain vague. For example, a</w:t>
      </w:r>
      <w:r w:rsidRPr="008B635D">
        <w:t xml:space="preserve"> pilot to secure more community sentence treatment requirements for ‘vulnerable’ offenders with mental he</w:t>
      </w:r>
      <w:r>
        <w:t>alth, drug and alcohol problems</w:t>
      </w:r>
      <w:r w:rsidRPr="008B635D">
        <w:t xml:space="preserve"> </w:t>
      </w:r>
      <w:r>
        <w:t>is in the</w:t>
      </w:r>
      <w:r w:rsidRPr="008B635D">
        <w:t xml:space="preserve"> trial stage of development and therefore information is limited.</w:t>
      </w:r>
      <w:r w:rsidRPr="008B635D">
        <w:rPr>
          <w:vertAlign w:val="superscript"/>
        </w:rPr>
        <w:footnoteReference w:id="110"/>
      </w:r>
      <w:r w:rsidR="00AC23FD">
        <w:t xml:space="preserve"> </w:t>
      </w:r>
    </w:p>
    <w:p w14:paraId="66DD9A5B" w14:textId="5C9BAC00" w:rsidR="00254203" w:rsidRDefault="00254203" w:rsidP="00AC23FD">
      <w:pPr>
        <w:pStyle w:val="Parabeforeanother"/>
      </w:pPr>
      <w:r w:rsidRPr="008B635D">
        <w:t>W</w:t>
      </w:r>
      <w:r>
        <w:t>hil</w:t>
      </w:r>
      <w:r w:rsidR="00464623">
        <w:t>e</w:t>
      </w:r>
      <w:r>
        <w:t xml:space="preserve"> w</w:t>
      </w:r>
      <w:r w:rsidRPr="008B635D">
        <w:t>e welcome the emphasis that the UK Government places on providing appropriate</w:t>
      </w:r>
      <w:r>
        <w:t xml:space="preserve"> treatment in this pilot scheme,</w:t>
      </w:r>
      <w:r w:rsidRPr="008B635D">
        <w:rPr>
          <w:vertAlign w:val="superscript"/>
        </w:rPr>
        <w:footnoteReference w:id="111"/>
      </w:r>
      <w:r w:rsidRPr="008B635D">
        <w:t xml:space="preserve"> </w:t>
      </w:r>
      <w:r w:rsidRPr="008B635D">
        <w:rPr>
          <w:vertAlign w:val="superscript"/>
        </w:rPr>
        <w:footnoteReference w:id="112"/>
      </w:r>
      <w:r w:rsidRPr="008B635D">
        <w:t xml:space="preserve"> there is a risk that compulsory treatment in the community as an alternative to imprisonment might violate the</w:t>
      </w:r>
      <w:r>
        <w:t xml:space="preserve"> human rights of disabled women</w:t>
      </w:r>
      <w:r w:rsidRPr="008B635D">
        <w:t>.</w:t>
      </w:r>
      <w:r w:rsidRPr="008B635D">
        <w:rPr>
          <w:vertAlign w:val="superscript"/>
        </w:rPr>
        <w:footnoteReference w:id="113"/>
      </w:r>
      <w:r w:rsidRPr="008B635D">
        <w:t xml:space="preserve"> This type of sentence raises complex issues in relation to consent and forced treatment </w:t>
      </w:r>
      <w:r w:rsidR="00EC57EF">
        <w:t>that</w:t>
      </w:r>
      <w:r w:rsidRPr="008B635D">
        <w:t xml:space="preserve"> must be taken into account by monitoring and evaluation.</w:t>
      </w:r>
      <w:r w:rsidRPr="008B635D">
        <w:rPr>
          <w:vertAlign w:val="superscript"/>
        </w:rPr>
        <w:footnoteReference w:id="114"/>
      </w:r>
    </w:p>
    <w:p w14:paraId="0A841B75" w14:textId="51A501E1" w:rsidR="000B4B0D" w:rsidRPr="008B635D" w:rsidRDefault="000B4B0D" w:rsidP="00AC23FD">
      <w:pPr>
        <w:pStyle w:val="Parabeforeanother"/>
      </w:pPr>
      <w:r w:rsidRPr="008B635D">
        <w:t xml:space="preserve">The published material </w:t>
      </w:r>
      <w:r>
        <w:t xml:space="preserve">also </w:t>
      </w:r>
      <w:r w:rsidRPr="008B635D">
        <w:t>does not mention specific gender issues, such as abuse and trauma linked to experiences of violence. For the</w:t>
      </w:r>
      <w:r>
        <w:t xml:space="preserve"> strategy</w:t>
      </w:r>
      <w:r w:rsidRPr="008B635D">
        <w:t xml:space="preserve"> to be fully effective, </w:t>
      </w:r>
      <w:r>
        <w:lastRenderedPageBreak/>
        <w:t>and in line with the ‘Bangkok Rules’,</w:t>
      </w:r>
      <w:r>
        <w:rPr>
          <w:rStyle w:val="FootnoteReference"/>
        </w:rPr>
        <w:footnoteReference w:id="115"/>
      </w:r>
      <w:r>
        <w:t xml:space="preserve"> </w:t>
      </w:r>
      <w:r w:rsidRPr="008B635D">
        <w:t xml:space="preserve">the support </w:t>
      </w:r>
      <w:r>
        <w:t xml:space="preserve">women in prison receive must be </w:t>
      </w:r>
      <w:r w:rsidRPr="008B635D">
        <w:t>informed by an understanding of gender-based violence.</w:t>
      </w:r>
    </w:p>
    <w:p w14:paraId="2BFF4484" w14:textId="5E2C6525" w:rsidR="00254203" w:rsidRPr="008B635D" w:rsidRDefault="00254203" w:rsidP="00AC23FD">
      <w:pPr>
        <w:pStyle w:val="Parabeforeanother"/>
      </w:pPr>
      <w:r w:rsidRPr="008B635D">
        <w:t xml:space="preserve">Ethnic minority detainees in the adult prison estate are high in comparison with the general population, but the level of disproportionality is less in the women’s estate than in the men’s estate. </w:t>
      </w:r>
      <w:r>
        <w:t>As of September 2018, ethnic minority detainees mad</w:t>
      </w:r>
      <w:r w:rsidRPr="008B635D">
        <w:t>e up 26</w:t>
      </w:r>
      <w:r>
        <w:t>.7</w:t>
      </w:r>
      <w:r w:rsidRPr="008B635D">
        <w:t>% of the prison population compared with 13% of the general population</w:t>
      </w:r>
      <w:r>
        <w:t>.</w:t>
      </w:r>
      <w:r>
        <w:rPr>
          <w:rStyle w:val="FootnoteReference"/>
        </w:rPr>
        <w:footnoteReference w:id="116"/>
      </w:r>
      <w:r>
        <w:t xml:space="preserve"> </w:t>
      </w:r>
      <w:r>
        <w:rPr>
          <w:rStyle w:val="FootnoteReference"/>
        </w:rPr>
        <w:footnoteReference w:id="117"/>
      </w:r>
      <w:r w:rsidRPr="008B635D">
        <w:t xml:space="preserve"> Ethnic minority women make up 11.9% of the women’s population in England and Wales,</w:t>
      </w:r>
      <w:r>
        <w:rPr>
          <w:rStyle w:val="FootnoteReference"/>
        </w:rPr>
        <w:footnoteReference w:id="118"/>
      </w:r>
      <w:r>
        <w:t> but account for 17.4</w:t>
      </w:r>
      <w:r w:rsidRPr="008B635D">
        <w:t>% of the women’s prison population.</w:t>
      </w:r>
      <w:r>
        <w:rPr>
          <w:rStyle w:val="FootnoteReference"/>
        </w:rPr>
        <w:footnoteReference w:id="119"/>
      </w:r>
      <w:r w:rsidRPr="008B635D">
        <w:t xml:space="preserve"> </w:t>
      </w:r>
      <w:r>
        <w:t xml:space="preserve">Previous research has shown </w:t>
      </w:r>
      <w:r w:rsidR="001725C9">
        <w:t>b</w:t>
      </w:r>
      <w:r>
        <w:t xml:space="preserve">lack women are </w:t>
      </w:r>
      <w:r w:rsidRPr="008B635D">
        <w:t>more likely than other women to be remanded or sentenced to custody, and are 25% more likely than white women to receive a custodial sentence following a conviction.</w:t>
      </w:r>
      <w:r w:rsidRPr="008B635D">
        <w:rPr>
          <w:vertAlign w:val="superscript"/>
        </w:rPr>
        <w:footnoteReference w:id="120"/>
      </w:r>
    </w:p>
    <w:p w14:paraId="060E5227" w14:textId="2B18F843" w:rsidR="00254203" w:rsidRPr="008B635D" w:rsidRDefault="00254203" w:rsidP="00AC23FD">
      <w:pPr>
        <w:pStyle w:val="Parabeforeanother"/>
      </w:pPr>
      <w:r w:rsidRPr="008B635D">
        <w:t xml:space="preserve">Generally, the proportion of the prison population on remand </w:t>
      </w:r>
      <w:r w:rsidR="00D77D67">
        <w:t xml:space="preserve">in </w:t>
      </w:r>
      <w:r w:rsidRPr="008B635D">
        <w:t>custody is declining for both men and women. However, there is a higher percentage of women in prison on remand than men, as a proportion of the entire prison population (14.3% versus 11.2%).</w:t>
      </w:r>
      <w:r w:rsidRPr="008B635D">
        <w:rPr>
          <w:vertAlign w:val="superscript"/>
        </w:rPr>
        <w:footnoteReference w:id="121"/>
      </w:r>
      <w:r w:rsidRPr="008B635D">
        <w:t xml:space="preserve"> The principal reason for this is the lack of suitable </w:t>
      </w:r>
      <w:r w:rsidR="00E95382">
        <w:t xml:space="preserve">alternative </w:t>
      </w:r>
      <w:r w:rsidRPr="008B635D">
        <w:t>accommodation.</w:t>
      </w:r>
      <w:r w:rsidRPr="008B635D">
        <w:rPr>
          <w:vertAlign w:val="superscript"/>
        </w:rPr>
        <w:footnoteReference w:id="122"/>
      </w:r>
      <w:r>
        <w:t xml:space="preserve"> </w:t>
      </w:r>
      <w:r w:rsidRPr="008B635D">
        <w:rPr>
          <w:vertAlign w:val="superscript"/>
        </w:rPr>
        <w:footnoteReference w:id="123"/>
      </w:r>
    </w:p>
    <w:p w14:paraId="3312EF33" w14:textId="4B90CD70" w:rsidR="00254203" w:rsidRPr="008B635D" w:rsidRDefault="00254203" w:rsidP="006368D6">
      <w:pPr>
        <w:pStyle w:val="Title-subsections"/>
      </w:pPr>
      <w:r>
        <w:lastRenderedPageBreak/>
        <w:t>Recommendations</w:t>
      </w:r>
    </w:p>
    <w:p w14:paraId="1C5619C9" w14:textId="51C11BD7" w:rsidR="00F47720" w:rsidRPr="006368D6" w:rsidRDefault="00254203" w:rsidP="006368D6">
      <w:pPr>
        <w:pStyle w:val="Parabeforebulletss"/>
      </w:pPr>
      <w:r w:rsidRPr="00F23926">
        <w:t xml:space="preserve">The </w:t>
      </w:r>
      <w:r w:rsidR="002806AC">
        <w:t xml:space="preserve">EHRC recommends that the </w:t>
      </w:r>
      <w:r w:rsidRPr="00F23926">
        <w:t>UK and Welsh governments, where relevant, should:</w:t>
      </w:r>
    </w:p>
    <w:p w14:paraId="2E27F32F" w14:textId="43BE02F4" w:rsidR="00F47720" w:rsidRDefault="00254203" w:rsidP="006368D6">
      <w:pPr>
        <w:pStyle w:val="Bullet-followedbyothers"/>
      </w:pPr>
      <w:r>
        <w:t>provide an increased and longer-</w:t>
      </w:r>
      <w:r w:rsidRPr="00F23926">
        <w:t xml:space="preserve">term </w:t>
      </w:r>
      <w:r>
        <w:t xml:space="preserve">funding </w:t>
      </w:r>
      <w:r w:rsidRPr="00F23926">
        <w:t>commitment for</w:t>
      </w:r>
      <w:r>
        <w:t xml:space="preserve"> a network of</w:t>
      </w:r>
      <w:r w:rsidRPr="00F23926">
        <w:t xml:space="preserve"> women’s centres to support liaison and diversion from the criminal justice system and enable rehabilitation, particularly for ethnic minority women</w:t>
      </w:r>
    </w:p>
    <w:p w14:paraId="4A485333" w14:textId="0AF6EF2F" w:rsidR="00F47720" w:rsidRDefault="00F47720" w:rsidP="006368D6">
      <w:pPr>
        <w:pStyle w:val="Bullet-followedbyothers"/>
      </w:pPr>
      <w:r>
        <w:t>i</w:t>
      </w:r>
      <w:r w:rsidR="00EB632A">
        <w:t>mplement</w:t>
      </w:r>
      <w:r w:rsidR="00254203" w:rsidRPr="00F23926">
        <w:t xml:space="preserve"> </w:t>
      </w:r>
      <w:r w:rsidR="00254203">
        <w:t>the Corston R</w:t>
      </w:r>
      <w:r w:rsidR="00254203" w:rsidRPr="00F23926">
        <w:t>eport recommendation</w:t>
      </w:r>
      <w:r w:rsidR="00254203">
        <w:t xml:space="preserve"> relating to interdepartmental co</w:t>
      </w:r>
      <w:r w:rsidR="00254203" w:rsidRPr="00F23926">
        <w:t>ordinat</w:t>
      </w:r>
      <w:r w:rsidR="00254203">
        <w:t>i</w:t>
      </w:r>
      <w:r w:rsidR="00254203" w:rsidRPr="00F23926">
        <w:t>on and transfer of responsibility</w:t>
      </w:r>
      <w:r w:rsidR="00EB632A">
        <w:rPr>
          <w:rStyle w:val="FootnoteReference"/>
          <w:rFonts w:cs="Arial"/>
        </w:rPr>
        <w:footnoteReference w:id="124"/>
      </w:r>
      <w:r>
        <w:t xml:space="preserve"> </w:t>
      </w:r>
    </w:p>
    <w:p w14:paraId="65387B86" w14:textId="68388729" w:rsidR="00F47720" w:rsidRPr="00165EBE" w:rsidRDefault="00F47720" w:rsidP="006368D6">
      <w:pPr>
        <w:pStyle w:val="Bullet-followedbyothers"/>
      </w:pPr>
      <w:r>
        <w:t>i</w:t>
      </w:r>
      <w:r w:rsidR="00254203">
        <w:t>mprove the provision and availability of mental health services for women in prison</w:t>
      </w:r>
      <w:r w:rsidR="00254203" w:rsidRPr="00F23926">
        <w:t xml:space="preserve">, recognising the different issues women, including </w:t>
      </w:r>
      <w:r w:rsidR="00E8623D" w:rsidRPr="002806AC">
        <w:t>trans</w:t>
      </w:r>
      <w:r w:rsidR="00254203" w:rsidRPr="002806AC">
        <w:t xml:space="preserve"> women,</w:t>
      </w:r>
      <w:r w:rsidR="00254203" w:rsidRPr="00F23926">
        <w:t xml:space="preserve"> experience in prison, to prevent suicide and self</w:t>
      </w:r>
      <w:r w:rsidR="00254203">
        <w:t>-</w:t>
      </w:r>
      <w:r w:rsidR="00254203" w:rsidRPr="00F23926">
        <w:t xml:space="preserve">harm, and facilitate </w:t>
      </w:r>
      <w:r w:rsidR="00254203" w:rsidRPr="00165EBE">
        <w:t>resettlement</w:t>
      </w:r>
    </w:p>
    <w:p w14:paraId="4B115A4D" w14:textId="6ACE8546" w:rsidR="00F47720" w:rsidRPr="00165EBE" w:rsidRDefault="00254203" w:rsidP="006368D6">
      <w:pPr>
        <w:pStyle w:val="Bullet-followedbyothers"/>
      </w:pPr>
      <w:r w:rsidRPr="00165EBE">
        <w:t xml:space="preserve">monitor and </w:t>
      </w:r>
      <w:r w:rsidR="00FC345C" w:rsidRPr="00165EBE">
        <w:t xml:space="preserve">collect data on </w:t>
      </w:r>
      <w:r w:rsidRPr="00165EBE">
        <w:t>the use of community sentences for women</w:t>
      </w:r>
      <w:r w:rsidR="006368D6">
        <w:t>, and</w:t>
      </w:r>
    </w:p>
    <w:p w14:paraId="39BC1449" w14:textId="7F13DC61" w:rsidR="00254203" w:rsidRPr="002A79A4" w:rsidRDefault="00254203" w:rsidP="00254203">
      <w:pPr>
        <w:pStyle w:val="Bullet-followedbyothers"/>
        <w:spacing w:after="680"/>
      </w:pPr>
      <w:r w:rsidRPr="00165EBE">
        <w:t xml:space="preserve">evaluate the </w:t>
      </w:r>
      <w:r w:rsidR="00F47720">
        <w:t>c</w:t>
      </w:r>
      <w:r w:rsidRPr="00165EBE">
        <w:t xml:space="preserve">ommunity </w:t>
      </w:r>
      <w:r w:rsidR="00F47720">
        <w:t>t</w:t>
      </w:r>
      <w:r w:rsidRPr="00165EBE">
        <w:t xml:space="preserve">reatment </w:t>
      </w:r>
      <w:r w:rsidR="00F47720">
        <w:t>s</w:t>
      </w:r>
      <w:r w:rsidRPr="00165EBE">
        <w:t xml:space="preserve">entence </w:t>
      </w:r>
      <w:r w:rsidR="00F47720">
        <w:t>r</w:t>
      </w:r>
      <w:r w:rsidRPr="00165EBE">
        <w:t>equirements</w:t>
      </w:r>
      <w:r w:rsidR="00FC345C" w:rsidRPr="00165EBE">
        <w:t xml:space="preserve"> to ensure that women are</w:t>
      </w:r>
      <w:r w:rsidRPr="00165EBE">
        <w:t xml:space="preserve"> not unduly pressured to receive mental health treatment in or</w:t>
      </w:r>
      <w:r w:rsidR="00BC5968" w:rsidRPr="00165EBE">
        <w:t>der to avoid detention, and</w:t>
      </w:r>
      <w:r w:rsidRPr="00165EBE">
        <w:t xml:space="preserve"> prov</w:t>
      </w:r>
      <w:r w:rsidR="006368D6">
        <w:t>ide valid consent to treatment.</w:t>
      </w:r>
    </w:p>
    <w:p w14:paraId="7F630464" w14:textId="77777777" w:rsidR="00254203" w:rsidRPr="00C812EE" w:rsidRDefault="00254203" w:rsidP="00254203">
      <w:pPr>
        <w:pStyle w:val="Title-sectionspink"/>
      </w:pPr>
      <w:bookmarkStart w:id="46" w:name="_Toc534726630"/>
      <w:r w:rsidRPr="00C812EE">
        <w:t>Immigration detention</w:t>
      </w:r>
      <w:bookmarkEnd w:id="46"/>
      <w:r w:rsidRPr="00C812EE">
        <w:t xml:space="preserve"> </w:t>
      </w:r>
    </w:p>
    <w:p w14:paraId="14AC624C" w14:textId="5C8AFE9F" w:rsidR="00254203" w:rsidRPr="008B635D" w:rsidRDefault="00254203" w:rsidP="006368D6">
      <w:pPr>
        <w:pStyle w:val="Parabeforeanother"/>
      </w:pPr>
      <w:r w:rsidRPr="008B635D">
        <w:t xml:space="preserve">Following his 2016 ‘Review into the welfare </w:t>
      </w:r>
      <w:r w:rsidR="007A23EC">
        <w:t xml:space="preserve">in detention </w:t>
      </w:r>
      <w:r w:rsidRPr="008B635D">
        <w:t>of vulnerable persons’, a second report by Stephen Shaw was published in July 2018.</w:t>
      </w:r>
      <w:r w:rsidRPr="008B635D">
        <w:rPr>
          <w:vertAlign w:val="superscript"/>
        </w:rPr>
        <w:footnoteReference w:id="125"/>
      </w:r>
      <w:r w:rsidRPr="008B635D">
        <w:t xml:space="preserve"> The report considers the progress made by the Home Office in implementing the 2016 Shaw recommendations.</w:t>
      </w:r>
      <w:r w:rsidRPr="008B635D">
        <w:rPr>
          <w:vertAlign w:val="superscript"/>
        </w:rPr>
        <w:footnoteReference w:id="126"/>
      </w:r>
      <w:r w:rsidRPr="008B635D">
        <w:t xml:space="preserve"> </w:t>
      </w:r>
      <w:r w:rsidR="00727BF3">
        <w:t xml:space="preserve">In this follow-up, </w:t>
      </w:r>
      <w:r w:rsidRPr="008B635D">
        <w:t xml:space="preserve">Shaw expressed ‘significant concerns’ about </w:t>
      </w:r>
      <w:r w:rsidRPr="008B635D">
        <w:lastRenderedPageBreak/>
        <w:t>the number of women held in immigration detention, noting that</w:t>
      </w:r>
      <w:r w:rsidR="007A23EC">
        <w:t>,</w:t>
      </w:r>
      <w:r>
        <w:t xml:space="preserve"> whil</w:t>
      </w:r>
      <w:r w:rsidR="007A23EC">
        <w:t>e</w:t>
      </w:r>
      <w:r>
        <w:t xml:space="preserve"> there has been a small reduction,</w:t>
      </w:r>
      <w:r w:rsidRPr="008B635D">
        <w:t xml:space="preserve"> the ‘biggest determinant of the number of women in detention’ is the capacity of Yarl’s Wood Immigration Removal Centre (IRC).</w:t>
      </w:r>
      <w:r w:rsidRPr="008B635D">
        <w:rPr>
          <w:vertAlign w:val="superscript"/>
        </w:rPr>
        <w:footnoteReference w:id="127"/>
      </w:r>
      <w:r w:rsidRPr="008B635D">
        <w:t xml:space="preserve"> Further, 84% of women who go on to claim asylum whil</w:t>
      </w:r>
      <w:r w:rsidR="007A23EC">
        <w:t>e</w:t>
      </w:r>
      <w:r w:rsidRPr="008B635D">
        <w:t xml:space="preserve"> detained at Yarl’s Wood IRC are subsequently released.</w:t>
      </w:r>
      <w:r w:rsidRPr="008B635D">
        <w:rPr>
          <w:vertAlign w:val="superscript"/>
        </w:rPr>
        <w:footnoteReference w:id="128"/>
      </w:r>
      <w:r w:rsidRPr="008B635D">
        <w:t xml:space="preserve"> Stephen Shaw concluded that, given significant levels of vulnerability</w:t>
      </w:r>
      <w:r w:rsidR="007A23EC">
        <w:t>,</w:t>
      </w:r>
      <w:r w:rsidRPr="008B635D">
        <w:t xml:space="preserve"> he could not find ‘any justification for current levels of detention of these women’.</w:t>
      </w:r>
      <w:r w:rsidRPr="008B635D">
        <w:rPr>
          <w:vertAlign w:val="superscript"/>
        </w:rPr>
        <w:footnoteReference w:id="129"/>
      </w:r>
    </w:p>
    <w:p w14:paraId="3443BBBA" w14:textId="477631CB" w:rsidR="00254203" w:rsidRPr="008B635D" w:rsidRDefault="00254203" w:rsidP="006368D6">
      <w:pPr>
        <w:pStyle w:val="Parabeforeanother"/>
      </w:pPr>
      <w:r w:rsidRPr="008B635D">
        <w:t>Shaw also raised concerns about conditions at Yarl’s Wood IRC, including</w:t>
      </w:r>
      <w:r w:rsidR="007A23EC">
        <w:t>:</w:t>
      </w:r>
      <w:r w:rsidRPr="008B635D">
        <w:t xml:space="preserve"> a cramped and claustrophobic environment;</w:t>
      </w:r>
      <w:r w:rsidRPr="008B635D">
        <w:rPr>
          <w:vertAlign w:val="superscript"/>
        </w:rPr>
        <w:footnoteReference w:id="130"/>
      </w:r>
      <w:r w:rsidRPr="008B635D">
        <w:t xml:space="preserve"> questioning of women about vulnerability while they are within earshot of others;</w:t>
      </w:r>
      <w:r w:rsidRPr="008B635D">
        <w:rPr>
          <w:vertAlign w:val="superscript"/>
        </w:rPr>
        <w:footnoteReference w:id="131"/>
      </w:r>
      <w:r w:rsidRPr="008B635D">
        <w:t xml:space="preserve"> a failure to reach the target of 60% female staff at the IRC;</w:t>
      </w:r>
      <w:r w:rsidRPr="008B635D">
        <w:rPr>
          <w:vertAlign w:val="superscript"/>
        </w:rPr>
        <w:footnoteReference w:id="132"/>
      </w:r>
      <w:r w:rsidRPr="008B635D">
        <w:t xml:space="preserve"> a lack of inpatient beds in healthcare units;</w:t>
      </w:r>
      <w:r w:rsidRPr="008B635D">
        <w:rPr>
          <w:vertAlign w:val="superscript"/>
        </w:rPr>
        <w:footnoteReference w:id="133"/>
      </w:r>
      <w:r w:rsidRPr="008B635D">
        <w:t xml:space="preserve"> and the continuing practice of escorting women to the IRC at night.</w:t>
      </w:r>
      <w:r w:rsidRPr="008B635D">
        <w:rPr>
          <w:vertAlign w:val="superscript"/>
        </w:rPr>
        <w:footnoteReference w:id="134"/>
      </w:r>
    </w:p>
    <w:p w14:paraId="2585984D" w14:textId="049DF664" w:rsidR="00254203" w:rsidRPr="008B635D" w:rsidRDefault="00254203" w:rsidP="006368D6">
      <w:pPr>
        <w:pStyle w:val="Parabeforeanother"/>
      </w:pPr>
      <w:r w:rsidRPr="008B635D">
        <w:t xml:space="preserve">In response to the </w:t>
      </w:r>
      <w:r w:rsidR="007A23EC">
        <w:t xml:space="preserve">2018 </w:t>
      </w:r>
      <w:r w:rsidRPr="008B635D">
        <w:t>Shaw review, the UK Government announced it would pilot a community-based alternative to detention scheme for vulnerable women who would otherwise be detained at Yarl’s Wood.</w:t>
      </w:r>
      <w:r w:rsidRPr="008B635D">
        <w:rPr>
          <w:vertAlign w:val="superscript"/>
        </w:rPr>
        <w:footnoteReference w:id="135"/>
      </w:r>
      <w:r w:rsidRPr="008B635D">
        <w:t xml:space="preserve"> The Home Secretary has further committed to conduct internal research into the approach to time limits on the use of immigration detention in other jurisdictions.</w:t>
      </w:r>
      <w:r w:rsidRPr="008B635D">
        <w:rPr>
          <w:vertAlign w:val="superscript"/>
        </w:rPr>
        <w:footnoteReference w:id="136"/>
      </w:r>
    </w:p>
    <w:p w14:paraId="113091A0" w14:textId="2B6D5758" w:rsidR="00254203" w:rsidRPr="008B635D" w:rsidRDefault="00254203" w:rsidP="006368D6">
      <w:pPr>
        <w:pStyle w:val="Parabeforeanother"/>
      </w:pPr>
      <w:r>
        <w:t>The UK Government introduced</w:t>
      </w:r>
      <w:r w:rsidRPr="008B635D">
        <w:t xml:space="preserve"> a new definition of torture </w:t>
      </w:r>
      <w:r>
        <w:t xml:space="preserve">for the purpose of </w:t>
      </w:r>
      <w:r w:rsidR="008F5CC9">
        <w:t>r</w:t>
      </w:r>
      <w:r>
        <w:t>ule 35 of the Detention Centre</w:t>
      </w:r>
      <w:r w:rsidR="008F5CC9">
        <w:t xml:space="preserve"> (Amendment)</w:t>
      </w:r>
      <w:r>
        <w:t xml:space="preserve"> Rules, which came into effect in July 2018</w:t>
      </w:r>
      <w:r w:rsidRPr="008B635D">
        <w:t>.</w:t>
      </w:r>
      <w:r w:rsidRPr="008B635D">
        <w:rPr>
          <w:vertAlign w:val="superscript"/>
        </w:rPr>
        <w:footnoteReference w:id="137"/>
      </w:r>
      <w:r w:rsidRPr="008B635D">
        <w:t xml:space="preserve"> </w:t>
      </w:r>
      <w:r>
        <w:t xml:space="preserve">Rule 35 is a key safeguard against inappropriate detention of vulnerable detainees; evidence of ‘torture’ obtained by a </w:t>
      </w:r>
      <w:r w:rsidR="008F5CC9">
        <w:t>r</w:t>
      </w:r>
      <w:r>
        <w:t xml:space="preserve">ule 35 report leads to a very high presumption against detention. </w:t>
      </w:r>
      <w:r w:rsidRPr="008B635D">
        <w:t xml:space="preserve">This new </w:t>
      </w:r>
      <w:r>
        <w:t>definition</w:t>
      </w:r>
      <w:r w:rsidRPr="008B635D">
        <w:t xml:space="preserve"> exclude</w:t>
      </w:r>
      <w:r>
        <w:t>s</w:t>
      </w:r>
      <w:r w:rsidRPr="008B635D">
        <w:t xml:space="preserve"> certain types of serious violence that were previously included, such as street attacks arising from discriminatory </w:t>
      </w:r>
      <w:r w:rsidRPr="008B635D">
        <w:lastRenderedPageBreak/>
        <w:t xml:space="preserve">persecution.  The EHRC </w:t>
      </w:r>
      <w:r>
        <w:t>is</w:t>
      </w:r>
      <w:r w:rsidRPr="008B635D">
        <w:t xml:space="preserve"> concerned that the new torture definition will exclude women who are targeted and suffer serious violence in the community</w:t>
      </w:r>
      <w:r>
        <w:t>, or in other circumstances that are not considered to meet the ‘control’ and ‘powerless’ elements of the definition</w:t>
      </w:r>
      <w:r w:rsidRPr="008B635D">
        <w:t>. This approach risks bringing about the inappropriate detention of women at risk of particular harm in detention, creating the possibility of serious deteriorations in mental health and, in extreme cases, breaches of Article 3 of the E</w:t>
      </w:r>
      <w:r>
        <w:t xml:space="preserve">uropean </w:t>
      </w:r>
      <w:r w:rsidRPr="008B635D">
        <w:t>C</w:t>
      </w:r>
      <w:r>
        <w:t xml:space="preserve">onvention on Human </w:t>
      </w:r>
      <w:r w:rsidRPr="008B635D">
        <w:t>R</w:t>
      </w:r>
      <w:r>
        <w:t>ights</w:t>
      </w:r>
      <w:r w:rsidRPr="008B635D">
        <w:t>.</w:t>
      </w:r>
      <w:r>
        <w:t xml:space="preserve"> T</w:t>
      </w:r>
      <w:r w:rsidRPr="00AA118E">
        <w:t>he UN</w:t>
      </w:r>
      <w:r>
        <w:t xml:space="preserve"> </w:t>
      </w:r>
      <w:r w:rsidRPr="00AA118E">
        <w:t>H</w:t>
      </w:r>
      <w:r>
        <w:t xml:space="preserve">igh </w:t>
      </w:r>
      <w:r w:rsidRPr="00AA118E">
        <w:t>C</w:t>
      </w:r>
      <w:r>
        <w:t xml:space="preserve">ommission for </w:t>
      </w:r>
      <w:r w:rsidRPr="00AA118E">
        <w:t>R</w:t>
      </w:r>
      <w:r>
        <w:t xml:space="preserve">efugees’ detention guidelines </w:t>
      </w:r>
      <w:r w:rsidRPr="00AA118E">
        <w:t>recognise that</w:t>
      </w:r>
      <w:r>
        <w:t xml:space="preserve"> women who are</w:t>
      </w:r>
      <w:r w:rsidRPr="00AA118E">
        <w:t xml:space="preserve"> ‘victims of torture or other serious, physical, psychological, sexual or gender based violence or ill-treatment’ are at particular risk of harm in detention.</w:t>
      </w:r>
      <w:r w:rsidRPr="00AA118E">
        <w:rPr>
          <w:vertAlign w:val="superscript"/>
        </w:rPr>
        <w:footnoteReference w:id="138"/>
      </w:r>
      <w:r w:rsidR="00DE3D72">
        <w:t xml:space="preserve"> The Home Office had</w:t>
      </w:r>
      <w:r>
        <w:t xml:space="preserve"> stated it w</w:t>
      </w:r>
      <w:r w:rsidR="008F5CC9">
        <w:t>ould</w:t>
      </w:r>
      <w:r>
        <w:t xml:space="preserve"> undertake a review</w:t>
      </w:r>
      <w:r w:rsidR="001F6A40">
        <w:t xml:space="preserve"> of</w:t>
      </w:r>
      <w:r w:rsidR="00DE3D72">
        <w:t xml:space="preserve"> the Detention Centre Rules </w:t>
      </w:r>
      <w:r>
        <w:t xml:space="preserve">late in 2018, </w:t>
      </w:r>
      <w:r w:rsidR="00DE3D72">
        <w:t>which would</w:t>
      </w:r>
      <w:r>
        <w:t xml:space="preserve"> include further revisions to </w:t>
      </w:r>
      <w:r w:rsidR="008F5CC9">
        <w:t>r</w:t>
      </w:r>
      <w:r>
        <w:t>ule 35.</w:t>
      </w:r>
      <w:r>
        <w:rPr>
          <w:rStyle w:val="FootnoteReference"/>
        </w:rPr>
        <w:footnoteReference w:id="139"/>
      </w:r>
    </w:p>
    <w:p w14:paraId="72CF320E" w14:textId="33189DB8" w:rsidR="00254203" w:rsidRDefault="00254203" w:rsidP="006368D6">
      <w:pPr>
        <w:pStyle w:val="Parabeforenewsubsection"/>
        <w:rPr>
          <w:lang w:eastAsia="en-GB"/>
        </w:rPr>
      </w:pPr>
      <w:r w:rsidRPr="008B635D">
        <w:rPr>
          <w:lang w:eastAsia="en-GB"/>
        </w:rPr>
        <w:t xml:space="preserve">In July 2018 the UK Parliament’s </w:t>
      </w:r>
      <w:r>
        <w:rPr>
          <w:lang w:eastAsia="en-GB"/>
        </w:rPr>
        <w:t>J</w:t>
      </w:r>
      <w:r w:rsidRPr="008B635D">
        <w:rPr>
          <w:lang w:eastAsia="en-GB"/>
        </w:rPr>
        <w:t>CHR launched an inquiry into immigration detention in the UK.</w:t>
      </w:r>
      <w:r w:rsidRPr="008B635D">
        <w:rPr>
          <w:vertAlign w:val="superscript"/>
          <w:lang w:eastAsia="en-GB"/>
        </w:rPr>
        <w:footnoteReference w:id="140"/>
      </w:r>
      <w:r w:rsidRPr="008B635D">
        <w:rPr>
          <w:lang w:eastAsia="en-GB"/>
        </w:rPr>
        <w:t xml:space="preserve"> The EHRC submitted evidence drawing attention to our concerns that detention is not used sparingly and for the shortest time possible</w:t>
      </w:r>
      <w:r>
        <w:rPr>
          <w:lang w:eastAsia="en-GB"/>
        </w:rPr>
        <w:t xml:space="preserve"> and that there is no statutory limit on the length of time a person can be held</w:t>
      </w:r>
      <w:r w:rsidRPr="008B635D">
        <w:rPr>
          <w:lang w:eastAsia="en-GB"/>
        </w:rPr>
        <w:t>.</w:t>
      </w:r>
      <w:r w:rsidRPr="008B635D">
        <w:rPr>
          <w:vertAlign w:val="superscript"/>
          <w:lang w:eastAsia="en-GB"/>
        </w:rPr>
        <w:footnoteReference w:id="141"/>
      </w:r>
      <w:r w:rsidRPr="008B635D">
        <w:rPr>
          <w:lang w:eastAsia="en-GB"/>
        </w:rPr>
        <w:t xml:space="preserve"> The submission also highlighted concerns around the failure to uphold human rights standards within the detention estate</w:t>
      </w:r>
      <w:r w:rsidR="008F5CC9">
        <w:rPr>
          <w:lang w:eastAsia="en-GB"/>
        </w:rPr>
        <w:t>,</w:t>
      </w:r>
      <w:r w:rsidRPr="008B635D">
        <w:rPr>
          <w:lang w:eastAsia="en-GB"/>
        </w:rPr>
        <w:t xml:space="preserve"> and in particular the failure to identify and respond to the needs of people with protected characteristics, including women, and others who face an increased risk of harm in detention.</w:t>
      </w:r>
      <w:r w:rsidRPr="008B635D">
        <w:rPr>
          <w:vertAlign w:val="superscript"/>
          <w:lang w:eastAsia="en-GB"/>
        </w:rPr>
        <w:footnoteReference w:id="142"/>
      </w:r>
      <w:r w:rsidRPr="008B635D">
        <w:rPr>
          <w:lang w:eastAsia="en-GB"/>
        </w:rPr>
        <w:t xml:space="preserve"> We expect the JCHR to report back </w:t>
      </w:r>
      <w:r w:rsidR="00875141">
        <w:rPr>
          <w:lang w:eastAsia="en-GB"/>
        </w:rPr>
        <w:t>shortly</w:t>
      </w:r>
      <w:r w:rsidRPr="008B635D">
        <w:rPr>
          <w:lang w:eastAsia="en-GB"/>
        </w:rPr>
        <w:t>.</w:t>
      </w:r>
    </w:p>
    <w:p w14:paraId="1441C954" w14:textId="21280BB0" w:rsidR="00254203" w:rsidRDefault="00254203" w:rsidP="006368D6">
      <w:pPr>
        <w:pStyle w:val="Title-subsections"/>
        <w:rPr>
          <w:lang w:eastAsia="en-GB"/>
        </w:rPr>
      </w:pPr>
      <w:r w:rsidRPr="006368D6">
        <w:t>Recommendations</w:t>
      </w:r>
    </w:p>
    <w:p w14:paraId="04A5C191" w14:textId="49B44D77" w:rsidR="008F5CC9" w:rsidRPr="00AA118E" w:rsidRDefault="00254203" w:rsidP="006368D6">
      <w:pPr>
        <w:pStyle w:val="Parabeforebulletss"/>
      </w:pPr>
      <w:r w:rsidRPr="00AA118E">
        <w:t>The</w:t>
      </w:r>
      <w:r w:rsidR="002806AC">
        <w:t xml:space="preserve"> EHRC recommends that the</w:t>
      </w:r>
      <w:r w:rsidRPr="00AA118E">
        <w:t xml:space="preserve"> UK Government should:</w:t>
      </w:r>
    </w:p>
    <w:p w14:paraId="31D3B2BC" w14:textId="0A54E55A" w:rsidR="008F5CC9" w:rsidRPr="006368D6" w:rsidRDefault="008F5CC9" w:rsidP="006368D6">
      <w:pPr>
        <w:pStyle w:val="Bullet-followedbyothers"/>
      </w:pPr>
      <w:r>
        <w:t>e</w:t>
      </w:r>
      <w:r w:rsidR="00254203" w:rsidRPr="00165EBE">
        <w:t xml:space="preserve">nsure that revisions to </w:t>
      </w:r>
      <w:r>
        <w:t>r</w:t>
      </w:r>
      <w:r w:rsidR="00254203" w:rsidRPr="00165EBE">
        <w:t>ule 35 arising from the forthcoming Detention Centre Rules review result in sufficient safeguards for women who are victims of serious physical, psychological or sexual violence to ensure they are not detained</w:t>
      </w:r>
    </w:p>
    <w:p w14:paraId="1AAE47EE" w14:textId="584CE014" w:rsidR="00254203" w:rsidRPr="00AA118E" w:rsidRDefault="00254203" w:rsidP="006368D6">
      <w:pPr>
        <w:pStyle w:val="Bullet-followedbyothers"/>
      </w:pPr>
      <w:r w:rsidRPr="00E72F5C">
        <w:lastRenderedPageBreak/>
        <w:t>ensure that immigration detention is used as a last resort, commit to setting a maximum limit of 28 days on the length of time an individual can be held</w:t>
      </w:r>
      <w:r>
        <w:t xml:space="preserve"> and</w:t>
      </w:r>
      <w:r w:rsidRPr="00E72F5C">
        <w:t xml:space="preserve"> </w:t>
      </w:r>
      <w:r>
        <w:t>increase efforts</w:t>
      </w:r>
      <w:r w:rsidRPr="00AA118E">
        <w:t xml:space="preserve"> to work towards community-based resolutions</w:t>
      </w:r>
      <w:r>
        <w:t xml:space="preserve"> for women</w:t>
      </w:r>
      <w:r w:rsidRPr="00AA118E">
        <w:t xml:space="preserve"> as an alternative to detention</w:t>
      </w:r>
      <w:r w:rsidR="006368D6">
        <w:t>, and</w:t>
      </w:r>
    </w:p>
    <w:p w14:paraId="6DB25A50" w14:textId="68EEC3E9" w:rsidR="00254203" w:rsidRPr="006368D6" w:rsidRDefault="008F5CC9" w:rsidP="006368D6">
      <w:pPr>
        <w:pStyle w:val="Bullet-followedbyothers"/>
        <w:spacing w:after="680"/>
      </w:pPr>
      <w:r>
        <w:t>i</w:t>
      </w:r>
      <w:r w:rsidR="00254203" w:rsidRPr="00AA118E">
        <w:t xml:space="preserve">ntroduce independent processes for the identification of </w:t>
      </w:r>
      <w:r w:rsidR="00254203">
        <w:t xml:space="preserve">women with </w:t>
      </w:r>
      <w:r w:rsidR="00254203" w:rsidRPr="00AA118E">
        <w:t>protected characteristics</w:t>
      </w:r>
      <w:r>
        <w:t>,</w:t>
      </w:r>
      <w:r w:rsidR="00254203">
        <w:t xml:space="preserve"> or</w:t>
      </w:r>
      <w:r w:rsidR="00254203" w:rsidRPr="00AA118E">
        <w:t xml:space="preserve"> who </w:t>
      </w:r>
      <w:r w:rsidR="00254203">
        <w:t xml:space="preserve">otherwise </w:t>
      </w:r>
      <w:r w:rsidR="00254203" w:rsidRPr="00AA118E">
        <w:t>face a particular risk of harm in detention</w:t>
      </w:r>
      <w:r w:rsidR="00254203">
        <w:t>,</w:t>
      </w:r>
      <w:r w:rsidR="00254203" w:rsidRPr="00AA118E">
        <w:t xml:space="preserve"> both when the decision to detain is made and once individuals have entered the detention estate.</w:t>
      </w:r>
    </w:p>
    <w:p w14:paraId="6E3F9543" w14:textId="77777777" w:rsidR="00254203" w:rsidRPr="00C812EE" w:rsidRDefault="00254203" w:rsidP="00254203">
      <w:pPr>
        <w:pStyle w:val="Title-sectionspink"/>
      </w:pPr>
      <w:bookmarkStart w:id="47" w:name="_Toc534726631"/>
      <w:r w:rsidRPr="00C812EE">
        <w:t>Asylum seekers’ access to services</w:t>
      </w:r>
      <w:bookmarkEnd w:id="47"/>
      <w:r w:rsidRPr="00C812EE">
        <w:t xml:space="preserve"> </w:t>
      </w:r>
    </w:p>
    <w:p w14:paraId="184E2241" w14:textId="2538FE93" w:rsidR="00254203" w:rsidRPr="00073749" w:rsidRDefault="00254203" w:rsidP="006368D6">
      <w:pPr>
        <w:pStyle w:val="Parabeforebulletss"/>
      </w:pPr>
      <w:r w:rsidRPr="00073749">
        <w:t xml:space="preserve">Our </w:t>
      </w:r>
      <w:r w:rsidR="00727BF3">
        <w:t>2018</w:t>
      </w:r>
      <w:r w:rsidRPr="00073749">
        <w:t xml:space="preserve"> research into experiences of healthcare for asylum seekers and refused asylum seekers highlighted that some barriers were experienced more by women, in particular pregnant women.</w:t>
      </w:r>
      <w:r w:rsidRPr="00073749">
        <w:rPr>
          <w:vertAlign w:val="superscript"/>
        </w:rPr>
        <w:footnoteReference w:id="143"/>
      </w:r>
      <w:r>
        <w:t xml:space="preserve"> These</w:t>
      </w:r>
      <w:r w:rsidRPr="00073749">
        <w:t xml:space="preserve"> included:</w:t>
      </w:r>
    </w:p>
    <w:p w14:paraId="0884D548" w14:textId="168B0DB2" w:rsidR="00254203" w:rsidRPr="00073749" w:rsidRDefault="00E611B6" w:rsidP="006368D6">
      <w:pPr>
        <w:pStyle w:val="Bullet-followedbyothers"/>
      </w:pPr>
      <w:r>
        <w:t>t</w:t>
      </w:r>
      <w:r w:rsidR="00254203" w:rsidRPr="00073749">
        <w:t>he Home Office policy of allocating and moving people within asylum accommodation on a no-choice basis,</w:t>
      </w:r>
      <w:r w:rsidR="00254203">
        <w:rPr>
          <w:rStyle w:val="FootnoteReference"/>
          <w:rFonts w:cs="Arial"/>
        </w:rPr>
        <w:footnoteReference w:id="144"/>
      </w:r>
      <w:r w:rsidR="00254203" w:rsidRPr="00073749">
        <w:t xml:space="preserve"> leading to interrupted and delayed care </w:t>
      </w:r>
    </w:p>
    <w:p w14:paraId="6AF6F170" w14:textId="6F99134B" w:rsidR="00254203" w:rsidRPr="00073749" w:rsidRDefault="00E611B6" w:rsidP="006368D6">
      <w:pPr>
        <w:pStyle w:val="Bullet-followedbyothers"/>
      </w:pPr>
      <w:r>
        <w:t>i</w:t>
      </w:r>
      <w:r w:rsidR="00254203" w:rsidRPr="00073749">
        <w:t>nadequate dissemination of information about health services, including antenatal care</w:t>
      </w:r>
    </w:p>
    <w:p w14:paraId="1E993E11" w14:textId="5E8615D6" w:rsidR="00254203" w:rsidRPr="00073749" w:rsidRDefault="00E611B6" w:rsidP="006368D6">
      <w:pPr>
        <w:pStyle w:val="Bullet-followedbyothers"/>
      </w:pPr>
      <w:r>
        <w:t>g</w:t>
      </w:r>
      <w:r w:rsidR="00254203" w:rsidRPr="00073749">
        <w:t>reater language and literacy challenges because of lower levels of education, literacy or acculturation</w:t>
      </w:r>
    </w:p>
    <w:p w14:paraId="77EEC6B3" w14:textId="59009AAB" w:rsidR="00254203" w:rsidRPr="00073749" w:rsidRDefault="00E611B6" w:rsidP="006368D6">
      <w:pPr>
        <w:pStyle w:val="Bullet-followedbyothers"/>
      </w:pPr>
      <w:r>
        <w:t>c</w:t>
      </w:r>
      <w:r w:rsidR="00254203" w:rsidRPr="00073749">
        <w:t>ultural factors, including the use of male interpreters in maternity or sexual health services or when disclosing experience of domestic or sexual violence</w:t>
      </w:r>
    </w:p>
    <w:p w14:paraId="1E49A788" w14:textId="640AC816" w:rsidR="00254203" w:rsidRPr="00073749" w:rsidRDefault="00E611B6" w:rsidP="006368D6">
      <w:pPr>
        <w:pStyle w:val="Bullet-followedbyothers"/>
      </w:pPr>
      <w:r>
        <w:t>h</w:t>
      </w:r>
      <w:r w:rsidR="00254203" w:rsidRPr="00073749">
        <w:t xml:space="preserve">ealthcare staff </w:t>
      </w:r>
      <w:r w:rsidR="00254203">
        <w:t>not having appropriate training and support</w:t>
      </w:r>
      <w:r w:rsidR="00254203" w:rsidRPr="00073749">
        <w:t xml:space="preserve"> to adequately address the healthcare needs of women who present wi</w:t>
      </w:r>
      <w:r w:rsidR="00254203">
        <w:t>th FGM, including</w:t>
      </w:r>
      <w:r w:rsidR="00254203" w:rsidRPr="00073749">
        <w:t xml:space="preserve"> the stigma associated with this practice, or women’s rel</w:t>
      </w:r>
      <w:r w:rsidR="00254203">
        <w:t>igious beliefs or expectations</w:t>
      </w:r>
      <w:r w:rsidR="006368D6">
        <w:t>, and</w:t>
      </w:r>
    </w:p>
    <w:p w14:paraId="2312F2B4" w14:textId="1212FFE8" w:rsidR="00254203" w:rsidRPr="006368D6" w:rsidRDefault="00E611B6" w:rsidP="006368D6">
      <w:pPr>
        <w:pStyle w:val="Bullet-lastingroup"/>
      </w:pPr>
      <w:r>
        <w:lastRenderedPageBreak/>
        <w:t>a</w:t>
      </w:r>
      <w:r w:rsidR="00254203" w:rsidRPr="00073749">
        <w:t>ssociated immigration policies</w:t>
      </w:r>
      <w:r>
        <w:t>,</w:t>
      </w:r>
      <w:r w:rsidR="00254203" w:rsidRPr="00073749">
        <w:t xml:space="preserve"> such as </w:t>
      </w:r>
      <w:r>
        <w:t>identity</w:t>
      </w:r>
      <w:r w:rsidR="00254203" w:rsidRPr="00073749">
        <w:t xml:space="preserve"> checks and the overseas charging regulations in operation in England</w:t>
      </w:r>
      <w:r>
        <w:t>,</w:t>
      </w:r>
      <w:r w:rsidR="00254203" w:rsidRPr="00073749">
        <w:t xml:space="preserve"> led to women delayin</w:t>
      </w:r>
      <w:r w:rsidR="006368D6">
        <w:t>g or avoiding care due to fear.</w:t>
      </w:r>
    </w:p>
    <w:p w14:paraId="72A93D4C" w14:textId="54BE2A87" w:rsidR="00254203" w:rsidRPr="00073749" w:rsidRDefault="00254203" w:rsidP="006368D6">
      <w:pPr>
        <w:pStyle w:val="Parabeforeanother"/>
        <w:rPr>
          <w:lang w:eastAsia="en-GB"/>
        </w:rPr>
      </w:pPr>
      <w:r w:rsidRPr="00073749">
        <w:rPr>
          <w:lang w:eastAsia="en-GB"/>
        </w:rPr>
        <w:t>Several UN bodies have raised concerns over the level of financial support given to asylum seekers in the UK,</w:t>
      </w:r>
      <w:r>
        <w:rPr>
          <w:lang w:eastAsia="en-GB"/>
        </w:rPr>
        <w:t xml:space="preserve"> and the impact this has on their standard of living. In 2016, </w:t>
      </w:r>
      <w:r w:rsidRPr="00073749">
        <w:rPr>
          <w:lang w:eastAsia="en-GB"/>
        </w:rPr>
        <w:t xml:space="preserve">the </w:t>
      </w:r>
      <w:r>
        <w:rPr>
          <w:lang w:eastAsia="en-GB"/>
        </w:rPr>
        <w:t xml:space="preserve">UN </w:t>
      </w:r>
      <w:r w:rsidRPr="00073749">
        <w:rPr>
          <w:lang w:eastAsia="en-GB"/>
        </w:rPr>
        <w:t>Committee on Economic, Social and Cultural Rights</w:t>
      </w:r>
      <w:r>
        <w:rPr>
          <w:lang w:eastAsia="en-GB"/>
        </w:rPr>
        <w:t xml:space="preserve"> (CESCR)</w:t>
      </w:r>
      <w:r w:rsidRPr="00073749">
        <w:rPr>
          <w:lang w:eastAsia="en-GB"/>
        </w:rPr>
        <w:t xml:space="preserve"> recommended that the UK Government increase the level of support provided to asylum seekers, including through the daily all</w:t>
      </w:r>
      <w:r>
        <w:rPr>
          <w:lang w:eastAsia="en-GB"/>
        </w:rPr>
        <w:t>owance.</w:t>
      </w:r>
      <w:r w:rsidRPr="00073749">
        <w:rPr>
          <w:vertAlign w:val="superscript"/>
          <w:lang w:eastAsia="en-GB"/>
        </w:rPr>
        <w:footnoteReference w:id="145"/>
      </w:r>
      <w:r w:rsidRPr="00073749">
        <w:rPr>
          <w:lang w:eastAsia="en-GB"/>
        </w:rPr>
        <w:t xml:space="preserve"> </w:t>
      </w:r>
    </w:p>
    <w:p w14:paraId="0CE0621B" w14:textId="676CF7A1" w:rsidR="00254203" w:rsidRDefault="00254203" w:rsidP="006368D6">
      <w:pPr>
        <w:pStyle w:val="Parabeforeanother"/>
        <w:rPr>
          <w:lang w:eastAsia="en-GB"/>
        </w:rPr>
      </w:pPr>
      <w:r w:rsidRPr="00073749">
        <w:rPr>
          <w:lang w:eastAsia="en-GB"/>
        </w:rPr>
        <w:t xml:space="preserve">Evidence in our recent research showed that </w:t>
      </w:r>
      <w:r>
        <w:rPr>
          <w:lang w:eastAsia="en-GB"/>
        </w:rPr>
        <w:t>i</w:t>
      </w:r>
      <w:r w:rsidRPr="00073749">
        <w:rPr>
          <w:lang w:eastAsia="en-GB"/>
        </w:rPr>
        <w:t>nability to afford items ne</w:t>
      </w:r>
      <w:r>
        <w:rPr>
          <w:lang w:eastAsia="en-GB"/>
        </w:rPr>
        <w:t xml:space="preserve">cessary to accessing healthcare, </w:t>
      </w:r>
      <w:r w:rsidRPr="00073749">
        <w:rPr>
          <w:lang w:eastAsia="en-GB"/>
        </w:rPr>
        <w:t>including medication, transportation to get to healthcare appointments and phone cred</w:t>
      </w:r>
      <w:r>
        <w:rPr>
          <w:lang w:eastAsia="en-GB"/>
        </w:rPr>
        <w:t xml:space="preserve">it to make medical appointments, </w:t>
      </w:r>
      <w:r w:rsidRPr="00073749">
        <w:rPr>
          <w:lang w:eastAsia="en-GB"/>
        </w:rPr>
        <w:t>presented significant barriers</w:t>
      </w:r>
      <w:r>
        <w:rPr>
          <w:lang w:eastAsia="en-GB"/>
        </w:rPr>
        <w:t xml:space="preserve">. </w:t>
      </w:r>
      <w:r w:rsidRPr="00073749">
        <w:rPr>
          <w:lang w:eastAsia="en-GB"/>
        </w:rPr>
        <w:t>The current amount of financial support from the Home Office provided to asylum seekers and refused asylum seekers in most cases falls below the level of mainstream benefits, and for most asylum</w:t>
      </w:r>
      <w:r w:rsidR="00E611B6">
        <w:rPr>
          <w:lang w:eastAsia="en-GB"/>
        </w:rPr>
        <w:t>-</w:t>
      </w:r>
      <w:r w:rsidRPr="00073749">
        <w:rPr>
          <w:lang w:eastAsia="en-GB"/>
        </w:rPr>
        <w:t>seeking families, takes them below the poverty line (defined as living on less than 60% of th</w:t>
      </w:r>
      <w:r>
        <w:rPr>
          <w:lang w:eastAsia="en-GB"/>
        </w:rPr>
        <w:t xml:space="preserve">e median UK household income). </w:t>
      </w:r>
      <w:r w:rsidRPr="00073749">
        <w:rPr>
          <w:lang w:eastAsia="en-GB"/>
        </w:rPr>
        <w:t xml:space="preserve">We are concerned that this may undercut a core minimum level of protection and </w:t>
      </w:r>
      <w:r>
        <w:rPr>
          <w:lang w:eastAsia="en-GB"/>
        </w:rPr>
        <w:t xml:space="preserve">we </w:t>
      </w:r>
      <w:r w:rsidRPr="00073749">
        <w:rPr>
          <w:lang w:eastAsia="en-GB"/>
        </w:rPr>
        <w:t>strongly recommend that support is provided to this group of peop</w:t>
      </w:r>
      <w:r>
        <w:rPr>
          <w:lang w:eastAsia="en-GB"/>
        </w:rPr>
        <w:t>le in equal comparison to those</w:t>
      </w:r>
      <w:r w:rsidRPr="00073749">
        <w:rPr>
          <w:lang w:eastAsia="en-GB"/>
        </w:rPr>
        <w:t xml:space="preserve"> on mainstream benefits. </w:t>
      </w:r>
    </w:p>
    <w:p w14:paraId="51C897C4" w14:textId="7A6F2984" w:rsidR="00254203" w:rsidRDefault="00254203" w:rsidP="006368D6">
      <w:pPr>
        <w:pStyle w:val="Parabeforeanother"/>
        <w:rPr>
          <w:lang w:eastAsia="en-GB"/>
        </w:rPr>
      </w:pPr>
      <w:r w:rsidRPr="00073749">
        <w:rPr>
          <w:lang w:eastAsia="en-GB"/>
        </w:rPr>
        <w:t xml:space="preserve">The right to health requires that adequate nutrition and appropriate services be provided to pregnant women and new mothers. We note that </w:t>
      </w:r>
      <w:r>
        <w:rPr>
          <w:lang w:eastAsia="en-GB"/>
        </w:rPr>
        <w:t xml:space="preserve">the UK Government provides </w:t>
      </w:r>
      <w:r w:rsidRPr="00073749">
        <w:rPr>
          <w:lang w:eastAsia="en-GB"/>
        </w:rPr>
        <w:t>additional money to pregnant women and new mothers</w:t>
      </w:r>
      <w:r w:rsidR="00EE7552">
        <w:rPr>
          <w:lang w:eastAsia="en-GB"/>
        </w:rPr>
        <w:t>;</w:t>
      </w:r>
      <w:r w:rsidRPr="00073749">
        <w:rPr>
          <w:lang w:eastAsia="en-GB"/>
        </w:rPr>
        <w:t xml:space="preserve"> however, the research evidence sugges</w:t>
      </w:r>
      <w:r>
        <w:rPr>
          <w:lang w:eastAsia="en-GB"/>
        </w:rPr>
        <w:t xml:space="preserve">ts that this is insufficient. </w:t>
      </w:r>
      <w:r w:rsidRPr="00073749">
        <w:rPr>
          <w:lang w:eastAsia="en-GB"/>
        </w:rPr>
        <w:t>In our research, pregnant women seeking asylum report</w:t>
      </w:r>
      <w:r>
        <w:rPr>
          <w:lang w:eastAsia="en-GB"/>
        </w:rPr>
        <w:t>ed</w:t>
      </w:r>
      <w:r w:rsidRPr="00073749">
        <w:rPr>
          <w:lang w:eastAsia="en-GB"/>
        </w:rPr>
        <w:t xml:space="preserve"> experiencing difficulties in affording the costs associated with accessing healthcare appointments, in</w:t>
      </w:r>
      <w:r>
        <w:rPr>
          <w:lang w:eastAsia="en-GB"/>
        </w:rPr>
        <w:t xml:space="preserve">cluding for antenatal care, and </w:t>
      </w:r>
      <w:r w:rsidRPr="00073749">
        <w:rPr>
          <w:lang w:eastAsia="en-GB"/>
        </w:rPr>
        <w:t xml:space="preserve">not being able to act on healthcare professionals’ nutritional advice </w:t>
      </w:r>
      <w:r>
        <w:rPr>
          <w:lang w:eastAsia="en-GB"/>
        </w:rPr>
        <w:t xml:space="preserve">because of a lack of money for </w:t>
      </w:r>
      <w:r w:rsidRPr="00073749">
        <w:rPr>
          <w:lang w:eastAsia="en-GB"/>
        </w:rPr>
        <w:t xml:space="preserve">appropriate food. </w:t>
      </w:r>
    </w:p>
    <w:p w14:paraId="342B234D" w14:textId="7F177827" w:rsidR="00254203" w:rsidRPr="00073749" w:rsidRDefault="00254203" w:rsidP="006368D6">
      <w:pPr>
        <w:pStyle w:val="Parabeforeanother"/>
        <w:rPr>
          <w:lang w:eastAsia="en-GB"/>
        </w:rPr>
      </w:pPr>
      <w:r w:rsidRPr="00073749">
        <w:rPr>
          <w:lang w:eastAsia="en-GB"/>
        </w:rPr>
        <w:t>Our review of existing evidence also highlighted a gap in support for pregnant refused asylum seeking women who are</w:t>
      </w:r>
      <w:r w:rsidR="00EE7552">
        <w:rPr>
          <w:lang w:eastAsia="en-GB"/>
        </w:rPr>
        <w:t xml:space="preserve"> </w:t>
      </w:r>
      <w:r w:rsidRPr="00073749">
        <w:rPr>
          <w:lang w:eastAsia="en-GB"/>
        </w:rPr>
        <w:t>n</w:t>
      </w:r>
      <w:r w:rsidR="00EE7552">
        <w:rPr>
          <w:lang w:eastAsia="en-GB"/>
        </w:rPr>
        <w:t>o</w:t>
      </w:r>
      <w:r w:rsidRPr="00073749">
        <w:rPr>
          <w:lang w:eastAsia="en-GB"/>
        </w:rPr>
        <w:t>t already eligible for support</w:t>
      </w:r>
      <w:r w:rsidRPr="00073749">
        <w:rPr>
          <w:vertAlign w:val="superscript"/>
          <w:lang w:eastAsia="en-GB"/>
        </w:rPr>
        <w:footnoteReference w:id="146"/>
      </w:r>
      <w:r w:rsidRPr="00073749">
        <w:rPr>
          <w:lang w:eastAsia="en-GB"/>
        </w:rPr>
        <w:t xml:space="preserve">. Currently </w:t>
      </w:r>
      <w:r w:rsidRPr="00073749">
        <w:rPr>
          <w:lang w:eastAsia="en-GB"/>
        </w:rPr>
        <w:lastRenderedPageBreak/>
        <w:t xml:space="preserve">they cannot access support until six weeks prior to the estimated due date. This means that, for the majority of their pregnancy, women who have had their asylum claim refused have no access to money or housing. This puts them and their </w:t>
      </w:r>
      <w:r w:rsidR="006368D6">
        <w:rPr>
          <w:lang w:eastAsia="en-GB"/>
        </w:rPr>
        <w:t xml:space="preserve">pregnancy at significant risk. </w:t>
      </w:r>
    </w:p>
    <w:p w14:paraId="798FBBD9" w14:textId="431792A9" w:rsidR="00254203" w:rsidRPr="00073749" w:rsidRDefault="00254203" w:rsidP="006368D6">
      <w:pPr>
        <w:pStyle w:val="Parabeforeanother"/>
        <w:rPr>
          <w:lang w:eastAsia="en-GB"/>
        </w:rPr>
      </w:pPr>
      <w:r w:rsidRPr="00073749">
        <w:rPr>
          <w:lang w:eastAsia="en-GB"/>
        </w:rPr>
        <w:t xml:space="preserve">The </w:t>
      </w:r>
      <w:r>
        <w:rPr>
          <w:lang w:eastAsia="en-GB"/>
        </w:rPr>
        <w:t xml:space="preserve">EHRC </w:t>
      </w:r>
      <w:r w:rsidRPr="00073749">
        <w:rPr>
          <w:lang w:eastAsia="en-GB"/>
        </w:rPr>
        <w:t>is currently intervening in an appeal of a judicial review challenging the reduction in the rate of asylum support</w:t>
      </w:r>
      <w:r w:rsidRPr="00073749">
        <w:rPr>
          <w:vertAlign w:val="superscript"/>
          <w:lang w:eastAsia="en-GB"/>
        </w:rPr>
        <w:footnoteReference w:id="147"/>
      </w:r>
      <w:r w:rsidRPr="00073749">
        <w:rPr>
          <w:lang w:eastAsia="en-GB"/>
        </w:rPr>
        <w:t xml:space="preserve"> with regard to single parents, the majority of whom are women. From 2015, a flat rate of financial support has been paid per individual. Prior to this a higher rate was paid to lone parents. This has a disproportionate impact on lone</w:t>
      </w:r>
      <w:r w:rsidR="00EE7552">
        <w:rPr>
          <w:lang w:eastAsia="en-GB"/>
        </w:rPr>
        <w:t>-</w:t>
      </w:r>
      <w:r w:rsidRPr="00073749">
        <w:rPr>
          <w:lang w:eastAsia="en-GB"/>
        </w:rPr>
        <w:t>parent families, as they will receive less income than two</w:t>
      </w:r>
      <w:r w:rsidR="00EE7552">
        <w:rPr>
          <w:lang w:eastAsia="en-GB"/>
        </w:rPr>
        <w:t>-</w:t>
      </w:r>
      <w:r w:rsidRPr="00073749">
        <w:rPr>
          <w:lang w:eastAsia="en-GB"/>
        </w:rPr>
        <w:t xml:space="preserve">parent families, but with less benefit from the economies of scale of a larger household. </w:t>
      </w:r>
    </w:p>
    <w:p w14:paraId="50890BA7" w14:textId="0564172A" w:rsidR="00254203" w:rsidRPr="00073749" w:rsidRDefault="00254203" w:rsidP="006368D6">
      <w:pPr>
        <w:pStyle w:val="Parabeforenewsubsection"/>
        <w:rPr>
          <w:lang w:eastAsia="en-GB"/>
        </w:rPr>
      </w:pPr>
      <w:r w:rsidRPr="00073749">
        <w:rPr>
          <w:lang w:eastAsia="en-GB"/>
        </w:rPr>
        <w:t>The right to work is essential as a means of survival but also as an important c</w:t>
      </w:r>
      <w:r>
        <w:rPr>
          <w:lang w:eastAsia="en-GB"/>
        </w:rPr>
        <w:t xml:space="preserve">omponent of human dignity. The EHRC agrees with CESCR’s recommendation that the </w:t>
      </w:r>
      <w:r w:rsidRPr="00073749">
        <w:rPr>
          <w:lang w:eastAsia="en-GB"/>
        </w:rPr>
        <w:t xml:space="preserve">UK </w:t>
      </w:r>
      <w:r>
        <w:rPr>
          <w:lang w:eastAsia="en-GB"/>
        </w:rPr>
        <w:t>G</w:t>
      </w:r>
      <w:r w:rsidRPr="00073749">
        <w:rPr>
          <w:lang w:eastAsia="en-GB"/>
        </w:rPr>
        <w:t>overnment ensure that asylum seekers are not restricted from accessing employment while the</w:t>
      </w:r>
      <w:r>
        <w:rPr>
          <w:lang w:eastAsia="en-GB"/>
        </w:rPr>
        <w:t xml:space="preserve">ir claims are being processed. </w:t>
      </w:r>
      <w:r w:rsidRPr="00073749">
        <w:rPr>
          <w:lang w:eastAsia="en-GB"/>
        </w:rPr>
        <w:t>Access to paid employment would allow women to use their skills, contribute their experience and earn money to overcome</w:t>
      </w:r>
      <w:r>
        <w:rPr>
          <w:lang w:eastAsia="en-GB"/>
        </w:rPr>
        <w:t xml:space="preserve"> many of</w:t>
      </w:r>
      <w:r w:rsidRPr="00073749">
        <w:rPr>
          <w:lang w:eastAsia="en-GB"/>
        </w:rPr>
        <w:t xml:space="preserve"> the</w:t>
      </w:r>
      <w:r w:rsidR="006A6AD8">
        <w:rPr>
          <w:lang w:eastAsia="en-GB"/>
        </w:rPr>
        <w:t xml:space="preserve"> c</w:t>
      </w:r>
      <w:r w:rsidR="00E95382">
        <w:rPr>
          <w:lang w:eastAsia="en-GB"/>
        </w:rPr>
        <w:t>hallenges</w:t>
      </w:r>
      <w:r w:rsidRPr="00073749">
        <w:rPr>
          <w:lang w:eastAsia="en-GB"/>
        </w:rPr>
        <w:t xml:space="preserve"> </w:t>
      </w:r>
      <w:r>
        <w:rPr>
          <w:lang w:eastAsia="en-GB"/>
        </w:rPr>
        <w:t>identified in</w:t>
      </w:r>
      <w:r w:rsidRPr="00073749">
        <w:rPr>
          <w:lang w:eastAsia="en-GB"/>
        </w:rPr>
        <w:t xml:space="preserve"> our research. </w:t>
      </w:r>
    </w:p>
    <w:p w14:paraId="370616F0" w14:textId="75E3EB9C" w:rsidR="00254203" w:rsidRPr="00073749" w:rsidRDefault="00254203" w:rsidP="006368D6">
      <w:pPr>
        <w:pStyle w:val="Title-subsections"/>
        <w:rPr>
          <w:lang w:eastAsia="en-GB"/>
        </w:rPr>
      </w:pPr>
      <w:r w:rsidRPr="00073749">
        <w:rPr>
          <w:lang w:eastAsia="en-GB"/>
        </w:rPr>
        <w:t xml:space="preserve">Ensuring protection for women and girls </w:t>
      </w:r>
    </w:p>
    <w:p w14:paraId="7FAAD8D7" w14:textId="77777777" w:rsidR="00254203" w:rsidRPr="00073749" w:rsidRDefault="00254203" w:rsidP="006368D6">
      <w:pPr>
        <w:pStyle w:val="Parabeforeanother"/>
        <w:rPr>
          <w:sz w:val="28"/>
        </w:rPr>
      </w:pPr>
      <w:r w:rsidRPr="00073749">
        <w:t>In a July 2018 report, the All-Party Parliamentary Group for En</w:t>
      </w:r>
      <w:r>
        <w:t>ding Homelessness recommended ‘t</w:t>
      </w:r>
      <w:r w:rsidRPr="00073749">
        <w:t>he no recourse to public funds condition should not be imposed on a person who is applying for leave to remain under the family/private life rules when they have a dependent child. Care leavers and victims of domestic abuse and modern slavery should also be exempt from the condition’.</w:t>
      </w:r>
      <w:r w:rsidRPr="00073749">
        <w:rPr>
          <w:vertAlign w:val="superscript"/>
        </w:rPr>
        <w:footnoteReference w:id="148"/>
      </w:r>
      <w:r w:rsidRPr="00073749">
        <w:t xml:space="preserve"> </w:t>
      </w:r>
    </w:p>
    <w:p w14:paraId="350A741F" w14:textId="2AC29B40" w:rsidR="00254203" w:rsidRPr="00073749" w:rsidRDefault="00254203" w:rsidP="006368D6">
      <w:pPr>
        <w:pStyle w:val="Parabeforeanother"/>
      </w:pPr>
      <w:r w:rsidRPr="00073749">
        <w:lastRenderedPageBreak/>
        <w:t>The EHRC recently voiced its concern regarding information sharing practices between the police and immigration enforcement in relation to victims of crime</w:t>
      </w:r>
      <w:r>
        <w:t>. In our</w:t>
      </w:r>
      <w:r w:rsidRPr="00073749">
        <w:t xml:space="preserve"> submission to the </w:t>
      </w:r>
      <w:r w:rsidR="000A6C0E">
        <w:t>Home Affairs Select Committee (</w:t>
      </w:r>
      <w:r>
        <w:t>HASC</w:t>
      </w:r>
      <w:r w:rsidR="000A6C0E">
        <w:t>)</w:t>
      </w:r>
      <w:r w:rsidRPr="00073749">
        <w:t xml:space="preserve"> inquiry into domestic abuse, we recommended that the UK Government ensure victims of crime with insecure immigration status are able to seek the assistance of the police and law enforcement authorities without fear of being reported t</w:t>
      </w:r>
      <w:r>
        <w:t xml:space="preserve">o immigration authorities. The </w:t>
      </w:r>
      <w:r w:rsidR="000A6C0E">
        <w:t>c</w:t>
      </w:r>
      <w:r w:rsidRPr="00073749">
        <w:t xml:space="preserve">ommittee </w:t>
      </w:r>
      <w:r>
        <w:t>echoed this</w:t>
      </w:r>
      <w:r w:rsidRPr="00073749">
        <w:t xml:space="preserve"> in its own recommendations</w:t>
      </w:r>
      <w:r>
        <w:t>.</w:t>
      </w:r>
      <w:r w:rsidRPr="00073749">
        <w:rPr>
          <w:vertAlign w:val="superscript"/>
        </w:rPr>
        <w:footnoteReference w:id="149"/>
      </w:r>
      <w:r w:rsidRPr="00073749">
        <w:t xml:space="preserve"> </w:t>
      </w:r>
    </w:p>
    <w:p w14:paraId="7307C3A4" w14:textId="6DD3E746" w:rsidR="00254203" w:rsidRPr="006368D6" w:rsidRDefault="00254203" w:rsidP="006368D6">
      <w:pPr>
        <w:pStyle w:val="Parabeforenewsubsection"/>
        <w:rPr>
          <w:lang w:eastAsia="en-GB"/>
        </w:rPr>
      </w:pPr>
      <w:r w:rsidRPr="00073749">
        <w:rPr>
          <w:lang w:eastAsia="en-GB"/>
        </w:rPr>
        <w:t>Women with no recourse to public funds due to insecure immigration status are also at greater risk of homelessness, violence and sexual exploitation. One of the key recommendations from the Refugee Council’s report into women seeking asylum who are survivors of violence, was that the Home Office should ensure that no woman faces homelessness and destitution when exiting the asylum support system after being granted refugee status or another form of leave.</w:t>
      </w:r>
      <w:r>
        <w:rPr>
          <w:rStyle w:val="FootnoteReference"/>
          <w:lang w:eastAsia="en-GB"/>
        </w:rPr>
        <w:footnoteReference w:id="150"/>
      </w:r>
      <w:r w:rsidRPr="00073749">
        <w:rPr>
          <w:lang w:eastAsia="en-GB"/>
        </w:rPr>
        <w:t xml:space="preserve"> </w:t>
      </w:r>
      <w:r w:rsidR="000A6C0E">
        <w:rPr>
          <w:lang w:eastAsia="en-GB"/>
        </w:rPr>
        <w:t xml:space="preserve">The </w:t>
      </w:r>
      <w:r w:rsidRPr="00073749">
        <w:rPr>
          <w:color w:val="000000"/>
          <w:lang w:eastAsia="en-GB"/>
        </w:rPr>
        <w:t>Refugee Council also reported that women feared reporting abuse would have a negative impact on their asylum accommodation and there is little evidence that the Home Office give</w:t>
      </w:r>
      <w:r w:rsidR="000A6C0E">
        <w:rPr>
          <w:color w:val="000000"/>
          <w:lang w:eastAsia="en-GB"/>
        </w:rPr>
        <w:t>s</w:t>
      </w:r>
      <w:r w:rsidRPr="00073749">
        <w:rPr>
          <w:color w:val="000000"/>
          <w:lang w:eastAsia="en-GB"/>
        </w:rPr>
        <w:t xml:space="preserve"> adequate consideration to previous histories of abuse.</w:t>
      </w:r>
    </w:p>
    <w:p w14:paraId="0BE94F83" w14:textId="77777777" w:rsidR="00254203" w:rsidRDefault="00254203" w:rsidP="006368D6">
      <w:pPr>
        <w:pStyle w:val="Title-subsections"/>
      </w:pPr>
      <w:r w:rsidRPr="006368D6">
        <w:t>Recommendations</w:t>
      </w:r>
    </w:p>
    <w:p w14:paraId="109BFB7B" w14:textId="5B515DD2" w:rsidR="00254203" w:rsidRDefault="00254203" w:rsidP="006368D6">
      <w:pPr>
        <w:pStyle w:val="Parabeforebulletss"/>
      </w:pPr>
      <w:r>
        <w:t>The</w:t>
      </w:r>
      <w:r w:rsidR="002806AC">
        <w:t xml:space="preserve"> EHRC recommends that the</w:t>
      </w:r>
      <w:r>
        <w:t xml:space="preserve"> UK and Welsh governments, where relevant, should:</w:t>
      </w:r>
    </w:p>
    <w:p w14:paraId="4B0B5B93" w14:textId="240DBCDD" w:rsidR="00254203" w:rsidRPr="000B528A" w:rsidRDefault="004D6453" w:rsidP="006368D6">
      <w:pPr>
        <w:pStyle w:val="Bullet-followedbyothers"/>
      </w:pPr>
      <w:r>
        <w:t>f</w:t>
      </w:r>
      <w:r w:rsidR="00254203">
        <w:t xml:space="preserve">ully implement the EHRC’s recommendations on improving asylum seekers and refused asylum seekers’ access to healthcare, including: </w:t>
      </w:r>
    </w:p>
    <w:p w14:paraId="0DC4F198" w14:textId="00A599C8" w:rsidR="00254203" w:rsidRPr="000B528A" w:rsidRDefault="004D6453" w:rsidP="006368D6">
      <w:pPr>
        <w:pStyle w:val="Bullets-sub-bullets"/>
      </w:pPr>
      <w:r>
        <w:t>e</w:t>
      </w:r>
      <w:r w:rsidR="00254203" w:rsidRPr="000B528A">
        <w:t xml:space="preserve">xempting all people who have been in the asylum process from NHS healthcare charging in England, in line with policy in </w:t>
      </w:r>
      <w:r w:rsidR="00254203">
        <w:t>devolved nations</w:t>
      </w:r>
    </w:p>
    <w:p w14:paraId="577509DE" w14:textId="37D880C3" w:rsidR="00254203" w:rsidRPr="000B528A" w:rsidRDefault="004D6453" w:rsidP="006368D6">
      <w:pPr>
        <w:pStyle w:val="Bullets-sub-bullets"/>
      </w:pPr>
      <w:r>
        <w:t>e</w:t>
      </w:r>
      <w:r w:rsidR="00254203" w:rsidRPr="000B528A">
        <w:t>nsuring free and full access to all family planning services and pregnancy and maternity services, regardless of immigration status</w:t>
      </w:r>
    </w:p>
    <w:p w14:paraId="40086596" w14:textId="65AF44DE" w:rsidR="00254203" w:rsidRDefault="004D6453" w:rsidP="006368D6">
      <w:pPr>
        <w:pStyle w:val="Bullets-sub-bullets"/>
      </w:pPr>
      <w:r>
        <w:t>r</w:t>
      </w:r>
      <w:r w:rsidR="00254203" w:rsidRPr="000B528A">
        <w:t>eview</w:t>
      </w:r>
      <w:r w:rsidR="00254203">
        <w:t>ing</w:t>
      </w:r>
      <w:r w:rsidR="00254203" w:rsidRPr="000B528A">
        <w:t xml:space="preserve"> current Home Office accommodation and dispersal policy and practice to ensure that healthcare needs, especially of disabled people and pregnant women, are met in the provision of asylum accommodation</w:t>
      </w:r>
    </w:p>
    <w:p w14:paraId="1D2E0077" w14:textId="4C94C687" w:rsidR="00254203" w:rsidRPr="000B528A" w:rsidRDefault="004D6453" w:rsidP="006368D6">
      <w:pPr>
        <w:pStyle w:val="Bullets-sub-bullets"/>
      </w:pPr>
      <w:r>
        <w:lastRenderedPageBreak/>
        <w:t>s</w:t>
      </w:r>
      <w:r w:rsidR="00254203">
        <w:t>ubstantially increasing</w:t>
      </w:r>
      <w:r w:rsidR="00254203" w:rsidRPr="000B528A">
        <w:t xml:space="preserve"> the level of weekly support to guarantee everyone is living above the recognised poverty line of 60% of the UK median household income</w:t>
      </w:r>
      <w:r w:rsidR="00254203">
        <w:t>, taking into account the needs of people with protected characteristics, such as pregnant women and new mothers</w:t>
      </w:r>
    </w:p>
    <w:p w14:paraId="08D487F6" w14:textId="14B5AFAC" w:rsidR="00254203" w:rsidRDefault="004D6453" w:rsidP="006368D6">
      <w:pPr>
        <w:pStyle w:val="Bullets-sub-bullets"/>
      </w:pPr>
      <w:r>
        <w:t>a</w:t>
      </w:r>
      <w:r w:rsidR="00254203" w:rsidRPr="002A52F4">
        <w:t>llow</w:t>
      </w:r>
      <w:r w:rsidR="00254203">
        <w:t>ing</w:t>
      </w:r>
      <w:r w:rsidR="00254203" w:rsidRPr="002A52F4">
        <w:t xml:space="preserve"> people seeking asylum to work after </w:t>
      </w:r>
      <w:r w:rsidR="00254203">
        <w:t xml:space="preserve">six </w:t>
      </w:r>
      <w:r w:rsidR="00254203" w:rsidRPr="002A52F4">
        <w:t>months of waiting for a decision on their application so that they can access income, reduce their level of poverty and lead fulfilling and dignified lives</w:t>
      </w:r>
      <w:r w:rsidR="006368D6">
        <w:t>, and</w:t>
      </w:r>
    </w:p>
    <w:p w14:paraId="5C709AB8" w14:textId="11871A00" w:rsidR="00254203" w:rsidRPr="000B528A" w:rsidRDefault="004D6453" w:rsidP="006368D6">
      <w:pPr>
        <w:pStyle w:val="Bullets-sub-bullets"/>
      </w:pPr>
      <w:r>
        <w:t>e</w:t>
      </w:r>
      <w:r w:rsidR="00254203" w:rsidRPr="002A52F4">
        <w:t>nsu</w:t>
      </w:r>
      <w:r w:rsidR="00254203">
        <w:t>ring all survivors</w:t>
      </w:r>
      <w:r w:rsidR="00254203" w:rsidRPr="002A52F4">
        <w:t xml:space="preserve"> of domestic violence can seek the assistance of police without fear</w:t>
      </w:r>
      <w:r w:rsidR="00254203">
        <w:t xml:space="preserve"> by </w:t>
      </w:r>
      <w:r w:rsidR="00254203" w:rsidRPr="002A52F4">
        <w:t>end</w:t>
      </w:r>
      <w:r w:rsidR="00254203">
        <w:t>ing</w:t>
      </w:r>
      <w:r w:rsidR="00254203" w:rsidRPr="002A52F4">
        <w:t xml:space="preserve"> the requirement for police to share data of victims of crime </w:t>
      </w:r>
      <w:r w:rsidR="00254203">
        <w:t xml:space="preserve">with immigration enforcement, and taking </w:t>
      </w:r>
      <w:r w:rsidR="00254203" w:rsidRPr="002A52F4">
        <w:t>steps to protect and support all survivors regardless of their immigration status</w:t>
      </w:r>
      <w:r>
        <w:t>.</w:t>
      </w:r>
    </w:p>
    <w:p w14:paraId="66EC6114" w14:textId="77777777" w:rsidR="00254203" w:rsidRDefault="00254203" w:rsidP="00254203">
      <w:pPr>
        <w:spacing w:after="160" w:line="259" w:lineRule="auto"/>
        <w:rPr>
          <w:rFonts w:ascii="Calibri Light" w:eastAsia="Times New Roman" w:hAnsi="Calibri Light"/>
          <w:b/>
          <w:bCs/>
          <w:color w:val="2E74B5"/>
          <w:sz w:val="28"/>
          <w:szCs w:val="28"/>
        </w:rPr>
      </w:pPr>
      <w:r>
        <w:rPr>
          <w:rFonts w:ascii="Calibri Light" w:eastAsia="Times New Roman" w:hAnsi="Calibri Light"/>
          <w:b/>
          <w:bCs/>
          <w:color w:val="2E74B5"/>
          <w:sz w:val="28"/>
          <w:szCs w:val="28"/>
        </w:rPr>
        <w:br w:type="page"/>
      </w:r>
    </w:p>
    <w:p w14:paraId="15552D1C" w14:textId="77777777" w:rsidR="00254203" w:rsidRDefault="00254203" w:rsidP="00254203">
      <w:pPr>
        <w:pStyle w:val="Title-chapterpink"/>
        <w:spacing w:after="0"/>
      </w:pPr>
      <w:bookmarkStart w:id="48" w:name="_Toc534726632"/>
      <w:r w:rsidRPr="000C72DF">
        <w:lastRenderedPageBreak/>
        <w:t>7. Adequate standard of living and social security</w:t>
      </w:r>
      <w:r>
        <w:t>:</w:t>
      </w:r>
      <w:bookmarkEnd w:id="48"/>
      <w:r>
        <w:t xml:space="preserve"> </w:t>
      </w:r>
    </w:p>
    <w:p w14:paraId="7FB053C6" w14:textId="28E08049" w:rsidR="00254203" w:rsidRPr="000C72DF" w:rsidRDefault="00254203" w:rsidP="00254203">
      <w:pPr>
        <w:pStyle w:val="Title-chapterpink"/>
      </w:pPr>
      <w:bookmarkStart w:id="49" w:name="_Toc516151032"/>
      <w:bookmarkStart w:id="50" w:name="_Toc534726633"/>
      <w:r w:rsidRPr="003F699A">
        <w:rPr>
          <w:color w:val="auto"/>
          <w:sz w:val="36"/>
          <w:szCs w:val="36"/>
        </w:rPr>
        <w:t>relates to</w:t>
      </w:r>
      <w:r w:rsidR="00BA33B1">
        <w:rPr>
          <w:color w:val="auto"/>
          <w:sz w:val="36"/>
          <w:szCs w:val="36"/>
        </w:rPr>
        <w:t xml:space="preserve"> LoI paragraphs 5 and 21,</w:t>
      </w:r>
      <w:r w:rsidRPr="003F699A">
        <w:rPr>
          <w:color w:val="auto"/>
          <w:sz w:val="36"/>
          <w:szCs w:val="36"/>
        </w:rPr>
        <w:t xml:space="preserve"> articles 2, 3, 13 and 14, CO paragraphs 21, 61.b and 63, and SDGs 1, 3, 5, 8 10 and 11</w:t>
      </w:r>
      <w:bookmarkEnd w:id="49"/>
      <w:bookmarkEnd w:id="50"/>
    </w:p>
    <w:p w14:paraId="2A8AD382" w14:textId="77777777" w:rsidR="00254203" w:rsidRDefault="00254203" w:rsidP="00254203">
      <w:pPr>
        <w:pStyle w:val="Title-sectionspink"/>
        <w:rPr>
          <w:rFonts w:eastAsia="Calibri"/>
        </w:rPr>
      </w:pPr>
      <w:bookmarkStart w:id="51" w:name="_Toc534726634"/>
      <w:r>
        <w:rPr>
          <w:rFonts w:eastAsia="Calibri"/>
        </w:rPr>
        <w:t>Cumulative impact of welfare and tax changes</w:t>
      </w:r>
      <w:bookmarkEnd w:id="51"/>
    </w:p>
    <w:p w14:paraId="12727E07" w14:textId="6EB87078" w:rsidR="00254203" w:rsidRPr="002A52F4" w:rsidRDefault="00254203" w:rsidP="005C5785">
      <w:pPr>
        <w:pStyle w:val="Parabeforeanother"/>
      </w:pPr>
      <w:r w:rsidRPr="002A52F4">
        <w:t>The EHRC’s report ‘The cumulative impact of tax and welfare reforms’ assessed all tax and welfare spending changes made between May 2010 and January 2018, and what impact these will have had on</w:t>
      </w:r>
      <w:r>
        <w:t xml:space="preserve"> women and other</w:t>
      </w:r>
      <w:r w:rsidRPr="002A52F4">
        <w:t xml:space="preserve"> people sharing different protected cha</w:t>
      </w:r>
      <w:r>
        <w:t>racteristics in the year 2022.</w:t>
      </w:r>
      <w:r>
        <w:rPr>
          <w:rStyle w:val="FootnoteReference"/>
        </w:rPr>
        <w:footnoteReference w:id="151"/>
      </w:r>
      <w:r>
        <w:t xml:space="preserve"> </w:t>
      </w:r>
    </w:p>
    <w:p w14:paraId="7D01904C" w14:textId="2F4EE28A" w:rsidR="00254203" w:rsidRPr="002A52F4" w:rsidRDefault="00254203" w:rsidP="005C5785">
      <w:pPr>
        <w:pStyle w:val="Parabeforeanother"/>
      </w:pPr>
      <w:r w:rsidRPr="002A52F4">
        <w:t>Initial findings from our companion report</w:t>
      </w:r>
      <w:r>
        <w:t xml:space="preserve"> published in November 2018</w:t>
      </w:r>
      <w:r w:rsidRPr="002A52F4">
        <w:t>, ‘The cumulative impact on living standards</w:t>
      </w:r>
      <w:r>
        <w:t xml:space="preserve"> of public spending changes’ </w:t>
      </w:r>
      <w:r w:rsidRPr="002A52F4">
        <w:t>found that the combined impact of tax and welfare reforms and other public spending changes on final income has the biggest impact on lone</w:t>
      </w:r>
      <w:r w:rsidR="00302DE5">
        <w:t>-</w:t>
      </w:r>
      <w:r w:rsidRPr="002A52F4">
        <w:t xml:space="preserve">parent households </w:t>
      </w:r>
      <w:r w:rsidR="00875141">
        <w:t>– 90% of which are lone women</w:t>
      </w:r>
      <w:r w:rsidR="00875141">
        <w:rPr>
          <w:rStyle w:val="FootnoteReference"/>
        </w:rPr>
        <w:footnoteReference w:id="152"/>
      </w:r>
      <w:r w:rsidR="00875141">
        <w:t xml:space="preserve"> – </w:t>
      </w:r>
      <w:r w:rsidRPr="002A52F4">
        <w:t>in all three countries. In England, their losses are around 18.7%, compared to 10.5% in Wales and 7.6% in Scotland. In England and Scotland, female lone</w:t>
      </w:r>
      <w:r w:rsidR="00302DE5">
        <w:t>-</w:t>
      </w:r>
      <w:r w:rsidRPr="002A52F4">
        <w:t>parent households experience greater losses than male lone</w:t>
      </w:r>
      <w:r w:rsidR="00302DE5">
        <w:t>-</w:t>
      </w:r>
      <w:r w:rsidRPr="002A52F4">
        <w:t>parent households.</w:t>
      </w:r>
      <w:r w:rsidRPr="002A52F4">
        <w:rPr>
          <w:rStyle w:val="FootnoteReference"/>
        </w:rPr>
        <w:footnoteReference w:id="153"/>
      </w:r>
    </w:p>
    <w:p w14:paraId="4EFF076A" w14:textId="1156BF1D" w:rsidR="00254203" w:rsidRPr="005C5785" w:rsidRDefault="00254203" w:rsidP="005C5785">
      <w:pPr>
        <w:pStyle w:val="Parabeforeanother"/>
        <w:rPr>
          <w:i/>
        </w:rPr>
      </w:pPr>
      <w:r w:rsidRPr="002A52F4">
        <w:t xml:space="preserve">The Women’s Budget Group’s recent research into the causes and consequences of economic deprivation for women found that poverty is gendered, with the position of women in the labour market, the design of social security and women’s roles within </w:t>
      </w:r>
      <w:r w:rsidRPr="002A52F4">
        <w:lastRenderedPageBreak/>
        <w:t xml:space="preserve">the family all contributing to women’s vulnerability to poverty. It found that homelessness is particularly prevalent among </w:t>
      </w:r>
      <w:r w:rsidR="009C5812">
        <w:t>loan</w:t>
      </w:r>
      <w:r w:rsidRPr="002A52F4">
        <w:t xml:space="preserve"> parents, with nearly half (47%) of homeless households being </w:t>
      </w:r>
      <w:r w:rsidR="009C5812">
        <w:t>loan</w:t>
      </w:r>
      <w:r w:rsidR="00302DE5">
        <w:t>-</w:t>
      </w:r>
      <w:r w:rsidRPr="002A52F4">
        <w:t>mother households.</w:t>
      </w:r>
      <w:r w:rsidRPr="002A52F4">
        <w:rPr>
          <w:rStyle w:val="FootnoteReference"/>
        </w:rPr>
        <w:footnoteReference w:id="154"/>
      </w:r>
      <w:r w:rsidR="005C5785">
        <w:rPr>
          <w:i/>
        </w:rPr>
        <w:t xml:space="preserve"> </w:t>
      </w:r>
    </w:p>
    <w:p w14:paraId="3E6723B0" w14:textId="0AE6EC1F" w:rsidR="00254203" w:rsidRPr="002A52F4" w:rsidRDefault="00254203" w:rsidP="005C5785">
      <w:pPr>
        <w:pStyle w:val="Parabeforenewsubsection"/>
      </w:pPr>
      <w:r>
        <w:t>A number of the concerns outlined above were also highlighted by the UN Special Rapporteur on extreme poverty, who conducted an official visit to the UK in November 2018.</w:t>
      </w:r>
      <w:r>
        <w:rPr>
          <w:rStyle w:val="FootnoteReference"/>
        </w:rPr>
        <w:footnoteReference w:id="155"/>
      </w:r>
      <w:r>
        <w:t xml:space="preserve"> </w:t>
      </w:r>
    </w:p>
    <w:p w14:paraId="0ACEBE2F" w14:textId="6651A3B7" w:rsidR="00254203" w:rsidRDefault="00254203" w:rsidP="005C5785">
      <w:pPr>
        <w:pStyle w:val="Title-subsections"/>
      </w:pPr>
      <w:r>
        <w:t>R</w:t>
      </w:r>
      <w:r w:rsidRPr="00920C8D">
        <w:t>ecommendations</w:t>
      </w:r>
    </w:p>
    <w:p w14:paraId="366FCD23" w14:textId="71358E38" w:rsidR="00302DE5" w:rsidRPr="005C5785" w:rsidRDefault="00254203" w:rsidP="005C5785">
      <w:pPr>
        <w:pStyle w:val="Parabeforebulletss"/>
      </w:pPr>
      <w:r>
        <w:t>The</w:t>
      </w:r>
      <w:r w:rsidR="002806AC">
        <w:t xml:space="preserve"> EHRC recommends that the</w:t>
      </w:r>
      <w:r>
        <w:t xml:space="preserve"> </w:t>
      </w:r>
      <w:r w:rsidRPr="00920C8D">
        <w:t>UK Government should:</w:t>
      </w:r>
    </w:p>
    <w:p w14:paraId="42D5A778" w14:textId="74953390" w:rsidR="00254203" w:rsidRPr="00453C19" w:rsidRDefault="00302DE5" w:rsidP="005C5785">
      <w:pPr>
        <w:pStyle w:val="Bullet-followedbyothers"/>
      </w:pPr>
      <w:r>
        <w:t>m</w:t>
      </w:r>
      <w:r w:rsidR="00254203" w:rsidRPr="00453C19">
        <w:t>itigate the impact of welfare reform measures on lone</w:t>
      </w:r>
      <w:r>
        <w:t>-</w:t>
      </w:r>
      <w:r w:rsidR="00254203" w:rsidRPr="00453C19">
        <w:t>parent families, the majority of which are women, by:</w:t>
      </w:r>
    </w:p>
    <w:p w14:paraId="19867C04" w14:textId="52A8A8FA" w:rsidR="00254203" w:rsidRPr="00920C8D" w:rsidRDefault="00302DE5" w:rsidP="005C5785">
      <w:pPr>
        <w:pStyle w:val="Bullets-sub-bullets"/>
      </w:pPr>
      <w:r>
        <w:t>u</w:t>
      </w:r>
      <w:r w:rsidR="00254203">
        <w:t>prating</w:t>
      </w:r>
      <w:r w:rsidR="00254203" w:rsidRPr="00920C8D">
        <w:t xml:space="preserve"> all benefits in line with inflation and review the level of benefits to ensure it meets adequate living standards</w:t>
      </w:r>
    </w:p>
    <w:p w14:paraId="57505BA0" w14:textId="0DF31EBA" w:rsidR="00254203" w:rsidRPr="00920C8D" w:rsidRDefault="00302DE5" w:rsidP="005C5785">
      <w:pPr>
        <w:pStyle w:val="Bullets-sub-bullets"/>
      </w:pPr>
      <w:r>
        <w:t>r</w:t>
      </w:r>
      <w:r w:rsidR="00254203" w:rsidRPr="00920C8D">
        <w:t>everse the two</w:t>
      </w:r>
      <w:r>
        <w:t>-</w:t>
      </w:r>
      <w:r w:rsidR="00254203" w:rsidRPr="00920C8D">
        <w:t xml:space="preserve">child limit on </w:t>
      </w:r>
      <w:r>
        <w:t>c</w:t>
      </w:r>
      <w:r w:rsidR="00254203" w:rsidRPr="00920C8D">
        <w:t xml:space="preserve">hild </w:t>
      </w:r>
      <w:r w:rsidR="00AA336D">
        <w:t>t</w:t>
      </w:r>
      <w:r w:rsidR="00254203" w:rsidRPr="00920C8D">
        <w:t xml:space="preserve">ax </w:t>
      </w:r>
      <w:r w:rsidR="00AA336D">
        <w:t>c</w:t>
      </w:r>
      <w:r w:rsidR="00254203" w:rsidRPr="00920C8D">
        <w:t>redits within Universal Credit</w:t>
      </w:r>
      <w:r w:rsidR="002806AC">
        <w:t xml:space="preserve"> </w:t>
      </w:r>
    </w:p>
    <w:p w14:paraId="40D7EF7A" w14:textId="5005B371" w:rsidR="00254203" w:rsidRPr="00920C8D" w:rsidRDefault="00AA336D" w:rsidP="005C5785">
      <w:pPr>
        <w:pStyle w:val="Bullets-sub-bullets"/>
      </w:pPr>
      <w:r>
        <w:t>c</w:t>
      </w:r>
      <w:r w:rsidR="00254203" w:rsidRPr="00920C8D">
        <w:t>arry out an equality impact assessment of the conditionality and sanctions system on claimants to ensure that sanctions are not disproportionately applied, and conditionality is reasonable and based on flexibility of easements, specifically for lone</w:t>
      </w:r>
      <w:r>
        <w:t>-</w:t>
      </w:r>
      <w:r w:rsidR="00254203" w:rsidRPr="00920C8D">
        <w:t xml:space="preserve">parent families, </w:t>
      </w:r>
      <w:r>
        <w:t xml:space="preserve">ethnic minority </w:t>
      </w:r>
      <w:r w:rsidR="00254203" w:rsidRPr="00920C8D">
        <w:t>groups and disabled people</w:t>
      </w:r>
    </w:p>
    <w:p w14:paraId="370AF9CE" w14:textId="37EFCC92" w:rsidR="00254203" w:rsidRPr="00920C8D" w:rsidRDefault="00AA336D" w:rsidP="005C5785">
      <w:pPr>
        <w:pStyle w:val="Bullets-sub-bullets"/>
      </w:pPr>
      <w:r>
        <w:t>i</w:t>
      </w:r>
      <w:r w:rsidR="00254203" w:rsidRPr="00920C8D">
        <w:t xml:space="preserve">ntroduce publicly available service standards for the social security system </w:t>
      </w:r>
      <w:r>
        <w:t>that</w:t>
      </w:r>
      <w:r w:rsidR="00254203" w:rsidRPr="00920C8D">
        <w:t xml:space="preserve"> set out the rights of claimants, are fair and accessible, and measured and reported on</w:t>
      </w:r>
      <w:r w:rsidR="005C5785">
        <w:t>, and</w:t>
      </w:r>
    </w:p>
    <w:p w14:paraId="1012F44A" w14:textId="59C1E0FD" w:rsidR="00254203" w:rsidRPr="00036260" w:rsidRDefault="00AA336D" w:rsidP="005C5785">
      <w:pPr>
        <w:pStyle w:val="Bullets-sub-bullets"/>
        <w:spacing w:after="680"/>
      </w:pPr>
      <w:r>
        <w:t>e</w:t>
      </w:r>
      <w:r w:rsidR="00254203" w:rsidRPr="00920C8D">
        <w:t xml:space="preserve">nsure that work coaches are trained to deliver tailored employment support, providing evidence of the steps taken to ensure that the specific needs of lone parents are being met. </w:t>
      </w:r>
    </w:p>
    <w:p w14:paraId="423279F9" w14:textId="77777777" w:rsidR="00254203" w:rsidRPr="00B63378" w:rsidRDefault="00254203" w:rsidP="00254203">
      <w:pPr>
        <w:pStyle w:val="Title-sectionspink"/>
      </w:pPr>
      <w:bookmarkStart w:id="52" w:name="_Toc534726635"/>
      <w:r w:rsidRPr="00B63378">
        <w:t>Specific changes to the social security system</w:t>
      </w:r>
      <w:bookmarkEnd w:id="52"/>
      <w:r w:rsidRPr="00B63378">
        <w:t xml:space="preserve"> </w:t>
      </w:r>
    </w:p>
    <w:p w14:paraId="722D3C29" w14:textId="1CA72EE5" w:rsidR="00254203" w:rsidRPr="00073749" w:rsidRDefault="00254203" w:rsidP="005C5785">
      <w:pPr>
        <w:pStyle w:val="Parabeforeanother"/>
      </w:pPr>
      <w:r w:rsidRPr="00073749">
        <w:t>In August 2018, the UK Parliament’s Work and Pension</w:t>
      </w:r>
      <w:r w:rsidR="000F6DE0">
        <w:t>s</w:t>
      </w:r>
      <w:r w:rsidRPr="00073749">
        <w:t xml:space="preserve"> Committee published a report on the issue of Universal Credit </w:t>
      </w:r>
      <w:r w:rsidR="00875141">
        <w:t xml:space="preserve">being used as a coercive measure in </w:t>
      </w:r>
      <w:r w:rsidR="00875141">
        <w:lastRenderedPageBreak/>
        <w:t>situations of</w:t>
      </w:r>
      <w:r w:rsidRPr="00073749">
        <w:t xml:space="preserve"> domestic abuse.</w:t>
      </w:r>
      <w:r w:rsidRPr="00073749">
        <w:rPr>
          <w:vertAlign w:val="superscript"/>
        </w:rPr>
        <w:footnoteReference w:id="156"/>
      </w:r>
      <w:r w:rsidRPr="00073749">
        <w:t xml:space="preserve"> Based on written evidence from over 200 organisations and individuals, including the EHRC,</w:t>
      </w:r>
      <w:r w:rsidRPr="00073749">
        <w:rPr>
          <w:vertAlign w:val="superscript"/>
        </w:rPr>
        <w:footnoteReference w:id="157"/>
      </w:r>
      <w:r w:rsidRPr="00073749">
        <w:t xml:space="preserve"> the </w:t>
      </w:r>
      <w:r w:rsidR="00FE59B7">
        <w:t>c</w:t>
      </w:r>
      <w:r w:rsidRPr="00073749">
        <w:t xml:space="preserve">ommittee stated that the UK Government should </w:t>
      </w:r>
      <w:r w:rsidR="00FE59B7">
        <w:t>‘</w:t>
      </w:r>
      <w:r w:rsidRPr="00073749">
        <w:t>publish all existing data on split payment requests</w:t>
      </w:r>
      <w:r w:rsidR="00FE59B7">
        <w:t>’</w:t>
      </w:r>
      <w:r w:rsidRPr="00073749">
        <w:t xml:space="preserve"> and support the Scottish Government to </w:t>
      </w:r>
      <w:r w:rsidR="00FE59B7">
        <w:t>‘</w:t>
      </w:r>
      <w:r w:rsidRPr="00073749">
        <w:t>pilot different approaches to split payments in Scotland as soon as possible</w:t>
      </w:r>
      <w:r w:rsidR="00FE59B7">
        <w:t>’</w:t>
      </w:r>
      <w:r w:rsidRPr="00073749">
        <w:t xml:space="preserve">. </w:t>
      </w:r>
    </w:p>
    <w:p w14:paraId="4C69D2D3" w14:textId="4A26BA15" w:rsidR="00254203" w:rsidRPr="00073749" w:rsidRDefault="00254203" w:rsidP="005C5785">
      <w:pPr>
        <w:pStyle w:val="Parabeforebulletss"/>
      </w:pPr>
      <w:r w:rsidRPr="00073749">
        <w:t xml:space="preserve">The </w:t>
      </w:r>
      <w:r w:rsidR="00711CCC">
        <w:t>c</w:t>
      </w:r>
      <w:r w:rsidRPr="00073749">
        <w:t>ommittee also recommended that the UK Government:</w:t>
      </w:r>
    </w:p>
    <w:p w14:paraId="12C9D214" w14:textId="4D1FC936" w:rsidR="00254203" w:rsidRPr="007E0917" w:rsidRDefault="00711CCC" w:rsidP="005C5785">
      <w:pPr>
        <w:pStyle w:val="Bullet-followedbyothers"/>
      </w:pPr>
      <w:r>
        <w:t>p</w:t>
      </w:r>
      <w:r w:rsidR="00254203" w:rsidRPr="007E0917">
        <w:t xml:space="preserve">rovide training for </w:t>
      </w:r>
      <w:r>
        <w:t>w</w:t>
      </w:r>
      <w:r w:rsidR="00254203" w:rsidRPr="007E0917">
        <w:t xml:space="preserve">ork </w:t>
      </w:r>
      <w:r>
        <w:t>c</w:t>
      </w:r>
      <w:r w:rsidR="00254203" w:rsidRPr="007E0917">
        <w:t>oaches to identify the warning signs of abuse</w:t>
      </w:r>
    </w:p>
    <w:p w14:paraId="638D128B" w14:textId="6AC8CB8A" w:rsidR="00254203" w:rsidRPr="007E0917" w:rsidRDefault="00711CCC" w:rsidP="005C5785">
      <w:pPr>
        <w:pStyle w:val="Bullet-followedbyothers"/>
      </w:pPr>
      <w:r>
        <w:t>a</w:t>
      </w:r>
      <w:r w:rsidR="00254203" w:rsidRPr="007E0917">
        <w:t>ppoint domestic abuse specialists in every Jobcentre Plus</w:t>
      </w:r>
      <w:r w:rsidR="005C5785">
        <w:t>, and</w:t>
      </w:r>
    </w:p>
    <w:p w14:paraId="360D5110" w14:textId="1DFBB58E" w:rsidR="00254203" w:rsidRPr="00B9362C" w:rsidRDefault="00711CCC" w:rsidP="005C5785">
      <w:pPr>
        <w:pStyle w:val="Bullet-lastingroup"/>
      </w:pPr>
      <w:r>
        <w:t>p</w:t>
      </w:r>
      <w:r w:rsidR="00254203" w:rsidRPr="007E0917">
        <w:t>ay Universal Credit to the main carer by default.</w:t>
      </w:r>
    </w:p>
    <w:p w14:paraId="65BBC650" w14:textId="5507F949" w:rsidR="00254203" w:rsidRPr="00073749" w:rsidRDefault="00254203" w:rsidP="005C5785">
      <w:pPr>
        <w:pStyle w:val="Parabeforeanother"/>
      </w:pPr>
      <w:r w:rsidRPr="00073749">
        <w:t>The UK Government has responded to this report, including evidence that just 20 households have taken up split payments to date</w:t>
      </w:r>
      <w:r w:rsidR="00711CCC">
        <w:t>;</w:t>
      </w:r>
      <w:r w:rsidRPr="00073749">
        <w:t xml:space="preserve"> however</w:t>
      </w:r>
      <w:r w:rsidR="00711CCC">
        <w:t>,</w:t>
      </w:r>
      <w:r w:rsidRPr="00073749">
        <w:t xml:space="preserve"> it confirmed that it is not collecting any data on the reasons why split payments have been requested.</w:t>
      </w:r>
      <w:r w:rsidRPr="00073749">
        <w:rPr>
          <w:vertAlign w:val="superscript"/>
        </w:rPr>
        <w:footnoteReference w:id="158"/>
      </w:r>
    </w:p>
    <w:p w14:paraId="6FB3E831" w14:textId="7B428A71" w:rsidR="00254203" w:rsidRPr="00073749" w:rsidRDefault="00254203" w:rsidP="005C5785">
      <w:pPr>
        <w:pStyle w:val="Parabeforebulletss"/>
      </w:pPr>
      <w:r w:rsidRPr="00073749">
        <w:t xml:space="preserve">The Women’s Budget Group published a report on </w:t>
      </w:r>
      <w:r>
        <w:t>Universal Credit and domestic abuse</w:t>
      </w:r>
      <w:r w:rsidRPr="00073749">
        <w:t xml:space="preserve"> in June 2018, which raise</w:t>
      </w:r>
      <w:r>
        <w:t>d other concerns about the way the benefit</w:t>
      </w:r>
      <w:r w:rsidRPr="00073749">
        <w:t xml:space="preserve"> has been designed and implemented.</w:t>
      </w:r>
      <w:r w:rsidRPr="00073749">
        <w:rPr>
          <w:vertAlign w:val="superscript"/>
        </w:rPr>
        <w:footnoteReference w:id="159"/>
      </w:r>
      <w:r w:rsidRPr="00073749">
        <w:t xml:space="preserve"> These included</w:t>
      </w:r>
      <w:r w:rsidR="00711CCC">
        <w:t xml:space="preserve"> that</w:t>
      </w:r>
      <w:r w:rsidRPr="00073749">
        <w:t>:</w:t>
      </w:r>
    </w:p>
    <w:p w14:paraId="63DF86AD" w14:textId="43182CE9" w:rsidR="00254203" w:rsidRPr="00073749" w:rsidRDefault="00254203" w:rsidP="005C5785">
      <w:pPr>
        <w:pStyle w:val="Bullet-followedbyothers"/>
      </w:pPr>
      <w:r w:rsidRPr="00073749">
        <w:t>it weakens incentives to enter employment or to earn more for many ‘second earners’ (often women)</w:t>
      </w:r>
    </w:p>
    <w:p w14:paraId="113E83D3" w14:textId="5B3C867D" w:rsidR="00254203" w:rsidRPr="00073749" w:rsidRDefault="00254203" w:rsidP="005C5785">
      <w:pPr>
        <w:pStyle w:val="Bullet-followedbyothers"/>
      </w:pPr>
      <w:r w:rsidRPr="00073749">
        <w:t>it can polarise a couple’s choices through assuming that one is the</w:t>
      </w:r>
      <w:r w:rsidR="005C5785">
        <w:t xml:space="preserve"> carer and the other the earner, and</w:t>
      </w:r>
    </w:p>
    <w:p w14:paraId="2653FB7D" w14:textId="5515BDB8" w:rsidR="00254203" w:rsidRPr="00073749" w:rsidRDefault="00254203" w:rsidP="005C5785">
      <w:pPr>
        <w:pStyle w:val="Bullet-followedbyothers"/>
        <w:spacing w:after="420"/>
      </w:pPr>
      <w:r w:rsidRPr="00073749">
        <w:t>rules that exempt survivors of domestic abuse from work-related conditionality are inconsistently applied and unavailable when the survivor is still living with an abusive partner.</w:t>
      </w:r>
    </w:p>
    <w:p w14:paraId="7EE3A8F9" w14:textId="77777777" w:rsidR="00254203" w:rsidRPr="00212E21" w:rsidRDefault="00254203" w:rsidP="00254203">
      <w:pPr>
        <w:pStyle w:val="Title-subsections"/>
      </w:pPr>
      <w:r w:rsidRPr="00212E21">
        <w:t>Recommendations</w:t>
      </w:r>
    </w:p>
    <w:p w14:paraId="7ED64BFE" w14:textId="5D1167A6" w:rsidR="00254203" w:rsidRPr="00212E21" w:rsidRDefault="00254203" w:rsidP="005C5785">
      <w:pPr>
        <w:pStyle w:val="Parabeforebulletss"/>
      </w:pPr>
      <w:r w:rsidRPr="00212E21">
        <w:t>The</w:t>
      </w:r>
      <w:r w:rsidR="002806AC">
        <w:t xml:space="preserve"> EHRC recommends that the</w:t>
      </w:r>
      <w:r w:rsidRPr="00212E21">
        <w:t xml:space="preserve"> </w:t>
      </w:r>
      <w:r>
        <w:t xml:space="preserve">UK </w:t>
      </w:r>
      <w:r w:rsidRPr="005C5785">
        <w:t>Government</w:t>
      </w:r>
      <w:r>
        <w:t xml:space="preserve"> should</w:t>
      </w:r>
      <w:r w:rsidRPr="00212E21">
        <w:t>:</w:t>
      </w:r>
    </w:p>
    <w:p w14:paraId="5235C6DC" w14:textId="78BD4823" w:rsidR="00254203" w:rsidRDefault="00254203" w:rsidP="005C5785">
      <w:pPr>
        <w:pStyle w:val="Bullet-lastingroup"/>
        <w:spacing w:after="680"/>
      </w:pPr>
      <w:r w:rsidRPr="00212E21">
        <w:lastRenderedPageBreak/>
        <w:t>undertake a</w:t>
      </w:r>
      <w:r>
        <w:t xml:space="preserve"> further equality impact assessment of Universal Credit and offer split payments as standard, and, in the interim, ensure that the current system of single payments to a couple includes improved and robust safeguards for wo</w:t>
      </w:r>
      <w:r w:rsidR="005C5785">
        <w:t>men experiencing domestic abuse.</w:t>
      </w:r>
    </w:p>
    <w:p w14:paraId="741AC05C" w14:textId="77777777" w:rsidR="00254203" w:rsidRPr="00B63378" w:rsidRDefault="00254203" w:rsidP="00254203">
      <w:pPr>
        <w:pStyle w:val="Title-sectionspink"/>
      </w:pPr>
      <w:bookmarkStart w:id="53" w:name="_Toc534726636"/>
      <w:r>
        <w:t>Changes to the state</w:t>
      </w:r>
      <w:r w:rsidRPr="00B63378">
        <w:t xml:space="preserve"> </w:t>
      </w:r>
      <w:r>
        <w:t>pension age</w:t>
      </w:r>
      <w:bookmarkEnd w:id="53"/>
      <w:r w:rsidRPr="00B63378">
        <w:t xml:space="preserve"> </w:t>
      </w:r>
    </w:p>
    <w:p w14:paraId="12186342" w14:textId="2496F0A0" w:rsidR="00254203" w:rsidRDefault="00254203" w:rsidP="005C5785">
      <w:pPr>
        <w:pStyle w:val="Parabeforeanother"/>
      </w:pPr>
      <w:r>
        <w:t xml:space="preserve">Parliamentarians and other stakeholders continue to raise concerns over how changes to women’s state pension age (SPA) have </w:t>
      </w:r>
      <w:r w:rsidR="00A462B9">
        <w:t>affe</w:t>
      </w:r>
      <w:r>
        <w:t>cted women born in the 1950s. According to one parliamentary question, by June 2018, 3,521 complaints of maladministration relating to the equalisation of women’s state pension age had been received by the Independent Case Examiner (ICE).</w:t>
      </w:r>
      <w:r>
        <w:rPr>
          <w:rStyle w:val="FootnoteReference"/>
        </w:rPr>
        <w:footnoteReference w:id="160"/>
      </w:r>
      <w:r>
        <w:t xml:space="preserve"> Another written question revealed that as of</w:t>
      </w:r>
      <w:r w:rsidRPr="00DD5F40">
        <w:t xml:space="preserve"> October 2018,</w:t>
      </w:r>
      <w:r>
        <w:t xml:space="preserve"> </w:t>
      </w:r>
      <w:r w:rsidRPr="00DD5F40">
        <w:t xml:space="preserve">865 </w:t>
      </w:r>
      <w:r>
        <w:t>cases were</w:t>
      </w:r>
      <w:r w:rsidRPr="00DD5F40">
        <w:t xml:space="preserve"> awaiting a</w:t>
      </w:r>
      <w:r>
        <w:t>n initial</w:t>
      </w:r>
      <w:r w:rsidRPr="00DD5F40">
        <w:t xml:space="preserve"> decision</w:t>
      </w:r>
      <w:r>
        <w:t xml:space="preserve"> as to whether they would be accepted for investigation by </w:t>
      </w:r>
      <w:r w:rsidR="00A462B9">
        <w:t xml:space="preserve">the </w:t>
      </w:r>
      <w:r>
        <w:t>ICE.</w:t>
      </w:r>
      <w:r>
        <w:rPr>
          <w:rStyle w:val="FootnoteReference"/>
        </w:rPr>
        <w:footnoteReference w:id="161"/>
      </w:r>
      <w:r>
        <w:t xml:space="preserve"> According to extensive reporting in </w:t>
      </w:r>
      <w:r>
        <w:rPr>
          <w:i/>
        </w:rPr>
        <w:t>FT Adviser,</w:t>
      </w:r>
      <w:r>
        <w:t xml:space="preserve"> the handling of these cases is now being escalated to the Parliamentary and Health Service Ombudsman.</w:t>
      </w:r>
      <w:r>
        <w:rPr>
          <w:rStyle w:val="FootnoteReference"/>
        </w:rPr>
        <w:footnoteReference w:id="162"/>
      </w:r>
      <w:r>
        <w:t xml:space="preserve"> </w:t>
      </w:r>
    </w:p>
    <w:p w14:paraId="60C5E0A1" w14:textId="54D75BB9" w:rsidR="00254203" w:rsidRPr="00146814" w:rsidRDefault="00254203" w:rsidP="005C5785">
      <w:pPr>
        <w:pStyle w:val="Parabeforenewsubsection"/>
      </w:pPr>
      <w:r>
        <w:t xml:space="preserve">This issue was raised by the UN Special Rapporteur on extreme poverty during a recent visit to the UK. His statement noted that women </w:t>
      </w:r>
      <w:r w:rsidR="00A462B9">
        <w:t>affect</w:t>
      </w:r>
      <w:r>
        <w:t xml:space="preserve">ed by these changes were required to return to </w:t>
      </w:r>
      <w:r w:rsidR="00A462B9">
        <w:t>‘</w:t>
      </w:r>
      <w:r w:rsidRPr="007A3810">
        <w:t>a workforce for which many of them were ill-prepared and to which they could not reasonably have been expected to adjust with no notice</w:t>
      </w:r>
      <w:r w:rsidR="00A462B9">
        <w:t>’</w:t>
      </w:r>
      <w:r>
        <w:t>.</w:t>
      </w:r>
      <w:r>
        <w:rPr>
          <w:rStyle w:val="FootnoteReference"/>
        </w:rPr>
        <w:footnoteReference w:id="163"/>
      </w:r>
      <w:r>
        <w:t xml:space="preserve"> Meanwhile the campaign group Back</w:t>
      </w:r>
      <w:r w:rsidR="004464E8">
        <w:t>T</w:t>
      </w:r>
      <w:r>
        <w:t>o60, which has coordinated various public actions on the changes to women’s state pension age, has received permission from the court to bring a legal challenge to the policy.</w:t>
      </w:r>
      <w:r>
        <w:rPr>
          <w:rStyle w:val="FootnoteReference"/>
        </w:rPr>
        <w:footnoteReference w:id="164"/>
      </w:r>
      <w:r>
        <w:t xml:space="preserve"> </w:t>
      </w:r>
    </w:p>
    <w:p w14:paraId="22476831" w14:textId="77777777" w:rsidR="00254203" w:rsidRPr="005B69DC" w:rsidRDefault="00254203" w:rsidP="00254203">
      <w:pPr>
        <w:pStyle w:val="Title-subsections"/>
        <w:spacing w:line="240" w:lineRule="auto"/>
      </w:pPr>
      <w:r w:rsidRPr="005B69DC">
        <w:lastRenderedPageBreak/>
        <w:t>Recommendations</w:t>
      </w:r>
    </w:p>
    <w:p w14:paraId="0ECDB86E" w14:textId="5D093306" w:rsidR="00A462B9" w:rsidRPr="00C61B3C" w:rsidRDefault="00254203" w:rsidP="005C5785">
      <w:pPr>
        <w:pStyle w:val="Parabeforebulletss"/>
      </w:pPr>
      <w:r w:rsidRPr="00C61B3C">
        <w:t xml:space="preserve">The </w:t>
      </w:r>
      <w:r w:rsidR="002806AC">
        <w:t xml:space="preserve">EHRC recommends that the </w:t>
      </w:r>
      <w:r w:rsidRPr="00C61B3C">
        <w:t xml:space="preserve">UK </w:t>
      </w:r>
      <w:r w:rsidRPr="005C5785">
        <w:t>Government</w:t>
      </w:r>
      <w:r w:rsidRPr="00C61B3C">
        <w:t xml:space="preserve"> should: </w:t>
      </w:r>
    </w:p>
    <w:p w14:paraId="2719029A" w14:textId="77777777" w:rsidR="00254203" w:rsidRPr="005C5785" w:rsidRDefault="00254203" w:rsidP="005C5785">
      <w:pPr>
        <w:pStyle w:val="Bullet-followedbyothers"/>
      </w:pPr>
      <w:r w:rsidRPr="005C5785">
        <w:t>consider introducing transitional arrangements for those most disadvantaged by the changes to the state pension age (SPA) within the cohort of women born in the 1950s</w:t>
      </w:r>
    </w:p>
    <w:p w14:paraId="058594C2" w14:textId="54A7E8FA" w:rsidR="00254203" w:rsidRPr="005C5785" w:rsidRDefault="00254203" w:rsidP="005C5785">
      <w:pPr>
        <w:pStyle w:val="Bullet-followedbyothers"/>
      </w:pPr>
      <w:r w:rsidRPr="005C5785">
        <w:t>undertake a comprehensive communications campaign setting out the SPA changes and their consequences, and where to access accurate, accessible information</w:t>
      </w:r>
      <w:r w:rsidR="005C5785">
        <w:t>, and</w:t>
      </w:r>
    </w:p>
    <w:p w14:paraId="0ABE9E77" w14:textId="54854A48" w:rsidR="00254203" w:rsidRPr="009C5812" w:rsidRDefault="00254203" w:rsidP="005C5785">
      <w:pPr>
        <w:pStyle w:val="Bullet-lastingroup"/>
        <w:rPr>
          <w:rFonts w:ascii="Calibri Light" w:eastAsia="Times New Roman" w:hAnsi="Calibri Light"/>
          <w:b/>
          <w:bCs/>
          <w:color w:val="5B9BD5"/>
          <w:sz w:val="26"/>
          <w:szCs w:val="26"/>
        </w:rPr>
      </w:pPr>
      <w:r>
        <w:t>m</w:t>
      </w:r>
      <w:r w:rsidRPr="00B123AE">
        <w:t>ake revisions to state pension statements in line with the</w:t>
      </w:r>
      <w:r>
        <w:t xml:space="preserve"> recommendations</w:t>
      </w:r>
      <w:r w:rsidRPr="00B123AE">
        <w:t xml:space="preserve"> made by the Work </w:t>
      </w:r>
      <w:r w:rsidRPr="005C5785">
        <w:t>and</w:t>
      </w:r>
      <w:r w:rsidRPr="00B123AE">
        <w:t xml:space="preserve"> Pensions</w:t>
      </w:r>
      <w:r>
        <w:t xml:space="preserve"> Committee.</w:t>
      </w:r>
    </w:p>
    <w:p w14:paraId="4DD1F719" w14:textId="77777777" w:rsidR="00254203" w:rsidRDefault="00254203" w:rsidP="00254203">
      <w:pPr>
        <w:spacing w:after="160" w:line="259" w:lineRule="auto"/>
        <w:rPr>
          <w:rFonts w:ascii="Georgia" w:eastAsia="Times New Roman" w:hAnsi="Georgia"/>
          <w:bCs/>
          <w:color w:val="D40F7D"/>
          <w:sz w:val="48"/>
          <w:szCs w:val="48"/>
        </w:rPr>
      </w:pPr>
      <w:r>
        <w:br w:type="page"/>
      </w:r>
    </w:p>
    <w:p w14:paraId="0B0158F2" w14:textId="77777777" w:rsidR="00254203" w:rsidRDefault="00254203" w:rsidP="00254203">
      <w:pPr>
        <w:pStyle w:val="Title-chapterpink"/>
        <w:spacing w:after="0"/>
      </w:pPr>
      <w:bookmarkStart w:id="54" w:name="_Toc534726637"/>
      <w:r w:rsidRPr="00783CB0">
        <w:lastRenderedPageBreak/>
        <w:t>8. Just and fair conditions of work</w:t>
      </w:r>
      <w:r>
        <w:t>:</w:t>
      </w:r>
      <w:bookmarkEnd w:id="54"/>
      <w:r>
        <w:t xml:space="preserve"> </w:t>
      </w:r>
    </w:p>
    <w:p w14:paraId="4DBDEDBE" w14:textId="1CCAAD9A" w:rsidR="00254203" w:rsidRPr="003F699A" w:rsidRDefault="00254203" w:rsidP="00254203">
      <w:pPr>
        <w:pStyle w:val="Title-chapterpink"/>
        <w:rPr>
          <w:color w:val="auto"/>
          <w:sz w:val="36"/>
          <w:szCs w:val="36"/>
        </w:rPr>
      </w:pPr>
      <w:bookmarkStart w:id="55" w:name="_Toc516151038"/>
      <w:bookmarkStart w:id="56" w:name="_Toc534726638"/>
      <w:r w:rsidRPr="003F699A">
        <w:rPr>
          <w:color w:val="auto"/>
          <w:sz w:val="36"/>
          <w:szCs w:val="36"/>
        </w:rPr>
        <w:t>relates</w:t>
      </w:r>
      <w:r w:rsidRPr="003F699A">
        <w:rPr>
          <w:sz w:val="36"/>
          <w:szCs w:val="36"/>
        </w:rPr>
        <w:t xml:space="preserve"> </w:t>
      </w:r>
      <w:r w:rsidRPr="003F699A">
        <w:rPr>
          <w:color w:val="auto"/>
          <w:sz w:val="36"/>
          <w:szCs w:val="36"/>
        </w:rPr>
        <w:t xml:space="preserve">to </w:t>
      </w:r>
      <w:r w:rsidR="00BA33B1">
        <w:rPr>
          <w:color w:val="auto"/>
          <w:sz w:val="36"/>
          <w:szCs w:val="36"/>
        </w:rPr>
        <w:t xml:space="preserve">LoI paragraphs 16 and 18, </w:t>
      </w:r>
      <w:r w:rsidRPr="003F699A">
        <w:rPr>
          <w:color w:val="auto"/>
          <w:sz w:val="36"/>
          <w:szCs w:val="36"/>
        </w:rPr>
        <w:t>articles 2, 5 and 11, CO paragraphs 47.a-d, 49, 59.b and 61.a and SDGs 4, 5, 8 and 9</w:t>
      </w:r>
      <w:bookmarkEnd w:id="55"/>
      <w:bookmarkEnd w:id="56"/>
    </w:p>
    <w:p w14:paraId="0A5663D9" w14:textId="77777777" w:rsidR="00254203" w:rsidRPr="00783CB0" w:rsidRDefault="00254203" w:rsidP="00254203">
      <w:pPr>
        <w:pStyle w:val="Title-sectionspink"/>
      </w:pPr>
      <w:bookmarkStart w:id="57" w:name="_Toc534726639"/>
      <w:r>
        <w:t>Women in work</w:t>
      </w:r>
      <w:bookmarkEnd w:id="57"/>
    </w:p>
    <w:p w14:paraId="74C62417" w14:textId="76BB2F45" w:rsidR="00254203" w:rsidRPr="00C95164" w:rsidRDefault="00254203" w:rsidP="00C95164">
      <w:pPr>
        <w:pStyle w:val="Parabeforeanother"/>
        <w:rPr>
          <w:lang w:val="en"/>
        </w:rPr>
      </w:pPr>
      <w:r w:rsidRPr="008662CF">
        <w:t>P</w:t>
      </w:r>
      <w:r w:rsidRPr="008662CF">
        <w:rPr>
          <w:lang w:val="en"/>
        </w:rPr>
        <w:t xml:space="preserve">lans </w:t>
      </w:r>
      <w:r w:rsidR="00CA5BCD">
        <w:rPr>
          <w:lang w:val="en"/>
        </w:rPr>
        <w:t>that</w:t>
      </w:r>
      <w:r w:rsidRPr="008662CF">
        <w:rPr>
          <w:lang w:val="en"/>
        </w:rPr>
        <w:t xml:space="preserve"> would have extended shared parental leave (SPL) to grandparents have been temporarily put on hold while the UK Government carries out an evaluation of the SPL policy.</w:t>
      </w:r>
      <w:r w:rsidRPr="008662CF">
        <w:rPr>
          <w:vertAlign w:val="superscript"/>
          <w:lang w:val="en"/>
        </w:rPr>
        <w:footnoteReference w:id="165"/>
      </w:r>
      <w:r w:rsidRPr="008662CF">
        <w:rPr>
          <w:lang w:val="en"/>
        </w:rPr>
        <w:t xml:space="preserve"> The findings of this evaluation are expected to be published in early 2019.</w:t>
      </w:r>
      <w:r w:rsidRPr="008662CF">
        <w:t xml:space="preserve"> Research conducted by</w:t>
      </w:r>
      <w:r w:rsidR="00CA5BCD">
        <w:t xml:space="preserve"> the </w:t>
      </w:r>
      <w:r w:rsidR="00CA5BCD" w:rsidRPr="00CA5BCD">
        <w:t xml:space="preserve">Chartered Institute of Personnel and Development </w:t>
      </w:r>
      <w:r w:rsidR="00CA5BCD">
        <w:t>(</w:t>
      </w:r>
      <w:r w:rsidRPr="008662CF">
        <w:rPr>
          <w:lang w:val="en"/>
        </w:rPr>
        <w:t>CIPD</w:t>
      </w:r>
      <w:r w:rsidR="00CA5BCD">
        <w:rPr>
          <w:lang w:val="en"/>
        </w:rPr>
        <w:t>)</w:t>
      </w:r>
      <w:r w:rsidRPr="008662CF">
        <w:rPr>
          <w:lang w:val="en"/>
        </w:rPr>
        <w:t xml:space="preserve"> showed that employers had mixed views about this proposal, with only around </w:t>
      </w:r>
      <w:r w:rsidR="00CA5BCD">
        <w:rPr>
          <w:lang w:val="en"/>
        </w:rPr>
        <w:t>one</w:t>
      </w:r>
      <w:r w:rsidRPr="008662CF">
        <w:rPr>
          <w:lang w:val="en"/>
        </w:rPr>
        <w:t xml:space="preserve"> in </w:t>
      </w:r>
      <w:r w:rsidR="00CA5BCD">
        <w:rPr>
          <w:lang w:val="en"/>
        </w:rPr>
        <w:t>four</w:t>
      </w:r>
      <w:r w:rsidRPr="008662CF">
        <w:rPr>
          <w:lang w:val="en"/>
        </w:rPr>
        <w:t xml:space="preserve"> welcoming the extension to grandparents.</w:t>
      </w:r>
      <w:r w:rsidRPr="008662CF">
        <w:rPr>
          <w:vertAlign w:val="superscript"/>
          <w:lang w:val="en"/>
        </w:rPr>
        <w:footnoteReference w:id="166"/>
      </w:r>
      <w:r w:rsidRPr="008662CF">
        <w:rPr>
          <w:lang w:val="en"/>
        </w:rPr>
        <w:t xml:space="preserve"> This has led CIPD to conclude that the UK Government </w:t>
      </w:r>
      <w:r w:rsidR="00CA5BCD">
        <w:rPr>
          <w:lang w:val="en"/>
        </w:rPr>
        <w:t>‘</w:t>
      </w:r>
      <w:r w:rsidRPr="008662CF">
        <w:rPr>
          <w:lang w:val="en"/>
        </w:rPr>
        <w:t>should concentrate in the more immediate term on tackling the barriers to greater uptake of SPL</w:t>
      </w:r>
      <w:r w:rsidR="00CA5BCD">
        <w:rPr>
          <w:lang w:val="en"/>
        </w:rPr>
        <w:t>’</w:t>
      </w:r>
      <w:r>
        <w:rPr>
          <w:lang w:val="en"/>
        </w:rPr>
        <w:t xml:space="preserve"> by parents</w:t>
      </w:r>
      <w:r w:rsidRPr="008662CF">
        <w:rPr>
          <w:lang w:val="en"/>
        </w:rPr>
        <w:t>.</w:t>
      </w:r>
      <w:r w:rsidRPr="008662CF">
        <w:rPr>
          <w:vertAlign w:val="superscript"/>
          <w:lang w:val="en"/>
        </w:rPr>
        <w:footnoteReference w:id="167"/>
      </w:r>
      <w:r w:rsidRPr="008662CF">
        <w:rPr>
          <w:lang w:val="en"/>
        </w:rPr>
        <w:t xml:space="preserve"> According to information gathered through a Freedom of Information response, the number of people taking SPL was just 500 higher in 2017</w:t>
      </w:r>
      <w:r w:rsidR="00CA5BCD">
        <w:rPr>
          <w:lang w:val="en"/>
        </w:rPr>
        <w:t>/</w:t>
      </w:r>
      <w:r w:rsidRPr="008662CF">
        <w:rPr>
          <w:lang w:val="en"/>
        </w:rPr>
        <w:t xml:space="preserve">18 </w:t>
      </w:r>
      <w:r w:rsidR="00CA5BCD">
        <w:rPr>
          <w:lang w:val="en"/>
        </w:rPr>
        <w:t xml:space="preserve">than </w:t>
      </w:r>
      <w:r w:rsidRPr="008662CF">
        <w:rPr>
          <w:lang w:val="en"/>
        </w:rPr>
        <w:t>the year before.</w:t>
      </w:r>
      <w:r w:rsidRPr="008662CF">
        <w:rPr>
          <w:vertAlign w:val="superscript"/>
          <w:lang w:val="en"/>
        </w:rPr>
        <w:footnoteReference w:id="168"/>
      </w:r>
      <w:r>
        <w:rPr>
          <w:lang w:val="en"/>
        </w:rPr>
        <w:t xml:space="preserve"> </w:t>
      </w:r>
    </w:p>
    <w:p w14:paraId="332E44B8" w14:textId="12530E03" w:rsidR="00254203" w:rsidRPr="008662CF" w:rsidRDefault="00254203" w:rsidP="00C95164">
      <w:pPr>
        <w:pStyle w:val="Parabeforeanother"/>
      </w:pPr>
      <w:r w:rsidRPr="008662CF">
        <w:rPr>
          <w:sz w:val="22"/>
        </w:rPr>
        <w:t>The</w:t>
      </w:r>
      <w:r w:rsidRPr="008662CF">
        <w:t xml:space="preserve"> Family and Childcare Trust’s 17th annual Childcare Survey</w:t>
      </w:r>
      <w:r>
        <w:t>,</w:t>
      </w:r>
      <w:r w:rsidRPr="008662CF">
        <w:rPr>
          <w:vertAlign w:val="superscript"/>
        </w:rPr>
        <w:footnoteReference w:id="169"/>
      </w:r>
      <w:r w:rsidRPr="008662CF">
        <w:t xml:space="preserve"> </w:t>
      </w:r>
      <w:r>
        <w:t xml:space="preserve">conducted between November 2017 and January 2018, </w:t>
      </w:r>
      <w:r w:rsidRPr="008662CF">
        <w:t>found that the average price for a part</w:t>
      </w:r>
      <w:r w:rsidR="00CA5BCD">
        <w:t>-</w:t>
      </w:r>
      <w:r w:rsidRPr="008662CF">
        <w:t xml:space="preserve">time nursery place for a child under two rose by 7%, to £122 per week or over £6,300 per year. The report also found that only half of local authorities in England and Wales have enough childcare available for parents who are working full-time. In </w:t>
      </w:r>
      <w:r w:rsidRPr="008662CF">
        <w:lastRenderedPageBreak/>
        <w:t xml:space="preserve">March 2018, the House of Commons Treasury Select Committee published </w:t>
      </w:r>
      <w:r>
        <w:t>its</w:t>
      </w:r>
      <w:r w:rsidRPr="008662CF">
        <w:t xml:space="preserve"> report</w:t>
      </w:r>
      <w:r w:rsidRPr="008662CF">
        <w:rPr>
          <w:vertAlign w:val="superscript"/>
        </w:rPr>
        <w:footnoteReference w:id="170"/>
      </w:r>
      <w:r w:rsidRPr="008662CF">
        <w:t xml:space="preserve"> into childcare policy and its influence on the economy. It found that the Treasury had </w:t>
      </w:r>
      <w:r w:rsidR="00406685">
        <w:t>‘</w:t>
      </w:r>
      <w:r w:rsidRPr="008662CF">
        <w:t>made little effort to calculate the economic impact of the Government’s childcare interventions</w:t>
      </w:r>
      <w:r w:rsidR="00406685">
        <w:t>’</w:t>
      </w:r>
      <w:r w:rsidRPr="008662CF">
        <w:t xml:space="preserve">, and that </w:t>
      </w:r>
      <w:r w:rsidR="00406685">
        <w:t>‘</w:t>
      </w:r>
      <w:r w:rsidRPr="008662CF">
        <w:t>the level of complexity has become overwhelming</w:t>
      </w:r>
      <w:r w:rsidR="00406685">
        <w:t>’</w:t>
      </w:r>
      <w:r w:rsidRPr="008662CF">
        <w:t xml:space="preserve"> for parents </w:t>
      </w:r>
      <w:r w:rsidR="00C95164">
        <w:t>navigating government policies.</w:t>
      </w:r>
    </w:p>
    <w:p w14:paraId="08551A11" w14:textId="2C9C4E6A" w:rsidR="00254203" w:rsidRPr="008662CF" w:rsidRDefault="00254203" w:rsidP="00C95164">
      <w:pPr>
        <w:pStyle w:val="Parabeforeanother"/>
      </w:pPr>
      <w:r w:rsidRPr="008662CF">
        <w:t>Introduced in April 2018, the Childcare Funding (Wales) Bill</w:t>
      </w:r>
      <w:r w:rsidRPr="008662CF">
        <w:rPr>
          <w:vertAlign w:val="superscript"/>
        </w:rPr>
        <w:footnoteReference w:id="171"/>
      </w:r>
      <w:r w:rsidRPr="008662CF">
        <w:t xml:space="preserve"> is intended to facilitate the delivery of a key commitment in the Welsh Labour manifesto, which is to provide 30 hours per week of Welsh Government funded early education and childcare to the working parents of three and four year olds in Wales for up to 48 weeks per year. The </w:t>
      </w:r>
      <w:r w:rsidR="00406685">
        <w:t>b</w:t>
      </w:r>
      <w:r w:rsidRPr="008662CF">
        <w:t>ill’s ‘primary purpose’ is to support the Welsh economy by helping parents, particularly mothers, to return to work or increase the hours they work. Full roll</w:t>
      </w:r>
      <w:r w:rsidR="00406685">
        <w:t>-</w:t>
      </w:r>
      <w:r w:rsidRPr="008662CF">
        <w:t xml:space="preserve">out of the offer </w:t>
      </w:r>
      <w:r w:rsidR="00C95164">
        <w:t>is expected by September 2020.</w:t>
      </w:r>
    </w:p>
    <w:p w14:paraId="77552D9D" w14:textId="41F29F7C" w:rsidR="00254203" w:rsidRDefault="00254203" w:rsidP="00C95164">
      <w:pPr>
        <w:pStyle w:val="Parabeforenewsubsection"/>
      </w:pPr>
      <w:r w:rsidRPr="008662CF">
        <w:t xml:space="preserve">In April 2018 </w:t>
      </w:r>
      <w:r w:rsidR="00406685">
        <w:t>the</w:t>
      </w:r>
      <w:r w:rsidRPr="008662CF">
        <w:t xml:space="preserve"> Fair Work Commission was established to promote and encourage fair work in Wales. The </w:t>
      </w:r>
      <w:r>
        <w:t xml:space="preserve">Fair Work </w:t>
      </w:r>
      <w:r w:rsidRPr="008662CF">
        <w:t>Commission will</w:t>
      </w:r>
      <w:r w:rsidR="00406685">
        <w:t>:</w:t>
      </w:r>
      <w:r w:rsidRPr="008662CF">
        <w:t xml:space="preserve"> consider whether measures to promote fair work currently available to the Welsh government could be taken further</w:t>
      </w:r>
      <w:r w:rsidR="00406685">
        <w:t>;</w:t>
      </w:r>
      <w:r w:rsidRPr="008662CF">
        <w:t xml:space="preserve"> identify what new or additional steps might be taken, including new legislation</w:t>
      </w:r>
      <w:r w:rsidR="00406685">
        <w:t>;</w:t>
      </w:r>
      <w:r w:rsidRPr="008662CF">
        <w:t xml:space="preserve"> and make recommendations. The Fair Work Commission must provide a national definition of fair work that includes flexible working and addresses the barriers for women accessing and progressing in the workplace. It is expected to report by March 2019.</w:t>
      </w:r>
      <w:r w:rsidR="009C5812">
        <w:rPr>
          <w:rStyle w:val="FootnoteReference"/>
        </w:rPr>
        <w:footnoteReference w:id="172"/>
      </w:r>
    </w:p>
    <w:p w14:paraId="09B51EF7" w14:textId="4B4AB534" w:rsidR="00254203" w:rsidRPr="00C95164" w:rsidRDefault="00254203" w:rsidP="00C95164">
      <w:pPr>
        <w:pStyle w:val="Title-subsections"/>
      </w:pPr>
      <w:r>
        <w:t>Recommendations</w:t>
      </w:r>
    </w:p>
    <w:p w14:paraId="1783DDA7" w14:textId="7CAA6735" w:rsidR="00406685" w:rsidRDefault="00254203" w:rsidP="00C95164">
      <w:pPr>
        <w:pStyle w:val="Parabeforebulletss"/>
      </w:pPr>
      <w:r>
        <w:t>The</w:t>
      </w:r>
      <w:r w:rsidR="002806AC">
        <w:t xml:space="preserve"> EHRC recommends that the</w:t>
      </w:r>
      <w:r>
        <w:t xml:space="preserve"> UK and Welsh governments, where relevant, should:</w:t>
      </w:r>
    </w:p>
    <w:p w14:paraId="13DFC07E" w14:textId="35890C28" w:rsidR="00254203" w:rsidRPr="008B3116" w:rsidRDefault="00406685" w:rsidP="00C95164">
      <w:pPr>
        <w:pStyle w:val="Bullet-followedbyothers"/>
      </w:pPr>
      <w:r>
        <w:t>a</w:t>
      </w:r>
      <w:r w:rsidR="00254203">
        <w:t>ddress problems with the availability and affordability of properly regulated childcare, including by ensuring adequately funded, flexible and high-quality childcare for all children, and monitor the impact different models of provision have on women’s labour market participation</w:t>
      </w:r>
      <w:r w:rsidR="00C95164">
        <w:t>, and</w:t>
      </w:r>
    </w:p>
    <w:p w14:paraId="317FE566" w14:textId="588CB271" w:rsidR="00254203" w:rsidRPr="00C95164" w:rsidRDefault="00406685" w:rsidP="00C95164">
      <w:pPr>
        <w:pStyle w:val="Bullet-lastingroup"/>
      </w:pPr>
      <w:r>
        <w:t>e</w:t>
      </w:r>
      <w:r w:rsidR="00254203">
        <w:t>ncourage men and women to share caring responsibilities</w:t>
      </w:r>
      <w:r>
        <w:t>.</w:t>
      </w:r>
    </w:p>
    <w:p w14:paraId="37F516BF" w14:textId="788F6E06" w:rsidR="009F60DD" w:rsidRDefault="00254203" w:rsidP="00C95164">
      <w:pPr>
        <w:pStyle w:val="Parabeforebulletss"/>
      </w:pPr>
      <w:r>
        <w:t>T</w:t>
      </w:r>
      <w:r w:rsidR="00C95164">
        <w:t>he</w:t>
      </w:r>
      <w:r w:rsidR="002806AC">
        <w:t xml:space="preserve"> EHRC recommends that the</w:t>
      </w:r>
      <w:r w:rsidR="00C95164">
        <w:t xml:space="preserve"> UK Government should:</w:t>
      </w:r>
    </w:p>
    <w:p w14:paraId="417FDCF2" w14:textId="302F70F3" w:rsidR="00254203" w:rsidRPr="00324A21" w:rsidRDefault="009F60DD" w:rsidP="00C95164">
      <w:pPr>
        <w:pStyle w:val="Bullet-followedbyothers"/>
      </w:pPr>
      <w:r>
        <w:lastRenderedPageBreak/>
        <w:t>i</w:t>
      </w:r>
      <w:r w:rsidR="00254203">
        <w:t>ntroduce dedicated non-transferable ‘use it or lose it’ parental leave for fathers, with a pay rate that acts as a real incentive to take</w:t>
      </w:r>
      <w:r>
        <w:t>-</w:t>
      </w:r>
      <w:r w:rsidR="00254203">
        <w:t>up</w:t>
      </w:r>
      <w:r w:rsidR="00C95164">
        <w:t>, and</w:t>
      </w:r>
    </w:p>
    <w:p w14:paraId="3F8906FB" w14:textId="5AB9A84E" w:rsidR="00254203" w:rsidRPr="00C95164" w:rsidRDefault="009F60DD" w:rsidP="00C95164">
      <w:pPr>
        <w:pStyle w:val="Bullet-lastingroup"/>
        <w:spacing w:after="680"/>
      </w:pPr>
      <w:r>
        <w:t>l</w:t>
      </w:r>
      <w:r w:rsidR="00254203">
        <w:t>egislate to extend the right to flexible working to apply from day one in all jobs, unless there is a genuine business reason that means that this is not possible</w:t>
      </w:r>
      <w:r>
        <w:t>.</w:t>
      </w:r>
    </w:p>
    <w:p w14:paraId="06DDA0E8" w14:textId="77777777" w:rsidR="00254203" w:rsidRPr="00167B7E" w:rsidRDefault="00254203" w:rsidP="00254203">
      <w:pPr>
        <w:pStyle w:val="Title-sectionspink"/>
      </w:pPr>
      <w:bookmarkStart w:id="58" w:name="_Toc534726640"/>
      <w:r w:rsidRPr="00167B7E">
        <w:t>Discrimination and harassment in the workplace</w:t>
      </w:r>
      <w:bookmarkEnd w:id="58"/>
      <w:r w:rsidRPr="00167B7E">
        <w:t xml:space="preserve"> </w:t>
      </w:r>
    </w:p>
    <w:p w14:paraId="6909CC99" w14:textId="16A03641" w:rsidR="00254203" w:rsidRPr="0011090D" w:rsidRDefault="00254203" w:rsidP="00C95164">
      <w:pPr>
        <w:pStyle w:val="Parabeforeanother"/>
      </w:pPr>
      <w:r w:rsidRPr="0011090D">
        <w:t xml:space="preserve">In July 2018, the UK Parliament’s </w:t>
      </w:r>
      <w:r w:rsidR="009F60DD">
        <w:t>Women and Equalities Select Committee (</w:t>
      </w:r>
      <w:r>
        <w:t>WESC</w:t>
      </w:r>
      <w:r w:rsidR="009F60DD">
        <w:t>)</w:t>
      </w:r>
      <w:r>
        <w:t xml:space="preserve"> </w:t>
      </w:r>
      <w:r w:rsidRPr="0011090D">
        <w:t xml:space="preserve">published its report ‘Sexual </w:t>
      </w:r>
      <w:r w:rsidR="009F60DD">
        <w:t>h</w:t>
      </w:r>
      <w:r w:rsidRPr="0011090D">
        <w:t xml:space="preserve">arassment in the </w:t>
      </w:r>
      <w:r w:rsidR="009F60DD">
        <w:t>w</w:t>
      </w:r>
      <w:r w:rsidRPr="0011090D">
        <w:t>orkplace’.</w:t>
      </w:r>
      <w:r w:rsidRPr="0011090D">
        <w:rPr>
          <w:vertAlign w:val="superscript"/>
        </w:rPr>
        <w:footnoteReference w:id="173"/>
      </w:r>
      <w:r w:rsidRPr="0011090D">
        <w:t xml:space="preserve"> </w:t>
      </w:r>
      <w:r>
        <w:t xml:space="preserve"> The report</w:t>
      </w:r>
      <w:r w:rsidRPr="0011090D">
        <w:t xml:space="preserve"> end</w:t>
      </w:r>
      <w:r>
        <w:t>orsed the EHRC’s key recommendation</w:t>
      </w:r>
      <w:r w:rsidRPr="0011090D">
        <w:t xml:space="preserve"> from our ‘Turning the </w:t>
      </w:r>
      <w:r w:rsidR="009F60DD">
        <w:t>t</w:t>
      </w:r>
      <w:r w:rsidRPr="0011090D">
        <w:t xml:space="preserve">ables: </w:t>
      </w:r>
      <w:r w:rsidR="009F60DD">
        <w:t>e</w:t>
      </w:r>
      <w:r w:rsidRPr="0011090D">
        <w:t>nding sexual harassment’ report,</w:t>
      </w:r>
      <w:r w:rsidRPr="0011090D">
        <w:rPr>
          <w:vertAlign w:val="superscript"/>
        </w:rPr>
        <w:footnoteReference w:id="174"/>
      </w:r>
      <w:r w:rsidRPr="0011090D">
        <w:t xml:space="preserve"> </w:t>
      </w:r>
      <w:r>
        <w:t>calling for</w:t>
      </w:r>
      <w:r w:rsidRPr="0011090D">
        <w:t xml:space="preserve"> a mandatory duty on employers to protect workers from harassment and victimisation in the workplace. Breach of the duty should be an unlawful act enforceable by the EHRC and carrying substantial financial penalties. </w:t>
      </w:r>
      <w:r w:rsidR="00B20351">
        <w:t xml:space="preserve">In December 2018 the UK Government responded to the report </w:t>
      </w:r>
      <w:r w:rsidR="00B234D3">
        <w:t xml:space="preserve">by </w:t>
      </w:r>
      <w:r w:rsidR="00B20351">
        <w:t xml:space="preserve">saying it would introduce a statutory </w:t>
      </w:r>
      <w:r w:rsidR="009F60DD">
        <w:t>c</w:t>
      </w:r>
      <w:r w:rsidR="00B20351">
        <w:t xml:space="preserve">ode of </w:t>
      </w:r>
      <w:r w:rsidR="009F60DD">
        <w:t>p</w:t>
      </w:r>
      <w:r w:rsidR="00B20351">
        <w:t>ractice</w:t>
      </w:r>
      <w:r w:rsidR="009F60DD">
        <w:t xml:space="preserve"> to</w:t>
      </w:r>
      <w:r w:rsidR="00B20351">
        <w:t xml:space="preserve"> ‘help employers </w:t>
      </w:r>
      <w:r w:rsidR="00B20351" w:rsidRPr="00B20351">
        <w:t xml:space="preserve">understand and demonstrate that they have taken </w:t>
      </w:r>
      <w:r w:rsidR="009F60DD">
        <w:t>“</w:t>
      </w:r>
      <w:r w:rsidR="00B20351" w:rsidRPr="00B20351">
        <w:t>all reasonable steps</w:t>
      </w:r>
      <w:r w:rsidR="009F60DD">
        <w:t>”</w:t>
      </w:r>
      <w:r w:rsidR="00B20351" w:rsidRPr="00B20351">
        <w:t xml:space="preserve"> to prevent</w:t>
      </w:r>
      <w:r w:rsidR="00B20351">
        <w:t xml:space="preserve"> </w:t>
      </w:r>
      <w:r w:rsidR="00B20351" w:rsidRPr="00B20351">
        <w:t>harassment</w:t>
      </w:r>
      <w:r w:rsidR="009F60DD">
        <w:t>’</w:t>
      </w:r>
      <w:r w:rsidR="00B20351">
        <w:t xml:space="preserve">. </w:t>
      </w:r>
      <w:r w:rsidR="00B234D3">
        <w:t>It fell short, however, of agreeing to introduce a new duty.</w:t>
      </w:r>
      <w:r w:rsidR="00B234D3">
        <w:rPr>
          <w:rStyle w:val="FootnoteReference"/>
        </w:rPr>
        <w:footnoteReference w:id="175"/>
      </w:r>
    </w:p>
    <w:p w14:paraId="2FE4ED0B" w14:textId="39F2753F" w:rsidR="00254203" w:rsidRPr="00C95164" w:rsidRDefault="00254203" w:rsidP="00C95164">
      <w:pPr>
        <w:pStyle w:val="Parabeforeanother"/>
        <w:rPr>
          <w:bCs/>
        </w:rPr>
      </w:pPr>
      <w:r w:rsidRPr="0011090D">
        <w:t>W</w:t>
      </w:r>
      <w:r>
        <w:t xml:space="preserve">ESC </w:t>
      </w:r>
      <w:r w:rsidRPr="0011090D">
        <w:t xml:space="preserve">also published a report </w:t>
      </w:r>
      <w:r w:rsidR="00F004AF">
        <w:t>on o</w:t>
      </w:r>
      <w:r w:rsidRPr="0011090D">
        <w:t>lder people and employment.</w:t>
      </w:r>
      <w:r w:rsidRPr="0011090D">
        <w:rPr>
          <w:vertAlign w:val="superscript"/>
        </w:rPr>
        <w:footnoteReference w:id="176"/>
      </w:r>
      <w:r w:rsidRPr="0011090D">
        <w:t xml:space="preserve"> This highlighted that older age acts as an ‘amplifier’ of other inequalities, with older women being particularly affected. </w:t>
      </w:r>
      <w:r w:rsidRPr="0011090D">
        <w:rPr>
          <w:bCs/>
          <w:iCs/>
        </w:rPr>
        <w:t xml:space="preserve">The </w:t>
      </w:r>
      <w:r w:rsidR="00F004AF">
        <w:rPr>
          <w:bCs/>
          <w:iCs/>
        </w:rPr>
        <w:t>c</w:t>
      </w:r>
      <w:r w:rsidRPr="0011090D">
        <w:rPr>
          <w:bCs/>
          <w:iCs/>
        </w:rPr>
        <w:t>ommittee report reflected evidence from</w:t>
      </w:r>
      <w:r>
        <w:t xml:space="preserve"> </w:t>
      </w:r>
      <w:r w:rsidR="00F004AF">
        <w:t xml:space="preserve">the charity </w:t>
      </w:r>
      <w:r>
        <w:t>Business in the Community</w:t>
      </w:r>
      <w:r w:rsidR="00F004AF">
        <w:t>,</w:t>
      </w:r>
      <w:r>
        <w:t xml:space="preserve"> wh</w:t>
      </w:r>
      <w:r w:rsidR="00F004AF">
        <w:t>ich</w:t>
      </w:r>
      <w:r>
        <w:t xml:space="preserve"> stated that </w:t>
      </w:r>
      <w:r w:rsidRPr="0011090D">
        <w:t xml:space="preserve">women over 50 </w:t>
      </w:r>
      <w:r w:rsidR="00F004AF">
        <w:t>‘</w:t>
      </w:r>
      <w:r w:rsidRPr="0011090D">
        <w:t>experience more bias, discrimination and wage inequality than</w:t>
      </w:r>
      <w:r>
        <w:t xml:space="preserve"> </w:t>
      </w:r>
      <w:r w:rsidRPr="0011090D">
        <w:t>both their male counterparts and younger women</w:t>
      </w:r>
      <w:r w:rsidR="00F004AF">
        <w:t>’</w:t>
      </w:r>
      <w:r w:rsidRPr="0011090D">
        <w:t>.</w:t>
      </w:r>
      <w:r>
        <w:t xml:space="preserve"> </w:t>
      </w:r>
      <w:r w:rsidRPr="0011090D">
        <w:t xml:space="preserve">One of </w:t>
      </w:r>
      <w:r w:rsidR="00F004AF">
        <w:t xml:space="preserve">its </w:t>
      </w:r>
      <w:r w:rsidRPr="0011090D">
        <w:t xml:space="preserve">recommendations was </w:t>
      </w:r>
      <w:r w:rsidRPr="0011090D">
        <w:rPr>
          <w:bCs/>
        </w:rPr>
        <w:t>that all jobs should be available on flexible terms unless an employer can demonstrate an immediate and continuing business case against doing so. Such an approach is central to</w:t>
      </w:r>
      <w:r w:rsidRPr="0011090D">
        <w:rPr>
          <w:b/>
          <w:bCs/>
        </w:rPr>
        <w:t xml:space="preserve"> </w:t>
      </w:r>
      <w:r w:rsidRPr="0011090D">
        <w:rPr>
          <w:bCs/>
        </w:rPr>
        <w:t>enabling older workers and</w:t>
      </w:r>
      <w:r w:rsidRPr="0011090D">
        <w:rPr>
          <w:b/>
          <w:bCs/>
        </w:rPr>
        <w:t xml:space="preserve"> </w:t>
      </w:r>
      <w:r w:rsidRPr="0011090D">
        <w:rPr>
          <w:bCs/>
        </w:rPr>
        <w:t>carers – the majority of whom are women – to participate in the labour market on an equal basis. This aligns with</w:t>
      </w:r>
      <w:r w:rsidRPr="0011090D">
        <w:rPr>
          <w:bCs/>
          <w:iCs/>
        </w:rPr>
        <w:t xml:space="preserve"> the EHRC’s own long-standing recommendation to</w:t>
      </w:r>
      <w:r w:rsidRPr="0011090D">
        <w:rPr>
          <w:b/>
          <w:bCs/>
          <w:i/>
          <w:iCs/>
        </w:rPr>
        <w:t xml:space="preserve"> </w:t>
      </w:r>
      <w:r w:rsidRPr="0011090D">
        <w:rPr>
          <w:bCs/>
          <w:iCs/>
        </w:rPr>
        <w:t xml:space="preserve">the UK Government that it should introduce the right for all </w:t>
      </w:r>
      <w:r w:rsidRPr="0011090D">
        <w:rPr>
          <w:bCs/>
          <w:iCs/>
        </w:rPr>
        <w:lastRenderedPageBreak/>
        <w:t>employees to request flexible working from day one</w:t>
      </w:r>
      <w:r>
        <w:rPr>
          <w:bCs/>
          <w:iCs/>
        </w:rPr>
        <w:t xml:space="preserve">, </w:t>
      </w:r>
      <w:r>
        <w:t>unless there is a genuine business reason that means this is not possible</w:t>
      </w:r>
      <w:r w:rsidRPr="0011090D">
        <w:rPr>
          <w:bCs/>
          <w:iCs/>
        </w:rPr>
        <w:t>.</w:t>
      </w:r>
      <w:r w:rsidRPr="0011090D">
        <w:rPr>
          <w:bCs/>
          <w:iCs/>
          <w:vertAlign w:val="superscript"/>
        </w:rPr>
        <w:footnoteReference w:id="177"/>
      </w:r>
      <w:r w:rsidRPr="0011090D">
        <w:rPr>
          <w:bCs/>
          <w:iCs/>
        </w:rPr>
        <w:t xml:space="preserve"> The </w:t>
      </w:r>
      <w:r w:rsidR="00F004AF">
        <w:rPr>
          <w:bCs/>
          <w:iCs/>
        </w:rPr>
        <w:t xml:space="preserve">WESC </w:t>
      </w:r>
      <w:r w:rsidRPr="0011090D">
        <w:rPr>
          <w:bCs/>
          <w:iCs/>
        </w:rPr>
        <w:t xml:space="preserve">report also noted that the UK Government’s decision not to commence section 14 of the </w:t>
      </w:r>
      <w:r>
        <w:rPr>
          <w:bCs/>
          <w:iCs/>
        </w:rPr>
        <w:t xml:space="preserve">EA </w:t>
      </w:r>
      <w:r w:rsidRPr="0011090D">
        <w:rPr>
          <w:bCs/>
          <w:iCs/>
        </w:rPr>
        <w:t xml:space="preserve">2010 means that the true nature of the discrimination facing older women may not be being brought to light in case law and recommended that the </w:t>
      </w:r>
      <w:r>
        <w:rPr>
          <w:bCs/>
          <w:iCs/>
        </w:rPr>
        <w:t xml:space="preserve">UK </w:t>
      </w:r>
      <w:r w:rsidRPr="0011090D">
        <w:rPr>
          <w:bCs/>
          <w:iCs/>
        </w:rPr>
        <w:t>Government commission research into the extent of</w:t>
      </w:r>
      <w:r>
        <w:rPr>
          <w:bCs/>
          <w:iCs/>
        </w:rPr>
        <w:t xml:space="preserve"> </w:t>
      </w:r>
      <w:r w:rsidRPr="0011090D">
        <w:rPr>
          <w:bCs/>
          <w:iCs/>
        </w:rPr>
        <w:t>this problem.</w:t>
      </w:r>
      <w:r>
        <w:rPr>
          <w:rStyle w:val="FootnoteReference"/>
          <w:bCs/>
          <w:iCs/>
        </w:rPr>
        <w:footnoteReference w:id="178"/>
      </w:r>
      <w:r w:rsidRPr="0011090D">
        <w:rPr>
          <w:bCs/>
          <w:iCs/>
        </w:rPr>
        <w:t xml:space="preserve"> </w:t>
      </w:r>
    </w:p>
    <w:p w14:paraId="06CE5DBF" w14:textId="4C58D282" w:rsidR="00254203" w:rsidRPr="0011090D" w:rsidRDefault="00254203" w:rsidP="00C95164">
      <w:pPr>
        <w:pStyle w:val="Parabeforeanother"/>
        <w:rPr>
          <w:bCs/>
          <w:iCs/>
        </w:rPr>
      </w:pPr>
      <w:r w:rsidRPr="0011090D">
        <w:rPr>
          <w:bCs/>
          <w:iCs/>
        </w:rPr>
        <w:t xml:space="preserve">An </w:t>
      </w:r>
      <w:r w:rsidR="00F004AF">
        <w:rPr>
          <w:bCs/>
          <w:iCs/>
        </w:rPr>
        <w:t>i</w:t>
      </w:r>
      <w:r w:rsidRPr="0011090D">
        <w:rPr>
          <w:bCs/>
          <w:iCs/>
        </w:rPr>
        <w:t xml:space="preserve">ndependent </w:t>
      </w:r>
      <w:r w:rsidR="00F004AF">
        <w:rPr>
          <w:bCs/>
          <w:iCs/>
        </w:rPr>
        <w:t>i</w:t>
      </w:r>
      <w:r w:rsidRPr="0011090D">
        <w:rPr>
          <w:bCs/>
          <w:iCs/>
        </w:rPr>
        <w:t xml:space="preserve">nquiry into </w:t>
      </w:r>
      <w:r w:rsidR="00F004AF">
        <w:rPr>
          <w:bCs/>
          <w:iCs/>
        </w:rPr>
        <w:t>t</w:t>
      </w:r>
      <w:r w:rsidRPr="0011090D">
        <w:rPr>
          <w:bCs/>
          <w:iCs/>
        </w:rPr>
        <w:t xml:space="preserve">he </w:t>
      </w:r>
      <w:r w:rsidR="00F004AF">
        <w:rPr>
          <w:bCs/>
          <w:iCs/>
        </w:rPr>
        <w:t>b</w:t>
      </w:r>
      <w:r w:rsidRPr="0011090D">
        <w:rPr>
          <w:bCs/>
          <w:iCs/>
        </w:rPr>
        <w:t xml:space="preserve">ullying and </w:t>
      </w:r>
      <w:r w:rsidR="00F004AF">
        <w:rPr>
          <w:bCs/>
          <w:iCs/>
        </w:rPr>
        <w:t>h</w:t>
      </w:r>
      <w:r w:rsidRPr="0011090D">
        <w:rPr>
          <w:bCs/>
          <w:iCs/>
        </w:rPr>
        <w:t>arassment of House of Common</w:t>
      </w:r>
      <w:r w:rsidR="008F6DE2">
        <w:rPr>
          <w:bCs/>
          <w:iCs/>
        </w:rPr>
        <w:t>s</w:t>
      </w:r>
      <w:r w:rsidRPr="0011090D">
        <w:rPr>
          <w:bCs/>
          <w:iCs/>
        </w:rPr>
        <w:t xml:space="preserve"> </w:t>
      </w:r>
      <w:r w:rsidR="00F004AF">
        <w:rPr>
          <w:bCs/>
          <w:iCs/>
        </w:rPr>
        <w:t>s</w:t>
      </w:r>
      <w:r w:rsidRPr="0011090D">
        <w:rPr>
          <w:bCs/>
          <w:iCs/>
        </w:rPr>
        <w:t>taff, conducted by Dame Laura Cox, was published</w:t>
      </w:r>
      <w:r w:rsidR="00776F38">
        <w:rPr>
          <w:bCs/>
          <w:iCs/>
        </w:rPr>
        <w:t xml:space="preserve"> in 2018</w:t>
      </w:r>
      <w:r w:rsidRPr="0011090D">
        <w:rPr>
          <w:bCs/>
          <w:iCs/>
        </w:rPr>
        <w:t>.</w:t>
      </w:r>
      <w:r w:rsidRPr="0011090D">
        <w:rPr>
          <w:bCs/>
          <w:iCs/>
          <w:vertAlign w:val="superscript"/>
        </w:rPr>
        <w:footnoteReference w:id="179"/>
      </w:r>
      <w:r w:rsidRPr="0011090D">
        <w:rPr>
          <w:bCs/>
          <w:iCs/>
        </w:rPr>
        <w:t xml:space="preserve"> The </w:t>
      </w:r>
      <w:r w:rsidR="00F004AF">
        <w:rPr>
          <w:bCs/>
          <w:iCs/>
        </w:rPr>
        <w:t>i</w:t>
      </w:r>
      <w:r w:rsidRPr="0011090D">
        <w:rPr>
          <w:bCs/>
          <w:iCs/>
        </w:rPr>
        <w:t xml:space="preserve">nquiry followed </w:t>
      </w:r>
      <w:r>
        <w:rPr>
          <w:bCs/>
          <w:iCs/>
        </w:rPr>
        <w:t>accusations</w:t>
      </w:r>
      <w:r w:rsidRPr="0011090D">
        <w:rPr>
          <w:bCs/>
          <w:iCs/>
        </w:rPr>
        <w:t xml:space="preserve"> of serious bullying and harassment </w:t>
      </w:r>
      <w:r>
        <w:rPr>
          <w:bCs/>
          <w:iCs/>
        </w:rPr>
        <w:t xml:space="preserve">made </w:t>
      </w:r>
      <w:r w:rsidRPr="0011090D">
        <w:rPr>
          <w:bCs/>
          <w:iCs/>
        </w:rPr>
        <w:t>against MPs by members of staff</w:t>
      </w:r>
      <w:r w:rsidR="00F004AF">
        <w:rPr>
          <w:bCs/>
          <w:iCs/>
        </w:rPr>
        <w:t>,</w:t>
      </w:r>
      <w:r w:rsidRPr="0011090D">
        <w:rPr>
          <w:bCs/>
          <w:iCs/>
        </w:rPr>
        <w:t xml:space="preserve"> without effective procedures in place to resolve their complaints. The </w:t>
      </w:r>
      <w:r w:rsidR="00F004AF">
        <w:rPr>
          <w:bCs/>
          <w:iCs/>
        </w:rPr>
        <w:t xml:space="preserve">inquiry </w:t>
      </w:r>
      <w:r w:rsidRPr="0011090D">
        <w:rPr>
          <w:bCs/>
          <w:iCs/>
        </w:rPr>
        <w:t xml:space="preserve">report made reference to the EHRC’s work on sexual harassment in the workplace, finding similarities in </w:t>
      </w:r>
      <w:r w:rsidR="00F004AF">
        <w:rPr>
          <w:bCs/>
          <w:iCs/>
        </w:rPr>
        <w:t xml:space="preserve">its </w:t>
      </w:r>
      <w:r w:rsidRPr="0011090D">
        <w:rPr>
          <w:bCs/>
          <w:iCs/>
        </w:rPr>
        <w:t>research findings around third</w:t>
      </w:r>
      <w:r w:rsidR="00F004AF">
        <w:rPr>
          <w:bCs/>
          <w:iCs/>
        </w:rPr>
        <w:t>-</w:t>
      </w:r>
      <w:r w:rsidRPr="0011090D">
        <w:rPr>
          <w:bCs/>
          <w:iCs/>
        </w:rPr>
        <w:t>party harassment</w:t>
      </w:r>
      <w:r w:rsidR="00F004AF">
        <w:rPr>
          <w:bCs/>
          <w:iCs/>
        </w:rPr>
        <w:t>,</w:t>
      </w:r>
      <w:r w:rsidRPr="0011090D">
        <w:rPr>
          <w:bCs/>
          <w:iCs/>
        </w:rPr>
        <w:t xml:space="preserve"> </w:t>
      </w:r>
      <w:r w:rsidR="00F004AF">
        <w:rPr>
          <w:bCs/>
          <w:iCs/>
        </w:rPr>
        <w:t xml:space="preserve">where </w:t>
      </w:r>
      <w:r w:rsidRPr="0011090D">
        <w:rPr>
          <w:bCs/>
          <w:iCs/>
        </w:rPr>
        <w:t xml:space="preserve">there is a lack of management support and harassment </w:t>
      </w:r>
      <w:r w:rsidR="00F004AF">
        <w:rPr>
          <w:bCs/>
          <w:iCs/>
        </w:rPr>
        <w:t>is</w:t>
      </w:r>
      <w:r w:rsidRPr="0011090D">
        <w:rPr>
          <w:bCs/>
          <w:iCs/>
        </w:rPr>
        <w:t xml:space="preserve"> seen by some employers as being a ‘normal’ part of the job. The report also referred to the EHRC recommendation </w:t>
      </w:r>
      <w:r w:rsidR="00F004AF">
        <w:rPr>
          <w:bCs/>
          <w:iCs/>
        </w:rPr>
        <w:t xml:space="preserve">to develop </w:t>
      </w:r>
      <w:r w:rsidRPr="0011090D">
        <w:rPr>
          <w:bCs/>
          <w:iCs/>
        </w:rPr>
        <w:t>an anonymous complaints mechanism for harassment</w:t>
      </w:r>
      <w:r w:rsidR="00F004AF">
        <w:rPr>
          <w:bCs/>
          <w:iCs/>
        </w:rPr>
        <w:t>,</w:t>
      </w:r>
      <w:r w:rsidRPr="0011090D">
        <w:rPr>
          <w:bCs/>
          <w:iCs/>
        </w:rPr>
        <w:t xml:space="preserve"> describing </w:t>
      </w:r>
      <w:r>
        <w:rPr>
          <w:bCs/>
          <w:iCs/>
        </w:rPr>
        <w:t xml:space="preserve">this </w:t>
      </w:r>
      <w:r w:rsidRPr="0011090D">
        <w:rPr>
          <w:bCs/>
          <w:iCs/>
        </w:rPr>
        <w:t xml:space="preserve">as a </w:t>
      </w:r>
      <w:r>
        <w:rPr>
          <w:bCs/>
          <w:iCs/>
        </w:rPr>
        <w:t xml:space="preserve">potentially </w:t>
      </w:r>
      <w:r w:rsidR="00C95164">
        <w:rPr>
          <w:bCs/>
          <w:iCs/>
        </w:rPr>
        <w:t>helpful initiative.</w:t>
      </w:r>
    </w:p>
    <w:p w14:paraId="3099C422" w14:textId="23CD908B" w:rsidR="00254203" w:rsidRPr="00C95164" w:rsidRDefault="00254203" w:rsidP="00C95164">
      <w:pPr>
        <w:pStyle w:val="Parabeforenewsubsection"/>
      </w:pPr>
      <w:r w:rsidRPr="0011090D">
        <w:t>Similarly, following allegations of bullying, harassment and sexual misconduct</w:t>
      </w:r>
      <w:r w:rsidRPr="0011090D">
        <w:rPr>
          <w:vertAlign w:val="superscript"/>
        </w:rPr>
        <w:footnoteReference w:id="180"/>
      </w:r>
      <w:r w:rsidRPr="0011090D">
        <w:t xml:space="preserve"> within the National Assembly </w:t>
      </w:r>
      <w:r w:rsidR="00F004AF">
        <w:t>for</w:t>
      </w:r>
      <w:r w:rsidRPr="0011090D">
        <w:t xml:space="preserve"> Wales, the Standards</w:t>
      </w:r>
      <w:r>
        <w:t xml:space="preserve"> of Conduct</w:t>
      </w:r>
      <w:r w:rsidRPr="0011090D">
        <w:t xml:space="preserve"> Committee undertook a review of the </w:t>
      </w:r>
      <w:r w:rsidR="00F004AF">
        <w:t>c</w:t>
      </w:r>
      <w:r w:rsidRPr="0011090D">
        <w:t xml:space="preserve">ode of </w:t>
      </w:r>
      <w:r w:rsidR="00F004AF">
        <w:t>c</w:t>
      </w:r>
      <w:r w:rsidRPr="0011090D">
        <w:t>onduct for Assembly Members (AMs) and</w:t>
      </w:r>
      <w:r w:rsidR="00F004AF">
        <w:t>,</w:t>
      </w:r>
      <w:r w:rsidRPr="0011090D">
        <w:t xml:space="preserve"> in conjunction with this work, worked with the Assembly Commission to prepare a </w:t>
      </w:r>
      <w:r w:rsidR="00E75148">
        <w:t>d</w:t>
      </w:r>
      <w:r w:rsidRPr="0011090D">
        <w:t xml:space="preserve">ignity </w:t>
      </w:r>
      <w:r>
        <w:t xml:space="preserve">and </w:t>
      </w:r>
      <w:r w:rsidR="00E75148">
        <w:t>r</w:t>
      </w:r>
      <w:r>
        <w:t xml:space="preserve">espect </w:t>
      </w:r>
      <w:r w:rsidR="00E75148">
        <w:t>p</w:t>
      </w:r>
      <w:r w:rsidRPr="0011090D">
        <w:t xml:space="preserve">olicy, which was approved in May 2018. The </w:t>
      </w:r>
      <w:r w:rsidR="00E75148">
        <w:t>c</w:t>
      </w:r>
      <w:r w:rsidRPr="0011090D">
        <w:t xml:space="preserve">ommittee published its report, ‘Creating the </w:t>
      </w:r>
      <w:r w:rsidR="00E75148">
        <w:t>r</w:t>
      </w:r>
      <w:r w:rsidRPr="0011090D">
        <w:t xml:space="preserve">ight </w:t>
      </w:r>
      <w:r w:rsidR="00E75148">
        <w:t>c</w:t>
      </w:r>
      <w:r w:rsidRPr="0011090D">
        <w:t>ulture’,</w:t>
      </w:r>
      <w:r w:rsidRPr="0011090D">
        <w:rPr>
          <w:vertAlign w:val="superscript"/>
        </w:rPr>
        <w:footnoteReference w:id="181"/>
      </w:r>
      <w:r w:rsidRPr="0011090D">
        <w:t xml:space="preserve"> which made a number of recommendations to the Assembly Commission</w:t>
      </w:r>
      <w:r w:rsidR="00E75148">
        <w:t>,</w:t>
      </w:r>
      <w:r w:rsidRPr="0011090D">
        <w:t xml:space="preserve"> including</w:t>
      </w:r>
      <w:r w:rsidR="00E75148">
        <w:t>:</w:t>
      </w:r>
      <w:r w:rsidRPr="0011090D">
        <w:t xml:space="preserve"> training around sexual harassment and responding to disclosures of sexual violence/harassment</w:t>
      </w:r>
      <w:r w:rsidR="00E75148">
        <w:t>;</w:t>
      </w:r>
      <w:r w:rsidRPr="0011090D">
        <w:t xml:space="preserve"> creation of an annual dignity and respect survey of staff with an accompanying action plan</w:t>
      </w:r>
      <w:r w:rsidR="00E75148">
        <w:t>;</w:t>
      </w:r>
      <w:r w:rsidRPr="0011090D">
        <w:t xml:space="preserve"> </w:t>
      </w:r>
      <w:r w:rsidRPr="0011090D">
        <w:lastRenderedPageBreak/>
        <w:t xml:space="preserve">and an online reporting tool </w:t>
      </w:r>
      <w:r w:rsidR="00E75148">
        <w:t>that</w:t>
      </w:r>
      <w:r w:rsidRPr="0011090D">
        <w:t xml:space="preserve"> allows people to report incidents of inappropriate behaviour either anonymously or through a named disclosure. </w:t>
      </w:r>
    </w:p>
    <w:p w14:paraId="00D7E6CF" w14:textId="00CE7DF3" w:rsidR="00254203" w:rsidRDefault="00254203" w:rsidP="00C95164">
      <w:pPr>
        <w:pStyle w:val="Title-subsections"/>
      </w:pPr>
      <w:r>
        <w:t>Recommendations</w:t>
      </w:r>
    </w:p>
    <w:p w14:paraId="75BE525C" w14:textId="6522A99E" w:rsidR="00254203" w:rsidRPr="0011090D" w:rsidRDefault="00254203" w:rsidP="00C95164">
      <w:pPr>
        <w:pStyle w:val="Parabeforebulletss"/>
      </w:pPr>
      <w:r>
        <w:t xml:space="preserve">The </w:t>
      </w:r>
      <w:r w:rsidR="002806AC">
        <w:t xml:space="preserve">EHRC recommends that the </w:t>
      </w:r>
      <w:r>
        <w:t>UK and Welsh governments, where relevant, should:</w:t>
      </w:r>
    </w:p>
    <w:p w14:paraId="216A9859" w14:textId="77777777" w:rsidR="00254203" w:rsidRDefault="00254203" w:rsidP="00C95164">
      <w:pPr>
        <w:pStyle w:val="Bullet-followedbyothers"/>
      </w:pPr>
      <w:r w:rsidRPr="00324A21">
        <w:t>introduce a mandatory duty on employers to take reasonable steps to protect workers from harassment, sexual harassment and victimisation under the Equalit</w:t>
      </w:r>
      <w:r>
        <w:t>y Act 2010 in the workplace</w:t>
      </w:r>
    </w:p>
    <w:p w14:paraId="11635631" w14:textId="02968572" w:rsidR="00254203" w:rsidRDefault="00254203" w:rsidP="00C95164">
      <w:pPr>
        <w:pStyle w:val="Bullet-followedbyothers"/>
      </w:pPr>
      <w:r w:rsidRPr="00324A21">
        <w:t>introduce a statutory code of practice on preventing and responding to sexual harassmen</w:t>
      </w:r>
      <w:r>
        <w:t>t and other harassment at work</w:t>
      </w:r>
      <w:r w:rsidR="00C95164">
        <w:t>, and</w:t>
      </w:r>
    </w:p>
    <w:p w14:paraId="139A8DAA" w14:textId="15324CFF" w:rsidR="00254203" w:rsidRPr="00C95164" w:rsidRDefault="00254203" w:rsidP="00C95164">
      <w:pPr>
        <w:pStyle w:val="Bullet-lastingroup"/>
        <w:spacing w:after="680"/>
        <w:rPr>
          <w:sz w:val="28"/>
        </w:rPr>
      </w:pPr>
      <w:r w:rsidRPr="00324A21">
        <w:t xml:space="preserve">implement all the other recommendations in the 2018 Equality and Human Rights Commission report, </w:t>
      </w:r>
      <w:r w:rsidR="00E75148">
        <w:t>‘</w:t>
      </w:r>
      <w:r w:rsidRPr="00324A21">
        <w:t xml:space="preserve">Turning the </w:t>
      </w:r>
      <w:r w:rsidR="00E75148">
        <w:t>t</w:t>
      </w:r>
      <w:r w:rsidRPr="00324A21">
        <w:t>ables</w:t>
      </w:r>
      <w:r w:rsidR="00E75148">
        <w:t>’.</w:t>
      </w:r>
    </w:p>
    <w:p w14:paraId="2B3973CC" w14:textId="77777777" w:rsidR="00254203" w:rsidRPr="00167B7E" w:rsidRDefault="00254203" w:rsidP="00254203">
      <w:pPr>
        <w:pStyle w:val="Title-sectionspink"/>
      </w:pPr>
      <w:bookmarkStart w:id="59" w:name="_Toc534726641"/>
      <w:r w:rsidRPr="00167B7E">
        <w:t>Occupational segregation</w:t>
      </w:r>
      <w:bookmarkEnd w:id="59"/>
      <w:r w:rsidRPr="00167B7E">
        <w:t xml:space="preserve"> </w:t>
      </w:r>
    </w:p>
    <w:p w14:paraId="10ECFC32" w14:textId="7BFC588D" w:rsidR="00254203" w:rsidRPr="0011090D" w:rsidRDefault="00254203" w:rsidP="00C95164">
      <w:pPr>
        <w:pStyle w:val="Parabeforeanother"/>
      </w:pPr>
      <w:r w:rsidRPr="0011090D">
        <w:t>In June 2018 the Young Women’s Trust published research looking at the use of positive action</w:t>
      </w:r>
      <w:r w:rsidRPr="0011090D">
        <w:rPr>
          <w:vertAlign w:val="superscript"/>
        </w:rPr>
        <w:footnoteReference w:id="182"/>
      </w:r>
      <w:r w:rsidRPr="0011090D">
        <w:t xml:space="preserve"> in gender</w:t>
      </w:r>
      <w:r w:rsidR="00D63AFD">
        <w:t>-</w:t>
      </w:r>
      <w:r w:rsidRPr="0011090D">
        <w:t xml:space="preserve">segregated apprenticeships. ‘Equality at </w:t>
      </w:r>
      <w:r w:rsidR="00D63AFD">
        <w:t>w</w:t>
      </w:r>
      <w:r w:rsidRPr="0011090D">
        <w:t xml:space="preserve">ork? Positive </w:t>
      </w:r>
      <w:r w:rsidR="00D63AFD">
        <w:t>a</w:t>
      </w:r>
      <w:r w:rsidRPr="0011090D">
        <w:t xml:space="preserve">ction in </w:t>
      </w:r>
      <w:r w:rsidR="00D63AFD">
        <w:t>g</w:t>
      </w:r>
      <w:r w:rsidRPr="0011090D">
        <w:t>ender segregated apprenticeships’</w:t>
      </w:r>
      <w:r w:rsidRPr="0011090D">
        <w:rPr>
          <w:vertAlign w:val="superscript"/>
        </w:rPr>
        <w:footnoteReference w:id="183"/>
      </w:r>
      <w:r w:rsidRPr="0011090D">
        <w:t xml:space="preserve"> focused in particular on the construction, engineering and IT sectors.</w:t>
      </w:r>
    </w:p>
    <w:p w14:paraId="7E40EFDA" w14:textId="4491CF97" w:rsidR="001D0F88" w:rsidRDefault="00254203" w:rsidP="00C95164">
      <w:pPr>
        <w:pStyle w:val="Parabeforeanother"/>
      </w:pPr>
      <w:r w:rsidRPr="0011090D">
        <w:t xml:space="preserve">The 2018 research highlights significant confusion around positive action, including whether and how it can be used. It points to positive action being under-utilised and this in turn acts as a barrier to addressing the under-representation of women in key sectors, in apprenticeships and beyond. The research flags that small and medium-sized enterprises (SMEs) felt least able to use positive action measures due to a lack of support from larger organisations and limited funding. </w:t>
      </w:r>
    </w:p>
    <w:p w14:paraId="378B2F79" w14:textId="719E5E30" w:rsidR="00254203" w:rsidRPr="0011090D" w:rsidRDefault="001D0F88" w:rsidP="00C95164">
      <w:pPr>
        <w:pStyle w:val="Parabeforeanother"/>
      </w:pPr>
      <w:r w:rsidRPr="00165EBE">
        <w:t xml:space="preserve">In April 2017, an </w:t>
      </w:r>
      <w:r w:rsidR="00D63AFD">
        <w:t>a</w:t>
      </w:r>
      <w:r w:rsidRPr="00165EBE">
        <w:t xml:space="preserve">pprenticeship </w:t>
      </w:r>
      <w:r w:rsidR="00D63AFD">
        <w:t>l</w:t>
      </w:r>
      <w:r w:rsidRPr="00165EBE">
        <w:t>evy (applying across the UK) was introduced</w:t>
      </w:r>
      <w:r w:rsidR="00D63AFD">
        <w:t>,</w:t>
      </w:r>
      <w:r w:rsidRPr="00165EBE">
        <w:t xml:space="preserve"> requiring all employers with a pay bill of over £3 million per year to pay a contribution to meet apprenticeship funding. An overall fall in apprenticeship starts in England began in 2016/17</w:t>
      </w:r>
      <w:r w:rsidR="00D63AFD">
        <w:t>;</w:t>
      </w:r>
      <w:r w:rsidRPr="00165EBE">
        <w:t xml:space="preserve"> however, this then accelerated in 2017/18. It is clear that this has </w:t>
      </w:r>
      <w:r w:rsidRPr="00165EBE">
        <w:lastRenderedPageBreak/>
        <w:t>had a disproportionate impact on women – the total number of male starts fell by 16.9% in this time period, whereas female starts fell by 30.3%.</w:t>
      </w:r>
      <w:r w:rsidR="00165EBE">
        <w:rPr>
          <w:rStyle w:val="FootnoteReference"/>
        </w:rPr>
        <w:footnoteReference w:id="184"/>
      </w:r>
    </w:p>
    <w:p w14:paraId="7A56A00F" w14:textId="2E94B389" w:rsidR="00254203" w:rsidRPr="0011090D" w:rsidRDefault="00254203" w:rsidP="00C95164">
      <w:pPr>
        <w:pStyle w:val="Parabeforenewsubsection"/>
      </w:pPr>
      <w:r w:rsidRPr="0011090D">
        <w:t xml:space="preserve">The Welsh Assembly’s Economy, Infrastructure and Skills Committee published its report on </w:t>
      </w:r>
      <w:r w:rsidR="00B06439">
        <w:t>a</w:t>
      </w:r>
      <w:r w:rsidRPr="0011090D">
        <w:t>pprenticeships in Wales</w:t>
      </w:r>
      <w:r w:rsidRPr="0011090D">
        <w:rPr>
          <w:vertAlign w:val="superscript"/>
        </w:rPr>
        <w:footnoteReference w:id="185"/>
      </w:r>
      <w:r w:rsidRPr="0011090D">
        <w:t xml:space="preserve"> in February 2018. The report recognised that gender segregation in apprenticeships remains stubborn in Wales. For example, evidence submitted by Colegau Cymru</w:t>
      </w:r>
      <w:r w:rsidR="00B06439">
        <w:t xml:space="preserve"> (Colleges</w:t>
      </w:r>
      <w:r w:rsidR="008B3116">
        <w:t xml:space="preserve"> </w:t>
      </w:r>
      <w:r w:rsidR="00B06439">
        <w:t>Wales)</w:t>
      </w:r>
      <w:r w:rsidRPr="0011090D">
        <w:rPr>
          <w:vertAlign w:val="superscript"/>
        </w:rPr>
        <w:footnoteReference w:id="186"/>
      </w:r>
      <w:r w:rsidRPr="0011090D">
        <w:t xml:space="preserve"> stated that of the 4,675 foundation, apprenticeship and higher apprenticeships available in construction, 4,555 were male compared </w:t>
      </w:r>
      <w:r w:rsidR="00B06439">
        <w:t>with</w:t>
      </w:r>
      <w:r w:rsidRPr="0011090D">
        <w:t xml:space="preserve"> 120 females. The report’s 14 recommendations included that the Welsh Government should ensure there is no let-up in support to tackling the wider prejudices regarding gender and careers so that the widest o</w:t>
      </w:r>
      <w:r w:rsidR="00C95164">
        <w:t>pportunity is available to all.</w:t>
      </w:r>
    </w:p>
    <w:p w14:paraId="13F6E963" w14:textId="1C2FBE3C" w:rsidR="00254203" w:rsidRPr="00EE24B8" w:rsidRDefault="00254203" w:rsidP="00EE24B8">
      <w:pPr>
        <w:pStyle w:val="Title-subsections"/>
      </w:pPr>
      <w:r>
        <w:t>Recommendations</w:t>
      </w:r>
    </w:p>
    <w:p w14:paraId="14EAAECE" w14:textId="3BC839C3" w:rsidR="00B06439" w:rsidRPr="00C803F9" w:rsidRDefault="00254203" w:rsidP="00EE24B8">
      <w:pPr>
        <w:pStyle w:val="Parabeforebulletss"/>
      </w:pPr>
      <w:r>
        <w:t xml:space="preserve">The </w:t>
      </w:r>
      <w:r w:rsidR="002806AC">
        <w:t xml:space="preserve">EHRC recommends that the </w:t>
      </w:r>
      <w:r>
        <w:t>UK and Welsh governments, where relevant, should:</w:t>
      </w:r>
    </w:p>
    <w:p w14:paraId="570625DA" w14:textId="4AC58CA3" w:rsidR="00254203" w:rsidRDefault="007A75C8" w:rsidP="00EE24B8">
      <w:pPr>
        <w:pStyle w:val="Bullet-followedbyothers"/>
      </w:pPr>
      <w:r>
        <w:t>e</w:t>
      </w:r>
      <w:r w:rsidR="00254203">
        <w:t>nsure high-quality apprenticeships reduce women’s employment gaps and occupational segregation</w:t>
      </w:r>
    </w:p>
    <w:p w14:paraId="3E85C2CE" w14:textId="66B84C6C" w:rsidR="001D0F88" w:rsidRDefault="007A75C8" w:rsidP="00EE24B8">
      <w:pPr>
        <w:pStyle w:val="Bullet-followedbyothers"/>
        <w:rPr>
          <w:rFonts w:cs="Arial"/>
        </w:rPr>
      </w:pPr>
      <w:r>
        <w:rPr>
          <w:rFonts w:cs="Arial"/>
        </w:rPr>
        <w:t>s</w:t>
      </w:r>
      <w:r w:rsidR="001D0F88" w:rsidRPr="001D0F88">
        <w:rPr>
          <w:rFonts w:cs="Arial"/>
        </w:rPr>
        <w:t>et aspirational and transparent targets to improve the participation and progression rates of under-represented groups in apprenticeships, including through greater use of positive action to recruit women apprentices in sectors where they are under-represented</w:t>
      </w:r>
      <w:r w:rsidR="00EE24B8">
        <w:rPr>
          <w:rFonts w:cs="Arial"/>
        </w:rPr>
        <w:t>, and</w:t>
      </w:r>
    </w:p>
    <w:p w14:paraId="37ACDB16" w14:textId="0D92DAA4" w:rsidR="00254203" w:rsidRPr="0011090D" w:rsidRDefault="007A75C8" w:rsidP="00EE24B8">
      <w:pPr>
        <w:pStyle w:val="Bullet-lastingroup"/>
        <w:spacing w:after="680"/>
      </w:pPr>
      <w:r>
        <w:t>a</w:t>
      </w:r>
      <w:r w:rsidR="001D0F88" w:rsidRPr="001D0F88">
        <w:t xml:space="preserve">ssess the reasons for, and take action </w:t>
      </w:r>
      <w:r>
        <w:t xml:space="preserve">to </w:t>
      </w:r>
      <w:r w:rsidR="001D0F88" w:rsidRPr="001D0F88">
        <w:t>address, the fall in apprenticeship starts in England since 2016, particularly the disproportionately high drops in apprenticeships starts among women</w:t>
      </w:r>
      <w:r w:rsidR="001D0F88">
        <w:t>.</w:t>
      </w:r>
    </w:p>
    <w:p w14:paraId="7D5DBA13" w14:textId="03E95309" w:rsidR="00254203" w:rsidRPr="00783CB0" w:rsidRDefault="00254203" w:rsidP="00254203">
      <w:pPr>
        <w:pStyle w:val="Title-sectionspink"/>
      </w:pPr>
      <w:bookmarkStart w:id="60" w:name="_Toc534726642"/>
      <w:r w:rsidRPr="00783CB0">
        <w:t>Pay</w:t>
      </w:r>
      <w:bookmarkEnd w:id="60"/>
    </w:p>
    <w:p w14:paraId="0FB85800" w14:textId="3A2AB1F2" w:rsidR="00254203" w:rsidRPr="0011090D" w:rsidRDefault="00254203" w:rsidP="00817D1F">
      <w:pPr>
        <w:pStyle w:val="Parabeforeanother"/>
      </w:pPr>
      <w:r w:rsidRPr="0011090D">
        <w:t>All employers required to report their gender pay gap in compliance wit</w:t>
      </w:r>
      <w:r>
        <w:t>h new regulations did so by July 2018</w:t>
      </w:r>
      <w:r w:rsidRPr="0011090D">
        <w:t xml:space="preserve">. EHRC has analysed 440 employers’ accompanying narrative reports, </w:t>
      </w:r>
      <w:r w:rsidR="008F6DE2">
        <w:t>identifying</w:t>
      </w:r>
      <w:r w:rsidRPr="0011090D">
        <w:t xml:space="preserve"> where improvements need to be made by employers to </w:t>
      </w:r>
      <w:r w:rsidRPr="0011090D">
        <w:lastRenderedPageBreak/>
        <w:t>analyse and address root causes of inequality for women in the workplace, using their pay gap data.</w:t>
      </w:r>
      <w:r w:rsidRPr="0011090D">
        <w:rPr>
          <w:vertAlign w:val="superscript"/>
        </w:rPr>
        <w:footnoteReference w:id="187"/>
      </w:r>
      <w:r w:rsidRPr="0011090D">
        <w:t xml:space="preserve"> </w:t>
      </w:r>
    </w:p>
    <w:p w14:paraId="6CB519F4" w14:textId="2983C7BF" w:rsidR="00254203" w:rsidRPr="0011090D" w:rsidRDefault="00254203" w:rsidP="00817D1F">
      <w:pPr>
        <w:pStyle w:val="Parabeforeanother"/>
      </w:pPr>
      <w:r w:rsidRPr="0011090D">
        <w:t>We also commissioned research conducted with over 2</w:t>
      </w:r>
      <w:r w:rsidR="007A75C8">
        <w:t>,</w:t>
      </w:r>
      <w:r w:rsidRPr="0011090D">
        <w:t>500 employees to understand their perceptions of the gender pay gap and how this may have affected working relationships, motivation levels and job</w:t>
      </w:r>
      <w:r w:rsidR="007A75C8">
        <w:t>-</w:t>
      </w:r>
      <w:r w:rsidRPr="0011090D">
        <w:t>seeking behaviours.</w:t>
      </w:r>
      <w:r w:rsidRPr="0011090D">
        <w:rPr>
          <w:vertAlign w:val="superscript"/>
        </w:rPr>
        <w:footnoteReference w:id="188"/>
      </w:r>
      <w:r w:rsidRPr="0011090D">
        <w:t xml:space="preserve"> Th</w:t>
      </w:r>
      <w:r>
        <w:t>e</w:t>
      </w:r>
      <w:r w:rsidRPr="0011090D">
        <w:t xml:space="preserve"> research found that </w:t>
      </w:r>
      <w:r>
        <w:t>if an organisation had a gender pay gap, this had</w:t>
      </w:r>
      <w:r w:rsidRPr="0011090D">
        <w:t xml:space="preserve"> a significant impact on women’s motivations and behaviour in work, with 61% of women saying that they would select an employer without a gender pay gap when applying for a new job in the future</w:t>
      </w:r>
      <w:r w:rsidR="007A75C8">
        <w:t>,</w:t>
      </w:r>
      <w:r w:rsidRPr="0011090D">
        <w:t xml:space="preserve"> and 58% saying it would make them less likely to recommend their employer as a place to work. </w:t>
      </w:r>
    </w:p>
    <w:p w14:paraId="07A515BA" w14:textId="73F91602" w:rsidR="00254203" w:rsidRPr="0011090D" w:rsidRDefault="00254203" w:rsidP="00817D1F">
      <w:pPr>
        <w:pStyle w:val="Parabeforeanother"/>
      </w:pPr>
      <w:r w:rsidRPr="0011090D">
        <w:t xml:space="preserve">Similarly, </w:t>
      </w:r>
      <w:r w:rsidR="007A75C8">
        <w:t xml:space="preserve">the </w:t>
      </w:r>
      <w:r w:rsidRPr="0011090D">
        <w:t>Young Women’s Trust’s recent report, ‘It’s (still) a rich man’s world’,</w:t>
      </w:r>
      <w:r w:rsidRPr="0011090D">
        <w:rPr>
          <w:vertAlign w:val="superscript"/>
        </w:rPr>
        <w:footnoteReference w:id="189"/>
      </w:r>
      <w:r w:rsidRPr="0011090D">
        <w:t xml:space="preserve"> found that little progress has been made towards reducing inequalities for </w:t>
      </w:r>
      <w:r>
        <w:t xml:space="preserve">young </w:t>
      </w:r>
      <w:r w:rsidRPr="0011090D">
        <w:t>women in the workplace, despite the introduction of mandatory gender pay gap reporting.</w:t>
      </w:r>
    </w:p>
    <w:p w14:paraId="09805043" w14:textId="77777777" w:rsidR="00254203" w:rsidRPr="0011090D" w:rsidRDefault="00254203" w:rsidP="00817D1F">
      <w:pPr>
        <w:pStyle w:val="Parabeforeanother"/>
      </w:pPr>
      <w:r w:rsidRPr="0011090D">
        <w:t>Understanding women’s experiences in relation to other shared protected characteristics, such as race, is vital. We have published research into the extent to which employers are currently measuring and reporting on ethnicity and disability pay gaps, which found that just 3% of employers could report such data.</w:t>
      </w:r>
      <w:r w:rsidRPr="0011090D">
        <w:rPr>
          <w:vertAlign w:val="superscript"/>
        </w:rPr>
        <w:footnoteReference w:id="190"/>
      </w:r>
      <w:r w:rsidRPr="0011090D">
        <w:t xml:space="preserve"> Following EHRC’s calls for a mandatory reporting duty on ethnicity and disability employment data, the UK Government has announced its intention to introduce mandatory ethnicity pay gap reporting and has launched a consultation, which the EHRC will be responding to in due course.</w:t>
      </w:r>
      <w:r w:rsidRPr="0011090D">
        <w:rPr>
          <w:vertAlign w:val="superscript"/>
        </w:rPr>
        <w:footnoteReference w:id="191"/>
      </w:r>
      <w:r w:rsidRPr="0011090D">
        <w:t xml:space="preserve"> </w:t>
      </w:r>
    </w:p>
    <w:p w14:paraId="322C2988" w14:textId="3F92B863" w:rsidR="00254203" w:rsidRPr="0011090D" w:rsidRDefault="00254203" w:rsidP="00817D1F">
      <w:pPr>
        <w:pStyle w:val="Parabeforeanother"/>
      </w:pPr>
      <w:r w:rsidRPr="0011090D">
        <w:lastRenderedPageBreak/>
        <w:t xml:space="preserve">The UK Parliament’s Business, Energy and Industrial Strategy </w:t>
      </w:r>
      <w:r w:rsidR="00A046AA">
        <w:t xml:space="preserve">(BEIS) </w:t>
      </w:r>
      <w:r w:rsidRPr="0011090D">
        <w:t>Select Committee has published its report, ‘Gender pay gap reporting’,</w:t>
      </w:r>
      <w:r w:rsidRPr="0011090D">
        <w:rPr>
          <w:vertAlign w:val="superscript"/>
        </w:rPr>
        <w:footnoteReference w:id="192"/>
      </w:r>
      <w:r w:rsidRPr="0011090D">
        <w:t xml:space="preserve"> assessing the adequacy and effectiveness of the new regulations and calling on the UK Government to be more ambitious. The </w:t>
      </w:r>
      <w:r w:rsidR="00A046AA">
        <w:t>c</w:t>
      </w:r>
      <w:r w:rsidRPr="0011090D">
        <w:t>ommittee recommended</w:t>
      </w:r>
      <w:r w:rsidRPr="0011090D">
        <w:rPr>
          <w:b/>
        </w:rPr>
        <w:t xml:space="preserve"> </w:t>
      </w:r>
      <w:r w:rsidRPr="0011090D">
        <w:rPr>
          <w:iCs/>
          <w:shd w:val="clear" w:color="auto" w:fill="FFFFFF"/>
        </w:rPr>
        <w:t>that organisations be required to provide narrative reporting alongside their gender pay statistics, and an action plan setting out how pay gaps are being</w:t>
      </w:r>
      <w:r w:rsidR="00A046AA">
        <w:rPr>
          <w:iCs/>
          <w:shd w:val="clear" w:color="auto" w:fill="FFFFFF"/>
        </w:rPr>
        <w:t>,</w:t>
      </w:r>
      <w:r w:rsidRPr="0011090D">
        <w:rPr>
          <w:iCs/>
          <w:shd w:val="clear" w:color="auto" w:fill="FFFFFF"/>
        </w:rPr>
        <w:t xml:space="preserve"> and will be</w:t>
      </w:r>
      <w:r w:rsidR="00A046AA">
        <w:rPr>
          <w:iCs/>
          <w:shd w:val="clear" w:color="auto" w:fill="FFFFFF"/>
        </w:rPr>
        <w:t>,</w:t>
      </w:r>
      <w:r w:rsidRPr="0011090D">
        <w:rPr>
          <w:iCs/>
          <w:shd w:val="clear" w:color="auto" w:fill="FFFFFF"/>
        </w:rPr>
        <w:t xml:space="preserve"> addressed, including objectives and targets. We welcome this recommendation, as outlined in our previous CEDAW submission, and see this as an essential step to tackling the root causes of </w:t>
      </w:r>
      <w:r>
        <w:rPr>
          <w:iCs/>
          <w:shd w:val="clear" w:color="auto" w:fill="FFFFFF"/>
        </w:rPr>
        <w:t>inequality in the workplace. Narratives</w:t>
      </w:r>
      <w:r w:rsidRPr="0011090D">
        <w:rPr>
          <w:iCs/>
          <w:shd w:val="clear" w:color="auto" w:fill="FFFFFF"/>
        </w:rPr>
        <w:t xml:space="preserve"> will promote transparency of actions as well as </w:t>
      </w:r>
      <w:r>
        <w:rPr>
          <w:iCs/>
          <w:shd w:val="clear" w:color="auto" w:fill="FFFFFF"/>
        </w:rPr>
        <w:t>reduce the</w:t>
      </w:r>
      <w:r w:rsidR="008F6DE2">
        <w:rPr>
          <w:iCs/>
          <w:shd w:val="clear" w:color="auto" w:fill="FFFFFF"/>
        </w:rPr>
        <w:t xml:space="preserve"> pay gap and ensure that </w:t>
      </w:r>
      <w:r w:rsidRPr="0011090D">
        <w:rPr>
          <w:iCs/>
          <w:shd w:val="clear" w:color="auto" w:fill="FFFFFF"/>
        </w:rPr>
        <w:t xml:space="preserve">steps </w:t>
      </w:r>
      <w:r w:rsidR="008F6DE2">
        <w:rPr>
          <w:iCs/>
          <w:shd w:val="clear" w:color="auto" w:fill="FFFFFF"/>
        </w:rPr>
        <w:t xml:space="preserve">are </w:t>
      </w:r>
      <w:r w:rsidRPr="0011090D">
        <w:rPr>
          <w:iCs/>
          <w:shd w:val="clear" w:color="auto" w:fill="FFFFFF"/>
        </w:rPr>
        <w:t xml:space="preserve">taken </w:t>
      </w:r>
      <w:r w:rsidR="00A046AA">
        <w:rPr>
          <w:iCs/>
          <w:shd w:val="clear" w:color="auto" w:fill="FFFFFF"/>
        </w:rPr>
        <w:t xml:space="preserve">to </w:t>
      </w:r>
      <w:r w:rsidRPr="0011090D">
        <w:rPr>
          <w:iCs/>
          <w:shd w:val="clear" w:color="auto" w:fill="FFFFFF"/>
        </w:rPr>
        <w:t xml:space="preserve">promote equality. </w:t>
      </w:r>
    </w:p>
    <w:p w14:paraId="6E9A4C6D" w14:textId="6DD9CFE7" w:rsidR="00254203" w:rsidRPr="0011090D" w:rsidRDefault="00254203" w:rsidP="00817D1F">
      <w:pPr>
        <w:pStyle w:val="Parabeforenewsubsection"/>
      </w:pPr>
      <w:r w:rsidRPr="0011090D">
        <w:t>In Wales, listed bodies subject to the Wales-specific PSED are not currently required to publish their gender pay data on the UK Government website but are free to do so if they wish. The EHRC in Wales is carrying out a monitoring exercise that will establish which listed bodies have also chosen to publish</w:t>
      </w:r>
      <w:r>
        <w:t xml:space="preserve"> </w:t>
      </w:r>
      <w:r w:rsidRPr="0011090D">
        <w:t>pay data in line with the Equality Act 2010 (Gender Pay Gap Information) Regulations 2017. The Welsh Government is examining ways to ensure that future reporting arrangements are robust and that the way listed bodies publish their data is transparent, user-friendly and accessible.</w:t>
      </w:r>
      <w:r w:rsidRPr="0011090D">
        <w:rPr>
          <w:vertAlign w:val="superscript"/>
        </w:rPr>
        <w:footnoteReference w:id="193"/>
      </w:r>
    </w:p>
    <w:p w14:paraId="40F8C228" w14:textId="53C35FAB" w:rsidR="00254203" w:rsidRPr="00817D1F" w:rsidRDefault="00254203" w:rsidP="00817D1F">
      <w:pPr>
        <w:pStyle w:val="Title-subsections"/>
      </w:pPr>
      <w:r w:rsidRPr="0011090D">
        <w:t xml:space="preserve">Recommendations </w:t>
      </w:r>
    </w:p>
    <w:p w14:paraId="75D9B451" w14:textId="7184C4B1" w:rsidR="00A046AA" w:rsidRDefault="00254203" w:rsidP="00817D1F">
      <w:pPr>
        <w:pStyle w:val="Parabeforebulletss"/>
      </w:pPr>
      <w:r>
        <w:t>The</w:t>
      </w:r>
      <w:r w:rsidR="002806AC">
        <w:t xml:space="preserve"> EHRC recommends that the</w:t>
      </w:r>
      <w:r>
        <w:t xml:space="preserve"> UK and Welsh governments, where relevant, should:</w:t>
      </w:r>
    </w:p>
    <w:p w14:paraId="2499832E" w14:textId="7AB88B2C" w:rsidR="00254203" w:rsidRPr="006A439B" w:rsidRDefault="00A046AA" w:rsidP="00817D1F">
      <w:pPr>
        <w:pStyle w:val="Bullet-followedbyothers"/>
      </w:pPr>
      <w:r>
        <w:t>m</w:t>
      </w:r>
      <w:r w:rsidR="00254203">
        <w:t>ake it mandatory for employers to publish a narrative with their gender pay gap data to help employees and the public understand the factors underlying the gender pay gap and focus on how to make substantive improvements to the workplace for women</w:t>
      </w:r>
    </w:p>
    <w:p w14:paraId="304A33C2" w14:textId="083E12D1" w:rsidR="00254203" w:rsidRDefault="00A046AA" w:rsidP="00817D1F">
      <w:pPr>
        <w:pStyle w:val="Bullet-followedbyothers"/>
      </w:pPr>
      <w:r>
        <w:t>d</w:t>
      </w:r>
      <w:r w:rsidR="00254203">
        <w:t>evelop national action plans to close gender, disability and ethnicity pay gaps, and report regularly on progress</w:t>
      </w:r>
      <w:r w:rsidR="00817D1F">
        <w:t>, and</w:t>
      </w:r>
    </w:p>
    <w:p w14:paraId="708144E4" w14:textId="76235230" w:rsidR="00254203" w:rsidRPr="00817D1F" w:rsidRDefault="00254203" w:rsidP="00817D1F">
      <w:pPr>
        <w:pStyle w:val="Bullet-lastingroup"/>
      </w:pPr>
      <w:r w:rsidRPr="006A439B">
        <w:lastRenderedPageBreak/>
        <w:t>require private, voluntary and those public sector employers not in the scope of the Scottish and Welsh Public Sector Equality Duty specific duties, to monitor and report on ethnicity and disability in recruitment, retention and progression. This should apply to organisations with more than 250 employees</w:t>
      </w:r>
      <w:r w:rsidR="00A046AA">
        <w:t>.</w:t>
      </w:r>
    </w:p>
    <w:p w14:paraId="322D6E4F" w14:textId="5F2B44F0" w:rsidR="00A046AA" w:rsidRPr="0011090D" w:rsidRDefault="00254203" w:rsidP="00817D1F">
      <w:pPr>
        <w:pStyle w:val="Parabeforebulletss"/>
      </w:pPr>
      <w:r>
        <w:t>The</w:t>
      </w:r>
      <w:r w:rsidR="002806AC">
        <w:t xml:space="preserve"> EHRC recommends that the</w:t>
      </w:r>
      <w:r>
        <w:t xml:space="preserve"> Welsh Government should:</w:t>
      </w:r>
    </w:p>
    <w:p w14:paraId="78347677" w14:textId="77777777" w:rsidR="00254203" w:rsidRPr="006A439B" w:rsidRDefault="00254203" w:rsidP="00817D1F">
      <w:pPr>
        <w:pStyle w:val="Bullet-followedbyothers"/>
      </w:pPr>
      <w:r w:rsidRPr="006A439B">
        <w:t>review and improve the specific duties – under the Equality Act 2010 (Statutory Duties) (Wales) Regulations 2011 – to require public bodies in Wales to take action to address pay and employment  differences, report on progress and publish pay gap data.</w:t>
      </w:r>
    </w:p>
    <w:p w14:paraId="0FB1B59C" w14:textId="77777777" w:rsidR="00254203" w:rsidRPr="0011090D" w:rsidRDefault="00254203" w:rsidP="00254203">
      <w:pPr>
        <w:tabs>
          <w:tab w:val="left" w:pos="2550"/>
        </w:tabs>
        <w:spacing w:line="240" w:lineRule="auto"/>
        <w:rPr>
          <w:b/>
          <w:szCs w:val="24"/>
        </w:rPr>
      </w:pPr>
    </w:p>
    <w:p w14:paraId="2F90D73F" w14:textId="77777777" w:rsidR="00254203" w:rsidRPr="00783CB0" w:rsidRDefault="00254203" w:rsidP="00254203">
      <w:pPr>
        <w:rPr>
          <w:rFonts w:cs="Arial"/>
        </w:rPr>
      </w:pPr>
    </w:p>
    <w:p w14:paraId="629E60DB" w14:textId="77777777" w:rsidR="00254203" w:rsidRDefault="00254203" w:rsidP="00254203">
      <w:pPr>
        <w:spacing w:after="160" w:line="259" w:lineRule="auto"/>
        <w:rPr>
          <w:rFonts w:ascii="Calibri Light" w:eastAsia="Times New Roman" w:hAnsi="Calibri Light"/>
          <w:b/>
          <w:bCs/>
          <w:color w:val="2E74B5"/>
          <w:sz w:val="28"/>
          <w:szCs w:val="28"/>
        </w:rPr>
      </w:pPr>
      <w:r>
        <w:rPr>
          <w:rFonts w:ascii="Calibri Light" w:eastAsia="Times New Roman" w:hAnsi="Calibri Light"/>
          <w:b/>
          <w:bCs/>
          <w:color w:val="2E74B5"/>
          <w:sz w:val="28"/>
          <w:szCs w:val="28"/>
        </w:rPr>
        <w:br w:type="page"/>
      </w:r>
    </w:p>
    <w:p w14:paraId="70F68AA5" w14:textId="118BF7BC" w:rsidR="00254203" w:rsidRPr="003F699A" w:rsidRDefault="00254203" w:rsidP="00254203">
      <w:pPr>
        <w:pStyle w:val="Title-chapterpink"/>
        <w:rPr>
          <w:color w:val="auto"/>
          <w:sz w:val="36"/>
          <w:szCs w:val="36"/>
        </w:rPr>
      </w:pPr>
      <w:bookmarkStart w:id="61" w:name="_Toc534726643"/>
      <w:r w:rsidRPr="007B7BC6">
        <w:lastRenderedPageBreak/>
        <w:t>9. Highest attainable standard of health</w:t>
      </w:r>
      <w:r>
        <w:t xml:space="preserve">: </w:t>
      </w:r>
      <w:r w:rsidRPr="003F699A">
        <w:rPr>
          <w:color w:val="auto"/>
          <w:sz w:val="36"/>
          <w:szCs w:val="36"/>
        </w:rPr>
        <w:t xml:space="preserve">relates to </w:t>
      </w:r>
      <w:r w:rsidR="002D048D">
        <w:rPr>
          <w:color w:val="auto"/>
          <w:sz w:val="36"/>
          <w:szCs w:val="36"/>
        </w:rPr>
        <w:t xml:space="preserve">LoI paragraph 21, </w:t>
      </w:r>
      <w:r w:rsidRPr="003F699A">
        <w:rPr>
          <w:color w:val="auto"/>
          <w:sz w:val="36"/>
          <w:szCs w:val="36"/>
        </w:rPr>
        <w:t>articles 12 and 16, CO paragraphs 53.a-b and 61.a and SDGs 3 and 5</w:t>
      </w:r>
      <w:bookmarkEnd w:id="61"/>
    </w:p>
    <w:p w14:paraId="3D31DB05" w14:textId="77777777" w:rsidR="00254203" w:rsidRPr="007B7BC6" w:rsidRDefault="00254203" w:rsidP="00254203">
      <w:pPr>
        <w:pStyle w:val="Title-sectionspink"/>
      </w:pPr>
      <w:bookmarkStart w:id="62" w:name="_Toc534726644"/>
      <w:r w:rsidRPr="007B7BC6">
        <w:t>Mental and physical health</w:t>
      </w:r>
      <w:bookmarkEnd w:id="62"/>
      <w:r w:rsidRPr="007B7BC6">
        <w:t xml:space="preserve"> </w:t>
      </w:r>
    </w:p>
    <w:p w14:paraId="3CAC2B0E" w14:textId="77777777" w:rsidR="00254203" w:rsidRPr="000C600B" w:rsidRDefault="00254203" w:rsidP="0034708A">
      <w:pPr>
        <w:pStyle w:val="Title-subsections"/>
      </w:pPr>
      <w:r w:rsidRPr="000C600B">
        <w:t>Mental health</w:t>
      </w:r>
    </w:p>
    <w:p w14:paraId="33FC8291" w14:textId="77777777" w:rsidR="00254203" w:rsidRPr="000C600B" w:rsidRDefault="00254203" w:rsidP="0034708A">
      <w:pPr>
        <w:pStyle w:val="Parabeforeanother"/>
        <w:rPr>
          <w:rFonts w:eastAsia="Times New Roman"/>
          <w:lang w:eastAsia="en-GB"/>
        </w:rPr>
      </w:pPr>
      <w:r w:rsidRPr="000C600B">
        <w:t>The UK Government continues to commit to improving access to mental health services and outcomes for the population as a whole,</w:t>
      </w:r>
      <w:r w:rsidRPr="000C600B">
        <w:rPr>
          <w:vertAlign w:val="superscript"/>
        </w:rPr>
        <w:footnoteReference w:id="194"/>
      </w:r>
      <w:r w:rsidRPr="000C600B">
        <w:t xml:space="preserve"> however</w:t>
      </w:r>
      <w:r>
        <w:t xml:space="preserve"> there remain questions as to whether women and girls are receiving the care they need.</w:t>
      </w:r>
    </w:p>
    <w:p w14:paraId="7929BD47" w14:textId="3AB52230" w:rsidR="00254203" w:rsidRPr="000C600B" w:rsidRDefault="00254203" w:rsidP="0034708A">
      <w:pPr>
        <w:pStyle w:val="Parabeforebulletss"/>
      </w:pPr>
      <w:r w:rsidRPr="000C600B">
        <w:rPr>
          <w:rFonts w:eastAsia="Times New Roman"/>
          <w:lang w:eastAsia="en-GB"/>
        </w:rPr>
        <w:t xml:space="preserve">In a </w:t>
      </w:r>
      <w:r w:rsidR="002829BA">
        <w:rPr>
          <w:rFonts w:eastAsia="Times New Roman"/>
          <w:lang w:eastAsia="en-GB"/>
        </w:rPr>
        <w:t>2018</w:t>
      </w:r>
      <w:r w:rsidR="002829BA" w:rsidRPr="000C600B">
        <w:rPr>
          <w:rFonts w:eastAsia="Times New Roman"/>
          <w:lang w:eastAsia="en-GB"/>
        </w:rPr>
        <w:t xml:space="preserve"> </w:t>
      </w:r>
      <w:r w:rsidRPr="000C600B">
        <w:rPr>
          <w:rFonts w:eastAsia="Times New Roman"/>
          <w:lang w:eastAsia="en-GB"/>
        </w:rPr>
        <w:t xml:space="preserve">report, </w:t>
      </w:r>
      <w:r w:rsidR="004A0489">
        <w:rPr>
          <w:rFonts w:eastAsia="Times New Roman"/>
          <w:lang w:eastAsia="en-GB"/>
        </w:rPr>
        <w:t>the</w:t>
      </w:r>
      <w:r w:rsidR="008B3116">
        <w:rPr>
          <w:rFonts w:eastAsia="Times New Roman"/>
          <w:lang w:eastAsia="en-GB"/>
        </w:rPr>
        <w:t xml:space="preserve"> charity</w:t>
      </w:r>
      <w:r w:rsidR="004A0489">
        <w:rPr>
          <w:rFonts w:eastAsia="Times New Roman"/>
          <w:lang w:eastAsia="en-GB"/>
        </w:rPr>
        <w:t xml:space="preserve"> </w:t>
      </w:r>
      <w:r w:rsidRPr="000C600B">
        <w:rPr>
          <w:rFonts w:eastAsia="Times New Roman"/>
          <w:lang w:eastAsia="en-GB"/>
        </w:rPr>
        <w:t>Agenda</w:t>
      </w:r>
      <w:r>
        <w:rPr>
          <w:rFonts w:eastAsia="Times New Roman"/>
          <w:lang w:eastAsia="en-GB"/>
        </w:rPr>
        <w:t xml:space="preserve"> found </w:t>
      </w:r>
      <w:r w:rsidRPr="000C600B">
        <w:rPr>
          <w:rFonts w:eastAsia="Times New Roman"/>
          <w:lang w:eastAsia="en-GB"/>
        </w:rPr>
        <w:t xml:space="preserve">that </w:t>
      </w:r>
      <w:r w:rsidRPr="000C600B">
        <w:t>women and girls in England were more likely to be</w:t>
      </w:r>
      <w:r>
        <w:t xml:space="preserve"> held in mental health detention</w:t>
      </w:r>
      <w:r w:rsidRPr="000C600B">
        <w:t xml:space="preserve"> </w:t>
      </w:r>
      <w:r>
        <w:t>under emergency short-</w:t>
      </w:r>
      <w:r w:rsidRPr="000C600B">
        <w:t>term sections than men and boys</w:t>
      </w:r>
      <w:r>
        <w:t xml:space="preserve">. </w:t>
      </w:r>
      <w:r w:rsidR="004A0489">
        <w:t>Ethnic m</w:t>
      </w:r>
      <w:r w:rsidRPr="000C600B">
        <w:t xml:space="preserve">inority women were disproportionately at risk of being detained compared </w:t>
      </w:r>
      <w:r w:rsidR="004A0489">
        <w:t>with</w:t>
      </w:r>
      <w:r w:rsidRPr="000C600B">
        <w:t xml:space="preserve"> the general population.</w:t>
      </w:r>
      <w:r w:rsidRPr="000C600B">
        <w:rPr>
          <w:rFonts w:eastAsia="Times New Roman"/>
          <w:vertAlign w:val="superscript"/>
          <w:lang w:eastAsia="en-GB"/>
        </w:rPr>
        <w:footnoteReference w:id="195"/>
      </w:r>
      <w:r w:rsidRPr="000C600B">
        <w:t xml:space="preserve"> Other evidence points to worrying trends in relation to the detention of women and girls under the Mental Health Act 1983 (MHA), including</w:t>
      </w:r>
      <w:r w:rsidR="004A0489">
        <w:t xml:space="preserve"> the following.</w:t>
      </w:r>
    </w:p>
    <w:p w14:paraId="514F4D5F" w14:textId="51ED5252" w:rsidR="00254203" w:rsidRPr="000C600B" w:rsidRDefault="00254203" w:rsidP="0034708A">
      <w:pPr>
        <w:pStyle w:val="Bullet-followedbyothers"/>
      </w:pPr>
      <w:r>
        <w:t>L</w:t>
      </w:r>
      <w:r w:rsidRPr="000C600B">
        <w:t>ack of capacity in the syst</w:t>
      </w:r>
      <w:r w:rsidR="008F6DE2">
        <w:t>em lead</w:t>
      </w:r>
      <w:r w:rsidR="004A0489">
        <w:t>s</w:t>
      </w:r>
      <w:r w:rsidRPr="000C600B">
        <w:t xml:space="preserve"> to </w:t>
      </w:r>
      <w:r>
        <w:t>d</w:t>
      </w:r>
      <w:r w:rsidRPr="000C600B">
        <w:t>elays in admitting women to the appropriate secure beds</w:t>
      </w:r>
      <w:r>
        <w:t xml:space="preserve">, and </w:t>
      </w:r>
      <w:r w:rsidRPr="000C600B">
        <w:t xml:space="preserve">women </w:t>
      </w:r>
      <w:r>
        <w:t xml:space="preserve">remaining </w:t>
      </w:r>
      <w:r w:rsidRPr="000C600B">
        <w:t>in higher levels of physical security than appropriate and for long periods of time.</w:t>
      </w:r>
      <w:r w:rsidRPr="000C600B">
        <w:rPr>
          <w:vertAlign w:val="superscript"/>
        </w:rPr>
        <w:footnoteReference w:id="196"/>
      </w:r>
    </w:p>
    <w:p w14:paraId="6A5803A9" w14:textId="5927672F" w:rsidR="00254203" w:rsidRPr="000C600B" w:rsidRDefault="00254203" w:rsidP="0034708A">
      <w:pPr>
        <w:pStyle w:val="Bullet-followedbyothers"/>
      </w:pPr>
      <w:r w:rsidRPr="000C600B">
        <w:lastRenderedPageBreak/>
        <w:t>Staff in many mental health trusts do not routinely enquire whether women and girls in detention have a history of domestic violence and abuse, despite guidelines encouraging them to do so.</w:t>
      </w:r>
      <w:r w:rsidRPr="000C600B">
        <w:rPr>
          <w:vertAlign w:val="superscript"/>
        </w:rPr>
        <w:footnoteReference w:id="197"/>
      </w:r>
      <w:r w:rsidRPr="000C600B">
        <w:t xml:space="preserve"> </w:t>
      </w:r>
      <w:r w:rsidRPr="000C600B">
        <w:rPr>
          <w:rFonts w:eastAsia="Times New Roman"/>
          <w:vertAlign w:val="superscript"/>
          <w:lang w:eastAsia="en-GB"/>
        </w:rPr>
        <w:footnoteReference w:id="198"/>
      </w:r>
    </w:p>
    <w:p w14:paraId="4D91558B" w14:textId="2389D295" w:rsidR="00254203" w:rsidRPr="000C600B" w:rsidRDefault="00254203" w:rsidP="0034708A">
      <w:pPr>
        <w:pStyle w:val="Bullet-followedbyothers"/>
      </w:pPr>
      <w:r w:rsidRPr="000C600B">
        <w:t>The use of restraint against women and girls in mental health settings is widespread</w:t>
      </w:r>
      <w:r w:rsidR="004A0489">
        <w:t>,</w:t>
      </w:r>
      <w:r w:rsidRPr="000C600B">
        <w:t xml:space="preserve"> with huge regional variations. </w:t>
      </w:r>
      <w:r>
        <w:t xml:space="preserve">Girls are </w:t>
      </w:r>
      <w:r w:rsidRPr="000C600B">
        <w:t>more</w:t>
      </w:r>
      <w:r>
        <w:t xml:space="preserve"> likely to be</w:t>
      </w:r>
      <w:r w:rsidRPr="000C600B">
        <w:t xml:space="preserve"> physically restrained than boys</w:t>
      </w:r>
      <w:r>
        <w:t xml:space="preserve">, and women are </w:t>
      </w:r>
      <w:r w:rsidRPr="000C600B">
        <w:t>more likely to be repeatedly restrained than men, including in a face-down position</w:t>
      </w:r>
      <w:r>
        <w:t>.</w:t>
      </w:r>
      <w:r w:rsidRPr="000C600B">
        <w:rPr>
          <w:vertAlign w:val="superscript"/>
        </w:rPr>
        <w:footnoteReference w:id="199"/>
      </w:r>
    </w:p>
    <w:p w14:paraId="1290F8BB" w14:textId="2FC4ABB5" w:rsidR="00254203" w:rsidRPr="0034708A" w:rsidRDefault="00254203" w:rsidP="0034708A">
      <w:pPr>
        <w:pStyle w:val="Bullet-lastingroup"/>
      </w:pPr>
      <w:r w:rsidRPr="000C600B">
        <w:t>The rate of self-inflicted deaths among women and girls detained under the MHA was higher than the rate for men and boys in 2015 and 2016</w:t>
      </w:r>
      <w:r>
        <w:t>.</w:t>
      </w:r>
      <w:r w:rsidRPr="000C600B">
        <w:rPr>
          <w:vertAlign w:val="superscript"/>
        </w:rPr>
        <w:footnoteReference w:id="200"/>
      </w:r>
      <w:r>
        <w:t xml:space="preserve"> </w:t>
      </w:r>
      <w:r w:rsidR="004A0489">
        <w:t>Over the past five years, 32</w:t>
      </w:r>
      <w:r>
        <w:t xml:space="preserve"> women</w:t>
      </w:r>
      <w:r w:rsidRPr="000C600B">
        <w:t xml:space="preserve"> died after a restraint episode</w:t>
      </w:r>
      <w:r>
        <w:t>.</w:t>
      </w:r>
      <w:r w:rsidRPr="000C600B">
        <w:rPr>
          <w:vertAlign w:val="superscript"/>
        </w:rPr>
        <w:footnoteReference w:id="201"/>
      </w:r>
      <w:r>
        <w:t xml:space="preserve"> </w:t>
      </w:r>
      <w:r w:rsidRPr="000C600B">
        <w:t xml:space="preserve"> </w:t>
      </w:r>
    </w:p>
    <w:p w14:paraId="29B94FE8" w14:textId="6E4EB64E" w:rsidR="00556C43" w:rsidRDefault="00556C43" w:rsidP="0034708A">
      <w:pPr>
        <w:pStyle w:val="Parabeforeanother"/>
      </w:pPr>
      <w:r>
        <w:t>The UK Government has commissioned an independent review into the MHA</w:t>
      </w:r>
      <w:r w:rsidR="007C2F23">
        <w:t xml:space="preserve"> 1983</w:t>
      </w:r>
      <w:r>
        <w:t xml:space="preserve">, which has published a number of recommendations </w:t>
      </w:r>
      <w:r w:rsidR="001C23A2">
        <w:t xml:space="preserve">addressing how the </w:t>
      </w:r>
      <w:r w:rsidR="004A0489">
        <w:t>a</w:t>
      </w:r>
      <w:r w:rsidR="001C23A2">
        <w:t>ct is currently implemented</w:t>
      </w:r>
      <w:r>
        <w:t>, including</w:t>
      </w:r>
      <w:r w:rsidR="00F44E03">
        <w:t xml:space="preserve"> particular</w:t>
      </w:r>
      <w:r>
        <w:t xml:space="preserve"> issues </w:t>
      </w:r>
      <w:r w:rsidR="001C23A2">
        <w:t>women face on</w:t>
      </w:r>
      <w:r>
        <w:t xml:space="preserve"> mixed</w:t>
      </w:r>
      <w:r w:rsidR="004A0489">
        <w:t>-</w:t>
      </w:r>
      <w:r w:rsidR="001C23A2">
        <w:t xml:space="preserve">sex </w:t>
      </w:r>
      <w:r>
        <w:t>wards.</w:t>
      </w:r>
      <w:r>
        <w:rPr>
          <w:rStyle w:val="FootnoteReference"/>
          <w:szCs w:val="28"/>
        </w:rPr>
        <w:footnoteReference w:id="202"/>
      </w:r>
      <w:r>
        <w:t xml:space="preserve"> </w:t>
      </w:r>
    </w:p>
    <w:p w14:paraId="5EA2CF9C" w14:textId="1589777C" w:rsidR="00254203" w:rsidRPr="000C600B" w:rsidRDefault="00254203" w:rsidP="0034708A">
      <w:pPr>
        <w:pStyle w:val="Parabeforenewsubsection"/>
      </w:pPr>
      <w:r w:rsidRPr="000C600B">
        <w:t>Women in Wa</w:t>
      </w:r>
      <w:r w:rsidR="002806AC">
        <w:t>les experiencing mental health conditions</w:t>
      </w:r>
      <w:r w:rsidRPr="000C600B">
        <w:t xml:space="preserve"> during pregnancy or following birth face different levels of specialist care </w:t>
      </w:r>
      <w:r>
        <w:t xml:space="preserve">depending on </w:t>
      </w:r>
      <w:r w:rsidRPr="000C600B">
        <w:t xml:space="preserve">where they live. </w:t>
      </w:r>
      <w:r>
        <w:t>R</w:t>
      </w:r>
      <w:r w:rsidRPr="000C600B">
        <w:t>esearch from NSPCC Cymru/Wales, Mind Cymru</w:t>
      </w:r>
      <w:r>
        <w:t>,</w:t>
      </w:r>
      <w:r w:rsidRPr="000C600B">
        <w:t xml:space="preserve"> the National Centre for Mental Health and the Mental Health Foundation</w:t>
      </w:r>
      <w:r w:rsidRPr="000C600B">
        <w:rPr>
          <w:vertAlign w:val="superscript"/>
        </w:rPr>
        <w:footnoteReference w:id="203"/>
      </w:r>
      <w:r w:rsidRPr="000C600B">
        <w:t xml:space="preserve"> found that around 9,000 new mothers every year experience a mental health </w:t>
      </w:r>
      <w:r w:rsidR="002806AC">
        <w:t>condition</w:t>
      </w:r>
      <w:r w:rsidRPr="000C600B">
        <w:t xml:space="preserve"> during pregnancy or in the 12 months following the birth of their child.</w:t>
      </w:r>
      <w:r w:rsidRPr="000C600B">
        <w:rPr>
          <w:vertAlign w:val="superscript"/>
        </w:rPr>
        <w:footnoteReference w:id="204"/>
      </w:r>
      <w:r w:rsidRPr="000C600B">
        <w:t xml:space="preserve"> These include depression, anxiety, post-</w:t>
      </w:r>
      <w:r w:rsidRPr="000C600B">
        <w:lastRenderedPageBreak/>
        <w:t xml:space="preserve">traumatic stress disorder, obsessive compulsive disorder, eating disorders and postpartum psychosis. </w:t>
      </w:r>
    </w:p>
    <w:p w14:paraId="27037DEC" w14:textId="77777777" w:rsidR="00254203" w:rsidRPr="000C600B" w:rsidRDefault="00254203" w:rsidP="0034708A">
      <w:pPr>
        <w:pStyle w:val="Title-subsections"/>
      </w:pPr>
      <w:r w:rsidRPr="000C600B">
        <w:t>Physical health</w:t>
      </w:r>
    </w:p>
    <w:p w14:paraId="4C028FF0" w14:textId="718A4D85" w:rsidR="00254203" w:rsidRPr="000C600B" w:rsidRDefault="00254203" w:rsidP="0034708A">
      <w:pPr>
        <w:pStyle w:val="Parabeforeanother"/>
        <w:rPr>
          <w:b/>
        </w:rPr>
      </w:pPr>
      <w:r w:rsidRPr="000C600B">
        <w:t>In September 2018, NHS England reported that whil</w:t>
      </w:r>
      <w:r w:rsidR="00743F1B">
        <w:t>e</w:t>
      </w:r>
      <w:r w:rsidRPr="000C600B">
        <w:t xml:space="preserve"> women were more likely to use health services routinely, </w:t>
      </w:r>
      <w:r>
        <w:t xml:space="preserve">there are some </w:t>
      </w:r>
      <w:r w:rsidRPr="000C600B">
        <w:t>important disparities among particular groups of women. For example, G</w:t>
      </w:r>
      <w:r>
        <w:t xml:space="preserve">ypsies, </w:t>
      </w:r>
      <w:r w:rsidRPr="000C600B">
        <w:t>Travellers</w:t>
      </w:r>
      <w:r>
        <w:t xml:space="preserve"> and Roma</w:t>
      </w:r>
      <w:r w:rsidRPr="000C600B">
        <w:t xml:space="preserve"> and some vulnerable migrants</w:t>
      </w:r>
      <w:r w:rsidR="00743F1B">
        <w:t>,</w:t>
      </w:r>
      <w:r w:rsidRPr="000C600B">
        <w:t xml:space="preserve"> including pregnant women, victims of trafficking and survivors of gender-based violence</w:t>
      </w:r>
      <w:r w:rsidR="00743F1B">
        <w:t>,</w:t>
      </w:r>
      <w:r w:rsidRPr="000C600B">
        <w:t xml:space="preserve"> were still being refused registration in general practice because of the inability to provide ID, proof of address or immigration status.</w:t>
      </w:r>
      <w:r w:rsidRPr="000C600B">
        <w:rPr>
          <w:vertAlign w:val="superscript"/>
        </w:rPr>
        <w:footnoteReference w:id="205"/>
      </w:r>
      <w:r w:rsidRPr="000C600B">
        <w:t xml:space="preserve"> </w:t>
      </w:r>
    </w:p>
    <w:p w14:paraId="1958D5CA" w14:textId="77777777" w:rsidR="00254203" w:rsidRPr="000C600B" w:rsidRDefault="00254203" w:rsidP="0034708A">
      <w:pPr>
        <w:pStyle w:val="Parabeforeanother"/>
      </w:pPr>
      <w:r w:rsidRPr="000C600B">
        <w:t xml:space="preserve">Research has found that the intersections between disability, </w:t>
      </w:r>
      <w:r>
        <w:t xml:space="preserve">poor </w:t>
      </w:r>
      <w:r w:rsidRPr="000C600B">
        <w:t xml:space="preserve">socio-economic </w:t>
      </w:r>
      <w:r>
        <w:t>status</w:t>
      </w:r>
      <w:r w:rsidRPr="000C600B">
        <w:t xml:space="preserve"> and gender affect access to healthcare</w:t>
      </w:r>
      <w:r>
        <w:t>.</w:t>
      </w:r>
      <w:r w:rsidRPr="000C600B">
        <w:t xml:space="preserve"> </w:t>
      </w:r>
      <w:r>
        <w:t>D</w:t>
      </w:r>
      <w:r w:rsidRPr="000C600B">
        <w:t>isabled women across the UK report worse access to healthcare, with transportation, cost and long waiting lists likely to be the main barriers.</w:t>
      </w:r>
      <w:r w:rsidRPr="000C600B">
        <w:rPr>
          <w:vertAlign w:val="superscript"/>
        </w:rPr>
        <w:footnoteReference w:id="206"/>
      </w:r>
      <w:r w:rsidRPr="000C600B">
        <w:t xml:space="preserve"> </w:t>
      </w:r>
      <w:r w:rsidRPr="000C600B">
        <w:rPr>
          <w:shd w:val="clear" w:color="auto" w:fill="FFFFFF"/>
        </w:rPr>
        <w:t xml:space="preserve">In May 2018, Public Health England published guidance </w:t>
      </w:r>
      <w:r>
        <w:rPr>
          <w:shd w:val="clear" w:color="auto" w:fill="FFFFFF"/>
        </w:rPr>
        <w:t xml:space="preserve">for </w:t>
      </w:r>
      <w:r w:rsidRPr="000C600B">
        <w:rPr>
          <w:shd w:val="clear" w:color="auto" w:fill="FFFFFF"/>
        </w:rPr>
        <w:t xml:space="preserve">health professionals </w:t>
      </w:r>
      <w:r>
        <w:rPr>
          <w:shd w:val="clear" w:color="auto" w:fill="FFFFFF"/>
        </w:rPr>
        <w:t>on making reasonable adjustments and meeting the needs of women</w:t>
      </w:r>
      <w:r w:rsidRPr="000C600B">
        <w:rPr>
          <w:shd w:val="clear" w:color="auto" w:fill="FFFFFF"/>
        </w:rPr>
        <w:t xml:space="preserve"> with learning disabilities</w:t>
      </w:r>
      <w:r>
        <w:rPr>
          <w:shd w:val="clear" w:color="auto" w:fill="FFFFFF"/>
        </w:rPr>
        <w:t xml:space="preserve"> in relation to cervical and breast cancer screening</w:t>
      </w:r>
      <w:r w:rsidRPr="000C600B">
        <w:rPr>
          <w:shd w:val="clear" w:color="auto" w:fill="FFFFFF"/>
        </w:rPr>
        <w:t>.</w:t>
      </w:r>
      <w:r w:rsidRPr="000C600B">
        <w:rPr>
          <w:shd w:val="clear" w:color="auto" w:fill="FFFFFF"/>
          <w:vertAlign w:val="superscript"/>
        </w:rPr>
        <w:footnoteReference w:id="207"/>
      </w:r>
      <w:r w:rsidRPr="000C600B">
        <w:rPr>
          <w:shd w:val="clear" w:color="auto" w:fill="FFFFFF"/>
        </w:rPr>
        <w:t xml:space="preserve">   </w:t>
      </w:r>
    </w:p>
    <w:p w14:paraId="000E5392" w14:textId="661025BD" w:rsidR="00254203" w:rsidRDefault="00254203" w:rsidP="0034708A">
      <w:pPr>
        <w:pStyle w:val="Parabeforeanother"/>
      </w:pPr>
      <w:r w:rsidRPr="000C600B">
        <w:rPr>
          <w:shd w:val="clear" w:color="auto" w:fill="FFFFFF"/>
        </w:rPr>
        <w:t>In May 2018, the UK Government announced that since 2009, 450,000 older women</w:t>
      </w:r>
      <w:r>
        <w:rPr>
          <w:shd w:val="clear" w:color="auto" w:fill="FFFFFF"/>
        </w:rPr>
        <w:t xml:space="preserve"> in England</w:t>
      </w:r>
      <w:r w:rsidRPr="000C600B">
        <w:rPr>
          <w:shd w:val="clear" w:color="auto" w:fill="FFFFFF"/>
        </w:rPr>
        <w:t xml:space="preserve"> between 68 and 71 years old </w:t>
      </w:r>
      <w:r>
        <w:rPr>
          <w:shd w:val="clear" w:color="auto" w:fill="FFFFFF"/>
        </w:rPr>
        <w:t xml:space="preserve">had not been </w:t>
      </w:r>
      <w:r w:rsidRPr="000C600B">
        <w:rPr>
          <w:shd w:val="clear" w:color="auto" w:fill="FFFFFF"/>
        </w:rPr>
        <w:t>invited for breast cancer screening due to a computer algorithm failure.</w:t>
      </w:r>
      <w:r>
        <w:rPr>
          <w:rStyle w:val="FootnoteReference"/>
          <w:szCs w:val="28"/>
          <w:shd w:val="clear" w:color="auto" w:fill="FFFFFF"/>
        </w:rPr>
        <w:footnoteReference w:id="208"/>
      </w:r>
      <w:r w:rsidRPr="000C600B">
        <w:rPr>
          <w:shd w:val="clear" w:color="auto" w:fill="FFFFFF"/>
        </w:rPr>
        <w:t xml:space="preserve"> </w:t>
      </w:r>
      <w:r w:rsidRPr="000C600B">
        <w:t xml:space="preserve">The former Secretary of State for Health and Social Care </w:t>
      </w:r>
      <w:r w:rsidR="005E3E23">
        <w:t xml:space="preserve">subsequently </w:t>
      </w:r>
      <w:r w:rsidRPr="000C600B">
        <w:t xml:space="preserve">stated that </w:t>
      </w:r>
      <w:r w:rsidR="005E3E23">
        <w:rPr>
          <w:shd w:val="clear" w:color="auto" w:fill="FFFFFF"/>
        </w:rPr>
        <w:t>up to 75</w:t>
      </w:r>
      <w:r w:rsidRPr="000C600B">
        <w:rPr>
          <w:shd w:val="clear" w:color="auto" w:fill="FFFFFF"/>
        </w:rPr>
        <w:t xml:space="preserve"> women </w:t>
      </w:r>
      <w:r w:rsidR="005E3E23">
        <w:rPr>
          <w:shd w:val="clear" w:color="auto" w:fill="FFFFFF"/>
        </w:rPr>
        <w:t>‘may</w:t>
      </w:r>
      <w:r w:rsidRPr="000C600B">
        <w:rPr>
          <w:shd w:val="clear" w:color="auto" w:fill="FFFFFF"/>
        </w:rPr>
        <w:t xml:space="preserve"> have had their lives shortened as a result’ and </w:t>
      </w:r>
      <w:r w:rsidR="005E3E23">
        <w:rPr>
          <w:shd w:val="clear" w:color="auto" w:fill="FFFFFF"/>
        </w:rPr>
        <w:t>set up</w:t>
      </w:r>
      <w:r w:rsidRPr="000C600B">
        <w:rPr>
          <w:shd w:val="clear" w:color="auto" w:fill="FFFFFF"/>
        </w:rPr>
        <w:t xml:space="preserve"> a</w:t>
      </w:r>
      <w:r w:rsidRPr="000C600B">
        <w:t>n independent review of the NHS breast screening programme.</w:t>
      </w:r>
      <w:r>
        <w:rPr>
          <w:rStyle w:val="FootnoteReference"/>
          <w:szCs w:val="28"/>
        </w:rPr>
        <w:footnoteReference w:id="209"/>
      </w:r>
      <w:r w:rsidRPr="000C600B">
        <w:t xml:space="preserve"> </w:t>
      </w:r>
    </w:p>
    <w:p w14:paraId="40A8A975" w14:textId="4BEF718F" w:rsidR="00254203" w:rsidRPr="000C600B" w:rsidRDefault="00254203" w:rsidP="0034708A">
      <w:pPr>
        <w:pStyle w:val="Parabeforeanother"/>
      </w:pPr>
      <w:r w:rsidRPr="000C600B">
        <w:t xml:space="preserve">Since April 2018, </w:t>
      </w:r>
      <w:r>
        <w:t xml:space="preserve">several announcements have been made on </w:t>
      </w:r>
      <w:r w:rsidRPr="000C600B">
        <w:t>the Welsh Government’s intention to better support women’s access to healthcare</w:t>
      </w:r>
      <w:r>
        <w:t xml:space="preserve">, such as </w:t>
      </w:r>
      <w:r>
        <w:lastRenderedPageBreak/>
        <w:t xml:space="preserve">providing </w:t>
      </w:r>
      <w:r w:rsidRPr="000C600B">
        <w:t>an ovarian cancer drug on the Welsh NHS</w:t>
      </w:r>
      <w:r w:rsidRPr="000C600B">
        <w:rPr>
          <w:vertAlign w:val="superscript"/>
        </w:rPr>
        <w:footnoteReference w:id="210"/>
      </w:r>
      <w:r w:rsidRPr="000C600B">
        <w:t xml:space="preserve"> </w:t>
      </w:r>
      <w:r>
        <w:t xml:space="preserve">and </w:t>
      </w:r>
      <w:r w:rsidRPr="000C600B">
        <w:t>allowing women the option to take termination of pregnancy medication at home</w:t>
      </w:r>
      <w:r>
        <w:t>.</w:t>
      </w:r>
      <w:r w:rsidRPr="000C600B">
        <w:rPr>
          <w:vertAlign w:val="superscript"/>
        </w:rPr>
        <w:footnoteReference w:id="211"/>
      </w:r>
      <w:r w:rsidRPr="000C600B">
        <w:t xml:space="preserve"> </w:t>
      </w:r>
      <w:r w:rsidR="002E0EBF">
        <w:t>However, t</w:t>
      </w:r>
      <w:r w:rsidRPr="000C600B">
        <w:t>he Welsh Gover</w:t>
      </w:r>
      <w:r>
        <w:t>nment’s long-</w:t>
      </w:r>
      <w:r w:rsidRPr="000C600B">
        <w:t>term vision of a ‘whole system approach to health and social care’</w:t>
      </w:r>
      <w:r w:rsidR="002E0EBF">
        <w:t>, published in October 2018</w:t>
      </w:r>
      <w:r w:rsidRPr="000C600B">
        <w:t>, does not make any direct reference to the specific needs of women.</w:t>
      </w:r>
      <w:r w:rsidRPr="000C600B">
        <w:rPr>
          <w:vertAlign w:val="superscript"/>
        </w:rPr>
        <w:footnoteReference w:id="212"/>
      </w:r>
    </w:p>
    <w:p w14:paraId="2179C7CC" w14:textId="2025A633" w:rsidR="00254203" w:rsidRPr="000C600B" w:rsidRDefault="00254203" w:rsidP="0034708A">
      <w:pPr>
        <w:pStyle w:val="Parabeforenewsubsection"/>
      </w:pPr>
      <w:r w:rsidRPr="000C600B">
        <w:t>The Welsh Government has also announced that from autumn 2018, women requiring gender identity treatment will be able to access more of their treatment in Wales rather than having to travel to England.</w:t>
      </w:r>
      <w:r w:rsidRPr="000C600B">
        <w:rPr>
          <w:vertAlign w:val="superscript"/>
        </w:rPr>
        <w:footnoteReference w:id="213"/>
      </w:r>
      <w:r w:rsidRPr="000C600B">
        <w:t xml:space="preserve"> The new Welsh Gender Team will </w:t>
      </w:r>
      <w:r w:rsidRPr="002806AC">
        <w:t xml:space="preserve">allow </w:t>
      </w:r>
      <w:r w:rsidR="00E8623D" w:rsidRPr="002806AC">
        <w:t>trans</w:t>
      </w:r>
      <w:r w:rsidRPr="002806AC">
        <w:t xml:space="preserve"> women to access</w:t>
      </w:r>
      <w:r w:rsidRPr="000C600B">
        <w:t xml:space="preserve"> the care they need closer to home. Previously, patients were referred to the </w:t>
      </w:r>
      <w:r w:rsidR="002E0EBF" w:rsidRPr="002E0EBF">
        <w:t>Tavistock and Portman NHS Foundation Trust</w:t>
      </w:r>
      <w:r w:rsidR="002E0EBF">
        <w:t xml:space="preserve">’s </w:t>
      </w:r>
      <w:r w:rsidRPr="000C600B">
        <w:t>Gender Identity Clinic in London.</w:t>
      </w:r>
    </w:p>
    <w:p w14:paraId="10F7ACC7" w14:textId="6FE932C2" w:rsidR="00254203" w:rsidRPr="0034708A" w:rsidRDefault="00254203" w:rsidP="0034708A">
      <w:pPr>
        <w:pStyle w:val="Title-subsections"/>
      </w:pPr>
      <w:r w:rsidRPr="00A15761">
        <w:t>Recommendations</w:t>
      </w:r>
    </w:p>
    <w:p w14:paraId="0DB169A5" w14:textId="0B7AC35A" w:rsidR="00F023A1" w:rsidRPr="0034708A" w:rsidRDefault="00254203" w:rsidP="0034708A">
      <w:pPr>
        <w:pStyle w:val="Parabeforebulletss"/>
      </w:pPr>
      <w:r>
        <w:t xml:space="preserve">The </w:t>
      </w:r>
      <w:r w:rsidR="002806AC">
        <w:t xml:space="preserve">EHRC recommends that the </w:t>
      </w:r>
      <w:r>
        <w:t>UK and Welsh governments, where relevant, should:</w:t>
      </w:r>
    </w:p>
    <w:p w14:paraId="1CD56F5A" w14:textId="41F756A8" w:rsidR="001D0F88" w:rsidRPr="001D0F88" w:rsidRDefault="001D0F88" w:rsidP="0034708A">
      <w:pPr>
        <w:pStyle w:val="Bullet-followedbyothers"/>
      </w:pPr>
      <w:r w:rsidRPr="001D0F88">
        <w:t xml:space="preserve">to address the health inequalities experienced by women, and especially those women who are at particular risk of vulnerability, set gender equality objectives </w:t>
      </w:r>
      <w:r w:rsidR="00F023A1">
        <w:t xml:space="preserve">that </w:t>
      </w:r>
      <w:r w:rsidRPr="001D0F88">
        <w:t>provide focus to gender-specific and gender-sensitive health policies and services where evidence demonstrates targeted interventions would be effective</w:t>
      </w:r>
    </w:p>
    <w:p w14:paraId="080CD013" w14:textId="48C451C2" w:rsidR="00254203" w:rsidRDefault="00F023A1" w:rsidP="0034708A">
      <w:pPr>
        <w:pStyle w:val="Bullet-followedbyothers"/>
      </w:pPr>
      <w:r>
        <w:t>m</w:t>
      </w:r>
      <w:r w:rsidR="00254203" w:rsidRPr="00632C62">
        <w:t>onitor and publish progress against equality objectives under the P</w:t>
      </w:r>
      <w:r w:rsidR="00D65347">
        <w:t xml:space="preserve">ublic </w:t>
      </w:r>
      <w:r w:rsidR="00254203" w:rsidRPr="00632C62">
        <w:t>S</w:t>
      </w:r>
      <w:r w:rsidR="00D65347">
        <w:t xml:space="preserve">ector </w:t>
      </w:r>
      <w:r w:rsidR="00254203" w:rsidRPr="00632C62">
        <w:t>E</w:t>
      </w:r>
      <w:r w:rsidR="00D65347">
        <w:t xml:space="preserve">quality </w:t>
      </w:r>
      <w:r w:rsidR="00254203" w:rsidRPr="00632C62">
        <w:t>D</w:t>
      </w:r>
      <w:r w:rsidR="00D65347">
        <w:t>uty</w:t>
      </w:r>
      <w:r w:rsidR="00254203" w:rsidRPr="00632C62">
        <w:t>, and take further steps where progress is insufficient</w:t>
      </w:r>
    </w:p>
    <w:p w14:paraId="6E9711BC" w14:textId="33776829" w:rsidR="00254203" w:rsidRPr="00165EBE" w:rsidRDefault="00F023A1" w:rsidP="0034708A">
      <w:pPr>
        <w:pStyle w:val="Bullet-followedbyothers"/>
      </w:pPr>
      <w:r>
        <w:t>e</w:t>
      </w:r>
      <w:r w:rsidR="00254203" w:rsidRPr="002E657B">
        <w:t>nsure there are sufficiently funded, appropriate and high-quality mental health services that meet local demand</w:t>
      </w:r>
      <w:r w:rsidR="00254203">
        <w:t xml:space="preserve">. </w:t>
      </w:r>
      <w:r w:rsidR="00254203" w:rsidRPr="004C4EE3">
        <w:t xml:space="preserve">This will increase the availability of </w:t>
      </w:r>
      <w:r w:rsidR="00254203" w:rsidRPr="00165EBE">
        <w:t>less restrictive options for mental health provision and reduce the need to resort to involuntary admission and treatment under the MHA</w:t>
      </w:r>
    </w:p>
    <w:p w14:paraId="34905947" w14:textId="60BF0A89" w:rsidR="00254203" w:rsidRPr="00165EBE" w:rsidRDefault="00F023A1" w:rsidP="0034708A">
      <w:pPr>
        <w:pStyle w:val="Bullet-followedbyothers"/>
      </w:pPr>
      <w:r>
        <w:t>e</w:t>
      </w:r>
      <w:r w:rsidR="00BC5968" w:rsidRPr="00165EBE">
        <w:t>nsure</w:t>
      </w:r>
      <w:r w:rsidR="00254203" w:rsidRPr="00165EBE">
        <w:t xml:space="preserve"> reasonable adjustments</w:t>
      </w:r>
      <w:r w:rsidR="00BC5968" w:rsidRPr="00165EBE">
        <w:t xml:space="preserve"> are provided for</w:t>
      </w:r>
      <w:r w:rsidR="00254203" w:rsidRPr="00165EBE">
        <w:t xml:space="preserve"> disabled women to ensure their access to healthcare services </w:t>
      </w:r>
      <w:r>
        <w:t xml:space="preserve">is </w:t>
      </w:r>
      <w:r w:rsidR="00254203" w:rsidRPr="00165EBE">
        <w:t>on an equal basis with others</w:t>
      </w:r>
      <w:r w:rsidR="0034708A">
        <w:t>, and</w:t>
      </w:r>
    </w:p>
    <w:p w14:paraId="20BDB590" w14:textId="67B6F539" w:rsidR="00254203" w:rsidRPr="00165EBE" w:rsidRDefault="00F023A1" w:rsidP="0034708A">
      <w:pPr>
        <w:pStyle w:val="Bullet-lastingroup"/>
      </w:pPr>
      <w:r>
        <w:lastRenderedPageBreak/>
        <w:t>t</w:t>
      </w:r>
      <w:r w:rsidR="00254203" w:rsidRPr="00165EBE">
        <w:t>ake steps towards eradicating the use of physical, mechanical and chemical restraint and other restrictive practices in mental health settings</w:t>
      </w:r>
      <w:r>
        <w:t>.</w:t>
      </w:r>
    </w:p>
    <w:p w14:paraId="54DD3310" w14:textId="6F8C88F3" w:rsidR="00F023A1" w:rsidRPr="0034708A" w:rsidRDefault="00254203" w:rsidP="0034708A">
      <w:pPr>
        <w:pStyle w:val="Parabeforebulletss"/>
      </w:pPr>
      <w:r w:rsidRPr="00165EBE">
        <w:t>The</w:t>
      </w:r>
      <w:r w:rsidR="002806AC">
        <w:t xml:space="preserve"> EHRC recommends that the</w:t>
      </w:r>
      <w:r w:rsidRPr="00165EBE">
        <w:t xml:space="preserve"> UK Government should:</w:t>
      </w:r>
    </w:p>
    <w:p w14:paraId="048607CA" w14:textId="07B48195" w:rsidR="00254203" w:rsidRPr="0034708A" w:rsidRDefault="00F023A1" w:rsidP="00254203">
      <w:pPr>
        <w:pStyle w:val="Bullet-lastingroup"/>
      </w:pPr>
      <w:r>
        <w:t>e</w:t>
      </w:r>
      <w:r w:rsidR="00254203" w:rsidRPr="00165EBE">
        <w:t>nsure that staff caring for women and girls detained under the M</w:t>
      </w:r>
      <w:r w:rsidR="00BC5968" w:rsidRPr="00165EBE">
        <w:t xml:space="preserve">ental </w:t>
      </w:r>
      <w:r w:rsidR="00254203" w:rsidRPr="00165EBE">
        <w:t>H</w:t>
      </w:r>
      <w:r w:rsidR="00BC5968" w:rsidRPr="00165EBE">
        <w:t xml:space="preserve">ealth </w:t>
      </w:r>
      <w:r w:rsidR="00254203" w:rsidRPr="00165EBE">
        <w:t>A</w:t>
      </w:r>
      <w:r w:rsidR="00BC5968" w:rsidRPr="00165EBE">
        <w:t>ct</w:t>
      </w:r>
      <w:r w:rsidR="00254203" w:rsidRPr="00165EBE">
        <w:t xml:space="preserve"> comply with </w:t>
      </w:r>
      <w:r>
        <w:t>National Institute for Health and Care Excellence (</w:t>
      </w:r>
      <w:r w:rsidR="00BC5968" w:rsidRPr="00165EBE">
        <w:t>NICE</w:t>
      </w:r>
      <w:r>
        <w:t>)</w:t>
      </w:r>
      <w:r w:rsidR="00BC5968" w:rsidRPr="00165EBE">
        <w:t xml:space="preserve"> </w:t>
      </w:r>
      <w:r w:rsidR="00254203" w:rsidRPr="00165EBE">
        <w:t>guidance to routinely enquire about their potential history of domestic violence and abuse so it is appropriately factored into their care plan</w:t>
      </w:r>
      <w:r>
        <w:t>.</w:t>
      </w:r>
      <w:r w:rsidR="00254203" w:rsidRPr="00165EBE">
        <w:rPr>
          <w:vertAlign w:val="superscript"/>
        </w:rPr>
        <w:footnoteReference w:id="214"/>
      </w:r>
    </w:p>
    <w:p w14:paraId="230FBB51" w14:textId="57F1A614" w:rsidR="00F023A1" w:rsidRPr="0034708A" w:rsidRDefault="00254203" w:rsidP="0034708A">
      <w:pPr>
        <w:pStyle w:val="Parabeforebulletss"/>
      </w:pPr>
      <w:r w:rsidRPr="00165EBE">
        <w:t xml:space="preserve">The </w:t>
      </w:r>
      <w:r w:rsidR="002806AC">
        <w:t xml:space="preserve">EHRC recommends that the </w:t>
      </w:r>
      <w:r w:rsidRPr="00165EBE">
        <w:t xml:space="preserve">Welsh Government should: </w:t>
      </w:r>
    </w:p>
    <w:p w14:paraId="1439DE03" w14:textId="56D18B68" w:rsidR="00254203" w:rsidRPr="00165EBE" w:rsidRDefault="00F023A1" w:rsidP="0034708A">
      <w:pPr>
        <w:pStyle w:val="Bullet-followedbyothers"/>
      </w:pPr>
      <w:r>
        <w:t>a</w:t>
      </w:r>
      <w:r w:rsidR="00254203" w:rsidRPr="00165EBE">
        <w:t xml:space="preserve">ddress </w:t>
      </w:r>
      <w:r w:rsidR="00BC5968" w:rsidRPr="00165EBE">
        <w:t xml:space="preserve">deficiencies </w:t>
      </w:r>
      <w:r w:rsidR="00254203" w:rsidRPr="00165EBE">
        <w:t xml:space="preserve">in </w:t>
      </w:r>
      <w:r w:rsidR="00BC5968" w:rsidRPr="00165EBE">
        <w:t xml:space="preserve">provision of </w:t>
      </w:r>
      <w:r w:rsidR="00254203" w:rsidRPr="00165EBE">
        <w:t xml:space="preserve">specialist mental health service provision for pregnant women and new mothers </w:t>
      </w:r>
      <w:r w:rsidR="00BC5968" w:rsidRPr="00165EBE">
        <w:t>by some</w:t>
      </w:r>
      <w:r w:rsidR="00254203" w:rsidRPr="00165EBE">
        <w:t xml:space="preserve"> health boards in Wale</w:t>
      </w:r>
      <w:r w:rsidR="00BC5968" w:rsidRPr="00165EBE">
        <w:t>s, to ensure consistency</w:t>
      </w:r>
      <w:r w:rsidR="0034708A">
        <w:t>, and</w:t>
      </w:r>
    </w:p>
    <w:p w14:paraId="12657A17" w14:textId="00F5C735" w:rsidR="00254203" w:rsidRPr="009C5812" w:rsidRDefault="00F023A1" w:rsidP="0034708A">
      <w:pPr>
        <w:pStyle w:val="Bullet-lastingroup"/>
      </w:pPr>
      <w:r>
        <w:t>e</w:t>
      </w:r>
      <w:r w:rsidR="00894101">
        <w:t>nsure timely i</w:t>
      </w:r>
      <w:r w:rsidR="00254203" w:rsidRPr="004C4EE3">
        <w:t>mplement</w:t>
      </w:r>
      <w:r w:rsidR="00894101">
        <w:t>ation of</w:t>
      </w:r>
      <w:r w:rsidR="00254203" w:rsidRPr="004C4EE3">
        <w:t xml:space="preserve"> a fully integrated </w:t>
      </w:r>
      <w:r w:rsidR="00254203" w:rsidRPr="002806AC">
        <w:t xml:space="preserve">gender identity service </w:t>
      </w:r>
      <w:r w:rsidR="001D0F88" w:rsidRPr="002806AC">
        <w:t xml:space="preserve">across Wales, </w:t>
      </w:r>
      <w:r w:rsidR="00254203" w:rsidRPr="002806AC">
        <w:t>and monitor the impact on</w:t>
      </w:r>
      <w:r w:rsidR="00E8623D" w:rsidRPr="002806AC">
        <w:t xml:space="preserve"> health outcomes for trans</w:t>
      </w:r>
      <w:r w:rsidR="00254203" w:rsidRPr="002806AC">
        <w:t xml:space="preserve"> women in Wales</w:t>
      </w:r>
      <w:r>
        <w:t>.</w:t>
      </w:r>
    </w:p>
    <w:p w14:paraId="706E20CE" w14:textId="77777777" w:rsidR="0034708A" w:rsidRDefault="0034708A">
      <w:pPr>
        <w:spacing w:after="160" w:line="259" w:lineRule="auto"/>
        <w:rPr>
          <w:rFonts w:ascii="Georgia" w:eastAsia="Times New Roman" w:hAnsi="Georgia"/>
          <w:bCs/>
          <w:color w:val="D40F7D"/>
          <w:sz w:val="48"/>
          <w:szCs w:val="48"/>
        </w:rPr>
      </w:pPr>
      <w:bookmarkStart w:id="63" w:name="_Toc534726645"/>
      <w:r>
        <w:br w:type="page"/>
      </w:r>
    </w:p>
    <w:p w14:paraId="25D34CB0" w14:textId="40329AEC" w:rsidR="00254203" w:rsidRDefault="00254203" w:rsidP="00254203">
      <w:pPr>
        <w:pStyle w:val="Title-chapterpink"/>
        <w:spacing w:after="0"/>
      </w:pPr>
      <w:r w:rsidRPr="00507354">
        <w:lastRenderedPageBreak/>
        <w:t>10. E</w:t>
      </w:r>
      <w:r>
        <w:t>quality in e</w:t>
      </w:r>
      <w:r w:rsidRPr="00507354">
        <w:t>ducation</w:t>
      </w:r>
      <w:r>
        <w:t>:</w:t>
      </w:r>
      <w:bookmarkEnd w:id="63"/>
      <w:r>
        <w:t xml:space="preserve"> </w:t>
      </w:r>
    </w:p>
    <w:p w14:paraId="3631D1CE" w14:textId="03D056AD" w:rsidR="00254203" w:rsidRPr="007B5ED3" w:rsidRDefault="00254203" w:rsidP="00254203">
      <w:pPr>
        <w:pStyle w:val="Title-chapterpink"/>
      </w:pPr>
      <w:bookmarkStart w:id="64" w:name="_Toc516151047"/>
      <w:bookmarkStart w:id="65" w:name="_Toc534726646"/>
      <w:r w:rsidRPr="003F699A">
        <w:rPr>
          <w:color w:val="auto"/>
          <w:sz w:val="36"/>
          <w:szCs w:val="36"/>
        </w:rPr>
        <w:t xml:space="preserve">relates to </w:t>
      </w:r>
      <w:r w:rsidR="002D048D">
        <w:rPr>
          <w:color w:val="auto"/>
          <w:sz w:val="36"/>
          <w:szCs w:val="36"/>
        </w:rPr>
        <w:t xml:space="preserve">LoI paragraph 17, </w:t>
      </w:r>
      <w:r w:rsidRPr="003F699A">
        <w:rPr>
          <w:color w:val="auto"/>
          <w:sz w:val="36"/>
          <w:szCs w:val="36"/>
        </w:rPr>
        <w:t>articles 5 and 10, CO paragraphs 45.a-d and 61.a and SDG 4</w:t>
      </w:r>
      <w:bookmarkEnd w:id="64"/>
      <w:bookmarkEnd w:id="65"/>
    </w:p>
    <w:p w14:paraId="304AABD2" w14:textId="08A4092C" w:rsidR="00254203" w:rsidRPr="00533EB5" w:rsidRDefault="00254203" w:rsidP="0034708A">
      <w:pPr>
        <w:pStyle w:val="Title-sectionspink"/>
      </w:pPr>
      <w:bookmarkStart w:id="66" w:name="_Toc534726647"/>
      <w:r w:rsidRPr="00533EB5">
        <w:t xml:space="preserve">Personal, social, health and economic (PSHE), </w:t>
      </w:r>
      <w:r w:rsidR="00F023A1">
        <w:t>r</w:t>
      </w:r>
      <w:r w:rsidRPr="00533EB5">
        <w:t xml:space="preserve">elationships </w:t>
      </w:r>
      <w:r w:rsidR="00F023A1">
        <w:t>e</w:t>
      </w:r>
      <w:r w:rsidRPr="00533EB5">
        <w:t>ducation (RelEd) and relationships and sex education (RSE)</w:t>
      </w:r>
      <w:bookmarkEnd w:id="66"/>
    </w:p>
    <w:p w14:paraId="3BAE64EA" w14:textId="4D5823A1" w:rsidR="00254203" w:rsidRPr="00533EB5" w:rsidRDefault="00254203" w:rsidP="0034708A">
      <w:pPr>
        <w:pStyle w:val="Parabeforeanother"/>
      </w:pPr>
      <w:r w:rsidRPr="00533EB5">
        <w:t xml:space="preserve">Following a call for evidence on the teaching of </w:t>
      </w:r>
      <w:r w:rsidR="00F023A1">
        <w:t>r</w:t>
      </w:r>
      <w:r w:rsidRPr="00533EB5">
        <w:t>elationship</w:t>
      </w:r>
      <w:r w:rsidR="00F75574">
        <w:t>s</w:t>
      </w:r>
      <w:r w:rsidRPr="00533EB5">
        <w:t xml:space="preserve"> and </w:t>
      </w:r>
      <w:r w:rsidR="00F023A1">
        <w:t>s</w:t>
      </w:r>
      <w:r w:rsidRPr="00533EB5">
        <w:t xml:space="preserve">ex </w:t>
      </w:r>
      <w:r w:rsidR="00F023A1">
        <w:t>e</w:t>
      </w:r>
      <w:r w:rsidRPr="00533EB5">
        <w:t xml:space="preserve">ducation (RSE) and </w:t>
      </w:r>
      <w:r w:rsidR="000B5C1B">
        <w:t>p</w:t>
      </w:r>
      <w:r w:rsidRPr="00533EB5">
        <w:t xml:space="preserve">ersonal, </w:t>
      </w:r>
      <w:r w:rsidR="000B5C1B">
        <w:t>s</w:t>
      </w:r>
      <w:r w:rsidRPr="00533EB5">
        <w:t xml:space="preserve">ocial and </w:t>
      </w:r>
      <w:r w:rsidR="000B5C1B">
        <w:t>h</w:t>
      </w:r>
      <w:r w:rsidRPr="00533EB5">
        <w:t xml:space="preserve">ealth </w:t>
      </w:r>
      <w:r w:rsidR="000B5C1B">
        <w:t>e</w:t>
      </w:r>
      <w:r w:rsidRPr="00533EB5">
        <w:t>ducation (PSHE) in December 2017, the UK Government announced that it will require a</w:t>
      </w:r>
      <w:r w:rsidR="0096565F">
        <w:t>ll schools in England to teach h</w:t>
      </w:r>
      <w:r w:rsidRPr="00533EB5">
        <w:t>ealth education</w:t>
      </w:r>
      <w:r w:rsidRPr="00533EB5">
        <w:rPr>
          <w:vertAlign w:val="superscript"/>
        </w:rPr>
        <w:footnoteReference w:id="215"/>
      </w:r>
      <w:r w:rsidRPr="00533EB5">
        <w:t xml:space="preserve"> from September 2020. From that date</w:t>
      </w:r>
      <w:r w:rsidR="0096565F">
        <w:t>,</w:t>
      </w:r>
      <w:r w:rsidRPr="00533EB5">
        <w:t xml:space="preserve"> primary schools will also be required to teach </w:t>
      </w:r>
      <w:r w:rsidR="00F75574">
        <w:t>relationships education (</w:t>
      </w:r>
      <w:r w:rsidRPr="00533EB5">
        <w:t>RelEd</w:t>
      </w:r>
      <w:r w:rsidR="00F75574">
        <w:t>)</w:t>
      </w:r>
      <w:r w:rsidRPr="00533EB5">
        <w:t>, and secondary schools RSE.</w:t>
      </w:r>
    </w:p>
    <w:p w14:paraId="2C6245BE" w14:textId="77777777" w:rsidR="00254203" w:rsidRPr="00533EB5" w:rsidRDefault="00254203" w:rsidP="0034708A">
      <w:pPr>
        <w:pStyle w:val="Parabeforeanother"/>
      </w:pPr>
      <w:r w:rsidRPr="00533EB5">
        <w:t>While the UK Government’s proposal falls short of mandatory status for all PSHE,</w:t>
      </w:r>
      <w:r w:rsidRPr="00533EB5">
        <w:rPr>
          <w:vertAlign w:val="superscript"/>
        </w:rPr>
        <w:footnoteReference w:id="216"/>
      </w:r>
      <w:r w:rsidRPr="00533EB5">
        <w:t xml:space="preserve"> the PSHE Association welcomed this development as a step towards improving standards across all schools,</w:t>
      </w:r>
      <w:r w:rsidRPr="00533EB5">
        <w:rPr>
          <w:vertAlign w:val="superscript"/>
        </w:rPr>
        <w:footnoteReference w:id="217"/>
      </w:r>
      <w:r w:rsidRPr="00533EB5">
        <w:t xml:space="preserve"> and ensuring that every child in school will be guaranteed a PSHE education that covers mental health and wellbeing, physical health and learning about safe and healthy relationships.</w:t>
      </w:r>
      <w:r w:rsidRPr="00533EB5">
        <w:rPr>
          <w:vertAlign w:val="superscript"/>
        </w:rPr>
        <w:footnoteReference w:id="218"/>
      </w:r>
      <w:r w:rsidRPr="00533EB5">
        <w:t xml:space="preserve"> Following our own work to raise English and Welsh schools’ awareness of the scale and impact of prejudice-based bullying,</w:t>
      </w:r>
      <w:r w:rsidRPr="00533EB5">
        <w:rPr>
          <w:vertAlign w:val="superscript"/>
        </w:rPr>
        <w:footnoteReference w:id="219"/>
      </w:r>
      <w:r w:rsidRPr="00533EB5">
        <w:t xml:space="preserve"> we also support the UK Government’s encouragement of ‘whole </w:t>
      </w:r>
      <w:r w:rsidRPr="00533EB5">
        <w:lastRenderedPageBreak/>
        <w:t>school’ approaches, which ensure anti-bullying and equality policies are effectively aligned with the teaching of RelEd and RSE.</w:t>
      </w:r>
    </w:p>
    <w:p w14:paraId="511A509B" w14:textId="3BE66676" w:rsidR="00254203" w:rsidRPr="00533EB5" w:rsidRDefault="00254203" w:rsidP="0034708A">
      <w:pPr>
        <w:pStyle w:val="Parabeforeanother"/>
      </w:pPr>
      <w:r w:rsidRPr="00533EB5">
        <w:t>The draft guidance</w:t>
      </w:r>
      <w:r w:rsidRPr="00533EB5">
        <w:rPr>
          <w:vertAlign w:val="superscript"/>
        </w:rPr>
        <w:footnoteReference w:id="220"/>
      </w:r>
      <w:r w:rsidRPr="00533EB5">
        <w:t xml:space="preserve"> suggests a need to teach about different forms of abuse of women and girls, including sexual violence and harassment, FGM and coercive control</w:t>
      </w:r>
      <w:r w:rsidR="00EB3092">
        <w:t>,</w:t>
      </w:r>
      <w:r w:rsidRPr="00533EB5">
        <w:t xml:space="preserve"> as part of RSE. Some stakeholders suggest the guidance should be more specific on obligations to teach about relationships, respect, boundaries and the law as part of RelEd teaching in primary schools.</w:t>
      </w:r>
      <w:r w:rsidRPr="00533EB5">
        <w:rPr>
          <w:vertAlign w:val="superscript"/>
        </w:rPr>
        <w:footnoteReference w:id="221"/>
      </w:r>
      <w:r w:rsidRPr="00533EB5">
        <w:t xml:space="preserve"> We have raised concerns that the draft guidance does not provide specifics on what </w:t>
      </w:r>
      <w:r w:rsidR="00EB3092">
        <w:t>‘</w:t>
      </w:r>
      <w:r w:rsidRPr="00533EB5">
        <w:t>age appropriate</w:t>
      </w:r>
      <w:r w:rsidR="00EB3092">
        <w:t>’</w:t>
      </w:r>
      <w:r w:rsidRPr="00533EB5">
        <w:t xml:space="preserve"> teaching means, and that proposed content on </w:t>
      </w:r>
      <w:r w:rsidR="00EB3092">
        <w:t>‘</w:t>
      </w:r>
      <w:r w:rsidRPr="00533EB5">
        <w:t>virtues</w:t>
      </w:r>
      <w:r w:rsidR="00EB3092">
        <w:t>’</w:t>
      </w:r>
      <w:r w:rsidRPr="00533EB5">
        <w:t xml:space="preserve"> is subjective, values-driven and not infor</w:t>
      </w:r>
      <w:r w:rsidR="00B20351">
        <w:t>med by human rights principles.</w:t>
      </w:r>
      <w:r w:rsidR="00B20351">
        <w:rPr>
          <w:rStyle w:val="FootnoteReference"/>
        </w:rPr>
        <w:footnoteReference w:id="222"/>
      </w:r>
    </w:p>
    <w:p w14:paraId="79932831" w14:textId="10F59EBA" w:rsidR="00254203" w:rsidRPr="00533EB5" w:rsidRDefault="00254203" w:rsidP="0034708A">
      <w:pPr>
        <w:pStyle w:val="Parabeforeanother"/>
      </w:pPr>
      <w:r w:rsidRPr="00533EB5">
        <w:t>Parents will have the right to withdraw their children from sex (but not relationship</w:t>
      </w:r>
      <w:r w:rsidR="00EB3092">
        <w:t>s</w:t>
      </w:r>
      <w:r w:rsidRPr="00533EB5">
        <w:t>) education.</w:t>
      </w:r>
      <w:r>
        <w:rPr>
          <w:rStyle w:val="FootnoteReference"/>
        </w:rPr>
        <w:footnoteReference w:id="223"/>
      </w:r>
      <w:r w:rsidRPr="00533EB5">
        <w:t xml:space="preserve"> We therefore welcome the encouragement for schools to engage with parents and to explain the purpose of RSE when faced with requests for children to be withdrawn from sex education. However, the rights of parents need to be balanced with the rights of the child. Parental rights to choose how their children are educated are not absolute. We acknowledge that the guidance gives children the right to refute the parent’s decision to withdraw (from three terms before the child turns 16).</w:t>
      </w:r>
      <w:r w:rsidRPr="00533EB5">
        <w:rPr>
          <w:vertAlign w:val="superscript"/>
        </w:rPr>
        <w:footnoteReference w:id="224"/>
      </w:r>
      <w:r w:rsidRPr="00533EB5">
        <w:t xml:space="preserve"> However, given the scale of child sexual abuse and exploitation, we remain concerned that the right for parents to withdraw their children below that age from sex education poses an unnecessary safeguarding risk because it potentially removes the opportunity for them to learn about certain topics such as consent, abuse and harassment, and sexualised bullying.</w:t>
      </w:r>
    </w:p>
    <w:p w14:paraId="1D79D07F" w14:textId="19EA144E" w:rsidR="00254203" w:rsidRPr="00533EB5" w:rsidRDefault="00254203" w:rsidP="0034708A">
      <w:pPr>
        <w:pStyle w:val="Parabeforenewsubsection"/>
        <w:rPr>
          <w:rFonts w:ascii="Times New Roman" w:hAnsi="Times New Roman"/>
          <w:lang w:eastAsia="en-GB"/>
        </w:rPr>
      </w:pPr>
      <w:r w:rsidRPr="00533EB5">
        <w:rPr>
          <w:lang w:eastAsia="en-GB"/>
        </w:rPr>
        <w:lastRenderedPageBreak/>
        <w:t xml:space="preserve">We welcome the commitment of the Welsh Government, in making RSE mandatory for all school-aged children from 2022, </w:t>
      </w:r>
      <w:r w:rsidR="00EB3092">
        <w:rPr>
          <w:lang w:eastAsia="en-GB"/>
        </w:rPr>
        <w:t xml:space="preserve">to </w:t>
      </w:r>
      <w:r w:rsidRPr="00533EB5">
        <w:rPr>
          <w:lang w:eastAsia="en-GB"/>
        </w:rPr>
        <w:t>broadening the understanding of sexuality within the curriculum and including issues such as consent, domestic abuse and respecting diversity. We also welcome the commitment to providing the right training for teachers at all levels.</w:t>
      </w:r>
      <w:r w:rsidRPr="00533EB5">
        <w:rPr>
          <w:vertAlign w:val="superscript"/>
          <w:lang w:eastAsia="en-GB"/>
        </w:rPr>
        <w:footnoteReference w:id="225"/>
      </w:r>
    </w:p>
    <w:p w14:paraId="654052CE" w14:textId="77777777" w:rsidR="00254203" w:rsidRPr="00533EB5" w:rsidRDefault="00254203" w:rsidP="0034708A">
      <w:pPr>
        <w:pStyle w:val="Title-subsections"/>
      </w:pPr>
      <w:r w:rsidRPr="00533EB5">
        <w:t>Recommendations</w:t>
      </w:r>
    </w:p>
    <w:p w14:paraId="6FB58B4A" w14:textId="07612242" w:rsidR="00254203" w:rsidRPr="00533EB5" w:rsidRDefault="00254203" w:rsidP="0034708A">
      <w:pPr>
        <w:pStyle w:val="Parabeforebulletss"/>
      </w:pPr>
      <w:r w:rsidRPr="00533EB5">
        <w:t>The</w:t>
      </w:r>
      <w:r w:rsidR="002806AC">
        <w:t xml:space="preserve"> EHRC recommends that the</w:t>
      </w:r>
      <w:r w:rsidRPr="00533EB5">
        <w:t xml:space="preserve"> UK Government should:</w:t>
      </w:r>
    </w:p>
    <w:p w14:paraId="22AD89A6" w14:textId="3EA4AC07" w:rsidR="00254203" w:rsidRPr="00533EB5" w:rsidRDefault="00EB3092" w:rsidP="0034708A">
      <w:pPr>
        <w:pStyle w:val="Bullet-followedbyothers"/>
        <w:rPr>
          <w:lang w:eastAsia="en-GB"/>
        </w:rPr>
      </w:pPr>
      <w:r>
        <w:rPr>
          <w:lang w:eastAsia="en-GB"/>
        </w:rPr>
        <w:t>e</w:t>
      </w:r>
      <w:r w:rsidR="00254203" w:rsidRPr="00533EB5">
        <w:rPr>
          <w:lang w:eastAsia="en-GB"/>
        </w:rPr>
        <w:t xml:space="preserve">nsure human rights education, which cuts across all subject areas including </w:t>
      </w:r>
      <w:r w:rsidR="00995E88">
        <w:rPr>
          <w:lang w:eastAsia="en-GB"/>
        </w:rPr>
        <w:t>r</w:t>
      </w:r>
      <w:r w:rsidR="00254203" w:rsidRPr="00533EB5">
        <w:rPr>
          <w:lang w:eastAsia="en-GB"/>
        </w:rPr>
        <w:t xml:space="preserve">elationships and </w:t>
      </w:r>
      <w:r w:rsidR="00995E88">
        <w:rPr>
          <w:lang w:eastAsia="en-GB"/>
        </w:rPr>
        <w:t>s</w:t>
      </w:r>
      <w:r w:rsidR="00254203" w:rsidRPr="00533EB5">
        <w:rPr>
          <w:lang w:eastAsia="en-GB"/>
        </w:rPr>
        <w:t xml:space="preserve">ex </w:t>
      </w:r>
      <w:r w:rsidR="00995E88">
        <w:rPr>
          <w:lang w:eastAsia="en-GB"/>
        </w:rPr>
        <w:t>e</w:t>
      </w:r>
      <w:r w:rsidR="00254203" w:rsidRPr="00533EB5">
        <w:rPr>
          <w:lang w:eastAsia="en-GB"/>
        </w:rPr>
        <w:t xml:space="preserve">ducation and </w:t>
      </w:r>
      <w:r w:rsidR="00995E88">
        <w:rPr>
          <w:lang w:eastAsia="en-GB"/>
        </w:rPr>
        <w:t>h</w:t>
      </w:r>
      <w:r w:rsidR="00254203" w:rsidRPr="00533EB5">
        <w:rPr>
          <w:lang w:eastAsia="en-GB"/>
        </w:rPr>
        <w:t xml:space="preserve">ealth education, is fully embedded in the curriculum. This includes education </w:t>
      </w:r>
      <w:r w:rsidR="00254203" w:rsidRPr="008B3116">
        <w:rPr>
          <w:lang w:eastAsia="en-GB"/>
        </w:rPr>
        <w:t>about</w:t>
      </w:r>
      <w:r w:rsidR="00254203" w:rsidRPr="009A2356">
        <w:rPr>
          <w:lang w:eastAsia="en-GB"/>
        </w:rPr>
        <w:t xml:space="preserve"> human rights, </w:t>
      </w:r>
      <w:r w:rsidR="00254203" w:rsidRPr="008B3116">
        <w:rPr>
          <w:lang w:eastAsia="en-GB"/>
        </w:rPr>
        <w:t>through</w:t>
      </w:r>
      <w:r w:rsidR="00254203" w:rsidRPr="009A2356">
        <w:rPr>
          <w:lang w:eastAsia="en-GB"/>
        </w:rPr>
        <w:t xml:space="preserve"> human rights and </w:t>
      </w:r>
      <w:r w:rsidR="00254203" w:rsidRPr="008B3116">
        <w:rPr>
          <w:lang w:eastAsia="en-GB"/>
        </w:rPr>
        <w:t>for</w:t>
      </w:r>
      <w:r w:rsidR="00254203" w:rsidRPr="009A2356">
        <w:rPr>
          <w:lang w:eastAsia="en-GB"/>
        </w:rPr>
        <w:t xml:space="preserve"> human rights</w:t>
      </w:r>
      <w:r w:rsidR="00254203" w:rsidRPr="00533EB5">
        <w:rPr>
          <w:lang w:eastAsia="en-GB"/>
        </w:rPr>
        <w:t>. In particular, children should be taught about their human rights relating to health, education</w:t>
      </w:r>
      <w:r w:rsidR="00254203">
        <w:rPr>
          <w:lang w:eastAsia="en-GB"/>
        </w:rPr>
        <w:t xml:space="preserve"> and</w:t>
      </w:r>
      <w:r w:rsidR="00254203" w:rsidRPr="00533EB5">
        <w:rPr>
          <w:lang w:eastAsia="en-GB"/>
        </w:rPr>
        <w:t xml:space="preserve"> bodily integrity </w:t>
      </w:r>
    </w:p>
    <w:p w14:paraId="76867134" w14:textId="6B9AF5F2" w:rsidR="00254203" w:rsidRPr="00533EB5" w:rsidRDefault="00995E88" w:rsidP="0034708A">
      <w:pPr>
        <w:pStyle w:val="Bullet-followedbyothers"/>
        <w:rPr>
          <w:lang w:eastAsia="en-GB"/>
        </w:rPr>
      </w:pPr>
      <w:r>
        <w:rPr>
          <w:lang w:eastAsia="en-GB"/>
        </w:rPr>
        <w:t>b</w:t>
      </w:r>
      <w:r w:rsidR="00254203" w:rsidRPr="00533EB5">
        <w:rPr>
          <w:lang w:eastAsia="en-GB"/>
        </w:rPr>
        <w:t>alance rights</w:t>
      </w:r>
      <w:r>
        <w:rPr>
          <w:lang w:eastAsia="en-GB"/>
        </w:rPr>
        <w:t xml:space="preserve"> of parents</w:t>
      </w:r>
      <w:r w:rsidR="00254203" w:rsidRPr="00533EB5">
        <w:rPr>
          <w:lang w:eastAsia="en-GB"/>
        </w:rPr>
        <w:t xml:space="preserve"> to choose how their children are educated with the rights of children as set out in the UN Convention on the Rights of the Child. The guidance and </w:t>
      </w:r>
      <w:r>
        <w:rPr>
          <w:lang w:eastAsia="en-GB"/>
        </w:rPr>
        <w:t>r</w:t>
      </w:r>
      <w:r w:rsidR="00254203" w:rsidRPr="00533EB5">
        <w:rPr>
          <w:lang w:eastAsia="en-GB"/>
        </w:rPr>
        <w:t xml:space="preserve">egulations concerning decisions to withdraw children should reflect these rights, as well as parents’ rights. Further, certain topics should be exempt from the right to withdraw, such as: consent, sexual abuse and harassment, and sexualised bullying, grooming, sexual </w:t>
      </w:r>
      <w:r w:rsidR="0034708A">
        <w:rPr>
          <w:lang w:eastAsia="en-GB"/>
        </w:rPr>
        <w:t>exploitation and domestic abuse, and</w:t>
      </w:r>
    </w:p>
    <w:p w14:paraId="1EB1D82C" w14:textId="62584C7A" w:rsidR="0034708A" w:rsidRPr="00F8186C" w:rsidRDefault="004F37B8" w:rsidP="0034708A">
      <w:pPr>
        <w:pStyle w:val="Bullet-lastingroup"/>
      </w:pPr>
      <w:r>
        <w:rPr>
          <w:lang w:eastAsia="en-GB"/>
        </w:rPr>
        <w:t xml:space="preserve">ensure </w:t>
      </w:r>
      <w:r w:rsidR="00995E88">
        <w:rPr>
          <w:lang w:eastAsia="en-GB"/>
        </w:rPr>
        <w:t>t</w:t>
      </w:r>
      <w:r w:rsidR="00254203">
        <w:rPr>
          <w:lang w:eastAsia="en-GB"/>
        </w:rPr>
        <w:t xml:space="preserve">eaching </w:t>
      </w:r>
      <w:r>
        <w:rPr>
          <w:lang w:eastAsia="en-GB"/>
        </w:rPr>
        <w:t>is</w:t>
      </w:r>
      <w:r w:rsidR="00254203" w:rsidRPr="00533EB5">
        <w:rPr>
          <w:lang w:eastAsia="en-GB"/>
        </w:rPr>
        <w:t xml:space="preserve"> evidence</w:t>
      </w:r>
      <w:r w:rsidR="00995E88">
        <w:rPr>
          <w:lang w:eastAsia="en-GB"/>
        </w:rPr>
        <w:t>-</w:t>
      </w:r>
      <w:r w:rsidR="00254203" w:rsidRPr="00533EB5">
        <w:rPr>
          <w:lang w:eastAsia="en-GB"/>
        </w:rPr>
        <w:t>based, not values-based, and inclusive of children with different protected characteristics.</w:t>
      </w:r>
    </w:p>
    <w:p w14:paraId="34EDE369" w14:textId="5C47EA74" w:rsidR="00F8186C" w:rsidRPr="00F8186C" w:rsidRDefault="00F8186C" w:rsidP="00254203">
      <w:pPr>
        <w:pStyle w:val="Parabase"/>
      </w:pPr>
    </w:p>
    <w:sectPr w:rsidR="00F8186C" w:rsidRPr="00F8186C" w:rsidSect="0043778A">
      <w:headerReference w:type="default" r:id="rId8"/>
      <w:footerReference w:type="default" r:id="rId9"/>
      <w:footerReference w:type="first" r:id="rId10"/>
      <w:footnotePr>
        <w:numRestart w:val="eachSect"/>
      </w:footnotePr>
      <w:pgSz w:w="11906" w:h="16838" w:code="9"/>
      <w:pgMar w:top="1440" w:right="1440" w:bottom="1440" w:left="1440"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9E757B" w14:textId="77777777" w:rsidR="004F37B8" w:rsidRDefault="004F37B8">
      <w:pPr>
        <w:spacing w:line="240" w:lineRule="auto"/>
      </w:pPr>
      <w:r>
        <w:separator/>
      </w:r>
    </w:p>
  </w:endnote>
  <w:endnote w:type="continuationSeparator" w:id="0">
    <w:p w14:paraId="67BDBEA3" w14:textId="77777777" w:rsidR="004F37B8" w:rsidRDefault="004F37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C1A53" w14:textId="35770C15" w:rsidR="004F37B8" w:rsidRDefault="004F37B8">
    <w:pPr>
      <w:pStyle w:val="Footer"/>
    </w:pPr>
    <w:r>
      <w:tab/>
    </w:r>
    <w:sdt>
      <w:sdtPr>
        <w:id w:val="-10858931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032B9E">
          <w:rPr>
            <w:noProof/>
          </w:rPr>
          <w:t>10</w:t>
        </w:r>
        <w:r>
          <w:rPr>
            <w:noProof/>
          </w:rPr>
          <w:fldChar w:fldCharType="end"/>
        </w:r>
      </w:sdtContent>
    </w:sdt>
  </w:p>
  <w:p w14:paraId="266490EC" w14:textId="77777777" w:rsidR="004F37B8" w:rsidRDefault="004F37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7896E" w14:textId="050AF1E4" w:rsidR="004F37B8" w:rsidRDefault="004F37B8">
    <w:pPr>
      <w:pStyle w:val="Footer"/>
    </w:pPr>
    <w:r>
      <w:rPr>
        <w:noProof/>
        <w:lang w:eastAsia="en-GB"/>
      </w:rPr>
      <mc:AlternateContent>
        <mc:Choice Requires="wps">
          <w:drawing>
            <wp:anchor distT="45720" distB="45720" distL="114300" distR="114300" simplePos="0" relativeHeight="251657216" behindDoc="0" locked="0" layoutInCell="1" allowOverlap="1" wp14:anchorId="0FEE7D37" wp14:editId="75C369EE">
              <wp:simplePos x="0" y="0"/>
              <wp:positionH relativeFrom="column">
                <wp:posOffset>3711869</wp:posOffset>
              </wp:positionH>
              <wp:positionV relativeFrom="paragraph">
                <wp:posOffset>-498105</wp:posOffset>
              </wp:positionV>
              <wp:extent cx="2542161" cy="900752"/>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2161" cy="900752"/>
                      </a:xfrm>
                      <a:prstGeom prst="rect">
                        <a:avLst/>
                      </a:prstGeom>
                      <a:solidFill>
                        <a:srgbClr val="FFFFFF"/>
                      </a:solidFill>
                      <a:ln w="9525">
                        <a:noFill/>
                        <a:miter lim="800000"/>
                        <a:headEnd/>
                        <a:tailEnd/>
                      </a:ln>
                    </wps:spPr>
                    <wps:txbx>
                      <w:txbxContent>
                        <w:p w14:paraId="1E7EE459" w14:textId="4B42C732" w:rsidR="004F37B8" w:rsidRDefault="004F37B8">
                          <w:r w:rsidRPr="0043778A">
                            <w:rPr>
                              <w:noProof/>
                              <w:lang w:eastAsia="en-GB"/>
                            </w:rPr>
                            <w:drawing>
                              <wp:inline distT="0" distB="0" distL="0" distR="0" wp14:anchorId="1816E978" wp14:editId="1B8D3361">
                                <wp:extent cx="2333767" cy="861841"/>
                                <wp:effectExtent l="0" t="0" r="0" b="0"/>
                                <wp:docPr id="3" name="Picture 3" descr="\\VM0083\Data\Corporate\Communication\Team Access\Content\Logos\EHRC logo GREY\EHRC jpg RGB\EHRC logo r41 g56 b53 (#293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M0083\Data\Corporate\Communication\Team Access\Content\Logos\EHRC logo GREY\EHRC jpg RGB\EHRC logo r41 g56 b53 (#29383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8780" cy="86369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EE7D37" id="_x0000_t202" coordsize="21600,21600" o:spt="202" path="m,l,21600r21600,l21600,xe">
              <v:stroke joinstyle="miter"/>
              <v:path gradientshapeok="t" o:connecttype="rect"/>
            </v:shapetype>
            <v:shape id="Text Box 2" o:spid="_x0000_s1026" type="#_x0000_t202" style="position:absolute;margin-left:292.25pt;margin-top:-39.2pt;width:200.15pt;height:70.9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" stroked="f">
              <v:textbox>
                <w:txbxContent>
                  <w:p w14:paraId="1E7EE459" w14:textId="4B42C732" w:rsidR="0043552F" w:rsidRDefault="0043552F">
                    <w:r w:rsidRPr="0043778A">
                      <w:rPr>
                        <w:noProof/>
                        <w:lang w:eastAsia="en-GB"/>
                      </w:rPr>
                      <w:drawing>
                        <wp:inline distT="0" distB="0" distL="0" distR="0" wp14:anchorId="1816E978" wp14:editId="1B8D3361">
                          <wp:extent cx="2333767" cy="861841"/>
                          <wp:effectExtent l="0" t="0" r="0" b="0"/>
                          <wp:docPr id="3" name="Picture 3" descr="\\VM0083\Data\Corporate\Communication\Team Access\Content\Logos\EHRC logo GREY\EHRC jpg RGB\EHRC logo r41 g56 b53 (#293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M0083\Data\Corporate\Communication\Team Access\Content\Logos\EHRC logo GREY\EHRC jpg RGB\EHRC logo r41 g56 b53 (#293835).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38780" cy="863692"/>
                                  </a:xfrm>
                                  <a:prstGeom prst="rect">
                                    <a:avLst/>
                                  </a:prstGeom>
                                  <a:noFill/>
                                  <a:ln>
                                    <a:noFill/>
                                  </a:ln>
                                </pic:spPr>
                              </pic:pic>
                            </a:graphicData>
                          </a:graphic>
                        </wp:inline>
                      </w:drawing>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02AD88" w14:textId="77777777" w:rsidR="004F37B8" w:rsidRDefault="004F37B8">
      <w:pPr>
        <w:spacing w:line="240" w:lineRule="auto"/>
      </w:pPr>
      <w:r>
        <w:separator/>
      </w:r>
    </w:p>
  </w:footnote>
  <w:footnote w:type="continuationSeparator" w:id="0">
    <w:p w14:paraId="23729E6A" w14:textId="77777777" w:rsidR="004F37B8" w:rsidRDefault="004F37B8">
      <w:pPr>
        <w:spacing w:line="240" w:lineRule="auto"/>
      </w:pPr>
      <w:r>
        <w:continuationSeparator/>
      </w:r>
    </w:p>
  </w:footnote>
  <w:footnote w:id="1">
    <w:p w14:paraId="6C70950C" w14:textId="390BFAFF" w:rsidR="004F37B8" w:rsidRDefault="004F37B8" w:rsidP="00FC4DAE">
      <w:pPr>
        <w:pStyle w:val="FootnoteText"/>
      </w:pPr>
      <w:r>
        <w:rPr>
          <w:rStyle w:val="FootnoteReference"/>
        </w:rPr>
        <w:footnoteRef/>
      </w:r>
      <w:r>
        <w:t xml:space="preserve"> CEDAW Committee (2018), ‘List of issues in relation to the eighth periodic report of the United Kingdom of Great Britain and Northern Ireland’. Available at: </w:t>
      </w:r>
      <w:hyperlink r:id="rId1" w:history="1">
        <w:r w:rsidRPr="00D60E41">
          <w:rPr>
            <w:rStyle w:val="Hyperlink"/>
          </w:rPr>
          <w:t>https://tbinternet.ohchr.org/_layouts/treatybodyexternal/SessionDetails1.aspx?SessionID=1190&amp;Lang=en</w:t>
        </w:r>
      </w:hyperlink>
      <w:r>
        <w:t xml:space="preserve"> [accessed: 3 January 2019].</w:t>
      </w:r>
    </w:p>
  </w:footnote>
  <w:footnote w:id="2">
    <w:p w14:paraId="5042F808" w14:textId="5000B5D2" w:rsidR="004F37B8" w:rsidRDefault="004F37B8">
      <w:pPr>
        <w:pStyle w:val="FootnoteText"/>
      </w:pPr>
      <w:r>
        <w:rPr>
          <w:rStyle w:val="FootnoteReference"/>
        </w:rPr>
        <w:footnoteRef/>
      </w:r>
      <w:r>
        <w:t xml:space="preserve"> EHRC (2018), ‘</w:t>
      </w:r>
      <w:r w:rsidRPr="00B80967">
        <w:t>Pressing for progress: women’s rights and gender equality in 2018</w:t>
      </w:r>
      <w:r>
        <w:t xml:space="preserve">’. Available at: </w:t>
      </w:r>
      <w:hyperlink r:id="rId2" w:history="1">
        <w:r w:rsidRPr="00583831">
          <w:rPr>
            <w:rStyle w:val="Hyperlink"/>
          </w:rPr>
          <w:t>https://www.equalityhumanrights.com/en/publication-download/pressing-progress-women%E2%80%99s-rights-and-gender-equality-2018</w:t>
        </w:r>
      </w:hyperlink>
      <w:r>
        <w:t xml:space="preserve"> [accessed: 6 December 2018].</w:t>
      </w:r>
    </w:p>
  </w:footnote>
  <w:footnote w:id="3">
    <w:p w14:paraId="719578A8" w14:textId="5F99F879" w:rsidR="004F37B8" w:rsidRPr="00AA3B1D" w:rsidRDefault="004F37B8" w:rsidP="00211F67">
      <w:pPr>
        <w:pStyle w:val="FootnoteText"/>
        <w:rPr>
          <w:rFonts w:cs="Arial"/>
        </w:rPr>
      </w:pPr>
      <w:r w:rsidRPr="00AA3B1D">
        <w:rPr>
          <w:rStyle w:val="FootnoteReference"/>
          <w:rFonts w:cs="Arial"/>
        </w:rPr>
        <w:footnoteRef/>
      </w:r>
      <w:r w:rsidRPr="00AA3B1D">
        <w:rPr>
          <w:rFonts w:cs="Arial"/>
        </w:rPr>
        <w:t xml:space="preserve"> Women’s National Commission.</w:t>
      </w:r>
      <w:r w:rsidRPr="00D82D3D">
        <w:rPr>
          <w:rFonts w:cs="Arial"/>
        </w:rPr>
        <w:t xml:space="preserve"> </w:t>
      </w:r>
      <w:r w:rsidRPr="00AA3B1D">
        <w:rPr>
          <w:rFonts w:cs="Arial"/>
        </w:rPr>
        <w:t xml:space="preserve">2010. </w:t>
      </w:r>
      <w:r w:rsidRPr="00D82D3D">
        <w:rPr>
          <w:rFonts w:cs="Arial"/>
          <w:i/>
        </w:rPr>
        <w:t>Closure of the Women's National Commission</w:t>
      </w:r>
      <w:r>
        <w:rPr>
          <w:rFonts w:cs="Arial"/>
        </w:rPr>
        <w:t xml:space="preserve">. [ONLINE]. </w:t>
      </w:r>
      <w:r w:rsidRPr="00AA3B1D">
        <w:rPr>
          <w:rFonts w:cs="Arial"/>
        </w:rPr>
        <w:t xml:space="preserve">Available at: </w:t>
      </w:r>
      <w:hyperlink r:id="rId3" w:history="1">
        <w:r w:rsidRPr="005F55B0">
          <w:rPr>
            <w:rStyle w:val="Hyperlink"/>
            <w:rFonts w:cs="Arial"/>
          </w:rPr>
          <w:t>http://webarchive.nationalarchives.gov.uk/20110818085323/http://wnc.equalities.gov.uk/</w:t>
        </w:r>
      </w:hyperlink>
      <w:r>
        <w:rPr>
          <w:rFonts w:cs="Arial"/>
        </w:rPr>
        <w:t xml:space="preserve"> </w:t>
      </w:r>
      <w:r w:rsidRPr="00AA3B1D">
        <w:rPr>
          <w:rFonts w:cs="Arial"/>
        </w:rPr>
        <w:t>[accessed</w:t>
      </w:r>
      <w:r>
        <w:rPr>
          <w:rFonts w:cs="Arial"/>
        </w:rPr>
        <w:t>:</w:t>
      </w:r>
      <w:r w:rsidRPr="00AA3B1D">
        <w:rPr>
          <w:rFonts w:cs="Arial"/>
        </w:rPr>
        <w:t xml:space="preserve"> 30 April 2018].</w:t>
      </w:r>
    </w:p>
  </w:footnote>
  <w:footnote w:id="4">
    <w:p w14:paraId="1B494CF6" w14:textId="02D05620" w:rsidR="004F37B8" w:rsidRDefault="004F37B8" w:rsidP="004315CC">
      <w:pPr>
        <w:pStyle w:val="FootnoteText"/>
      </w:pPr>
      <w:r>
        <w:rPr>
          <w:rStyle w:val="FootnoteReference"/>
        </w:rPr>
        <w:footnoteRef/>
      </w:r>
      <w:r>
        <w:t xml:space="preserve"> Parliamentlive.tv. 2018. </w:t>
      </w:r>
      <w:r w:rsidRPr="004315CC">
        <w:rPr>
          <w:i/>
        </w:rPr>
        <w:t>Women and Equalities Committee Wednesday 14 November 2018</w:t>
      </w:r>
      <w:r>
        <w:t xml:space="preserve">. [ONLINE]. Available at: </w:t>
      </w:r>
      <w:hyperlink r:id="rId4" w:history="1">
        <w:r w:rsidRPr="00583831">
          <w:rPr>
            <w:rStyle w:val="Hyperlink"/>
          </w:rPr>
          <w:t>https://www.parliamentlive.tv/Event/Index/8efe4547-e9df-4e1a-9d43-d8120b186e5e</w:t>
        </w:r>
      </w:hyperlink>
      <w:r>
        <w:t xml:space="preserve"> [accessed: 6 December 2018].  </w:t>
      </w:r>
    </w:p>
  </w:footnote>
  <w:footnote w:id="5">
    <w:p w14:paraId="48BEF518" w14:textId="3AD5C723" w:rsidR="004F37B8" w:rsidRDefault="004F37B8">
      <w:pPr>
        <w:pStyle w:val="FootnoteText"/>
      </w:pPr>
      <w:r>
        <w:rPr>
          <w:rStyle w:val="FootnoteReference"/>
        </w:rPr>
        <w:footnoteRef/>
      </w:r>
      <w:r>
        <w:t xml:space="preserve"> National mechanisms allow states to coordinate their reporting to UN bodies and develop a more coherent response to their human rights obligations. See: </w:t>
      </w:r>
      <w:hyperlink r:id="rId5" w:history="1">
        <w:r w:rsidRPr="00750867">
          <w:rPr>
            <w:rStyle w:val="Hyperlink"/>
          </w:rPr>
          <w:t>https://www.ohchr.org/Documents/Publications/HR_PUB_16_1_NMRF_PracticalGuide.pdf</w:t>
        </w:r>
      </w:hyperlink>
      <w:r>
        <w:t xml:space="preserve"> </w:t>
      </w:r>
    </w:p>
  </w:footnote>
  <w:footnote w:id="6">
    <w:p w14:paraId="5CB28086" w14:textId="4C577ED6" w:rsidR="004F37B8" w:rsidRDefault="004F37B8" w:rsidP="006B3215">
      <w:pPr>
        <w:pStyle w:val="FootnoteText"/>
      </w:pPr>
      <w:r>
        <w:rPr>
          <w:rStyle w:val="FootnoteReference"/>
        </w:rPr>
        <w:footnoteRef/>
      </w:r>
      <w:r>
        <w:t xml:space="preserve"> National Assembly for Wales. 2017. </w:t>
      </w:r>
      <w:r w:rsidRPr="00265B6C">
        <w:rPr>
          <w:i/>
        </w:rPr>
        <w:t>Inquiry into Human Rights in Wales</w:t>
      </w:r>
      <w:r>
        <w:t xml:space="preserve">. [ONLINE]. Available at:  </w:t>
      </w:r>
      <w:hyperlink r:id="rId6" w:history="1">
        <w:r w:rsidRPr="00BB2AAD">
          <w:rPr>
            <w:rStyle w:val="Hyperlink"/>
          </w:rPr>
          <w:t>http://senedd.assembly.wales/mgIssueHistoryHome.aspx?IId=16644</w:t>
        </w:r>
      </w:hyperlink>
      <w:r>
        <w:t xml:space="preserve"> [accessed: 6 December 2018].  </w:t>
      </w:r>
    </w:p>
  </w:footnote>
  <w:footnote w:id="7">
    <w:p w14:paraId="46F98C57" w14:textId="69945EF5" w:rsidR="004F37B8" w:rsidRDefault="004F37B8" w:rsidP="00343CF2">
      <w:pPr>
        <w:pStyle w:val="FootnoteText"/>
      </w:pPr>
      <w:r>
        <w:rPr>
          <w:rStyle w:val="FootnoteReference"/>
        </w:rPr>
        <w:footnoteRef/>
      </w:r>
      <w:r>
        <w:t xml:space="preserve"> National Assembly for Wales. 2018. </w:t>
      </w:r>
      <w:r w:rsidRPr="00343CF2">
        <w:rPr>
          <w:i/>
        </w:rPr>
        <w:t>Plenary 10/07/2018</w:t>
      </w:r>
      <w:r>
        <w:t xml:space="preserve">. [ONLINE]. Available at:  </w:t>
      </w:r>
      <w:hyperlink r:id="rId7" w:anchor="C109541" w:history="1">
        <w:r w:rsidRPr="00BB2AAD">
          <w:rPr>
            <w:rStyle w:val="Hyperlink"/>
          </w:rPr>
          <w:t>http://record.assembly.wales/Plenary/4998#C109541</w:t>
        </w:r>
      </w:hyperlink>
      <w:r>
        <w:t xml:space="preserve"> [accessed: 6 December 2018].  </w:t>
      </w:r>
    </w:p>
  </w:footnote>
  <w:footnote w:id="8">
    <w:p w14:paraId="6E89C284" w14:textId="3607DF38" w:rsidR="004F37B8" w:rsidRDefault="004F37B8" w:rsidP="006B3215">
      <w:pPr>
        <w:pStyle w:val="FootnoteText"/>
      </w:pPr>
      <w:r>
        <w:rPr>
          <w:rStyle w:val="FootnoteReference"/>
        </w:rPr>
        <w:footnoteRef/>
      </w:r>
      <w:r>
        <w:t xml:space="preserve"> Welsh Government. 2018. </w:t>
      </w:r>
      <w:r w:rsidRPr="00343CF2">
        <w:rPr>
          <w:i/>
        </w:rPr>
        <w:t>Review of gender equality</w:t>
      </w:r>
      <w:r>
        <w:t xml:space="preserve">. [ONLINE]. Available at:  </w:t>
      </w:r>
      <w:hyperlink r:id="rId8" w:history="1">
        <w:r w:rsidRPr="00BB2AAD">
          <w:rPr>
            <w:rStyle w:val="Hyperlink"/>
          </w:rPr>
          <w:t>https://gov.wales/topics/people-and-communities/equality-diversity/review-of-gender-equality/?lang=en</w:t>
        </w:r>
      </w:hyperlink>
      <w:r>
        <w:t xml:space="preserve"> [accessed: 6 December 2018].  </w:t>
      </w:r>
    </w:p>
  </w:footnote>
  <w:footnote w:id="9">
    <w:p w14:paraId="35F824C9" w14:textId="066073BF" w:rsidR="004F37B8" w:rsidRDefault="004F37B8" w:rsidP="00F10FC4">
      <w:pPr>
        <w:pStyle w:val="FootnoteText"/>
      </w:pPr>
      <w:r>
        <w:rPr>
          <w:rStyle w:val="FootnoteReference"/>
        </w:rPr>
        <w:footnoteRef/>
      </w:r>
      <w:r>
        <w:t xml:space="preserve"> Chwarae Teg (2018), ‘Rapid review of gender equality 2018: phase one June 2018’. Available at: </w:t>
      </w:r>
      <w:hyperlink r:id="rId9" w:history="1">
        <w:r w:rsidRPr="006D14B8">
          <w:rPr>
            <w:rStyle w:val="Hyperlink"/>
          </w:rPr>
          <w:t>https://www.cteg.org.uk/wp-content/uploads/2018/07/final-Rapid-Review-of-Gender-Equality-Phase-One.pdf</w:t>
        </w:r>
      </w:hyperlink>
      <w:r>
        <w:t xml:space="preserve"> [accessed: 6 December 2018]. </w:t>
      </w:r>
    </w:p>
  </w:footnote>
  <w:footnote w:id="10">
    <w:p w14:paraId="78A26D66" w14:textId="3D451897" w:rsidR="004F37B8" w:rsidRDefault="004F37B8">
      <w:pPr>
        <w:pStyle w:val="FootnoteText"/>
      </w:pPr>
      <w:r>
        <w:rPr>
          <w:rStyle w:val="FootnoteReference"/>
        </w:rPr>
        <w:footnoteRef/>
      </w:r>
      <w:r>
        <w:t xml:space="preserve"> EHRC (2018), ‘Is Britain Fairer? </w:t>
      </w:r>
      <w:r w:rsidRPr="002837D5">
        <w:t>The state of equality and human rights 2018</w:t>
      </w:r>
      <w:r>
        <w:t xml:space="preserve">’. Available at: </w:t>
      </w:r>
      <w:hyperlink r:id="rId10" w:history="1">
        <w:r w:rsidRPr="006D14B8">
          <w:rPr>
            <w:rStyle w:val="Hyperlink"/>
          </w:rPr>
          <w:t>https://www.equalityhumanrights.com/en/publication-download/britain-fairer-2018</w:t>
        </w:r>
      </w:hyperlink>
      <w:r>
        <w:t xml:space="preserve"> [accessed: 6 December 2018]. </w:t>
      </w:r>
    </w:p>
  </w:footnote>
  <w:footnote w:id="11">
    <w:p w14:paraId="2A05F6BF" w14:textId="77777777" w:rsidR="004F37B8" w:rsidRPr="00AA3B1D" w:rsidRDefault="004F37B8" w:rsidP="006B3215">
      <w:pPr>
        <w:pStyle w:val="FootnoteText"/>
        <w:rPr>
          <w:rFonts w:cs="Arial"/>
        </w:rPr>
      </w:pPr>
      <w:r w:rsidRPr="00AA3B1D">
        <w:rPr>
          <w:rStyle w:val="FootnoteReference"/>
          <w:rFonts w:cs="Arial"/>
        </w:rPr>
        <w:footnoteRef/>
      </w:r>
      <w:r w:rsidRPr="00AA3B1D">
        <w:rPr>
          <w:rFonts w:cs="Arial"/>
        </w:rPr>
        <w:t xml:space="preserve"> </w:t>
      </w:r>
      <w:r w:rsidRPr="00AA3B1D">
        <w:rPr>
          <w:rFonts w:cs="Arial"/>
          <w:lang w:eastAsia="en-GB"/>
        </w:rPr>
        <w:t>The EA 2010 provides a legislative framework to tackle discrimination and advance equality across Great Britain, and places an equality duty (the Public Sector Equality Duty) on public authorities. The ‘protected characteristics’ identified in the EA 2010 are sex, race, disability, gender reassignment, age, pregnancy and maternity, marriage and civil partnership, religion and belief</w:t>
      </w:r>
      <w:r>
        <w:rPr>
          <w:rFonts w:cs="Arial"/>
          <w:lang w:eastAsia="en-GB"/>
        </w:rPr>
        <w:t>,</w:t>
      </w:r>
      <w:r w:rsidRPr="00AA3B1D">
        <w:rPr>
          <w:rFonts w:cs="Arial"/>
          <w:lang w:eastAsia="en-GB"/>
        </w:rPr>
        <w:t xml:space="preserve"> and sexual orientation</w:t>
      </w:r>
      <w:r>
        <w:rPr>
          <w:rFonts w:cs="Arial"/>
          <w:lang w:eastAsia="en-GB"/>
        </w:rPr>
        <w:t>. See:</w:t>
      </w:r>
      <w:r w:rsidRPr="00AA3B1D">
        <w:rPr>
          <w:rFonts w:cs="Arial"/>
          <w:lang w:eastAsia="en-GB"/>
        </w:rPr>
        <w:t xml:space="preserve"> </w:t>
      </w:r>
      <w:hyperlink r:id="rId11" w:history="1">
        <w:r w:rsidRPr="00AA3B1D">
          <w:rPr>
            <w:rStyle w:val="Hyperlink"/>
            <w:rFonts w:cs="Arial"/>
          </w:rPr>
          <w:t>https://www.legislation.gov.uk/ukpga/2010/15/contents</w:t>
        </w:r>
      </w:hyperlink>
      <w:r w:rsidRPr="00AA3B1D">
        <w:rPr>
          <w:rFonts w:cs="Arial"/>
        </w:rPr>
        <w:t xml:space="preserve"> </w:t>
      </w:r>
      <w:r>
        <w:rPr>
          <w:rFonts w:cs="Arial"/>
        </w:rPr>
        <w:t>[accessed: 21 May 2018].</w:t>
      </w:r>
    </w:p>
  </w:footnote>
  <w:footnote w:id="12">
    <w:p w14:paraId="322AD919" w14:textId="7A746C35" w:rsidR="004F37B8" w:rsidRDefault="004F37B8" w:rsidP="006B3215">
      <w:pPr>
        <w:pStyle w:val="FootnoteText"/>
      </w:pPr>
      <w:r>
        <w:rPr>
          <w:rStyle w:val="FootnoteReference"/>
        </w:rPr>
        <w:footnoteRef/>
      </w:r>
      <w:r>
        <w:t xml:space="preserve"> Women and Equalities Committee. 2018.</w:t>
      </w:r>
      <w:r w:rsidRPr="002837D5">
        <w:rPr>
          <w:sz w:val="24"/>
          <w:szCs w:val="22"/>
          <w:lang w:val="en"/>
        </w:rPr>
        <w:t xml:space="preserve"> </w:t>
      </w:r>
      <w:r w:rsidRPr="002837D5">
        <w:rPr>
          <w:i/>
          <w:lang w:val="en"/>
        </w:rPr>
        <w:t>Enforcing the Equality Act: the law and the role of the EHRC inquiry</w:t>
      </w:r>
      <w:r>
        <w:t xml:space="preserve">. [ONLINE]. Available at: </w:t>
      </w:r>
      <w:hyperlink r:id="rId12" w:history="1">
        <w:r w:rsidRPr="00D33FF7">
          <w:rPr>
            <w:rStyle w:val="Hyperlink"/>
          </w:rPr>
          <w:t>https://www.parliament.uk/business/committees/committees-a-z/commons-select/women-and-equalities-committee/inquiries/parliament-2017/enforcing-the-equality-act-17-19/</w:t>
        </w:r>
      </w:hyperlink>
      <w:r>
        <w:t xml:space="preserve"> [accessed: 6 December 2018]. </w:t>
      </w:r>
    </w:p>
  </w:footnote>
  <w:footnote w:id="13">
    <w:p w14:paraId="30D77531" w14:textId="1ECD2728" w:rsidR="004F37B8" w:rsidRDefault="004F37B8" w:rsidP="002837D5">
      <w:pPr>
        <w:pStyle w:val="FootnoteText"/>
      </w:pPr>
      <w:r>
        <w:rPr>
          <w:rStyle w:val="FootnoteReference"/>
        </w:rPr>
        <w:footnoteRef/>
      </w:r>
      <w:r>
        <w:t xml:space="preserve"> EHRC. 2018. </w:t>
      </w:r>
      <w:r w:rsidRPr="002837D5">
        <w:rPr>
          <w:i/>
        </w:rPr>
        <w:t>Written submission from Equality and Human Rights Commission (EEA0254)</w:t>
      </w:r>
      <w:r>
        <w:rPr>
          <w:rStyle w:val="Hyperlink"/>
          <w:color w:val="auto"/>
          <w:u w:val="none"/>
        </w:rPr>
        <w:t xml:space="preserve">. [ONLINE]. Available at: </w:t>
      </w:r>
      <w:r w:rsidRPr="002837D5">
        <w:rPr>
          <w:rStyle w:val="Hyperlink"/>
          <w:color w:val="auto"/>
          <w:u w:val="none"/>
        </w:rPr>
        <w:t xml:space="preserve"> </w:t>
      </w:r>
      <w:hyperlink r:id="rId13" w:history="1">
        <w:r w:rsidRPr="004F3F45">
          <w:rPr>
            <w:rStyle w:val="Hyperlink"/>
          </w:rPr>
          <w:t>http://data.parliament.uk/writtenevidence/committeeevidence.svc/evidencedocument/women-and-equalities-committee/enforcing-the-equality-act-the-law-and-the-role-of-the-equality-and-human-rights-commission/written/91482.html</w:t>
        </w:r>
      </w:hyperlink>
      <w:r>
        <w:t xml:space="preserve"> [accessed: 6 December 2018].</w:t>
      </w:r>
    </w:p>
  </w:footnote>
  <w:footnote w:id="14">
    <w:p w14:paraId="54B79BDC" w14:textId="79D11177" w:rsidR="004F37B8" w:rsidRDefault="004F37B8" w:rsidP="006B3215">
      <w:pPr>
        <w:pStyle w:val="FootnoteText"/>
      </w:pPr>
      <w:r>
        <w:rPr>
          <w:rStyle w:val="FootnoteReference"/>
        </w:rPr>
        <w:footnoteRef/>
      </w:r>
      <w:r>
        <w:t xml:space="preserve"> </w:t>
      </w:r>
      <w:r w:rsidRPr="009066BC">
        <w:rPr>
          <w:bCs/>
        </w:rPr>
        <w:t xml:space="preserve">Numerous legal practitioners and experts have noted the complex nature of enforcing EA 2010 rights through the courts. </w:t>
      </w:r>
      <w:r w:rsidRPr="009066BC">
        <w:rPr>
          <w:rFonts w:cs="Arial"/>
        </w:rPr>
        <w:t>The imbalance of power between the parties in a discrimination case makes litigation unattractive for many people, and the stress and complexity of bringing a claim is heightened by the cost and the low level of compe</w:t>
      </w:r>
      <w:r>
        <w:rPr>
          <w:rFonts w:cs="Arial"/>
        </w:rPr>
        <w:t>nsation available in some cases</w:t>
      </w:r>
      <w:r w:rsidRPr="009066BC">
        <w:rPr>
          <w:rFonts w:cs="Arial"/>
        </w:rPr>
        <w:t xml:space="preserve">. </w:t>
      </w:r>
      <w:r w:rsidRPr="00D43A2A">
        <w:rPr>
          <w:rFonts w:cs="Arial"/>
        </w:rPr>
        <w:t>See paras 14</w:t>
      </w:r>
      <w:r>
        <w:rPr>
          <w:rFonts w:cs="Arial"/>
        </w:rPr>
        <w:t xml:space="preserve"> and</w:t>
      </w:r>
      <w:r w:rsidRPr="00D43A2A">
        <w:rPr>
          <w:rFonts w:cs="Arial"/>
        </w:rPr>
        <w:t xml:space="preserve"> 22</w:t>
      </w:r>
      <w:r>
        <w:rPr>
          <w:rFonts w:cs="Arial"/>
        </w:rPr>
        <w:t>–</w:t>
      </w:r>
      <w:r w:rsidRPr="00D43A2A">
        <w:rPr>
          <w:rFonts w:cs="Arial"/>
        </w:rPr>
        <w:t xml:space="preserve">8 </w:t>
      </w:r>
      <w:r>
        <w:rPr>
          <w:rFonts w:cs="Arial"/>
          <w:bCs/>
        </w:rPr>
        <w:t xml:space="preserve">of our submission, ibid. </w:t>
      </w:r>
    </w:p>
  </w:footnote>
  <w:footnote w:id="15">
    <w:p w14:paraId="1A9E8CBF" w14:textId="77777777" w:rsidR="004F37B8" w:rsidRDefault="004F37B8" w:rsidP="00634D9B">
      <w:pPr>
        <w:pStyle w:val="FootnoteText"/>
      </w:pPr>
      <w:r>
        <w:rPr>
          <w:rStyle w:val="FootnoteReference"/>
        </w:rPr>
        <w:footnoteRef/>
      </w:r>
      <w:r>
        <w:t xml:space="preserve"> Another example includes</w:t>
      </w:r>
      <w:r w:rsidRPr="000F63FB">
        <w:rPr>
          <w:rFonts w:cs="Arial"/>
        </w:rPr>
        <w:t xml:space="preserve"> </w:t>
      </w:r>
      <w:r w:rsidRPr="009066BC">
        <w:rPr>
          <w:rFonts w:cs="Arial"/>
        </w:rPr>
        <w:t>introducing a mandatory duty on employers to protect employees from discrimination and harassment,</w:t>
      </w:r>
      <w:r>
        <w:rPr>
          <w:rFonts w:cs="Arial"/>
        </w:rPr>
        <w:t xml:space="preserve"> enforceable by the EHRC. </w:t>
      </w:r>
    </w:p>
  </w:footnote>
  <w:footnote w:id="16">
    <w:p w14:paraId="01B124E2" w14:textId="649809D9" w:rsidR="004F37B8" w:rsidRPr="004950BA" w:rsidRDefault="004F37B8" w:rsidP="006B3215">
      <w:pPr>
        <w:pStyle w:val="FootnoteText"/>
      </w:pPr>
      <w:r w:rsidRPr="003C7E0E">
        <w:rPr>
          <w:rStyle w:val="FootnoteReference"/>
        </w:rPr>
        <w:footnoteRef/>
      </w:r>
      <w:r w:rsidRPr="003C7E0E">
        <w:t xml:space="preserve"> </w:t>
      </w:r>
      <w:r w:rsidRPr="004950BA">
        <w:rPr>
          <w:rFonts w:cs="Arial"/>
        </w:rPr>
        <w:t>Inc</w:t>
      </w:r>
      <w:r>
        <w:rPr>
          <w:rFonts w:cs="Arial"/>
        </w:rPr>
        <w:t>luding those changes set out in the EHR</w:t>
      </w:r>
      <w:r w:rsidRPr="004950BA">
        <w:rPr>
          <w:rFonts w:cs="Arial"/>
        </w:rPr>
        <w:t xml:space="preserve">C’s </w:t>
      </w:r>
      <w:r>
        <w:rPr>
          <w:rFonts w:cs="Arial"/>
        </w:rPr>
        <w:t>‘</w:t>
      </w:r>
      <w:r w:rsidRPr="007C29CE">
        <w:rPr>
          <w:rFonts w:cs="Arial"/>
        </w:rPr>
        <w:t>Is Britain Fairer?</w:t>
      </w:r>
      <w:r>
        <w:rPr>
          <w:rFonts w:cs="Arial"/>
        </w:rPr>
        <w:t>’</w:t>
      </w:r>
      <w:r w:rsidRPr="004950BA">
        <w:rPr>
          <w:rFonts w:cs="Arial"/>
          <w:i/>
        </w:rPr>
        <w:t xml:space="preserve"> </w:t>
      </w:r>
      <w:r>
        <w:rPr>
          <w:rFonts w:cs="Arial"/>
        </w:rPr>
        <w:t>2018 r</w:t>
      </w:r>
      <w:r w:rsidRPr="004950BA">
        <w:rPr>
          <w:rFonts w:cs="Arial"/>
        </w:rPr>
        <w:t>eport</w:t>
      </w:r>
      <w:r>
        <w:t xml:space="preserve">: </w:t>
      </w:r>
      <w:hyperlink r:id="rId14" w:history="1">
        <w:r w:rsidRPr="004F3F45">
          <w:rPr>
            <w:rStyle w:val="Hyperlink"/>
          </w:rPr>
          <w:t>https://equalityhumanrights.com/en/britain-fairer</w:t>
        </w:r>
      </w:hyperlink>
      <w:r>
        <w:t xml:space="preserve"> </w:t>
      </w:r>
    </w:p>
  </w:footnote>
  <w:footnote w:id="17">
    <w:p w14:paraId="2174A296" w14:textId="14566439" w:rsidR="004F37B8" w:rsidRPr="002837D5" w:rsidRDefault="004F37B8" w:rsidP="002837D5">
      <w:pPr>
        <w:pStyle w:val="FootnoteText"/>
        <w:rPr>
          <w:color w:val="0000FF"/>
          <w:u w:val="single"/>
        </w:rPr>
      </w:pPr>
      <w:r>
        <w:rPr>
          <w:rStyle w:val="FootnoteReference"/>
        </w:rPr>
        <w:footnoteRef/>
      </w:r>
      <w:r>
        <w:t xml:space="preserve"> UK Government. 2018.</w:t>
      </w:r>
      <w:r w:rsidRPr="002837D5">
        <w:t xml:space="preserve"> </w:t>
      </w:r>
      <w:r w:rsidRPr="002837D5">
        <w:rPr>
          <w:i/>
        </w:rPr>
        <w:t>Reform of the Gender Recognition Act 2004</w:t>
      </w:r>
      <w:r>
        <w:t xml:space="preserve">. [ONLINE]. Available at: </w:t>
      </w:r>
      <w:hyperlink r:id="rId15" w:history="1">
        <w:r w:rsidRPr="00D33FF7">
          <w:rPr>
            <w:rStyle w:val="Hyperlink"/>
          </w:rPr>
          <w:t>https://www.gov.uk/government/consultations/reform-of-the-gender-recognition-act-2004</w:t>
        </w:r>
      </w:hyperlink>
      <w:r>
        <w:t xml:space="preserve"> </w:t>
      </w:r>
      <w:r>
        <w:rPr>
          <w:rFonts w:cs="Arial"/>
        </w:rPr>
        <w:t>[accessed: 6 December 2018].</w:t>
      </w:r>
    </w:p>
  </w:footnote>
  <w:footnote w:id="18">
    <w:p w14:paraId="5AAD626A" w14:textId="37BEC158" w:rsidR="004F37B8" w:rsidRDefault="004F37B8" w:rsidP="006B3215">
      <w:pPr>
        <w:pStyle w:val="FootnoteText"/>
      </w:pPr>
      <w:r w:rsidRPr="004950BA">
        <w:rPr>
          <w:rStyle w:val="FootnoteReference"/>
        </w:rPr>
        <w:footnoteRef/>
      </w:r>
      <w:r w:rsidRPr="004950BA">
        <w:t xml:space="preserve"> </w:t>
      </w:r>
      <w:r w:rsidRPr="004950BA">
        <w:rPr>
          <w:rFonts w:cs="Arial"/>
          <w:color w:val="0B0C0C"/>
          <w:shd w:val="clear" w:color="auto" w:fill="FFFFFF"/>
        </w:rPr>
        <w:t>Trans</w:t>
      </w:r>
      <w:r>
        <w:rPr>
          <w:rFonts w:cs="Arial"/>
          <w:color w:val="0B0C0C"/>
          <w:shd w:val="clear" w:color="auto" w:fill="FFFFFF"/>
        </w:rPr>
        <w:t>gender</w:t>
      </w:r>
      <w:r w:rsidRPr="004950BA">
        <w:rPr>
          <w:rFonts w:cs="Arial"/>
          <w:color w:val="0B0C0C"/>
          <w:shd w:val="clear" w:color="auto" w:fill="FFFFFF"/>
        </w:rPr>
        <w:t xml:space="preserve"> people are able to receive legal recognition of their acquired gender through a process set out in the Gender Recognition Act 2004.</w:t>
      </w:r>
    </w:p>
  </w:footnote>
  <w:footnote w:id="19">
    <w:p w14:paraId="7886AF68" w14:textId="6798D79F" w:rsidR="004F37B8" w:rsidRDefault="004F37B8" w:rsidP="002837D5">
      <w:pPr>
        <w:pStyle w:val="FootnoteText"/>
      </w:pPr>
      <w:r>
        <w:rPr>
          <w:rStyle w:val="FootnoteReference"/>
        </w:rPr>
        <w:footnoteRef/>
      </w:r>
      <w:r>
        <w:t xml:space="preserve"> EHRC (2018), ‘</w:t>
      </w:r>
      <w:r w:rsidRPr="002837D5">
        <w:t>Response of the Equality and Human Rights Commission to the consultation</w:t>
      </w:r>
      <w:r>
        <w:t xml:space="preserve">’. Available at: </w:t>
      </w:r>
      <w:hyperlink r:id="rId16" w:history="1">
        <w:r w:rsidRPr="004F3F45">
          <w:rPr>
            <w:rStyle w:val="Hyperlink"/>
          </w:rPr>
          <w:t>https://www.equalityhumanrights.com/sites/default/files/consultation-response-gender-recognition-act-18-october-2018.pdf</w:t>
        </w:r>
      </w:hyperlink>
      <w:r>
        <w:t xml:space="preserve"> </w:t>
      </w:r>
      <w:r>
        <w:rPr>
          <w:rFonts w:cs="Arial"/>
        </w:rPr>
        <w:t>[accessed: 6 December 2018].</w:t>
      </w:r>
    </w:p>
  </w:footnote>
  <w:footnote w:id="20">
    <w:p w14:paraId="55BCAB83" w14:textId="77777777" w:rsidR="004F37B8" w:rsidRDefault="004F37B8" w:rsidP="006B3215">
      <w:pPr>
        <w:pStyle w:val="FootnoteText"/>
      </w:pPr>
      <w:r>
        <w:rPr>
          <w:rStyle w:val="FootnoteReference"/>
        </w:rPr>
        <w:footnoteRef/>
      </w:r>
      <w:r>
        <w:t xml:space="preserve"> A number of stakeholders raised this issue in stakeholder roundtable discussions held by the EHRC in August 2018.</w:t>
      </w:r>
    </w:p>
  </w:footnote>
  <w:footnote w:id="21">
    <w:p w14:paraId="420CAD63" w14:textId="6741AD22" w:rsidR="004F37B8" w:rsidRDefault="004F37B8" w:rsidP="006B3215">
      <w:pPr>
        <w:pStyle w:val="FootnoteText"/>
      </w:pPr>
      <w:r>
        <w:rPr>
          <w:rStyle w:val="FootnoteReference"/>
        </w:rPr>
        <w:footnoteRef/>
      </w:r>
      <w:r>
        <w:t xml:space="preserve"> </w:t>
      </w:r>
      <w:r>
        <w:rPr>
          <w:rFonts w:cs="Arial"/>
          <w:szCs w:val="28"/>
        </w:rPr>
        <w:t>T</w:t>
      </w:r>
      <w:r w:rsidRPr="00A31C47">
        <w:rPr>
          <w:rFonts w:cs="Arial"/>
          <w:szCs w:val="28"/>
        </w:rPr>
        <w:t xml:space="preserve">he exceptions permitting different treatment on the basis of gender reassignment in the EA 2010 </w:t>
      </w:r>
      <w:r>
        <w:rPr>
          <w:rFonts w:cs="Arial"/>
          <w:szCs w:val="28"/>
        </w:rPr>
        <w:t xml:space="preserve">(for example the exceptions related to single-sex services and associations) </w:t>
      </w:r>
      <w:r w:rsidRPr="00A31C47">
        <w:rPr>
          <w:rFonts w:cs="Arial"/>
          <w:szCs w:val="28"/>
        </w:rPr>
        <w:t xml:space="preserve">do not hinge on whether or not an individual has a </w:t>
      </w:r>
      <w:r>
        <w:rPr>
          <w:rFonts w:cs="Arial"/>
          <w:szCs w:val="28"/>
        </w:rPr>
        <w:t>gender recognition certificate (</w:t>
      </w:r>
      <w:r w:rsidRPr="00A31C47">
        <w:rPr>
          <w:rFonts w:cs="Arial"/>
          <w:szCs w:val="28"/>
        </w:rPr>
        <w:t>GRC</w:t>
      </w:r>
      <w:r>
        <w:rPr>
          <w:rFonts w:cs="Arial"/>
          <w:szCs w:val="28"/>
        </w:rPr>
        <w:t>)</w:t>
      </w:r>
      <w:r w:rsidRPr="00A31C47">
        <w:rPr>
          <w:rFonts w:cs="Arial"/>
          <w:szCs w:val="28"/>
        </w:rPr>
        <w:t>. Any use of the exceptions permitting different treatment must be objectively justified, meaning that it must be a proportionate means of achieving a legitimate aim</w:t>
      </w:r>
      <w:r>
        <w:rPr>
          <w:rFonts w:cs="Arial"/>
          <w:szCs w:val="28"/>
        </w:rPr>
        <w:t>,</w:t>
      </w:r>
      <w:r w:rsidRPr="00A31C47">
        <w:rPr>
          <w:rFonts w:cs="Arial"/>
          <w:szCs w:val="28"/>
        </w:rPr>
        <w:t xml:space="preserve"> and will therefore depend on the particular circumstances. While an individual’s possession, or not, of a GRC </w:t>
      </w:r>
      <w:r>
        <w:rPr>
          <w:rFonts w:cs="Arial"/>
          <w:szCs w:val="28"/>
        </w:rPr>
        <w:t>may be</w:t>
      </w:r>
      <w:r w:rsidRPr="00A31C47">
        <w:rPr>
          <w:rFonts w:cs="Arial"/>
          <w:szCs w:val="28"/>
        </w:rPr>
        <w:t xml:space="preserve"> part of the evidence a court would consider</w:t>
      </w:r>
      <w:r>
        <w:rPr>
          <w:rFonts w:cs="Arial"/>
          <w:szCs w:val="28"/>
        </w:rPr>
        <w:t xml:space="preserve"> in a gender reassignment discrimination case</w:t>
      </w:r>
      <w:r w:rsidRPr="00A31C47">
        <w:rPr>
          <w:rFonts w:cs="Arial"/>
          <w:szCs w:val="28"/>
        </w:rPr>
        <w:t xml:space="preserve">, it </w:t>
      </w:r>
      <w:r>
        <w:rPr>
          <w:rFonts w:cs="Arial"/>
          <w:szCs w:val="28"/>
        </w:rPr>
        <w:t>is unlikely to be a determining factor. (</w:t>
      </w:r>
      <w:r w:rsidRPr="00BC7ED8">
        <w:rPr>
          <w:rFonts w:cs="Arial"/>
          <w:szCs w:val="22"/>
        </w:rPr>
        <w:t>The one exception to this is the provision relating to solemnisation of marriage through religious c</w:t>
      </w:r>
      <w:r>
        <w:rPr>
          <w:rFonts w:cs="Arial"/>
          <w:szCs w:val="22"/>
        </w:rPr>
        <w:t>eremony in Part 6 of Schedule 3 of EA 2010).</w:t>
      </w:r>
    </w:p>
  </w:footnote>
  <w:footnote w:id="22">
    <w:p w14:paraId="7B647EE9" w14:textId="77777777" w:rsidR="004F37B8" w:rsidRDefault="004F37B8" w:rsidP="006B3215">
      <w:pPr>
        <w:pStyle w:val="FootnoteText"/>
      </w:pPr>
      <w:r>
        <w:rPr>
          <w:rStyle w:val="FootnoteReference"/>
        </w:rPr>
        <w:footnoteRef/>
      </w:r>
      <w:r>
        <w:t xml:space="preserve"> Ibid.</w:t>
      </w:r>
    </w:p>
  </w:footnote>
  <w:footnote w:id="23">
    <w:p w14:paraId="3875F2B4" w14:textId="031F483F" w:rsidR="004F37B8" w:rsidRDefault="004F37B8">
      <w:pPr>
        <w:pStyle w:val="FootnoteText"/>
      </w:pPr>
      <w:r>
        <w:rPr>
          <w:rStyle w:val="FootnoteReference"/>
        </w:rPr>
        <w:footnoteRef/>
      </w:r>
      <w:r>
        <w:t xml:space="preserve"> </w:t>
      </w:r>
      <w:r w:rsidRPr="00843F18">
        <w:t xml:space="preserve">These provisions will take effect after </w:t>
      </w:r>
      <w:r>
        <w:t>‘</w:t>
      </w:r>
      <w:r w:rsidRPr="00843F18">
        <w:t>exit day</w:t>
      </w:r>
      <w:r>
        <w:t>’</w:t>
      </w:r>
      <w:r w:rsidRPr="00843F18">
        <w:t xml:space="preserve"> as defined in the EU Withdrawal Act and may be subject to any transitional period, and any change to the effect of the EU Withdrawal Act resulting from subsequent legislation</w:t>
      </w:r>
      <w:r>
        <w:t>.</w:t>
      </w:r>
    </w:p>
  </w:footnote>
  <w:footnote w:id="24">
    <w:p w14:paraId="7E5A9350" w14:textId="38E37DC6" w:rsidR="004F37B8" w:rsidRDefault="004F37B8" w:rsidP="006B3215">
      <w:pPr>
        <w:pStyle w:val="FootnoteText"/>
      </w:pPr>
      <w:r>
        <w:rPr>
          <w:rStyle w:val="FootnoteReference"/>
        </w:rPr>
        <w:footnoteRef/>
      </w:r>
      <w:r>
        <w:t xml:space="preserve"> UK Government (2018),</w:t>
      </w:r>
      <w:r w:rsidRPr="00E16F6E">
        <w:t xml:space="preserve"> ‘The future relationship between the United Kingdom and the European Union’</w:t>
      </w:r>
      <w:r>
        <w:t xml:space="preserve">. Available at: </w:t>
      </w:r>
      <w:r w:rsidRPr="00E16F6E">
        <w:t xml:space="preserve"> </w:t>
      </w:r>
      <w:hyperlink r:id="rId17" w:history="1">
        <w:r>
          <w:rPr>
            <w:rStyle w:val="Hyperlink"/>
            <w:szCs w:val="24"/>
          </w:rPr>
          <w:t>https://assets.publishing.service.gov.uk/government/uploads/system/uploads/attachment_data/file/725288/The_future_relationship_between_the_United_Kingdom_and_the_European_Union.pdf</w:t>
        </w:r>
      </w:hyperlink>
      <w:r>
        <w:t xml:space="preserve"> [accessed: 6 December 2018]. </w:t>
      </w:r>
    </w:p>
  </w:footnote>
  <w:footnote w:id="25">
    <w:p w14:paraId="15BC742C" w14:textId="4DE235DA" w:rsidR="004F37B8" w:rsidRPr="00E16F6E" w:rsidRDefault="004F37B8" w:rsidP="00E16F6E">
      <w:pPr>
        <w:pStyle w:val="FootnoteText"/>
      </w:pPr>
      <w:r>
        <w:rPr>
          <w:rStyle w:val="FootnoteReference"/>
        </w:rPr>
        <w:footnoteRef/>
      </w:r>
      <w:r>
        <w:t xml:space="preserve"> UK Government (2018), ‘</w:t>
      </w:r>
      <w:r w:rsidRPr="00E16F6E">
        <w:t>Political declaration setting out the framework for the future relationship between the European Union and the United Kingdom</w:t>
      </w:r>
      <w:r>
        <w:t xml:space="preserve">’. Available at: </w:t>
      </w:r>
    </w:p>
    <w:p w14:paraId="32CF8AE7" w14:textId="547BC9FA" w:rsidR="004F37B8" w:rsidRDefault="004F37B8" w:rsidP="00E16F6E">
      <w:pPr>
        <w:pStyle w:val="FootnoteText"/>
      </w:pPr>
      <w:hyperlink r:id="rId18" w:history="1">
        <w:r>
          <w:rPr>
            <w:rStyle w:val="Hyperlink"/>
            <w:rFonts w:cs="Arial"/>
            <w:szCs w:val="24"/>
          </w:rPr>
          <w:t>https://assets.publishing.service.gov.uk/government/uploads/system/uploads/attachment_data/file/759021/25_November_Political_Declaration_setting_out_the_framework_for_the_future_relationship_between_the_European_Union_and_the_United_Kingdom__.pdf</w:t>
        </w:r>
      </w:hyperlink>
      <w:r>
        <w:rPr>
          <w:rFonts w:cs="Arial"/>
          <w:sz w:val="24"/>
          <w:szCs w:val="24"/>
        </w:rPr>
        <w:t xml:space="preserve"> </w:t>
      </w:r>
      <w:r>
        <w:t>[accessed: 6 December 2018].</w:t>
      </w:r>
    </w:p>
  </w:footnote>
  <w:footnote w:id="26">
    <w:p w14:paraId="780546E6" w14:textId="62234A43" w:rsidR="004F37B8" w:rsidRDefault="004F37B8">
      <w:pPr>
        <w:pStyle w:val="FootnoteText"/>
      </w:pPr>
      <w:r>
        <w:rPr>
          <w:rStyle w:val="FootnoteReference"/>
        </w:rPr>
        <w:footnoteRef/>
      </w:r>
      <w:r>
        <w:t xml:space="preserve"> EHRC (2019) ‘If not the EU, then who?’.</w:t>
      </w:r>
    </w:p>
  </w:footnote>
  <w:footnote w:id="27">
    <w:p w14:paraId="73D26E27" w14:textId="5476BC77" w:rsidR="004F37B8" w:rsidRDefault="004F37B8" w:rsidP="00501DF6">
      <w:pPr>
        <w:pStyle w:val="FootnoteText"/>
      </w:pPr>
      <w:r>
        <w:rPr>
          <w:rStyle w:val="FootnoteReference"/>
        </w:rPr>
        <w:footnoteRef/>
      </w:r>
      <w:r>
        <w:t xml:space="preserve"> The Women’s Organisation. No date given. </w:t>
      </w:r>
      <w:r>
        <w:rPr>
          <w:i/>
        </w:rPr>
        <w:t>European funding</w:t>
      </w:r>
      <w:r>
        <w:t xml:space="preserve">. [ONLINE]. Available at: </w:t>
      </w:r>
      <w:r w:rsidRPr="00501DF6">
        <w:rPr>
          <w:rStyle w:val="Hyperlink"/>
        </w:rPr>
        <w:t>http://www.thewomensorganisation.org.uk/enterpriseevolution/e</w:t>
      </w:r>
      <w:r>
        <w:rPr>
          <w:rStyle w:val="Hyperlink"/>
        </w:rPr>
        <w:t>uropean-funding-</w:t>
      </w:r>
      <w:r>
        <w:t xml:space="preserve"> [accessed: 6 December 2018].</w:t>
      </w:r>
    </w:p>
  </w:footnote>
  <w:footnote w:id="28">
    <w:p w14:paraId="6AD8C560" w14:textId="01549EED" w:rsidR="004F37B8" w:rsidRDefault="004F37B8" w:rsidP="006B3215">
      <w:pPr>
        <w:pStyle w:val="FootnoteText"/>
      </w:pPr>
      <w:r>
        <w:rPr>
          <w:rStyle w:val="FootnoteReference"/>
        </w:rPr>
        <w:footnoteRef/>
      </w:r>
      <w:r>
        <w:t xml:space="preserve">  See Conservative Party Manifesto 2017: </w:t>
      </w:r>
      <w:hyperlink r:id="rId19" w:history="1">
        <w:r w:rsidRPr="00224EE2">
          <w:rPr>
            <w:rStyle w:val="Hyperlink"/>
          </w:rPr>
          <w:t>https://www.conservatives.com/manifesto</w:t>
        </w:r>
      </w:hyperlink>
      <w:r>
        <w:t xml:space="preserve"> [accessed: 19 September 2018].</w:t>
      </w:r>
    </w:p>
  </w:footnote>
  <w:footnote w:id="29">
    <w:p w14:paraId="1918F3C8" w14:textId="77777777" w:rsidR="004F37B8" w:rsidRDefault="004F37B8" w:rsidP="006B3215">
      <w:pPr>
        <w:pStyle w:val="FootnoteText"/>
        <w:rPr>
          <w:rFonts w:cs="Arial"/>
        </w:rPr>
      </w:pPr>
      <w:r>
        <w:rPr>
          <w:rStyle w:val="FootnoteReference"/>
          <w:rFonts w:cs="Arial"/>
        </w:rPr>
        <w:footnoteRef/>
      </w:r>
      <w:r>
        <w:rPr>
          <w:rFonts w:cs="Arial"/>
        </w:rPr>
        <w:t xml:space="preserve"> See: </w:t>
      </w:r>
      <w:hyperlink r:id="rId20" w:history="1">
        <w:r>
          <w:rPr>
            <w:rStyle w:val="Hyperlink"/>
            <w:rFonts w:cs="Arial"/>
          </w:rPr>
          <w:t>http://ec.europa.eu/justice/grants1/programmes-2014-2020/rec/index_en.htm</w:t>
        </w:r>
      </w:hyperlink>
      <w:r>
        <w:rPr>
          <w:rFonts w:cs="Arial"/>
        </w:rPr>
        <w:t xml:space="preserve"> [accessed: 29 April 2018].</w:t>
      </w:r>
    </w:p>
  </w:footnote>
  <w:footnote w:id="30">
    <w:p w14:paraId="6D4CF587" w14:textId="69D87FB9" w:rsidR="004F37B8" w:rsidRDefault="004F37B8" w:rsidP="006B3215">
      <w:pPr>
        <w:pStyle w:val="FootnoteText"/>
      </w:pPr>
      <w:r>
        <w:rPr>
          <w:rStyle w:val="FootnoteReference"/>
        </w:rPr>
        <w:footnoteRef/>
      </w:r>
      <w:r>
        <w:t xml:space="preserve"> Women’s Budget Group (2018), ‘Exploring the economic impact of Brexit on women’. Available at: </w:t>
      </w:r>
      <w:hyperlink r:id="rId21" w:history="1">
        <w:r w:rsidRPr="00224EE2">
          <w:rPr>
            <w:rStyle w:val="Hyperlink"/>
          </w:rPr>
          <w:t>https://wbg.org.uk/wp-content/uploads/2018/03/Economic-Impact-of-Brexit-on-women-briefing-FINAL-1.pdf</w:t>
        </w:r>
      </w:hyperlink>
      <w:r>
        <w:t xml:space="preserve"> [accessed: 19 September 2018].</w:t>
      </w:r>
    </w:p>
  </w:footnote>
  <w:footnote w:id="31">
    <w:p w14:paraId="0E77ED61" w14:textId="11A18536" w:rsidR="004F37B8" w:rsidRDefault="004F37B8" w:rsidP="003902E4">
      <w:pPr>
        <w:pStyle w:val="FootnoteText"/>
      </w:pPr>
      <w:r>
        <w:rPr>
          <w:rStyle w:val="FootnoteReference"/>
        </w:rPr>
        <w:footnoteRef/>
      </w:r>
      <w:r>
        <w:t xml:space="preserve"> Department for Work and Pensions (2018), ‘</w:t>
      </w:r>
      <w:r w:rsidRPr="0078116F">
        <w:t>Family Resources Survey 2016/17</w:t>
      </w:r>
      <w:r>
        <w:t xml:space="preserve">’. Available at: </w:t>
      </w:r>
      <w:hyperlink r:id="rId22" w:history="1">
        <w:r w:rsidRPr="00EB7299">
          <w:rPr>
            <w:rStyle w:val="Hyperlink"/>
          </w:rPr>
          <w:t>https://www.gov.uk/government/statistics/family-resources-survey-financial-year-201617</w:t>
        </w:r>
      </w:hyperlink>
      <w:r>
        <w:rPr>
          <w:rStyle w:val="Hyperlink"/>
        </w:rPr>
        <w:t xml:space="preserve"> </w:t>
      </w:r>
      <w:r>
        <w:t>[accessed: 6 December 2018].</w:t>
      </w:r>
    </w:p>
  </w:footnote>
  <w:footnote w:id="32">
    <w:p w14:paraId="14A13111" w14:textId="6CB9939F" w:rsidR="004F37B8" w:rsidRDefault="004F37B8" w:rsidP="00D4128D">
      <w:pPr>
        <w:pStyle w:val="FootnoteText"/>
      </w:pPr>
      <w:r>
        <w:rPr>
          <w:rStyle w:val="FootnoteReference"/>
        </w:rPr>
        <w:footnoteRef/>
      </w:r>
      <w:r>
        <w:t xml:space="preserve"> House of Commons Library. 2017. </w:t>
      </w:r>
      <w:r w:rsidRPr="0078116F">
        <w:rPr>
          <w:i/>
        </w:rPr>
        <w:t>Diversity in the 2017 Parliament</w:t>
      </w:r>
      <w:r>
        <w:t xml:space="preserve">. [ONLINE]. Available at: </w:t>
      </w:r>
      <w:hyperlink r:id="rId23" w:history="1">
        <w:r w:rsidRPr="00583831">
          <w:rPr>
            <w:rStyle w:val="Hyperlink"/>
          </w:rPr>
          <w:t>https://commonslibrary.parliament.uk/insights/diversity-in-the-2017-parliament/</w:t>
        </w:r>
      </w:hyperlink>
      <w:r>
        <w:t xml:space="preserve"> [accessed: 6 December 2018].</w:t>
      </w:r>
    </w:p>
  </w:footnote>
  <w:footnote w:id="33">
    <w:p w14:paraId="3B58B9A6" w14:textId="48A34070" w:rsidR="004F37B8" w:rsidRDefault="004F37B8" w:rsidP="0078116F">
      <w:pPr>
        <w:pStyle w:val="FootnoteText"/>
      </w:pPr>
      <w:r>
        <w:rPr>
          <w:rStyle w:val="FootnoteReference"/>
        </w:rPr>
        <w:footnoteRef/>
      </w:r>
      <w:r>
        <w:t xml:space="preserve"> </w:t>
      </w:r>
      <w:r w:rsidRPr="0078116F">
        <w:t>Committee on the Elimination of Discrimination against</w:t>
      </w:r>
      <w:r>
        <w:t xml:space="preserve"> </w:t>
      </w:r>
      <w:r w:rsidRPr="0078116F">
        <w:t xml:space="preserve">Women </w:t>
      </w:r>
      <w:r>
        <w:t xml:space="preserve">(2018), ‘List of issues and questions in relation to the eighth periodic report of the United Kingdom of Great Britain and Northern Ireland. Addendum. Replies of the United Kingdom of Great Britain and Northern Ireland’. Available at: </w:t>
      </w:r>
      <w:hyperlink r:id="rId24" w:history="1">
        <w:r w:rsidRPr="00583831">
          <w:rPr>
            <w:rStyle w:val="Hyperlink"/>
          </w:rPr>
          <w:t>https://tbinternet.ohchr.org/_layouts/treatybodyexternal/Download.aspx?symbolno=CEDAW%2fC%2fGBR%2fQ%2f8%2fAdd.1&amp;Lang=en</w:t>
        </w:r>
      </w:hyperlink>
      <w:r>
        <w:t xml:space="preserve"> [accessed: 6 December 2018].</w:t>
      </w:r>
    </w:p>
  </w:footnote>
  <w:footnote w:id="34">
    <w:p w14:paraId="48D0E70C" w14:textId="6A62B752" w:rsidR="004F37B8" w:rsidRDefault="004F37B8" w:rsidP="0088647C">
      <w:pPr>
        <w:pStyle w:val="FootnoteText"/>
      </w:pPr>
      <w:r w:rsidRPr="00036260">
        <w:rPr>
          <w:rStyle w:val="FootnoteReference"/>
        </w:rPr>
        <w:footnoteRef/>
      </w:r>
      <w:r w:rsidRPr="00036260">
        <w:t xml:space="preserve"> </w:t>
      </w:r>
      <w:r>
        <w:t xml:space="preserve">UK Parliament. 2018. </w:t>
      </w:r>
      <w:r w:rsidRPr="0088647C">
        <w:rPr>
          <w:i/>
        </w:rPr>
        <w:t>Access to Elected Office for Disabled People Fund: Written question – 160175</w:t>
      </w:r>
      <w:r>
        <w:t xml:space="preserve">. [ONLINE]. Available at: </w:t>
      </w:r>
      <w:hyperlink r:id="rId25" w:history="1">
        <w:r w:rsidRPr="00036260">
          <w:rPr>
            <w:rStyle w:val="Hyperlink"/>
            <w:color w:val="auto"/>
          </w:rPr>
          <w:t>https://www.parliament.uk/business/publications/written-questions-answers-statements/written-question/Commons/2018-07-03/160175/</w:t>
        </w:r>
      </w:hyperlink>
      <w:r w:rsidRPr="00036260">
        <w:t xml:space="preserve"> </w:t>
      </w:r>
      <w:r>
        <w:t>[accessed: 6 December 2018].</w:t>
      </w:r>
    </w:p>
  </w:footnote>
  <w:footnote w:id="35">
    <w:p w14:paraId="1E3F0ED5" w14:textId="094D9E4F" w:rsidR="004F37B8" w:rsidRDefault="004F37B8" w:rsidP="00D13831">
      <w:pPr>
        <w:pStyle w:val="FootnoteText"/>
      </w:pPr>
      <w:r>
        <w:rPr>
          <w:rStyle w:val="FootnoteReference"/>
        </w:rPr>
        <w:footnoteRef/>
      </w:r>
      <w:r>
        <w:t xml:space="preserve"> National Assembly for Wales. No date given. </w:t>
      </w:r>
      <w:r>
        <w:rPr>
          <w:i/>
        </w:rPr>
        <w:t>Reserved powers model</w:t>
      </w:r>
      <w:r>
        <w:t>. [ONLINE]. Available at:</w:t>
      </w:r>
      <w:r>
        <w:rPr>
          <w:i/>
        </w:rPr>
        <w:t xml:space="preserve"> </w:t>
      </w:r>
      <w:hyperlink r:id="rId26" w:history="1">
        <w:r w:rsidRPr="000B6E22">
          <w:rPr>
            <w:rStyle w:val="Hyperlink"/>
          </w:rPr>
          <w:t>http://www.assembly.wales/en/abthome/role-of-assembly-how-it-works/Pages/Powers.aspx</w:t>
        </w:r>
      </w:hyperlink>
      <w:r>
        <w:rPr>
          <w:rStyle w:val="Hyperlink"/>
        </w:rPr>
        <w:t xml:space="preserve"> </w:t>
      </w:r>
      <w:r>
        <w:t>[accessed: 6 December 2018].</w:t>
      </w:r>
    </w:p>
  </w:footnote>
  <w:footnote w:id="36">
    <w:p w14:paraId="30AFBAFA" w14:textId="3BBAD134" w:rsidR="004F37B8" w:rsidRDefault="004F37B8" w:rsidP="00D13831">
      <w:pPr>
        <w:pStyle w:val="FootnoteText"/>
      </w:pPr>
      <w:r>
        <w:rPr>
          <w:rStyle w:val="FootnoteReference"/>
        </w:rPr>
        <w:footnoteRef/>
      </w:r>
      <w:r>
        <w:t xml:space="preserve"> National Assembly for Wales. 2018. </w:t>
      </w:r>
      <w:r w:rsidRPr="00D13831">
        <w:rPr>
          <w:i/>
        </w:rPr>
        <w:t>Assembly Members vote to introduce the Welsh Parliament and Elections Bill</w:t>
      </w:r>
      <w:r>
        <w:t xml:space="preserve">. [ONLINE]. Available at: </w:t>
      </w:r>
      <w:hyperlink r:id="rId27" w:history="1">
        <w:r w:rsidRPr="00583831">
          <w:rPr>
            <w:rStyle w:val="Hyperlink"/>
          </w:rPr>
          <w:t>http://www.assembly.wales/en/newhome/pages/newsitem.aspx?itemid=1910&amp;assembly=5</w:t>
        </w:r>
      </w:hyperlink>
      <w:r>
        <w:t xml:space="preserve"> [accessed: 6 December 2018].</w:t>
      </w:r>
    </w:p>
  </w:footnote>
  <w:footnote w:id="37">
    <w:p w14:paraId="5436AD96" w14:textId="343F4F49" w:rsidR="004F37B8" w:rsidRDefault="004F37B8">
      <w:pPr>
        <w:pStyle w:val="FootnoteText"/>
      </w:pPr>
      <w:r>
        <w:rPr>
          <w:rStyle w:val="FootnoteReference"/>
        </w:rPr>
        <w:footnoteRef/>
      </w:r>
      <w:r>
        <w:t xml:space="preserve"> Advertising Standards Authority (2017), ‘</w:t>
      </w:r>
      <w:r w:rsidRPr="00B93615">
        <w:t xml:space="preserve">Depictions, </w:t>
      </w:r>
      <w:r>
        <w:t>p</w:t>
      </w:r>
      <w:r w:rsidRPr="00B93615">
        <w:t xml:space="preserve">erceptions and </w:t>
      </w:r>
      <w:r>
        <w:t>h</w:t>
      </w:r>
      <w:r w:rsidRPr="00B93615">
        <w:t>arm</w:t>
      </w:r>
      <w:r>
        <w:t xml:space="preserve">’. Available at:  </w:t>
      </w:r>
      <w:hyperlink r:id="rId28" w:history="1">
        <w:r w:rsidRPr="00BB2AAD">
          <w:rPr>
            <w:rStyle w:val="Hyperlink"/>
          </w:rPr>
          <w:t>https://www.asa.org.uk/resource/depictions-perceptions-and-harm.html</w:t>
        </w:r>
      </w:hyperlink>
      <w:r>
        <w:t xml:space="preserve"> [accessed: 6 December 2018].</w:t>
      </w:r>
    </w:p>
  </w:footnote>
  <w:footnote w:id="38">
    <w:p w14:paraId="098855D8" w14:textId="168B5C16" w:rsidR="004F37B8" w:rsidRDefault="004F37B8">
      <w:pPr>
        <w:pStyle w:val="FootnoteText"/>
      </w:pPr>
      <w:r>
        <w:rPr>
          <w:rStyle w:val="FootnoteReference"/>
        </w:rPr>
        <w:footnoteRef/>
      </w:r>
      <w:r>
        <w:t xml:space="preserve"> EHRC (2018), ‘</w:t>
      </w:r>
      <w:r w:rsidRPr="00B20351">
        <w:t>Response of the Equality and Human Rights Commission to a consultation on a proposed new rule and guidance to address the use of gender stereotypes in advertising</w:t>
      </w:r>
      <w:r>
        <w:t xml:space="preserve">’. Available at: </w:t>
      </w:r>
      <w:hyperlink r:id="rId29" w:history="1">
        <w:r w:rsidRPr="00D60E41">
          <w:rPr>
            <w:rStyle w:val="Hyperlink"/>
          </w:rPr>
          <w:t>https://www.equalityhumanrights.com/sites/default/files/consultation-response-gender-stereotypes-in-advertising-26-july-2018.pdf</w:t>
        </w:r>
      </w:hyperlink>
      <w:r>
        <w:t xml:space="preserve"> [accessed: 3 January 2019].</w:t>
      </w:r>
    </w:p>
  </w:footnote>
  <w:footnote w:id="39">
    <w:p w14:paraId="771B3026" w14:textId="2DBA8FFE" w:rsidR="004F37B8" w:rsidRDefault="004F37B8">
      <w:pPr>
        <w:pStyle w:val="FootnoteText"/>
      </w:pPr>
      <w:r>
        <w:rPr>
          <w:rStyle w:val="FootnoteReference"/>
        </w:rPr>
        <w:footnoteRef/>
      </w:r>
      <w:r>
        <w:t xml:space="preserve"> Advertising Standards Authority (2018), ‘Advertising guidance on depicting gender stereotypes likely to cause harm or serious or widespread offence’. Available at: </w:t>
      </w:r>
      <w:hyperlink r:id="rId30" w:history="1">
        <w:r w:rsidRPr="00D60E41">
          <w:rPr>
            <w:rStyle w:val="Hyperlink"/>
          </w:rPr>
          <w:t>https://www.asa.org.uk/resource/advertising-guidance-on-depicting-gender-stereotypes.html</w:t>
        </w:r>
      </w:hyperlink>
      <w:r>
        <w:t xml:space="preserve"> [accessed: 2 January 2019].</w:t>
      </w:r>
    </w:p>
  </w:footnote>
  <w:footnote w:id="40">
    <w:p w14:paraId="4FBD9364" w14:textId="1EA4A644" w:rsidR="004F37B8" w:rsidRDefault="004F37B8" w:rsidP="0055654B">
      <w:pPr>
        <w:pStyle w:val="FootnoteText"/>
      </w:pPr>
      <w:r>
        <w:rPr>
          <w:rStyle w:val="FootnoteReference"/>
        </w:rPr>
        <w:footnoteRef/>
      </w:r>
      <w:r>
        <w:t xml:space="preserve"> Welsh Government. 2018. </w:t>
      </w:r>
      <w:r>
        <w:rPr>
          <w:i/>
        </w:rPr>
        <w:t>This is me</w:t>
      </w:r>
      <w:r>
        <w:t>. [ONLINE]. Available at:</w:t>
      </w:r>
      <w:r>
        <w:rPr>
          <w:i/>
        </w:rPr>
        <w:t xml:space="preserve"> </w:t>
      </w:r>
      <w:hyperlink r:id="rId31" w:history="1">
        <w:r w:rsidRPr="00BB2AAD">
          <w:rPr>
            <w:rStyle w:val="Hyperlink"/>
          </w:rPr>
          <w:t>https://livefearfree.gov.wales/campaigns/this-is-me?lang=en</w:t>
        </w:r>
      </w:hyperlink>
      <w:r>
        <w:t xml:space="preserve"> [accessed: 6 December 2018].</w:t>
      </w:r>
    </w:p>
  </w:footnote>
  <w:footnote w:id="41">
    <w:p w14:paraId="7DC09086" w14:textId="740B18A3" w:rsidR="004F37B8" w:rsidRDefault="004F37B8">
      <w:pPr>
        <w:pStyle w:val="FootnoteText"/>
      </w:pPr>
      <w:r>
        <w:rPr>
          <w:rStyle w:val="FootnoteReference"/>
        </w:rPr>
        <w:footnoteRef/>
      </w:r>
      <w:r>
        <w:t xml:space="preserve"> </w:t>
      </w:r>
      <w:r w:rsidRPr="00E93D38">
        <w:t xml:space="preserve">Abrams, </w:t>
      </w:r>
      <w:r>
        <w:t xml:space="preserve">D., </w:t>
      </w:r>
      <w:r w:rsidRPr="00E93D38">
        <w:t>Swift</w:t>
      </w:r>
      <w:r>
        <w:t>, H.</w:t>
      </w:r>
      <w:r w:rsidRPr="00E93D38">
        <w:t xml:space="preserve"> and Houston</w:t>
      </w:r>
      <w:r>
        <w:t>, D.</w:t>
      </w:r>
      <w:r w:rsidRPr="00E93D38">
        <w:t xml:space="preserve"> (2018)</w:t>
      </w:r>
      <w:r>
        <w:t>,</w:t>
      </w:r>
      <w:r w:rsidRPr="00E93D38">
        <w:t xml:space="preserve"> </w:t>
      </w:r>
      <w:r>
        <w:t>‘</w:t>
      </w:r>
      <w:r w:rsidRPr="00E93D38">
        <w:t>Developing a national barometer of prejudice</w:t>
      </w:r>
      <w:r>
        <w:t xml:space="preserve"> and discrimination</w:t>
      </w:r>
      <w:r w:rsidRPr="00E93D38">
        <w:t xml:space="preserve"> in Britain</w:t>
      </w:r>
      <w:r>
        <w:t>’</w:t>
      </w:r>
      <w:r w:rsidRPr="00E93D38">
        <w:t xml:space="preserve">. </w:t>
      </w:r>
      <w:r>
        <w:t xml:space="preserve">EHRC. </w:t>
      </w:r>
      <w:r w:rsidRPr="00E93D38">
        <w:t>Available at:</w:t>
      </w:r>
      <w:r w:rsidRPr="00600C1C">
        <w:t xml:space="preserve"> </w:t>
      </w:r>
      <w:hyperlink r:id="rId32" w:history="1">
        <w:r w:rsidRPr="00944A9A">
          <w:rPr>
            <w:rStyle w:val="Hyperlink"/>
          </w:rPr>
          <w:t>https://www.equalityhumanrights.com/en/publication-download/developing-national-barometer-prejudice-and-discrimination-britain</w:t>
        </w:r>
      </w:hyperlink>
      <w:r>
        <w:t xml:space="preserve"> [accessed: 6 December 2018].</w:t>
      </w:r>
    </w:p>
  </w:footnote>
  <w:footnote w:id="42">
    <w:p w14:paraId="253DEB39" w14:textId="08521518" w:rsidR="004F37B8" w:rsidRDefault="004F37B8">
      <w:pPr>
        <w:pStyle w:val="FootnoteText"/>
      </w:pPr>
      <w:r>
        <w:rPr>
          <w:rStyle w:val="FootnoteReference"/>
        </w:rPr>
        <w:footnoteRef/>
      </w:r>
      <w:r>
        <w:t xml:space="preserve"> Home Office (2018), ‘</w:t>
      </w:r>
      <w:r w:rsidRPr="00B93615">
        <w:t xml:space="preserve">Ratification of the Council of Europe Convention on Combating Violence Against Women and Girls and Domestic Violence (Istanbul Convention) – 2018 </w:t>
      </w:r>
      <w:r>
        <w:t>report on p</w:t>
      </w:r>
      <w:r w:rsidRPr="00B93615">
        <w:t>rogress</w:t>
      </w:r>
      <w:r>
        <w:t xml:space="preserve">’. Available at: </w:t>
      </w:r>
      <w:hyperlink r:id="rId33" w:history="1">
        <w:r w:rsidRPr="00BB2AAD">
          <w:rPr>
            <w:rStyle w:val="Hyperlink"/>
          </w:rPr>
          <w:t>https://assets.publishing.service.gov.uk/government/uploads/system/uploads/attachment_data/file/752315/CCS207_CCS0918513168-001_Domestic_Violence_Istanbul_Convention_2018_Accessible__002_.pdf</w:t>
        </w:r>
      </w:hyperlink>
      <w:r>
        <w:t xml:space="preserve"> [accessed: 6 December 2018]. </w:t>
      </w:r>
    </w:p>
  </w:footnote>
  <w:footnote w:id="43">
    <w:p w14:paraId="7F791332" w14:textId="68BD2830" w:rsidR="004F37B8" w:rsidRDefault="004F37B8" w:rsidP="00B93615">
      <w:pPr>
        <w:pStyle w:val="FootnoteText"/>
      </w:pPr>
      <w:r>
        <w:rPr>
          <w:rStyle w:val="FootnoteReference"/>
        </w:rPr>
        <w:footnoteRef/>
      </w:r>
      <w:r>
        <w:t xml:space="preserve"> Welsh Government (2018), ‘</w:t>
      </w:r>
      <w:r w:rsidRPr="00A57DA5">
        <w:t>Violence against women, domestic abuse and sexual violence:</w:t>
      </w:r>
      <w:r>
        <w:t xml:space="preserve"> Progress report for the period </w:t>
      </w:r>
      <w:r w:rsidRPr="00A57DA5">
        <w:t>1 April 2017 to 31 March 2018</w:t>
      </w:r>
      <w:r>
        <w:t>’</w:t>
      </w:r>
      <w:r w:rsidRPr="00A57DA5">
        <w:t>.</w:t>
      </w:r>
      <w:r>
        <w:t xml:space="preserve"> Available at: </w:t>
      </w:r>
      <w:hyperlink r:id="rId34" w:history="1">
        <w:r w:rsidRPr="00BB2AAD">
          <w:rPr>
            <w:rStyle w:val="Hyperlink"/>
          </w:rPr>
          <w:t>http://www.assembly.wales/laid%20documents/gen-ld11618/gen-ld11618-e.pdf</w:t>
        </w:r>
      </w:hyperlink>
      <w:r>
        <w:t xml:space="preserve"> [accessed: 6 December 2018].</w:t>
      </w:r>
    </w:p>
  </w:footnote>
  <w:footnote w:id="44">
    <w:p w14:paraId="421825DE" w14:textId="170A2934" w:rsidR="004F37B8" w:rsidRDefault="004F37B8" w:rsidP="00B93615">
      <w:pPr>
        <w:pStyle w:val="FootnoteText"/>
      </w:pPr>
      <w:r>
        <w:rPr>
          <w:rStyle w:val="FootnoteReference"/>
        </w:rPr>
        <w:footnoteRef/>
      </w:r>
      <w:r>
        <w:t xml:space="preserve"> Welsh Government. 2018.</w:t>
      </w:r>
      <w:r w:rsidRPr="00B93615">
        <w:rPr>
          <w:i/>
        </w:rPr>
        <w:t xml:space="preserve"> First Minister takes steps to transform refuge provision and sexual violence services in Wales</w:t>
      </w:r>
      <w:r>
        <w:t xml:space="preserve">. [ONLINE]. Available at: </w:t>
      </w:r>
      <w:hyperlink r:id="rId35" w:history="1">
        <w:r w:rsidRPr="004F3F45">
          <w:rPr>
            <w:rStyle w:val="Hyperlink"/>
          </w:rPr>
          <w:t>https://gov.wales/newsroom/firstminister/2018/181112-first-minister-takes-steps-to-transform-refuge-provision-and-sexual-violence-services-in-wales/?lang=en</w:t>
        </w:r>
      </w:hyperlink>
      <w:r>
        <w:t xml:space="preserve"> [accessed: 6 December 2018].</w:t>
      </w:r>
    </w:p>
  </w:footnote>
  <w:footnote w:id="45">
    <w:p w14:paraId="353C09B6" w14:textId="2540E0A0" w:rsidR="004F37B8" w:rsidRDefault="004F37B8">
      <w:pPr>
        <w:pStyle w:val="FootnoteText"/>
      </w:pPr>
      <w:r>
        <w:rPr>
          <w:rStyle w:val="FootnoteReference"/>
        </w:rPr>
        <w:footnoteRef/>
      </w:r>
      <w:r>
        <w:t xml:space="preserve"> BBC News (2018), ‘</w:t>
      </w:r>
      <w:r w:rsidRPr="00585D99">
        <w:t>Evidence withheld in 47 rape and sexual assault cases, says CPS</w:t>
      </w:r>
      <w:r>
        <w:t xml:space="preserve">’. </w:t>
      </w:r>
      <w:r>
        <w:rPr>
          <w:i/>
        </w:rPr>
        <w:t>BBC News</w:t>
      </w:r>
      <w:r>
        <w:t>, 5 June.</w:t>
      </w:r>
      <w:r>
        <w:rPr>
          <w:i/>
        </w:rPr>
        <w:t xml:space="preserve"> </w:t>
      </w:r>
      <w:r>
        <w:t xml:space="preserve">Available at: </w:t>
      </w:r>
      <w:hyperlink r:id="rId36" w:history="1">
        <w:r w:rsidRPr="00750867">
          <w:rPr>
            <w:rStyle w:val="Hyperlink"/>
          </w:rPr>
          <w:t>https://www.bbc.co.uk/news/uk-44366997</w:t>
        </w:r>
      </w:hyperlink>
      <w:r>
        <w:t xml:space="preserve"> [accessed: 6 December 2018].</w:t>
      </w:r>
    </w:p>
  </w:footnote>
  <w:footnote w:id="46">
    <w:p w14:paraId="4F62A22C" w14:textId="28F93AD8" w:rsidR="004F37B8" w:rsidRDefault="004F37B8" w:rsidP="00C520AA">
      <w:pPr>
        <w:pStyle w:val="FootnoteText"/>
      </w:pPr>
      <w:r>
        <w:rPr>
          <w:rStyle w:val="FootnoteReference"/>
        </w:rPr>
        <w:footnoteRef/>
      </w:r>
      <w:r>
        <w:t xml:space="preserve"> House of Commons Justice Committee (2018), ‘Disclosure of evidence in criminal cases. Eleventh report of session 2017–19’. Available at: </w:t>
      </w:r>
      <w:hyperlink r:id="rId37" w:history="1">
        <w:r w:rsidRPr="00103204">
          <w:rPr>
            <w:rStyle w:val="Hyperlink"/>
          </w:rPr>
          <w:t>https://publications.parliament.uk/pa/cm201719/cmselect/cmjust/859/859.pdf</w:t>
        </w:r>
      </w:hyperlink>
    </w:p>
    <w:p w14:paraId="15F44109" w14:textId="71506AFB" w:rsidR="004F37B8" w:rsidRDefault="004F37B8" w:rsidP="00C520AA">
      <w:pPr>
        <w:pStyle w:val="FootnoteText"/>
      </w:pPr>
      <w:r>
        <w:t xml:space="preserve">[accessed: 17 September 2018] </w:t>
      </w:r>
    </w:p>
  </w:footnote>
  <w:footnote w:id="47">
    <w:p w14:paraId="46388B85" w14:textId="471674A9" w:rsidR="004F37B8" w:rsidRDefault="004F37B8" w:rsidP="003155D5">
      <w:pPr>
        <w:pStyle w:val="FootnoteText"/>
      </w:pPr>
      <w:r>
        <w:rPr>
          <w:rStyle w:val="FootnoteReference"/>
        </w:rPr>
        <w:footnoteRef/>
      </w:r>
      <w:r>
        <w:t xml:space="preserve"> Ibid. </w:t>
      </w:r>
    </w:p>
  </w:footnote>
  <w:footnote w:id="48">
    <w:p w14:paraId="03C1B074" w14:textId="452A6A3C" w:rsidR="004F37B8" w:rsidRDefault="004F37B8">
      <w:pPr>
        <w:pStyle w:val="FootnoteText"/>
      </w:pPr>
      <w:r>
        <w:rPr>
          <w:rStyle w:val="FootnoteReference"/>
        </w:rPr>
        <w:footnoteRef/>
      </w:r>
      <w:r>
        <w:t xml:space="preserve"> Attorney General’s Office. 2018.</w:t>
      </w:r>
      <w:r w:rsidRPr="003155D5">
        <w:rPr>
          <w:sz w:val="24"/>
          <w:szCs w:val="22"/>
          <w:lang w:val="en"/>
        </w:rPr>
        <w:t xml:space="preserve"> </w:t>
      </w:r>
      <w:r w:rsidRPr="003155D5">
        <w:rPr>
          <w:i/>
          <w:lang w:val="en"/>
        </w:rPr>
        <w:t>Review of the efficiency and effectiveness of disclosure in the criminal justice system</w:t>
      </w:r>
      <w:r>
        <w:t xml:space="preserve">. [ONLINE]. Available at: </w:t>
      </w:r>
      <w:hyperlink r:id="rId38" w:history="1">
        <w:r w:rsidRPr="00750867">
          <w:rPr>
            <w:rStyle w:val="Hyperlink"/>
          </w:rPr>
          <w:t>https://www.gov.uk/government/publications/review-of-the-efficiency-and-effectiveness-of-disclosure-in-the-criminal-justice-system</w:t>
        </w:r>
      </w:hyperlink>
      <w:r>
        <w:t xml:space="preserve"> [accessed: 6 December 2018].</w:t>
      </w:r>
    </w:p>
  </w:footnote>
  <w:footnote w:id="49">
    <w:p w14:paraId="0ABAC971" w14:textId="5688DFED" w:rsidR="004F37B8" w:rsidRDefault="004F37B8" w:rsidP="003155D5">
      <w:pPr>
        <w:pStyle w:val="FootnoteText"/>
      </w:pPr>
      <w:r>
        <w:rPr>
          <w:rStyle w:val="FootnoteReference"/>
        </w:rPr>
        <w:footnoteRef/>
      </w:r>
      <w:r>
        <w:t xml:space="preserve"> </w:t>
      </w:r>
      <w:r w:rsidRPr="00A41215">
        <w:t>Up-skirting is the act of covertly photographing or using equipment to observe underneath someone’s clothing without their consent</w:t>
      </w:r>
      <w:r>
        <w:t>,</w:t>
      </w:r>
      <w:r w:rsidRPr="00A41215">
        <w:t xml:space="preserve"> with the intention of viewing their genitals or buttocks, or the underwear covering them.  </w:t>
      </w:r>
    </w:p>
  </w:footnote>
  <w:footnote w:id="50">
    <w:p w14:paraId="024D431D" w14:textId="1CED08B5" w:rsidR="004F37B8" w:rsidRDefault="004F37B8" w:rsidP="00E77AE0">
      <w:pPr>
        <w:pStyle w:val="FootnoteText"/>
      </w:pPr>
      <w:r>
        <w:rPr>
          <w:rStyle w:val="FootnoteReference"/>
        </w:rPr>
        <w:footnoteRef/>
      </w:r>
      <w:r>
        <w:t xml:space="preserve"> </w:t>
      </w:r>
      <w:r w:rsidRPr="0000661F">
        <w:t>House of Commons Library</w:t>
      </w:r>
      <w:r>
        <w:t xml:space="preserve"> (2018),</w:t>
      </w:r>
      <w:r w:rsidRPr="0000661F">
        <w:t xml:space="preserve"> ‘</w:t>
      </w:r>
      <w:r w:rsidRPr="000B34EA">
        <w:t xml:space="preserve">Briefing paper </w:t>
      </w:r>
      <w:r>
        <w:t>n</w:t>
      </w:r>
      <w:r w:rsidRPr="000B34EA">
        <w:t>umber 8356. Voyeurism (Offences) (No. 2) Bill 2017</w:t>
      </w:r>
      <w:r>
        <w:rPr>
          <w:rFonts w:cs="Arial"/>
        </w:rPr>
        <w:t>–</w:t>
      </w:r>
      <w:r w:rsidRPr="000B34EA">
        <w:t>19’</w:t>
      </w:r>
      <w:r w:rsidRPr="0000661F">
        <w:t>.</w:t>
      </w:r>
      <w:r>
        <w:t xml:space="preserve"> Available at: </w:t>
      </w:r>
      <w:hyperlink r:id="rId39" w:history="1">
        <w:r w:rsidRPr="006D14B8">
          <w:rPr>
            <w:rStyle w:val="Hyperlink"/>
          </w:rPr>
          <w:t>http://researchbriefings.files.parliament.uk/documents/CBP-8356/CBP-8356.pdf</w:t>
        </w:r>
      </w:hyperlink>
      <w:r>
        <w:t xml:space="preserve"> [accessed: </w:t>
      </w:r>
      <w:r w:rsidRPr="0000661F">
        <w:t>17 August 2018</w:t>
      </w:r>
      <w:r>
        <w:t>]</w:t>
      </w:r>
      <w:r w:rsidRPr="0000661F">
        <w:t>.</w:t>
      </w:r>
      <w:r>
        <w:t xml:space="preserve">  </w:t>
      </w:r>
    </w:p>
  </w:footnote>
  <w:footnote w:id="51">
    <w:p w14:paraId="6914622F" w14:textId="4C73D89A" w:rsidR="004F37B8" w:rsidRDefault="004F37B8" w:rsidP="00E77AE0">
      <w:pPr>
        <w:pStyle w:val="FootnoteText"/>
      </w:pPr>
      <w:r>
        <w:rPr>
          <w:rStyle w:val="FootnoteReference"/>
        </w:rPr>
        <w:footnoteRef/>
      </w:r>
      <w:r>
        <w:t xml:space="preserve"> UK Parliament (2018), ‘Voyeurism (Offences) (No. 2) Bill (HL Bill 30)’. Available at: </w:t>
      </w:r>
      <w:hyperlink r:id="rId40" w:history="1">
        <w:r w:rsidRPr="00103204">
          <w:rPr>
            <w:rStyle w:val="Hyperlink"/>
          </w:rPr>
          <w:t>https://publications.parliament.uk/pa/bills/lbill/2017-2019/0130/lbill_2017-20190130_en_1.htm</w:t>
        </w:r>
      </w:hyperlink>
      <w:r>
        <w:t xml:space="preserve"> [accessed: 17 September 2018]. </w:t>
      </w:r>
    </w:p>
  </w:footnote>
  <w:footnote w:id="52">
    <w:p w14:paraId="4E079D30" w14:textId="1349656A" w:rsidR="004F37B8" w:rsidRDefault="004F37B8" w:rsidP="00E77AE0">
      <w:pPr>
        <w:pStyle w:val="FootnoteText"/>
      </w:pPr>
      <w:r>
        <w:rPr>
          <w:rStyle w:val="FootnoteReference"/>
        </w:rPr>
        <w:footnoteRef/>
      </w:r>
      <w:r>
        <w:t xml:space="preserve"> </w:t>
      </w:r>
      <w:r w:rsidRPr="0000661F">
        <w:t>House of Commons Library</w:t>
      </w:r>
      <w:r>
        <w:t xml:space="preserve"> (2018),</w:t>
      </w:r>
      <w:r w:rsidRPr="0000661F">
        <w:t xml:space="preserve"> ‘</w:t>
      </w:r>
      <w:r w:rsidRPr="000B34EA">
        <w:t>Briefing paper Number 8356. Voyeurism (Offences) (No. 2) Bill 2017</w:t>
      </w:r>
      <w:r>
        <w:rPr>
          <w:rFonts w:cs="Arial"/>
        </w:rPr>
        <w:t>–</w:t>
      </w:r>
      <w:r w:rsidRPr="000B34EA">
        <w:t>19’</w:t>
      </w:r>
      <w:r w:rsidRPr="0000661F">
        <w:t>.</w:t>
      </w:r>
      <w:r>
        <w:t xml:space="preserve"> Available at: </w:t>
      </w:r>
      <w:hyperlink r:id="rId41" w:history="1">
        <w:r w:rsidRPr="006D14B8">
          <w:rPr>
            <w:rStyle w:val="Hyperlink"/>
          </w:rPr>
          <w:t>http://researchbriefings.files.parliament.uk/documents/CBP-8356/CBP-8356.pdf</w:t>
        </w:r>
      </w:hyperlink>
      <w:r>
        <w:t xml:space="preserve"> [accessed: </w:t>
      </w:r>
      <w:r w:rsidRPr="0000661F">
        <w:t>17 August 2018</w:t>
      </w:r>
      <w:r>
        <w:t>]</w:t>
      </w:r>
      <w:r w:rsidRPr="0000661F">
        <w:t>.</w:t>
      </w:r>
      <w:r>
        <w:t xml:space="preserve">  </w:t>
      </w:r>
    </w:p>
  </w:footnote>
  <w:footnote w:id="53">
    <w:p w14:paraId="6F9188B9" w14:textId="3BB028F4" w:rsidR="004F37B8" w:rsidRDefault="004F37B8" w:rsidP="00E77AE0">
      <w:pPr>
        <w:pStyle w:val="FootnoteText"/>
      </w:pPr>
      <w:r>
        <w:rPr>
          <w:rStyle w:val="FootnoteReference"/>
        </w:rPr>
        <w:footnoteRef/>
      </w:r>
      <w:r>
        <w:t xml:space="preserve"> EHRC (2018), ‘Voyeurism (Offences) (No.2) Bill. House of Lords second reading’. Available at: </w:t>
      </w:r>
      <w:hyperlink r:id="rId42" w:history="1">
        <w:r w:rsidRPr="00E51BAE">
          <w:rPr>
            <w:rStyle w:val="Hyperlink"/>
          </w:rPr>
          <w:t>https://www.equalityhumanrights.com/sites/default/files/parliamentary-briefing-voyeurism-bill-house-of-lords-second-reading-23-october-2018.pdf</w:t>
        </w:r>
      </w:hyperlink>
      <w:r>
        <w:t xml:space="preserve"> [accessed: 2 November 2018].</w:t>
      </w:r>
    </w:p>
  </w:footnote>
  <w:footnote w:id="54">
    <w:p w14:paraId="48E8AA93" w14:textId="1527848A" w:rsidR="004F37B8" w:rsidRDefault="004F37B8">
      <w:pPr>
        <w:pStyle w:val="FootnoteText"/>
      </w:pPr>
      <w:r>
        <w:rPr>
          <w:rStyle w:val="FootnoteReference"/>
        </w:rPr>
        <w:footnoteRef/>
      </w:r>
      <w:r>
        <w:t xml:space="preserve"> UK Parliament. 2018. </w:t>
      </w:r>
      <w:r w:rsidRPr="009769BA">
        <w:rPr>
          <w:i/>
        </w:rPr>
        <w:t xml:space="preserve">Electronic </w:t>
      </w:r>
      <w:r>
        <w:rPr>
          <w:i/>
        </w:rPr>
        <w:t>t</w:t>
      </w:r>
      <w:r w:rsidRPr="009769BA">
        <w:rPr>
          <w:i/>
        </w:rPr>
        <w:t>agging:</w:t>
      </w:r>
      <w:r>
        <w:rPr>
          <w:i/>
        </w:rPr>
        <w:t xml:space="preserve"> w</w:t>
      </w:r>
      <w:r w:rsidRPr="009769BA">
        <w:rPr>
          <w:i/>
        </w:rPr>
        <w:t xml:space="preserve">ritten question </w:t>
      </w:r>
      <w:r>
        <w:rPr>
          <w:i/>
        </w:rPr>
        <w:t>–</w:t>
      </w:r>
      <w:r w:rsidRPr="009769BA">
        <w:rPr>
          <w:i/>
        </w:rPr>
        <w:t xml:space="preserve"> 160789</w:t>
      </w:r>
      <w:r>
        <w:t>. [ONLINE]. Available at:</w:t>
      </w:r>
      <w:r w:rsidRPr="009769BA">
        <w:t xml:space="preserve"> </w:t>
      </w:r>
      <w:hyperlink r:id="rId43" w:history="1">
        <w:r w:rsidRPr="00583831">
          <w:rPr>
            <w:rStyle w:val="Hyperlink"/>
          </w:rPr>
          <w:t>https://www.parliament.uk/business/publications/written-questions-answers-statements/written-question/Commons/2018-07-04/160789/</w:t>
        </w:r>
      </w:hyperlink>
      <w:r>
        <w:t xml:space="preserve"> [accessed: 6 December 2018]. </w:t>
      </w:r>
    </w:p>
  </w:footnote>
  <w:footnote w:id="55">
    <w:p w14:paraId="67471091" w14:textId="1876B6BE" w:rsidR="004F37B8" w:rsidRDefault="004F37B8" w:rsidP="00E77AE0">
      <w:pPr>
        <w:pStyle w:val="FootnoteText"/>
      </w:pPr>
      <w:r>
        <w:rPr>
          <w:rStyle w:val="FootnoteReference"/>
        </w:rPr>
        <w:footnoteRef/>
      </w:r>
      <w:r>
        <w:t xml:space="preserve"> Women’s Aid (2018), ‘Transforming the response to domestic abuse consultation: response from Women’s Aid Federation of England’. Available at: </w:t>
      </w:r>
      <w:hyperlink r:id="rId44" w:history="1">
        <w:r w:rsidRPr="00103204">
          <w:rPr>
            <w:rStyle w:val="Hyperlink"/>
          </w:rPr>
          <w:t>https://1q7dqy2unor827bqjls0c4rn-wpengine.netdna-ssl.com/wp-content/uploads/2018/05/Transforming-the-Response-to-Domestic-Abuse-Consultation-Response-from-Womens-Aid-31-May-2018.pdf</w:t>
        </w:r>
      </w:hyperlink>
      <w:r>
        <w:t xml:space="preserve"> [accessed: 17 September 2018].</w:t>
      </w:r>
    </w:p>
  </w:footnote>
  <w:footnote w:id="56">
    <w:p w14:paraId="2C5387BC" w14:textId="28145B9B" w:rsidR="004F37B8" w:rsidRDefault="004F37B8" w:rsidP="00E77AE0">
      <w:pPr>
        <w:pStyle w:val="FootnoteText"/>
      </w:pPr>
      <w:r>
        <w:rPr>
          <w:rStyle w:val="FootnoteReference"/>
        </w:rPr>
        <w:footnoteRef/>
      </w:r>
      <w:r>
        <w:t xml:space="preserve"> End Violence Against Women Coalition (2018), ‘</w:t>
      </w:r>
      <w:r w:rsidRPr="00C36B5A">
        <w:t xml:space="preserve">Submission to </w:t>
      </w:r>
      <w:r>
        <w:t>g</w:t>
      </w:r>
      <w:r w:rsidRPr="00C36B5A">
        <w:t xml:space="preserve">overnment </w:t>
      </w:r>
      <w:r>
        <w:t>consultation on the proposed d</w:t>
      </w:r>
      <w:r w:rsidRPr="00C36B5A">
        <w:t xml:space="preserve">omestic </w:t>
      </w:r>
      <w:r>
        <w:t>v</w:t>
      </w:r>
      <w:r w:rsidRPr="00C36B5A">
        <w:t xml:space="preserve">iolence and </w:t>
      </w:r>
      <w:r>
        <w:t>a</w:t>
      </w:r>
      <w:r w:rsidRPr="00C36B5A">
        <w:t xml:space="preserve">buse </w:t>
      </w:r>
      <w:r>
        <w:t>b</w:t>
      </w:r>
      <w:r w:rsidRPr="00C36B5A">
        <w:t>ill</w:t>
      </w:r>
      <w:r>
        <w:t xml:space="preserve">’. Available at: </w:t>
      </w:r>
      <w:hyperlink r:id="rId45" w:history="1">
        <w:r w:rsidRPr="00103204">
          <w:rPr>
            <w:rStyle w:val="Hyperlink"/>
          </w:rPr>
          <w:t>https://www.endviolenceagainstwomen.org.uk/wp-content/uploads/EVAW-Submission-to-Government-Consultation-on-the-proposed-Domestic-Violence-and-Abuse-Bill-30-May-2018.pdf</w:t>
        </w:r>
      </w:hyperlink>
      <w:r>
        <w:t xml:space="preserve"> [accessed: 17 September 2018]. </w:t>
      </w:r>
    </w:p>
  </w:footnote>
  <w:footnote w:id="57">
    <w:p w14:paraId="1B8AF0D8" w14:textId="300B0900" w:rsidR="004F37B8" w:rsidRDefault="004F37B8" w:rsidP="00E77AE0">
      <w:pPr>
        <w:pStyle w:val="FootnoteText"/>
      </w:pPr>
      <w:r>
        <w:rPr>
          <w:rStyle w:val="FootnoteReference"/>
        </w:rPr>
        <w:footnoteRef/>
      </w:r>
      <w:r>
        <w:t xml:space="preserve"> EHRC (2018), ‘Response of the Equality and Human Rights Commission to the consultation: transforming the response to domestic abuse’. Available at: </w:t>
      </w:r>
      <w:hyperlink r:id="rId46" w:history="1">
        <w:r w:rsidRPr="00103204">
          <w:rPr>
            <w:rStyle w:val="Hyperlink"/>
          </w:rPr>
          <w:t>https://www.equalityhumanrights.com/sites/default/files/consultation-response-transforming-response-to-domestic-abuse-may-2018.pdf</w:t>
        </w:r>
      </w:hyperlink>
      <w:r>
        <w:t xml:space="preserve"> [accessed: 17 September 2018].</w:t>
      </w:r>
    </w:p>
  </w:footnote>
  <w:footnote w:id="58">
    <w:p w14:paraId="3C465520" w14:textId="20583C6C" w:rsidR="004F37B8" w:rsidRDefault="004F37B8" w:rsidP="00206636">
      <w:pPr>
        <w:pStyle w:val="FootnoteText"/>
      </w:pPr>
      <w:r>
        <w:rPr>
          <w:rStyle w:val="FootnoteReference"/>
        </w:rPr>
        <w:footnoteRef/>
      </w:r>
      <w:r>
        <w:t xml:space="preserve"> Commons Select Committee. 2018. </w:t>
      </w:r>
      <w:r w:rsidRPr="00206636">
        <w:rPr>
          <w:i/>
          <w:lang w:val="en"/>
        </w:rPr>
        <w:t>Domestic abuse inquiry launched</w:t>
      </w:r>
      <w:r>
        <w:rPr>
          <w:lang w:val="en"/>
        </w:rPr>
        <w:t>. [ONLINE]. Available at:</w:t>
      </w:r>
      <w:r>
        <w:t xml:space="preserve"> </w:t>
      </w:r>
      <w:hyperlink r:id="rId47" w:history="1">
        <w:r w:rsidRPr="00103204">
          <w:rPr>
            <w:rStyle w:val="Hyperlink"/>
          </w:rPr>
          <w:t>https://www.parliament.uk/business/committees/committees-a-z/commons-select/home-affairs-committee/news-parliament-2017/domestic-abuse-launch/</w:t>
        </w:r>
      </w:hyperlink>
      <w:r>
        <w:rPr>
          <w:rStyle w:val="Hyperlink"/>
        </w:rPr>
        <w:t xml:space="preserve"> </w:t>
      </w:r>
      <w:r>
        <w:t>[accessed: 6 December 2018].</w:t>
      </w:r>
    </w:p>
  </w:footnote>
  <w:footnote w:id="59">
    <w:p w14:paraId="38BD2DC6" w14:textId="3265079D" w:rsidR="004F37B8" w:rsidRDefault="004F37B8" w:rsidP="00312911">
      <w:pPr>
        <w:pStyle w:val="FootnoteText"/>
      </w:pPr>
      <w:r>
        <w:rPr>
          <w:rStyle w:val="FootnoteReference"/>
        </w:rPr>
        <w:footnoteRef/>
      </w:r>
      <w:r>
        <w:t xml:space="preserve"> EHRC (2018), ‘</w:t>
      </w:r>
      <w:r w:rsidRPr="00525DDB">
        <w:t xml:space="preserve">Response of the Equality and Human Rights Commission to the </w:t>
      </w:r>
      <w:r>
        <w:t xml:space="preserve">Home Affairs Committee inquiry on domestic abuse’. Available at: </w:t>
      </w:r>
      <w:hyperlink r:id="rId48" w:history="1">
        <w:r w:rsidRPr="00103204">
          <w:rPr>
            <w:rStyle w:val="Hyperlink"/>
          </w:rPr>
          <w:t>http://data.parliament.uk/writtenevidence/committeeevidence.svc/evidencedocument/home-affairs-committee/domestic-abuse/written/86473.html</w:t>
        </w:r>
      </w:hyperlink>
      <w:r>
        <w:t xml:space="preserve"> [accessed: 17 September 2018]. </w:t>
      </w:r>
    </w:p>
  </w:footnote>
  <w:footnote w:id="60">
    <w:p w14:paraId="65D7C94F" w14:textId="5BE630D6" w:rsidR="004F37B8" w:rsidRDefault="004F37B8" w:rsidP="00E77AE0">
      <w:pPr>
        <w:pStyle w:val="FootnoteText"/>
      </w:pPr>
      <w:r>
        <w:rPr>
          <w:rStyle w:val="FootnoteReference"/>
        </w:rPr>
        <w:footnoteRef/>
      </w:r>
      <w:r>
        <w:t xml:space="preserve"> House of Commons Home Affairs Committee (2018), ‘Domestic abuse: ninth report of session 2017–19’. Available at: </w:t>
      </w:r>
      <w:hyperlink r:id="rId49" w:history="1">
        <w:r w:rsidRPr="00E51BAE">
          <w:rPr>
            <w:rStyle w:val="Hyperlink"/>
          </w:rPr>
          <w:t>https://www.parliament.uk/business/committees/committees-a-z/commons-select/home-affairs-committee/inquiries/parliament-2017/domestic-abuse-inquiry-17-19/</w:t>
        </w:r>
      </w:hyperlink>
    </w:p>
    <w:p w14:paraId="2252C19B" w14:textId="5A3DCDF0" w:rsidR="004F37B8" w:rsidRDefault="004F37B8" w:rsidP="00E77AE0">
      <w:pPr>
        <w:pStyle w:val="FootnoteText"/>
      </w:pPr>
      <w:r>
        <w:t xml:space="preserve">[accessed: 2 November 2018]. </w:t>
      </w:r>
    </w:p>
  </w:footnote>
  <w:footnote w:id="61">
    <w:p w14:paraId="570A909F" w14:textId="05BBD323" w:rsidR="004F37B8" w:rsidRDefault="004F37B8" w:rsidP="00E77AE0">
      <w:pPr>
        <w:pStyle w:val="FootnoteText"/>
      </w:pPr>
      <w:r>
        <w:rPr>
          <w:rStyle w:val="FootnoteReference"/>
        </w:rPr>
        <w:footnoteRef/>
      </w:r>
      <w:r>
        <w:t xml:space="preserve"> Ministry of Housing, Communities and Local Government (2018), ‘Bidding prospectus: 2018/20 fund for domestic abuse services, including refuge and other safe accommodation, to help local areas meet the priorities for domestic abuse services’. Available at: </w:t>
      </w:r>
      <w:hyperlink r:id="rId50" w:history="1">
        <w:r w:rsidRPr="006D14B8">
          <w:rPr>
            <w:rStyle w:val="Hyperlink"/>
          </w:rPr>
          <w:t>https://assets.publishing.service.gov.uk/government/uploads/system/uploads/attachment_data/file/721495/Fund_for_domestic_abuse_services_2018-20_prospectus.pdf</w:t>
        </w:r>
      </w:hyperlink>
      <w:r>
        <w:t xml:space="preserve"> [accessed: 6 December 2018]. </w:t>
      </w:r>
    </w:p>
  </w:footnote>
  <w:footnote w:id="62">
    <w:p w14:paraId="4B5B07F1" w14:textId="119FAB7A" w:rsidR="004F37B8" w:rsidRDefault="004F37B8" w:rsidP="00B80967">
      <w:pPr>
        <w:pStyle w:val="FootnoteText"/>
      </w:pPr>
      <w:r>
        <w:rPr>
          <w:rStyle w:val="FootnoteReference"/>
        </w:rPr>
        <w:footnoteRef/>
      </w:r>
      <w:r>
        <w:t xml:space="preserve"> EHRC (2018), ‘</w:t>
      </w:r>
      <w:r w:rsidRPr="00B80967">
        <w:t>Pressing for progress: women’s rights and gender equality in 2018</w:t>
      </w:r>
      <w:r>
        <w:t xml:space="preserve">’. Available at: </w:t>
      </w:r>
      <w:hyperlink r:id="rId51" w:history="1">
        <w:r w:rsidRPr="00583831">
          <w:rPr>
            <w:rStyle w:val="Hyperlink"/>
          </w:rPr>
          <w:t>https://www.equalityhumanrights.com/en/publication-download/pressing-progress-women%E2%80%99s-rights-and-gender-equality-2018</w:t>
        </w:r>
      </w:hyperlink>
      <w:r>
        <w:t xml:space="preserve"> [accessed: 6 December 2018].</w:t>
      </w:r>
    </w:p>
  </w:footnote>
  <w:footnote w:id="63">
    <w:p w14:paraId="7E4C7CC4" w14:textId="6071A11D" w:rsidR="004F37B8" w:rsidRDefault="004F37B8" w:rsidP="00E77AE0">
      <w:pPr>
        <w:pStyle w:val="FootnoteText"/>
      </w:pPr>
      <w:r>
        <w:rPr>
          <w:rStyle w:val="FootnoteReference"/>
        </w:rPr>
        <w:footnoteRef/>
      </w:r>
      <w:r>
        <w:t xml:space="preserve"> Ministry of Housing, Communities and Local Government. 2018. </w:t>
      </w:r>
      <w:r w:rsidRPr="00B80967">
        <w:rPr>
          <w:i/>
        </w:rPr>
        <w:t>All supported housing funding to be retained in welfare system</w:t>
      </w:r>
      <w:r>
        <w:t xml:space="preserve">. [ONLINE]. Available at: </w:t>
      </w:r>
      <w:hyperlink r:id="rId52" w:history="1">
        <w:r w:rsidRPr="00103204">
          <w:rPr>
            <w:rStyle w:val="Hyperlink"/>
          </w:rPr>
          <w:t>https://www.gov.uk/government/news/all-supported-housing-funding-to-be-retained-in-welfare-system</w:t>
        </w:r>
      </w:hyperlink>
      <w:r>
        <w:t xml:space="preserve"> [accessed: 17 September 2018]. </w:t>
      </w:r>
    </w:p>
  </w:footnote>
  <w:footnote w:id="64">
    <w:p w14:paraId="0C90221B" w14:textId="1218F309" w:rsidR="004F37B8" w:rsidRDefault="004F37B8" w:rsidP="00A33087">
      <w:pPr>
        <w:pStyle w:val="FootnoteText"/>
      </w:pPr>
      <w:r>
        <w:rPr>
          <w:rStyle w:val="FootnoteReference"/>
        </w:rPr>
        <w:footnoteRef/>
      </w:r>
      <w:r>
        <w:t xml:space="preserve"> Sentencing Council (2018), ‘Child cruelty d</w:t>
      </w:r>
      <w:r w:rsidRPr="00A33087">
        <w:t xml:space="preserve">efinitive </w:t>
      </w:r>
      <w:r>
        <w:t>g</w:t>
      </w:r>
      <w:r w:rsidRPr="00A33087">
        <w:t>uideline</w:t>
      </w:r>
      <w:r>
        <w:t xml:space="preserve">‘. Available at: </w:t>
      </w:r>
      <w:hyperlink r:id="rId53" w:history="1">
        <w:r w:rsidRPr="005D3F1D">
          <w:rPr>
            <w:rStyle w:val="Hyperlink"/>
          </w:rPr>
          <w:t>https://www.sentencingcouncil.org.uk/wp-content/uploads/Child-Cruelty_Definitive-guideline_FINAL-WEB.pdf</w:t>
        </w:r>
      </w:hyperlink>
      <w:r>
        <w:t xml:space="preserve"> [accessed: 6 December 2018].</w:t>
      </w:r>
    </w:p>
  </w:footnote>
  <w:footnote w:id="65">
    <w:p w14:paraId="10790A9A" w14:textId="37C613D9" w:rsidR="004F37B8" w:rsidRDefault="004F37B8" w:rsidP="00C30F5A">
      <w:pPr>
        <w:pStyle w:val="FootnoteText"/>
      </w:pPr>
      <w:r>
        <w:rPr>
          <w:rStyle w:val="FootnoteReference"/>
        </w:rPr>
        <w:footnoteRef/>
      </w:r>
      <w:r>
        <w:t xml:space="preserve"> Dearden, L. (2018), ‘</w:t>
      </w:r>
      <w:r w:rsidRPr="00A33087">
        <w:rPr>
          <w:lang w:val="en"/>
        </w:rPr>
        <w:t>Man and woman deny female genital mutilation of three-year-old girl in London</w:t>
      </w:r>
      <w:r>
        <w:rPr>
          <w:lang w:val="en"/>
        </w:rPr>
        <w:t xml:space="preserve">’, </w:t>
      </w:r>
      <w:r>
        <w:rPr>
          <w:i/>
          <w:lang w:val="en"/>
        </w:rPr>
        <w:t>Independent</w:t>
      </w:r>
      <w:r>
        <w:rPr>
          <w:lang w:val="en"/>
        </w:rPr>
        <w:t>, 31 August. Available at:</w:t>
      </w:r>
      <w:r>
        <w:t xml:space="preserve"> </w:t>
      </w:r>
      <w:hyperlink r:id="rId54" w:history="1">
        <w:r w:rsidRPr="005D3F1D">
          <w:rPr>
            <w:rStyle w:val="Hyperlink"/>
          </w:rPr>
          <w:t>https://www.independent.co.uk/news/uk/crime/fgm-london-girl-three-man-woman-trial-charged-female-genital-mutilation-a8516531.html</w:t>
        </w:r>
      </w:hyperlink>
      <w:r>
        <w:t xml:space="preserve"> [accessed: 6 December 2018].</w:t>
      </w:r>
    </w:p>
  </w:footnote>
  <w:footnote w:id="66">
    <w:p w14:paraId="0E98708B" w14:textId="49C4706F" w:rsidR="004F37B8" w:rsidRDefault="004F37B8" w:rsidP="00C30F5A">
      <w:pPr>
        <w:pStyle w:val="FootnoteText"/>
      </w:pPr>
      <w:r>
        <w:rPr>
          <w:rStyle w:val="FootnoteReference"/>
        </w:rPr>
        <w:footnoteRef/>
      </w:r>
      <w:r>
        <w:t xml:space="preserve"> Royal College of Midwives. 2018. ‘</w:t>
      </w:r>
      <w:r w:rsidRPr="00A33087">
        <w:rPr>
          <w:i/>
        </w:rPr>
        <w:t>A major step in the campaign to stop FGM in Wales’ says RCM on opening of first specialist FGM clinic in Wales</w:t>
      </w:r>
      <w:r>
        <w:t xml:space="preserve">. [ONLINE]. Available at: </w:t>
      </w:r>
      <w:hyperlink r:id="rId55" w:history="1">
        <w:r w:rsidRPr="00564753">
          <w:rPr>
            <w:rStyle w:val="Hyperlink"/>
          </w:rPr>
          <w:t>https://www.rcm.org.uk/news-views-and-analysis/news/%E2%80%98a-major-step-in-the-campaign-to-stop-fgm-in-wales%E2%80%99-says-rcm-on-opening</w:t>
        </w:r>
      </w:hyperlink>
      <w:r>
        <w:rPr>
          <w:rStyle w:val="Hyperlink"/>
        </w:rPr>
        <w:t xml:space="preserve"> </w:t>
      </w:r>
      <w:r>
        <w:t>[accessed: 6 December 2018].</w:t>
      </w:r>
    </w:p>
  </w:footnote>
  <w:footnote w:id="67">
    <w:p w14:paraId="01095A4A" w14:textId="16425AC9" w:rsidR="004F37B8" w:rsidRDefault="004F37B8" w:rsidP="00A33087">
      <w:pPr>
        <w:pStyle w:val="FootnoteText"/>
      </w:pPr>
      <w:r>
        <w:rPr>
          <w:rStyle w:val="FootnoteReference"/>
        </w:rPr>
        <w:footnoteRef/>
      </w:r>
      <w:r>
        <w:t xml:space="preserve"> Public Health Wales (2018), ‘Female genital mutilation (FGM) health leads report </w:t>
      </w:r>
      <w:r w:rsidRPr="00A33087">
        <w:t>April 2017 – March 2018</w:t>
      </w:r>
      <w:r>
        <w:t xml:space="preserve">’. Available at: </w:t>
      </w:r>
      <w:hyperlink r:id="rId56" w:history="1">
        <w:r w:rsidRPr="005D7421">
          <w:rPr>
            <w:rStyle w:val="Hyperlink"/>
          </w:rPr>
          <w:t>http://www.wales.nhs.uk/sitesplus/documents/888/FGM%20Annual%20report%202017-18%20Final.pdf</w:t>
        </w:r>
      </w:hyperlink>
      <w:r>
        <w:rPr>
          <w:rStyle w:val="Hyperlink"/>
        </w:rPr>
        <w:t xml:space="preserve"> </w:t>
      </w:r>
      <w:r>
        <w:t>[accessed: 6 December 2018].</w:t>
      </w:r>
    </w:p>
  </w:footnote>
  <w:footnote w:id="68">
    <w:p w14:paraId="29DFEF80" w14:textId="3EED21F8" w:rsidR="004F37B8" w:rsidRDefault="004F37B8" w:rsidP="00107D90">
      <w:pPr>
        <w:pStyle w:val="FootnoteText"/>
      </w:pPr>
      <w:r>
        <w:rPr>
          <w:rStyle w:val="FootnoteReference"/>
        </w:rPr>
        <w:footnoteRef/>
      </w:r>
      <w:r>
        <w:t xml:space="preserve"> Type 1 FGM is defined as the r</w:t>
      </w:r>
      <w:r>
        <w:rPr>
          <w:szCs w:val="24"/>
        </w:rPr>
        <w:t xml:space="preserve">emoval of the </w:t>
      </w:r>
      <w:r w:rsidRPr="009F7ECC">
        <w:rPr>
          <w:szCs w:val="24"/>
        </w:rPr>
        <w:t>fold o</w:t>
      </w:r>
      <w:r>
        <w:rPr>
          <w:szCs w:val="24"/>
        </w:rPr>
        <w:t>f skin surrounding the clitoris</w:t>
      </w:r>
      <w:r w:rsidRPr="009F7ECC">
        <w:rPr>
          <w:szCs w:val="24"/>
        </w:rPr>
        <w:t xml:space="preserve"> or partial or total</w:t>
      </w:r>
      <w:r>
        <w:rPr>
          <w:szCs w:val="24"/>
        </w:rPr>
        <w:t xml:space="preserve"> </w:t>
      </w:r>
      <w:r w:rsidRPr="009F7ECC">
        <w:rPr>
          <w:szCs w:val="24"/>
        </w:rPr>
        <w:t>removal of the clitoris</w:t>
      </w:r>
      <w:r>
        <w:rPr>
          <w:szCs w:val="24"/>
        </w:rPr>
        <w:t xml:space="preserve">. See: </w:t>
      </w:r>
      <w:hyperlink r:id="rId57" w:history="1">
        <w:r w:rsidRPr="00750867">
          <w:rPr>
            <w:rStyle w:val="Hyperlink"/>
            <w:szCs w:val="24"/>
          </w:rPr>
          <w:t>https://www.nhs.uk/conditions/female-genital-mutilation-fgm/</w:t>
        </w:r>
      </w:hyperlink>
      <w:r>
        <w:rPr>
          <w:szCs w:val="24"/>
        </w:rPr>
        <w:t xml:space="preserve"> </w:t>
      </w:r>
    </w:p>
  </w:footnote>
  <w:footnote w:id="69">
    <w:p w14:paraId="4CFE7C85" w14:textId="59AC50ED" w:rsidR="004F37B8" w:rsidRDefault="004F37B8">
      <w:pPr>
        <w:pStyle w:val="FootnoteText"/>
      </w:pPr>
      <w:r>
        <w:rPr>
          <w:rStyle w:val="FootnoteReference"/>
        </w:rPr>
        <w:footnoteRef/>
      </w:r>
      <w:r>
        <w:t xml:space="preserve"> Home Office (2018), ‘</w:t>
      </w:r>
      <w:r w:rsidRPr="00A33087">
        <w:t>Preventing and tackling forced marriage: a consultation</w:t>
      </w:r>
      <w:r>
        <w:t xml:space="preserve">’. Available at: </w:t>
      </w:r>
      <w:hyperlink r:id="rId58" w:history="1">
        <w:r w:rsidRPr="005C70AF">
          <w:rPr>
            <w:rStyle w:val="Hyperlink"/>
          </w:rPr>
          <w:t>https://assets.publishing.service.gov.uk/government/uploads/system/uploads/attachment_data/file/756200/Forced_Marriage_Consultation.pdf</w:t>
        </w:r>
      </w:hyperlink>
      <w:r>
        <w:t xml:space="preserve"> [accessed: 6 December 2018].</w:t>
      </w:r>
    </w:p>
  </w:footnote>
  <w:footnote w:id="70">
    <w:p w14:paraId="04CFCBC5" w14:textId="7549E4F5" w:rsidR="004F37B8" w:rsidRDefault="004F37B8" w:rsidP="00C30F5A">
      <w:pPr>
        <w:pStyle w:val="FootnoteText"/>
      </w:pPr>
      <w:r>
        <w:rPr>
          <w:rStyle w:val="FootnoteReference"/>
        </w:rPr>
        <w:footnoteRef/>
      </w:r>
      <w:r>
        <w:t xml:space="preserve"> </w:t>
      </w:r>
      <w:r w:rsidRPr="00096293">
        <w:t xml:space="preserve">See, for example: </w:t>
      </w:r>
      <w:r w:rsidRPr="00F81E55">
        <w:t>Heilmann, A., Kelly, Y. and Watt, R.G. (2015)</w:t>
      </w:r>
      <w:r>
        <w:t>,</w:t>
      </w:r>
      <w:r w:rsidRPr="00F81E55">
        <w:t xml:space="preserve"> </w:t>
      </w:r>
      <w:r w:rsidRPr="00EE1CEF">
        <w:rPr>
          <w:i/>
        </w:rPr>
        <w:t>‘</w:t>
      </w:r>
      <w:r w:rsidRPr="00EE1CEF">
        <w:t>Equally protected? A review of the evidence on the physical punishment of childre</w:t>
      </w:r>
      <w:r>
        <w:t>n</w:t>
      </w:r>
      <w:r w:rsidRPr="00EE1CEF">
        <w:t>’. Available at:</w:t>
      </w:r>
      <w:r w:rsidRPr="00F81E55">
        <w:rPr>
          <w:i/>
        </w:rPr>
        <w:t xml:space="preserve"> </w:t>
      </w:r>
      <w:hyperlink r:id="rId59" w:history="1">
        <w:r w:rsidRPr="00096293">
          <w:rPr>
            <w:rStyle w:val="Hyperlink"/>
          </w:rPr>
          <w:t>https://www.nspcc.org.uk/globalassets/documents/research-reports/equally-protected.pdf</w:t>
        </w:r>
      </w:hyperlink>
      <w:r>
        <w:t xml:space="preserve"> [accessed: 10 January 2019].</w:t>
      </w:r>
    </w:p>
  </w:footnote>
  <w:footnote w:id="71">
    <w:p w14:paraId="32C8F4D2" w14:textId="0DB2E370" w:rsidR="004F37B8" w:rsidRDefault="004F37B8" w:rsidP="00C30F5A">
      <w:pPr>
        <w:pStyle w:val="FootnoteText"/>
      </w:pPr>
      <w:r>
        <w:rPr>
          <w:rStyle w:val="FootnoteReference"/>
        </w:rPr>
        <w:footnoteRef/>
      </w:r>
      <w:r>
        <w:t xml:space="preserve"> </w:t>
      </w:r>
      <w:r w:rsidRPr="000D69E8">
        <w:t>The Committee on the Rights of the Child in 2016</w:t>
      </w:r>
      <w:r>
        <w:t>,</w:t>
      </w:r>
      <w:r w:rsidRPr="000D69E8">
        <w:t xml:space="preserve"> the Human Rights Committee in</w:t>
      </w:r>
      <w:r>
        <w:t xml:space="preserve"> </w:t>
      </w:r>
      <w:r w:rsidRPr="000D69E8">
        <w:t>2015</w:t>
      </w:r>
      <w:r>
        <w:t>,</w:t>
      </w:r>
      <w:r w:rsidRPr="000D69E8">
        <w:t xml:space="preserve"> the Committee Against Torture in 2013</w:t>
      </w:r>
      <w:r>
        <w:t>,</w:t>
      </w:r>
      <w:r w:rsidRPr="000D69E8">
        <w:t xml:space="preserve"> and the Committee on the Elimination </w:t>
      </w:r>
      <w:r>
        <w:t xml:space="preserve">of </w:t>
      </w:r>
      <w:r w:rsidRPr="000D69E8">
        <w:t>Discrimination Against Women  in 2012</w:t>
      </w:r>
      <w:r>
        <w:t>,</w:t>
      </w:r>
      <w:r w:rsidRPr="000D69E8">
        <w:t xml:space="preserve"> have all put forward call</w:t>
      </w:r>
      <w:r>
        <w:t>s</w:t>
      </w:r>
      <w:r w:rsidRPr="000D69E8">
        <w:t xml:space="preserve"> for legal reform in relation to the physical punishment of children</w:t>
      </w:r>
      <w:r>
        <w:t xml:space="preserve"> </w:t>
      </w:r>
      <w:r w:rsidRPr="000D69E8">
        <w:t>in various Concluding Observations to the UK.</w:t>
      </w:r>
    </w:p>
  </w:footnote>
  <w:footnote w:id="72">
    <w:p w14:paraId="5620A336" w14:textId="3902C0CB" w:rsidR="004F37B8" w:rsidRDefault="004F37B8" w:rsidP="00C30F5A">
      <w:pPr>
        <w:pStyle w:val="FootnoteText"/>
      </w:pPr>
      <w:r>
        <w:rPr>
          <w:rStyle w:val="FootnoteReference"/>
        </w:rPr>
        <w:footnoteRef/>
      </w:r>
      <w:r>
        <w:t xml:space="preserve"> UK Parliament (2004), ‘</w:t>
      </w:r>
      <w:r w:rsidRPr="0075018F">
        <w:t>Children Act 2004</w:t>
      </w:r>
      <w:r>
        <w:t xml:space="preserve">’. Available at: </w:t>
      </w:r>
      <w:hyperlink r:id="rId60" w:history="1">
        <w:r w:rsidRPr="00A242F8">
          <w:rPr>
            <w:rStyle w:val="Hyperlink"/>
          </w:rPr>
          <w:t>https://www.legislation.gov.uk/ukpga/2004/31/contents</w:t>
        </w:r>
      </w:hyperlink>
      <w:r>
        <w:t xml:space="preserve"> [accessed: 6 December 2018]. </w:t>
      </w:r>
    </w:p>
  </w:footnote>
  <w:footnote w:id="73">
    <w:p w14:paraId="3D223319" w14:textId="1D65FB10" w:rsidR="004F37B8" w:rsidRPr="0075018F" w:rsidRDefault="004F37B8" w:rsidP="0075018F">
      <w:pPr>
        <w:pStyle w:val="FootnoteText"/>
      </w:pPr>
      <w:r>
        <w:rPr>
          <w:rStyle w:val="FootnoteReference"/>
        </w:rPr>
        <w:footnoteRef/>
      </w:r>
      <w:r>
        <w:t xml:space="preserve"> UK Parliament (2011), ‘</w:t>
      </w:r>
      <w:r w:rsidRPr="0075018F">
        <w:t>Rights of Children and Young Persons (Wales) Measure 2011</w:t>
      </w:r>
      <w:r>
        <w:t xml:space="preserve">’. Available at: </w:t>
      </w:r>
      <w:hyperlink r:id="rId61" w:history="1">
        <w:r w:rsidRPr="006D14B8">
          <w:rPr>
            <w:rStyle w:val="Hyperlink"/>
          </w:rPr>
          <w:t>http://www.legislation.gov.uk/mwa/2011/2/contents</w:t>
        </w:r>
      </w:hyperlink>
      <w:r>
        <w:t xml:space="preserve"> </w:t>
      </w:r>
      <w:r w:rsidRPr="0075018F">
        <w:t>[accessed</w:t>
      </w:r>
      <w:r>
        <w:t>:</w:t>
      </w:r>
      <w:r w:rsidRPr="0075018F">
        <w:t xml:space="preserve"> 6 December 2018].</w:t>
      </w:r>
    </w:p>
  </w:footnote>
  <w:footnote w:id="74">
    <w:p w14:paraId="640F0FCF" w14:textId="5905BBB8" w:rsidR="004F37B8" w:rsidRDefault="004F37B8" w:rsidP="00C30F5A">
      <w:pPr>
        <w:pStyle w:val="FootnoteText"/>
      </w:pPr>
      <w:r>
        <w:rPr>
          <w:rStyle w:val="FootnoteReference"/>
        </w:rPr>
        <w:footnoteRef/>
      </w:r>
      <w:r>
        <w:t xml:space="preserve"> Welsh Government (2018), ‘</w:t>
      </w:r>
      <w:r w:rsidRPr="001D29E0">
        <w:t>Legislative proposal to remove the defence of reasonable punishment</w:t>
      </w:r>
      <w:r>
        <w:t>: summary of responses’. Available at:</w:t>
      </w:r>
      <w:r w:rsidRPr="001D29E0">
        <w:t xml:space="preserve"> </w:t>
      </w:r>
      <w:hyperlink r:id="rId62" w:history="1">
        <w:r w:rsidRPr="006D14B8">
          <w:rPr>
            <w:rStyle w:val="Hyperlink"/>
          </w:rPr>
          <w:t>https://beta.gov.wales/legislative-proposal-remove-defence-reasonable-punishment</w:t>
        </w:r>
      </w:hyperlink>
      <w:r>
        <w:t xml:space="preserve"> [accessed: 7 November 2018]. </w:t>
      </w:r>
    </w:p>
  </w:footnote>
  <w:footnote w:id="75">
    <w:p w14:paraId="30DE6E36" w14:textId="6B5F258F" w:rsidR="004F37B8" w:rsidRDefault="004F37B8" w:rsidP="0075018F">
      <w:pPr>
        <w:pStyle w:val="FootnoteText"/>
      </w:pPr>
      <w:r>
        <w:rPr>
          <w:rStyle w:val="FootnoteReference"/>
        </w:rPr>
        <w:footnoteRef/>
      </w:r>
      <w:r>
        <w:t xml:space="preserve"> Welsh Government. 2018. </w:t>
      </w:r>
      <w:r w:rsidRPr="0075018F">
        <w:rPr>
          <w:i/>
        </w:rPr>
        <w:t xml:space="preserve">Written </w:t>
      </w:r>
      <w:r>
        <w:rPr>
          <w:i/>
        </w:rPr>
        <w:t>s</w:t>
      </w:r>
      <w:r w:rsidRPr="0075018F">
        <w:rPr>
          <w:i/>
        </w:rPr>
        <w:t xml:space="preserve">tatement </w:t>
      </w:r>
      <w:r>
        <w:rPr>
          <w:rFonts w:cs="Arial"/>
          <w:i/>
        </w:rPr>
        <w:t>–</w:t>
      </w:r>
      <w:r w:rsidRPr="0075018F">
        <w:rPr>
          <w:i/>
        </w:rPr>
        <w:t xml:space="preserve"> Consultation on the </w:t>
      </w:r>
      <w:r>
        <w:rPr>
          <w:i/>
        </w:rPr>
        <w:t>l</w:t>
      </w:r>
      <w:r w:rsidRPr="0075018F">
        <w:rPr>
          <w:i/>
        </w:rPr>
        <w:t xml:space="preserve">egislative </w:t>
      </w:r>
      <w:r>
        <w:rPr>
          <w:i/>
        </w:rPr>
        <w:t>p</w:t>
      </w:r>
      <w:r w:rsidRPr="0075018F">
        <w:rPr>
          <w:i/>
        </w:rPr>
        <w:t xml:space="preserve">roposal to </w:t>
      </w:r>
      <w:r>
        <w:rPr>
          <w:i/>
        </w:rPr>
        <w:t>r</w:t>
      </w:r>
      <w:r w:rsidRPr="0075018F">
        <w:rPr>
          <w:i/>
        </w:rPr>
        <w:t xml:space="preserve">emove the </w:t>
      </w:r>
      <w:r>
        <w:rPr>
          <w:i/>
        </w:rPr>
        <w:t>d</w:t>
      </w:r>
      <w:r w:rsidRPr="0075018F">
        <w:rPr>
          <w:i/>
        </w:rPr>
        <w:t xml:space="preserve">efence of </w:t>
      </w:r>
      <w:r>
        <w:rPr>
          <w:i/>
        </w:rPr>
        <w:t>r</w:t>
      </w:r>
      <w:r w:rsidRPr="0075018F">
        <w:rPr>
          <w:i/>
        </w:rPr>
        <w:t xml:space="preserve">easonable </w:t>
      </w:r>
      <w:r>
        <w:rPr>
          <w:i/>
        </w:rPr>
        <w:t>p</w:t>
      </w:r>
      <w:r w:rsidRPr="0075018F">
        <w:rPr>
          <w:i/>
        </w:rPr>
        <w:t xml:space="preserve">unishment – </w:t>
      </w:r>
      <w:r>
        <w:rPr>
          <w:i/>
        </w:rPr>
        <w:t>p</w:t>
      </w:r>
      <w:r w:rsidRPr="0075018F">
        <w:rPr>
          <w:i/>
        </w:rPr>
        <w:t xml:space="preserve">ublication of </w:t>
      </w:r>
      <w:r>
        <w:rPr>
          <w:i/>
        </w:rPr>
        <w:t>s</w:t>
      </w:r>
      <w:r w:rsidRPr="0075018F">
        <w:rPr>
          <w:i/>
        </w:rPr>
        <w:t xml:space="preserve">ummary of </w:t>
      </w:r>
      <w:r>
        <w:rPr>
          <w:i/>
        </w:rPr>
        <w:t>c</w:t>
      </w:r>
      <w:r w:rsidRPr="0075018F">
        <w:rPr>
          <w:i/>
        </w:rPr>
        <w:t xml:space="preserve">onsultation </w:t>
      </w:r>
      <w:r>
        <w:rPr>
          <w:i/>
        </w:rPr>
        <w:t>r</w:t>
      </w:r>
      <w:r w:rsidRPr="0075018F">
        <w:rPr>
          <w:i/>
        </w:rPr>
        <w:t xml:space="preserve">esponses </w:t>
      </w:r>
      <w:r>
        <w:rPr>
          <w:i/>
        </w:rPr>
        <w:t>r</w:t>
      </w:r>
      <w:r w:rsidRPr="0075018F">
        <w:rPr>
          <w:i/>
        </w:rPr>
        <w:t>eport</w:t>
      </w:r>
      <w:r>
        <w:t xml:space="preserve">. [ONLINE]. Available at: </w:t>
      </w:r>
      <w:r w:rsidRPr="0075018F">
        <w:rPr>
          <w:i/>
        </w:rPr>
        <w:t xml:space="preserve"> </w:t>
      </w:r>
      <w:hyperlink r:id="rId63" w:history="1">
        <w:r w:rsidRPr="00C52247">
          <w:rPr>
            <w:rStyle w:val="Hyperlink"/>
          </w:rPr>
          <w:t>https://gov.wales/about/cabinet/cabinetstatements/2018/defenceconsultationsummary/?lang=en</w:t>
        </w:r>
      </w:hyperlink>
      <w:r>
        <w:rPr>
          <w:rStyle w:val="Hyperlink"/>
        </w:rPr>
        <w:t xml:space="preserve"> </w:t>
      </w:r>
      <w:r>
        <w:t>[accessed: 6 December 2018].</w:t>
      </w:r>
    </w:p>
  </w:footnote>
  <w:footnote w:id="76">
    <w:p w14:paraId="601D0704" w14:textId="0C7F8BA8" w:rsidR="004F37B8" w:rsidRPr="0027673E" w:rsidRDefault="004F37B8" w:rsidP="00C30F5A">
      <w:pPr>
        <w:pStyle w:val="FootnoteText"/>
        <w:rPr>
          <w:i/>
        </w:rPr>
      </w:pPr>
      <w:r>
        <w:rPr>
          <w:rStyle w:val="FootnoteReference"/>
        </w:rPr>
        <w:footnoteRef/>
      </w:r>
      <w:r>
        <w:t xml:space="preserve"> House of Commons (Hansard). 2018. </w:t>
      </w:r>
      <w:r w:rsidRPr="008A05DE">
        <w:rPr>
          <w:i/>
          <w:lang w:val="en"/>
        </w:rPr>
        <w:t>Voyeurism (Offences) (No. 2) Bill</w:t>
      </w:r>
      <w:r w:rsidRPr="008A05DE">
        <w:rPr>
          <w:i/>
        </w:rPr>
        <w:t>. 5 September 2018, vol 646 c253</w:t>
      </w:r>
      <w:r>
        <w:t xml:space="preserve">. [ONLINE]. Available at: </w:t>
      </w:r>
      <w:hyperlink r:id="rId64" w:history="1">
        <w:r w:rsidRPr="009C3105">
          <w:rPr>
            <w:rStyle w:val="Hyperlink"/>
          </w:rPr>
          <w:t>https://hansard.parliament.uk/Commons/2018-09-05/debates/8318AB10-5160-49BF-9D8F-0C916C75EBE8/Voyeurism(Offences)(No2)Bill</w:t>
        </w:r>
      </w:hyperlink>
      <w:r>
        <w:t xml:space="preserve"> [accessed: 19 September 2018]. </w:t>
      </w:r>
    </w:p>
  </w:footnote>
  <w:footnote w:id="77">
    <w:p w14:paraId="54B5ECE3" w14:textId="3C30C9F3" w:rsidR="004F37B8" w:rsidRDefault="004F37B8">
      <w:pPr>
        <w:pStyle w:val="FootnoteText"/>
      </w:pPr>
      <w:r>
        <w:rPr>
          <w:rStyle w:val="FootnoteReference"/>
        </w:rPr>
        <w:footnoteRef/>
      </w:r>
      <w:r>
        <w:t xml:space="preserve"> </w:t>
      </w:r>
      <w:r>
        <w:rPr>
          <w:szCs w:val="24"/>
        </w:rPr>
        <w:t>The review was announced in September following a proposed amendment to the Voyeurism Bill (subsequently withdrawn) that called for misogyny to be made an aggravating factor in so-called up-skirting offences.</w:t>
      </w:r>
    </w:p>
  </w:footnote>
  <w:footnote w:id="78">
    <w:p w14:paraId="54A30C74" w14:textId="12472BFF" w:rsidR="004F37B8" w:rsidRDefault="004F37B8" w:rsidP="00C30F5A">
      <w:pPr>
        <w:pStyle w:val="FootnoteText"/>
      </w:pPr>
      <w:r>
        <w:rPr>
          <w:rStyle w:val="FootnoteReference"/>
        </w:rPr>
        <w:footnoteRef/>
      </w:r>
      <w:r>
        <w:t xml:space="preserve"> </w:t>
      </w:r>
      <w:r>
        <w:rPr>
          <w:szCs w:val="24"/>
        </w:rPr>
        <w:t xml:space="preserve">Law Commission. 2018. </w:t>
      </w:r>
      <w:r w:rsidRPr="008A05DE">
        <w:rPr>
          <w:i/>
          <w:szCs w:val="24"/>
        </w:rPr>
        <w:t>Law Commission review into hate crime announced</w:t>
      </w:r>
      <w:r>
        <w:rPr>
          <w:szCs w:val="24"/>
        </w:rPr>
        <w:t xml:space="preserve">. [ONLINE]. Available at: </w:t>
      </w:r>
      <w:hyperlink r:id="rId65" w:history="1">
        <w:r w:rsidRPr="00A57B02">
          <w:rPr>
            <w:rStyle w:val="Hyperlink"/>
            <w:szCs w:val="24"/>
          </w:rPr>
          <w:t>https://www.lawcom.gov.uk/law-commission-review-into-hate-crime-announced/</w:t>
        </w:r>
      </w:hyperlink>
      <w:r>
        <w:rPr>
          <w:szCs w:val="24"/>
        </w:rPr>
        <w:t xml:space="preserve"> [accessed: 7 November 2018].</w:t>
      </w:r>
    </w:p>
  </w:footnote>
  <w:footnote w:id="79">
    <w:p w14:paraId="0E219C7B" w14:textId="6D8D4699" w:rsidR="004F37B8" w:rsidRPr="00544E98" w:rsidRDefault="004F37B8" w:rsidP="00C30F5A">
      <w:pPr>
        <w:pStyle w:val="FootnoteText"/>
      </w:pPr>
      <w:r>
        <w:rPr>
          <w:rStyle w:val="FootnoteReference"/>
        </w:rPr>
        <w:footnoteRef/>
      </w:r>
      <w:r>
        <w:t xml:space="preserve"> Mullany, L. and Trickett, L. (2018), ‘</w:t>
      </w:r>
      <w:r w:rsidRPr="008A05DE">
        <w:t>Misogyny hate crime evaluation report</w:t>
      </w:r>
      <w:r>
        <w:t xml:space="preserve">’. Available at: </w:t>
      </w:r>
      <w:hyperlink r:id="rId66" w:history="1">
        <w:r w:rsidRPr="009C3105">
          <w:rPr>
            <w:rStyle w:val="Hyperlink"/>
          </w:rPr>
          <w:t>http://www.nottinghamwomenscentre.com/wp-content/uploads/2018/07/Misogyny-Hate-Crime-Evaluation-Report-June-2018.pdf</w:t>
        </w:r>
      </w:hyperlink>
      <w:r>
        <w:t xml:space="preserve"> [accessed: 19 September 2018].</w:t>
      </w:r>
    </w:p>
  </w:footnote>
  <w:footnote w:id="80">
    <w:p w14:paraId="5F2F0163" w14:textId="1BDE9664" w:rsidR="004F37B8" w:rsidRDefault="004F37B8" w:rsidP="00C30F5A">
      <w:pPr>
        <w:pStyle w:val="FootnoteText"/>
      </w:pPr>
      <w:r>
        <w:rPr>
          <w:rStyle w:val="FootnoteReference"/>
        </w:rPr>
        <w:footnoteRef/>
      </w:r>
      <w:r>
        <w:t xml:space="preserve"> Ibid, p. 14.</w:t>
      </w:r>
    </w:p>
  </w:footnote>
  <w:footnote w:id="81">
    <w:p w14:paraId="1DA3AAC4" w14:textId="1558BD11" w:rsidR="004F37B8" w:rsidRPr="000A4C5B" w:rsidRDefault="004F37B8" w:rsidP="00C30F5A">
      <w:pPr>
        <w:pStyle w:val="FootnoteText"/>
      </w:pPr>
      <w:r>
        <w:rPr>
          <w:rStyle w:val="FootnoteReference"/>
        </w:rPr>
        <w:footnoteRef/>
      </w:r>
      <w:r>
        <w:t xml:space="preserve"> Girlguiding (2018), ‘</w:t>
      </w:r>
      <w:r w:rsidRPr="00F701C2">
        <w:t>Girls’ Attitudes Survey 2018</w:t>
      </w:r>
      <w:r>
        <w:t>’</w:t>
      </w:r>
      <w:r>
        <w:rPr>
          <w:i/>
        </w:rPr>
        <w:t xml:space="preserve">. </w:t>
      </w:r>
      <w:r>
        <w:t xml:space="preserve">Available at: </w:t>
      </w:r>
      <w:hyperlink r:id="rId67" w:history="1">
        <w:r w:rsidRPr="007B582D">
          <w:rPr>
            <w:rStyle w:val="Hyperlink"/>
          </w:rPr>
          <w:t>https://www.girlguiding.org.uk/globalassets/docs-and-resources/research-and-campaigns/girls-attitudes-survey-2018.pdf</w:t>
        </w:r>
      </w:hyperlink>
      <w:r>
        <w:t xml:space="preserve"> [accessed: 21 September 2018].</w:t>
      </w:r>
    </w:p>
  </w:footnote>
  <w:footnote w:id="82">
    <w:p w14:paraId="2ADAD907" w14:textId="04F13997" w:rsidR="004F37B8" w:rsidRPr="000A4C5B" w:rsidRDefault="004F37B8" w:rsidP="00C30F5A">
      <w:pPr>
        <w:pStyle w:val="FootnoteText"/>
      </w:pPr>
      <w:r>
        <w:rPr>
          <w:rStyle w:val="FootnoteReference"/>
        </w:rPr>
        <w:footnoteRef/>
      </w:r>
      <w:r>
        <w:t xml:space="preserve"> Department for Digital, Culture, Media and Sport (2018), ‘</w:t>
      </w:r>
      <w:r w:rsidRPr="00F701C2">
        <w:t xml:space="preserve">Government response to the </w:t>
      </w:r>
      <w:r>
        <w:t>i</w:t>
      </w:r>
      <w:r w:rsidRPr="00F701C2">
        <w:t xml:space="preserve">nternet </w:t>
      </w:r>
      <w:r>
        <w:t>s</w:t>
      </w:r>
      <w:r w:rsidRPr="00F701C2">
        <w:t xml:space="preserve">afety </w:t>
      </w:r>
      <w:r>
        <w:t>s</w:t>
      </w:r>
      <w:r w:rsidRPr="00F701C2">
        <w:t xml:space="preserve">trategy </w:t>
      </w:r>
      <w:r>
        <w:t>g</w:t>
      </w:r>
      <w:r w:rsidRPr="00F701C2">
        <w:t xml:space="preserve">reen </w:t>
      </w:r>
      <w:r>
        <w:t>p</w:t>
      </w:r>
      <w:r w:rsidRPr="00F701C2">
        <w:t>aper</w:t>
      </w:r>
      <w:r>
        <w:t xml:space="preserve">’. Available at: </w:t>
      </w:r>
      <w:hyperlink r:id="rId68" w:history="1">
        <w:r w:rsidRPr="007B582D">
          <w:rPr>
            <w:rStyle w:val="Hyperlink"/>
          </w:rPr>
          <w:t>https://www.gov.uk/government/consultations/internet-safety-strategy-green-paper</w:t>
        </w:r>
      </w:hyperlink>
      <w:r>
        <w:t xml:space="preserve"> [accessed: 21 September 2018].</w:t>
      </w:r>
    </w:p>
  </w:footnote>
  <w:footnote w:id="83">
    <w:p w14:paraId="28C4A162" w14:textId="77777777" w:rsidR="004F37B8" w:rsidRPr="000A4C5B" w:rsidRDefault="004F37B8" w:rsidP="00C30F5A">
      <w:pPr>
        <w:pStyle w:val="FootnoteText"/>
      </w:pPr>
      <w:r>
        <w:rPr>
          <w:rStyle w:val="FootnoteReference"/>
        </w:rPr>
        <w:footnoteRef/>
      </w:r>
      <w:r>
        <w:t xml:space="preserve"> Ibid.</w:t>
      </w:r>
    </w:p>
  </w:footnote>
  <w:footnote w:id="84">
    <w:p w14:paraId="554F7EC2" w14:textId="0B9F5CDF" w:rsidR="004F37B8" w:rsidRPr="00610CCB" w:rsidRDefault="004F37B8" w:rsidP="00C30F5A">
      <w:pPr>
        <w:pStyle w:val="FootnoteText"/>
      </w:pPr>
      <w:r>
        <w:rPr>
          <w:rStyle w:val="FootnoteReference"/>
        </w:rPr>
        <w:footnoteRef/>
      </w:r>
      <w:r>
        <w:t xml:space="preserve"> Her Majesty’s Inspectorate of Constabulary and Fire &amp; Rescue Services (2018), ‘</w:t>
      </w:r>
      <w:r w:rsidRPr="00F701C2">
        <w:t>Understanding the difference: the initial police response to hate crime</w:t>
      </w:r>
      <w:r>
        <w:t xml:space="preserve">’. Available at: </w:t>
      </w:r>
      <w:hyperlink r:id="rId69" w:history="1">
        <w:r w:rsidRPr="009C3105">
          <w:rPr>
            <w:rStyle w:val="Hyperlink"/>
          </w:rPr>
          <w:t>https://www.justiceinspectorates.gov.uk/hmicfrs/wp-content/uploads/understanding-the-difference-the-initial-police-response-to-hate-crime.pdf</w:t>
        </w:r>
      </w:hyperlink>
      <w:r>
        <w:t xml:space="preserve"> [accessed: 19 September 2018]. The report noted: ‘</w:t>
      </w:r>
      <w:r w:rsidRPr="001B0510">
        <w:t>In the cases we looked at, 43 out of 180 (24 percent) had information missing about the victim that could have been used to help understand the nature of hate crime. We couldn’t tell whether the information was missing because the victim didn’t want to provide it, or whether the police had failed to ask the victim.</w:t>
      </w:r>
      <w:r>
        <w:t>’</w:t>
      </w:r>
    </w:p>
  </w:footnote>
  <w:footnote w:id="85">
    <w:p w14:paraId="65BEBE27" w14:textId="7BBAA0F6" w:rsidR="004F37B8" w:rsidRDefault="004F37B8" w:rsidP="00C30F5A">
      <w:pPr>
        <w:pStyle w:val="FootnoteText"/>
      </w:pPr>
      <w:r>
        <w:rPr>
          <w:rStyle w:val="FootnoteReference"/>
        </w:rPr>
        <w:footnoteRef/>
      </w:r>
      <w:r>
        <w:t xml:space="preserve"> Ibid., p. 17.</w:t>
      </w:r>
    </w:p>
  </w:footnote>
  <w:footnote w:id="86">
    <w:p w14:paraId="644BC85D" w14:textId="1880E03B" w:rsidR="004F37B8" w:rsidRPr="009A0F2D" w:rsidRDefault="004F37B8" w:rsidP="00C30F5A">
      <w:pPr>
        <w:pStyle w:val="FootnoteText"/>
      </w:pPr>
      <w:r>
        <w:rPr>
          <w:rStyle w:val="FootnoteReference"/>
        </w:rPr>
        <w:footnoteRef/>
      </w:r>
      <w:r>
        <w:t xml:space="preserve"> UK Parliament. 2018. </w:t>
      </w:r>
      <w:r w:rsidRPr="00F701C2">
        <w:rPr>
          <w:i/>
        </w:rPr>
        <w:t>Legal Aid Scheme:</w:t>
      </w:r>
      <w:r>
        <w:rPr>
          <w:i/>
        </w:rPr>
        <w:t xml:space="preserve"> w</w:t>
      </w:r>
      <w:r w:rsidRPr="00F701C2">
        <w:rPr>
          <w:i/>
        </w:rPr>
        <w:t xml:space="preserve">ritten question </w:t>
      </w:r>
      <w:r>
        <w:rPr>
          <w:i/>
        </w:rPr>
        <w:t>–</w:t>
      </w:r>
      <w:r w:rsidRPr="00F701C2">
        <w:rPr>
          <w:i/>
        </w:rPr>
        <w:t xml:space="preserve"> 169817</w:t>
      </w:r>
      <w:r>
        <w:t>.</w:t>
      </w:r>
      <w:r w:rsidRPr="00F701C2">
        <w:t xml:space="preserve"> </w:t>
      </w:r>
      <w:r>
        <w:t xml:space="preserve">[ONLINE] Available at: </w:t>
      </w:r>
      <w:hyperlink r:id="rId70" w:history="1">
        <w:r w:rsidRPr="009C3105">
          <w:rPr>
            <w:rStyle w:val="Hyperlink"/>
          </w:rPr>
          <w:t>https://www.parliament.uk/business/publications/written-questions-answers-statements/written-question/Commons/2018-09-03/169817</w:t>
        </w:r>
      </w:hyperlink>
      <w:r>
        <w:t xml:space="preserve"> [accessed: 19 September 2018].</w:t>
      </w:r>
      <w:r w:rsidRPr="00F63065">
        <w:rPr>
          <w:szCs w:val="24"/>
        </w:rPr>
        <w:t xml:space="preserve"> </w:t>
      </w:r>
      <w:r>
        <w:rPr>
          <w:szCs w:val="24"/>
        </w:rPr>
        <w:t xml:space="preserve">The Ministry of Justice convened a number of consultative groups as part of the review process, and has published the agendas for these meetings but not the organisations that are represented. See </w:t>
      </w:r>
      <w:r>
        <w:t xml:space="preserve">Ministry of Justice. 2018. </w:t>
      </w:r>
      <w:r w:rsidRPr="00D41F78">
        <w:rPr>
          <w:i/>
        </w:rPr>
        <w:t>Post-implementation review of LASPO</w:t>
      </w:r>
      <w:r>
        <w:t xml:space="preserve">. [ONLINE]. Available at: </w:t>
      </w:r>
      <w:hyperlink r:id="rId71" w:history="1">
        <w:r w:rsidRPr="009C3105">
          <w:rPr>
            <w:rStyle w:val="Hyperlink"/>
          </w:rPr>
          <w:t>https://www.gov.uk/government/publications/post-implementation-review-of-laspo</w:t>
        </w:r>
      </w:hyperlink>
      <w:r>
        <w:t xml:space="preserve"> [accessed: 19 September 2018]. </w:t>
      </w:r>
      <w:r>
        <w:rPr>
          <w:szCs w:val="24"/>
        </w:rPr>
        <w:t xml:space="preserve">The Parliamentary Under-Secretary of State for Justice confirmed there had been meetings with more than 70 organisations, including Women’s Aid. See Hansard 4 September 2018 vol. 646 col. 65WH. Available at: </w:t>
      </w:r>
      <w:hyperlink r:id="rId72" w:anchor="contribution-C9DCAB0E-7625-48F0-AAAD-D40BCD2F8D7C" w:history="1">
        <w:r w:rsidRPr="009C3105">
          <w:rPr>
            <w:rStyle w:val="Hyperlink"/>
            <w:szCs w:val="24"/>
          </w:rPr>
          <w:t>https://hansard.parliament.uk/Commons/2018-09-04/debates/B65C30AA-032A-4957-9064-EA19A3891488/LegalAidPost-ImplementationReview?highlight=%22legal%20aid%22#contribution-C9DCAB0E-7625-48F0-AAAD-D40BCD2F8D7C</w:t>
        </w:r>
      </w:hyperlink>
      <w:r>
        <w:rPr>
          <w:szCs w:val="24"/>
        </w:rPr>
        <w:t xml:space="preserve"> [accessed: 19 September 2018].</w:t>
      </w:r>
    </w:p>
  </w:footnote>
  <w:footnote w:id="87">
    <w:p w14:paraId="4A528208" w14:textId="2326FF11" w:rsidR="004F37B8" w:rsidRPr="00610823" w:rsidRDefault="004F37B8" w:rsidP="00C30F5A">
      <w:pPr>
        <w:pStyle w:val="FootnoteText"/>
        <w:rPr>
          <w:i/>
        </w:rPr>
      </w:pPr>
      <w:r>
        <w:rPr>
          <w:rStyle w:val="FootnoteReference"/>
        </w:rPr>
        <w:footnoteRef/>
      </w:r>
      <w:r>
        <w:t xml:space="preserve"> EHRC (2018), ‘</w:t>
      </w:r>
      <w:r w:rsidRPr="00C744E9">
        <w:t>Response to the post-implementation review of the Legal Aid, Sentencing and Punishment of Offenders Act 2012</w:t>
      </w:r>
      <w:r>
        <w:t>’</w:t>
      </w:r>
      <w:r>
        <w:rPr>
          <w:i/>
        </w:rPr>
        <w:t>.</w:t>
      </w:r>
      <w:r w:rsidRPr="00C744E9">
        <w:t xml:space="preserve"> </w:t>
      </w:r>
      <w:r>
        <w:t xml:space="preserve">Available at: </w:t>
      </w:r>
      <w:hyperlink r:id="rId73" w:history="1">
        <w:r w:rsidRPr="009C3105">
          <w:rPr>
            <w:rStyle w:val="Hyperlink"/>
          </w:rPr>
          <w:t>https://www.equalityhumanrights.com/sites/default/files/consultation-response-on-post-implementation-review-of-laspo-september-2018.doc</w:t>
        </w:r>
      </w:hyperlink>
      <w:r>
        <w:t xml:space="preserve"> [accessed: 19 September 2018].</w:t>
      </w:r>
      <w:r>
        <w:rPr>
          <w:i/>
        </w:rPr>
        <w:t xml:space="preserve"> </w:t>
      </w:r>
    </w:p>
  </w:footnote>
  <w:footnote w:id="88">
    <w:p w14:paraId="5A535C79" w14:textId="5BA54767" w:rsidR="004F37B8" w:rsidRPr="0099659D" w:rsidRDefault="004F37B8" w:rsidP="00C30F5A">
      <w:pPr>
        <w:pStyle w:val="FootnoteText"/>
      </w:pPr>
      <w:r>
        <w:rPr>
          <w:rStyle w:val="FootnoteReference"/>
        </w:rPr>
        <w:footnoteRef/>
      </w:r>
      <w:r>
        <w:t xml:space="preserve"> Organ, J. and Sigafoos, J. (2018), ‘</w:t>
      </w:r>
      <w:r w:rsidRPr="00C744E9">
        <w:t>The impact of LASPO on routes to justice</w:t>
      </w:r>
      <w:r>
        <w:t xml:space="preserve">’. Available at: </w:t>
      </w:r>
      <w:hyperlink r:id="rId74" w:history="1">
        <w:r w:rsidRPr="009C3105">
          <w:rPr>
            <w:rStyle w:val="Hyperlink"/>
          </w:rPr>
          <w:t>https://www.equalityhumanrights.com/en/publication-download/impact-laspo-routes-justice</w:t>
        </w:r>
      </w:hyperlink>
      <w:r>
        <w:t xml:space="preserve"> [accessed: 19 September 2018]. </w:t>
      </w:r>
    </w:p>
  </w:footnote>
  <w:footnote w:id="89">
    <w:p w14:paraId="4B0F798E" w14:textId="04D22719" w:rsidR="004F37B8" w:rsidRDefault="004F37B8" w:rsidP="00C30F5A">
      <w:pPr>
        <w:pStyle w:val="FootnoteText"/>
      </w:pPr>
      <w:r>
        <w:rPr>
          <w:rStyle w:val="FootnoteReference"/>
        </w:rPr>
        <w:footnoteRef/>
      </w:r>
      <w:r>
        <w:t xml:space="preserve"> Law Society (2018), ‘Proposed amendments to the statutory instrument: Civil Legal Aid (Procedure) (Amendment) (No. 2) Regulation 2017’. Available at: </w:t>
      </w:r>
      <w:hyperlink r:id="rId75" w:history="1">
        <w:r w:rsidRPr="00637BAA">
          <w:rPr>
            <w:rStyle w:val="Hyperlink"/>
          </w:rPr>
          <w:t>https://www.lawsociety.org.uk/policy-campaigns/consultation-responses/ministry-of-justice-laspo-part-1-post-implementation-review-law-society-response/</w:t>
        </w:r>
      </w:hyperlink>
      <w:r>
        <w:t xml:space="preserve"> [accessed: 29 October 2018].  </w:t>
      </w:r>
    </w:p>
  </w:footnote>
  <w:footnote w:id="90">
    <w:p w14:paraId="2BB71022" w14:textId="68893FCF" w:rsidR="004F37B8" w:rsidRDefault="004F37B8" w:rsidP="00C30F5A">
      <w:pPr>
        <w:pStyle w:val="FootnoteText"/>
      </w:pPr>
      <w:r>
        <w:rPr>
          <w:rStyle w:val="FootnoteReference"/>
        </w:rPr>
        <w:footnoteRef/>
      </w:r>
      <w:r>
        <w:t xml:space="preserve"> Ibid. </w:t>
      </w:r>
    </w:p>
  </w:footnote>
  <w:footnote w:id="91">
    <w:p w14:paraId="28F2B022" w14:textId="6EB120B1" w:rsidR="004F37B8" w:rsidRDefault="004F37B8" w:rsidP="00C30F5A">
      <w:pPr>
        <w:pStyle w:val="FootnoteText"/>
      </w:pPr>
      <w:r>
        <w:rPr>
          <w:rStyle w:val="FootnoteReference"/>
        </w:rPr>
        <w:footnoteRef/>
      </w:r>
      <w:r>
        <w:t xml:space="preserve"> Joint Committee on Human Rights (2018), ‘Enforcing human rights: tenth report of session 2017</w:t>
      </w:r>
      <w:r>
        <w:rPr>
          <w:rFonts w:cs="Arial"/>
        </w:rPr>
        <w:t>–</w:t>
      </w:r>
      <w:r>
        <w:t xml:space="preserve">19’. Available at </w:t>
      </w:r>
      <w:hyperlink r:id="rId76" w:history="1">
        <w:r w:rsidRPr="00637BAA">
          <w:rPr>
            <w:rStyle w:val="Hyperlink"/>
          </w:rPr>
          <w:t>https://publications.parliament.uk/pa/jt201719/jtselect/jtrights/669/669.pdf</w:t>
        </w:r>
      </w:hyperlink>
      <w:r>
        <w:t xml:space="preserve"> [accessed: 29 October 2018].</w:t>
      </w:r>
    </w:p>
  </w:footnote>
  <w:footnote w:id="92">
    <w:p w14:paraId="015BE2A5" w14:textId="60223E17" w:rsidR="004F37B8" w:rsidRDefault="004F37B8" w:rsidP="00C30F5A">
      <w:pPr>
        <w:pStyle w:val="FootnoteText"/>
      </w:pPr>
      <w:r>
        <w:rPr>
          <w:rStyle w:val="FootnoteReference"/>
        </w:rPr>
        <w:footnoteRef/>
      </w:r>
      <w:r>
        <w:t xml:space="preserve"> Welsh Government. 2017. </w:t>
      </w:r>
      <w:r w:rsidRPr="00A372CA">
        <w:rPr>
          <w:i/>
        </w:rPr>
        <w:t>First Minister establishes a Commission on Justice in Wales</w:t>
      </w:r>
      <w:r>
        <w:t>. [ONLINE]. Available at:</w:t>
      </w:r>
      <w:r w:rsidRPr="00A372CA">
        <w:t xml:space="preserve"> </w:t>
      </w:r>
      <w:hyperlink r:id="rId77" w:history="1">
        <w:r w:rsidRPr="006D14B8">
          <w:rPr>
            <w:rStyle w:val="Hyperlink"/>
          </w:rPr>
          <w:t>https://gov.wales/newsroom/firstminister/2017/170918-first-minister-establishes-commission-on-justice-in-wales/?lang=en</w:t>
        </w:r>
      </w:hyperlink>
      <w:r>
        <w:t xml:space="preserve"> [accessed: 6 December 2018]. </w:t>
      </w:r>
    </w:p>
  </w:footnote>
  <w:footnote w:id="93">
    <w:p w14:paraId="3D1282B2" w14:textId="65E01213" w:rsidR="004F37B8" w:rsidRDefault="004F37B8" w:rsidP="00A372CA">
      <w:pPr>
        <w:pStyle w:val="FootnoteText"/>
      </w:pPr>
      <w:r>
        <w:rPr>
          <w:rStyle w:val="FootnoteReference"/>
        </w:rPr>
        <w:footnoteRef/>
      </w:r>
      <w:r>
        <w:t xml:space="preserve"> Welsh Government. No date given. </w:t>
      </w:r>
      <w:r w:rsidRPr="00A372CA">
        <w:rPr>
          <w:i/>
        </w:rPr>
        <w:t>The Commission on Justice in Wales</w:t>
      </w:r>
      <w:r>
        <w:t xml:space="preserve">. [ONLINE]. Available at: </w:t>
      </w:r>
      <w:r w:rsidRPr="00A372CA">
        <w:t xml:space="preserve"> </w:t>
      </w:r>
      <w:hyperlink r:id="rId78" w:history="1">
        <w:r w:rsidRPr="006D14B8">
          <w:rPr>
            <w:rStyle w:val="Hyperlink"/>
          </w:rPr>
          <w:t>https://beta.gov.wales/commission-justice-wales</w:t>
        </w:r>
      </w:hyperlink>
      <w:r>
        <w:t xml:space="preserve"> [accessed: 6 December 2018].</w:t>
      </w:r>
    </w:p>
  </w:footnote>
  <w:footnote w:id="94">
    <w:p w14:paraId="0A2CCDB2" w14:textId="1C40242F" w:rsidR="004F37B8" w:rsidRPr="00A372CA" w:rsidRDefault="004F37B8" w:rsidP="00C30F5A">
      <w:pPr>
        <w:pStyle w:val="FootnoteText"/>
      </w:pPr>
      <w:r>
        <w:rPr>
          <w:rStyle w:val="FootnoteReference"/>
        </w:rPr>
        <w:footnoteRef/>
      </w:r>
      <w:r>
        <w:t xml:space="preserve"> EHRC’s full recommendations are included in EHRC (2018), ‘</w:t>
      </w:r>
      <w:r w:rsidRPr="00A372CA">
        <w:t>Response to the post-implementation review of LASPO</w:t>
      </w:r>
      <w:r>
        <w:t>’</w:t>
      </w:r>
      <w:r w:rsidRPr="00A372CA">
        <w:t xml:space="preserve">. </w:t>
      </w:r>
    </w:p>
  </w:footnote>
  <w:footnote w:id="95">
    <w:p w14:paraId="77B14BFB" w14:textId="63980DD5" w:rsidR="004F37B8" w:rsidRDefault="004F37B8">
      <w:pPr>
        <w:pStyle w:val="FootnoteText"/>
      </w:pPr>
      <w:r>
        <w:rPr>
          <w:rStyle w:val="FootnoteReference"/>
        </w:rPr>
        <w:footnoteRef/>
      </w:r>
      <w:r>
        <w:t xml:space="preserve"> </w:t>
      </w:r>
      <w:r w:rsidRPr="00E93D38">
        <w:t>Shortly after announcing these reforms, the UK Government announced a further policy change</w:t>
      </w:r>
      <w:r>
        <w:t>,</w:t>
      </w:r>
      <w:r w:rsidRPr="00E93D38">
        <w:t xml:space="preserve"> which was to reduce by almost 42% subsistence support </w:t>
      </w:r>
      <w:r>
        <w:t>payments provided to potential victims of t</w:t>
      </w:r>
      <w:r w:rsidRPr="00E93D38">
        <w:t xml:space="preserve">rafficking who are also applying for asylum in the UK. The </w:t>
      </w:r>
      <w:r>
        <w:t>h</w:t>
      </w:r>
      <w:r w:rsidRPr="00E93D38">
        <w:t xml:space="preserve">igh </w:t>
      </w:r>
      <w:r>
        <w:t>c</w:t>
      </w:r>
      <w:r w:rsidRPr="00E93D38">
        <w:t xml:space="preserve">ourt has now overturned this decision, ruling that the decision was discriminatory. </w:t>
      </w:r>
      <w:r>
        <w:t>See: Taylor, D. (2018),</w:t>
      </w:r>
      <w:r w:rsidRPr="00E93D38">
        <w:t xml:space="preserve"> ‘</w:t>
      </w:r>
      <w:r w:rsidRPr="00E93D38">
        <w:rPr>
          <w:lang w:val="en"/>
        </w:rPr>
        <w:t xml:space="preserve">Home Office faces £1m bill for shortchanging victims of trafficking’, </w:t>
      </w:r>
      <w:r w:rsidRPr="00E93D38">
        <w:rPr>
          <w:i/>
          <w:iCs/>
        </w:rPr>
        <w:t>The Guardian</w:t>
      </w:r>
      <w:r>
        <w:rPr>
          <w:iCs/>
        </w:rPr>
        <w:t>,</w:t>
      </w:r>
      <w:r w:rsidRPr="00E93D38">
        <w:rPr>
          <w:lang w:val="en"/>
        </w:rPr>
        <w:t xml:space="preserve"> 8 November. Available at: </w:t>
      </w:r>
      <w:hyperlink r:id="rId79" w:history="1">
        <w:r w:rsidRPr="00E93D38">
          <w:rPr>
            <w:rStyle w:val="Hyperlink"/>
          </w:rPr>
          <w:t>https://www.theguardian.com/law/2018/nov/08/cuts-to-trafficking-victims-support-payments-ruled-unlawful</w:t>
        </w:r>
      </w:hyperlink>
      <w:r w:rsidRPr="00E93D38">
        <w:t xml:space="preserve"> [accessed</w:t>
      </w:r>
      <w:r>
        <w:t>:</w:t>
      </w:r>
      <w:r w:rsidRPr="00E93D38">
        <w:t xml:space="preserve"> 29 November 2018</w:t>
      </w:r>
      <w:r>
        <w:t xml:space="preserve">]. </w:t>
      </w:r>
    </w:p>
  </w:footnote>
  <w:footnote w:id="96">
    <w:p w14:paraId="0F04AD9D" w14:textId="034EC03E" w:rsidR="004F37B8" w:rsidRDefault="004F37B8" w:rsidP="00C30F5A">
      <w:pPr>
        <w:pStyle w:val="FootnoteText"/>
      </w:pPr>
      <w:r>
        <w:rPr>
          <w:rStyle w:val="FootnoteReference"/>
        </w:rPr>
        <w:footnoteRef/>
      </w:r>
      <w:r>
        <w:t xml:space="preserve"> Home Office. 2018. </w:t>
      </w:r>
      <w:r w:rsidRPr="00A372CA">
        <w:rPr>
          <w:i/>
        </w:rPr>
        <w:t>Modern Slavery Taskforce agrees new measures to support victims</w:t>
      </w:r>
      <w:r>
        <w:t xml:space="preserve">. [ONLINE]. Available at: </w:t>
      </w:r>
      <w:hyperlink r:id="rId80" w:history="1">
        <w:r w:rsidRPr="00E97FB6">
          <w:rPr>
            <w:rStyle w:val="Hyperlink"/>
          </w:rPr>
          <w:t>https://www.gov.uk/government/news/modern-slavery-taskforce-agrees-new-measures-to-support-victims</w:t>
        </w:r>
      </w:hyperlink>
      <w:r>
        <w:rPr>
          <w:rStyle w:val="Hyperlink"/>
        </w:rPr>
        <w:t xml:space="preserve"> </w:t>
      </w:r>
      <w:r>
        <w:t>[accessed: 6 December 2018].</w:t>
      </w:r>
    </w:p>
  </w:footnote>
  <w:footnote w:id="97">
    <w:p w14:paraId="12479F20" w14:textId="49AF345F" w:rsidR="004F37B8" w:rsidRPr="007039FB" w:rsidRDefault="004F37B8">
      <w:pPr>
        <w:pStyle w:val="FootnoteText"/>
      </w:pPr>
      <w:r>
        <w:rPr>
          <w:rStyle w:val="FootnoteReference"/>
        </w:rPr>
        <w:footnoteRef/>
      </w:r>
      <w:r>
        <w:t xml:space="preserve"> EHRC. 2018. </w:t>
      </w:r>
      <w:r>
        <w:rPr>
          <w:i/>
        </w:rPr>
        <w:t>Pressing for progress: women’s rights and gender equality in 2018</w:t>
      </w:r>
      <w:r>
        <w:t xml:space="preserve">. [ONLINE]. Available at: </w:t>
      </w:r>
      <w:hyperlink r:id="rId81" w:history="1">
        <w:r w:rsidRPr="006F18A5">
          <w:rPr>
            <w:rStyle w:val="Hyperlink"/>
          </w:rPr>
          <w:t>https://www.equalityhumanrights.com/en/publication-download/pressing-progress-women%E2%80%99s-rights-and-gender-equality-2018</w:t>
        </w:r>
      </w:hyperlink>
      <w:r>
        <w:t xml:space="preserve"> [accessed: 7 December 2018].</w:t>
      </w:r>
    </w:p>
  </w:footnote>
  <w:footnote w:id="98">
    <w:p w14:paraId="27E02A8F" w14:textId="4F40F1C2" w:rsidR="004F37B8" w:rsidRDefault="004F37B8" w:rsidP="00C30F5A">
      <w:pPr>
        <w:pStyle w:val="FootnoteText"/>
      </w:pPr>
      <w:r>
        <w:rPr>
          <w:rStyle w:val="FootnoteReference"/>
        </w:rPr>
        <w:footnoteRef/>
      </w:r>
      <w:r>
        <w:t xml:space="preserve"> Home Office. 2018. </w:t>
      </w:r>
      <w:r w:rsidRPr="0061539A">
        <w:rPr>
          <w:i/>
        </w:rPr>
        <w:t>Review of the Modern Slavery Act 2015: terms of reference</w:t>
      </w:r>
      <w:r>
        <w:t xml:space="preserve">. [ONLINE]. Available at: </w:t>
      </w:r>
      <w:hyperlink r:id="rId82" w:history="1">
        <w:r w:rsidRPr="00723347">
          <w:rPr>
            <w:rStyle w:val="Hyperlink"/>
          </w:rPr>
          <w:t>https://www.gov.uk/government/publications/modern-slavery-act-2015-independent-review-terms-of-reference/review-of-the-modern-slavery-act-2015-terms-of-reference</w:t>
        </w:r>
      </w:hyperlink>
      <w:r>
        <w:t xml:space="preserve"> [accessed: 6 December 2018].</w:t>
      </w:r>
    </w:p>
  </w:footnote>
  <w:footnote w:id="99">
    <w:p w14:paraId="5DCD7781" w14:textId="6178FFE5" w:rsidR="004F37B8" w:rsidRDefault="004F37B8" w:rsidP="00C30F5A">
      <w:pPr>
        <w:pStyle w:val="FootnoteText"/>
      </w:pPr>
      <w:r>
        <w:rPr>
          <w:rStyle w:val="FootnoteReference"/>
        </w:rPr>
        <w:footnoteRef/>
      </w:r>
      <w:r>
        <w:t xml:space="preserve"> EHRC (2018), ‘</w:t>
      </w:r>
      <w:r w:rsidRPr="00B80967">
        <w:t>Pressing for progress: women’s rights and gender equality in 2018</w:t>
      </w:r>
      <w:r>
        <w:t xml:space="preserve">’. Available at: </w:t>
      </w:r>
      <w:hyperlink r:id="rId83" w:history="1">
        <w:r w:rsidRPr="00583831">
          <w:rPr>
            <w:rStyle w:val="Hyperlink"/>
          </w:rPr>
          <w:t>https://www.equalityhumanrights.com/en/publication-download/pressing-progress-women%E2%80%99s-rights-and-gender-equality-2018</w:t>
        </w:r>
      </w:hyperlink>
      <w:r>
        <w:t xml:space="preserve"> [accessed: 6 December 2018].</w:t>
      </w:r>
    </w:p>
  </w:footnote>
  <w:footnote w:id="100">
    <w:p w14:paraId="172885A8" w14:textId="1A262B73" w:rsidR="004F37B8" w:rsidRDefault="004F37B8" w:rsidP="0061539A">
      <w:pPr>
        <w:pStyle w:val="FootnoteText"/>
      </w:pPr>
      <w:r>
        <w:rPr>
          <w:rStyle w:val="FootnoteReference"/>
        </w:rPr>
        <w:footnoteRef/>
      </w:r>
      <w:r>
        <w:t xml:space="preserve"> Home Office. 2017. </w:t>
      </w:r>
      <w:r w:rsidRPr="0061539A">
        <w:rPr>
          <w:i/>
        </w:rPr>
        <w:t xml:space="preserve">Modern </w:t>
      </w:r>
      <w:r>
        <w:rPr>
          <w:i/>
        </w:rPr>
        <w:t>s</w:t>
      </w:r>
      <w:r w:rsidRPr="0061539A">
        <w:rPr>
          <w:i/>
        </w:rPr>
        <w:t xml:space="preserve">lavery </w:t>
      </w:r>
      <w:r>
        <w:rPr>
          <w:i/>
        </w:rPr>
        <w:t>victims to receive longer period</w:t>
      </w:r>
      <w:r w:rsidRPr="0061539A">
        <w:rPr>
          <w:i/>
        </w:rPr>
        <w:t xml:space="preserve"> of support</w:t>
      </w:r>
      <w:r>
        <w:t xml:space="preserve">. [ONLINE]. Available at: </w:t>
      </w:r>
      <w:hyperlink r:id="rId84" w:history="1">
        <w:r w:rsidRPr="006D14B8">
          <w:rPr>
            <w:rStyle w:val="Hyperlink"/>
          </w:rPr>
          <w:t>https://www.gov.uk/government/news/modern-slavery-victims-to-receive-longer-period-of-support</w:t>
        </w:r>
      </w:hyperlink>
      <w:r>
        <w:t xml:space="preserve"> [accessed: 6 December 2018]. </w:t>
      </w:r>
    </w:p>
  </w:footnote>
  <w:footnote w:id="101">
    <w:p w14:paraId="5F88F127" w14:textId="3394095A" w:rsidR="004F37B8" w:rsidRDefault="004F37B8" w:rsidP="00C30F5A">
      <w:pPr>
        <w:pStyle w:val="FootnoteText"/>
      </w:pPr>
      <w:r>
        <w:rPr>
          <w:rStyle w:val="FootnoteReference"/>
        </w:rPr>
        <w:footnoteRef/>
      </w:r>
      <w:r>
        <w:t xml:space="preserve"> See for example migrant domestic worker charity </w:t>
      </w:r>
      <w:r w:rsidRPr="002154A6">
        <w:t>Kalayaan and Anti-Slavery International</w:t>
      </w:r>
      <w:r>
        <w:t xml:space="preserve"> (2018), ‘</w:t>
      </w:r>
      <w:r w:rsidRPr="002154A6">
        <w:t xml:space="preserve">Kalayaan and Anti-Slavery International submission to the UN Special Rapporteur on </w:t>
      </w:r>
      <w:r>
        <w:t>c</w:t>
      </w:r>
      <w:r w:rsidRPr="002154A6">
        <w:t xml:space="preserve">ontemporary forms of </w:t>
      </w:r>
      <w:r>
        <w:t>s</w:t>
      </w:r>
      <w:r w:rsidRPr="002154A6">
        <w:t>lavery</w:t>
      </w:r>
      <w:r>
        <w:t xml:space="preserve">’. Available at: </w:t>
      </w:r>
      <w:hyperlink r:id="rId85" w:history="1">
        <w:r w:rsidRPr="002154A6">
          <w:rPr>
            <w:rStyle w:val="Hyperlink"/>
          </w:rPr>
          <w:t>http://www.kalayaan.org.uk/wp-content/uploads/2018/05/QuestionnaireNGOs_EN-17-05-2018-K-ASI.pdf</w:t>
        </w:r>
      </w:hyperlink>
      <w:r>
        <w:rPr>
          <w:rStyle w:val="Hyperlink"/>
        </w:rPr>
        <w:t xml:space="preserve"> </w:t>
      </w:r>
      <w:r>
        <w:t>[accessed: 6 December 2018].</w:t>
      </w:r>
    </w:p>
  </w:footnote>
  <w:footnote w:id="102">
    <w:p w14:paraId="23984B13" w14:textId="39FA2749" w:rsidR="004F37B8" w:rsidRPr="007D5BFF" w:rsidRDefault="004F37B8" w:rsidP="00C30F5A">
      <w:pPr>
        <w:pStyle w:val="FootnoteText"/>
      </w:pPr>
      <w:r>
        <w:rPr>
          <w:rStyle w:val="FootnoteReference"/>
        </w:rPr>
        <w:footnoteRef/>
      </w:r>
      <w:r>
        <w:t xml:space="preserve"> Prime Minister’s Office, 2018. </w:t>
      </w:r>
      <w:r w:rsidRPr="0061539A">
        <w:rPr>
          <w:i/>
          <w:lang w:val="en"/>
        </w:rPr>
        <w:t>Independent Anti-Slavery Commissioner: letter of resignation</w:t>
      </w:r>
      <w:r>
        <w:rPr>
          <w:lang w:val="en"/>
        </w:rPr>
        <w:t xml:space="preserve">. Available at: </w:t>
      </w:r>
      <w:hyperlink r:id="rId86" w:history="1">
        <w:r w:rsidRPr="007D5BFF">
          <w:rPr>
            <w:rStyle w:val="Hyperlink"/>
          </w:rPr>
          <w:t>https://www.gov.uk/government/publications/independent-anti-slavery-commissioner-letter-of-resignation</w:t>
        </w:r>
      </w:hyperlink>
      <w:r>
        <w:rPr>
          <w:lang w:val="en"/>
        </w:rPr>
        <w:t xml:space="preserve"> </w:t>
      </w:r>
      <w:r>
        <w:t>[accessed: 6 December 2018].</w:t>
      </w:r>
    </w:p>
  </w:footnote>
  <w:footnote w:id="103">
    <w:p w14:paraId="2484CC94" w14:textId="48428EDF" w:rsidR="004F37B8" w:rsidRDefault="004F37B8" w:rsidP="00C30F5A">
      <w:pPr>
        <w:pStyle w:val="FootnoteText"/>
      </w:pPr>
      <w:r>
        <w:rPr>
          <w:rStyle w:val="FootnoteReference"/>
        </w:rPr>
        <w:footnoteRef/>
      </w:r>
      <w:r>
        <w:t xml:space="preserve"> One of the matters dealt with by the Independent Anti-Slavery Commissioner, following the adoption of the MSA 2015, was to provide </w:t>
      </w:r>
      <w:r w:rsidRPr="004150C9">
        <w:t>as</w:t>
      </w:r>
      <w:r>
        <w:t>sistance and support to victims. However, the commissioner’s ability to carry out this (and other functions) was affected by restrictions to the powers and resources of his office. See: EHRC (2015), ‘</w:t>
      </w:r>
      <w:r w:rsidRPr="004150C9">
        <w:t xml:space="preserve">Civil and </w:t>
      </w:r>
      <w:r>
        <w:t>p</w:t>
      </w:r>
      <w:r w:rsidRPr="004150C9">
        <w:t xml:space="preserve">olitical </w:t>
      </w:r>
      <w:r>
        <w:t>r</w:t>
      </w:r>
      <w:r w:rsidRPr="004150C9">
        <w:t>ights in the UK</w:t>
      </w:r>
      <w:r>
        <w:t>:</w:t>
      </w:r>
      <w:r w:rsidRPr="004150C9">
        <w:t xml:space="preserve"> Equality and Human Rights Commission </w:t>
      </w:r>
      <w:r>
        <w:t>s</w:t>
      </w:r>
      <w:r w:rsidRPr="004150C9">
        <w:t>ubmission to the United Nations Human Rights Committee on the United Kingdom’s Implementation of the International Covenant on Civil and Political Rights</w:t>
      </w:r>
      <w:r>
        <w:t>’</w:t>
      </w:r>
      <w:r w:rsidRPr="004150C9">
        <w:t>, p. 30</w:t>
      </w:r>
      <w:r>
        <w:t xml:space="preserve">. Available at: </w:t>
      </w:r>
      <w:hyperlink r:id="rId87" w:history="1">
        <w:r w:rsidRPr="007C3D74">
          <w:rPr>
            <w:rStyle w:val="Hyperlink"/>
          </w:rPr>
          <w:t>https://www.equalityhumanrights.com/en/our-human-rights-work/monitoring-and-promoting-un-treaties/international-covenant-civil-and</w:t>
        </w:r>
      </w:hyperlink>
      <w:r>
        <w:t xml:space="preserve"> [accessed: 11 January 2019].</w:t>
      </w:r>
    </w:p>
  </w:footnote>
  <w:footnote w:id="104">
    <w:p w14:paraId="15A917D8" w14:textId="3C6FCB6B" w:rsidR="004F37B8" w:rsidRDefault="004F37B8" w:rsidP="00C30F5A">
      <w:pPr>
        <w:pStyle w:val="FootnoteText"/>
      </w:pPr>
      <w:r>
        <w:rPr>
          <w:rStyle w:val="FootnoteReference"/>
        </w:rPr>
        <w:footnoteRef/>
      </w:r>
      <w:r>
        <w:t xml:space="preserve"> Welsh Government. 2017. </w:t>
      </w:r>
      <w:r>
        <w:rPr>
          <w:i/>
        </w:rPr>
        <w:t>Written s</w:t>
      </w:r>
      <w:r w:rsidRPr="0061539A">
        <w:rPr>
          <w:i/>
        </w:rPr>
        <w:t xml:space="preserve">tatement </w:t>
      </w:r>
      <w:r>
        <w:rPr>
          <w:rFonts w:cs="Arial"/>
          <w:i/>
        </w:rPr>
        <w:t>–</w:t>
      </w:r>
      <w:r w:rsidRPr="0061539A">
        <w:rPr>
          <w:i/>
        </w:rPr>
        <w:t xml:space="preserve"> </w:t>
      </w:r>
      <w:r>
        <w:rPr>
          <w:i/>
        </w:rPr>
        <w:t>a</w:t>
      </w:r>
      <w:r w:rsidRPr="0061539A">
        <w:rPr>
          <w:i/>
        </w:rPr>
        <w:t xml:space="preserve"> </w:t>
      </w:r>
      <w:r>
        <w:rPr>
          <w:i/>
        </w:rPr>
        <w:t>f</w:t>
      </w:r>
      <w:r w:rsidRPr="0061539A">
        <w:rPr>
          <w:i/>
        </w:rPr>
        <w:t>air-</w:t>
      </w:r>
      <w:r>
        <w:rPr>
          <w:i/>
        </w:rPr>
        <w:t>w</w:t>
      </w:r>
      <w:r w:rsidRPr="0061539A">
        <w:rPr>
          <w:i/>
        </w:rPr>
        <w:t xml:space="preserve">ork </w:t>
      </w:r>
      <w:r>
        <w:rPr>
          <w:i/>
        </w:rPr>
        <w:t>f</w:t>
      </w:r>
      <w:r w:rsidRPr="0061539A">
        <w:rPr>
          <w:i/>
        </w:rPr>
        <w:t>uture for Wales</w:t>
      </w:r>
      <w:r>
        <w:t xml:space="preserve">. Available at: </w:t>
      </w:r>
      <w:r w:rsidRPr="0061539A">
        <w:t xml:space="preserve"> </w:t>
      </w:r>
      <w:hyperlink r:id="rId88" w:history="1">
        <w:r w:rsidRPr="00BB2AAD">
          <w:rPr>
            <w:rStyle w:val="Hyperlink"/>
          </w:rPr>
          <w:t>https://gov.wales/about/cabinet/cabinetstatements/2017/fairworkfutureforwales/?lang=en</w:t>
        </w:r>
      </w:hyperlink>
      <w:r>
        <w:t xml:space="preserve"> [accessed: 6 December 2018]. </w:t>
      </w:r>
    </w:p>
  </w:footnote>
  <w:footnote w:id="105">
    <w:p w14:paraId="3AD6492D" w14:textId="2FA996DC" w:rsidR="004F37B8" w:rsidRDefault="004F37B8" w:rsidP="00254203">
      <w:pPr>
        <w:pStyle w:val="FootnoteText"/>
      </w:pPr>
      <w:r>
        <w:rPr>
          <w:rStyle w:val="FootnoteReference"/>
        </w:rPr>
        <w:footnoteRef/>
      </w:r>
      <w:r>
        <w:t xml:space="preserve"> Ministry of Justice, (2018) ‘Female offender strategy’. Available at: </w:t>
      </w:r>
      <w:r w:rsidRPr="004616F3">
        <w:t>https://www.gov.uk/government/publications/female-offender-strategy</w:t>
      </w:r>
      <w:r>
        <w:t xml:space="preserve"> [accessed: 21 September 2018]. </w:t>
      </w:r>
    </w:p>
  </w:footnote>
  <w:footnote w:id="106">
    <w:p w14:paraId="49C219E4" w14:textId="71F92BA9" w:rsidR="004F37B8" w:rsidRDefault="004F37B8" w:rsidP="00254203">
      <w:pPr>
        <w:pStyle w:val="FootnoteText"/>
      </w:pPr>
      <w:r>
        <w:rPr>
          <w:rStyle w:val="FootnoteReference"/>
        </w:rPr>
        <w:footnoteRef/>
      </w:r>
      <w:r>
        <w:t xml:space="preserve"> Association of Police and Crime Commissioners (APCC) victims lead, Dame Vera Baird QC, welcomed the government’s female offender strategy but said: ‘H</w:t>
      </w:r>
      <w:r w:rsidRPr="008D4E0F">
        <w:t>owever, for the strategy to achieve its intentions it needs to be properly funded.</w:t>
      </w:r>
      <w:r>
        <w:t xml:space="preserve"> </w:t>
      </w:r>
      <w:r w:rsidRPr="008D4E0F">
        <w:t>The Ministry of Justice have handed back £50m to the Treasury that was earmarked for new prisons for women, as this building work is now rightly not happening, the money should be invested in to this strategy – that will show a real commitment from government that it wants this strategy to succeed.</w:t>
      </w:r>
      <w:r>
        <w:t xml:space="preserve">’ See: </w:t>
      </w:r>
      <w:hyperlink r:id="rId89" w:history="1">
        <w:r w:rsidRPr="00F57ED5">
          <w:rPr>
            <w:rStyle w:val="Hyperlink"/>
          </w:rPr>
          <w:t>http://www.apccs.police.uk/latest-news/apcc-victims-lead-dame-vera-baird-qc-welcomes-the-government-s-female-offenders-strategy/</w:t>
        </w:r>
      </w:hyperlink>
      <w:r>
        <w:t xml:space="preserve">. Members of the female offender strategy advisory board, including </w:t>
      </w:r>
      <w:r w:rsidRPr="006E6C5A">
        <w:t>Katharine Sacks-Jones, director of Agenda, the alliance for women and girls at risk, Anne Fox, chief executive of prisons charity Clinks,</w:t>
      </w:r>
      <w:r>
        <w:t xml:space="preserve"> Lord Bradley </w:t>
      </w:r>
      <w:r w:rsidRPr="006E6C5A">
        <w:t>and Lady Edwina Grosv</w:t>
      </w:r>
      <w:r>
        <w:t xml:space="preserve">enor, have expressed the same concern over funding. See: </w:t>
      </w:r>
      <w:r w:rsidRPr="004616F3">
        <w:t>Agenda</w:t>
      </w:r>
      <w:r>
        <w:t xml:space="preserve">. </w:t>
      </w:r>
      <w:r w:rsidRPr="004616F3">
        <w:t>2018</w:t>
      </w:r>
      <w:r>
        <w:t>.</w:t>
      </w:r>
      <w:r w:rsidRPr="004616F3">
        <w:t xml:space="preserve"> </w:t>
      </w:r>
      <w:r w:rsidRPr="00072EB8">
        <w:rPr>
          <w:i/>
        </w:rPr>
        <w:t xml:space="preserve">Open </w:t>
      </w:r>
      <w:r>
        <w:rPr>
          <w:i/>
        </w:rPr>
        <w:t>l</w:t>
      </w:r>
      <w:r w:rsidRPr="00072EB8">
        <w:rPr>
          <w:i/>
        </w:rPr>
        <w:t>etter to the Justice Secretary</w:t>
      </w:r>
      <w:r>
        <w:t xml:space="preserve">. [ONLINE]. Available at: </w:t>
      </w:r>
      <w:hyperlink r:id="rId90" w:history="1">
        <w:r w:rsidRPr="00F57ED5">
          <w:rPr>
            <w:rStyle w:val="Hyperlink"/>
          </w:rPr>
          <w:t>https://weareagenda.org/open-letter-to-justice-secretary/</w:t>
        </w:r>
      </w:hyperlink>
      <w:r>
        <w:t xml:space="preserve"> [accessed: 11 January 2019].</w:t>
      </w:r>
    </w:p>
  </w:footnote>
  <w:footnote w:id="107">
    <w:p w14:paraId="366811CD" w14:textId="00B2F917" w:rsidR="004F37B8" w:rsidRDefault="004F37B8" w:rsidP="00254203">
      <w:pPr>
        <w:pStyle w:val="FootnoteText"/>
      </w:pPr>
      <w:r>
        <w:rPr>
          <w:rStyle w:val="FootnoteReference"/>
        </w:rPr>
        <w:footnoteRef/>
      </w:r>
      <w:r>
        <w:t xml:space="preserve"> Ministry of Justice</w:t>
      </w:r>
      <w:r w:rsidRPr="004616F3">
        <w:t xml:space="preserve"> (2018), </w:t>
      </w:r>
      <w:r>
        <w:t xml:space="preserve">‘Publication of female offender strategy’. Available at: </w:t>
      </w:r>
      <w:hyperlink r:id="rId91" w:history="1">
        <w:r w:rsidRPr="00364D22">
          <w:rPr>
            <w:rStyle w:val="Hyperlink"/>
          </w:rPr>
          <w:t>https://weareagenda.org/wp-content/uploads/2018/07/Letter-from-David-Gauke-re-ABFO-letter-11.7.18.pdf</w:t>
        </w:r>
      </w:hyperlink>
      <w:r>
        <w:rPr>
          <w:rStyle w:val="Hyperlink"/>
          <w:sz w:val="24"/>
          <w:szCs w:val="22"/>
        </w:rPr>
        <w:t xml:space="preserve"> </w:t>
      </w:r>
      <w:r>
        <w:t>[a</w:t>
      </w:r>
      <w:r w:rsidRPr="004616F3">
        <w:t>ccess</w:t>
      </w:r>
      <w:r>
        <w:t>ed: 21 September 2018].</w:t>
      </w:r>
    </w:p>
  </w:footnote>
  <w:footnote w:id="108">
    <w:p w14:paraId="517FB45F" w14:textId="6A9F386E" w:rsidR="004F37B8" w:rsidRDefault="004F37B8" w:rsidP="00254203">
      <w:pPr>
        <w:pStyle w:val="FootnoteText"/>
      </w:pPr>
      <w:r>
        <w:rPr>
          <w:rStyle w:val="FootnoteReference"/>
        </w:rPr>
        <w:footnoteRef/>
      </w:r>
      <w:r>
        <w:t xml:space="preserve"> Clinks. 2018. </w:t>
      </w:r>
      <w:r w:rsidRPr="00072EB8">
        <w:rPr>
          <w:i/>
        </w:rPr>
        <w:t xml:space="preserve">Ensuring a distinct approach: the </w:t>
      </w:r>
      <w:r>
        <w:rPr>
          <w:i/>
        </w:rPr>
        <w:t>M</w:t>
      </w:r>
      <w:r w:rsidRPr="00072EB8">
        <w:rPr>
          <w:i/>
        </w:rPr>
        <w:t xml:space="preserve">inistry of </w:t>
      </w:r>
      <w:r>
        <w:rPr>
          <w:i/>
        </w:rPr>
        <w:t>J</w:t>
      </w:r>
      <w:r w:rsidRPr="00072EB8">
        <w:rPr>
          <w:i/>
        </w:rPr>
        <w:t>ustice launch their female offender strategy</w:t>
      </w:r>
      <w:r>
        <w:t xml:space="preserve"> [ONLINE] Available at: </w:t>
      </w:r>
      <w:r w:rsidRPr="0089111F">
        <w:t>https://www.clinks.org/community/blog-posts/ensuring-distinct-approach-ministry-justice-launch-their-female-offender</w:t>
      </w:r>
      <w:r>
        <w:t xml:space="preserve"> [accessed: 18 September 2018]. </w:t>
      </w:r>
    </w:p>
  </w:footnote>
  <w:footnote w:id="109">
    <w:p w14:paraId="2B37849E" w14:textId="5D30A799" w:rsidR="004F37B8" w:rsidRDefault="004F37B8" w:rsidP="00254203">
      <w:pPr>
        <w:pStyle w:val="FootnoteText"/>
      </w:pPr>
      <w:r>
        <w:rPr>
          <w:rStyle w:val="FootnoteReference"/>
        </w:rPr>
        <w:footnoteRef/>
      </w:r>
      <w:r>
        <w:t xml:space="preserve"> Ministry of Justice (2018), ‘Female offender strategy’, para 154. Available at: </w:t>
      </w:r>
      <w:r w:rsidRPr="000454CA">
        <w:t>https://assets.publishing.service.gov.uk/government/uploads/system/uploads/attachment_data/file/719819/female-offender-strategy.pdf</w:t>
      </w:r>
      <w:r>
        <w:t xml:space="preserve"> [accessed: 19 September 2018].</w:t>
      </w:r>
    </w:p>
  </w:footnote>
  <w:footnote w:id="110">
    <w:p w14:paraId="0BE76EA7" w14:textId="0D8D498D" w:rsidR="004F37B8" w:rsidRDefault="004F37B8" w:rsidP="00254203">
      <w:pPr>
        <w:pStyle w:val="FootnoteText"/>
      </w:pPr>
      <w:r>
        <w:rPr>
          <w:rStyle w:val="FootnoteReference"/>
        </w:rPr>
        <w:footnoteRef/>
      </w:r>
      <w:r>
        <w:t xml:space="preserve"> Ministry of Justice. 2018. </w:t>
      </w:r>
      <w:r w:rsidRPr="00072EB8">
        <w:rPr>
          <w:i/>
        </w:rPr>
        <w:t>Vulnerable offenders steered towards treatment</w:t>
      </w:r>
      <w:r>
        <w:rPr>
          <w:i/>
        </w:rPr>
        <w:t xml:space="preserve">. </w:t>
      </w:r>
      <w:r>
        <w:t xml:space="preserve">[ONLINE]. Available at: </w:t>
      </w:r>
      <w:r w:rsidRPr="000454CA">
        <w:t>https://www.gov.uk/government/news/vulnerable-offenders-steered-towards-treatment</w:t>
      </w:r>
      <w:r>
        <w:t xml:space="preserve"> [accessed: 21 September 2018].</w:t>
      </w:r>
    </w:p>
  </w:footnote>
  <w:footnote w:id="111">
    <w:p w14:paraId="59DDDB23" w14:textId="77777777" w:rsidR="004F37B8" w:rsidRDefault="004F37B8" w:rsidP="00254203">
      <w:pPr>
        <w:pStyle w:val="FootnoteText"/>
      </w:pPr>
      <w:r>
        <w:rPr>
          <w:rStyle w:val="FootnoteReference"/>
        </w:rPr>
        <w:footnoteRef/>
      </w:r>
      <w:r>
        <w:t xml:space="preserve"> Ibid. See comments on parity of waiting times and minimum standards.</w:t>
      </w:r>
    </w:p>
  </w:footnote>
  <w:footnote w:id="112">
    <w:p w14:paraId="2F2CA9BA" w14:textId="646C3FA4" w:rsidR="004F37B8" w:rsidRDefault="004F37B8" w:rsidP="00254203">
      <w:pPr>
        <w:pStyle w:val="FootnoteText"/>
      </w:pPr>
      <w:r>
        <w:rPr>
          <w:rStyle w:val="FootnoteReference"/>
        </w:rPr>
        <w:footnoteRef/>
      </w:r>
      <w:r>
        <w:t xml:space="preserve"> Joint Committee on Human Rights (2018), ‘Annex: Community sentence treatment requirements’. Available at: </w:t>
      </w:r>
      <w:r w:rsidRPr="0071510B">
        <w:t>https://publications.parliament.uk/pa/jt201719/jtselect/jtrights/753/75303.htm</w:t>
      </w:r>
      <w:r>
        <w:t xml:space="preserve"> [accessed: 21 September 2018].</w:t>
      </w:r>
    </w:p>
  </w:footnote>
  <w:footnote w:id="113">
    <w:p w14:paraId="5F782081" w14:textId="0616AAB1" w:rsidR="004F37B8" w:rsidRDefault="004F37B8" w:rsidP="00254203">
      <w:pPr>
        <w:pStyle w:val="FootnoteText"/>
      </w:pPr>
      <w:r>
        <w:rPr>
          <w:rStyle w:val="FootnoteReference"/>
        </w:rPr>
        <w:footnoteRef/>
      </w:r>
      <w:r>
        <w:t xml:space="preserve"> Convention on the Rights of Persons with Disabilities (2014), ‘General comment 1 para 31’. Also p</w:t>
      </w:r>
      <w:r w:rsidRPr="00044334">
        <w:t>ara</w:t>
      </w:r>
      <w:r>
        <w:t>s</w:t>
      </w:r>
      <w:r w:rsidRPr="00044334">
        <w:t>. 21 and 42</w:t>
      </w:r>
      <w:r>
        <w:t xml:space="preserve">. Available at: </w:t>
      </w:r>
      <w:r w:rsidRPr="00EB632A">
        <w:t>https://tbinternet.ohchr.org/_layouts/treatybodyexternal/Download.aspx?symbolno=CRPD/C/GC/1</w:t>
      </w:r>
      <w:r w:rsidRPr="00EB632A" w:rsidDel="00EB632A">
        <w:t xml:space="preserve"> </w:t>
      </w:r>
      <w:r>
        <w:t xml:space="preserve">[accessed: 1 November 2018]. See also guidelines on Article 14, especially paras 15 and 22. Available at: </w:t>
      </w:r>
      <w:r w:rsidRPr="00EB632A">
        <w:t>https://www.ohchr.org/EN/HRBodies/CRPD/Pages/Guidelines.aspx</w:t>
      </w:r>
      <w:r>
        <w:t xml:space="preserve"> [accessed: 1 November 2018]</w:t>
      </w:r>
    </w:p>
  </w:footnote>
  <w:footnote w:id="114">
    <w:p w14:paraId="1E83F033" w14:textId="332971B7" w:rsidR="004F37B8" w:rsidRPr="00FA0D81" w:rsidRDefault="004F37B8" w:rsidP="00254203">
      <w:pPr>
        <w:pStyle w:val="FootnoteText"/>
      </w:pPr>
      <w:r>
        <w:rPr>
          <w:rStyle w:val="FootnoteReference"/>
        </w:rPr>
        <w:footnoteRef/>
      </w:r>
      <w:r>
        <w:t xml:space="preserve"> Secretary of State for Justice v. MM; Welsh Ministers v PJ [2017] EWCA Civ 194, concerning Article 5 ECHR. Available at: </w:t>
      </w:r>
      <w:r w:rsidRPr="00A1491D">
        <w:t xml:space="preserve">http://www.bailii.org/ew/cases/EWCA/Civ/2017/194.html </w:t>
      </w:r>
      <w:r>
        <w:t xml:space="preserve">[accessed: 21 September 2018]. Here is a parallel issue about consent in relation to related ECHR rights. </w:t>
      </w:r>
      <w:r w:rsidRPr="00593E41">
        <w:t xml:space="preserve">As the Mental Health Act </w:t>
      </w:r>
      <w:r>
        <w:t>c</w:t>
      </w:r>
      <w:r w:rsidRPr="00593E41">
        <w:t xml:space="preserve">ode of </w:t>
      </w:r>
      <w:r>
        <w:t>p</w:t>
      </w:r>
      <w:r w:rsidRPr="00593E41">
        <w:t xml:space="preserve">ractice reminds us, there is a danger in mental health specialist care that </w:t>
      </w:r>
      <w:r>
        <w:t>‘</w:t>
      </w:r>
      <w:r w:rsidRPr="00593E41">
        <w:t>the threat of detention must not be used to coerce a patient to consent to admission to hospital or to treatment</w:t>
      </w:r>
      <w:r>
        <w:t>’</w:t>
      </w:r>
      <w:r w:rsidRPr="00593E41">
        <w:t xml:space="preserve">. The </w:t>
      </w:r>
      <w:r>
        <w:t>c</w:t>
      </w:r>
      <w:r w:rsidRPr="00593E41">
        <w:t xml:space="preserve">ode goes on to suggest that the threat of coercion </w:t>
      </w:r>
      <w:r>
        <w:t>‘</w:t>
      </w:r>
      <w:r w:rsidRPr="00593E41">
        <w:t>is likely to invalidate any apparent consent</w:t>
      </w:r>
      <w:r>
        <w:t>’</w:t>
      </w:r>
      <w:r w:rsidRPr="00593E41">
        <w:t xml:space="preserve"> (see </w:t>
      </w:r>
      <w:r>
        <w:t>subsection</w:t>
      </w:r>
      <w:r w:rsidRPr="00593E41">
        <w:t xml:space="preserve">14.17 of the </w:t>
      </w:r>
      <w:r>
        <w:t>c</w:t>
      </w:r>
      <w:r w:rsidRPr="00593E41">
        <w:t>ode): we agree.</w:t>
      </w:r>
      <w:r>
        <w:t xml:space="preserve"> This case is currently subject to an appeal in the Supreme Court.</w:t>
      </w:r>
    </w:p>
  </w:footnote>
  <w:footnote w:id="115">
    <w:p w14:paraId="0F0E5EF7" w14:textId="57FC3D5D" w:rsidR="004F37B8" w:rsidRDefault="004F37B8" w:rsidP="000B4B0D">
      <w:pPr>
        <w:pStyle w:val="FootnoteText"/>
      </w:pPr>
      <w:r>
        <w:rPr>
          <w:rStyle w:val="FootnoteReference"/>
        </w:rPr>
        <w:footnoteRef/>
      </w:r>
      <w:r>
        <w:t xml:space="preserve"> United Nations Office on Drugs and Crime (2011), ‘The Bangkok Rules’. Available at: </w:t>
      </w:r>
      <w:hyperlink r:id="rId92" w:history="1">
        <w:r w:rsidRPr="00870091">
          <w:rPr>
            <w:rStyle w:val="Hyperlink"/>
          </w:rPr>
          <w:t>https://www.unodc.org/documents/justice-and-prison-reform/Bangkok_Rules_ENG_22032015.pdf</w:t>
        </w:r>
      </w:hyperlink>
      <w:r>
        <w:t xml:space="preserve"> [accessed: 5 December 2018].</w:t>
      </w:r>
    </w:p>
  </w:footnote>
  <w:footnote w:id="116">
    <w:p w14:paraId="46A28741" w14:textId="7E5275E2" w:rsidR="004F37B8" w:rsidRDefault="004F37B8" w:rsidP="00254203">
      <w:pPr>
        <w:pStyle w:val="FootnoteText"/>
      </w:pPr>
      <w:r>
        <w:rPr>
          <w:rStyle w:val="FootnoteReference"/>
        </w:rPr>
        <w:footnoteRef/>
      </w:r>
      <w:r>
        <w:t xml:space="preserve"> Ministry of Justice (2018), ‘</w:t>
      </w:r>
      <w:r>
        <w:rPr>
          <w:lang w:val="en"/>
        </w:rPr>
        <w:t xml:space="preserve">Offender management statistics quarterly: April to June 2018’. Available at: </w:t>
      </w:r>
      <w:r w:rsidRPr="00A92030">
        <w:rPr>
          <w:lang w:val="en"/>
        </w:rPr>
        <w:t xml:space="preserve">https://www.gov.uk/government/statistics/offender-management-statistics-quarterly-april-to-june-2018 </w:t>
      </w:r>
      <w:r>
        <w:rPr>
          <w:lang w:val="en"/>
        </w:rPr>
        <w:t>[accessed: 23 November 2018].</w:t>
      </w:r>
    </w:p>
  </w:footnote>
  <w:footnote w:id="117">
    <w:p w14:paraId="642BA154" w14:textId="394934B4" w:rsidR="004F37B8" w:rsidRDefault="004F37B8" w:rsidP="00254203">
      <w:pPr>
        <w:pStyle w:val="FootnoteText"/>
      </w:pPr>
      <w:r>
        <w:rPr>
          <w:rStyle w:val="FootnoteReference"/>
        </w:rPr>
        <w:footnoteRef/>
      </w:r>
      <w:r>
        <w:t xml:space="preserve"> House of Commons (2018), ‘UK prisons population statistics, n</w:t>
      </w:r>
      <w:r w:rsidRPr="000D0195">
        <w:t>umber CBP-04334</w:t>
      </w:r>
      <w:r>
        <w:t xml:space="preserve">, 23 July 2018’. Available at: </w:t>
      </w:r>
      <w:hyperlink r:id="rId93" w:history="1">
        <w:r w:rsidRPr="00AC4313">
          <w:rPr>
            <w:rStyle w:val="Hyperlink"/>
          </w:rPr>
          <w:t>https://researchbriefings.parliament.uk/ResearchBriefing/Summary/SN04334</w:t>
        </w:r>
      </w:hyperlink>
      <w:r>
        <w:t xml:space="preserve"> [accessed: 16 November 2018]. General population figures from 2011 Census of England and Wales.</w:t>
      </w:r>
    </w:p>
  </w:footnote>
  <w:footnote w:id="118">
    <w:p w14:paraId="78D8EFC0" w14:textId="2365EEB8" w:rsidR="004F37B8" w:rsidRDefault="004F37B8" w:rsidP="00254203">
      <w:pPr>
        <w:pStyle w:val="FootnoteText"/>
      </w:pPr>
      <w:r>
        <w:rPr>
          <w:rStyle w:val="FootnoteReference"/>
        </w:rPr>
        <w:footnoteRef/>
      </w:r>
      <w:r>
        <w:t xml:space="preserve"> </w:t>
      </w:r>
      <w:r w:rsidRPr="00105795">
        <w:t>P</w:t>
      </w:r>
      <w:r>
        <w:t xml:space="preserve">rison </w:t>
      </w:r>
      <w:r w:rsidRPr="00105795">
        <w:t>R</w:t>
      </w:r>
      <w:r>
        <w:t xml:space="preserve">eform </w:t>
      </w:r>
      <w:r w:rsidRPr="00105795">
        <w:t>T</w:t>
      </w:r>
      <w:r>
        <w:t>rust</w:t>
      </w:r>
      <w:r w:rsidRPr="00105795">
        <w:t xml:space="preserve"> (2017)</w:t>
      </w:r>
      <w:r>
        <w:t>,</w:t>
      </w:r>
      <w:r w:rsidRPr="00105795">
        <w:t xml:space="preserve"> </w:t>
      </w:r>
      <w:r>
        <w:t>‘</w:t>
      </w:r>
      <w:r w:rsidRPr="00105795">
        <w:t xml:space="preserve">Counted </w:t>
      </w:r>
      <w:r>
        <w:t>o</w:t>
      </w:r>
      <w:r w:rsidRPr="00105795">
        <w:t>ut: Black, Asian and minority ethnic women in the criminal justice system</w:t>
      </w:r>
      <w:r>
        <w:t xml:space="preserve">’. Available at: </w:t>
      </w:r>
      <w:r w:rsidRPr="00A92030">
        <w:t>http://www.prisonreformtrust.org.uk/Portals/0/Documents/Counted%20Out.pdf</w:t>
      </w:r>
      <w:r w:rsidRPr="00105795">
        <w:t xml:space="preserve"> </w:t>
      </w:r>
      <w:r>
        <w:t>[</w:t>
      </w:r>
      <w:r w:rsidRPr="00105795">
        <w:t>accessed</w:t>
      </w:r>
      <w:r>
        <w:t xml:space="preserve">: </w:t>
      </w:r>
      <w:r w:rsidRPr="00105795">
        <w:t>31 October 2018</w:t>
      </w:r>
      <w:r>
        <w:t>]. General population figures from 2011 Census of England and Wales.</w:t>
      </w:r>
    </w:p>
  </w:footnote>
  <w:footnote w:id="119">
    <w:p w14:paraId="35728998" w14:textId="67C15520" w:rsidR="004F37B8" w:rsidRDefault="004F37B8" w:rsidP="00254203">
      <w:pPr>
        <w:pStyle w:val="FootnoteText"/>
      </w:pPr>
      <w:r>
        <w:rPr>
          <w:rStyle w:val="FootnoteReference"/>
        </w:rPr>
        <w:footnoteRef/>
      </w:r>
      <w:r>
        <w:t xml:space="preserve"> Ministry of Justice (2018), ‘</w:t>
      </w:r>
      <w:r>
        <w:rPr>
          <w:lang w:val="en"/>
        </w:rPr>
        <w:t xml:space="preserve">Offender management statistics quarterly: April to June 2018’. Available at: </w:t>
      </w:r>
      <w:r w:rsidRPr="00A92030">
        <w:rPr>
          <w:lang w:val="en"/>
        </w:rPr>
        <w:t xml:space="preserve">https://www.gov.uk/government/statistics/offender-management-statistics-quarterly-april-to-june-2018 </w:t>
      </w:r>
      <w:r>
        <w:rPr>
          <w:lang w:val="en"/>
        </w:rPr>
        <w:t>[accessed: 23 November 2018].</w:t>
      </w:r>
    </w:p>
  </w:footnote>
  <w:footnote w:id="120">
    <w:p w14:paraId="061554FA" w14:textId="77777777" w:rsidR="004F37B8" w:rsidRDefault="004F37B8" w:rsidP="00254203">
      <w:pPr>
        <w:pStyle w:val="FootnoteText"/>
      </w:pPr>
      <w:r>
        <w:rPr>
          <w:rStyle w:val="FootnoteReference"/>
        </w:rPr>
        <w:footnoteRef/>
      </w:r>
      <w:r>
        <w:t xml:space="preserve"> Ibid.</w:t>
      </w:r>
    </w:p>
  </w:footnote>
  <w:footnote w:id="121">
    <w:p w14:paraId="7B69BC9B" w14:textId="2EEA47A1" w:rsidR="004F37B8" w:rsidRDefault="004F37B8" w:rsidP="00254203">
      <w:pPr>
        <w:pStyle w:val="FootnoteText"/>
      </w:pPr>
      <w:r>
        <w:rPr>
          <w:rStyle w:val="FootnoteReference"/>
        </w:rPr>
        <w:footnoteRef/>
      </w:r>
      <w:r>
        <w:t xml:space="preserve"> Office for National Statistics (2018), ‘Reporting on the Sustainable Development Goals: People on remand in custody in England and Wales’. Available at: </w:t>
      </w:r>
      <w:r w:rsidRPr="00FA09FD">
        <w:t>https://www.ons.gov.uk/peoplepopulationandcommunity/crimeandjustice/articles/reportingonthesustainabledevelopmentgoalspeopleonremandincustodyinenglandandwales/2018-08-03#differences-between-men-and-women-on-remand-in-custody-in-england-and-wales</w:t>
      </w:r>
      <w:r>
        <w:t xml:space="preserve"> [accessed: 31 October 2018]. The female offender strategy (endnote 62) says that a</w:t>
      </w:r>
      <w:r w:rsidRPr="00343284">
        <w:t xml:space="preserve">t 31 March 2018, 15% of women in prison were on remand and 13% were on sentences of fewer than 12 months, with 7% in prison for recall. Women on sentences of between 12 months </w:t>
      </w:r>
      <w:r>
        <w:t>and four</w:t>
      </w:r>
      <w:r w:rsidRPr="00343284">
        <w:t xml:space="preserve"> years made up 26% of the prison population, and a further 28% were those on sentences of </w:t>
      </w:r>
      <w:r>
        <w:t>four</w:t>
      </w:r>
      <w:r w:rsidRPr="00343284">
        <w:t xml:space="preserve"> years or more, with 9% on life or </w:t>
      </w:r>
      <w:r>
        <w:t>imprisonment for public protection (</w:t>
      </w:r>
      <w:r w:rsidRPr="00343284">
        <w:t>IPP</w:t>
      </w:r>
      <w:r>
        <w:t>)</w:t>
      </w:r>
      <w:r w:rsidRPr="00343284">
        <w:t xml:space="preserve"> sentences</w:t>
      </w:r>
      <w:r>
        <w:t>.</w:t>
      </w:r>
    </w:p>
  </w:footnote>
  <w:footnote w:id="122">
    <w:p w14:paraId="22757295" w14:textId="0DA345AC" w:rsidR="004F37B8" w:rsidRDefault="004F37B8" w:rsidP="00254203">
      <w:pPr>
        <w:pStyle w:val="FootnoteText"/>
      </w:pPr>
      <w:r>
        <w:rPr>
          <w:rStyle w:val="FootnoteReference"/>
        </w:rPr>
        <w:footnoteRef/>
      </w:r>
      <w:r>
        <w:t xml:space="preserve"> Ministry of Justice (2018), ‘Female offender strategy’, para. 59. Available at: </w:t>
      </w:r>
      <w:r w:rsidRPr="00FA09FD">
        <w:t>https://assets.publishing.service.gov.uk/government/uploads/system/uploads/attachment_data/file/719819/female-offender-strategy.pdf</w:t>
      </w:r>
      <w:r>
        <w:t xml:space="preserve"> [accessed: 31 October 2018].</w:t>
      </w:r>
    </w:p>
  </w:footnote>
  <w:footnote w:id="123">
    <w:p w14:paraId="0EB983BE" w14:textId="2D0E58EA" w:rsidR="004F37B8" w:rsidRDefault="004F37B8" w:rsidP="00254203">
      <w:pPr>
        <w:pStyle w:val="FootnoteText"/>
      </w:pPr>
      <w:r>
        <w:rPr>
          <w:rStyle w:val="FootnoteReference"/>
        </w:rPr>
        <w:footnoteRef/>
      </w:r>
      <w:r>
        <w:t xml:space="preserve"> Prison Reform Trust (2015), ‘Why focus on reducing women's imprisonment?: A Prison Reform Trust briefing’. Available at: </w:t>
      </w:r>
      <w:r w:rsidRPr="00FA09FD">
        <w:t>http://www.prisonreformtrust.org.uk/Portals/0/Documents/why%20focus%20on%20reducing%20women%27s%20imprisonment%20BL.pdf</w:t>
      </w:r>
      <w:r>
        <w:t xml:space="preserve"> [accessed: 31 October 2018]. </w:t>
      </w:r>
      <w:r w:rsidRPr="00E836F2">
        <w:t xml:space="preserve">Women prisoners are far more likely to be primary carers of children. </w:t>
      </w:r>
      <w:r w:rsidRPr="00F47720">
        <w:t>Surveying Prisoner Crime Reduction</w:t>
      </w:r>
      <w:r w:rsidRPr="00F47720" w:rsidDel="00F47720">
        <w:t xml:space="preserve"> </w:t>
      </w:r>
      <w:r w:rsidRPr="00E836F2">
        <w:t xml:space="preserve">found that six in </w:t>
      </w:r>
      <w:r>
        <w:t>10</w:t>
      </w:r>
      <w:r w:rsidRPr="00E836F2">
        <w:t xml:space="preserve"> women in prison had (on aver</w:t>
      </w:r>
      <w:r>
        <w:t xml:space="preserve">age two) dependent children. </w:t>
      </w:r>
      <w:r w:rsidRPr="00E836F2">
        <w:t>One fifth are lone parents before imprisonment. In 2010, more than 17,000 children were separated from th</w:t>
      </w:r>
      <w:r>
        <w:t xml:space="preserve">eir mothers by imprisonment. </w:t>
      </w:r>
      <w:r w:rsidRPr="00E836F2">
        <w:t xml:space="preserve">For eight out of </w:t>
      </w:r>
      <w:r>
        <w:t>10</w:t>
      </w:r>
      <w:r w:rsidRPr="00E836F2">
        <w:t xml:space="preserve"> children, it’s the first time they have been separated from their mu</w:t>
      </w:r>
      <w:r>
        <w:t xml:space="preserve">ms for more than a day or so. </w:t>
      </w:r>
      <w:r w:rsidRPr="00E836F2">
        <w:t xml:space="preserve">Fewer than one in </w:t>
      </w:r>
      <w:r>
        <w:t>10</w:t>
      </w:r>
      <w:r w:rsidRPr="00E836F2">
        <w:t xml:space="preserve"> children whose mother is in prison </w:t>
      </w:r>
      <w:r>
        <w:t>is</w:t>
      </w:r>
      <w:r w:rsidRPr="00E836F2">
        <w:t xml:space="preserve"> cared for by</w:t>
      </w:r>
      <w:r>
        <w:t xml:space="preserve"> their father in her absence. </w:t>
      </w:r>
      <w:r w:rsidRPr="00E836F2">
        <w:t xml:space="preserve">Approximately 40% are cared for by grandparents or other family members, and only </w:t>
      </w:r>
      <w:r>
        <w:t xml:space="preserve">5% remain in their own home. </w:t>
      </w:r>
      <w:r w:rsidRPr="00E836F2">
        <w:t xml:space="preserve">A 2011 report highlighted that up to 6,000 children a year are </w:t>
      </w:r>
      <w:r>
        <w:t>‘</w:t>
      </w:r>
      <w:r w:rsidRPr="00E836F2">
        <w:t>being forgotten by the state when the</w:t>
      </w:r>
      <w:r>
        <w:t xml:space="preserve">ir mother is sent to prison’. </w:t>
      </w:r>
      <w:r w:rsidRPr="00E836F2">
        <w:t>An earlier study found that 42 women held in HMP Holloway had no idea who was looking after their children, and that 19 children under the age of 16 were looking after themselves.</w:t>
      </w:r>
    </w:p>
  </w:footnote>
  <w:footnote w:id="124">
    <w:p w14:paraId="2F4FE102" w14:textId="21A9A67C" w:rsidR="004F37B8" w:rsidRDefault="004F37B8" w:rsidP="00EB632A">
      <w:pPr>
        <w:pStyle w:val="FootnoteText"/>
      </w:pPr>
      <w:r>
        <w:rPr>
          <w:rStyle w:val="FootnoteReference"/>
        </w:rPr>
        <w:footnoteRef/>
      </w:r>
      <w:r>
        <w:t xml:space="preserve"> </w:t>
      </w:r>
      <w:r>
        <w:rPr>
          <w:rFonts w:cs="Arial"/>
        </w:rPr>
        <w:t xml:space="preserve">Home Office. (2007) ‘The Corston report: A report by Baroness Jean Corston of a review of women with particular vulnerabilities in the criminal justice system’. Available at: </w:t>
      </w:r>
      <w:hyperlink r:id="rId94" w:history="1">
        <w:r>
          <w:rPr>
            <w:rStyle w:val="Hyperlink"/>
            <w:rFonts w:cs="Arial"/>
          </w:rPr>
          <w:t>http://webarchive.nationalarchives.gov.uk/+/http://www.homeoffice.gov.uk/documents/corston-report/</w:t>
        </w:r>
      </w:hyperlink>
      <w:r>
        <w:rPr>
          <w:rFonts w:cs="Arial"/>
        </w:rPr>
        <w:t xml:space="preserve"> [accessed: 22 January 2019].</w:t>
      </w:r>
    </w:p>
  </w:footnote>
  <w:footnote w:id="125">
    <w:p w14:paraId="7DFFB9AE" w14:textId="35A9B7DD" w:rsidR="004F37B8" w:rsidRDefault="004F37B8" w:rsidP="00254203">
      <w:pPr>
        <w:pStyle w:val="FootnoteText"/>
      </w:pPr>
      <w:r>
        <w:rPr>
          <w:rStyle w:val="FootnoteReference"/>
        </w:rPr>
        <w:footnoteRef/>
      </w:r>
      <w:r>
        <w:t xml:space="preserve"> Shaw, S. (2018), ‘</w:t>
      </w:r>
      <w:r w:rsidRPr="006A0D60">
        <w:t>Assessment of government progress in implementing the report on the welfare in detention of vulnerable persons</w:t>
      </w:r>
      <w:r>
        <w:t xml:space="preserve">’. Available at: </w:t>
      </w:r>
      <w:hyperlink r:id="rId95" w:history="1">
        <w:r w:rsidRPr="00267BE5">
          <w:rPr>
            <w:rStyle w:val="Hyperlink"/>
          </w:rPr>
          <w:t>https://www.gov.uk/government/publications/welfare-in-detention-of-vulnerable-persons-review-progress-report</w:t>
        </w:r>
      </w:hyperlink>
      <w:r>
        <w:t xml:space="preserve"> [accessed: 18 September 2018].</w:t>
      </w:r>
    </w:p>
  </w:footnote>
  <w:footnote w:id="126">
    <w:p w14:paraId="5683481D" w14:textId="1A75E4CC" w:rsidR="004F37B8" w:rsidRDefault="004F37B8" w:rsidP="00254203">
      <w:pPr>
        <w:pStyle w:val="FootnoteText"/>
      </w:pPr>
      <w:r>
        <w:rPr>
          <w:rStyle w:val="FootnoteReference"/>
        </w:rPr>
        <w:footnoteRef/>
      </w:r>
      <w:r>
        <w:t xml:space="preserve"> Shaw, S. (2016), ‘Review into the welfare in detention of vulnerable persons’. Available at: </w:t>
      </w:r>
      <w:hyperlink r:id="rId96" w:history="1">
        <w:r w:rsidRPr="00267BE5">
          <w:rPr>
            <w:rStyle w:val="Hyperlink"/>
          </w:rPr>
          <w:t>https://assets.publishing.service.gov.uk/government/uploads/system/uploads/attachment_data/file/490782/52532_Shaw_Review_Accessible.pdf</w:t>
        </w:r>
      </w:hyperlink>
      <w:r>
        <w:t xml:space="preserve"> [accessed: 18 September 2018]. </w:t>
      </w:r>
    </w:p>
  </w:footnote>
  <w:footnote w:id="127">
    <w:p w14:paraId="05725CC7" w14:textId="37D72D24" w:rsidR="004F37B8" w:rsidRDefault="004F37B8" w:rsidP="00254203">
      <w:pPr>
        <w:pStyle w:val="FootnoteText"/>
      </w:pPr>
      <w:r>
        <w:rPr>
          <w:rStyle w:val="FootnoteReference"/>
        </w:rPr>
        <w:footnoteRef/>
      </w:r>
      <w:r>
        <w:t xml:space="preserve"> </w:t>
      </w:r>
      <w:r w:rsidRPr="007A23EC">
        <w:t>Shaw, S. (2018), ‘Assessment of government progress in implementing the report on the welfare in detention of vulnerable persons’</w:t>
      </w:r>
      <w:r>
        <w:t>, para. 2.99</w:t>
      </w:r>
      <w:r w:rsidRPr="007A23EC">
        <w:t xml:space="preserve">. </w:t>
      </w:r>
    </w:p>
  </w:footnote>
  <w:footnote w:id="128">
    <w:p w14:paraId="0F5DE269" w14:textId="6E4F571C" w:rsidR="004F37B8" w:rsidRDefault="004F37B8" w:rsidP="00254203">
      <w:pPr>
        <w:pStyle w:val="FootnoteText"/>
      </w:pPr>
      <w:r>
        <w:rPr>
          <w:rStyle w:val="FootnoteReference"/>
        </w:rPr>
        <w:footnoteRef/>
      </w:r>
      <w:r>
        <w:t xml:space="preserve"> Ibid., para. 2.99.</w:t>
      </w:r>
    </w:p>
  </w:footnote>
  <w:footnote w:id="129">
    <w:p w14:paraId="1FC39EC1" w14:textId="11F71F8B" w:rsidR="004F37B8" w:rsidRDefault="004F37B8" w:rsidP="00254203">
      <w:pPr>
        <w:pStyle w:val="FootnoteText"/>
      </w:pPr>
      <w:r>
        <w:rPr>
          <w:rStyle w:val="FootnoteReference"/>
        </w:rPr>
        <w:footnoteRef/>
      </w:r>
      <w:r>
        <w:t xml:space="preserve"> Ibid., para. 2.99.</w:t>
      </w:r>
    </w:p>
  </w:footnote>
  <w:footnote w:id="130">
    <w:p w14:paraId="2EAE05F7" w14:textId="77777777" w:rsidR="004F37B8" w:rsidRPr="00BB4277" w:rsidRDefault="004F37B8" w:rsidP="00254203">
      <w:pPr>
        <w:pStyle w:val="FootnoteText"/>
      </w:pPr>
      <w:r>
        <w:rPr>
          <w:rStyle w:val="FootnoteReference"/>
        </w:rPr>
        <w:footnoteRef/>
      </w:r>
      <w:r>
        <w:t xml:space="preserve"> Ibid., </w:t>
      </w:r>
      <w:r w:rsidRPr="00BB4277">
        <w:t>A7.101</w:t>
      </w:r>
      <w:r>
        <w:t>.</w:t>
      </w:r>
    </w:p>
  </w:footnote>
  <w:footnote w:id="131">
    <w:p w14:paraId="6527A2E1" w14:textId="5081E366" w:rsidR="004F37B8" w:rsidRDefault="004F37B8" w:rsidP="00254203">
      <w:pPr>
        <w:pStyle w:val="FootnoteText"/>
      </w:pPr>
      <w:r>
        <w:rPr>
          <w:rStyle w:val="FootnoteReference"/>
        </w:rPr>
        <w:footnoteRef/>
      </w:r>
      <w:r>
        <w:t xml:space="preserve"> Ibid., para. 2.80.</w:t>
      </w:r>
    </w:p>
  </w:footnote>
  <w:footnote w:id="132">
    <w:p w14:paraId="3CA07CE3" w14:textId="21FD99F9" w:rsidR="004F37B8" w:rsidRDefault="004F37B8" w:rsidP="00254203">
      <w:pPr>
        <w:pStyle w:val="FootnoteText"/>
      </w:pPr>
      <w:r>
        <w:rPr>
          <w:rStyle w:val="FootnoteReference"/>
        </w:rPr>
        <w:footnoteRef/>
      </w:r>
      <w:r>
        <w:t xml:space="preserve"> Ibid., para. 2.82.</w:t>
      </w:r>
    </w:p>
  </w:footnote>
  <w:footnote w:id="133">
    <w:p w14:paraId="73E3E08F" w14:textId="190897BD" w:rsidR="004F37B8" w:rsidRDefault="004F37B8" w:rsidP="00254203">
      <w:pPr>
        <w:pStyle w:val="FootnoteText"/>
      </w:pPr>
      <w:r>
        <w:rPr>
          <w:rStyle w:val="FootnoteReference"/>
        </w:rPr>
        <w:footnoteRef/>
      </w:r>
      <w:r>
        <w:t xml:space="preserve"> Ibid., para. 2.78. </w:t>
      </w:r>
    </w:p>
  </w:footnote>
  <w:footnote w:id="134">
    <w:p w14:paraId="082AD4D3" w14:textId="77777777" w:rsidR="004F37B8" w:rsidRPr="00BB4277" w:rsidRDefault="004F37B8" w:rsidP="00254203">
      <w:pPr>
        <w:pStyle w:val="FootnoteText"/>
      </w:pPr>
      <w:r>
        <w:rPr>
          <w:rStyle w:val="FootnoteReference"/>
        </w:rPr>
        <w:footnoteRef/>
      </w:r>
      <w:r>
        <w:t xml:space="preserve"> Ibid., </w:t>
      </w:r>
      <w:r w:rsidRPr="00BB4277">
        <w:t>A7.107</w:t>
      </w:r>
      <w:r>
        <w:t>.</w:t>
      </w:r>
    </w:p>
  </w:footnote>
  <w:footnote w:id="135">
    <w:p w14:paraId="6E335454" w14:textId="1C611F1A" w:rsidR="004F37B8" w:rsidRPr="00AD2C5A" w:rsidRDefault="004F37B8" w:rsidP="00254203">
      <w:pPr>
        <w:pStyle w:val="FootnoteText"/>
      </w:pPr>
      <w:r>
        <w:rPr>
          <w:rStyle w:val="FootnoteReference"/>
        </w:rPr>
        <w:footnoteRef/>
      </w:r>
      <w:r>
        <w:t xml:space="preserve"> Home Office (2018), ‘</w:t>
      </w:r>
      <w:r w:rsidRPr="009D2E18">
        <w:t>Home Secretary statement on immigration detention and Shaw report</w:t>
      </w:r>
      <w:r>
        <w:t>’. Available at</w:t>
      </w:r>
      <w:r w:rsidRPr="00AD2C5A">
        <w:t xml:space="preserve">: </w:t>
      </w:r>
      <w:hyperlink r:id="rId97" w:history="1">
        <w:r w:rsidRPr="00267BE5">
          <w:rPr>
            <w:rStyle w:val="Hyperlink"/>
          </w:rPr>
          <w:t>https://www.gov.uk/government/speeches/home-secretary-statement-on-immigration-detention-and-shaw-report</w:t>
        </w:r>
      </w:hyperlink>
      <w:r>
        <w:t xml:space="preserve"> [accessed: 18 September 2018].</w:t>
      </w:r>
    </w:p>
  </w:footnote>
  <w:footnote w:id="136">
    <w:p w14:paraId="423704C4" w14:textId="77777777" w:rsidR="004F37B8" w:rsidRDefault="004F37B8" w:rsidP="00254203">
      <w:pPr>
        <w:pStyle w:val="FootnoteText"/>
      </w:pPr>
      <w:r>
        <w:rPr>
          <w:rStyle w:val="FootnoteReference"/>
        </w:rPr>
        <w:footnoteRef/>
      </w:r>
      <w:r>
        <w:t xml:space="preserve"> Ibid.</w:t>
      </w:r>
    </w:p>
  </w:footnote>
  <w:footnote w:id="137">
    <w:p w14:paraId="53BE9C8F" w14:textId="170AED1A" w:rsidR="004F37B8" w:rsidRPr="008F5CC9" w:rsidRDefault="004F37B8" w:rsidP="00254203">
      <w:pPr>
        <w:pStyle w:val="FootnoteText"/>
      </w:pPr>
      <w:r>
        <w:rPr>
          <w:rStyle w:val="FootnoteReference"/>
        </w:rPr>
        <w:footnoteRef/>
      </w:r>
      <w:r>
        <w:t xml:space="preserve"> Home Office (2018), </w:t>
      </w:r>
      <w:r w:rsidRPr="00CA12B6">
        <w:rPr>
          <w:i/>
        </w:rPr>
        <w:t xml:space="preserve">Adults at risk in </w:t>
      </w:r>
      <w:r>
        <w:rPr>
          <w:i/>
        </w:rPr>
        <w:t xml:space="preserve">immigration </w:t>
      </w:r>
      <w:r w:rsidRPr="00CA12B6">
        <w:rPr>
          <w:i/>
        </w:rPr>
        <w:t xml:space="preserve">detention: </w:t>
      </w:r>
      <w:r>
        <w:rPr>
          <w:i/>
        </w:rPr>
        <w:t xml:space="preserve">version </w:t>
      </w:r>
      <w:r w:rsidRPr="00CA12B6">
        <w:rPr>
          <w:i/>
        </w:rPr>
        <w:t>3.0</w:t>
      </w:r>
      <w:r>
        <w:t xml:space="preserve">. [ONLINE]. Available at: </w:t>
      </w:r>
      <w:hyperlink r:id="rId98" w:history="1">
        <w:r w:rsidRPr="00275331">
          <w:rPr>
            <w:rStyle w:val="Hyperlink"/>
          </w:rPr>
          <w:t>https://assets.publishing.service.gov.uk/government/uploads/system/uploads/attachment_data/file/721603/adults-at-risk-policy-guidance_v3.pdf</w:t>
        </w:r>
      </w:hyperlink>
      <w:r>
        <w:t xml:space="preserve"> [accessed: 26 October 2018]. The Detention Centre (Amendment) Rules 2018 (SI 411/2018), which came into force on 2 July 2018, amended rule 35 of the Detention Centre Rules 2001 by introducing a new rule 35(6) that defines ‘torture’ as: </w:t>
      </w:r>
      <w:r w:rsidRPr="00E7662F">
        <w:rPr>
          <w:i/>
        </w:rPr>
        <w:t>‘</w:t>
      </w:r>
      <w:r w:rsidRPr="00EE1CEF">
        <w:t>any act by which a perpetrator intentionally inflicts severe pain or suffering on a victim in a situation in which (a) the perpetrator has control (whether mental or physical) over the victim and (b) as a result of that control the victim is powerless to resist</w:t>
      </w:r>
      <w:r>
        <w:t>’</w:t>
      </w:r>
      <w:r w:rsidRPr="00EE1CEF">
        <w:t>.</w:t>
      </w:r>
    </w:p>
  </w:footnote>
  <w:footnote w:id="138">
    <w:p w14:paraId="5288ED1E" w14:textId="22FC829D" w:rsidR="004F37B8" w:rsidRPr="00900EE8" w:rsidRDefault="004F37B8" w:rsidP="00254203">
      <w:pPr>
        <w:pStyle w:val="FootnoteText"/>
      </w:pPr>
      <w:r>
        <w:rPr>
          <w:rStyle w:val="FootnoteReference"/>
        </w:rPr>
        <w:footnoteRef/>
      </w:r>
      <w:r>
        <w:t xml:space="preserve"> United Nations High Commissioner for Refugees. 2012. </w:t>
      </w:r>
      <w:r>
        <w:rPr>
          <w:i/>
        </w:rPr>
        <w:t>Detention guidelines</w:t>
      </w:r>
      <w:r>
        <w:t xml:space="preserve">, guideline 9.1. [ONLINE]. Available at: </w:t>
      </w:r>
      <w:hyperlink r:id="rId99" w:history="1">
        <w:r w:rsidRPr="004A0489">
          <w:rPr>
            <w:rStyle w:val="Hyperlink"/>
            <w:u w:val="none"/>
          </w:rPr>
          <w:t>http://www.unhcr.org/uk/publications/legal/505b10ee9/unhcr-detention-guidelines.htm</w:t>
        </w:r>
        <w:r w:rsidRPr="008E4D3B">
          <w:rPr>
            <w:rStyle w:val="Hyperlink"/>
          </w:rPr>
          <w:t>l</w:t>
        </w:r>
      </w:hyperlink>
      <w:r>
        <w:t xml:space="preserve"> [accessed: </w:t>
      </w:r>
      <w:r w:rsidRPr="00072EB8">
        <w:t>5 December 2018].</w:t>
      </w:r>
    </w:p>
  </w:footnote>
  <w:footnote w:id="139">
    <w:p w14:paraId="69FD8990" w14:textId="77777777" w:rsidR="004F37B8" w:rsidRDefault="004F37B8" w:rsidP="00254203">
      <w:pPr>
        <w:pStyle w:val="FootnoteText"/>
      </w:pPr>
      <w:r>
        <w:rPr>
          <w:rStyle w:val="FootnoteReference"/>
        </w:rPr>
        <w:footnoteRef/>
      </w:r>
      <w:r>
        <w:t xml:space="preserve"> Detention Centre Rules 2001 (as amended), SI 2001/238. Unamended version available at:</w:t>
      </w:r>
    </w:p>
    <w:p w14:paraId="3E934835" w14:textId="3BFBE1EC" w:rsidR="004F37B8" w:rsidRDefault="004F37B8" w:rsidP="00254203">
      <w:pPr>
        <w:pStyle w:val="FootnoteText"/>
      </w:pPr>
      <w:hyperlink r:id="rId100" w:history="1">
        <w:r w:rsidRPr="004F3F45">
          <w:rPr>
            <w:rStyle w:val="Hyperlink"/>
          </w:rPr>
          <w:t>http://www.legislation.gov.uk/uksi/2001/238/contents/made</w:t>
        </w:r>
      </w:hyperlink>
      <w:r>
        <w:t xml:space="preserve"> [accessed: </w:t>
      </w:r>
      <w:r w:rsidRPr="00072EB8">
        <w:t>5 December 2018].</w:t>
      </w:r>
    </w:p>
  </w:footnote>
  <w:footnote w:id="140">
    <w:p w14:paraId="3345EC80" w14:textId="1A222AF8" w:rsidR="004F37B8" w:rsidRDefault="004F37B8" w:rsidP="00254203">
      <w:pPr>
        <w:pStyle w:val="FootnoteText"/>
      </w:pPr>
      <w:r>
        <w:rPr>
          <w:rStyle w:val="FootnoteReference"/>
        </w:rPr>
        <w:footnoteRef/>
      </w:r>
      <w:r>
        <w:t xml:space="preserve"> Joint Committee on Human Rights (2018), ‘</w:t>
      </w:r>
      <w:r w:rsidRPr="00636039">
        <w:t>Immigration detention inquiry launched</w:t>
      </w:r>
      <w:r>
        <w:t xml:space="preserve">’. Available at: </w:t>
      </w:r>
      <w:hyperlink r:id="rId101" w:history="1">
        <w:r w:rsidRPr="00267BE5">
          <w:rPr>
            <w:rStyle w:val="Hyperlink"/>
          </w:rPr>
          <w:t>https://www.parliament.uk/business/committees/committees-a-z/joint-select/human-rights-committee/news-parliament-2017/immigration-detention-inquiry-launch-17-19/</w:t>
        </w:r>
      </w:hyperlink>
      <w:r>
        <w:t xml:space="preserve"> [accessed: 18 September 2018]. </w:t>
      </w:r>
    </w:p>
  </w:footnote>
  <w:footnote w:id="141">
    <w:p w14:paraId="1C8EBCC6" w14:textId="200F9D77" w:rsidR="004F37B8" w:rsidRDefault="004F37B8" w:rsidP="00254203">
      <w:pPr>
        <w:pStyle w:val="FootnoteText"/>
      </w:pPr>
      <w:r>
        <w:rPr>
          <w:rStyle w:val="FootnoteReference"/>
        </w:rPr>
        <w:footnoteRef/>
      </w:r>
      <w:r>
        <w:t xml:space="preserve"> EHRC (2018), ‘</w:t>
      </w:r>
      <w:r w:rsidRPr="00636039">
        <w:t>Response of the Equality and Human Rights Commission to the Joint Committee on Human Rights</w:t>
      </w:r>
      <w:r>
        <w:t>’</w:t>
      </w:r>
      <w:r w:rsidRPr="00636039">
        <w:t xml:space="preserve"> </w:t>
      </w:r>
      <w:r>
        <w:t>immigration detention i</w:t>
      </w:r>
      <w:r w:rsidRPr="00636039">
        <w:t>nquiry</w:t>
      </w:r>
      <w:r>
        <w:t xml:space="preserve">’. Available at: </w:t>
      </w:r>
      <w:hyperlink r:id="rId102" w:history="1">
        <w:r w:rsidRPr="00BB2AAD">
          <w:rPr>
            <w:rStyle w:val="Hyperlink"/>
          </w:rPr>
          <w:t>http://data.parliament.uk/writtenevidence/committeeevidence.svc/evidencedocument/human-rights-committee/immigration-detention/written/88970.html</w:t>
        </w:r>
      </w:hyperlink>
      <w:r>
        <w:t xml:space="preserve"> [accessed: </w:t>
      </w:r>
      <w:r w:rsidRPr="00072EB8">
        <w:t>5 December 2018].</w:t>
      </w:r>
    </w:p>
  </w:footnote>
  <w:footnote w:id="142">
    <w:p w14:paraId="2AECBC57" w14:textId="77777777" w:rsidR="004F37B8" w:rsidRDefault="004F37B8" w:rsidP="00254203">
      <w:pPr>
        <w:pStyle w:val="FootnoteText"/>
      </w:pPr>
      <w:r>
        <w:rPr>
          <w:rStyle w:val="FootnoteReference"/>
        </w:rPr>
        <w:footnoteRef/>
      </w:r>
      <w:r>
        <w:t xml:space="preserve"> Ibid.</w:t>
      </w:r>
    </w:p>
  </w:footnote>
  <w:footnote w:id="143">
    <w:p w14:paraId="57022939" w14:textId="5891E17A" w:rsidR="004F37B8" w:rsidRDefault="004F37B8" w:rsidP="00254203">
      <w:pPr>
        <w:pStyle w:val="FootnoteText"/>
      </w:pPr>
      <w:r>
        <w:rPr>
          <w:rStyle w:val="FootnoteReference"/>
        </w:rPr>
        <w:footnoteRef/>
      </w:r>
      <w:r>
        <w:t xml:space="preserve"> Nellums, L.B., Rustage, K., Hargreaves, S., Friedland, J.S., Miller, A., Hiam, L. and Le Deaut, D.</w:t>
      </w:r>
      <w:r w:rsidRPr="00DF7164">
        <w:t xml:space="preserve"> (2018</w:t>
      </w:r>
      <w:r>
        <w:t>), ‘The lived experiences of access to healthcare for people seeking and refused asylum’.</w:t>
      </w:r>
      <w:r w:rsidRPr="00DF7164">
        <w:t xml:space="preserve"> Available at:</w:t>
      </w:r>
      <w:r>
        <w:t xml:space="preserve"> </w:t>
      </w:r>
      <w:hyperlink r:id="rId103" w:history="1">
        <w:r w:rsidRPr="000E5B83">
          <w:rPr>
            <w:rStyle w:val="Hyperlink"/>
          </w:rPr>
          <w:t>https://www.equalityhumanrights.com/en/publication-download/lived-experiences-access-healthcare-people-seeking-and-refused-asylum</w:t>
        </w:r>
      </w:hyperlink>
      <w:r>
        <w:t xml:space="preserve"> [accessed: 31</w:t>
      </w:r>
      <w:r w:rsidRPr="00DF7164">
        <w:t xml:space="preserve"> December 2018].</w:t>
      </w:r>
    </w:p>
  </w:footnote>
  <w:footnote w:id="144">
    <w:p w14:paraId="08F464D3" w14:textId="2F2B0091" w:rsidR="004F37B8" w:rsidRDefault="004F37B8" w:rsidP="00254203">
      <w:pPr>
        <w:pStyle w:val="FootnoteText"/>
      </w:pPr>
      <w:r>
        <w:rPr>
          <w:rStyle w:val="FootnoteReference"/>
        </w:rPr>
        <w:footnoteRef/>
      </w:r>
      <w:r>
        <w:t xml:space="preserve"> Home Office (2017), ‘Allocation of accommodation policy’. Available at: </w:t>
      </w:r>
      <w:hyperlink r:id="rId104" w:history="1">
        <w:r w:rsidRPr="00583831">
          <w:rPr>
            <w:rStyle w:val="Hyperlink"/>
          </w:rPr>
          <w:t>https://assets.publishing.service.gov.uk/government/uploads/system/uploads/attachment_data/file/597382/Allocation-Of-Accommodation-v5_0.pdf</w:t>
        </w:r>
      </w:hyperlink>
      <w:r>
        <w:rPr>
          <w:rStyle w:val="Hyperlink"/>
        </w:rPr>
        <w:t xml:space="preserve"> </w:t>
      </w:r>
      <w:r>
        <w:t xml:space="preserve">and UK Visas and Immigration (2016), ‘Healthcare needs and pregnancy dispersal’. Available at: </w:t>
      </w:r>
      <w:r w:rsidRPr="00854B96">
        <w:t>https://www.gov.uk/government/publications/healthcare-needs-and-pregnancy-dispersal-instructio</w:t>
      </w:r>
      <w:r>
        <w:t xml:space="preserve">n [both accessed: </w:t>
      </w:r>
      <w:r w:rsidRPr="00072EB8">
        <w:t>5 December 2018].</w:t>
      </w:r>
      <w:r>
        <w:rPr>
          <w:rStyle w:val="Hyperlink"/>
          <w:u w:val="none"/>
        </w:rPr>
        <w:t xml:space="preserve"> </w:t>
      </w:r>
      <w:r>
        <w:t xml:space="preserve">Home Office guidance sates that: ‘The overriding principle when allocating accommodation is that it is offered on a “no choice basis” ... Caseworkers must, however, consider requests to be allocated accommodation in … specific location and consider whether there are exceptional circumstances that make it appropriate to agree to the request.’  </w:t>
      </w:r>
    </w:p>
  </w:footnote>
  <w:footnote w:id="145">
    <w:p w14:paraId="22CCA275" w14:textId="1FC17A5E" w:rsidR="004F37B8" w:rsidRDefault="004F37B8" w:rsidP="00254203">
      <w:pPr>
        <w:pStyle w:val="FootnoteText"/>
      </w:pPr>
      <w:r>
        <w:rPr>
          <w:rStyle w:val="FootnoteReference"/>
        </w:rPr>
        <w:footnoteRef/>
      </w:r>
      <w:r>
        <w:t xml:space="preserve"> Committee on Economic, Social and Cultural Rights (2016), ‘Concluding observations on the sixth periodic report of the United Kingdom of Great Britain and Northern Ireland’. Available at: </w:t>
      </w:r>
      <w:hyperlink r:id="rId105" w:history="1">
        <w:r w:rsidRPr="00A17BAF">
          <w:rPr>
            <w:rStyle w:val="Hyperlink"/>
          </w:rPr>
          <w:t>https://tbinternet.ohchr.org/_layouts/treatybodyexternal/Download.aspx?symbolno=E/C.12/GBR/CO/6&amp;Lang=En</w:t>
        </w:r>
      </w:hyperlink>
      <w:r>
        <w:t xml:space="preserve"> [accessed: 30 October 2018]</w:t>
      </w:r>
    </w:p>
  </w:footnote>
  <w:footnote w:id="146">
    <w:p w14:paraId="1F813800" w14:textId="5C802AC2" w:rsidR="004F37B8" w:rsidRDefault="004F37B8" w:rsidP="00254203">
      <w:pPr>
        <w:pStyle w:val="FootnoteText"/>
      </w:pPr>
      <w:r>
        <w:rPr>
          <w:rStyle w:val="FootnoteReference"/>
        </w:rPr>
        <w:footnoteRef/>
      </w:r>
      <w:r>
        <w:t xml:space="preserve"> Support is available for destitute refused asylum seekers who meet certain criteria under section 4(2) of the Immigration and Asylum Act 1999. Support consists of accommodation and subsistence via a pre-paid card (i.e. no cash).</w:t>
      </w:r>
      <w:r w:rsidRPr="00873B4D">
        <w:t xml:space="preserve"> </w:t>
      </w:r>
      <w:r>
        <w:t>Criteria for receipt of section 4 support are for someone: to be destitute or about to become destitute within 14 days, and meet one of the following conditions:</w:t>
      </w:r>
    </w:p>
    <w:p w14:paraId="3B4E1524" w14:textId="1BAFD33C" w:rsidR="004F37B8" w:rsidRDefault="004F37B8" w:rsidP="00254203">
      <w:pPr>
        <w:pStyle w:val="FootnoteText"/>
      </w:pPr>
      <w:r>
        <w:t>(a) be  taking all reasonable steps to leave the United Kingdom or put themselves in a position in which they are able to leave the United Kingdom, which may include complying with attempts to obtain a travel document to facilitate their departure</w:t>
      </w:r>
    </w:p>
    <w:p w14:paraId="3D8DE84F" w14:textId="23574400" w:rsidR="004F37B8" w:rsidRDefault="004F37B8" w:rsidP="00254203">
      <w:pPr>
        <w:pStyle w:val="FootnoteText"/>
      </w:pPr>
      <w:r>
        <w:t>(b) be unable to leave the United Kingdom by reason of a physical impediment to travel or for some other medical reason</w:t>
      </w:r>
    </w:p>
    <w:p w14:paraId="0815FD90" w14:textId="3C6229D6" w:rsidR="004F37B8" w:rsidRDefault="004F37B8" w:rsidP="00254203">
      <w:pPr>
        <w:pStyle w:val="FootnoteText"/>
      </w:pPr>
      <w:r>
        <w:t>(c) be unable to leave the United Kingdom because in the opinion of the Secretary of State there is currently no viable route of return available</w:t>
      </w:r>
    </w:p>
    <w:p w14:paraId="4EAD2F24" w14:textId="45803B4D" w:rsidR="004F37B8" w:rsidRDefault="004F37B8" w:rsidP="00254203">
      <w:pPr>
        <w:pStyle w:val="FootnoteText"/>
      </w:pPr>
      <w:r>
        <w:t>(d) not have made an application, or have permission for judicial review of a decision in relation to their asylum claim</w:t>
      </w:r>
    </w:p>
    <w:p w14:paraId="64F649E6" w14:textId="0930341F" w:rsidR="004F37B8" w:rsidRDefault="004F37B8" w:rsidP="00254203">
      <w:pPr>
        <w:pStyle w:val="FootnoteText"/>
      </w:pPr>
      <w:r>
        <w:t>(e) the provision of accommodation is necessary for the purpose of avoiding a breach of a person’s Convention rights, within the meaning of the Human Rights Act 1998.</w:t>
      </w:r>
    </w:p>
    <w:p w14:paraId="577DE3E1" w14:textId="77777777" w:rsidR="004F37B8" w:rsidRDefault="004F37B8" w:rsidP="00254203">
      <w:pPr>
        <w:pStyle w:val="FootnoteText"/>
      </w:pPr>
      <w:r>
        <w:t>Pregnant women who do not meet one of the conditions prior to pregnancy, become eligible under (b) six weeks before they are due to give birth.</w:t>
      </w:r>
    </w:p>
  </w:footnote>
  <w:footnote w:id="147">
    <w:p w14:paraId="139C1B16" w14:textId="33818FFC" w:rsidR="004F37B8" w:rsidRDefault="004F37B8" w:rsidP="00254203">
      <w:pPr>
        <w:pStyle w:val="FootnoteText"/>
      </w:pPr>
      <w:r>
        <w:rPr>
          <w:rStyle w:val="FootnoteReference"/>
        </w:rPr>
        <w:footnoteRef/>
      </w:r>
      <w:r>
        <w:t xml:space="preserve"> Accommodation and subsistence support is provided to destitute asylum seekers and their dependants under section 95 of the Immigration and Asylum Act 1999. Subsistence is paid at £36.95 per adult or child per week. </w:t>
      </w:r>
    </w:p>
  </w:footnote>
  <w:footnote w:id="148">
    <w:p w14:paraId="66C7E77E" w14:textId="77777777" w:rsidR="004F37B8" w:rsidRPr="00073749" w:rsidRDefault="004F37B8" w:rsidP="00254203">
      <w:pPr>
        <w:pStyle w:val="FootnoteText"/>
        <w:rPr>
          <w:rFonts w:cs="Arial"/>
        </w:rPr>
      </w:pPr>
      <w:r>
        <w:rPr>
          <w:rStyle w:val="FootnoteReference"/>
        </w:rPr>
        <w:footnoteRef/>
      </w:r>
      <w:r>
        <w:t xml:space="preserve"> </w:t>
      </w:r>
      <w:r w:rsidRPr="00073749">
        <w:rPr>
          <w:rFonts w:cs="Arial"/>
        </w:rPr>
        <w:t>All Party Parliamentary Group on Ending Homelessness (2018), ‘Rapidly responding to homelessness – a look at migrant homelessness, youth homelessness and rapid</w:t>
      </w:r>
    </w:p>
    <w:p w14:paraId="1E08B813" w14:textId="5A025EE0" w:rsidR="004F37B8" w:rsidRPr="00073749" w:rsidRDefault="004F37B8" w:rsidP="00254203">
      <w:pPr>
        <w:pStyle w:val="FootnoteText"/>
        <w:rPr>
          <w:rFonts w:cs="Arial"/>
        </w:rPr>
      </w:pPr>
      <w:r w:rsidRPr="00073749">
        <w:rPr>
          <w:rFonts w:cs="Arial"/>
        </w:rPr>
        <w:t xml:space="preserve">rehousing models’. Available at: </w:t>
      </w:r>
      <w:hyperlink r:id="rId106" w:history="1">
        <w:r w:rsidRPr="00073749">
          <w:rPr>
            <w:rStyle w:val="Hyperlink"/>
            <w:rFonts w:cs="Arial"/>
          </w:rPr>
          <w:t>https://www.crisis.org.uk/media/239050/appg-for-ending-homelessness-report_final.pdf</w:t>
        </w:r>
      </w:hyperlink>
      <w:r w:rsidRPr="00073749">
        <w:rPr>
          <w:rFonts w:cs="Arial"/>
        </w:rPr>
        <w:t xml:space="preserve"> [accessed</w:t>
      </w:r>
      <w:r>
        <w:rPr>
          <w:rFonts w:cs="Arial"/>
        </w:rPr>
        <w:t>:</w:t>
      </w:r>
      <w:r w:rsidRPr="00073749">
        <w:rPr>
          <w:rFonts w:cs="Arial"/>
        </w:rPr>
        <w:t xml:space="preserve"> 18 September 2018]. </w:t>
      </w:r>
    </w:p>
  </w:footnote>
  <w:footnote w:id="149">
    <w:p w14:paraId="4F8A6893" w14:textId="69E1F751" w:rsidR="004F37B8" w:rsidRPr="00AA46AA" w:rsidRDefault="004F37B8" w:rsidP="00254203">
      <w:pPr>
        <w:pStyle w:val="Default"/>
        <w:rPr>
          <w:sz w:val="20"/>
          <w:szCs w:val="20"/>
        </w:rPr>
      </w:pPr>
      <w:r w:rsidRPr="00073749">
        <w:rPr>
          <w:rStyle w:val="FootnoteReference"/>
          <w:sz w:val="20"/>
          <w:szCs w:val="20"/>
        </w:rPr>
        <w:footnoteRef/>
      </w:r>
      <w:r w:rsidRPr="00073749">
        <w:rPr>
          <w:sz w:val="20"/>
          <w:szCs w:val="20"/>
        </w:rPr>
        <w:t xml:space="preserve"> </w:t>
      </w:r>
      <w:r w:rsidRPr="00073749">
        <w:rPr>
          <w:iCs/>
          <w:sz w:val="20"/>
          <w:szCs w:val="20"/>
          <w:lang w:eastAsia="en-GB"/>
        </w:rPr>
        <w:t>Home Affairs Committee</w:t>
      </w:r>
      <w:r>
        <w:rPr>
          <w:iCs/>
          <w:sz w:val="20"/>
          <w:szCs w:val="20"/>
          <w:lang w:eastAsia="en-GB"/>
        </w:rPr>
        <w:t xml:space="preserve"> (2018), ‘</w:t>
      </w:r>
      <w:r w:rsidRPr="00073749">
        <w:rPr>
          <w:iCs/>
          <w:sz w:val="20"/>
          <w:szCs w:val="20"/>
          <w:lang w:eastAsia="en-GB"/>
        </w:rPr>
        <w:t xml:space="preserve">Domestic </w:t>
      </w:r>
      <w:r>
        <w:rPr>
          <w:iCs/>
          <w:sz w:val="20"/>
          <w:szCs w:val="20"/>
          <w:lang w:eastAsia="en-GB"/>
        </w:rPr>
        <w:t>a</w:t>
      </w:r>
      <w:r w:rsidRPr="00073749">
        <w:rPr>
          <w:iCs/>
          <w:sz w:val="20"/>
          <w:szCs w:val="20"/>
          <w:lang w:eastAsia="en-GB"/>
        </w:rPr>
        <w:t xml:space="preserve">buse </w:t>
      </w:r>
      <w:r>
        <w:rPr>
          <w:iCs/>
          <w:sz w:val="20"/>
          <w:szCs w:val="20"/>
          <w:lang w:eastAsia="en-GB"/>
        </w:rPr>
        <w:t>i</w:t>
      </w:r>
      <w:r w:rsidRPr="00073749">
        <w:rPr>
          <w:iCs/>
          <w:sz w:val="20"/>
          <w:szCs w:val="20"/>
          <w:lang w:eastAsia="en-GB"/>
        </w:rPr>
        <w:t>nquiry</w:t>
      </w:r>
      <w:r>
        <w:rPr>
          <w:iCs/>
          <w:sz w:val="20"/>
          <w:szCs w:val="20"/>
          <w:lang w:eastAsia="en-GB"/>
        </w:rPr>
        <w:t>’.</w:t>
      </w:r>
      <w:r w:rsidRPr="00073749">
        <w:rPr>
          <w:iCs/>
          <w:sz w:val="20"/>
          <w:szCs w:val="20"/>
          <w:lang w:eastAsia="en-GB"/>
        </w:rPr>
        <w:t xml:space="preserve"> Available at: </w:t>
      </w:r>
      <w:hyperlink r:id="rId107" w:history="1">
        <w:r w:rsidRPr="00073749">
          <w:rPr>
            <w:rStyle w:val="Hyperlink"/>
            <w:iCs/>
            <w:sz w:val="20"/>
            <w:szCs w:val="20"/>
            <w:lang w:eastAsia="en-GB"/>
          </w:rPr>
          <w:t>https://www.parliament.uk/business/committees/committees-a-z/commons-select/home-affairs-committee/inquiries/parliament-2017/domestic-abuse-inquiry-17-19/</w:t>
        </w:r>
      </w:hyperlink>
      <w:r w:rsidRPr="00073749">
        <w:rPr>
          <w:iCs/>
          <w:sz w:val="20"/>
          <w:szCs w:val="20"/>
          <w:lang w:eastAsia="en-GB"/>
        </w:rPr>
        <w:t xml:space="preserve"> [accessed</w:t>
      </w:r>
      <w:r>
        <w:rPr>
          <w:iCs/>
          <w:sz w:val="20"/>
          <w:szCs w:val="20"/>
          <w:lang w:eastAsia="en-GB"/>
        </w:rPr>
        <w:t>:</w:t>
      </w:r>
      <w:r w:rsidRPr="00073749">
        <w:rPr>
          <w:iCs/>
          <w:sz w:val="20"/>
          <w:szCs w:val="20"/>
          <w:lang w:eastAsia="en-GB"/>
        </w:rPr>
        <w:t xml:space="preserve"> 30</w:t>
      </w:r>
      <w:r>
        <w:rPr>
          <w:iCs/>
          <w:sz w:val="20"/>
          <w:szCs w:val="20"/>
          <w:lang w:eastAsia="en-GB"/>
        </w:rPr>
        <w:t xml:space="preserve"> October 20</w:t>
      </w:r>
      <w:r w:rsidRPr="00073749">
        <w:rPr>
          <w:iCs/>
          <w:sz w:val="20"/>
          <w:szCs w:val="20"/>
          <w:lang w:eastAsia="en-GB"/>
        </w:rPr>
        <w:t>18]</w:t>
      </w:r>
      <w:r>
        <w:rPr>
          <w:iCs/>
          <w:sz w:val="20"/>
          <w:szCs w:val="20"/>
          <w:lang w:eastAsia="en-GB"/>
        </w:rPr>
        <w:t xml:space="preserve">. </w:t>
      </w:r>
      <w:r w:rsidRPr="00073749">
        <w:rPr>
          <w:sz w:val="20"/>
          <w:szCs w:val="20"/>
        </w:rPr>
        <w:t>The committee said</w:t>
      </w:r>
      <w:r w:rsidRPr="000B528A">
        <w:rPr>
          <w:sz w:val="20"/>
          <w:szCs w:val="20"/>
        </w:rPr>
        <w:t>: ‘</w:t>
      </w:r>
      <w:r w:rsidRPr="000B528A">
        <w:rPr>
          <w:iCs/>
          <w:sz w:val="20"/>
          <w:szCs w:val="20"/>
          <w:lang w:eastAsia="en-GB"/>
        </w:rPr>
        <w:t xml:space="preserve">Insecure immigration status must not bar victims of abuse from protection and access to justice. The Government states that its immediate priority is to ensure that all vulnerable migrants, including those in the UK illegally, receive the support and assistance they need regardless of their immigration status. It must ensure that the police service conforms with this objective.’  </w:t>
      </w:r>
    </w:p>
  </w:footnote>
  <w:footnote w:id="150">
    <w:p w14:paraId="0BDAA7AC" w14:textId="1CD9CBD3" w:rsidR="004F37B8" w:rsidRDefault="004F37B8" w:rsidP="00254203">
      <w:pPr>
        <w:pStyle w:val="FootnoteText"/>
      </w:pPr>
      <w:r>
        <w:rPr>
          <w:rStyle w:val="FootnoteReference"/>
        </w:rPr>
        <w:footnoteRef/>
      </w:r>
      <w:r>
        <w:t xml:space="preserve"> Baillot, H. and Connelly, E. (2018), ‘Women seeking asylum: Safe from violence in the UK?’ Available at: </w:t>
      </w:r>
      <w:hyperlink r:id="rId108" w:history="1">
        <w:r w:rsidRPr="00BB2AAD">
          <w:rPr>
            <w:rStyle w:val="Hyperlink"/>
          </w:rPr>
          <w:t>https://www.refugeecouncil.org.uk/assets/0004/3799/Safe_from_violence_in_the_UK._ASAP-RC_report.pdf</w:t>
        </w:r>
      </w:hyperlink>
      <w:r>
        <w:rPr>
          <w:rStyle w:val="Hyperlink"/>
        </w:rPr>
        <w:t xml:space="preserve"> </w:t>
      </w:r>
      <w:r>
        <w:t xml:space="preserve">[accessed: 5 December 2018]. </w:t>
      </w:r>
    </w:p>
  </w:footnote>
  <w:footnote w:id="151">
    <w:p w14:paraId="5E5F23E9" w14:textId="765663B9" w:rsidR="004F37B8" w:rsidRDefault="004F37B8" w:rsidP="00254203">
      <w:pPr>
        <w:pStyle w:val="FootnoteText"/>
      </w:pPr>
      <w:r>
        <w:rPr>
          <w:rStyle w:val="FootnoteReference"/>
        </w:rPr>
        <w:footnoteRef/>
      </w:r>
      <w:r>
        <w:t xml:space="preserve"> EHRC</w:t>
      </w:r>
      <w:r>
        <w:rPr>
          <w:rFonts w:cs="Arial"/>
        </w:rPr>
        <w:t xml:space="preserve"> (2018)</w:t>
      </w:r>
      <w:r w:rsidRPr="00793D91">
        <w:rPr>
          <w:rFonts w:cs="Arial"/>
        </w:rPr>
        <w:t xml:space="preserve">, </w:t>
      </w:r>
      <w:r>
        <w:rPr>
          <w:rFonts w:cs="Arial"/>
        </w:rPr>
        <w:t>‘</w:t>
      </w:r>
      <w:r w:rsidRPr="00793D91">
        <w:rPr>
          <w:rFonts w:cs="Arial"/>
        </w:rPr>
        <w:t xml:space="preserve">The cumulative impact </w:t>
      </w:r>
      <w:r>
        <w:rPr>
          <w:rFonts w:cs="Arial"/>
        </w:rPr>
        <w:t xml:space="preserve">of tax and welfare reforms’. Available at: </w:t>
      </w:r>
      <w:hyperlink r:id="rId109" w:history="1">
        <w:r w:rsidRPr="00583831">
          <w:rPr>
            <w:rStyle w:val="Hyperlink"/>
          </w:rPr>
          <w:t>https://www.equalityhumanrights.com/en/publication-download/cumulative-impact-tax-and-welfare-reforms</w:t>
        </w:r>
      </w:hyperlink>
      <w:r>
        <w:t xml:space="preserve"> [accessed: 5 December 2018].</w:t>
      </w:r>
    </w:p>
  </w:footnote>
  <w:footnote w:id="152">
    <w:p w14:paraId="2BC889FE" w14:textId="66374E01" w:rsidR="004F37B8" w:rsidRDefault="004F37B8">
      <w:pPr>
        <w:pStyle w:val="FootnoteText"/>
      </w:pPr>
      <w:r>
        <w:rPr>
          <w:rStyle w:val="FootnoteReference"/>
        </w:rPr>
        <w:footnoteRef/>
      </w:r>
      <w:r>
        <w:t xml:space="preserve"> </w:t>
      </w:r>
      <w:r w:rsidRPr="00AA3B1D">
        <w:rPr>
          <w:rFonts w:cs="Arial"/>
        </w:rPr>
        <w:t>Hudson-Sharp</w:t>
      </w:r>
      <w:r>
        <w:rPr>
          <w:rFonts w:cs="Arial"/>
        </w:rPr>
        <w:t>, N., Munro-Lott, N., Rolfe, H. and Runge, J.</w:t>
      </w:r>
      <w:r w:rsidRPr="00AA3B1D">
        <w:rPr>
          <w:rFonts w:cs="Arial"/>
        </w:rPr>
        <w:t xml:space="preserve"> (2018), ‘The impact of welfare reform and welfare</w:t>
      </w:r>
      <w:r>
        <w:rPr>
          <w:rFonts w:cs="Arial"/>
        </w:rPr>
        <w:t>-</w:t>
      </w:r>
      <w:r w:rsidRPr="00AA3B1D">
        <w:rPr>
          <w:rFonts w:cs="Arial"/>
        </w:rPr>
        <w:t>to</w:t>
      </w:r>
      <w:r>
        <w:rPr>
          <w:rFonts w:cs="Arial"/>
        </w:rPr>
        <w:t>-</w:t>
      </w:r>
      <w:r w:rsidRPr="00AA3B1D">
        <w:rPr>
          <w:rFonts w:cs="Arial"/>
        </w:rPr>
        <w:t>work programmes: an evidence review’</w:t>
      </w:r>
      <w:r>
        <w:rPr>
          <w:rFonts w:cs="Arial"/>
        </w:rPr>
        <w:t>.</w:t>
      </w:r>
      <w:r w:rsidRPr="00AA3B1D">
        <w:rPr>
          <w:rFonts w:cs="Arial"/>
        </w:rPr>
        <w:t xml:space="preserve"> </w:t>
      </w:r>
      <w:r>
        <w:rPr>
          <w:rFonts w:cs="Arial"/>
        </w:rPr>
        <w:t>A</w:t>
      </w:r>
      <w:r w:rsidRPr="00AA3B1D">
        <w:rPr>
          <w:rFonts w:cs="Arial"/>
        </w:rPr>
        <w:t xml:space="preserve">vailable at: </w:t>
      </w:r>
      <w:hyperlink r:id="rId110" w:history="1">
        <w:r w:rsidRPr="00AA3B1D">
          <w:rPr>
            <w:rStyle w:val="Hyperlink"/>
            <w:rFonts w:cs="Arial"/>
          </w:rPr>
          <w:t>https://www.equalityhumanrights.com/en/publication-download/impact-welfare-reform-and-welfare-work-programmes-evidence-review</w:t>
        </w:r>
      </w:hyperlink>
      <w:r w:rsidRPr="00AA3B1D">
        <w:rPr>
          <w:rFonts w:cs="Arial"/>
        </w:rPr>
        <w:t xml:space="preserve"> [accessed</w:t>
      </w:r>
      <w:r>
        <w:rPr>
          <w:rFonts w:cs="Arial"/>
        </w:rPr>
        <w:t>:</w:t>
      </w:r>
      <w:r w:rsidRPr="00AA3B1D">
        <w:rPr>
          <w:rFonts w:cs="Arial"/>
        </w:rPr>
        <w:t xml:space="preserve"> 29 April 2018].</w:t>
      </w:r>
    </w:p>
  </w:footnote>
  <w:footnote w:id="153">
    <w:p w14:paraId="02F184DB" w14:textId="72B877FE" w:rsidR="004F37B8" w:rsidRPr="00920C8D" w:rsidRDefault="004F37B8" w:rsidP="00254203">
      <w:pPr>
        <w:pStyle w:val="FootnoteText"/>
        <w:rPr>
          <w:rFonts w:cs="Arial"/>
          <w:sz w:val="16"/>
          <w:szCs w:val="16"/>
        </w:rPr>
      </w:pPr>
      <w:r w:rsidRPr="00793D91">
        <w:rPr>
          <w:rStyle w:val="FootnoteReference"/>
          <w:rFonts w:cs="Arial"/>
          <w:sz w:val="18"/>
          <w:szCs w:val="16"/>
        </w:rPr>
        <w:footnoteRef/>
      </w:r>
      <w:r w:rsidRPr="00793D91">
        <w:rPr>
          <w:rFonts w:cs="Arial"/>
          <w:sz w:val="18"/>
          <w:szCs w:val="16"/>
        </w:rPr>
        <w:t xml:space="preserve"> </w:t>
      </w:r>
      <w:r>
        <w:t>EHRC</w:t>
      </w:r>
      <w:r>
        <w:rPr>
          <w:rFonts w:cs="Arial"/>
        </w:rPr>
        <w:t xml:space="preserve"> (2018)</w:t>
      </w:r>
      <w:r w:rsidRPr="00793D91">
        <w:rPr>
          <w:rFonts w:cs="Arial"/>
        </w:rPr>
        <w:t xml:space="preserve">, </w:t>
      </w:r>
      <w:r>
        <w:rPr>
          <w:rFonts w:cs="Arial"/>
        </w:rPr>
        <w:t>‘</w:t>
      </w:r>
      <w:r w:rsidRPr="00793D91">
        <w:rPr>
          <w:rFonts w:cs="Arial"/>
        </w:rPr>
        <w:t>The cumulative impact on living standards of public spending changes</w:t>
      </w:r>
      <w:r>
        <w:rPr>
          <w:rFonts w:cs="Arial"/>
        </w:rPr>
        <w:t>’</w:t>
      </w:r>
      <w:r w:rsidRPr="00793D91">
        <w:rPr>
          <w:rFonts w:cs="Arial"/>
        </w:rPr>
        <w:t>.</w:t>
      </w:r>
      <w:r>
        <w:rPr>
          <w:rFonts w:cs="Arial"/>
        </w:rPr>
        <w:t xml:space="preserve"> Available at:</w:t>
      </w:r>
      <w:r w:rsidRPr="00793D91">
        <w:rPr>
          <w:rFonts w:cs="Arial"/>
        </w:rPr>
        <w:t xml:space="preserve"> </w:t>
      </w:r>
      <w:hyperlink r:id="rId111" w:history="1">
        <w:r w:rsidRPr="00583831">
          <w:rPr>
            <w:rStyle w:val="Hyperlink"/>
            <w:rFonts w:cs="Arial"/>
          </w:rPr>
          <w:t>https://www.equalityhumanrights.com/en/publication-download/cumulative-impact-living-standards-public-spending-changes</w:t>
        </w:r>
      </w:hyperlink>
      <w:r>
        <w:rPr>
          <w:rFonts w:cs="Arial"/>
        </w:rPr>
        <w:t xml:space="preserve"> </w:t>
      </w:r>
      <w:r>
        <w:t>[accessed: 5 December 2018].</w:t>
      </w:r>
    </w:p>
  </w:footnote>
  <w:footnote w:id="154">
    <w:p w14:paraId="0682658F" w14:textId="636FB5EF" w:rsidR="004F37B8" w:rsidRDefault="004F37B8" w:rsidP="00254203">
      <w:pPr>
        <w:spacing w:line="240" w:lineRule="auto"/>
      </w:pPr>
      <w:r w:rsidRPr="00793D91">
        <w:rPr>
          <w:rStyle w:val="FootnoteReference"/>
          <w:rFonts w:cs="Arial"/>
          <w:sz w:val="18"/>
          <w:szCs w:val="16"/>
        </w:rPr>
        <w:footnoteRef/>
      </w:r>
      <w:r w:rsidRPr="00793D91">
        <w:rPr>
          <w:rFonts w:cs="Arial"/>
          <w:sz w:val="18"/>
          <w:szCs w:val="16"/>
        </w:rPr>
        <w:t xml:space="preserve"> </w:t>
      </w:r>
      <w:r w:rsidRPr="00072EB8">
        <w:rPr>
          <w:rFonts w:cs="Arial"/>
          <w:sz w:val="20"/>
          <w:szCs w:val="20"/>
        </w:rPr>
        <w:t>Women’s Budget Group (2018),</w:t>
      </w:r>
      <w:r>
        <w:t xml:space="preserve"> ‘</w:t>
      </w:r>
      <w:r w:rsidRPr="00793D91">
        <w:rPr>
          <w:rFonts w:cs="Arial"/>
          <w:sz w:val="20"/>
          <w:szCs w:val="20"/>
        </w:rPr>
        <w:t xml:space="preserve">The </w:t>
      </w:r>
      <w:r>
        <w:rPr>
          <w:rFonts w:cs="Arial"/>
          <w:sz w:val="20"/>
          <w:szCs w:val="20"/>
        </w:rPr>
        <w:t>f</w:t>
      </w:r>
      <w:r w:rsidRPr="00793D91">
        <w:rPr>
          <w:rFonts w:cs="Arial"/>
          <w:sz w:val="20"/>
          <w:szCs w:val="20"/>
        </w:rPr>
        <w:t xml:space="preserve">emale </w:t>
      </w:r>
      <w:r>
        <w:rPr>
          <w:rFonts w:cs="Arial"/>
          <w:sz w:val="20"/>
          <w:szCs w:val="20"/>
        </w:rPr>
        <w:t>f</w:t>
      </w:r>
      <w:r w:rsidRPr="00793D91">
        <w:rPr>
          <w:rFonts w:cs="Arial"/>
          <w:sz w:val="20"/>
          <w:szCs w:val="20"/>
        </w:rPr>
        <w:t xml:space="preserve">ace of </w:t>
      </w:r>
      <w:r>
        <w:rPr>
          <w:rFonts w:cs="Arial"/>
          <w:sz w:val="20"/>
          <w:szCs w:val="20"/>
        </w:rPr>
        <w:t>p</w:t>
      </w:r>
      <w:r w:rsidRPr="00793D91">
        <w:rPr>
          <w:rFonts w:cs="Arial"/>
          <w:sz w:val="20"/>
          <w:szCs w:val="20"/>
        </w:rPr>
        <w:t>overty</w:t>
      </w:r>
      <w:r>
        <w:rPr>
          <w:rFonts w:cs="Arial"/>
          <w:sz w:val="20"/>
          <w:szCs w:val="20"/>
        </w:rPr>
        <w:t xml:space="preserve">’. Available at: </w:t>
      </w:r>
      <w:hyperlink r:id="rId112" w:history="1">
        <w:r w:rsidRPr="00793D91">
          <w:rPr>
            <w:rStyle w:val="Hyperlink"/>
            <w:rFonts w:cs="Arial"/>
            <w:sz w:val="20"/>
            <w:szCs w:val="20"/>
          </w:rPr>
          <w:t>https://wbg.org.uk/analysis/the-female-face-of-poverty/</w:t>
        </w:r>
      </w:hyperlink>
      <w:r>
        <w:rPr>
          <w:rStyle w:val="Hyperlink"/>
          <w:rFonts w:cs="Arial"/>
          <w:sz w:val="20"/>
          <w:szCs w:val="20"/>
        </w:rPr>
        <w:t xml:space="preserve"> </w:t>
      </w:r>
      <w:r w:rsidRPr="00072EB8">
        <w:rPr>
          <w:rFonts w:cs="Arial"/>
          <w:sz w:val="20"/>
          <w:szCs w:val="20"/>
        </w:rPr>
        <w:t>[accessed: 5 December 2018].</w:t>
      </w:r>
    </w:p>
  </w:footnote>
  <w:footnote w:id="155">
    <w:p w14:paraId="537EC191" w14:textId="4FA37075" w:rsidR="004F37B8" w:rsidRDefault="004F37B8" w:rsidP="00254203">
      <w:pPr>
        <w:pStyle w:val="FootnoteText"/>
      </w:pPr>
      <w:r>
        <w:rPr>
          <w:rStyle w:val="FootnoteReference"/>
        </w:rPr>
        <w:footnoteRef/>
      </w:r>
      <w:r>
        <w:t xml:space="preserve"> Office of the High Commissioner for Human Rights (2018), ‘Statement on visit to the United Kingdom, by Professor Philip Alston, United Nations Special Rapporteur on extreme poverty and human rights’. Available at:  </w:t>
      </w:r>
      <w:hyperlink r:id="rId113" w:history="1">
        <w:r w:rsidRPr="00AC4313">
          <w:rPr>
            <w:rStyle w:val="Hyperlink"/>
          </w:rPr>
          <w:t>https://www.ohchr.org/Documents/Issues/Poverty/EOM_GB_16Nov2018.pdf</w:t>
        </w:r>
      </w:hyperlink>
      <w:r>
        <w:t xml:space="preserve"> [accessed: 5 December 2018].</w:t>
      </w:r>
    </w:p>
  </w:footnote>
  <w:footnote w:id="156">
    <w:p w14:paraId="40D4C55D" w14:textId="77777777" w:rsidR="004F37B8" w:rsidRDefault="004F37B8" w:rsidP="00254203">
      <w:pPr>
        <w:pStyle w:val="FootnoteText"/>
      </w:pPr>
      <w:r>
        <w:rPr>
          <w:rStyle w:val="FootnoteReference"/>
        </w:rPr>
        <w:footnoteRef/>
      </w:r>
      <w:r>
        <w:t xml:space="preserve"> Work and Pensions Committee. 2018. </w:t>
      </w:r>
      <w:r>
        <w:rPr>
          <w:i/>
        </w:rPr>
        <w:t xml:space="preserve">Government must act on domestic abuse risk under Universal Credit. </w:t>
      </w:r>
      <w:r>
        <w:t xml:space="preserve">[ONLINE]. Available at: </w:t>
      </w:r>
      <w:hyperlink r:id="rId114" w:history="1">
        <w:r w:rsidRPr="00F07887">
          <w:rPr>
            <w:rStyle w:val="Hyperlink"/>
          </w:rPr>
          <w:t>https://www.parliament.uk/business/committees/committees-a-z/commons-select/work-and-pensions-committee/news-parliament-2017/universal-credit-domestic-abuse-report-publication-17-19/</w:t>
        </w:r>
      </w:hyperlink>
      <w:r>
        <w:t xml:space="preserve"> [accessed: 5 December 2018].</w:t>
      </w:r>
    </w:p>
  </w:footnote>
  <w:footnote w:id="157">
    <w:p w14:paraId="3DA44858" w14:textId="4C1E2227" w:rsidR="004F37B8" w:rsidRDefault="004F37B8" w:rsidP="00254203">
      <w:pPr>
        <w:pStyle w:val="FootnoteText"/>
      </w:pPr>
      <w:r>
        <w:rPr>
          <w:rStyle w:val="FootnoteReference"/>
        </w:rPr>
        <w:footnoteRef/>
      </w:r>
      <w:r>
        <w:t xml:space="preserve"> EHRC (2018), ‘Written evidence from Equality and Human Rights Commission (UCR0231)’. Available at: </w:t>
      </w:r>
      <w:hyperlink r:id="rId115" w:history="1">
        <w:r w:rsidRPr="00B43073">
          <w:rPr>
            <w:rStyle w:val="Hyperlink"/>
          </w:rPr>
          <w:t>http://data.parliament.uk/writtenevidence/committeeevidence.svc/evidencedocument/work-and-pensions-committee/universal-credit-rollout/written/82350.html</w:t>
        </w:r>
      </w:hyperlink>
      <w:r>
        <w:t xml:space="preserve"> [accessed: 5 December 2018].</w:t>
      </w:r>
    </w:p>
  </w:footnote>
  <w:footnote w:id="158">
    <w:p w14:paraId="62781D5A" w14:textId="4786721A" w:rsidR="004F37B8" w:rsidRDefault="004F37B8" w:rsidP="00254203">
      <w:pPr>
        <w:pStyle w:val="FootnoteText"/>
      </w:pPr>
      <w:r>
        <w:rPr>
          <w:rStyle w:val="FootnoteReference"/>
        </w:rPr>
        <w:footnoteRef/>
      </w:r>
      <w:r>
        <w:t xml:space="preserve"> Work and Pensions Committee (2018), ‘Universal credit and domestic abuse: Government response to the committee’s seventeenth report’. Available at: </w:t>
      </w:r>
      <w:hyperlink r:id="rId116" w:history="1">
        <w:r w:rsidRPr="00F07887">
          <w:rPr>
            <w:rStyle w:val="Hyperlink"/>
          </w:rPr>
          <w:t>https://publications.parliament.uk/pa/cm201719/cmselect/cmworpen/1611/1611.pdf</w:t>
        </w:r>
      </w:hyperlink>
      <w:r>
        <w:rPr>
          <w:rStyle w:val="Hyperlink"/>
        </w:rPr>
        <w:t xml:space="preserve"> </w:t>
      </w:r>
      <w:r>
        <w:t xml:space="preserve">[accessed: 5 December 2018]. </w:t>
      </w:r>
    </w:p>
  </w:footnote>
  <w:footnote w:id="159">
    <w:p w14:paraId="350AE72E" w14:textId="66C4B5BB" w:rsidR="004F37B8" w:rsidRDefault="004F37B8" w:rsidP="00254203">
      <w:pPr>
        <w:pStyle w:val="FootnoteText"/>
      </w:pPr>
      <w:r>
        <w:rPr>
          <w:rStyle w:val="FootnoteReference"/>
        </w:rPr>
        <w:footnoteRef/>
      </w:r>
      <w:r w:rsidRPr="00072EB8">
        <w:t>Women’s Budget Group</w:t>
      </w:r>
      <w:r>
        <w:t xml:space="preserve"> (2018), ‘Universal Credit and financial abuse’. Available at: </w:t>
      </w:r>
      <w:r>
        <w:rPr>
          <w:rStyle w:val="Hyperlink"/>
        </w:rPr>
        <w:t xml:space="preserve"> </w:t>
      </w:r>
      <w:hyperlink r:id="rId117" w:history="1">
        <w:r w:rsidRPr="00BF186F">
          <w:rPr>
            <w:rStyle w:val="Hyperlink"/>
          </w:rPr>
          <w:t>https://wbg.org.uk/wp-content/uploads/2018/09/FINAL-full-report-financial-abuse-and-uc.pdf</w:t>
        </w:r>
      </w:hyperlink>
      <w:r>
        <w:rPr>
          <w:rStyle w:val="Hyperlink"/>
        </w:rPr>
        <w:t xml:space="preserve"> </w:t>
      </w:r>
      <w:r>
        <w:t xml:space="preserve">[accessed: 5 December 2018].  </w:t>
      </w:r>
    </w:p>
  </w:footnote>
  <w:footnote w:id="160">
    <w:p w14:paraId="7E538F3F" w14:textId="2A1D7E7A" w:rsidR="004F37B8" w:rsidRDefault="004F37B8" w:rsidP="00254203">
      <w:pPr>
        <w:pStyle w:val="FootnoteText"/>
      </w:pPr>
      <w:r>
        <w:rPr>
          <w:rStyle w:val="FootnoteReference"/>
        </w:rPr>
        <w:footnoteRef/>
      </w:r>
      <w:r>
        <w:t xml:space="preserve"> UK Parliament. 2018. </w:t>
      </w:r>
      <w:r w:rsidRPr="00EE1CEF">
        <w:rPr>
          <w:i/>
        </w:rPr>
        <w:t>State retirement pensions: females: written question – 146343</w:t>
      </w:r>
      <w:r>
        <w:t xml:space="preserve">. [ONLINE]. Available at: </w:t>
      </w:r>
      <w:hyperlink r:id="rId118" w:history="1">
        <w:r w:rsidRPr="00A75E90">
          <w:rPr>
            <w:rStyle w:val="Hyperlink"/>
          </w:rPr>
          <w:t>https://www.parliament.uk/written-questions-answers-statements/written-question/commons/2018-05-21/146343</w:t>
        </w:r>
      </w:hyperlink>
      <w:r>
        <w:rPr>
          <w:rStyle w:val="Hyperlink"/>
        </w:rPr>
        <w:t xml:space="preserve"> </w:t>
      </w:r>
      <w:r>
        <w:t xml:space="preserve">[accessed: 5 December 2018]. </w:t>
      </w:r>
      <w:r w:rsidRPr="00E93D38">
        <w:t xml:space="preserve">The complaints are that failures by the Department </w:t>
      </w:r>
      <w:r>
        <w:t>for</w:t>
      </w:r>
      <w:r w:rsidRPr="00E93D38">
        <w:t xml:space="preserve"> Work and Pensions to communicate the changes in SPA denied women the chance to make informed choices about their future pension provision</w:t>
      </w:r>
      <w:r>
        <w:t>.</w:t>
      </w:r>
    </w:p>
  </w:footnote>
  <w:footnote w:id="161">
    <w:p w14:paraId="66AB6549" w14:textId="6D759661" w:rsidR="004F37B8" w:rsidRDefault="004F37B8" w:rsidP="00254203">
      <w:pPr>
        <w:pStyle w:val="FootnoteText"/>
      </w:pPr>
      <w:r>
        <w:rPr>
          <w:rStyle w:val="FootnoteReference"/>
        </w:rPr>
        <w:footnoteRef/>
      </w:r>
      <w:r>
        <w:t xml:space="preserve"> UK Parliament. 2018. </w:t>
      </w:r>
      <w:r w:rsidRPr="00EE1CEF">
        <w:rPr>
          <w:i/>
        </w:rPr>
        <w:t>State retirement pensions: females: written question – 187381</w:t>
      </w:r>
      <w:r>
        <w:t xml:space="preserve">. [ONLINE]. Available at: </w:t>
      </w:r>
      <w:hyperlink r:id="rId119" w:history="1">
        <w:r w:rsidRPr="00A75E90">
          <w:rPr>
            <w:rStyle w:val="Hyperlink"/>
          </w:rPr>
          <w:t>https://www.parliament.uk/business/publications/written-questions-answers-statements/written-question/Commons/2018-11-02/187381/</w:t>
        </w:r>
      </w:hyperlink>
      <w:r>
        <w:t xml:space="preserve"> [accessed: 5 December 2018].</w:t>
      </w:r>
    </w:p>
  </w:footnote>
  <w:footnote w:id="162">
    <w:p w14:paraId="58599608" w14:textId="77777777" w:rsidR="004F37B8" w:rsidRDefault="004F37B8" w:rsidP="00254203">
      <w:pPr>
        <w:pStyle w:val="FootnoteText"/>
      </w:pPr>
      <w:r>
        <w:rPr>
          <w:rStyle w:val="FootnoteReference"/>
        </w:rPr>
        <w:footnoteRef/>
      </w:r>
      <w:r>
        <w:t xml:space="preserve"> </w:t>
      </w:r>
      <w:r w:rsidRPr="00EE1CEF">
        <w:rPr>
          <w:i/>
        </w:rPr>
        <w:t>FT Adviser</w:t>
      </w:r>
      <w:r>
        <w:t xml:space="preserve">. 2017. </w:t>
      </w:r>
      <w:r>
        <w:rPr>
          <w:i/>
        </w:rPr>
        <w:t>Ombudsman intervenes in Waspi complaint cases</w:t>
      </w:r>
      <w:r>
        <w:t xml:space="preserve"> [ONLINE]. Available at: </w:t>
      </w:r>
      <w:hyperlink r:id="rId120" w:history="1">
        <w:r w:rsidRPr="00A75E90">
          <w:rPr>
            <w:rStyle w:val="Hyperlink"/>
          </w:rPr>
          <w:t>https://www.ftadviser.com/pensions/2017/11/29/ombudsman-intervenes-in-waspi-complaint-cases/?page=2</w:t>
        </w:r>
      </w:hyperlink>
      <w:r>
        <w:t xml:space="preserve"> [accessed: 5 December 2018].</w:t>
      </w:r>
    </w:p>
  </w:footnote>
  <w:footnote w:id="163">
    <w:p w14:paraId="7FDD9C0D" w14:textId="53170292" w:rsidR="004F37B8" w:rsidRDefault="004F37B8" w:rsidP="00254203">
      <w:pPr>
        <w:pStyle w:val="FootnoteText"/>
      </w:pPr>
      <w:r>
        <w:rPr>
          <w:rStyle w:val="FootnoteReference"/>
        </w:rPr>
        <w:footnoteRef/>
      </w:r>
      <w:r>
        <w:t xml:space="preserve"> Office of the High Commissioner for Human Rights (2018), ‘Statement on visit to the United Kingdom, by Professor Philip Alston, United Nations Special Rapporteur on extreme poverty and human rights’. Available at:  </w:t>
      </w:r>
      <w:hyperlink r:id="rId121" w:history="1">
        <w:r w:rsidRPr="00AC4313">
          <w:rPr>
            <w:rStyle w:val="Hyperlink"/>
          </w:rPr>
          <w:t>https://www.ohchr.org/Documents/Issues/Poverty/EOM_GB_16Nov2018.pdf</w:t>
        </w:r>
      </w:hyperlink>
      <w:r>
        <w:t xml:space="preserve"> [accessed: 5 December 2018].</w:t>
      </w:r>
    </w:p>
  </w:footnote>
  <w:footnote w:id="164">
    <w:p w14:paraId="73B8952E" w14:textId="34CA7448" w:rsidR="004F37B8" w:rsidRDefault="004F37B8" w:rsidP="00254203">
      <w:pPr>
        <w:pStyle w:val="FootnoteText"/>
      </w:pPr>
      <w:r>
        <w:rPr>
          <w:rStyle w:val="FootnoteReference"/>
        </w:rPr>
        <w:footnoteRef/>
      </w:r>
      <w:r>
        <w:t xml:space="preserve"> BBC News. 2018. </w:t>
      </w:r>
      <w:r>
        <w:rPr>
          <w:i/>
        </w:rPr>
        <w:t>Women’s state pension changes to get legal review</w:t>
      </w:r>
      <w:r>
        <w:t xml:space="preserve"> [ONLINE]. Available at: </w:t>
      </w:r>
      <w:hyperlink r:id="rId122" w:history="1">
        <w:r w:rsidRPr="00750867">
          <w:rPr>
            <w:rStyle w:val="Hyperlink"/>
          </w:rPr>
          <w:t>https://www.bbc.co.uk/news/business-46400290</w:t>
        </w:r>
      </w:hyperlink>
      <w:r>
        <w:rPr>
          <w:rStyle w:val="Hyperlink"/>
        </w:rPr>
        <w:t xml:space="preserve"> </w:t>
      </w:r>
      <w:r>
        <w:t>[accessed: 5 December 2018].</w:t>
      </w:r>
    </w:p>
  </w:footnote>
  <w:footnote w:id="165">
    <w:p w14:paraId="0B400CA9" w14:textId="7ECE40FB" w:rsidR="004F37B8" w:rsidRDefault="004F37B8" w:rsidP="00254203">
      <w:pPr>
        <w:pStyle w:val="FootnoteText"/>
      </w:pPr>
      <w:r>
        <w:rPr>
          <w:rStyle w:val="FootnoteReference"/>
        </w:rPr>
        <w:footnoteRef/>
      </w:r>
      <w:r>
        <w:t xml:space="preserve"> UK Parliament. 2018. </w:t>
      </w:r>
      <w:r w:rsidRPr="008B3116">
        <w:rPr>
          <w:i/>
        </w:rPr>
        <w:t xml:space="preserve">Parental leave: grandparents: written question </w:t>
      </w:r>
      <w:r w:rsidRPr="008B3116">
        <w:rPr>
          <w:rFonts w:cs="Arial"/>
          <w:i/>
        </w:rPr>
        <w:t>–</w:t>
      </w:r>
      <w:r w:rsidRPr="008B3116">
        <w:rPr>
          <w:i/>
        </w:rPr>
        <w:t xml:space="preserve"> 147297</w:t>
      </w:r>
      <w:r>
        <w:t xml:space="preserve">. [ONLINE]. Available at: </w:t>
      </w:r>
      <w:hyperlink r:id="rId123" w:history="1">
        <w:r w:rsidRPr="00072EB8">
          <w:rPr>
            <w:rStyle w:val="Hyperlink"/>
          </w:rPr>
          <w:t>https://www.parliament.uk/business/publications/written-questions-answers-statements/written-question/Commons/2018-05-23/147297/</w:t>
        </w:r>
      </w:hyperlink>
      <w:r>
        <w:t xml:space="preserve"> [accessed: 5 December 2018].</w:t>
      </w:r>
    </w:p>
  </w:footnote>
  <w:footnote w:id="166">
    <w:p w14:paraId="3332681E" w14:textId="124DEF8C" w:rsidR="004F37B8" w:rsidRDefault="004F37B8" w:rsidP="00254203">
      <w:pPr>
        <w:pStyle w:val="FootnoteText"/>
      </w:pPr>
      <w:r>
        <w:rPr>
          <w:rStyle w:val="FootnoteReference"/>
        </w:rPr>
        <w:footnoteRef/>
      </w:r>
      <w:r>
        <w:t xml:space="preserve"> Chartered Institute of Personnel and Development (2016), ‘Labour market outlook: focus on working parents’. Available at: </w:t>
      </w:r>
      <w:hyperlink r:id="rId124" w:history="1">
        <w:r w:rsidRPr="00FA32A2">
          <w:rPr>
            <w:rStyle w:val="Hyperlink"/>
          </w:rPr>
          <w:t>https://www.cipd.co.uk/Images/labour-market-outlook-focus-on-working-parents_tcm18-17048.pdf</w:t>
        </w:r>
      </w:hyperlink>
      <w:r>
        <w:t xml:space="preserve"> [accessed: 5 December 2018].</w:t>
      </w:r>
    </w:p>
  </w:footnote>
  <w:footnote w:id="167">
    <w:p w14:paraId="2FD10DA2" w14:textId="52EB9ABC" w:rsidR="004F37B8" w:rsidRDefault="004F37B8" w:rsidP="00254203">
      <w:pPr>
        <w:pStyle w:val="FootnoteText"/>
      </w:pPr>
      <w:r>
        <w:rPr>
          <w:rStyle w:val="FootnoteReference"/>
        </w:rPr>
        <w:footnoteRef/>
      </w:r>
      <w:r>
        <w:t xml:space="preserve"> </w:t>
      </w:r>
      <w:r w:rsidRPr="008B3116">
        <w:rPr>
          <w:i/>
        </w:rPr>
        <w:t>People Management</w:t>
      </w:r>
      <w:r>
        <w:t xml:space="preserve">. 2018. </w:t>
      </w:r>
      <w:r>
        <w:rPr>
          <w:i/>
        </w:rPr>
        <w:t xml:space="preserve">Government shelves ‘grandparental </w:t>
      </w:r>
      <w:r w:rsidRPr="00072EB8">
        <w:rPr>
          <w:i/>
        </w:rPr>
        <w:t>leave’ reforms</w:t>
      </w:r>
      <w:r>
        <w:t xml:space="preserve">. [ONLINE]. Available at: </w:t>
      </w:r>
      <w:hyperlink r:id="rId125" w:history="1">
        <w:r w:rsidRPr="00072EB8">
          <w:rPr>
            <w:rStyle w:val="Hyperlink"/>
          </w:rPr>
          <w:t>https</w:t>
        </w:r>
        <w:r w:rsidRPr="00FA32A2">
          <w:rPr>
            <w:rStyle w:val="Hyperlink"/>
          </w:rPr>
          <w:t>://www.peoplemanagement.co.uk/news/articles/government-shelves-grandparental-leave</w:t>
        </w:r>
      </w:hyperlink>
      <w:r>
        <w:t xml:space="preserve"> [accessed: 5 December 2018].</w:t>
      </w:r>
    </w:p>
  </w:footnote>
  <w:footnote w:id="168">
    <w:p w14:paraId="0204C550" w14:textId="03A1D056" w:rsidR="004F37B8" w:rsidRDefault="004F37B8" w:rsidP="00254203">
      <w:pPr>
        <w:pStyle w:val="FootnoteText"/>
      </w:pPr>
      <w:r>
        <w:rPr>
          <w:rStyle w:val="FootnoteReference"/>
        </w:rPr>
        <w:footnoteRef/>
      </w:r>
      <w:r>
        <w:t xml:space="preserve"> </w:t>
      </w:r>
      <w:hyperlink r:id="rId126" w:history="1">
        <w:r w:rsidRPr="00F57ED5">
          <w:rPr>
            <w:rStyle w:val="Hyperlink"/>
          </w:rPr>
          <w:t xml:space="preserve"> </w:t>
        </w:r>
        <w:r w:rsidRPr="008B3116">
          <w:rPr>
            <w:rStyle w:val="Hyperlink"/>
            <w:i/>
          </w:rPr>
          <w:t>People Management</w:t>
        </w:r>
        <w:r w:rsidRPr="00F57ED5">
          <w:rPr>
            <w:rStyle w:val="Hyperlink"/>
          </w:rPr>
          <w:t xml:space="preserve">. 2018. </w:t>
        </w:r>
        <w:r w:rsidRPr="00F57ED5">
          <w:rPr>
            <w:rStyle w:val="Hyperlink"/>
            <w:i/>
          </w:rPr>
          <w:t>Number of parents taking shared parental leave ‘remarkably low’ for third year.</w:t>
        </w:r>
        <w:r w:rsidRPr="00F57ED5">
          <w:rPr>
            <w:rStyle w:val="Hyperlink"/>
          </w:rPr>
          <w:t xml:space="preserve"> [ONLINE]. Available at: https://www.peoplemanagement.co.uk/news/articles/parents-taking-shared-parental-leave-remarkably-low</w:t>
        </w:r>
      </w:hyperlink>
      <w:r>
        <w:t xml:space="preserve"> [accessed: 5 December 2018].</w:t>
      </w:r>
    </w:p>
  </w:footnote>
  <w:footnote w:id="169">
    <w:p w14:paraId="0C125027" w14:textId="1CEB5F27" w:rsidR="004F37B8" w:rsidRDefault="004F37B8" w:rsidP="00254203">
      <w:pPr>
        <w:pStyle w:val="FootnoteText"/>
      </w:pPr>
      <w:r>
        <w:rPr>
          <w:rStyle w:val="FootnoteReference"/>
        </w:rPr>
        <w:footnoteRef/>
      </w:r>
      <w:r>
        <w:t xml:space="preserve"> Family and Childcare Trust (2018), ‘Childcare Survey 2018’. Available at: </w:t>
      </w:r>
      <w:hyperlink r:id="rId127" w:history="1">
        <w:r w:rsidRPr="005C70AF">
          <w:rPr>
            <w:rStyle w:val="Hyperlink"/>
          </w:rPr>
          <w:t>https://www.familyandchildcaretrust.org/childcare-survey-2018</w:t>
        </w:r>
      </w:hyperlink>
      <w:r>
        <w:t xml:space="preserve"> [accessed: 5 December 2018].</w:t>
      </w:r>
    </w:p>
  </w:footnote>
  <w:footnote w:id="170">
    <w:p w14:paraId="3599A397" w14:textId="77777777" w:rsidR="004F37B8" w:rsidRDefault="004F37B8" w:rsidP="00254203">
      <w:pPr>
        <w:pStyle w:val="FootnoteText"/>
      </w:pPr>
      <w:r>
        <w:rPr>
          <w:rStyle w:val="FootnoteReference"/>
        </w:rPr>
        <w:footnoteRef/>
      </w:r>
      <w:r>
        <w:t xml:space="preserve"> House of Commons Treasury Committee (2018), ‘Childcare inquiry’. Available at:</w:t>
      </w:r>
    </w:p>
    <w:p w14:paraId="6225A3E6" w14:textId="77777777" w:rsidR="004F37B8" w:rsidRDefault="004F37B8" w:rsidP="00254203">
      <w:pPr>
        <w:pStyle w:val="FootnoteText"/>
      </w:pPr>
      <w:hyperlink r:id="rId128" w:history="1">
        <w:r w:rsidRPr="005C70AF">
          <w:rPr>
            <w:rStyle w:val="Hyperlink"/>
          </w:rPr>
          <w:t>https://www.parliament.uk/business/committees/committees-a-z/commons-select/treasury-committee/inquiries1/parliament-2017/childcare-17-19/</w:t>
        </w:r>
      </w:hyperlink>
      <w:r>
        <w:t xml:space="preserve"> [accessed: 5 December 2018].</w:t>
      </w:r>
    </w:p>
  </w:footnote>
  <w:footnote w:id="171">
    <w:p w14:paraId="590D871E" w14:textId="077A242D" w:rsidR="004F37B8" w:rsidRDefault="004F37B8" w:rsidP="00254203">
      <w:pPr>
        <w:pStyle w:val="FootnoteText"/>
      </w:pPr>
      <w:r>
        <w:rPr>
          <w:rStyle w:val="FootnoteReference"/>
        </w:rPr>
        <w:footnoteRef/>
      </w:r>
      <w:r>
        <w:t xml:space="preserve"> National Assembly for Wales. 2018. </w:t>
      </w:r>
      <w:r w:rsidRPr="00072EB8">
        <w:rPr>
          <w:i/>
        </w:rPr>
        <w:t>Childcare Funding (Wales) Bill</w:t>
      </w:r>
      <w:r>
        <w:t xml:space="preserve"> [ONLINE]. Available at: </w:t>
      </w:r>
      <w:hyperlink r:id="rId129" w:history="1">
        <w:r w:rsidRPr="00AC4313">
          <w:rPr>
            <w:rStyle w:val="Hyperlink"/>
          </w:rPr>
          <w:t>http://senedd.assembly.wales/mgIssueHistoryHome.aspx?IId=21394</w:t>
        </w:r>
      </w:hyperlink>
      <w:r>
        <w:t xml:space="preserve"> [accessed: 5 December 2018].</w:t>
      </w:r>
    </w:p>
  </w:footnote>
  <w:footnote w:id="172">
    <w:p w14:paraId="58A4C371" w14:textId="5C383C39" w:rsidR="004F37B8" w:rsidRDefault="004F37B8">
      <w:pPr>
        <w:pStyle w:val="FootnoteText"/>
      </w:pPr>
      <w:r>
        <w:rPr>
          <w:rStyle w:val="FootnoteReference"/>
        </w:rPr>
        <w:footnoteRef/>
      </w:r>
      <w:r>
        <w:t xml:space="preserve"> See: </w:t>
      </w:r>
      <w:hyperlink r:id="rId130" w:history="1">
        <w:r w:rsidRPr="00564A80">
          <w:rPr>
            <w:rStyle w:val="Hyperlink"/>
          </w:rPr>
          <w:t>https://beta.gov.wales/fair-work-commission</w:t>
        </w:r>
      </w:hyperlink>
      <w:r>
        <w:t xml:space="preserve"> [accessed: 22 January 2019].</w:t>
      </w:r>
    </w:p>
  </w:footnote>
  <w:footnote w:id="173">
    <w:p w14:paraId="77057E8F" w14:textId="77777777" w:rsidR="004F37B8" w:rsidRDefault="004F37B8" w:rsidP="00254203">
      <w:pPr>
        <w:pStyle w:val="FootnoteText"/>
      </w:pPr>
      <w:r>
        <w:rPr>
          <w:rStyle w:val="FootnoteReference"/>
        </w:rPr>
        <w:footnoteRef/>
      </w:r>
      <w:r>
        <w:t xml:space="preserve"> Women and Equalities Committee (2018), ‘Sexual harassment in the workplace’. Available at:  </w:t>
      </w:r>
      <w:hyperlink r:id="rId131" w:history="1">
        <w:r w:rsidRPr="002C194A">
          <w:rPr>
            <w:rStyle w:val="Hyperlink"/>
          </w:rPr>
          <w:t>https://publications.parliament.uk/pa/cm201719/cmselect/cmwomeq/725/725.pdf</w:t>
        </w:r>
      </w:hyperlink>
      <w:r>
        <w:rPr>
          <w:rStyle w:val="Hyperlink"/>
        </w:rPr>
        <w:t xml:space="preserve"> </w:t>
      </w:r>
      <w:r>
        <w:t>[accessed: 5 December 2018].</w:t>
      </w:r>
    </w:p>
  </w:footnote>
  <w:footnote w:id="174">
    <w:p w14:paraId="28D52D09" w14:textId="29DB5C15" w:rsidR="004F37B8" w:rsidRDefault="004F37B8" w:rsidP="00254203">
      <w:pPr>
        <w:pStyle w:val="FootnoteText"/>
      </w:pPr>
      <w:r>
        <w:rPr>
          <w:rStyle w:val="FootnoteReference"/>
        </w:rPr>
        <w:footnoteRef/>
      </w:r>
      <w:r>
        <w:t xml:space="preserve"> EHRC (2018), ‘Turning the tables: ending sexual harassment at work’. Available at:</w:t>
      </w:r>
    </w:p>
    <w:p w14:paraId="0CB2FEE3" w14:textId="69DF9A47" w:rsidR="004F37B8" w:rsidRDefault="004F37B8" w:rsidP="00254203">
      <w:pPr>
        <w:pStyle w:val="FootnoteText"/>
      </w:pPr>
      <w:hyperlink r:id="rId132" w:history="1">
        <w:r w:rsidRPr="00414DF2">
          <w:rPr>
            <w:rStyle w:val="Hyperlink"/>
          </w:rPr>
          <w:t>https://www.equalityhumanrights.com/en/publication-download/turning-tables-ending-sexual-harassment-work</w:t>
        </w:r>
      </w:hyperlink>
      <w:r>
        <w:rPr>
          <w:rStyle w:val="Hyperlink"/>
        </w:rPr>
        <w:t xml:space="preserve"> </w:t>
      </w:r>
      <w:r>
        <w:t>[accessed: 5 December 2018].</w:t>
      </w:r>
    </w:p>
  </w:footnote>
  <w:footnote w:id="175">
    <w:p w14:paraId="63CAE7CE" w14:textId="5CBAD48D" w:rsidR="004F37B8" w:rsidRDefault="004F37B8" w:rsidP="00B234D3">
      <w:pPr>
        <w:pStyle w:val="FootnoteText"/>
      </w:pPr>
      <w:r>
        <w:rPr>
          <w:rStyle w:val="FootnoteReference"/>
        </w:rPr>
        <w:footnoteRef/>
      </w:r>
      <w:r>
        <w:t xml:space="preserve"> Women and Equalities Committee (2018). ‘Sexual harassment in the workplace: Government response to the committee’s fifth report of session 2017–19’. Available at: </w:t>
      </w:r>
      <w:hyperlink r:id="rId133" w:history="1">
        <w:r w:rsidRPr="00D60E41">
          <w:rPr>
            <w:rStyle w:val="Hyperlink"/>
          </w:rPr>
          <w:t>https://publications.parliament.uk/pa/cm201719/cmselect/cmwomeq/1801/1801.pdf</w:t>
        </w:r>
      </w:hyperlink>
      <w:r>
        <w:t xml:space="preserve"> [accessed 3 January 2019].</w:t>
      </w:r>
    </w:p>
  </w:footnote>
  <w:footnote w:id="176">
    <w:p w14:paraId="49E8F519" w14:textId="77777777" w:rsidR="004F37B8" w:rsidRDefault="004F37B8" w:rsidP="00254203">
      <w:pPr>
        <w:pStyle w:val="FootnoteText"/>
      </w:pPr>
      <w:r>
        <w:rPr>
          <w:rStyle w:val="FootnoteReference"/>
        </w:rPr>
        <w:footnoteRef/>
      </w:r>
      <w:r>
        <w:t xml:space="preserve"> Women and Equalities Committee (2018), ‘Older people and employment’. Available at: </w:t>
      </w:r>
      <w:hyperlink r:id="rId134" w:history="1">
        <w:r w:rsidRPr="002C194A">
          <w:rPr>
            <w:rStyle w:val="Hyperlink"/>
          </w:rPr>
          <w:t>https://publications.parliament.uk/pa/cm201719/cmselect/cmwomeq/359/359.pdf</w:t>
        </w:r>
      </w:hyperlink>
      <w:r>
        <w:rPr>
          <w:rStyle w:val="Hyperlink"/>
        </w:rPr>
        <w:t xml:space="preserve"> </w:t>
      </w:r>
      <w:r w:rsidRPr="00C746DC">
        <w:t>[accessed: 5 December 2018]</w:t>
      </w:r>
      <w:r>
        <w:t>.</w:t>
      </w:r>
    </w:p>
  </w:footnote>
  <w:footnote w:id="177">
    <w:p w14:paraId="090FA77D" w14:textId="151D2A8D" w:rsidR="004F37B8" w:rsidRDefault="004F37B8" w:rsidP="00254203">
      <w:pPr>
        <w:pStyle w:val="FootnoteText"/>
      </w:pPr>
      <w:r>
        <w:rPr>
          <w:rStyle w:val="FootnoteReference"/>
        </w:rPr>
        <w:footnoteRef/>
      </w:r>
      <w:r>
        <w:t xml:space="preserve"> EHRC (2017), ‘Fair opportunities for all: a strategy to reduce pay gaps in Britain’. Available at: </w:t>
      </w:r>
      <w:hyperlink r:id="rId135" w:history="1">
        <w:r w:rsidRPr="00583831">
          <w:rPr>
            <w:rStyle w:val="Hyperlink"/>
          </w:rPr>
          <w:t>https://www.equalityhumanrights.com/sites/default/files/pay-gaps-strategy-fair-opportunities-for-all.pdf</w:t>
        </w:r>
      </w:hyperlink>
      <w:r>
        <w:t xml:space="preserve"> </w:t>
      </w:r>
      <w:r w:rsidRPr="00C746DC">
        <w:t>[accessed: 5 December 2018]</w:t>
      </w:r>
      <w:r>
        <w:t>.</w:t>
      </w:r>
    </w:p>
  </w:footnote>
  <w:footnote w:id="178">
    <w:p w14:paraId="38990D00" w14:textId="1AF62D67" w:rsidR="004F37B8" w:rsidRDefault="004F37B8" w:rsidP="00254203">
      <w:pPr>
        <w:pStyle w:val="FootnoteText"/>
      </w:pPr>
      <w:r>
        <w:rPr>
          <w:rStyle w:val="FootnoteReference"/>
        </w:rPr>
        <w:footnoteRef/>
      </w:r>
      <w:r>
        <w:t xml:space="preserve"> The WESC report also raised concerns about discrimination facing older disabled people and older people from ethnic minority communities.</w:t>
      </w:r>
    </w:p>
  </w:footnote>
  <w:footnote w:id="179">
    <w:p w14:paraId="62948161" w14:textId="5CDB1E9A" w:rsidR="004F37B8" w:rsidRDefault="004F37B8" w:rsidP="00254203">
      <w:pPr>
        <w:pStyle w:val="FootnoteText"/>
      </w:pPr>
      <w:r>
        <w:rPr>
          <w:rStyle w:val="FootnoteReference"/>
        </w:rPr>
        <w:footnoteRef/>
      </w:r>
      <w:r>
        <w:t xml:space="preserve"> Cox, L (2018), ‘The bullying and harassment of House of Commons staff: independent inquiry report’. Available at: </w:t>
      </w:r>
    </w:p>
    <w:p w14:paraId="763451E8" w14:textId="77777777" w:rsidR="004F37B8" w:rsidRDefault="004F37B8" w:rsidP="00254203">
      <w:pPr>
        <w:pStyle w:val="FootnoteText"/>
      </w:pPr>
      <w:hyperlink r:id="rId136" w:history="1">
        <w:r w:rsidRPr="00583831">
          <w:rPr>
            <w:rStyle w:val="Hyperlink"/>
          </w:rPr>
          <w:t>https://www.cloisters.com/news/house-of-commons-independent-inquiry-report</w:t>
        </w:r>
      </w:hyperlink>
      <w:r>
        <w:t xml:space="preserve"> </w:t>
      </w:r>
      <w:r w:rsidRPr="00C746DC">
        <w:t>[accessed: 5 December 2018]</w:t>
      </w:r>
      <w:r>
        <w:t>.</w:t>
      </w:r>
    </w:p>
  </w:footnote>
  <w:footnote w:id="180">
    <w:p w14:paraId="708C128D" w14:textId="5D31D2A9" w:rsidR="004F37B8" w:rsidRDefault="004F37B8" w:rsidP="00254203">
      <w:pPr>
        <w:pStyle w:val="FootnoteText"/>
      </w:pPr>
      <w:r>
        <w:rPr>
          <w:rStyle w:val="FootnoteReference"/>
        </w:rPr>
        <w:footnoteRef/>
      </w:r>
      <w:r>
        <w:t xml:space="preserve"> BBC News. 2018. </w:t>
      </w:r>
      <w:r>
        <w:rPr>
          <w:i/>
        </w:rPr>
        <w:t xml:space="preserve">Welsh Assembly: Claims of sexual assault and bullying. </w:t>
      </w:r>
      <w:r>
        <w:t xml:space="preserve">[ONLINE]. Available at: </w:t>
      </w:r>
      <w:hyperlink r:id="rId137" w:history="1">
        <w:r w:rsidRPr="00072EB8">
          <w:rPr>
            <w:rStyle w:val="Hyperlink"/>
          </w:rPr>
          <w:t>https://www.bbc.co.uk/news/uk-wales-politics-44546860</w:t>
        </w:r>
      </w:hyperlink>
      <w:r>
        <w:rPr>
          <w:rStyle w:val="Hyperlink"/>
        </w:rPr>
        <w:t xml:space="preserve"> </w:t>
      </w:r>
      <w:r w:rsidRPr="00C746DC">
        <w:t>[accessed: 5 December 2018]</w:t>
      </w:r>
      <w:r>
        <w:t>.</w:t>
      </w:r>
    </w:p>
  </w:footnote>
  <w:footnote w:id="181">
    <w:p w14:paraId="48B0AC40" w14:textId="77777777" w:rsidR="004F37B8" w:rsidRDefault="004F37B8" w:rsidP="00254203">
      <w:pPr>
        <w:pStyle w:val="FootnoteText"/>
      </w:pPr>
      <w:r>
        <w:rPr>
          <w:rStyle w:val="FootnoteReference"/>
        </w:rPr>
        <w:footnoteRef/>
      </w:r>
      <w:r>
        <w:t xml:space="preserve"> National Assembly for Wales. 2018. </w:t>
      </w:r>
      <w:r>
        <w:rPr>
          <w:i/>
        </w:rPr>
        <w:t xml:space="preserve">Creating the right culture: National Assembly committee recommends new dignity and respect procedures. </w:t>
      </w:r>
      <w:r>
        <w:t xml:space="preserve">[ONLINE]. Available at: </w:t>
      </w:r>
      <w:hyperlink r:id="rId138" w:history="1">
        <w:r w:rsidRPr="00072EB8">
          <w:rPr>
            <w:rStyle w:val="Hyperlink"/>
          </w:rPr>
          <w:t>http://www.assembly.wales/en/newhome/pages/newsitem.aspx?itemid=1902</w:t>
        </w:r>
      </w:hyperlink>
      <w:r>
        <w:t xml:space="preserve"> </w:t>
      </w:r>
      <w:r w:rsidRPr="00C746DC">
        <w:t>[accessed: 5 December 2018]</w:t>
      </w:r>
      <w:r>
        <w:t>.</w:t>
      </w:r>
    </w:p>
  </w:footnote>
  <w:footnote w:id="182">
    <w:p w14:paraId="3CCCE4FF" w14:textId="77777777" w:rsidR="004F37B8" w:rsidRDefault="004F37B8" w:rsidP="00254203">
      <w:pPr>
        <w:pStyle w:val="FootnoteText"/>
      </w:pPr>
      <w:r>
        <w:rPr>
          <w:rStyle w:val="FootnoteReference"/>
        </w:rPr>
        <w:footnoteRef/>
      </w:r>
      <w:r>
        <w:t xml:space="preserve"> Positive action is permitted by sections 158 and 159 of the Equality Act 2010. Examples of positive action include encouraging under-represented groups to apply for roles through targeted advertising, open days or advice sessions for that group only, mentoring or coaching.</w:t>
      </w:r>
    </w:p>
  </w:footnote>
  <w:footnote w:id="183">
    <w:p w14:paraId="1B79EAFF" w14:textId="77777777" w:rsidR="004F37B8" w:rsidRDefault="004F37B8" w:rsidP="00254203">
      <w:pPr>
        <w:pStyle w:val="FootnoteText"/>
      </w:pPr>
      <w:r>
        <w:rPr>
          <w:rStyle w:val="FootnoteReference"/>
        </w:rPr>
        <w:footnoteRef/>
      </w:r>
      <w:r>
        <w:t xml:space="preserve"> Davies, C. (2018), ‘Equality at work? Positive action in gender segregated apprenticeships’. Available at: </w:t>
      </w:r>
      <w:hyperlink r:id="rId139" w:history="1">
        <w:r w:rsidRPr="00583831">
          <w:rPr>
            <w:rStyle w:val="Hyperlink"/>
          </w:rPr>
          <w:t>https://www.youngwomenstrust.org/what_we_do/publications</w:t>
        </w:r>
      </w:hyperlink>
      <w:r>
        <w:rPr>
          <w:rStyle w:val="Hyperlink"/>
        </w:rPr>
        <w:t xml:space="preserve">. </w:t>
      </w:r>
      <w:r w:rsidRPr="00C746DC">
        <w:t>[accessed: 5 December 2018]</w:t>
      </w:r>
      <w:r>
        <w:t xml:space="preserve">. </w:t>
      </w:r>
    </w:p>
  </w:footnote>
  <w:footnote w:id="184">
    <w:p w14:paraId="264C7566" w14:textId="79A4B67D" w:rsidR="004F37B8" w:rsidRDefault="004F37B8">
      <w:pPr>
        <w:pStyle w:val="FootnoteText"/>
      </w:pPr>
      <w:r>
        <w:rPr>
          <w:rStyle w:val="FootnoteReference"/>
        </w:rPr>
        <w:footnoteRef/>
      </w:r>
      <w:r>
        <w:t xml:space="preserve"> Department for Education. 2018. </w:t>
      </w:r>
      <w:r w:rsidRPr="008B3116">
        <w:rPr>
          <w:i/>
          <w:lang w:val="en"/>
        </w:rPr>
        <w:t>Apprenticeships and traineeships data</w:t>
      </w:r>
      <w:r>
        <w:rPr>
          <w:lang w:val="en"/>
        </w:rPr>
        <w:t xml:space="preserve">. [ONLINE]. Available at: </w:t>
      </w:r>
      <w:r>
        <w:t xml:space="preserve"> </w:t>
      </w:r>
      <w:hyperlink r:id="rId140" w:history="1">
        <w:r w:rsidRPr="008E2C93">
          <w:rPr>
            <w:rStyle w:val="Hyperlink"/>
          </w:rPr>
          <w:t>https://www.gov.uk/government/statistical-data-sets/fe-data-library-apprenticeships</w:t>
        </w:r>
      </w:hyperlink>
      <w:r>
        <w:t xml:space="preserve"> [accessed: 8 January 2019].</w:t>
      </w:r>
    </w:p>
  </w:footnote>
  <w:footnote w:id="185">
    <w:p w14:paraId="2F3902BE" w14:textId="77777777" w:rsidR="004F37B8" w:rsidRDefault="004F37B8" w:rsidP="00254203">
      <w:pPr>
        <w:pStyle w:val="FootnoteText"/>
      </w:pPr>
      <w:r>
        <w:rPr>
          <w:rStyle w:val="FootnoteReference"/>
        </w:rPr>
        <w:footnoteRef/>
      </w:r>
      <w:r>
        <w:t xml:space="preserve"> National Assembly for Wales (2018), ‘Apprenticeships in Wales’. Available at: </w:t>
      </w:r>
      <w:hyperlink r:id="rId141" w:history="1">
        <w:r w:rsidRPr="00564753">
          <w:rPr>
            <w:rStyle w:val="Hyperlink"/>
          </w:rPr>
          <w:t>http://senedd.assembly.wales/documents/s72280/Report%20PDF%201.4MB.pdf</w:t>
        </w:r>
      </w:hyperlink>
      <w:r>
        <w:rPr>
          <w:rStyle w:val="Hyperlink"/>
        </w:rPr>
        <w:t xml:space="preserve"> </w:t>
      </w:r>
      <w:r w:rsidRPr="00C746DC">
        <w:t>[accessed: 5 December 2018]</w:t>
      </w:r>
      <w:r>
        <w:t>.</w:t>
      </w:r>
    </w:p>
  </w:footnote>
  <w:footnote w:id="186">
    <w:p w14:paraId="392AFF27" w14:textId="77777777" w:rsidR="004F37B8" w:rsidRDefault="004F37B8" w:rsidP="00254203">
      <w:pPr>
        <w:pStyle w:val="FootnoteText"/>
      </w:pPr>
      <w:r>
        <w:rPr>
          <w:rStyle w:val="FootnoteReference"/>
        </w:rPr>
        <w:footnoteRef/>
      </w:r>
      <w:r>
        <w:t xml:space="preserve"> Ibid.</w:t>
      </w:r>
    </w:p>
  </w:footnote>
  <w:footnote w:id="187">
    <w:p w14:paraId="418B43A0" w14:textId="2F9BD322" w:rsidR="004F37B8" w:rsidRDefault="004F37B8" w:rsidP="00254203">
      <w:pPr>
        <w:pStyle w:val="FootnoteText"/>
      </w:pPr>
      <w:r>
        <w:rPr>
          <w:rStyle w:val="FootnoteReference"/>
        </w:rPr>
        <w:footnoteRef/>
      </w:r>
      <w:r>
        <w:t xml:space="preserve"> Gov. uk gender pay gap service. </w:t>
      </w:r>
      <w:r>
        <w:rPr>
          <w:szCs w:val="24"/>
        </w:rPr>
        <w:t xml:space="preserve">2018. </w:t>
      </w:r>
      <w:r>
        <w:rPr>
          <w:i/>
          <w:szCs w:val="24"/>
        </w:rPr>
        <w:t xml:space="preserve">Gender pay gap </w:t>
      </w:r>
      <w:r w:rsidRPr="00072EB8">
        <w:rPr>
          <w:i/>
          <w:szCs w:val="24"/>
        </w:rPr>
        <w:t>data</w:t>
      </w:r>
      <w:r>
        <w:rPr>
          <w:i/>
          <w:szCs w:val="24"/>
        </w:rPr>
        <w:t xml:space="preserve">. </w:t>
      </w:r>
      <w:r>
        <w:rPr>
          <w:szCs w:val="24"/>
        </w:rPr>
        <w:t xml:space="preserve">[ONLINE]. Available at: </w:t>
      </w:r>
      <w:hyperlink r:id="rId142" w:history="1">
        <w:r w:rsidRPr="00AC4313">
          <w:rPr>
            <w:rStyle w:val="Hyperlink"/>
            <w:szCs w:val="24"/>
          </w:rPr>
          <w:t>https://gender-pay-gap.service.gov.uk/</w:t>
        </w:r>
      </w:hyperlink>
      <w:r>
        <w:rPr>
          <w:szCs w:val="24"/>
        </w:rPr>
        <w:t xml:space="preserve"> </w:t>
      </w:r>
      <w:r w:rsidRPr="00C746DC">
        <w:t>[accessed: 5 December 2018].</w:t>
      </w:r>
      <w:r>
        <w:t xml:space="preserve"> </w:t>
      </w:r>
      <w:r w:rsidRPr="00072EB8">
        <w:rPr>
          <w:szCs w:val="24"/>
        </w:rPr>
        <w:t>200</w:t>
      </w:r>
      <w:r>
        <w:rPr>
          <w:szCs w:val="24"/>
        </w:rPr>
        <w:t xml:space="preserve"> employers were assessed from the five sectors identified as the poorest performing in their treatment of women and new mothers in the 2016 EHRC report ‘</w:t>
      </w:r>
      <w:r w:rsidRPr="00476FFC">
        <w:rPr>
          <w:szCs w:val="24"/>
        </w:rPr>
        <w:t>Pregnancy and maternity-related discrimination and disadv</w:t>
      </w:r>
      <w:r>
        <w:rPr>
          <w:szCs w:val="24"/>
        </w:rPr>
        <w:t xml:space="preserve">antage: experiences of employers’, see: </w:t>
      </w:r>
      <w:hyperlink r:id="rId143" w:history="1">
        <w:r w:rsidRPr="00CF1182">
          <w:rPr>
            <w:rStyle w:val="Hyperlink"/>
            <w:szCs w:val="24"/>
          </w:rPr>
          <w:t>https://www.equalityhumanrights.com/en/managing-pregnancy-and-maternity-workplace/pregnancy-and-maternity-discrimination-research-findings</w:t>
        </w:r>
      </w:hyperlink>
      <w:r>
        <w:rPr>
          <w:szCs w:val="24"/>
        </w:rPr>
        <w:t xml:space="preserve"> [accessed: 19 September 2018], as well as a further sample of 200 employers chosen at random and 40 FTSE350 organisations that had published gender pay gap figures. </w:t>
      </w:r>
    </w:p>
  </w:footnote>
  <w:footnote w:id="188">
    <w:p w14:paraId="16AE1D68" w14:textId="07FF7D3F" w:rsidR="004F37B8" w:rsidRDefault="004F37B8" w:rsidP="00254203">
      <w:pPr>
        <w:pStyle w:val="FootnoteText"/>
      </w:pPr>
      <w:r>
        <w:rPr>
          <w:rStyle w:val="FootnoteReference"/>
        </w:rPr>
        <w:footnoteRef/>
      </w:r>
      <w:r>
        <w:t xml:space="preserve"> BMG Research (2018), ‘Gender pay gap employee poll’. Available at: </w:t>
      </w:r>
      <w:hyperlink r:id="rId144" w:history="1">
        <w:r w:rsidRPr="005001A7">
          <w:rPr>
            <w:rStyle w:val="Hyperlink"/>
          </w:rPr>
          <w:t>https://www.bmgresearch.co.uk/gender-pay-gap-employee-poll/</w:t>
        </w:r>
      </w:hyperlink>
      <w:r>
        <w:t xml:space="preserve"> [accessed: 31 October 2018]. </w:t>
      </w:r>
    </w:p>
  </w:footnote>
  <w:footnote w:id="189">
    <w:p w14:paraId="30AACED0" w14:textId="0CCB476B" w:rsidR="004F37B8" w:rsidRDefault="004F37B8" w:rsidP="00254203">
      <w:pPr>
        <w:pStyle w:val="FootnoteText"/>
      </w:pPr>
      <w:r>
        <w:rPr>
          <w:rStyle w:val="FootnoteReference"/>
        </w:rPr>
        <w:footnoteRef/>
      </w:r>
      <w:r>
        <w:t xml:space="preserve"> Young Women’s Trust Annual Survey (2018), </w:t>
      </w:r>
      <w:r w:rsidRPr="00743C7F">
        <w:rPr>
          <w:i/>
        </w:rPr>
        <w:t>‘</w:t>
      </w:r>
      <w:r w:rsidRPr="00476FFC">
        <w:t>It’s (still) a rich man’s world: Inequality 100 years after votes for women’</w:t>
      </w:r>
      <w:r>
        <w:t xml:space="preserve">. Available at: </w:t>
      </w:r>
      <w:hyperlink r:id="rId145" w:history="1">
        <w:r w:rsidRPr="004D3412">
          <w:rPr>
            <w:rStyle w:val="Hyperlink"/>
          </w:rPr>
          <w:t>https://www.youngwomenstrust.org/assets/0000/9913/It_s_still_a_rich_man_s_world_-_web_report.pdf</w:t>
        </w:r>
      </w:hyperlink>
      <w:r>
        <w:rPr>
          <w:rStyle w:val="Hyperlink"/>
        </w:rPr>
        <w:t xml:space="preserve"> </w:t>
      </w:r>
      <w:r>
        <w:rPr>
          <w:szCs w:val="24"/>
        </w:rPr>
        <w:t xml:space="preserve">[accessed:19 September 2018]. </w:t>
      </w:r>
      <w:r w:rsidRPr="00ED2DE3">
        <w:rPr>
          <w:szCs w:val="24"/>
        </w:rPr>
        <w:t xml:space="preserve">The report found that one in five young women </w:t>
      </w:r>
      <w:r>
        <w:rPr>
          <w:szCs w:val="24"/>
        </w:rPr>
        <w:t>said that they were paid less</w:t>
      </w:r>
      <w:r w:rsidRPr="00ED2DE3">
        <w:rPr>
          <w:szCs w:val="24"/>
        </w:rPr>
        <w:t xml:space="preserve"> than their</w:t>
      </w:r>
      <w:r>
        <w:rPr>
          <w:szCs w:val="24"/>
        </w:rPr>
        <w:t xml:space="preserve"> male colleagues for doing similar work, with 49</w:t>
      </w:r>
      <w:r w:rsidRPr="00ED2DE3">
        <w:rPr>
          <w:szCs w:val="24"/>
        </w:rPr>
        <w:t>% saying they d</w:t>
      </w:r>
      <w:r>
        <w:rPr>
          <w:szCs w:val="24"/>
        </w:rPr>
        <w:t xml:space="preserve">id not </w:t>
      </w:r>
      <w:r w:rsidRPr="00ED2DE3">
        <w:rPr>
          <w:szCs w:val="24"/>
        </w:rPr>
        <w:t>have the confidence to challenge their boss on the issue.</w:t>
      </w:r>
      <w:r>
        <w:rPr>
          <w:szCs w:val="24"/>
        </w:rPr>
        <w:t xml:space="preserve"> </w:t>
      </w:r>
    </w:p>
  </w:footnote>
  <w:footnote w:id="190">
    <w:p w14:paraId="23CCC599" w14:textId="57524221" w:rsidR="004F37B8" w:rsidRDefault="004F37B8" w:rsidP="00254203">
      <w:pPr>
        <w:pStyle w:val="FootnoteText"/>
      </w:pPr>
      <w:r>
        <w:rPr>
          <w:rStyle w:val="FootnoteReference"/>
        </w:rPr>
        <w:footnoteRef/>
      </w:r>
      <w:r>
        <w:t xml:space="preserve"> Adams, L., Luanaigh, A.N., Thomson, D. and Rossiter, H. (2018), ‘</w:t>
      </w:r>
      <w:r w:rsidRPr="00476FFC">
        <w:t>Measuring and reporting on disability and ethnicity pay gaps</w:t>
      </w:r>
      <w:r>
        <w:t>. EHRC research report no. 117</w:t>
      </w:r>
      <w:r w:rsidRPr="00476FFC">
        <w:t xml:space="preserve">’. </w:t>
      </w:r>
      <w:r>
        <w:t>Available at:</w:t>
      </w:r>
      <w:r w:rsidRPr="00476FFC">
        <w:t xml:space="preserve"> </w:t>
      </w:r>
      <w:hyperlink r:id="rId146" w:history="1">
        <w:r w:rsidRPr="00CF1182">
          <w:rPr>
            <w:rStyle w:val="Hyperlink"/>
          </w:rPr>
          <w:t>https://www.equalityhumanrights.com/sites/default/files/measuring-and-reporting-on-ethnicity-and-disability-pay-gaps.pdf</w:t>
        </w:r>
      </w:hyperlink>
      <w:r>
        <w:t xml:space="preserve"> [accessed: 19 September 2018].</w:t>
      </w:r>
    </w:p>
  </w:footnote>
  <w:footnote w:id="191">
    <w:p w14:paraId="01C555BA" w14:textId="203CE359" w:rsidR="004F37B8" w:rsidRDefault="004F37B8" w:rsidP="00254203">
      <w:pPr>
        <w:pStyle w:val="FootnoteText"/>
      </w:pPr>
      <w:r>
        <w:rPr>
          <w:rStyle w:val="FootnoteReference"/>
        </w:rPr>
        <w:footnoteRef/>
      </w:r>
      <w:r>
        <w:t xml:space="preserve"> Department for Business, Energy and Industrial Strategy (2018), ‘Ethnicity pay reporting. government consultation’. Available at:  </w:t>
      </w:r>
      <w:hyperlink r:id="rId147" w:history="1">
        <w:r w:rsidRPr="006E0EE6">
          <w:rPr>
            <w:rStyle w:val="Hyperlink"/>
          </w:rPr>
          <w:t>https://assets.publishing.service.gov.uk/government/uploads/system/uploads/attachment_data/file/747546/ethnicity-pay-reporting-consultation.pdf</w:t>
        </w:r>
      </w:hyperlink>
      <w:r>
        <w:t xml:space="preserve"> </w:t>
      </w:r>
      <w:r w:rsidRPr="00C746DC">
        <w:t>[accessed: 5 December 2018].</w:t>
      </w:r>
    </w:p>
  </w:footnote>
  <w:footnote w:id="192">
    <w:p w14:paraId="0A767D91" w14:textId="09898378" w:rsidR="004F37B8" w:rsidRDefault="004F37B8" w:rsidP="00254203">
      <w:pPr>
        <w:pStyle w:val="FootnoteText"/>
      </w:pPr>
      <w:r>
        <w:rPr>
          <w:rStyle w:val="FootnoteReference"/>
        </w:rPr>
        <w:footnoteRef/>
      </w:r>
      <w:r>
        <w:t xml:space="preserve"> BEIS Select Committee (2018), ‘Gender pay gap reporting: Thirteenth report of the session 2017</w:t>
      </w:r>
      <w:r>
        <w:rPr>
          <w:rFonts w:cs="Arial"/>
        </w:rPr>
        <w:t>–</w:t>
      </w:r>
      <w:r>
        <w:t xml:space="preserve">19’. House of Commons. Available at: </w:t>
      </w:r>
      <w:r w:rsidRPr="002A2485">
        <w:t>https://publications.parliament.uk/pa/cm201719/cmselect/cmbeis/928/92802.htm</w:t>
      </w:r>
      <w:r>
        <w:t xml:space="preserve"> [accessed: 19 September 2018].</w:t>
      </w:r>
    </w:p>
  </w:footnote>
  <w:footnote w:id="193">
    <w:p w14:paraId="7EBBD19B" w14:textId="7B853AFA" w:rsidR="004F37B8" w:rsidRDefault="004F37B8" w:rsidP="00254203">
      <w:pPr>
        <w:pStyle w:val="FootnoteText"/>
      </w:pPr>
      <w:r>
        <w:rPr>
          <w:rStyle w:val="FootnoteReference"/>
        </w:rPr>
        <w:footnoteRef/>
      </w:r>
      <w:r>
        <w:t xml:space="preserve"> Welsh Government (2018), ‘Letter from the Welsh Government to the Equalities, Local Government and Communities Committee’. Available at: </w:t>
      </w:r>
      <w:hyperlink r:id="rId148" w:history="1">
        <w:r w:rsidRPr="008943F3">
          <w:rPr>
            <w:rStyle w:val="Hyperlink"/>
          </w:rPr>
          <w:t>http://www.assembly.wales/laid%20documents/gen-ld11734/gen-ld11734-e.pdf</w:t>
        </w:r>
      </w:hyperlink>
      <w:r>
        <w:t xml:space="preserve"> [accessed: 4 October 2018].</w:t>
      </w:r>
    </w:p>
  </w:footnote>
  <w:footnote w:id="194">
    <w:p w14:paraId="06652568" w14:textId="1A241291" w:rsidR="004F37B8" w:rsidRDefault="004F37B8" w:rsidP="00254203">
      <w:pPr>
        <w:pStyle w:val="FootnoteText"/>
      </w:pPr>
      <w:r>
        <w:rPr>
          <w:rStyle w:val="FootnoteReference"/>
        </w:rPr>
        <w:footnoteRef/>
      </w:r>
      <w:r>
        <w:t xml:space="preserve"> HM Treasury and Hammond, P. 2018. </w:t>
      </w:r>
      <w:r w:rsidRPr="005936C6">
        <w:rPr>
          <w:i/>
        </w:rPr>
        <w:t>Budget 2018</w:t>
      </w:r>
      <w:r>
        <w:rPr>
          <w:i/>
        </w:rPr>
        <w:t>: Philip Hammond’s speech.</w:t>
      </w:r>
      <w:r>
        <w:t xml:space="preserve"> [ONLINE]. Available at: </w:t>
      </w:r>
      <w:hyperlink r:id="rId149" w:history="1">
        <w:r w:rsidRPr="00BB2AAD">
          <w:rPr>
            <w:rStyle w:val="Hyperlink"/>
          </w:rPr>
          <w:t>https://www.gov.uk/government/speeches/budget-2018-philip-hammonds-speech</w:t>
        </w:r>
      </w:hyperlink>
      <w:r>
        <w:rPr>
          <w:rStyle w:val="Hyperlink"/>
        </w:rPr>
        <w:t xml:space="preserve"> </w:t>
      </w:r>
      <w:r>
        <w:rPr>
          <w:rStyle w:val="Hyperlink"/>
          <w:color w:val="auto"/>
          <w:u w:val="none"/>
        </w:rPr>
        <w:t>[accessed: 14 January 2018].</w:t>
      </w:r>
      <w:r>
        <w:t xml:space="preserve"> </w:t>
      </w:r>
    </w:p>
  </w:footnote>
  <w:footnote w:id="195">
    <w:p w14:paraId="7158C5F1" w14:textId="6C577742" w:rsidR="004F37B8" w:rsidRDefault="004F37B8" w:rsidP="00254203">
      <w:pPr>
        <w:pStyle w:val="FootnoteText"/>
      </w:pPr>
      <w:r>
        <w:rPr>
          <w:rStyle w:val="FootnoteReference"/>
        </w:rPr>
        <w:footnoteRef/>
      </w:r>
      <w:r>
        <w:t xml:space="preserve"> Agenda (2018), ‘Women in crisis: how women and girls are being failed by the Mental Health Act’. Available at </w:t>
      </w:r>
      <w:hyperlink r:id="rId150" w:history="1">
        <w:r>
          <w:rPr>
            <w:rStyle w:val="Hyperlink"/>
          </w:rPr>
          <w:t>https://weareagenda.org/wp-content/uploads/2018/08/Women-in-Crisis-Agenda-report-.pdf</w:t>
        </w:r>
      </w:hyperlink>
      <w:r w:rsidRPr="007046BC">
        <w:t xml:space="preserve"> </w:t>
      </w:r>
      <w:r w:rsidRPr="00C746DC">
        <w:t>[accessed: 5 December 2018].</w:t>
      </w:r>
      <w:r>
        <w:t xml:space="preserve"> Figures reported by Agenda show that ethnic minority women made up around 9% of detained patients when they make up an estimated 7% of the general population.</w:t>
      </w:r>
      <w:r w:rsidRPr="005936C6">
        <w:t xml:space="preserve"> </w:t>
      </w:r>
    </w:p>
  </w:footnote>
  <w:footnote w:id="196">
    <w:p w14:paraId="75AEB378" w14:textId="77777777" w:rsidR="004F37B8" w:rsidRDefault="004F37B8" w:rsidP="00254203">
      <w:pPr>
        <w:pStyle w:val="FootnoteText"/>
      </w:pPr>
      <w:r>
        <w:rPr>
          <w:rStyle w:val="FootnoteReference"/>
        </w:rPr>
        <w:footnoteRef/>
      </w:r>
      <w:r>
        <w:t xml:space="preserve"> </w:t>
      </w:r>
      <w:r>
        <w:rPr>
          <w:rFonts w:cs="Arial"/>
        </w:rPr>
        <w:t xml:space="preserve">Care Quality Commission (2018), </w:t>
      </w:r>
      <w:r w:rsidRPr="009A2356">
        <w:rPr>
          <w:rFonts w:cs="Arial"/>
        </w:rPr>
        <w:t>‘</w:t>
      </w:r>
      <w:r w:rsidRPr="009C5812">
        <w:rPr>
          <w:rFonts w:cs="Arial"/>
          <w:shd w:val="clear" w:color="auto" w:fill="FFFFFF"/>
        </w:rPr>
        <w:t>Monitoring the Mental Health Act in 2016/17’</w:t>
      </w:r>
      <w:r>
        <w:rPr>
          <w:rFonts w:cs="Arial"/>
          <w:color w:val="3E3E35"/>
          <w:shd w:val="clear" w:color="auto" w:fill="FFFFFF"/>
        </w:rPr>
        <w:t xml:space="preserve">. </w:t>
      </w:r>
      <w:r>
        <w:rPr>
          <w:rFonts w:cs="Arial"/>
        </w:rPr>
        <w:t xml:space="preserve">Available at </w:t>
      </w:r>
      <w:hyperlink r:id="rId151" w:history="1">
        <w:r>
          <w:rPr>
            <w:rStyle w:val="Hyperlink"/>
            <w:rFonts w:cs="Arial"/>
          </w:rPr>
          <w:t>https://www.cqc.org.uk/publications/major-report/monitoring-mental-health-act-report</w:t>
        </w:r>
      </w:hyperlink>
      <w:r>
        <w:rPr>
          <w:rFonts w:cs="Arial"/>
        </w:rPr>
        <w:t xml:space="preserve"> </w:t>
      </w:r>
      <w:r w:rsidRPr="00C746DC">
        <w:t>[accessed: 5 December 2018].</w:t>
      </w:r>
    </w:p>
  </w:footnote>
  <w:footnote w:id="197">
    <w:p w14:paraId="4A280BCA" w14:textId="77777777" w:rsidR="004F37B8" w:rsidRDefault="004F37B8" w:rsidP="00254203">
      <w:pPr>
        <w:pStyle w:val="FootnoteText"/>
      </w:pPr>
      <w:r>
        <w:rPr>
          <w:rStyle w:val="FootnoteReference"/>
        </w:rPr>
        <w:footnoteRef/>
      </w:r>
      <w:r>
        <w:t xml:space="preserve"> Agenda (2016), ‘Agenda mental health gender responsiveness briefing September 2016’. Available at </w:t>
      </w:r>
      <w:hyperlink r:id="rId152" w:history="1">
        <w:r>
          <w:rPr>
            <w:rStyle w:val="Hyperlink"/>
          </w:rPr>
          <w:t>https://weareagenda.org/wp-content/uploads/2016/11/Mental-health-briefing-FINAL.pdf</w:t>
        </w:r>
      </w:hyperlink>
      <w:r>
        <w:t xml:space="preserve"> </w:t>
      </w:r>
      <w:r w:rsidRPr="00C746DC">
        <w:t>[accessed: 5 December 2018].</w:t>
      </w:r>
    </w:p>
  </w:footnote>
  <w:footnote w:id="198">
    <w:p w14:paraId="7D590E55" w14:textId="77777777" w:rsidR="004F37B8" w:rsidRDefault="004F37B8" w:rsidP="00254203">
      <w:pPr>
        <w:pStyle w:val="FootnoteText"/>
      </w:pPr>
      <w:r>
        <w:rPr>
          <w:rStyle w:val="FootnoteReference"/>
        </w:rPr>
        <w:footnoteRef/>
      </w:r>
      <w:r>
        <w:t xml:space="preserve"> Agenda (2018), ‘Women in crisis: how women and girls are being failed by the Mental Health Act’. Available at </w:t>
      </w:r>
      <w:hyperlink r:id="rId153" w:history="1">
        <w:r>
          <w:rPr>
            <w:rStyle w:val="Hyperlink"/>
          </w:rPr>
          <w:t>https://weareagenda.org/wp-content/uploads/2018/08/Women-in-Crisis-Agenda-report-.pdf</w:t>
        </w:r>
      </w:hyperlink>
      <w:r>
        <w:t xml:space="preserve"> </w:t>
      </w:r>
      <w:r w:rsidRPr="00C746DC">
        <w:t>[accessed: 5 December 2018].</w:t>
      </w:r>
    </w:p>
  </w:footnote>
  <w:footnote w:id="199">
    <w:p w14:paraId="5C87DDCB" w14:textId="2032280A" w:rsidR="004F37B8" w:rsidRDefault="004F37B8" w:rsidP="00254203">
      <w:pPr>
        <w:pStyle w:val="FootnoteText"/>
      </w:pPr>
      <w:r>
        <w:rPr>
          <w:rStyle w:val="FootnoteReference"/>
        </w:rPr>
        <w:footnoteRef/>
      </w:r>
      <w:r>
        <w:t xml:space="preserve"> Agenda (2017). ‘Agenda briefing on the use of restraint against women and girls, March 2017’. Available at </w:t>
      </w:r>
      <w:hyperlink r:id="rId154" w:history="1">
        <w:r>
          <w:rPr>
            <w:rStyle w:val="Hyperlink"/>
          </w:rPr>
          <w:t>https://weareagenda.org/wp-content/uploads/2017/03/Restraint-FOI-research-briefing-FINAL1.pdf</w:t>
        </w:r>
      </w:hyperlink>
      <w:r>
        <w:t xml:space="preserve"> </w:t>
      </w:r>
      <w:r w:rsidRPr="00AD44A7">
        <w:t>[accessed: 5 December 2018].</w:t>
      </w:r>
    </w:p>
  </w:footnote>
  <w:footnote w:id="200">
    <w:p w14:paraId="6354ABF5" w14:textId="5DBEBD3F" w:rsidR="004F37B8" w:rsidRDefault="004F37B8" w:rsidP="00254203">
      <w:pPr>
        <w:pStyle w:val="FootnoteText"/>
      </w:pPr>
      <w:r>
        <w:rPr>
          <w:rStyle w:val="FootnoteReference"/>
        </w:rPr>
        <w:footnoteRef/>
      </w:r>
      <w:r>
        <w:t xml:space="preserve"> Figures from the Care Quality Commission (CQC) are included in Agenda’s 2018. ‘Women in crisis’ report. Available at </w:t>
      </w:r>
      <w:hyperlink r:id="rId155" w:history="1">
        <w:r>
          <w:rPr>
            <w:rStyle w:val="Hyperlink"/>
          </w:rPr>
          <w:t>https://weareagenda.org/wp-content/uploads/2018/08/Women-in-Crisis-Agenda-report-.pdf</w:t>
        </w:r>
      </w:hyperlink>
      <w:r>
        <w:rPr>
          <w:rStyle w:val="Hyperlink"/>
        </w:rPr>
        <w:t xml:space="preserve">. </w:t>
      </w:r>
      <w:r>
        <w:t xml:space="preserve"> The figures show that </w:t>
      </w:r>
      <w:r>
        <w:rPr>
          <w:lang w:val="en"/>
        </w:rPr>
        <w:t>women’s self-inflicted deaths outnumbered men for the first time in 2015, when 20 women died compared with 15 men. The same was seen in 2016 when 10 women died compared with six men</w:t>
      </w:r>
      <w:r>
        <w:t>.</w:t>
      </w:r>
    </w:p>
  </w:footnote>
  <w:footnote w:id="201">
    <w:p w14:paraId="4255AF78" w14:textId="796F14D7" w:rsidR="004F37B8" w:rsidRDefault="004F37B8" w:rsidP="00254203">
      <w:pPr>
        <w:pStyle w:val="FootnoteText"/>
      </w:pPr>
      <w:r w:rsidRPr="00670707">
        <w:rPr>
          <w:rStyle w:val="FootnoteReference"/>
        </w:rPr>
        <w:footnoteRef/>
      </w:r>
      <w:r w:rsidRPr="00670707">
        <w:t xml:space="preserve"> </w:t>
      </w:r>
      <w:r w:rsidRPr="00670707">
        <w:rPr>
          <w:rFonts w:cs="Arial"/>
          <w:shd w:val="clear" w:color="auto" w:fill="FFFFFF"/>
        </w:rPr>
        <w:t>The CQC classifies ‘restraint-related’ deaths as whe</w:t>
      </w:r>
      <w:r>
        <w:rPr>
          <w:rFonts w:cs="Arial"/>
          <w:shd w:val="clear" w:color="auto" w:fill="FFFFFF"/>
        </w:rPr>
        <w:t>n</w:t>
      </w:r>
      <w:r w:rsidRPr="00670707">
        <w:rPr>
          <w:rFonts w:cs="Arial"/>
          <w:shd w:val="clear" w:color="auto" w:fill="FFFFFF"/>
        </w:rPr>
        <w:t xml:space="preserve"> restraint occurred within seven days prior to death. Restraint in this case includes all forms of restraint, including physical, mechanical and chemical.</w:t>
      </w:r>
    </w:p>
  </w:footnote>
  <w:footnote w:id="202">
    <w:p w14:paraId="411EC5A6" w14:textId="0C81568E" w:rsidR="004F37B8" w:rsidRDefault="004F37B8" w:rsidP="001C23A2">
      <w:pPr>
        <w:pStyle w:val="Default"/>
      </w:pPr>
      <w:r w:rsidRPr="001C23A2">
        <w:rPr>
          <w:rStyle w:val="FootnoteReference"/>
          <w:sz w:val="20"/>
        </w:rPr>
        <w:footnoteRef/>
      </w:r>
      <w:r w:rsidRPr="001C23A2">
        <w:rPr>
          <w:sz w:val="20"/>
        </w:rPr>
        <w:t xml:space="preserve"> Department of Health and Social Care (2018), </w:t>
      </w:r>
      <w:r>
        <w:rPr>
          <w:sz w:val="20"/>
        </w:rPr>
        <w:t>‘</w:t>
      </w:r>
      <w:r w:rsidRPr="001C23A2">
        <w:rPr>
          <w:sz w:val="20"/>
        </w:rPr>
        <w:t xml:space="preserve">Modernising the Mental Health Act: increasing choice, reducing compulsion’. Available at: </w:t>
      </w:r>
      <w:hyperlink r:id="rId156" w:history="1">
        <w:r w:rsidRPr="001C23A2">
          <w:rPr>
            <w:rStyle w:val="Hyperlink"/>
            <w:sz w:val="20"/>
          </w:rPr>
          <w:t>https://assets.publishing.service.gov.uk/government/uploads/system/uploads/attachment_data/file/762206/MHA_reviewFINAL.pdf</w:t>
        </w:r>
      </w:hyperlink>
      <w:r w:rsidRPr="001C23A2">
        <w:rPr>
          <w:sz w:val="20"/>
        </w:rPr>
        <w:t xml:space="preserve"> </w:t>
      </w:r>
      <w:r>
        <w:rPr>
          <w:sz w:val="20"/>
        </w:rPr>
        <w:t>[accessed: 7 December 2018].</w:t>
      </w:r>
    </w:p>
  </w:footnote>
  <w:footnote w:id="203">
    <w:p w14:paraId="6C3963C9" w14:textId="77777777" w:rsidR="004F37B8" w:rsidRDefault="004F37B8" w:rsidP="00254203">
      <w:pPr>
        <w:pStyle w:val="FootnoteText"/>
      </w:pPr>
      <w:r>
        <w:rPr>
          <w:rStyle w:val="FootnoteReference"/>
        </w:rPr>
        <w:footnoteRef/>
      </w:r>
      <w:r>
        <w:t xml:space="preserve"> Maternal Mental Health Alliance. 2018. </w:t>
      </w:r>
      <w:r w:rsidRPr="00072EB8">
        <w:rPr>
          <w:i/>
        </w:rPr>
        <w:t>New mums face gaps in vital specialist mental health services in Wales.</w:t>
      </w:r>
      <w:r>
        <w:t xml:space="preserve"> [ONLINE]. Available at: </w:t>
      </w:r>
      <w:hyperlink r:id="rId157" w:history="1">
        <w:r w:rsidRPr="002C0F0A">
          <w:rPr>
            <w:rStyle w:val="Hyperlink"/>
          </w:rPr>
          <w:t>https://maternalmentalhealthalliance.org/news/new-mums-face-gaps-in-vital-specialist-mental-health-services-in-wales/</w:t>
        </w:r>
      </w:hyperlink>
      <w:r>
        <w:t xml:space="preserve"> </w:t>
      </w:r>
      <w:r w:rsidRPr="00AD44A7">
        <w:t>[accessed: 5 December 2018].</w:t>
      </w:r>
    </w:p>
  </w:footnote>
  <w:footnote w:id="204">
    <w:p w14:paraId="70B60403" w14:textId="77777777" w:rsidR="004F37B8" w:rsidRDefault="004F37B8" w:rsidP="00254203">
      <w:pPr>
        <w:pStyle w:val="FootnoteText"/>
        <w:tabs>
          <w:tab w:val="center" w:pos="4513"/>
        </w:tabs>
      </w:pPr>
      <w:r>
        <w:rPr>
          <w:rStyle w:val="FootnoteReference"/>
        </w:rPr>
        <w:footnoteRef/>
      </w:r>
      <w:r>
        <w:t xml:space="preserve"> Ibid.</w:t>
      </w:r>
      <w:r>
        <w:tab/>
      </w:r>
    </w:p>
  </w:footnote>
  <w:footnote w:id="205">
    <w:p w14:paraId="11C4D9CF" w14:textId="357F7F15" w:rsidR="004F37B8" w:rsidRPr="00A37B5A" w:rsidRDefault="004F37B8" w:rsidP="00254203">
      <w:pPr>
        <w:spacing w:line="240" w:lineRule="auto"/>
        <w:rPr>
          <w:sz w:val="20"/>
          <w:szCs w:val="20"/>
        </w:rPr>
      </w:pPr>
      <w:r>
        <w:rPr>
          <w:rStyle w:val="FootnoteReference"/>
          <w:sz w:val="20"/>
          <w:szCs w:val="20"/>
        </w:rPr>
        <w:footnoteRef/>
      </w:r>
      <w:r>
        <w:rPr>
          <w:sz w:val="20"/>
          <w:szCs w:val="20"/>
        </w:rPr>
        <w:t xml:space="preserve"> </w:t>
      </w:r>
      <w:r w:rsidRPr="00FD0BDE">
        <w:rPr>
          <w:rFonts w:cs="Arial"/>
          <w:sz w:val="20"/>
          <w:szCs w:val="20"/>
        </w:rPr>
        <w:t>NHS England</w:t>
      </w:r>
      <w:r>
        <w:rPr>
          <w:rFonts w:cs="Arial"/>
          <w:sz w:val="20"/>
          <w:szCs w:val="20"/>
        </w:rPr>
        <w:t>.</w:t>
      </w:r>
      <w:r w:rsidRPr="00FD0BDE">
        <w:rPr>
          <w:rFonts w:cs="Arial"/>
          <w:sz w:val="20"/>
          <w:szCs w:val="20"/>
        </w:rPr>
        <w:t xml:space="preserve"> 2018. </w:t>
      </w:r>
      <w:r w:rsidRPr="00072EB8">
        <w:rPr>
          <w:rFonts w:cs="Arial"/>
          <w:i/>
          <w:sz w:val="20"/>
          <w:szCs w:val="20"/>
        </w:rPr>
        <w:t>Improving access for all: reducing inequalities in access to general practice services. A resource for general practice providers and commissioners</w:t>
      </w:r>
      <w:r w:rsidRPr="00FD0BDE">
        <w:rPr>
          <w:rFonts w:cs="Arial"/>
          <w:sz w:val="20"/>
          <w:szCs w:val="20"/>
        </w:rPr>
        <w:t xml:space="preserve">. </w:t>
      </w:r>
      <w:r>
        <w:rPr>
          <w:rFonts w:cs="Arial"/>
          <w:sz w:val="20"/>
          <w:szCs w:val="20"/>
        </w:rPr>
        <w:t xml:space="preserve">[ONLINE]. </w:t>
      </w:r>
      <w:r w:rsidRPr="00FD0BDE">
        <w:rPr>
          <w:rFonts w:cs="Arial"/>
          <w:sz w:val="20"/>
          <w:szCs w:val="20"/>
        </w:rPr>
        <w:t>Available at</w:t>
      </w:r>
      <w:r>
        <w:rPr>
          <w:rFonts w:cs="Arial"/>
          <w:sz w:val="20"/>
          <w:szCs w:val="20"/>
        </w:rPr>
        <w:t xml:space="preserve">: </w:t>
      </w:r>
      <w:hyperlink r:id="rId158" w:history="1">
        <w:r w:rsidRPr="00D77927">
          <w:rPr>
            <w:rStyle w:val="Hyperlink"/>
            <w:rFonts w:cs="Arial"/>
            <w:sz w:val="20"/>
            <w:szCs w:val="20"/>
          </w:rPr>
          <w:t>https://www.england.nhs.uk/wp-content/uploads/2017/07/inequalities-resource-sep-2018.pdf</w:t>
        </w:r>
      </w:hyperlink>
      <w:r>
        <w:rPr>
          <w:rStyle w:val="Hyperlink"/>
          <w:rFonts w:cs="Arial"/>
          <w:sz w:val="20"/>
          <w:szCs w:val="20"/>
        </w:rPr>
        <w:t xml:space="preserve"> </w:t>
      </w:r>
      <w:r w:rsidRPr="00072EB8">
        <w:rPr>
          <w:sz w:val="20"/>
          <w:szCs w:val="20"/>
        </w:rPr>
        <w:t>[accessed: 5 December 2018].</w:t>
      </w:r>
    </w:p>
  </w:footnote>
  <w:footnote w:id="206">
    <w:p w14:paraId="47E49145" w14:textId="2FD1C7DB" w:rsidR="004F37B8" w:rsidRPr="00B2215B" w:rsidRDefault="004F37B8" w:rsidP="00254203">
      <w:pPr>
        <w:pStyle w:val="FootnoteText"/>
        <w:rPr>
          <w:rFonts w:ascii="Calibri" w:hAnsi="Calibri"/>
        </w:rPr>
      </w:pPr>
      <w:r>
        <w:rPr>
          <w:rStyle w:val="FootnoteReference"/>
        </w:rPr>
        <w:footnoteRef/>
      </w:r>
      <w:r>
        <w:t xml:space="preserve"> Sakellariou, D. and Rotarou, E.S. (2017), ‘Access to healthcare for men and women with disabilities in the UK: secondary analysis of cross-sectional data’, </w:t>
      </w:r>
      <w:r>
        <w:rPr>
          <w:i/>
        </w:rPr>
        <w:t>BMJ Open</w:t>
      </w:r>
      <w:r>
        <w:t xml:space="preserve">, vol. 7, issue. 8. Available at: </w:t>
      </w:r>
      <w:hyperlink r:id="rId159" w:history="1">
        <w:r>
          <w:rPr>
            <w:rStyle w:val="Hyperlink"/>
          </w:rPr>
          <w:t>https://bmjopen.bmj.com/content/7/8/e016614</w:t>
        </w:r>
      </w:hyperlink>
      <w:r>
        <w:t xml:space="preserve"> [accessed: 5 December 2018].</w:t>
      </w:r>
    </w:p>
  </w:footnote>
  <w:footnote w:id="207">
    <w:p w14:paraId="26A5F150" w14:textId="77777777" w:rsidR="004F37B8" w:rsidRDefault="004F37B8" w:rsidP="00254203">
      <w:pPr>
        <w:pStyle w:val="FootnoteText"/>
      </w:pPr>
      <w:r>
        <w:rPr>
          <w:rStyle w:val="FootnoteReference"/>
        </w:rPr>
        <w:footnoteRef/>
      </w:r>
      <w:r>
        <w:t xml:space="preserve"> Public Health England. 2018. </w:t>
      </w:r>
      <w:r>
        <w:rPr>
          <w:i/>
        </w:rPr>
        <w:t xml:space="preserve">Reasonable adjustments for people with a learning disability. </w:t>
      </w:r>
      <w:r>
        <w:t xml:space="preserve"> [ONLINE]. Available at: </w:t>
      </w:r>
      <w:hyperlink r:id="rId160" w:history="1">
        <w:r>
          <w:rPr>
            <w:rStyle w:val="Hyperlink"/>
          </w:rPr>
          <w:t>https://www.gov.uk/government/publications/reasonable-adjustments-for-people-with-learning-disabilities/cancer-screening</w:t>
        </w:r>
      </w:hyperlink>
      <w:r>
        <w:t xml:space="preserve"> [accessed: 5 December 2018].</w:t>
      </w:r>
    </w:p>
  </w:footnote>
  <w:footnote w:id="208">
    <w:p w14:paraId="47275D75" w14:textId="63B28D76" w:rsidR="004F37B8" w:rsidRDefault="004F37B8" w:rsidP="00254203">
      <w:pPr>
        <w:pStyle w:val="FootnoteText"/>
      </w:pPr>
      <w:r>
        <w:rPr>
          <w:rStyle w:val="FootnoteReference"/>
        </w:rPr>
        <w:footnoteRef/>
      </w:r>
      <w:r>
        <w:t xml:space="preserve"> Public Health England. 2018. </w:t>
      </w:r>
      <w:r>
        <w:rPr>
          <w:i/>
        </w:rPr>
        <w:t xml:space="preserve">Women offered NHS breast screening after missed invitations. </w:t>
      </w:r>
      <w:r>
        <w:t xml:space="preserve">[ONLINE]. Available at: </w:t>
      </w:r>
      <w:hyperlink r:id="rId161" w:history="1">
        <w:r w:rsidRPr="00322A10">
          <w:rPr>
            <w:rStyle w:val="Hyperlink"/>
          </w:rPr>
          <w:t>https://www.gov.uk/government/news/women-offered-nhs-breast-screening-after-missed-invitations</w:t>
        </w:r>
      </w:hyperlink>
      <w:r>
        <w:rPr>
          <w:rStyle w:val="Hyperlink"/>
        </w:rPr>
        <w:t xml:space="preserve"> </w:t>
      </w:r>
      <w:r>
        <w:t>[accessed: 5 December 2018].</w:t>
      </w:r>
    </w:p>
  </w:footnote>
  <w:footnote w:id="209">
    <w:p w14:paraId="4C3931B6" w14:textId="49C76DC7" w:rsidR="004F37B8" w:rsidRDefault="004F37B8" w:rsidP="00254203">
      <w:pPr>
        <w:pStyle w:val="FootnoteText"/>
      </w:pPr>
      <w:r>
        <w:rPr>
          <w:rStyle w:val="FootnoteReference"/>
        </w:rPr>
        <w:footnoteRef/>
      </w:r>
      <w:r>
        <w:t xml:space="preserve"> UK Parliament. 2018. </w:t>
      </w:r>
      <w:r w:rsidRPr="008B3116">
        <w:rPr>
          <w:i/>
        </w:rPr>
        <w:t>Breast cancer screening update: written statement HCWS731</w:t>
      </w:r>
      <w:r>
        <w:t xml:space="preserve">. [ONLINE]. Available at: </w:t>
      </w:r>
      <w:hyperlink r:id="rId162" w:history="1">
        <w:r w:rsidRPr="00D60E41">
          <w:rPr>
            <w:rStyle w:val="Hyperlink"/>
          </w:rPr>
          <w:t>https://www.parliament.uk/business/publications/written-questions-answers-statements/written-statement/Commons/2018-06-04/HCWS731/</w:t>
        </w:r>
      </w:hyperlink>
      <w:r>
        <w:t xml:space="preserve"> [accessed: 5 December 2018].</w:t>
      </w:r>
    </w:p>
  </w:footnote>
  <w:footnote w:id="210">
    <w:p w14:paraId="4934F5A6" w14:textId="77777777" w:rsidR="004F37B8" w:rsidRDefault="004F37B8" w:rsidP="00254203">
      <w:pPr>
        <w:pStyle w:val="FootnoteText"/>
      </w:pPr>
      <w:r>
        <w:rPr>
          <w:rStyle w:val="FootnoteReference"/>
        </w:rPr>
        <w:footnoteRef/>
      </w:r>
      <w:r>
        <w:t xml:space="preserve"> Welsh Government. 2018. </w:t>
      </w:r>
      <w:r w:rsidRPr="00072EB8">
        <w:rPr>
          <w:i/>
        </w:rPr>
        <w:t>New ovarian cancer drug approved for use in Wales.</w:t>
      </w:r>
      <w:r>
        <w:t xml:space="preserve"> [ONLINE]. Available at: </w:t>
      </w:r>
      <w:hyperlink r:id="rId163" w:history="1">
        <w:r w:rsidRPr="00D77927">
          <w:rPr>
            <w:rStyle w:val="Hyperlink"/>
          </w:rPr>
          <w:t>https://gov.wales/newsroom/health-and-social-services/2018/ovarian/?lang=en</w:t>
        </w:r>
      </w:hyperlink>
      <w:r>
        <w:t xml:space="preserve"> [accessed: 5 December 2018].</w:t>
      </w:r>
    </w:p>
  </w:footnote>
  <w:footnote w:id="211">
    <w:p w14:paraId="0FC0B5AD" w14:textId="77777777" w:rsidR="004F37B8" w:rsidRDefault="004F37B8" w:rsidP="00254203">
      <w:pPr>
        <w:pStyle w:val="FootnoteText"/>
      </w:pPr>
      <w:r>
        <w:rPr>
          <w:rStyle w:val="FootnoteReference"/>
        </w:rPr>
        <w:footnoteRef/>
      </w:r>
      <w:r>
        <w:t xml:space="preserve"> Welsh Government. 2018. </w:t>
      </w:r>
      <w:r w:rsidRPr="00072EB8">
        <w:rPr>
          <w:i/>
        </w:rPr>
        <w:t>Wales to allow termination of pregnancy medication to be taken at home</w:t>
      </w:r>
      <w:r>
        <w:t xml:space="preserve"> [ONLINE]. Available at: </w:t>
      </w:r>
      <w:hyperlink r:id="rId164" w:history="1">
        <w:r w:rsidRPr="00D77927">
          <w:rPr>
            <w:rStyle w:val="Hyperlink"/>
          </w:rPr>
          <w:t>https://gov.wales/newsroom/health-and-social-services/2018/termination/?lang=en</w:t>
        </w:r>
      </w:hyperlink>
      <w:r>
        <w:t xml:space="preserve"> [accessed: 5 December 2018].</w:t>
      </w:r>
    </w:p>
  </w:footnote>
  <w:footnote w:id="212">
    <w:p w14:paraId="6F06758D" w14:textId="6C23494D" w:rsidR="004F37B8" w:rsidRDefault="004F37B8" w:rsidP="00254203">
      <w:pPr>
        <w:pStyle w:val="FootnoteText"/>
      </w:pPr>
      <w:r>
        <w:rPr>
          <w:rStyle w:val="FootnoteReference"/>
        </w:rPr>
        <w:footnoteRef/>
      </w:r>
      <w:r>
        <w:t xml:space="preserve"> Welsh Government (2018)</w:t>
      </w:r>
      <w:r>
        <w:rPr>
          <w:i/>
        </w:rPr>
        <w:t>, ’</w:t>
      </w:r>
      <w:r w:rsidRPr="0054066F">
        <w:t xml:space="preserve">A </w:t>
      </w:r>
      <w:r>
        <w:t>h</w:t>
      </w:r>
      <w:r w:rsidRPr="0054066F">
        <w:t xml:space="preserve">ealthier Wales: our </w:t>
      </w:r>
      <w:r>
        <w:t>p</w:t>
      </w:r>
      <w:r w:rsidRPr="0054066F">
        <w:t xml:space="preserve">lan for </w:t>
      </w:r>
      <w:r>
        <w:t>h</w:t>
      </w:r>
      <w:r w:rsidRPr="0054066F">
        <w:t xml:space="preserve">ealth and </w:t>
      </w:r>
      <w:r>
        <w:t>s</w:t>
      </w:r>
      <w:r w:rsidRPr="0054066F">
        <w:t xml:space="preserve">ocial </w:t>
      </w:r>
      <w:r>
        <w:t>c</w:t>
      </w:r>
      <w:r w:rsidRPr="0054066F">
        <w:t>are</w:t>
      </w:r>
      <w:r>
        <w:t xml:space="preserve">’. Available at:  </w:t>
      </w:r>
      <w:hyperlink r:id="rId165" w:history="1">
        <w:r w:rsidRPr="00BB2AAD">
          <w:rPr>
            <w:rStyle w:val="Hyperlink"/>
          </w:rPr>
          <w:t>https://gov.wales/topics/health/publications/healthier-wales/?lang=en</w:t>
        </w:r>
      </w:hyperlink>
      <w:r>
        <w:t xml:space="preserve">  [accessed: 5 December 2018].</w:t>
      </w:r>
    </w:p>
  </w:footnote>
  <w:footnote w:id="213">
    <w:p w14:paraId="65D89BE7" w14:textId="7FF9A6C9" w:rsidR="004F37B8" w:rsidRDefault="004F37B8" w:rsidP="00254203">
      <w:pPr>
        <w:pStyle w:val="FootnoteText"/>
      </w:pPr>
      <w:r>
        <w:rPr>
          <w:rStyle w:val="FootnoteReference"/>
        </w:rPr>
        <w:footnoteRef/>
      </w:r>
      <w:r>
        <w:t xml:space="preserve"> Welsh Government. 2018</w:t>
      </w:r>
      <w:r w:rsidRPr="00072EB8">
        <w:rPr>
          <w:i/>
        </w:rPr>
        <w:t xml:space="preserve">. Written </w:t>
      </w:r>
      <w:r>
        <w:rPr>
          <w:i/>
        </w:rPr>
        <w:t>s</w:t>
      </w:r>
      <w:r w:rsidRPr="00072EB8">
        <w:rPr>
          <w:i/>
        </w:rPr>
        <w:t xml:space="preserve">tatement – </w:t>
      </w:r>
      <w:r>
        <w:rPr>
          <w:i/>
        </w:rPr>
        <w:t>u</w:t>
      </w:r>
      <w:r w:rsidRPr="00072EB8">
        <w:rPr>
          <w:i/>
        </w:rPr>
        <w:t>pdate on improvements to adult gender identity services in Wales</w:t>
      </w:r>
      <w:r>
        <w:t xml:space="preserve">. [ONLINE]. Available at: </w:t>
      </w:r>
      <w:hyperlink r:id="rId166" w:history="1">
        <w:r w:rsidRPr="00D77927">
          <w:rPr>
            <w:rStyle w:val="Hyperlink"/>
          </w:rPr>
          <w:t>https://gov.wales/about/cabinet/cabinetstatements/2018/genderidentityservices/?lang=en</w:t>
        </w:r>
      </w:hyperlink>
      <w:r>
        <w:t xml:space="preserve"> [accessed: 5 December 2018].</w:t>
      </w:r>
    </w:p>
  </w:footnote>
  <w:footnote w:id="214">
    <w:p w14:paraId="133B90F9" w14:textId="5834B085" w:rsidR="004F37B8" w:rsidRDefault="004F37B8" w:rsidP="00254203">
      <w:pPr>
        <w:pStyle w:val="FootnoteText"/>
      </w:pPr>
      <w:r>
        <w:rPr>
          <w:rStyle w:val="FootnoteReference"/>
        </w:rPr>
        <w:footnoteRef/>
      </w:r>
      <w:r>
        <w:t xml:space="preserve"> National Institute for Health and Care Excellence (2014), ‘</w:t>
      </w:r>
      <w:r w:rsidRPr="00D939F3">
        <w:t>Domestic violence and abuse: multi-agency working</w:t>
      </w:r>
      <w:r>
        <w:t>: p</w:t>
      </w:r>
      <w:r w:rsidRPr="00D939F3">
        <w:t>ublic health guideline [PH50]</w:t>
      </w:r>
      <w:r>
        <w:t xml:space="preserve">’. Available at </w:t>
      </w:r>
      <w:hyperlink r:id="rId167" w:anchor="recommendation-6-ensure-trained-staff-ask-people-about-domestic-violence-and-abuse" w:history="1">
        <w:r w:rsidRPr="005735E7">
          <w:rPr>
            <w:rStyle w:val="Hyperlink"/>
          </w:rPr>
          <w:t>https://www.nice.org.uk/guidance/ph50/chapter/1-Recommendations#recommendation-6-ensure-trained-staff-ask-people-about-domestic-violence-and-abuse</w:t>
        </w:r>
      </w:hyperlink>
      <w:r>
        <w:t xml:space="preserve"> [accessed: 5 December 2018].</w:t>
      </w:r>
    </w:p>
  </w:footnote>
  <w:footnote w:id="215">
    <w:p w14:paraId="6F354E16" w14:textId="77777777" w:rsidR="004F37B8" w:rsidRDefault="004F37B8" w:rsidP="00254203">
      <w:pPr>
        <w:pStyle w:val="FootnoteText"/>
      </w:pPr>
      <w:r>
        <w:rPr>
          <w:rStyle w:val="FootnoteReference"/>
        </w:rPr>
        <w:footnoteRef/>
      </w:r>
      <w:r>
        <w:t xml:space="preserve"> Department for Education (2018), ‘Relationships education, relationships and sex</w:t>
      </w:r>
    </w:p>
    <w:p w14:paraId="6B019395" w14:textId="77777777" w:rsidR="004F37B8" w:rsidRDefault="004F37B8" w:rsidP="00254203">
      <w:pPr>
        <w:pStyle w:val="FootnoteText"/>
      </w:pPr>
      <w:r>
        <w:t xml:space="preserve">education, and health education in England’. Available at: </w:t>
      </w:r>
    </w:p>
    <w:p w14:paraId="3687A30E" w14:textId="77777777" w:rsidR="004F37B8" w:rsidRDefault="004F37B8" w:rsidP="00254203">
      <w:pPr>
        <w:pStyle w:val="FootnoteText"/>
      </w:pPr>
      <w:hyperlink r:id="rId168" w:history="1">
        <w:r w:rsidRPr="00DC5048">
          <w:rPr>
            <w:rStyle w:val="Hyperlink"/>
          </w:rPr>
          <w:t>https://consult.education.gov.uk/pshe/relationships-education-rse-health-education/supporting_documents/180718%20Consultation_call%20for%20evidence%20response_policy%20statement.pdf</w:t>
        </w:r>
      </w:hyperlink>
      <w:r>
        <w:t xml:space="preserve"> [accessed: 14 September 2018].</w:t>
      </w:r>
    </w:p>
  </w:footnote>
  <w:footnote w:id="216">
    <w:p w14:paraId="0C872788" w14:textId="77777777" w:rsidR="004F37B8" w:rsidRDefault="004F37B8" w:rsidP="00254203">
      <w:pPr>
        <w:pStyle w:val="FootnoteText"/>
      </w:pPr>
      <w:r>
        <w:rPr>
          <w:rStyle w:val="FootnoteReference"/>
        </w:rPr>
        <w:footnoteRef/>
      </w:r>
      <w:r>
        <w:t xml:space="preserve"> Parents will retain the right to withdraw their child from elements of relationships and sex education. </w:t>
      </w:r>
    </w:p>
  </w:footnote>
  <w:footnote w:id="217">
    <w:p w14:paraId="38043EE9" w14:textId="27806641" w:rsidR="004F37B8" w:rsidRDefault="004F37B8" w:rsidP="00254203">
      <w:pPr>
        <w:pStyle w:val="FootnoteText"/>
      </w:pPr>
      <w:r>
        <w:rPr>
          <w:rStyle w:val="FootnoteReference"/>
        </w:rPr>
        <w:footnoteRef/>
      </w:r>
      <w:r>
        <w:t xml:space="preserve"> PSHE Association. 2018. </w:t>
      </w:r>
      <w:r w:rsidRPr="00072EB8">
        <w:rPr>
          <w:i/>
        </w:rPr>
        <w:t xml:space="preserve">Government takes </w:t>
      </w:r>
      <w:r>
        <w:rPr>
          <w:i/>
        </w:rPr>
        <w:t>‘</w:t>
      </w:r>
      <w:r w:rsidRPr="00072EB8">
        <w:rPr>
          <w:i/>
        </w:rPr>
        <w:t>major step</w:t>
      </w:r>
      <w:r>
        <w:rPr>
          <w:i/>
        </w:rPr>
        <w:t>’</w:t>
      </w:r>
      <w:r w:rsidRPr="00072EB8">
        <w:rPr>
          <w:i/>
        </w:rPr>
        <w:t xml:space="preserve"> towards better PSHE for all</w:t>
      </w:r>
      <w:r>
        <w:t xml:space="preserve">. [ONLINE]. Available at: </w:t>
      </w:r>
      <w:hyperlink r:id="rId169" w:history="1">
        <w:r w:rsidRPr="00DC5048">
          <w:rPr>
            <w:rStyle w:val="Hyperlink"/>
          </w:rPr>
          <w:t>https://www.pshe-association.org.uk/news/government-takes-%E2%80%98major-step%E2%80%99-towards-better-pshe</w:t>
        </w:r>
      </w:hyperlink>
      <w:r>
        <w:t xml:space="preserve"> [accessed: 14 September 2018]. The UK Government consulted on its proposed regulations and guidance for schools; the consultation closed on 7 November 2018. Available at: </w:t>
      </w:r>
      <w:hyperlink r:id="rId170" w:history="1">
        <w:r w:rsidRPr="00AC4313">
          <w:rPr>
            <w:rStyle w:val="Hyperlink"/>
          </w:rPr>
          <w:t>https://consult.education.gov.uk/pshe/relationships-education-rse-health-education/</w:t>
        </w:r>
      </w:hyperlink>
      <w:r>
        <w:t xml:space="preserve"> [accessed: 5 December 2018].</w:t>
      </w:r>
    </w:p>
  </w:footnote>
  <w:footnote w:id="218">
    <w:p w14:paraId="15EE3475" w14:textId="03DFA18F" w:rsidR="004F37B8" w:rsidRDefault="004F37B8" w:rsidP="00254203">
      <w:pPr>
        <w:pStyle w:val="FootnoteText"/>
      </w:pPr>
      <w:r>
        <w:rPr>
          <w:rStyle w:val="FootnoteReference"/>
        </w:rPr>
        <w:footnoteRef/>
      </w:r>
      <w:r>
        <w:t xml:space="preserve"> </w:t>
      </w:r>
      <w:r w:rsidRPr="008B3116">
        <w:t>Ibid.</w:t>
      </w:r>
      <w:r>
        <w:t xml:space="preserve"> See also: Department for Education. 2018.</w:t>
      </w:r>
      <w:r w:rsidRPr="00072EB8">
        <w:rPr>
          <w:i/>
        </w:rPr>
        <w:t xml:space="preserve"> </w:t>
      </w:r>
      <w:r w:rsidRPr="00072EB8">
        <w:rPr>
          <w:i/>
          <w:lang w:val="en"/>
        </w:rPr>
        <w:t>New relationships and health education in schools</w:t>
      </w:r>
      <w:r>
        <w:rPr>
          <w:lang w:val="en"/>
        </w:rPr>
        <w:t xml:space="preserve">. [ONLINE]. Available at: </w:t>
      </w:r>
      <w:hyperlink r:id="rId171" w:history="1">
        <w:r w:rsidRPr="00D77927">
          <w:rPr>
            <w:rStyle w:val="Hyperlink"/>
            <w:lang w:val="en"/>
          </w:rPr>
          <w:t>https://www.gov.uk/government/news/new-relationships-and-health-education-in-schools</w:t>
        </w:r>
      </w:hyperlink>
      <w:r>
        <w:rPr>
          <w:lang w:val="en"/>
        </w:rPr>
        <w:t xml:space="preserve"> [accessed: 14 September 2018].</w:t>
      </w:r>
    </w:p>
  </w:footnote>
  <w:footnote w:id="219">
    <w:p w14:paraId="6E5F2EBD" w14:textId="4CD296A3" w:rsidR="004F37B8" w:rsidRDefault="004F37B8" w:rsidP="00254203">
      <w:pPr>
        <w:pStyle w:val="FootnoteText"/>
      </w:pPr>
      <w:r>
        <w:rPr>
          <w:rStyle w:val="FootnoteReference"/>
        </w:rPr>
        <w:footnoteRef/>
      </w:r>
      <w:r>
        <w:t xml:space="preserve"> EHRC. 2017. </w:t>
      </w:r>
      <w:r w:rsidRPr="00072EB8">
        <w:rPr>
          <w:i/>
        </w:rPr>
        <w:t>Tackling identity-based bullying in schools video animation</w:t>
      </w:r>
      <w:r>
        <w:t xml:space="preserve">. [ONLINE]. Available at: </w:t>
      </w:r>
      <w:hyperlink r:id="rId172" w:history="1">
        <w:r w:rsidRPr="003F260F">
          <w:rPr>
            <w:rStyle w:val="Hyperlink"/>
          </w:rPr>
          <w:t>https://www.equalityhumanrights.com/en/advice-and-guidance/how-can-we-stop-prejudice-based-bullying-schools</w:t>
        </w:r>
      </w:hyperlink>
      <w:r>
        <w:t xml:space="preserve"> [accessed: 31 October 2018].</w:t>
      </w:r>
    </w:p>
  </w:footnote>
  <w:footnote w:id="220">
    <w:p w14:paraId="5490F861" w14:textId="1AE57599" w:rsidR="004F37B8" w:rsidRDefault="004F37B8" w:rsidP="00254203">
      <w:pPr>
        <w:pStyle w:val="FootnoteText"/>
      </w:pPr>
      <w:r>
        <w:rPr>
          <w:rStyle w:val="FootnoteReference"/>
        </w:rPr>
        <w:footnoteRef/>
      </w:r>
      <w:r>
        <w:t xml:space="preserve"> Department for Education (2018), ‘Relationships education, relationships and sex education (RSE) and health education: guidance for governing bodies, proprietors, head teachers, principals, senior leadership teams, teachers’. Available at: </w:t>
      </w:r>
      <w:hyperlink r:id="rId173" w:history="1">
        <w:r w:rsidRPr="00DC5048">
          <w:rPr>
            <w:rStyle w:val="Hyperlink"/>
          </w:rPr>
          <w:t>https://consult.education.gov.uk/pshe/relationships-education-rse-health-education/supporting_documents/20170718_%20Draft%20guidance%20for%20consultation.pdf</w:t>
        </w:r>
      </w:hyperlink>
      <w:r>
        <w:t xml:space="preserve"> [accessed: 14 September 2018].</w:t>
      </w:r>
    </w:p>
  </w:footnote>
  <w:footnote w:id="221">
    <w:p w14:paraId="5895747C" w14:textId="77777777" w:rsidR="004F37B8" w:rsidRDefault="004F37B8" w:rsidP="00254203">
      <w:pPr>
        <w:pStyle w:val="FootnoteText"/>
      </w:pPr>
      <w:r>
        <w:rPr>
          <w:rStyle w:val="FootnoteReference"/>
        </w:rPr>
        <w:footnoteRef/>
      </w:r>
      <w:r>
        <w:t xml:space="preserve"> End Violence Against Women. 2018. </w:t>
      </w:r>
      <w:r w:rsidRPr="00072EB8">
        <w:rPr>
          <w:i/>
        </w:rPr>
        <w:t>Plans for relationships and sex education don’t go far enough</w:t>
      </w:r>
      <w:r>
        <w:t xml:space="preserve">. [ONLINE]. Available at: </w:t>
      </w:r>
      <w:hyperlink r:id="rId174" w:history="1">
        <w:r w:rsidRPr="00DC5048">
          <w:rPr>
            <w:rStyle w:val="Hyperlink"/>
          </w:rPr>
          <w:t>https://www.endviolenceagainstwomen.org.uk/plans-for-relationships-and-sex-education-wont-prevent-abuse/</w:t>
        </w:r>
      </w:hyperlink>
      <w:r>
        <w:t xml:space="preserve"> [accessed: 14 September 2018].</w:t>
      </w:r>
    </w:p>
  </w:footnote>
  <w:footnote w:id="222">
    <w:p w14:paraId="649D0EFE" w14:textId="11FD2697" w:rsidR="004F37B8" w:rsidRDefault="004F37B8">
      <w:pPr>
        <w:pStyle w:val="FootnoteText"/>
      </w:pPr>
      <w:r>
        <w:rPr>
          <w:rStyle w:val="FootnoteReference"/>
        </w:rPr>
        <w:footnoteRef/>
      </w:r>
      <w:r>
        <w:t xml:space="preserve"> EHRC (2018). ‘</w:t>
      </w:r>
      <w:r w:rsidRPr="00B20351">
        <w:t xml:space="preserve">Our response to the consultation on </w:t>
      </w:r>
      <w:r>
        <w:t>r</w:t>
      </w:r>
      <w:r w:rsidRPr="00B20351">
        <w:t xml:space="preserve">elationships </w:t>
      </w:r>
      <w:r>
        <w:t>e</w:t>
      </w:r>
      <w:r w:rsidRPr="00B20351">
        <w:t xml:space="preserve">ducation, </w:t>
      </w:r>
      <w:r>
        <w:t>r</w:t>
      </w:r>
      <w:r w:rsidRPr="00B20351">
        <w:t xml:space="preserve">elationships and </w:t>
      </w:r>
      <w:r>
        <w:t>s</w:t>
      </w:r>
      <w:r w:rsidRPr="00B20351">
        <w:t xml:space="preserve">ex </w:t>
      </w:r>
      <w:r>
        <w:t>e</w:t>
      </w:r>
      <w:r w:rsidRPr="00B20351">
        <w:t xml:space="preserve">ducation, and </w:t>
      </w:r>
      <w:r>
        <w:t>h</w:t>
      </w:r>
      <w:r w:rsidRPr="00B20351">
        <w:t xml:space="preserve">ealth </w:t>
      </w:r>
      <w:r>
        <w:t>e</w:t>
      </w:r>
      <w:r w:rsidRPr="00B20351">
        <w:t>ducation in England</w:t>
      </w:r>
      <w:r>
        <w:t xml:space="preserve">’. Available at: </w:t>
      </w:r>
      <w:hyperlink r:id="rId175" w:history="1">
        <w:r w:rsidRPr="00D60E41">
          <w:rPr>
            <w:rStyle w:val="Hyperlink"/>
          </w:rPr>
          <w:t>https://www.equalityhumanrights.com/sites/default/files/consultation-response-relationships-education-sex-education-health-education-england.docx</w:t>
        </w:r>
      </w:hyperlink>
      <w:r>
        <w:t xml:space="preserve"> [accessed: 3 January 2019].</w:t>
      </w:r>
    </w:p>
  </w:footnote>
  <w:footnote w:id="223">
    <w:p w14:paraId="78A28B51" w14:textId="22152AA6" w:rsidR="004F37B8" w:rsidRDefault="004F37B8" w:rsidP="00254203">
      <w:pPr>
        <w:pStyle w:val="FootnoteText"/>
      </w:pPr>
      <w:r>
        <w:rPr>
          <w:rStyle w:val="FootnoteReference"/>
        </w:rPr>
        <w:footnoteRef/>
      </w:r>
      <w:r>
        <w:t xml:space="preserve"> Parents currently have the right to withdraw from both sex and relationships education.</w:t>
      </w:r>
    </w:p>
  </w:footnote>
  <w:footnote w:id="224">
    <w:p w14:paraId="0EC78D34" w14:textId="2B72728C" w:rsidR="004F37B8" w:rsidRDefault="004F37B8" w:rsidP="00254203">
      <w:pPr>
        <w:pStyle w:val="FootnoteText"/>
      </w:pPr>
      <w:r>
        <w:rPr>
          <w:rStyle w:val="FootnoteReference"/>
        </w:rPr>
        <w:footnoteRef/>
      </w:r>
      <w:r>
        <w:t xml:space="preserve"> Department for Education (2018), ‘Relationships education, relationships and sex education (RSE) and health education: guidance for governing bodies, proprietors, head teachers, principals, senior leadership teams, teachers’. Available at: </w:t>
      </w:r>
      <w:hyperlink r:id="rId176" w:history="1">
        <w:r w:rsidRPr="00DC5048">
          <w:rPr>
            <w:rStyle w:val="Hyperlink"/>
          </w:rPr>
          <w:t>https://consult.education.gov.uk/pshe/relationships-education-rse-health-education/supporting_documents/20170718_%20Draft%20guidance%20for%20consultation.pdf</w:t>
        </w:r>
      </w:hyperlink>
      <w:r>
        <w:t xml:space="preserve"> [accessed: 14 September 2018].</w:t>
      </w:r>
    </w:p>
  </w:footnote>
  <w:footnote w:id="225">
    <w:p w14:paraId="1880B13A" w14:textId="259B68DD" w:rsidR="004F37B8" w:rsidRDefault="004F37B8" w:rsidP="00254203">
      <w:pPr>
        <w:pStyle w:val="FootnoteText"/>
      </w:pPr>
      <w:r>
        <w:rPr>
          <w:rStyle w:val="FootnoteReference"/>
        </w:rPr>
        <w:footnoteRef/>
      </w:r>
      <w:r>
        <w:t xml:space="preserve"> Welsh Government. 2018. </w:t>
      </w:r>
      <w:r w:rsidRPr="00072EB8">
        <w:rPr>
          <w:i/>
        </w:rPr>
        <w:t xml:space="preserve">Kirsty Williams announces major focus on healthy relationships in reforms to </w:t>
      </w:r>
      <w:r>
        <w:rPr>
          <w:i/>
        </w:rPr>
        <w:t>‘</w:t>
      </w:r>
      <w:r w:rsidRPr="00072EB8">
        <w:rPr>
          <w:i/>
        </w:rPr>
        <w:t>relationships and sexuality</w:t>
      </w:r>
      <w:r>
        <w:rPr>
          <w:i/>
        </w:rPr>
        <w:t>’</w:t>
      </w:r>
      <w:r w:rsidRPr="00072EB8">
        <w:rPr>
          <w:i/>
        </w:rPr>
        <w:t xml:space="preserve"> education</w:t>
      </w:r>
      <w:r>
        <w:rPr>
          <w:i/>
        </w:rPr>
        <w:t>.</w:t>
      </w:r>
      <w:r>
        <w:t xml:space="preserve"> [ONLINE]. Available at: </w:t>
      </w:r>
      <w:hyperlink r:id="rId177" w:history="1">
        <w:r w:rsidRPr="00AE49F7">
          <w:rPr>
            <w:rStyle w:val="Hyperlink"/>
          </w:rPr>
          <w:t>https://gov.wales/newsroom/educationandskills/2018/kirsty-williams-announces-focus-on-healthy-relationships-in-major-reforms-to-relationships-and-sexuality-education/?lang=en</w:t>
        </w:r>
      </w:hyperlink>
      <w:r>
        <w:t xml:space="preserve"> [accessed: 17 September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4148F" w14:textId="77236375" w:rsidR="004F37B8" w:rsidRPr="00E778A3" w:rsidRDefault="004F37B8" w:rsidP="00E778A3">
    <w:pPr>
      <w:pStyle w:val="Header"/>
    </w:pPr>
    <w:r>
      <w:rPr>
        <w:sz w:val="18"/>
        <w:szCs w:val="18"/>
      </w:rPr>
      <w:t>Women’s rights and gender equality in 2018</w:t>
    </w:r>
    <w:r>
      <w:rPr>
        <w:sz w:val="18"/>
        <w:szCs w:val="18"/>
      </w:rPr>
      <w:ptab w:relativeTo="margin" w:alignment="right" w:leader="none"/>
    </w:r>
    <w:r>
      <w:rPr>
        <w:sz w:val="18"/>
        <w:szCs w:val="18"/>
      </w:rPr>
      <w:t>Annex II: Full update report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52A05"/>
    <w:multiLevelType w:val="hybridMultilevel"/>
    <w:tmpl w:val="B45468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57486"/>
    <w:multiLevelType w:val="hybridMultilevel"/>
    <w:tmpl w:val="F8C2B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183998"/>
    <w:multiLevelType w:val="hybridMultilevel"/>
    <w:tmpl w:val="68086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746A0"/>
    <w:multiLevelType w:val="hybridMultilevel"/>
    <w:tmpl w:val="403211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F5E47EF"/>
    <w:multiLevelType w:val="hybridMultilevel"/>
    <w:tmpl w:val="BBA2E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FD6CEB"/>
    <w:multiLevelType w:val="hybridMultilevel"/>
    <w:tmpl w:val="A3185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AF4AC5"/>
    <w:multiLevelType w:val="hybridMultilevel"/>
    <w:tmpl w:val="411E78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A47319C"/>
    <w:multiLevelType w:val="hybridMultilevel"/>
    <w:tmpl w:val="BB9CD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CF4676"/>
    <w:multiLevelType w:val="hybridMultilevel"/>
    <w:tmpl w:val="CD0E0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4C5AA4"/>
    <w:multiLevelType w:val="hybridMultilevel"/>
    <w:tmpl w:val="29807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5F58E5"/>
    <w:multiLevelType w:val="hybridMultilevel"/>
    <w:tmpl w:val="045ED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520837"/>
    <w:multiLevelType w:val="hybridMultilevel"/>
    <w:tmpl w:val="B3065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2D5FC9"/>
    <w:multiLevelType w:val="hybridMultilevel"/>
    <w:tmpl w:val="C8DA0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F07709"/>
    <w:multiLevelType w:val="hybridMultilevel"/>
    <w:tmpl w:val="7E4A80D0"/>
    <w:lvl w:ilvl="0" w:tplc="80000124">
      <w:start w:val="1"/>
      <w:numFmt w:val="bullet"/>
      <w:lvlText w:val=""/>
      <w:lvlJc w:val="left"/>
      <w:pPr>
        <w:ind w:left="720"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FC42180">
      <w:numFmt w:val="bullet"/>
      <w:pStyle w:val="Bullets-sub-bullets"/>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B902CE"/>
    <w:multiLevelType w:val="hybridMultilevel"/>
    <w:tmpl w:val="DC5E8A48"/>
    <w:lvl w:ilvl="0" w:tplc="88D6E7CC">
      <w:start w:val="1"/>
      <w:numFmt w:val="decimal"/>
      <w:pStyle w:val="Numberedlistlastingroup"/>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5604146"/>
    <w:multiLevelType w:val="hybridMultilevel"/>
    <w:tmpl w:val="A39629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F7174F"/>
    <w:multiLevelType w:val="hybridMultilevel"/>
    <w:tmpl w:val="322E86DE"/>
    <w:lvl w:ilvl="0" w:tplc="08090003">
      <w:start w:val="1"/>
      <w:numFmt w:val="bullet"/>
      <w:lvlText w:val="o"/>
      <w:lvlJc w:val="left"/>
      <w:pPr>
        <w:ind w:left="1440" w:hanging="72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B140439"/>
    <w:multiLevelType w:val="hybridMultilevel"/>
    <w:tmpl w:val="3B10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B76656"/>
    <w:multiLevelType w:val="hybridMultilevel"/>
    <w:tmpl w:val="1B90C3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14043A"/>
    <w:multiLevelType w:val="hybridMultilevel"/>
    <w:tmpl w:val="9B48C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C27C6C"/>
    <w:multiLevelType w:val="hybridMultilevel"/>
    <w:tmpl w:val="0A3AA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F1169F"/>
    <w:multiLevelType w:val="hybridMultilevel"/>
    <w:tmpl w:val="16F2A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397E35"/>
    <w:multiLevelType w:val="hybridMultilevel"/>
    <w:tmpl w:val="995627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E40437"/>
    <w:multiLevelType w:val="hybridMultilevel"/>
    <w:tmpl w:val="C3F41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5A52F2"/>
    <w:multiLevelType w:val="hybridMultilevel"/>
    <w:tmpl w:val="445CFD40"/>
    <w:lvl w:ilvl="0" w:tplc="D06C5E12">
      <w:start w:val="6"/>
      <w:numFmt w:val="bullet"/>
      <w:lvlText w:val=""/>
      <w:lvlJc w:val="left"/>
      <w:pPr>
        <w:ind w:left="360" w:hanging="360"/>
      </w:pPr>
      <w:rPr>
        <w:rFonts w:ascii="Symbol" w:eastAsia="Calibri"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0416E41"/>
    <w:multiLevelType w:val="hybridMultilevel"/>
    <w:tmpl w:val="A8C05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96102D"/>
    <w:multiLevelType w:val="hybridMultilevel"/>
    <w:tmpl w:val="6F5209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63C4FED"/>
    <w:multiLevelType w:val="hybridMultilevel"/>
    <w:tmpl w:val="06C64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2D5E53"/>
    <w:multiLevelType w:val="hybridMultilevel"/>
    <w:tmpl w:val="B6183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B33B4F"/>
    <w:multiLevelType w:val="hybridMultilevel"/>
    <w:tmpl w:val="1B2CB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C000F0"/>
    <w:multiLevelType w:val="hybridMultilevel"/>
    <w:tmpl w:val="4AFE7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E45AF8"/>
    <w:multiLevelType w:val="hybridMultilevel"/>
    <w:tmpl w:val="26A86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FE0F19"/>
    <w:multiLevelType w:val="hybridMultilevel"/>
    <w:tmpl w:val="E45ADAF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735795F"/>
    <w:multiLevelType w:val="hybridMultilevel"/>
    <w:tmpl w:val="E912E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151C94"/>
    <w:multiLevelType w:val="hybridMultilevel"/>
    <w:tmpl w:val="53DA28EE"/>
    <w:lvl w:ilvl="0" w:tplc="80000124">
      <w:start w:val="1"/>
      <w:numFmt w:val="bullet"/>
      <w:pStyle w:val="Bullet-followedbyothers"/>
      <w:lvlText w:val=""/>
      <w:lvlJc w:val="left"/>
      <w:pPr>
        <w:ind w:left="720"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3F4917"/>
    <w:multiLevelType w:val="hybridMultilevel"/>
    <w:tmpl w:val="578E3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8A52BF"/>
    <w:multiLevelType w:val="hybridMultilevel"/>
    <w:tmpl w:val="4CF23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3"/>
  </w:num>
  <w:num w:numId="3">
    <w:abstractNumId w:val="14"/>
  </w:num>
  <w:num w:numId="4">
    <w:abstractNumId w:val="9"/>
  </w:num>
  <w:num w:numId="5">
    <w:abstractNumId w:val="3"/>
  </w:num>
  <w:num w:numId="6">
    <w:abstractNumId w:val="22"/>
  </w:num>
  <w:num w:numId="7">
    <w:abstractNumId w:val="24"/>
  </w:num>
  <w:num w:numId="8">
    <w:abstractNumId w:val="16"/>
  </w:num>
  <w:num w:numId="9">
    <w:abstractNumId w:val="35"/>
  </w:num>
  <w:num w:numId="10">
    <w:abstractNumId w:val="29"/>
  </w:num>
  <w:num w:numId="11">
    <w:abstractNumId w:val="33"/>
  </w:num>
  <w:num w:numId="12">
    <w:abstractNumId w:val="10"/>
  </w:num>
  <w:num w:numId="13">
    <w:abstractNumId w:val="30"/>
  </w:num>
  <w:num w:numId="14">
    <w:abstractNumId w:val="6"/>
  </w:num>
  <w:num w:numId="15">
    <w:abstractNumId w:val="4"/>
  </w:num>
  <w:num w:numId="16">
    <w:abstractNumId w:val="8"/>
  </w:num>
  <w:num w:numId="17">
    <w:abstractNumId w:val="32"/>
  </w:num>
  <w:num w:numId="18">
    <w:abstractNumId w:val="0"/>
  </w:num>
  <w:num w:numId="19">
    <w:abstractNumId w:val="36"/>
  </w:num>
  <w:num w:numId="20">
    <w:abstractNumId w:val="18"/>
  </w:num>
  <w:num w:numId="21">
    <w:abstractNumId w:val="26"/>
  </w:num>
  <w:num w:numId="22">
    <w:abstractNumId w:val="1"/>
  </w:num>
  <w:num w:numId="23">
    <w:abstractNumId w:val="19"/>
  </w:num>
  <w:num w:numId="24">
    <w:abstractNumId w:val="21"/>
  </w:num>
  <w:num w:numId="25">
    <w:abstractNumId w:val="23"/>
  </w:num>
  <w:num w:numId="26">
    <w:abstractNumId w:val="12"/>
  </w:num>
  <w:num w:numId="27">
    <w:abstractNumId w:val="20"/>
  </w:num>
  <w:num w:numId="28">
    <w:abstractNumId w:val="28"/>
  </w:num>
  <w:num w:numId="29">
    <w:abstractNumId w:val="2"/>
  </w:num>
  <w:num w:numId="30">
    <w:abstractNumId w:val="5"/>
  </w:num>
  <w:num w:numId="31">
    <w:abstractNumId w:val="7"/>
  </w:num>
  <w:num w:numId="32">
    <w:abstractNumId w:val="9"/>
  </w:num>
  <w:num w:numId="33">
    <w:abstractNumId w:val="31"/>
  </w:num>
  <w:num w:numId="34">
    <w:abstractNumId w:val="15"/>
  </w:num>
  <w:num w:numId="35">
    <w:abstractNumId w:val="17"/>
  </w:num>
  <w:num w:numId="36">
    <w:abstractNumId w:val="25"/>
  </w:num>
  <w:num w:numId="37">
    <w:abstractNumId w:val="11"/>
  </w:num>
  <w:num w:numId="38">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numRestart w:val="eachSect"/>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D9B"/>
    <w:rsid w:val="000016CD"/>
    <w:rsid w:val="00004AB0"/>
    <w:rsid w:val="00005A27"/>
    <w:rsid w:val="00010817"/>
    <w:rsid w:val="00026302"/>
    <w:rsid w:val="00032B9E"/>
    <w:rsid w:val="00036260"/>
    <w:rsid w:val="000410F5"/>
    <w:rsid w:val="000444D0"/>
    <w:rsid w:val="000451CB"/>
    <w:rsid w:val="00047219"/>
    <w:rsid w:val="00052516"/>
    <w:rsid w:val="00054CB3"/>
    <w:rsid w:val="00064D2F"/>
    <w:rsid w:val="00067DE6"/>
    <w:rsid w:val="00073749"/>
    <w:rsid w:val="0008395F"/>
    <w:rsid w:val="00095128"/>
    <w:rsid w:val="000A0FB8"/>
    <w:rsid w:val="000A6C0E"/>
    <w:rsid w:val="000B2C0F"/>
    <w:rsid w:val="000B2F32"/>
    <w:rsid w:val="000B4B0D"/>
    <w:rsid w:val="000B528A"/>
    <w:rsid w:val="000B5C1B"/>
    <w:rsid w:val="000B7068"/>
    <w:rsid w:val="000C28C0"/>
    <w:rsid w:val="000C514D"/>
    <w:rsid w:val="000D3CD7"/>
    <w:rsid w:val="000E4A94"/>
    <w:rsid w:val="000F6DE0"/>
    <w:rsid w:val="00105471"/>
    <w:rsid w:val="00107D90"/>
    <w:rsid w:val="0011090D"/>
    <w:rsid w:val="00117D16"/>
    <w:rsid w:val="00121D21"/>
    <w:rsid w:val="00122E67"/>
    <w:rsid w:val="001340B5"/>
    <w:rsid w:val="00144D9A"/>
    <w:rsid w:val="00151B3E"/>
    <w:rsid w:val="00153B68"/>
    <w:rsid w:val="00156B9D"/>
    <w:rsid w:val="00165EBE"/>
    <w:rsid w:val="00167B7E"/>
    <w:rsid w:val="0017083E"/>
    <w:rsid w:val="001711BE"/>
    <w:rsid w:val="001725C9"/>
    <w:rsid w:val="00177504"/>
    <w:rsid w:val="0019294D"/>
    <w:rsid w:val="001A7BD3"/>
    <w:rsid w:val="001B0510"/>
    <w:rsid w:val="001B7D8D"/>
    <w:rsid w:val="001C1BEE"/>
    <w:rsid w:val="001C23A2"/>
    <w:rsid w:val="001C23DE"/>
    <w:rsid w:val="001C45FA"/>
    <w:rsid w:val="001D0F88"/>
    <w:rsid w:val="001E1B52"/>
    <w:rsid w:val="001F26A0"/>
    <w:rsid w:val="001F3BB8"/>
    <w:rsid w:val="001F6A40"/>
    <w:rsid w:val="001F77A1"/>
    <w:rsid w:val="00200D3C"/>
    <w:rsid w:val="00206212"/>
    <w:rsid w:val="00206636"/>
    <w:rsid w:val="00207576"/>
    <w:rsid w:val="0021038D"/>
    <w:rsid w:val="00211F67"/>
    <w:rsid w:val="00212E21"/>
    <w:rsid w:val="00237BC2"/>
    <w:rsid w:val="0024174E"/>
    <w:rsid w:val="00245571"/>
    <w:rsid w:val="00251FD0"/>
    <w:rsid w:val="00254203"/>
    <w:rsid w:val="00262053"/>
    <w:rsid w:val="00265B6C"/>
    <w:rsid w:val="002806AC"/>
    <w:rsid w:val="00280AAF"/>
    <w:rsid w:val="002829BA"/>
    <w:rsid w:val="002837D5"/>
    <w:rsid w:val="00283AF5"/>
    <w:rsid w:val="00290E8D"/>
    <w:rsid w:val="0029610F"/>
    <w:rsid w:val="002A4958"/>
    <w:rsid w:val="002A52F4"/>
    <w:rsid w:val="002A79A4"/>
    <w:rsid w:val="002B1E61"/>
    <w:rsid w:val="002B43E5"/>
    <w:rsid w:val="002B69EC"/>
    <w:rsid w:val="002C337D"/>
    <w:rsid w:val="002C678D"/>
    <w:rsid w:val="002D048D"/>
    <w:rsid w:val="002D3C50"/>
    <w:rsid w:val="002D7D63"/>
    <w:rsid w:val="002E0247"/>
    <w:rsid w:val="002E0EBF"/>
    <w:rsid w:val="002E39BE"/>
    <w:rsid w:val="002E5167"/>
    <w:rsid w:val="002E51A4"/>
    <w:rsid w:val="002E5F7B"/>
    <w:rsid w:val="002E657B"/>
    <w:rsid w:val="002F013F"/>
    <w:rsid w:val="002F74A2"/>
    <w:rsid w:val="00301C9D"/>
    <w:rsid w:val="00302DE5"/>
    <w:rsid w:val="003040C7"/>
    <w:rsid w:val="00307722"/>
    <w:rsid w:val="00312911"/>
    <w:rsid w:val="00312E2D"/>
    <w:rsid w:val="003139D5"/>
    <w:rsid w:val="00313D9B"/>
    <w:rsid w:val="003155D5"/>
    <w:rsid w:val="00323F73"/>
    <w:rsid w:val="00324A21"/>
    <w:rsid w:val="00332F41"/>
    <w:rsid w:val="003372B9"/>
    <w:rsid w:val="00343CF2"/>
    <w:rsid w:val="00344735"/>
    <w:rsid w:val="0034708A"/>
    <w:rsid w:val="003531AF"/>
    <w:rsid w:val="00354B6C"/>
    <w:rsid w:val="00357CC4"/>
    <w:rsid w:val="00361428"/>
    <w:rsid w:val="003632C7"/>
    <w:rsid w:val="003831A6"/>
    <w:rsid w:val="003902E4"/>
    <w:rsid w:val="00393806"/>
    <w:rsid w:val="0039627C"/>
    <w:rsid w:val="003A30AB"/>
    <w:rsid w:val="003A6537"/>
    <w:rsid w:val="003C343C"/>
    <w:rsid w:val="003C36A7"/>
    <w:rsid w:val="003C4081"/>
    <w:rsid w:val="003C42E3"/>
    <w:rsid w:val="003C635B"/>
    <w:rsid w:val="003D2874"/>
    <w:rsid w:val="003E328C"/>
    <w:rsid w:val="003E54AA"/>
    <w:rsid w:val="003E7D1C"/>
    <w:rsid w:val="003F10E0"/>
    <w:rsid w:val="003F699A"/>
    <w:rsid w:val="003F6B69"/>
    <w:rsid w:val="00402430"/>
    <w:rsid w:val="00402BD7"/>
    <w:rsid w:val="00406685"/>
    <w:rsid w:val="00411B1A"/>
    <w:rsid w:val="004151A5"/>
    <w:rsid w:val="00416FD6"/>
    <w:rsid w:val="004266CE"/>
    <w:rsid w:val="0042725F"/>
    <w:rsid w:val="004273A2"/>
    <w:rsid w:val="004315CC"/>
    <w:rsid w:val="004324D0"/>
    <w:rsid w:val="00434102"/>
    <w:rsid w:val="0043552F"/>
    <w:rsid w:val="0043778A"/>
    <w:rsid w:val="00441A89"/>
    <w:rsid w:val="004464E8"/>
    <w:rsid w:val="00447C6A"/>
    <w:rsid w:val="0045102E"/>
    <w:rsid w:val="004522FB"/>
    <w:rsid w:val="00453C19"/>
    <w:rsid w:val="00464623"/>
    <w:rsid w:val="00465A95"/>
    <w:rsid w:val="00473C7B"/>
    <w:rsid w:val="00476870"/>
    <w:rsid w:val="0048380D"/>
    <w:rsid w:val="00484951"/>
    <w:rsid w:val="004911BB"/>
    <w:rsid w:val="0049243D"/>
    <w:rsid w:val="004931D2"/>
    <w:rsid w:val="004A0489"/>
    <w:rsid w:val="004A6705"/>
    <w:rsid w:val="004A7C75"/>
    <w:rsid w:val="004B6780"/>
    <w:rsid w:val="004C0103"/>
    <w:rsid w:val="004C2425"/>
    <w:rsid w:val="004C4EE3"/>
    <w:rsid w:val="004D0E08"/>
    <w:rsid w:val="004D3B2B"/>
    <w:rsid w:val="004D6453"/>
    <w:rsid w:val="004E36B9"/>
    <w:rsid w:val="004E6456"/>
    <w:rsid w:val="004F132A"/>
    <w:rsid w:val="004F37B8"/>
    <w:rsid w:val="004F395F"/>
    <w:rsid w:val="004F6F1B"/>
    <w:rsid w:val="00501DF6"/>
    <w:rsid w:val="00505EC0"/>
    <w:rsid w:val="0051033B"/>
    <w:rsid w:val="005131D5"/>
    <w:rsid w:val="005201C7"/>
    <w:rsid w:val="005203F6"/>
    <w:rsid w:val="00525B6D"/>
    <w:rsid w:val="00525C02"/>
    <w:rsid w:val="00526641"/>
    <w:rsid w:val="0053160E"/>
    <w:rsid w:val="00533EB5"/>
    <w:rsid w:val="0053445C"/>
    <w:rsid w:val="00534678"/>
    <w:rsid w:val="0054066F"/>
    <w:rsid w:val="00542190"/>
    <w:rsid w:val="0054352B"/>
    <w:rsid w:val="005466C3"/>
    <w:rsid w:val="00552164"/>
    <w:rsid w:val="0055654B"/>
    <w:rsid w:val="00556C43"/>
    <w:rsid w:val="005638C0"/>
    <w:rsid w:val="00570136"/>
    <w:rsid w:val="00574C5C"/>
    <w:rsid w:val="0058112E"/>
    <w:rsid w:val="00585D99"/>
    <w:rsid w:val="005927E3"/>
    <w:rsid w:val="00594560"/>
    <w:rsid w:val="005B32DB"/>
    <w:rsid w:val="005B69DC"/>
    <w:rsid w:val="005C4767"/>
    <w:rsid w:val="005C5785"/>
    <w:rsid w:val="005C7E5C"/>
    <w:rsid w:val="005D031A"/>
    <w:rsid w:val="005D0D48"/>
    <w:rsid w:val="005D2837"/>
    <w:rsid w:val="005D3341"/>
    <w:rsid w:val="005D4AD3"/>
    <w:rsid w:val="005E3E23"/>
    <w:rsid w:val="005F0B54"/>
    <w:rsid w:val="005F46F6"/>
    <w:rsid w:val="00600C1C"/>
    <w:rsid w:val="0061539A"/>
    <w:rsid w:val="00615C1D"/>
    <w:rsid w:val="00632C62"/>
    <w:rsid w:val="00634D9B"/>
    <w:rsid w:val="006368D6"/>
    <w:rsid w:val="006406C7"/>
    <w:rsid w:val="0064348C"/>
    <w:rsid w:val="00643E2D"/>
    <w:rsid w:val="00654CAE"/>
    <w:rsid w:val="0065754C"/>
    <w:rsid w:val="00657C7E"/>
    <w:rsid w:val="00662624"/>
    <w:rsid w:val="00665F37"/>
    <w:rsid w:val="00667751"/>
    <w:rsid w:val="0068240C"/>
    <w:rsid w:val="0068366B"/>
    <w:rsid w:val="00684947"/>
    <w:rsid w:val="00687086"/>
    <w:rsid w:val="00692D69"/>
    <w:rsid w:val="00697364"/>
    <w:rsid w:val="006A439B"/>
    <w:rsid w:val="006A6AD8"/>
    <w:rsid w:val="006B3215"/>
    <w:rsid w:val="006B58E7"/>
    <w:rsid w:val="006D107C"/>
    <w:rsid w:val="006D18A9"/>
    <w:rsid w:val="006D423D"/>
    <w:rsid w:val="006E6295"/>
    <w:rsid w:val="006F057B"/>
    <w:rsid w:val="006F2CC9"/>
    <w:rsid w:val="006F314E"/>
    <w:rsid w:val="006F3F9B"/>
    <w:rsid w:val="006F73F2"/>
    <w:rsid w:val="006F7DAC"/>
    <w:rsid w:val="00702DF6"/>
    <w:rsid w:val="007039FB"/>
    <w:rsid w:val="00707B18"/>
    <w:rsid w:val="00710CDE"/>
    <w:rsid w:val="00711CCC"/>
    <w:rsid w:val="00720DF2"/>
    <w:rsid w:val="007262E7"/>
    <w:rsid w:val="00727BF3"/>
    <w:rsid w:val="00743F1B"/>
    <w:rsid w:val="0075018F"/>
    <w:rsid w:val="00754CE3"/>
    <w:rsid w:val="007600DC"/>
    <w:rsid w:val="007718B3"/>
    <w:rsid w:val="00774BB8"/>
    <w:rsid w:val="00776F38"/>
    <w:rsid w:val="0078116F"/>
    <w:rsid w:val="00787EA4"/>
    <w:rsid w:val="00793CB4"/>
    <w:rsid w:val="00793D91"/>
    <w:rsid w:val="0079413F"/>
    <w:rsid w:val="0079507D"/>
    <w:rsid w:val="007A0C0A"/>
    <w:rsid w:val="007A23EC"/>
    <w:rsid w:val="007A75C8"/>
    <w:rsid w:val="007B3814"/>
    <w:rsid w:val="007B42C8"/>
    <w:rsid w:val="007B5ED3"/>
    <w:rsid w:val="007B7F25"/>
    <w:rsid w:val="007C1DEE"/>
    <w:rsid w:val="007C29CE"/>
    <w:rsid w:val="007C2F23"/>
    <w:rsid w:val="007C546A"/>
    <w:rsid w:val="007E0917"/>
    <w:rsid w:val="007E31D4"/>
    <w:rsid w:val="007F6A5A"/>
    <w:rsid w:val="007F7E2E"/>
    <w:rsid w:val="00801A7F"/>
    <w:rsid w:val="00806A6A"/>
    <w:rsid w:val="00813358"/>
    <w:rsid w:val="00817048"/>
    <w:rsid w:val="00817D1F"/>
    <w:rsid w:val="008209FC"/>
    <w:rsid w:val="008231E6"/>
    <w:rsid w:val="008343D2"/>
    <w:rsid w:val="0084355B"/>
    <w:rsid w:val="00843F18"/>
    <w:rsid w:val="00845472"/>
    <w:rsid w:val="00846DBA"/>
    <w:rsid w:val="00854F16"/>
    <w:rsid w:val="0086386F"/>
    <w:rsid w:val="008662CF"/>
    <w:rsid w:val="00872F3F"/>
    <w:rsid w:val="00874864"/>
    <w:rsid w:val="00875141"/>
    <w:rsid w:val="0088647C"/>
    <w:rsid w:val="00890BDA"/>
    <w:rsid w:val="00893B39"/>
    <w:rsid w:val="00894101"/>
    <w:rsid w:val="00894671"/>
    <w:rsid w:val="008973A4"/>
    <w:rsid w:val="008A00E3"/>
    <w:rsid w:val="008A05DE"/>
    <w:rsid w:val="008B3116"/>
    <w:rsid w:val="008B33CB"/>
    <w:rsid w:val="008B635D"/>
    <w:rsid w:val="008E0727"/>
    <w:rsid w:val="008F17E5"/>
    <w:rsid w:val="008F5CC9"/>
    <w:rsid w:val="008F6DE2"/>
    <w:rsid w:val="00913B6B"/>
    <w:rsid w:val="00914FFE"/>
    <w:rsid w:val="00915230"/>
    <w:rsid w:val="0091638B"/>
    <w:rsid w:val="00923827"/>
    <w:rsid w:val="00930BC2"/>
    <w:rsid w:val="0093219E"/>
    <w:rsid w:val="00935871"/>
    <w:rsid w:val="00937D9C"/>
    <w:rsid w:val="00942746"/>
    <w:rsid w:val="009439F8"/>
    <w:rsid w:val="0095027E"/>
    <w:rsid w:val="00952974"/>
    <w:rsid w:val="00956631"/>
    <w:rsid w:val="00957D20"/>
    <w:rsid w:val="0096565F"/>
    <w:rsid w:val="00970D9B"/>
    <w:rsid w:val="009710A1"/>
    <w:rsid w:val="00976695"/>
    <w:rsid w:val="009769BA"/>
    <w:rsid w:val="00976AE5"/>
    <w:rsid w:val="009805DB"/>
    <w:rsid w:val="00981380"/>
    <w:rsid w:val="009821CF"/>
    <w:rsid w:val="0098484E"/>
    <w:rsid w:val="009915DF"/>
    <w:rsid w:val="00995E88"/>
    <w:rsid w:val="00997E89"/>
    <w:rsid w:val="009A2356"/>
    <w:rsid w:val="009A43D5"/>
    <w:rsid w:val="009B026A"/>
    <w:rsid w:val="009B04A9"/>
    <w:rsid w:val="009B2CE2"/>
    <w:rsid w:val="009B7937"/>
    <w:rsid w:val="009C1D26"/>
    <w:rsid w:val="009C3812"/>
    <w:rsid w:val="009C5812"/>
    <w:rsid w:val="009C703A"/>
    <w:rsid w:val="009D4F29"/>
    <w:rsid w:val="009D75E8"/>
    <w:rsid w:val="009D7B48"/>
    <w:rsid w:val="009E1CCD"/>
    <w:rsid w:val="009E23E3"/>
    <w:rsid w:val="009E3D7B"/>
    <w:rsid w:val="009E4391"/>
    <w:rsid w:val="009E45A9"/>
    <w:rsid w:val="009E7F3D"/>
    <w:rsid w:val="009F19FC"/>
    <w:rsid w:val="009F5687"/>
    <w:rsid w:val="009F5710"/>
    <w:rsid w:val="009F60DD"/>
    <w:rsid w:val="00A01703"/>
    <w:rsid w:val="00A046AA"/>
    <w:rsid w:val="00A13724"/>
    <w:rsid w:val="00A15761"/>
    <w:rsid w:val="00A22818"/>
    <w:rsid w:val="00A33087"/>
    <w:rsid w:val="00A372CA"/>
    <w:rsid w:val="00A40884"/>
    <w:rsid w:val="00A41215"/>
    <w:rsid w:val="00A462B9"/>
    <w:rsid w:val="00A56065"/>
    <w:rsid w:val="00A61DF3"/>
    <w:rsid w:val="00A62652"/>
    <w:rsid w:val="00A63AF0"/>
    <w:rsid w:val="00A6445E"/>
    <w:rsid w:val="00A74B48"/>
    <w:rsid w:val="00A81BF6"/>
    <w:rsid w:val="00A836F6"/>
    <w:rsid w:val="00A942AD"/>
    <w:rsid w:val="00AA336D"/>
    <w:rsid w:val="00AA46AA"/>
    <w:rsid w:val="00AB2B29"/>
    <w:rsid w:val="00AB5203"/>
    <w:rsid w:val="00AC23FD"/>
    <w:rsid w:val="00AC36D7"/>
    <w:rsid w:val="00AD328B"/>
    <w:rsid w:val="00AE214B"/>
    <w:rsid w:val="00AE3FC5"/>
    <w:rsid w:val="00AF4019"/>
    <w:rsid w:val="00B02337"/>
    <w:rsid w:val="00B03579"/>
    <w:rsid w:val="00B06439"/>
    <w:rsid w:val="00B124D5"/>
    <w:rsid w:val="00B14222"/>
    <w:rsid w:val="00B171E9"/>
    <w:rsid w:val="00B20351"/>
    <w:rsid w:val="00B214FF"/>
    <w:rsid w:val="00B2215B"/>
    <w:rsid w:val="00B234D3"/>
    <w:rsid w:val="00B275E3"/>
    <w:rsid w:val="00B31893"/>
    <w:rsid w:val="00B371F0"/>
    <w:rsid w:val="00B477DA"/>
    <w:rsid w:val="00B47C27"/>
    <w:rsid w:val="00B53637"/>
    <w:rsid w:val="00B57B67"/>
    <w:rsid w:val="00B61B63"/>
    <w:rsid w:val="00B63378"/>
    <w:rsid w:val="00B7159D"/>
    <w:rsid w:val="00B71C7E"/>
    <w:rsid w:val="00B75C44"/>
    <w:rsid w:val="00B80967"/>
    <w:rsid w:val="00B839E3"/>
    <w:rsid w:val="00B8596C"/>
    <w:rsid w:val="00B85C0B"/>
    <w:rsid w:val="00B85FCB"/>
    <w:rsid w:val="00B93615"/>
    <w:rsid w:val="00B9362C"/>
    <w:rsid w:val="00B94F07"/>
    <w:rsid w:val="00B969C1"/>
    <w:rsid w:val="00B97D3D"/>
    <w:rsid w:val="00BA33B1"/>
    <w:rsid w:val="00BB062A"/>
    <w:rsid w:val="00BB398B"/>
    <w:rsid w:val="00BB4F84"/>
    <w:rsid w:val="00BB7E5D"/>
    <w:rsid w:val="00BC0945"/>
    <w:rsid w:val="00BC5968"/>
    <w:rsid w:val="00BC660C"/>
    <w:rsid w:val="00BD6CE4"/>
    <w:rsid w:val="00BE5757"/>
    <w:rsid w:val="00BE5C36"/>
    <w:rsid w:val="00C01D92"/>
    <w:rsid w:val="00C02B89"/>
    <w:rsid w:val="00C12EEB"/>
    <w:rsid w:val="00C26793"/>
    <w:rsid w:val="00C30F5A"/>
    <w:rsid w:val="00C33493"/>
    <w:rsid w:val="00C505AF"/>
    <w:rsid w:val="00C520AA"/>
    <w:rsid w:val="00C53EA3"/>
    <w:rsid w:val="00C562DF"/>
    <w:rsid w:val="00C56D5A"/>
    <w:rsid w:val="00C5764B"/>
    <w:rsid w:val="00C61B3C"/>
    <w:rsid w:val="00C63DD5"/>
    <w:rsid w:val="00C64860"/>
    <w:rsid w:val="00C744E9"/>
    <w:rsid w:val="00C746DC"/>
    <w:rsid w:val="00C76184"/>
    <w:rsid w:val="00C779A4"/>
    <w:rsid w:val="00C803F9"/>
    <w:rsid w:val="00C812EE"/>
    <w:rsid w:val="00C848AB"/>
    <w:rsid w:val="00C87E77"/>
    <w:rsid w:val="00C95164"/>
    <w:rsid w:val="00CA0D70"/>
    <w:rsid w:val="00CA28A7"/>
    <w:rsid w:val="00CA350C"/>
    <w:rsid w:val="00CA4540"/>
    <w:rsid w:val="00CA5BCD"/>
    <w:rsid w:val="00CA7B7A"/>
    <w:rsid w:val="00CC1C84"/>
    <w:rsid w:val="00CC30F7"/>
    <w:rsid w:val="00CC3EF6"/>
    <w:rsid w:val="00CD2751"/>
    <w:rsid w:val="00CE4EB2"/>
    <w:rsid w:val="00CE6B51"/>
    <w:rsid w:val="00CF66D1"/>
    <w:rsid w:val="00D005C5"/>
    <w:rsid w:val="00D02250"/>
    <w:rsid w:val="00D03B5E"/>
    <w:rsid w:val="00D069B0"/>
    <w:rsid w:val="00D13831"/>
    <w:rsid w:val="00D13A1E"/>
    <w:rsid w:val="00D143C3"/>
    <w:rsid w:val="00D17335"/>
    <w:rsid w:val="00D4128D"/>
    <w:rsid w:val="00D43A2A"/>
    <w:rsid w:val="00D56859"/>
    <w:rsid w:val="00D61E21"/>
    <w:rsid w:val="00D6358A"/>
    <w:rsid w:val="00D63AFD"/>
    <w:rsid w:val="00D65347"/>
    <w:rsid w:val="00D66F28"/>
    <w:rsid w:val="00D77D67"/>
    <w:rsid w:val="00D8281D"/>
    <w:rsid w:val="00D82D3D"/>
    <w:rsid w:val="00D87521"/>
    <w:rsid w:val="00DA4DCC"/>
    <w:rsid w:val="00DB092B"/>
    <w:rsid w:val="00DB1F04"/>
    <w:rsid w:val="00DB5E94"/>
    <w:rsid w:val="00DC3C74"/>
    <w:rsid w:val="00DD335B"/>
    <w:rsid w:val="00DD6212"/>
    <w:rsid w:val="00DE3D72"/>
    <w:rsid w:val="00DF6C68"/>
    <w:rsid w:val="00E008DA"/>
    <w:rsid w:val="00E03190"/>
    <w:rsid w:val="00E05656"/>
    <w:rsid w:val="00E1148E"/>
    <w:rsid w:val="00E16F6E"/>
    <w:rsid w:val="00E27D86"/>
    <w:rsid w:val="00E37437"/>
    <w:rsid w:val="00E37C47"/>
    <w:rsid w:val="00E41905"/>
    <w:rsid w:val="00E42632"/>
    <w:rsid w:val="00E44734"/>
    <w:rsid w:val="00E46595"/>
    <w:rsid w:val="00E6057D"/>
    <w:rsid w:val="00E611B6"/>
    <w:rsid w:val="00E65A90"/>
    <w:rsid w:val="00E662D1"/>
    <w:rsid w:val="00E71628"/>
    <w:rsid w:val="00E72BD7"/>
    <w:rsid w:val="00E75148"/>
    <w:rsid w:val="00E778A3"/>
    <w:rsid w:val="00E77AE0"/>
    <w:rsid w:val="00E8007D"/>
    <w:rsid w:val="00E84B8C"/>
    <w:rsid w:val="00E8623D"/>
    <w:rsid w:val="00E86A15"/>
    <w:rsid w:val="00E92527"/>
    <w:rsid w:val="00E93D38"/>
    <w:rsid w:val="00E95382"/>
    <w:rsid w:val="00E9694C"/>
    <w:rsid w:val="00EA3BE8"/>
    <w:rsid w:val="00EA7006"/>
    <w:rsid w:val="00EB3092"/>
    <w:rsid w:val="00EB44D7"/>
    <w:rsid w:val="00EB632A"/>
    <w:rsid w:val="00EC54E6"/>
    <w:rsid w:val="00EC57EF"/>
    <w:rsid w:val="00ED379C"/>
    <w:rsid w:val="00EE1CEF"/>
    <w:rsid w:val="00EE24B8"/>
    <w:rsid w:val="00EE4BEF"/>
    <w:rsid w:val="00EE55F6"/>
    <w:rsid w:val="00EE7552"/>
    <w:rsid w:val="00EF1D60"/>
    <w:rsid w:val="00EF5BCF"/>
    <w:rsid w:val="00EF7EAB"/>
    <w:rsid w:val="00F004AF"/>
    <w:rsid w:val="00F01703"/>
    <w:rsid w:val="00F0204E"/>
    <w:rsid w:val="00F023A1"/>
    <w:rsid w:val="00F02E60"/>
    <w:rsid w:val="00F10FC4"/>
    <w:rsid w:val="00F11C26"/>
    <w:rsid w:val="00F15728"/>
    <w:rsid w:val="00F23926"/>
    <w:rsid w:val="00F3146C"/>
    <w:rsid w:val="00F35AAB"/>
    <w:rsid w:val="00F44E03"/>
    <w:rsid w:val="00F46978"/>
    <w:rsid w:val="00F47720"/>
    <w:rsid w:val="00F479D8"/>
    <w:rsid w:val="00F56C4E"/>
    <w:rsid w:val="00F60947"/>
    <w:rsid w:val="00F64A4A"/>
    <w:rsid w:val="00F66041"/>
    <w:rsid w:val="00F701C2"/>
    <w:rsid w:val="00F71BF2"/>
    <w:rsid w:val="00F75574"/>
    <w:rsid w:val="00F8186C"/>
    <w:rsid w:val="00F81E55"/>
    <w:rsid w:val="00F82E69"/>
    <w:rsid w:val="00F87BEC"/>
    <w:rsid w:val="00F90308"/>
    <w:rsid w:val="00F975AD"/>
    <w:rsid w:val="00FB0DDF"/>
    <w:rsid w:val="00FB251A"/>
    <w:rsid w:val="00FB5FF7"/>
    <w:rsid w:val="00FB6291"/>
    <w:rsid w:val="00FB6BB5"/>
    <w:rsid w:val="00FB6C6D"/>
    <w:rsid w:val="00FC1D15"/>
    <w:rsid w:val="00FC345C"/>
    <w:rsid w:val="00FC3D0F"/>
    <w:rsid w:val="00FC4DAE"/>
    <w:rsid w:val="00FD2C6B"/>
    <w:rsid w:val="00FE2B6D"/>
    <w:rsid w:val="00FE5442"/>
    <w:rsid w:val="00FE59B7"/>
    <w:rsid w:val="00FF0F83"/>
    <w:rsid w:val="00FF109E"/>
    <w:rsid w:val="00FF3526"/>
    <w:rsid w:val="00FF40B0"/>
    <w:rsid w:val="00FF5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CA9F838"/>
  <w15:docId w15:val="{1F36AD04-B95F-477B-9F2E-FC3F7F577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D9B"/>
    <w:pPr>
      <w:spacing w:after="0" w:line="300" w:lineRule="auto"/>
    </w:pPr>
    <w:rPr>
      <w:rFonts w:ascii="Arial" w:eastAsia="Calibri" w:hAnsi="Arial" w:cs="Times New Roman"/>
      <w:sz w:val="24"/>
    </w:rPr>
  </w:style>
  <w:style w:type="paragraph" w:styleId="Heading1">
    <w:name w:val="heading 1"/>
    <w:basedOn w:val="Normal"/>
    <w:next w:val="Normal"/>
    <w:link w:val="Heading1Char"/>
    <w:uiPriority w:val="9"/>
    <w:qFormat/>
    <w:rsid w:val="00970D9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70D9B"/>
    <w:pPr>
      <w:keepNext/>
      <w:keepLines/>
      <w:spacing w:before="200" w:after="120"/>
      <w:outlineLvl w:val="1"/>
    </w:pPr>
    <w:rPr>
      <w:rFonts w:eastAsia="Times New Roman"/>
      <w:b/>
      <w:bCs/>
      <w:szCs w:val="26"/>
    </w:rPr>
  </w:style>
  <w:style w:type="paragraph" w:styleId="Heading3">
    <w:name w:val="heading 3"/>
    <w:basedOn w:val="Normal"/>
    <w:next w:val="Normal"/>
    <w:link w:val="Heading3Char"/>
    <w:uiPriority w:val="9"/>
    <w:semiHidden/>
    <w:unhideWhenUsed/>
    <w:qFormat/>
    <w:rsid w:val="00211F67"/>
    <w:pPr>
      <w:keepNext/>
      <w:keepLines/>
      <w:spacing w:before="40" w:line="276" w:lineRule="auto"/>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4315C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70D9B"/>
    <w:rPr>
      <w:rFonts w:ascii="Arial" w:eastAsia="Times New Roman" w:hAnsi="Arial" w:cs="Times New Roman"/>
      <w:b/>
      <w:bCs/>
      <w:sz w:val="24"/>
      <w:szCs w:val="26"/>
    </w:rPr>
  </w:style>
  <w:style w:type="character" w:styleId="Hyperlink">
    <w:name w:val="Hyperlink"/>
    <w:uiPriority w:val="99"/>
    <w:unhideWhenUsed/>
    <w:qFormat/>
    <w:rsid w:val="00970D9B"/>
    <w:rPr>
      <w:color w:val="0000FF"/>
      <w:u w:val="single"/>
    </w:rPr>
  </w:style>
  <w:style w:type="paragraph" w:styleId="Header">
    <w:name w:val="header"/>
    <w:basedOn w:val="Normal"/>
    <w:link w:val="HeaderChar"/>
    <w:uiPriority w:val="99"/>
    <w:unhideWhenUsed/>
    <w:rsid w:val="00970D9B"/>
    <w:pPr>
      <w:tabs>
        <w:tab w:val="center" w:pos="4513"/>
        <w:tab w:val="right" w:pos="9026"/>
      </w:tabs>
    </w:pPr>
  </w:style>
  <w:style w:type="character" w:customStyle="1" w:styleId="HeaderChar">
    <w:name w:val="Header Char"/>
    <w:basedOn w:val="DefaultParagraphFont"/>
    <w:link w:val="Header"/>
    <w:uiPriority w:val="99"/>
    <w:rsid w:val="00970D9B"/>
    <w:rPr>
      <w:rFonts w:ascii="Arial" w:eastAsia="Calibri" w:hAnsi="Arial" w:cs="Times New Roman"/>
      <w:sz w:val="24"/>
    </w:rPr>
  </w:style>
  <w:style w:type="paragraph" w:styleId="Footer">
    <w:name w:val="footer"/>
    <w:basedOn w:val="Normal"/>
    <w:link w:val="FooterChar"/>
    <w:uiPriority w:val="99"/>
    <w:unhideWhenUsed/>
    <w:rsid w:val="00970D9B"/>
    <w:pPr>
      <w:tabs>
        <w:tab w:val="center" w:pos="4513"/>
        <w:tab w:val="right" w:pos="9026"/>
      </w:tabs>
    </w:pPr>
  </w:style>
  <w:style w:type="character" w:customStyle="1" w:styleId="FooterChar">
    <w:name w:val="Footer Char"/>
    <w:basedOn w:val="DefaultParagraphFont"/>
    <w:link w:val="Footer"/>
    <w:uiPriority w:val="99"/>
    <w:rsid w:val="00970D9B"/>
    <w:rPr>
      <w:rFonts w:ascii="Arial" w:eastAsia="Calibri" w:hAnsi="Arial" w:cs="Times New Roman"/>
      <w:sz w:val="24"/>
    </w:rPr>
  </w:style>
  <w:style w:type="paragraph" w:customStyle="1" w:styleId="Parabeforeanother">
    <w:name w:val="&gt; Para before another"/>
    <w:basedOn w:val="Normal"/>
    <w:qFormat/>
    <w:rsid w:val="00970D9B"/>
    <w:pPr>
      <w:spacing w:after="160" w:line="312" w:lineRule="auto"/>
    </w:pPr>
    <w:rPr>
      <w:rFonts w:cs="Arial"/>
      <w:szCs w:val="24"/>
    </w:rPr>
  </w:style>
  <w:style w:type="paragraph" w:customStyle="1" w:styleId="Title-subsections">
    <w:name w:val="&gt; Title - subsections"/>
    <w:basedOn w:val="Parabeforeanother"/>
    <w:qFormat/>
    <w:rsid w:val="00970D9B"/>
    <w:pPr>
      <w:spacing w:after="100"/>
    </w:pPr>
    <w:rPr>
      <w:b/>
    </w:rPr>
  </w:style>
  <w:style w:type="paragraph" w:customStyle="1" w:styleId="Parabeforenewsection">
    <w:name w:val="&gt; Para before new section"/>
    <w:basedOn w:val="Parabeforeanother"/>
    <w:qFormat/>
    <w:rsid w:val="00970D9B"/>
    <w:pPr>
      <w:spacing w:after="680"/>
    </w:pPr>
    <w:rPr>
      <w:rFonts w:cs="Times New Roman"/>
    </w:rPr>
  </w:style>
  <w:style w:type="paragraph" w:customStyle="1" w:styleId="Title-chapterpink">
    <w:name w:val="&gt; Title - chapter pink"/>
    <w:basedOn w:val="Heading1"/>
    <w:qFormat/>
    <w:rsid w:val="00C26793"/>
    <w:pPr>
      <w:spacing w:before="0" w:after="1920" w:line="288" w:lineRule="auto"/>
    </w:pPr>
    <w:rPr>
      <w:rFonts w:ascii="Georgia" w:eastAsia="Times New Roman" w:hAnsi="Georgia" w:cs="Times New Roman"/>
      <w:bCs/>
      <w:color w:val="D40F7D"/>
      <w:sz w:val="48"/>
      <w:szCs w:val="48"/>
    </w:rPr>
  </w:style>
  <w:style w:type="paragraph" w:customStyle="1" w:styleId="Parabeforebulletss">
    <w:name w:val="&gt; Para before bullets/#s"/>
    <w:basedOn w:val="Normal"/>
    <w:qFormat/>
    <w:rsid w:val="00970D9B"/>
    <w:pPr>
      <w:spacing w:after="60" w:line="312" w:lineRule="auto"/>
    </w:pPr>
    <w:rPr>
      <w:szCs w:val="24"/>
    </w:rPr>
  </w:style>
  <w:style w:type="paragraph" w:customStyle="1" w:styleId="Bullet-followedbyothers">
    <w:name w:val="&gt; Bullet - followed by others"/>
    <w:basedOn w:val="Normal"/>
    <w:qFormat/>
    <w:rsid w:val="00970D9B"/>
    <w:pPr>
      <w:numPr>
        <w:numId w:val="1"/>
      </w:numPr>
      <w:spacing w:after="40" w:line="312" w:lineRule="auto"/>
      <w:ind w:left="340" w:hanging="340"/>
    </w:pPr>
    <w:rPr>
      <w:szCs w:val="24"/>
    </w:rPr>
  </w:style>
  <w:style w:type="paragraph" w:customStyle="1" w:styleId="Bullet-lastingroup">
    <w:name w:val="&gt; Bullet - last in group"/>
    <w:basedOn w:val="Bullet-followedbyothers"/>
    <w:qFormat/>
    <w:rsid w:val="00970D9B"/>
    <w:pPr>
      <w:spacing w:after="240"/>
    </w:pPr>
  </w:style>
  <w:style w:type="paragraph" w:customStyle="1" w:styleId="Title-sectionspink">
    <w:name w:val="&gt; Title - sections pink"/>
    <w:basedOn w:val="Heading2"/>
    <w:qFormat/>
    <w:rsid w:val="00C26793"/>
    <w:pPr>
      <w:pBdr>
        <w:bottom w:val="dotted" w:sz="4" w:space="1" w:color="auto"/>
      </w:pBdr>
      <w:spacing w:before="0" w:after="320" w:line="312" w:lineRule="auto"/>
    </w:pPr>
    <w:rPr>
      <w:color w:val="D40F7D"/>
      <w:sz w:val="28"/>
    </w:rPr>
  </w:style>
  <w:style w:type="paragraph" w:customStyle="1" w:styleId="Bullets-sub-bullets">
    <w:name w:val="&gt; Bullets - sub-bullets"/>
    <w:basedOn w:val="Bullet-followedbyothers"/>
    <w:qFormat/>
    <w:rsid w:val="00970D9B"/>
    <w:pPr>
      <w:numPr>
        <w:ilvl w:val="1"/>
        <w:numId w:val="2"/>
      </w:numPr>
      <w:ind w:left="737" w:hanging="340"/>
    </w:pPr>
    <w:rPr>
      <w:rFonts w:cs="Arial"/>
      <w:szCs w:val="28"/>
    </w:rPr>
  </w:style>
  <w:style w:type="paragraph" w:customStyle="1" w:styleId="Parabeforenewsubsection">
    <w:name w:val="&gt; Para before new subsection"/>
    <w:basedOn w:val="Parabeforenewsection"/>
    <w:qFormat/>
    <w:rsid w:val="00970D9B"/>
    <w:pPr>
      <w:spacing w:after="420"/>
    </w:pPr>
    <w:rPr>
      <w:rFonts w:cs="Arial"/>
    </w:rPr>
  </w:style>
  <w:style w:type="paragraph" w:customStyle="1" w:styleId="Numberedlist">
    <w:name w:val="&gt; Numbered list"/>
    <w:basedOn w:val="Bullet-followedbyothers"/>
    <w:qFormat/>
    <w:rsid w:val="00970D9B"/>
    <w:pPr>
      <w:numPr>
        <w:numId w:val="0"/>
      </w:numPr>
      <w:tabs>
        <w:tab w:val="num" w:pos="360"/>
      </w:tabs>
      <w:ind w:left="425" w:hanging="425"/>
    </w:pPr>
  </w:style>
  <w:style w:type="paragraph" w:customStyle="1" w:styleId="Numberedlistlastingroup">
    <w:name w:val="&gt; Numbered list (last in group)"/>
    <w:basedOn w:val="Bullet-followedbyothers"/>
    <w:qFormat/>
    <w:rsid w:val="00970D9B"/>
    <w:pPr>
      <w:numPr>
        <w:numId w:val="3"/>
      </w:numPr>
      <w:spacing w:after="160"/>
      <w:ind w:left="425" w:hanging="425"/>
    </w:pPr>
  </w:style>
  <w:style w:type="character" w:customStyle="1" w:styleId="Heading1Char">
    <w:name w:val="Heading 1 Char"/>
    <w:basedOn w:val="DefaultParagraphFont"/>
    <w:link w:val="Heading1"/>
    <w:uiPriority w:val="9"/>
    <w:rsid w:val="00970D9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11F67"/>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211F67"/>
    <w:pPr>
      <w:spacing w:after="0" w:line="240" w:lineRule="auto"/>
    </w:p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A Fu,Char,fn,5_G, Char,f"/>
    <w:basedOn w:val="Normal"/>
    <w:link w:val="FootnoteTextChar"/>
    <w:uiPriority w:val="99"/>
    <w:unhideWhenUsed/>
    <w:qFormat/>
    <w:rsid w:val="00211F67"/>
    <w:pPr>
      <w:spacing w:line="240" w:lineRule="auto"/>
    </w:pPr>
    <w:rPr>
      <w:sz w:val="20"/>
      <w:szCs w:val="20"/>
    </w:rPr>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A Fu Char,Char Char,fn Char,5_G Char,f Char"/>
    <w:basedOn w:val="DefaultParagraphFont"/>
    <w:link w:val="FootnoteText"/>
    <w:uiPriority w:val="99"/>
    <w:rsid w:val="00211F67"/>
    <w:rPr>
      <w:rFonts w:ascii="Arial" w:eastAsia="Calibri" w:hAnsi="Arial" w:cs="Times New Roman"/>
      <w:sz w:val="20"/>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211F67"/>
    <w:rPr>
      <w:vertAlign w:val="superscript"/>
    </w:rPr>
  </w:style>
  <w:style w:type="character" w:styleId="CommentReference">
    <w:name w:val="annotation reference"/>
    <w:basedOn w:val="DefaultParagraphFont"/>
    <w:uiPriority w:val="99"/>
    <w:unhideWhenUsed/>
    <w:rsid w:val="00211F67"/>
    <w:rPr>
      <w:sz w:val="16"/>
      <w:szCs w:val="16"/>
    </w:rPr>
  </w:style>
  <w:style w:type="paragraph" w:styleId="CommentText">
    <w:name w:val="annotation text"/>
    <w:basedOn w:val="Normal"/>
    <w:link w:val="CommentTextChar"/>
    <w:uiPriority w:val="99"/>
    <w:unhideWhenUsed/>
    <w:rsid w:val="00211F67"/>
    <w:pPr>
      <w:spacing w:after="200" w:line="240" w:lineRule="auto"/>
    </w:pPr>
    <w:rPr>
      <w:sz w:val="20"/>
      <w:szCs w:val="20"/>
    </w:rPr>
  </w:style>
  <w:style w:type="character" w:customStyle="1" w:styleId="CommentTextChar">
    <w:name w:val="Comment Text Char"/>
    <w:basedOn w:val="DefaultParagraphFont"/>
    <w:link w:val="CommentText"/>
    <w:uiPriority w:val="99"/>
    <w:rsid w:val="00211F67"/>
    <w:rPr>
      <w:rFonts w:ascii="Arial" w:eastAsia="Calibri" w:hAnsi="Arial" w:cs="Times New Roman"/>
      <w:sz w:val="20"/>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211F67"/>
    <w:pPr>
      <w:spacing w:after="160" w:line="240" w:lineRule="exact"/>
      <w:jc w:val="both"/>
    </w:pPr>
    <w:rPr>
      <w:rFonts w:asciiTheme="minorHAnsi" w:eastAsiaTheme="minorHAnsi" w:hAnsiTheme="minorHAnsi" w:cstheme="minorBidi"/>
      <w:sz w:val="22"/>
      <w:vertAlign w:val="superscript"/>
    </w:rPr>
  </w:style>
  <w:style w:type="paragraph" w:styleId="ListParagraph">
    <w:name w:val="List Paragraph"/>
    <w:basedOn w:val="Normal"/>
    <w:uiPriority w:val="34"/>
    <w:qFormat/>
    <w:rsid w:val="00211F67"/>
    <w:pPr>
      <w:spacing w:after="200" w:line="276" w:lineRule="auto"/>
      <w:ind w:left="720"/>
      <w:contextualSpacing/>
    </w:pPr>
    <w:rPr>
      <w:rFonts w:asciiTheme="minorHAnsi" w:eastAsiaTheme="minorHAnsi" w:hAnsiTheme="minorHAnsi" w:cstheme="minorBidi"/>
      <w:sz w:val="22"/>
    </w:rPr>
  </w:style>
  <w:style w:type="paragraph" w:styleId="BalloonText">
    <w:name w:val="Balloon Text"/>
    <w:basedOn w:val="Normal"/>
    <w:link w:val="BalloonTextChar"/>
    <w:uiPriority w:val="99"/>
    <w:semiHidden/>
    <w:unhideWhenUsed/>
    <w:rsid w:val="00211F67"/>
    <w:pPr>
      <w:spacing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211F67"/>
    <w:rPr>
      <w:rFonts w:ascii="Segoe UI" w:hAnsi="Segoe UI" w:cs="Segoe UI"/>
      <w:sz w:val="18"/>
      <w:szCs w:val="18"/>
    </w:rPr>
  </w:style>
  <w:style w:type="table" w:styleId="TableGrid">
    <w:name w:val="Table Grid"/>
    <w:basedOn w:val="TableNormal"/>
    <w:uiPriority w:val="59"/>
    <w:rsid w:val="00211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11F67"/>
    <w:pPr>
      <w:autoSpaceDE w:val="0"/>
      <w:autoSpaceDN w:val="0"/>
      <w:adjustRightInd w:val="0"/>
      <w:spacing w:after="0" w:line="240" w:lineRule="auto"/>
    </w:pPr>
    <w:rPr>
      <w:rFonts w:ascii="Arial" w:hAnsi="Arial" w:cs="Arial"/>
      <w:color w:val="000000"/>
      <w:sz w:val="24"/>
      <w:szCs w:val="24"/>
    </w:rPr>
  </w:style>
  <w:style w:type="character" w:customStyle="1" w:styleId="h2">
    <w:name w:val="h2"/>
    <w:basedOn w:val="DefaultParagraphFont"/>
    <w:rsid w:val="00211F67"/>
  </w:style>
  <w:style w:type="character" w:styleId="Emphasis">
    <w:name w:val="Emphasis"/>
    <w:basedOn w:val="DefaultParagraphFont"/>
    <w:uiPriority w:val="20"/>
    <w:qFormat/>
    <w:rsid w:val="00211F67"/>
    <w:rPr>
      <w:i/>
      <w:iCs/>
    </w:rPr>
  </w:style>
  <w:style w:type="paragraph" w:customStyle="1" w:styleId="Heading11">
    <w:name w:val="Heading 11"/>
    <w:basedOn w:val="Normal"/>
    <w:next w:val="Normal"/>
    <w:uiPriority w:val="9"/>
    <w:qFormat/>
    <w:rsid w:val="00211F67"/>
    <w:pPr>
      <w:keepNext/>
      <w:keepLines/>
      <w:spacing w:before="480" w:line="276" w:lineRule="auto"/>
      <w:outlineLvl w:val="0"/>
    </w:pPr>
    <w:rPr>
      <w:rFonts w:ascii="Calibri Light" w:eastAsia="Times New Roman" w:hAnsi="Calibri Light"/>
      <w:b/>
      <w:bCs/>
      <w:color w:val="2E74B5"/>
      <w:sz w:val="28"/>
      <w:szCs w:val="28"/>
    </w:rPr>
  </w:style>
  <w:style w:type="paragraph" w:styleId="NormalWeb">
    <w:name w:val="Normal (Web)"/>
    <w:basedOn w:val="Normal"/>
    <w:uiPriority w:val="99"/>
    <w:semiHidden/>
    <w:unhideWhenUsed/>
    <w:rsid w:val="00211F67"/>
    <w:pPr>
      <w:spacing w:after="200" w:line="276" w:lineRule="auto"/>
    </w:pPr>
    <w:rPr>
      <w:rFonts w:ascii="Times New Roman" w:eastAsiaTheme="minorHAnsi" w:hAnsi="Times New Roman"/>
      <w:szCs w:val="24"/>
    </w:rPr>
  </w:style>
  <w:style w:type="character" w:styleId="Strong">
    <w:name w:val="Strong"/>
    <w:basedOn w:val="DefaultParagraphFont"/>
    <w:uiPriority w:val="22"/>
    <w:qFormat/>
    <w:rsid w:val="00211F67"/>
    <w:rPr>
      <w:b/>
      <w:bCs/>
    </w:rPr>
  </w:style>
  <w:style w:type="character" w:customStyle="1" w:styleId="post-title">
    <w:name w:val="post-title"/>
    <w:basedOn w:val="DefaultParagraphFont"/>
    <w:rsid w:val="00211F67"/>
  </w:style>
  <w:style w:type="character" w:customStyle="1" w:styleId="tgc">
    <w:name w:val="_tgc"/>
    <w:basedOn w:val="DefaultParagraphFont"/>
    <w:rsid w:val="00211F67"/>
  </w:style>
  <w:style w:type="paragraph" w:styleId="CommentSubject">
    <w:name w:val="annotation subject"/>
    <w:basedOn w:val="CommentText"/>
    <w:next w:val="CommentText"/>
    <w:link w:val="CommentSubjectChar"/>
    <w:uiPriority w:val="99"/>
    <w:semiHidden/>
    <w:unhideWhenUsed/>
    <w:rsid w:val="00211F67"/>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211F67"/>
    <w:rPr>
      <w:rFonts w:ascii="Arial" w:eastAsia="Calibri" w:hAnsi="Arial" w:cs="Times New Roman"/>
      <w:b/>
      <w:bCs/>
      <w:sz w:val="20"/>
      <w:szCs w:val="20"/>
    </w:rPr>
  </w:style>
  <w:style w:type="character" w:styleId="FollowedHyperlink">
    <w:name w:val="FollowedHyperlink"/>
    <w:basedOn w:val="DefaultParagraphFont"/>
    <w:uiPriority w:val="99"/>
    <w:semiHidden/>
    <w:unhideWhenUsed/>
    <w:rsid w:val="00211F67"/>
    <w:rPr>
      <w:color w:val="954F72" w:themeColor="followedHyperlink"/>
      <w:u w:val="single"/>
    </w:rPr>
  </w:style>
  <w:style w:type="paragraph" w:styleId="Revision">
    <w:name w:val="Revision"/>
    <w:hidden/>
    <w:uiPriority w:val="99"/>
    <w:semiHidden/>
    <w:rsid w:val="00211F67"/>
    <w:pPr>
      <w:spacing w:after="0" w:line="240" w:lineRule="auto"/>
    </w:pPr>
  </w:style>
  <w:style w:type="character" w:customStyle="1" w:styleId="orange1">
    <w:name w:val="orange1"/>
    <w:basedOn w:val="DefaultParagraphFont"/>
    <w:rsid w:val="00211F67"/>
    <w:rPr>
      <w:color w:val="EE7F00"/>
    </w:rPr>
  </w:style>
  <w:style w:type="paragraph" w:customStyle="1" w:styleId="Title-chaptergrey">
    <w:name w:val="&gt; Title - chapter grey"/>
    <w:basedOn w:val="Normal"/>
    <w:qFormat/>
    <w:rsid w:val="00211F67"/>
    <w:pPr>
      <w:keepNext/>
      <w:keepLines/>
      <w:spacing w:after="1920" w:line="288" w:lineRule="auto"/>
      <w:outlineLvl w:val="0"/>
    </w:pPr>
    <w:rPr>
      <w:rFonts w:ascii="Georgia" w:eastAsia="Times New Roman" w:hAnsi="Georgia"/>
      <w:bCs/>
      <w:color w:val="505759"/>
      <w:sz w:val="48"/>
      <w:szCs w:val="48"/>
    </w:rPr>
  </w:style>
  <w:style w:type="paragraph" w:styleId="EndnoteText">
    <w:name w:val="endnote text"/>
    <w:basedOn w:val="Normal"/>
    <w:link w:val="EndnoteTextChar"/>
    <w:uiPriority w:val="99"/>
    <w:unhideWhenUsed/>
    <w:rsid w:val="00211F67"/>
    <w:pPr>
      <w:spacing w:line="240" w:lineRule="auto"/>
    </w:pPr>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rsid w:val="00211F67"/>
    <w:rPr>
      <w:sz w:val="20"/>
      <w:szCs w:val="20"/>
    </w:rPr>
  </w:style>
  <w:style w:type="character" w:customStyle="1" w:styleId="st1">
    <w:name w:val="st1"/>
    <w:basedOn w:val="DefaultParagraphFont"/>
    <w:rsid w:val="00211F67"/>
  </w:style>
  <w:style w:type="paragraph" w:styleId="TOCHeading">
    <w:name w:val="TOC Heading"/>
    <w:basedOn w:val="Heading1"/>
    <w:next w:val="Normal"/>
    <w:uiPriority w:val="39"/>
    <w:unhideWhenUsed/>
    <w:qFormat/>
    <w:rsid w:val="001C23DE"/>
    <w:pPr>
      <w:spacing w:line="259" w:lineRule="auto"/>
      <w:outlineLvl w:val="9"/>
    </w:pPr>
    <w:rPr>
      <w:lang w:val="en-US"/>
    </w:rPr>
  </w:style>
  <w:style w:type="paragraph" w:styleId="TOC1">
    <w:name w:val="toc 1"/>
    <w:basedOn w:val="Normal"/>
    <w:next w:val="Normal"/>
    <w:autoRedefine/>
    <w:uiPriority w:val="39"/>
    <w:unhideWhenUsed/>
    <w:rsid w:val="001C23DE"/>
    <w:pPr>
      <w:spacing w:after="100"/>
    </w:pPr>
  </w:style>
  <w:style w:type="paragraph" w:styleId="TOC2">
    <w:name w:val="toc 2"/>
    <w:basedOn w:val="Normal"/>
    <w:next w:val="Normal"/>
    <w:autoRedefine/>
    <w:uiPriority w:val="39"/>
    <w:unhideWhenUsed/>
    <w:rsid w:val="00E37437"/>
    <w:pPr>
      <w:tabs>
        <w:tab w:val="right" w:leader="dot" w:pos="9016"/>
      </w:tabs>
      <w:spacing w:after="100"/>
      <w:ind w:left="720"/>
    </w:pPr>
    <w:rPr>
      <w:rFonts w:eastAsia="Times New Roman"/>
      <w:bCs/>
      <w:noProof/>
    </w:rPr>
  </w:style>
  <w:style w:type="character" w:styleId="EndnoteReference">
    <w:name w:val="endnote reference"/>
    <w:basedOn w:val="DefaultParagraphFont"/>
    <w:uiPriority w:val="99"/>
    <w:semiHidden/>
    <w:unhideWhenUsed/>
    <w:rsid w:val="00004AB0"/>
    <w:rPr>
      <w:vertAlign w:val="superscript"/>
    </w:rPr>
  </w:style>
  <w:style w:type="paragraph" w:customStyle="1" w:styleId="Parass">
    <w:name w:val="&gt; Para (ss)"/>
    <w:basedOn w:val="Normal"/>
    <w:qFormat/>
    <w:rsid w:val="00F8186C"/>
    <w:pPr>
      <w:spacing w:after="360" w:line="312" w:lineRule="auto"/>
    </w:pPr>
    <w:rPr>
      <w:szCs w:val="24"/>
    </w:rPr>
  </w:style>
  <w:style w:type="paragraph" w:customStyle="1" w:styleId="Parasection">
    <w:name w:val="&gt; Para (section)"/>
    <w:basedOn w:val="Normal"/>
    <w:qFormat/>
    <w:rsid w:val="00F8186C"/>
    <w:pPr>
      <w:spacing w:after="640" w:line="312" w:lineRule="auto"/>
    </w:pPr>
    <w:rPr>
      <w:szCs w:val="24"/>
    </w:rPr>
  </w:style>
  <w:style w:type="paragraph" w:customStyle="1" w:styleId="Parabase">
    <w:name w:val="&gt; Para (base)"/>
    <w:basedOn w:val="Normal"/>
    <w:qFormat/>
    <w:rsid w:val="00F8186C"/>
    <w:pPr>
      <w:spacing w:after="120" w:line="312" w:lineRule="auto"/>
    </w:pPr>
    <w:rPr>
      <w:rFonts w:cs="Arial"/>
      <w:szCs w:val="24"/>
    </w:rPr>
  </w:style>
  <w:style w:type="paragraph" w:customStyle="1" w:styleId="L4Headers">
    <w:name w:val="&gt; L4 Headers"/>
    <w:basedOn w:val="Parabase"/>
    <w:qFormat/>
    <w:rsid w:val="00F8186C"/>
    <w:pPr>
      <w:spacing w:after="100"/>
    </w:pPr>
    <w:rPr>
      <w:b/>
    </w:rPr>
  </w:style>
  <w:style w:type="table" w:customStyle="1" w:styleId="TableGrid1">
    <w:name w:val="Table Grid1"/>
    <w:basedOn w:val="TableNormal"/>
    <w:next w:val="TableGrid"/>
    <w:uiPriority w:val="59"/>
    <w:rsid w:val="00E77AE0"/>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uiPriority w:val="99"/>
    <w:rsid w:val="008B635D"/>
    <w:pPr>
      <w:spacing w:after="160" w:line="240" w:lineRule="exact"/>
    </w:pPr>
    <w:rPr>
      <w:rFonts w:ascii="Calibri" w:hAnsi="Calibri"/>
      <w:sz w:val="20"/>
      <w:szCs w:val="20"/>
      <w:vertAlign w:val="superscript"/>
      <w:lang w:eastAsia="en-GB"/>
    </w:rPr>
  </w:style>
  <w:style w:type="table" w:customStyle="1" w:styleId="TableGrid2">
    <w:name w:val="Table Grid2"/>
    <w:basedOn w:val="TableNormal"/>
    <w:next w:val="TableGrid"/>
    <w:uiPriority w:val="59"/>
    <w:rsid w:val="00073749"/>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archterm">
    <w:name w:val="searchterm"/>
    <w:basedOn w:val="DefaultParagraphFont"/>
    <w:rsid w:val="00957D20"/>
  </w:style>
  <w:style w:type="character" w:customStyle="1" w:styleId="Heading4Char">
    <w:name w:val="Heading 4 Char"/>
    <w:basedOn w:val="DefaultParagraphFont"/>
    <w:link w:val="Heading4"/>
    <w:uiPriority w:val="9"/>
    <w:semiHidden/>
    <w:rsid w:val="004315CC"/>
    <w:rPr>
      <w:rFonts w:asciiTheme="majorHAnsi" w:eastAsiaTheme="majorEastAsia" w:hAnsiTheme="majorHAnsi" w:cstheme="majorBidi"/>
      <w:i/>
      <w:iCs/>
      <w:color w:val="2E74B5"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07384">
      <w:bodyDiv w:val="1"/>
      <w:marLeft w:val="0"/>
      <w:marRight w:val="0"/>
      <w:marTop w:val="0"/>
      <w:marBottom w:val="0"/>
      <w:divBdr>
        <w:top w:val="none" w:sz="0" w:space="0" w:color="auto"/>
        <w:left w:val="none" w:sz="0" w:space="0" w:color="auto"/>
        <w:bottom w:val="none" w:sz="0" w:space="0" w:color="auto"/>
        <w:right w:val="none" w:sz="0" w:space="0" w:color="auto"/>
      </w:divBdr>
    </w:div>
    <w:div w:id="196551248">
      <w:bodyDiv w:val="1"/>
      <w:marLeft w:val="0"/>
      <w:marRight w:val="0"/>
      <w:marTop w:val="0"/>
      <w:marBottom w:val="0"/>
      <w:divBdr>
        <w:top w:val="none" w:sz="0" w:space="0" w:color="auto"/>
        <w:left w:val="none" w:sz="0" w:space="0" w:color="auto"/>
        <w:bottom w:val="none" w:sz="0" w:space="0" w:color="auto"/>
        <w:right w:val="none" w:sz="0" w:space="0" w:color="auto"/>
      </w:divBdr>
      <w:divsChild>
        <w:div w:id="944311687">
          <w:marLeft w:val="0"/>
          <w:marRight w:val="0"/>
          <w:marTop w:val="0"/>
          <w:marBottom w:val="0"/>
          <w:divBdr>
            <w:top w:val="none" w:sz="0" w:space="0" w:color="auto"/>
            <w:left w:val="none" w:sz="0" w:space="0" w:color="auto"/>
            <w:bottom w:val="none" w:sz="0" w:space="0" w:color="auto"/>
            <w:right w:val="none" w:sz="0" w:space="0" w:color="auto"/>
          </w:divBdr>
          <w:divsChild>
            <w:div w:id="1985813257">
              <w:marLeft w:val="0"/>
              <w:marRight w:val="0"/>
              <w:marTop w:val="0"/>
              <w:marBottom w:val="0"/>
              <w:divBdr>
                <w:top w:val="none" w:sz="0" w:space="0" w:color="auto"/>
                <w:left w:val="none" w:sz="0" w:space="0" w:color="auto"/>
                <w:bottom w:val="none" w:sz="0" w:space="0" w:color="auto"/>
                <w:right w:val="none" w:sz="0" w:space="0" w:color="auto"/>
              </w:divBdr>
              <w:divsChild>
                <w:div w:id="312562970">
                  <w:marLeft w:val="0"/>
                  <w:marRight w:val="0"/>
                  <w:marTop w:val="0"/>
                  <w:marBottom w:val="0"/>
                  <w:divBdr>
                    <w:top w:val="none" w:sz="0" w:space="0" w:color="auto"/>
                    <w:left w:val="none" w:sz="0" w:space="0" w:color="auto"/>
                    <w:bottom w:val="none" w:sz="0" w:space="0" w:color="auto"/>
                    <w:right w:val="none" w:sz="0" w:space="0" w:color="auto"/>
                  </w:divBdr>
                  <w:divsChild>
                    <w:div w:id="1411124666">
                      <w:marLeft w:val="0"/>
                      <w:marRight w:val="0"/>
                      <w:marTop w:val="0"/>
                      <w:marBottom w:val="0"/>
                      <w:divBdr>
                        <w:top w:val="none" w:sz="0" w:space="0" w:color="auto"/>
                        <w:left w:val="none" w:sz="0" w:space="0" w:color="auto"/>
                        <w:bottom w:val="none" w:sz="0" w:space="0" w:color="auto"/>
                        <w:right w:val="none" w:sz="0" w:space="0" w:color="auto"/>
                      </w:divBdr>
                      <w:divsChild>
                        <w:div w:id="136120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8538209">
      <w:bodyDiv w:val="1"/>
      <w:marLeft w:val="0"/>
      <w:marRight w:val="0"/>
      <w:marTop w:val="0"/>
      <w:marBottom w:val="0"/>
      <w:divBdr>
        <w:top w:val="none" w:sz="0" w:space="0" w:color="auto"/>
        <w:left w:val="none" w:sz="0" w:space="0" w:color="auto"/>
        <w:bottom w:val="none" w:sz="0" w:space="0" w:color="auto"/>
        <w:right w:val="none" w:sz="0" w:space="0" w:color="auto"/>
      </w:divBdr>
    </w:div>
    <w:div w:id="585380742">
      <w:bodyDiv w:val="1"/>
      <w:marLeft w:val="0"/>
      <w:marRight w:val="0"/>
      <w:marTop w:val="0"/>
      <w:marBottom w:val="0"/>
      <w:divBdr>
        <w:top w:val="none" w:sz="0" w:space="0" w:color="auto"/>
        <w:left w:val="none" w:sz="0" w:space="0" w:color="auto"/>
        <w:bottom w:val="none" w:sz="0" w:space="0" w:color="auto"/>
        <w:right w:val="none" w:sz="0" w:space="0" w:color="auto"/>
      </w:divBdr>
    </w:div>
    <w:div w:id="1177112769">
      <w:bodyDiv w:val="1"/>
      <w:marLeft w:val="0"/>
      <w:marRight w:val="0"/>
      <w:marTop w:val="0"/>
      <w:marBottom w:val="0"/>
      <w:divBdr>
        <w:top w:val="none" w:sz="0" w:space="0" w:color="auto"/>
        <w:left w:val="none" w:sz="0" w:space="0" w:color="auto"/>
        <w:bottom w:val="none" w:sz="0" w:space="0" w:color="auto"/>
        <w:right w:val="none" w:sz="0" w:space="0" w:color="auto"/>
      </w:divBdr>
    </w:div>
    <w:div w:id="1455169893">
      <w:bodyDiv w:val="1"/>
      <w:marLeft w:val="0"/>
      <w:marRight w:val="0"/>
      <w:marTop w:val="0"/>
      <w:marBottom w:val="0"/>
      <w:divBdr>
        <w:top w:val="none" w:sz="0" w:space="0" w:color="auto"/>
        <w:left w:val="none" w:sz="0" w:space="0" w:color="auto"/>
        <w:bottom w:val="none" w:sz="0" w:space="0" w:color="auto"/>
        <w:right w:val="none" w:sz="0" w:space="0" w:color="auto"/>
      </w:divBdr>
      <w:divsChild>
        <w:div w:id="1418669348">
          <w:marLeft w:val="0"/>
          <w:marRight w:val="0"/>
          <w:marTop w:val="0"/>
          <w:marBottom w:val="0"/>
          <w:divBdr>
            <w:top w:val="none" w:sz="0" w:space="0" w:color="auto"/>
            <w:left w:val="none" w:sz="0" w:space="0" w:color="auto"/>
            <w:bottom w:val="none" w:sz="0" w:space="0" w:color="auto"/>
            <w:right w:val="none" w:sz="0" w:space="0" w:color="auto"/>
          </w:divBdr>
          <w:divsChild>
            <w:div w:id="2033022756">
              <w:marLeft w:val="-225"/>
              <w:marRight w:val="-225"/>
              <w:marTop w:val="0"/>
              <w:marBottom w:val="0"/>
              <w:divBdr>
                <w:top w:val="none" w:sz="0" w:space="0" w:color="auto"/>
                <w:left w:val="none" w:sz="0" w:space="0" w:color="auto"/>
                <w:bottom w:val="none" w:sz="0" w:space="0" w:color="auto"/>
                <w:right w:val="none" w:sz="0" w:space="0" w:color="auto"/>
              </w:divBdr>
              <w:divsChild>
                <w:div w:id="813067735">
                  <w:marLeft w:val="0"/>
                  <w:marRight w:val="0"/>
                  <w:marTop w:val="0"/>
                  <w:marBottom w:val="0"/>
                  <w:divBdr>
                    <w:top w:val="none" w:sz="0" w:space="0" w:color="auto"/>
                    <w:left w:val="none" w:sz="0" w:space="0" w:color="auto"/>
                    <w:bottom w:val="none" w:sz="0" w:space="0" w:color="auto"/>
                    <w:right w:val="none" w:sz="0" w:space="0" w:color="auto"/>
                  </w:divBdr>
                  <w:divsChild>
                    <w:div w:id="11737548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139374">
      <w:bodyDiv w:val="1"/>
      <w:marLeft w:val="0"/>
      <w:marRight w:val="0"/>
      <w:marTop w:val="0"/>
      <w:marBottom w:val="0"/>
      <w:divBdr>
        <w:top w:val="none" w:sz="0" w:space="0" w:color="auto"/>
        <w:left w:val="none" w:sz="0" w:space="0" w:color="auto"/>
        <w:bottom w:val="none" w:sz="0" w:space="0" w:color="auto"/>
        <w:right w:val="none" w:sz="0" w:space="0" w:color="auto"/>
      </w:divBdr>
    </w:div>
    <w:div w:id="2024240306">
      <w:bodyDiv w:val="1"/>
      <w:marLeft w:val="0"/>
      <w:marRight w:val="0"/>
      <w:marTop w:val="0"/>
      <w:marBottom w:val="0"/>
      <w:divBdr>
        <w:top w:val="none" w:sz="0" w:space="0" w:color="auto"/>
        <w:left w:val="none" w:sz="0" w:space="0" w:color="auto"/>
        <w:bottom w:val="none" w:sz="0" w:space="0" w:color="auto"/>
        <w:right w:val="none" w:sz="0" w:space="0" w:color="auto"/>
      </w:divBdr>
    </w:div>
    <w:div w:id="2096122210">
      <w:bodyDiv w:val="1"/>
      <w:marLeft w:val="0"/>
      <w:marRight w:val="0"/>
      <w:marTop w:val="0"/>
      <w:marBottom w:val="0"/>
      <w:divBdr>
        <w:top w:val="none" w:sz="0" w:space="0" w:color="auto"/>
        <w:left w:val="none" w:sz="0" w:space="0" w:color="auto"/>
        <w:bottom w:val="none" w:sz="0" w:space="0" w:color="auto"/>
        <w:right w:val="none" w:sz="0" w:space="0" w:color="auto"/>
      </w:divBdr>
    </w:div>
    <w:div w:id="213216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_rels/footnotes.xml.rels><?xml version="1.0" encoding="UTF-8" standalone="yes"?>
<Relationships xmlns="http://schemas.openxmlformats.org/package/2006/relationships"><Relationship Id="rId26" Type="http://schemas.openxmlformats.org/officeDocument/2006/relationships/hyperlink" Target="http://www.assembly.wales/en/abthome/role-of-assembly-how-it-works/Pages/Powers.aspx" TargetMode="External"/><Relationship Id="rId117" Type="http://schemas.openxmlformats.org/officeDocument/2006/relationships/hyperlink" Target="https://wbg.org.uk/wp-content/uploads/2018/09/FINAL-full-report-financial-abuse-and-uc.pdf" TargetMode="External"/><Relationship Id="rId21" Type="http://schemas.openxmlformats.org/officeDocument/2006/relationships/hyperlink" Target="https://wbg.org.uk/wp-content/uploads/2018/03/Economic-Impact-of-Brexit-on-women-briefing-FINAL-1.pdf" TargetMode="External"/><Relationship Id="rId42" Type="http://schemas.openxmlformats.org/officeDocument/2006/relationships/hyperlink" Target="https://www.equalityhumanrights.com/sites/default/files/parliamentary-briefing-voyeurism-bill-house-of-lords-second-reading-23-october-2018.pdf" TargetMode="External"/><Relationship Id="rId47" Type="http://schemas.openxmlformats.org/officeDocument/2006/relationships/hyperlink" Target="https://www.parliament.uk/business/committees/committees-a-z/commons-select/home-affairs-committee/news-parliament-2017/domestic-abuse-launch/" TargetMode="External"/><Relationship Id="rId63" Type="http://schemas.openxmlformats.org/officeDocument/2006/relationships/hyperlink" Target="https://gov.wales/about/cabinet/cabinetstatements/2018/defenceconsultationsummary/?lang=en" TargetMode="External"/><Relationship Id="rId68" Type="http://schemas.openxmlformats.org/officeDocument/2006/relationships/hyperlink" Target="https://www.gov.uk/government/consultations/internet-safety-strategy-green-paper" TargetMode="External"/><Relationship Id="rId84" Type="http://schemas.openxmlformats.org/officeDocument/2006/relationships/hyperlink" Target="https://www.gov.uk/government/news/modern-slavery-victims-to-receive-longer-period-of-support" TargetMode="External"/><Relationship Id="rId89" Type="http://schemas.openxmlformats.org/officeDocument/2006/relationships/hyperlink" Target="http://www.apccs.police.uk/latest-news/apcc-victims-lead-dame-vera-baird-qc-welcomes-the-government-s-female-offenders-strategy/" TargetMode="External"/><Relationship Id="rId112" Type="http://schemas.openxmlformats.org/officeDocument/2006/relationships/hyperlink" Target="https://wbg.org.uk/analysis/the-female-face-of-poverty/" TargetMode="External"/><Relationship Id="rId133" Type="http://schemas.openxmlformats.org/officeDocument/2006/relationships/hyperlink" Target="https://publications.parliament.uk/pa/cm201719/cmselect/cmwomeq/1801/1801.pdf" TargetMode="External"/><Relationship Id="rId138" Type="http://schemas.openxmlformats.org/officeDocument/2006/relationships/hyperlink" Target="http://www.assembly.wales/en/newhome/pages/newsitem.aspx?itemid=1902" TargetMode="External"/><Relationship Id="rId154" Type="http://schemas.openxmlformats.org/officeDocument/2006/relationships/hyperlink" Target="https://weareagenda.org/wp-content/uploads/2017/03/Restraint-FOI-research-briefing-FINAL1.pdf" TargetMode="External"/><Relationship Id="rId159" Type="http://schemas.openxmlformats.org/officeDocument/2006/relationships/hyperlink" Target="https://bmjopen.bmj.com/content/7/8/e016614" TargetMode="External"/><Relationship Id="rId175" Type="http://schemas.openxmlformats.org/officeDocument/2006/relationships/hyperlink" Target="https://www.equalityhumanrights.com/sites/default/files/consultation-response-relationships-education-sex-education-health-education-england.docx" TargetMode="External"/><Relationship Id="rId170" Type="http://schemas.openxmlformats.org/officeDocument/2006/relationships/hyperlink" Target="https://consult.education.gov.uk/pshe/relationships-education-rse-health-education/" TargetMode="External"/><Relationship Id="rId16" Type="http://schemas.openxmlformats.org/officeDocument/2006/relationships/hyperlink" Target="https://www.equalityhumanrights.com/sites/default/files/consultation-response-gender-recognition-act-18-october-2018.pdf" TargetMode="External"/><Relationship Id="rId107" Type="http://schemas.openxmlformats.org/officeDocument/2006/relationships/hyperlink" Target="https://www.parliament.uk/business/committees/committees-a-z/commons-select/home-affairs-committee/inquiries/parliament-2017/domestic-abuse-inquiry-17-19/" TargetMode="External"/><Relationship Id="rId11" Type="http://schemas.openxmlformats.org/officeDocument/2006/relationships/hyperlink" Target="https://www.legislation.gov.uk/ukpga/2010/15/contents" TargetMode="External"/><Relationship Id="rId32" Type="http://schemas.openxmlformats.org/officeDocument/2006/relationships/hyperlink" Target="https://www.equalityhumanrights.com/en/publication-download/developing-national-barometer-prejudice-and-discrimination-britain" TargetMode="External"/><Relationship Id="rId37" Type="http://schemas.openxmlformats.org/officeDocument/2006/relationships/hyperlink" Target="https://publications.parliament.uk/pa/cm201719/cmselect/cmjust/859/859.pdf" TargetMode="External"/><Relationship Id="rId53" Type="http://schemas.openxmlformats.org/officeDocument/2006/relationships/hyperlink" Target="https://www.sentencingcouncil.org.uk/wp-content/uploads/Child-Cruelty_Definitive-guideline_FINAL-WEB.pdf" TargetMode="External"/><Relationship Id="rId58" Type="http://schemas.openxmlformats.org/officeDocument/2006/relationships/hyperlink" Target="https://assets.publishing.service.gov.uk/government/uploads/system/uploads/attachment_data/file/756200/Forced_Marriage_Consultation.pdf" TargetMode="External"/><Relationship Id="rId74" Type="http://schemas.openxmlformats.org/officeDocument/2006/relationships/hyperlink" Target="https://www.equalityhumanrights.com/en/publication-download/impact-laspo-routes-justice" TargetMode="External"/><Relationship Id="rId79" Type="http://schemas.openxmlformats.org/officeDocument/2006/relationships/hyperlink" Target="https://www.theguardian.com/law/2018/nov/08/cuts-to-trafficking-victims-support-payments-ruled-unlawful" TargetMode="External"/><Relationship Id="rId102" Type="http://schemas.openxmlformats.org/officeDocument/2006/relationships/hyperlink" Target="http://data.parliament.uk/writtenevidence/committeeevidence.svc/evidencedocument/human-rights-committee/immigration-detention/written/88970.html" TargetMode="External"/><Relationship Id="rId123" Type="http://schemas.openxmlformats.org/officeDocument/2006/relationships/hyperlink" Target="https://www.parliament.uk/business/publications/written-questions-answers-statements/written-question/Commons/2018-05-23/147297/" TargetMode="External"/><Relationship Id="rId128" Type="http://schemas.openxmlformats.org/officeDocument/2006/relationships/hyperlink" Target="https://www.parliament.uk/business/committees/committees-a-z/commons-select/treasury-committee/inquiries1/parliament-2017/childcare-17-19/" TargetMode="External"/><Relationship Id="rId144" Type="http://schemas.openxmlformats.org/officeDocument/2006/relationships/hyperlink" Target="https://www.bmgresearch.co.uk/gender-pay-gap-employee-poll/" TargetMode="External"/><Relationship Id="rId149" Type="http://schemas.openxmlformats.org/officeDocument/2006/relationships/hyperlink" Target="https://www.gov.uk/government/speeches/budget-2018-philip-hammonds-speech" TargetMode="External"/><Relationship Id="rId5" Type="http://schemas.openxmlformats.org/officeDocument/2006/relationships/hyperlink" Target="https://www.ohchr.org/Documents/Publications/HR_PUB_16_1_NMRF_PracticalGuide.pdf" TargetMode="External"/><Relationship Id="rId90" Type="http://schemas.openxmlformats.org/officeDocument/2006/relationships/hyperlink" Target="https://weareagenda.org/open-letter-to-justice-secretary/" TargetMode="External"/><Relationship Id="rId95" Type="http://schemas.openxmlformats.org/officeDocument/2006/relationships/hyperlink" Target="https://www.gov.uk/government/publications/welfare-in-detention-of-vulnerable-persons-review-progress-report" TargetMode="External"/><Relationship Id="rId160" Type="http://schemas.openxmlformats.org/officeDocument/2006/relationships/hyperlink" Target="https://www.gov.uk/government/publications/reasonable-adjustments-for-people-with-learning-disabilities/cancer-screening" TargetMode="External"/><Relationship Id="rId165" Type="http://schemas.openxmlformats.org/officeDocument/2006/relationships/hyperlink" Target="https://gov.wales/topics/health/publications/healthier-wales/?lang=en" TargetMode="External"/><Relationship Id="rId22" Type="http://schemas.openxmlformats.org/officeDocument/2006/relationships/hyperlink" Target="https://www.gov.uk/government/statistics/family-resources-survey-financial-year-201617" TargetMode="External"/><Relationship Id="rId27" Type="http://schemas.openxmlformats.org/officeDocument/2006/relationships/hyperlink" Target="http://www.assembly.wales/en/newhome/pages/newsitem.aspx?itemid=1910&amp;assembly=5" TargetMode="External"/><Relationship Id="rId43" Type="http://schemas.openxmlformats.org/officeDocument/2006/relationships/hyperlink" Target="https://www.parliament.uk/business/publications/written-questions-answers-statements/written-question/Commons/2018-07-04/160789/" TargetMode="External"/><Relationship Id="rId48" Type="http://schemas.openxmlformats.org/officeDocument/2006/relationships/hyperlink" Target="http://data.parliament.uk/writtenevidence/committeeevidence.svc/evidencedocument/home-affairs-committee/domestic-abuse/written/86473.html" TargetMode="External"/><Relationship Id="rId64" Type="http://schemas.openxmlformats.org/officeDocument/2006/relationships/hyperlink" Target="https://hansard.parliament.uk/Commons/2018-09-05/debates/8318AB10-5160-49BF-9D8F-0C916C75EBE8/Voyeurism(Offences)(No2)Bill" TargetMode="External"/><Relationship Id="rId69" Type="http://schemas.openxmlformats.org/officeDocument/2006/relationships/hyperlink" Target="https://www.justiceinspectorates.gov.uk/hmicfrs/wp-content/uploads/understanding-the-difference-the-initial-police-response-to-hate-crime.pdf" TargetMode="External"/><Relationship Id="rId113" Type="http://schemas.openxmlformats.org/officeDocument/2006/relationships/hyperlink" Target="https://www.ohchr.org/Documents/Issues/Poverty/EOM_GB_16Nov2018.pdf" TargetMode="External"/><Relationship Id="rId118" Type="http://schemas.openxmlformats.org/officeDocument/2006/relationships/hyperlink" Target="https://www.parliament.uk/written-questions-answers-statements/written-question/commons/2018-05-21/146343" TargetMode="External"/><Relationship Id="rId134" Type="http://schemas.openxmlformats.org/officeDocument/2006/relationships/hyperlink" Target="https://publications.parliament.uk/pa/cm201719/cmselect/cmwomeq/359/359.pdf" TargetMode="External"/><Relationship Id="rId139" Type="http://schemas.openxmlformats.org/officeDocument/2006/relationships/hyperlink" Target="https://www.youngwomenstrust.org/what_we_do/publications" TargetMode="External"/><Relationship Id="rId80" Type="http://schemas.openxmlformats.org/officeDocument/2006/relationships/hyperlink" Target="https://www.gov.uk/government/news/modern-slavery-taskforce-agrees-new-measures-to-support-victims" TargetMode="External"/><Relationship Id="rId85" Type="http://schemas.openxmlformats.org/officeDocument/2006/relationships/hyperlink" Target="http://www.kalayaan.org.uk/wp-content/uploads/2018/05/QuestionnaireNGOs_EN-17-05-2018-K-ASI.pdf" TargetMode="External"/><Relationship Id="rId150" Type="http://schemas.openxmlformats.org/officeDocument/2006/relationships/hyperlink" Target="https://weareagenda.org/wp-content/uploads/2018/08/Women-in-Crisis-Agenda-report-.pdf" TargetMode="External"/><Relationship Id="rId155" Type="http://schemas.openxmlformats.org/officeDocument/2006/relationships/hyperlink" Target="https://weareagenda.org/wp-content/uploads/2018/08/Women-in-Crisis-Agenda-report-.pdf" TargetMode="External"/><Relationship Id="rId171" Type="http://schemas.openxmlformats.org/officeDocument/2006/relationships/hyperlink" Target="https://www.gov.uk/government/news/new-relationships-and-health-education-in-schools" TargetMode="External"/><Relationship Id="rId176" Type="http://schemas.openxmlformats.org/officeDocument/2006/relationships/hyperlink" Target="https://consult.education.gov.uk/pshe/relationships-education-rse-health-education/supporting_documents/20170718_%20Draft%20guidance%20for%20consultation.pdf" TargetMode="External"/><Relationship Id="rId12" Type="http://schemas.openxmlformats.org/officeDocument/2006/relationships/hyperlink" Target="https://www.parliament.uk/business/committees/committees-a-z/commons-select/women-and-equalities-committee/inquiries/parliament-2017/enforcing-the-equality-act-17-19/" TargetMode="External"/><Relationship Id="rId17" Type="http://schemas.openxmlformats.org/officeDocument/2006/relationships/hyperlink" Target="https://assets.publishing.service.gov.uk/government/uploads/system/uploads/attachment_data/file/725288/The_future_relationship_between_the_United_Kingdom_and_the_European_Union.pdf" TargetMode="External"/><Relationship Id="rId33" Type="http://schemas.openxmlformats.org/officeDocument/2006/relationships/hyperlink" Target="https://assets.publishing.service.gov.uk/government/uploads/system/uploads/attachment_data/file/752315/CCS207_CCS0918513168-001_Domestic_Violence_Istanbul_Convention_2018_Accessible__002_.pdf" TargetMode="External"/><Relationship Id="rId38" Type="http://schemas.openxmlformats.org/officeDocument/2006/relationships/hyperlink" Target="https://www.gov.uk/government/publications/review-of-the-efficiency-and-effectiveness-of-disclosure-in-the-criminal-justice-system" TargetMode="External"/><Relationship Id="rId59" Type="http://schemas.openxmlformats.org/officeDocument/2006/relationships/hyperlink" Target="https://www.nspcc.org.uk/globalassets/documents/research-reports/equally-protected.pdf" TargetMode="External"/><Relationship Id="rId103" Type="http://schemas.openxmlformats.org/officeDocument/2006/relationships/hyperlink" Target="https://www.equalityhumanrights.com/en/publication-download/lived-experiences-access-healthcare-people-seeking-and-refused-asylum" TargetMode="External"/><Relationship Id="rId108" Type="http://schemas.openxmlformats.org/officeDocument/2006/relationships/hyperlink" Target="https://www.refugeecouncil.org.uk/assets/0004/3799/Safe_from_violence_in_the_UK._ASAP-RC_report.pdf" TargetMode="External"/><Relationship Id="rId124" Type="http://schemas.openxmlformats.org/officeDocument/2006/relationships/hyperlink" Target="https://www.cipd.co.uk/Images/labour-market-outlook-focus-on-working-parents_tcm18-17048.pdf" TargetMode="External"/><Relationship Id="rId129" Type="http://schemas.openxmlformats.org/officeDocument/2006/relationships/hyperlink" Target="http://senedd.assembly.wales/mgIssueHistoryHome.aspx?IId=21394" TargetMode="External"/><Relationship Id="rId54" Type="http://schemas.openxmlformats.org/officeDocument/2006/relationships/hyperlink" Target="https://www.independent.co.uk/news/uk/crime/fgm-london-girl-three-man-woman-trial-charged-female-genital-mutilation-a8516531.html" TargetMode="External"/><Relationship Id="rId70" Type="http://schemas.openxmlformats.org/officeDocument/2006/relationships/hyperlink" Target="https://www.parliament.uk/business/publications/written-questions-answers-statements/written-question/Commons/2018-09-03/169817" TargetMode="External"/><Relationship Id="rId75" Type="http://schemas.openxmlformats.org/officeDocument/2006/relationships/hyperlink" Target="https://www.lawsociety.org.uk/policy-campaigns/consultation-responses/ministry-of-justice-laspo-part-1-post-implementation-review-law-society-response/" TargetMode="External"/><Relationship Id="rId91" Type="http://schemas.openxmlformats.org/officeDocument/2006/relationships/hyperlink" Target="https://weareagenda.org/wp-content/uploads/2018/07/Letter-from-David-Gauke-re-ABFO-letter-11.7.18.pdf" TargetMode="External"/><Relationship Id="rId96" Type="http://schemas.openxmlformats.org/officeDocument/2006/relationships/hyperlink" Target="https://assets.publishing.service.gov.uk/government/uploads/system/uploads/attachment_data/file/490782/52532_Shaw_Review_Accessible.pdf" TargetMode="External"/><Relationship Id="rId140" Type="http://schemas.openxmlformats.org/officeDocument/2006/relationships/hyperlink" Target="https://www.gov.uk/government/statistical-data-sets/fe-data-library-apprenticeships" TargetMode="External"/><Relationship Id="rId145" Type="http://schemas.openxmlformats.org/officeDocument/2006/relationships/hyperlink" Target="https://www.youngwomenstrust.org/assets/0000/9913/It_s_still_a_rich_man_s_world_-_web_report.pdf" TargetMode="External"/><Relationship Id="rId161" Type="http://schemas.openxmlformats.org/officeDocument/2006/relationships/hyperlink" Target="https://www.gov.uk/government/news/women-offered-nhs-breast-screening-after-missed-invitations" TargetMode="External"/><Relationship Id="rId166" Type="http://schemas.openxmlformats.org/officeDocument/2006/relationships/hyperlink" Target="https://gov.wales/about/cabinet/cabinetstatements/2018/genderidentityservices/?lang=en" TargetMode="External"/><Relationship Id="rId1" Type="http://schemas.openxmlformats.org/officeDocument/2006/relationships/hyperlink" Target="https://tbinternet.ohchr.org/_layouts/treatybodyexternal/SessionDetails1.aspx?SessionID=1190&amp;Lang=en" TargetMode="External"/><Relationship Id="rId6" Type="http://schemas.openxmlformats.org/officeDocument/2006/relationships/hyperlink" Target="http://senedd.assembly.wales/mgIssueHistoryHome.aspx?IId=16644" TargetMode="External"/><Relationship Id="rId23" Type="http://schemas.openxmlformats.org/officeDocument/2006/relationships/hyperlink" Target="https://commonslibrary.parliament.uk/insights/diversity-in-the-2017-parliament/" TargetMode="External"/><Relationship Id="rId28" Type="http://schemas.openxmlformats.org/officeDocument/2006/relationships/hyperlink" Target="https://www.asa.org.uk/resource/depictions-perceptions-and-harm.html" TargetMode="External"/><Relationship Id="rId49" Type="http://schemas.openxmlformats.org/officeDocument/2006/relationships/hyperlink" Target="https://www.parliament.uk/business/committees/committees-a-z/commons-select/home-affairs-committee/inquiries/parliament-2017/domestic-abuse-inquiry-17-19/" TargetMode="External"/><Relationship Id="rId114" Type="http://schemas.openxmlformats.org/officeDocument/2006/relationships/hyperlink" Target="https://www.parliament.uk/business/committees/committees-a-z/commons-select/work-and-pensions-committee/news-parliament-2017/universal-credit-domestic-abuse-report-publication-17-19/" TargetMode="External"/><Relationship Id="rId119" Type="http://schemas.openxmlformats.org/officeDocument/2006/relationships/hyperlink" Target="https://www.parliament.uk/business/publications/written-questions-answers-statements/written-question/Commons/2018-11-02/187381/" TargetMode="External"/><Relationship Id="rId10" Type="http://schemas.openxmlformats.org/officeDocument/2006/relationships/hyperlink" Target="https://www.equalityhumanrights.com/en/publication-download/britain-fairer-2018" TargetMode="External"/><Relationship Id="rId31" Type="http://schemas.openxmlformats.org/officeDocument/2006/relationships/hyperlink" Target="https://livefearfree.gov.wales/campaigns/this-is-me?lang=en" TargetMode="External"/><Relationship Id="rId44" Type="http://schemas.openxmlformats.org/officeDocument/2006/relationships/hyperlink" Target="https://1q7dqy2unor827bqjls0c4rn-wpengine.netdna-ssl.com/wp-content/uploads/2018/05/Transforming-the-Response-to-Domestic-Abuse-Consultation-Response-from-Womens-Aid-31-May-2018.pdf" TargetMode="External"/><Relationship Id="rId52" Type="http://schemas.openxmlformats.org/officeDocument/2006/relationships/hyperlink" Target="https://www.gov.uk/government/news/all-supported-housing-funding-to-be-retained-in-welfare-system" TargetMode="External"/><Relationship Id="rId60" Type="http://schemas.openxmlformats.org/officeDocument/2006/relationships/hyperlink" Target="https://www.legislation.gov.uk/ukpga/2004/31/contents" TargetMode="External"/><Relationship Id="rId65" Type="http://schemas.openxmlformats.org/officeDocument/2006/relationships/hyperlink" Target="https://www.lawcom.gov.uk/law-commission-review-into-hate-crime-announced/" TargetMode="External"/><Relationship Id="rId73" Type="http://schemas.openxmlformats.org/officeDocument/2006/relationships/hyperlink" Target="https://www.equalityhumanrights.com/sites/default/files/consultation-response-on-post-implementation-review-of-laspo-september-2018.doc" TargetMode="External"/><Relationship Id="rId78" Type="http://schemas.openxmlformats.org/officeDocument/2006/relationships/hyperlink" Target="https://beta.gov.wales/commission-justice-wales" TargetMode="External"/><Relationship Id="rId81" Type="http://schemas.openxmlformats.org/officeDocument/2006/relationships/hyperlink" Target="https://www.equalityhumanrights.com/en/publication-download/pressing-progress-women%E2%80%99s-rights-and-gender-equality-2018" TargetMode="External"/><Relationship Id="rId86" Type="http://schemas.openxmlformats.org/officeDocument/2006/relationships/hyperlink" Target="https://www.gov.uk/government/publications/independent-anti-slavery-commissioner-letter-of-resignation" TargetMode="External"/><Relationship Id="rId94" Type="http://schemas.openxmlformats.org/officeDocument/2006/relationships/hyperlink" Target="http://webarchive.nationalarchives.gov.uk/+/http:/www.homeoffice.gov.uk/documents/corston-report/" TargetMode="External"/><Relationship Id="rId99" Type="http://schemas.openxmlformats.org/officeDocument/2006/relationships/hyperlink" Target="http://www.unhcr.org/uk/publications/legal/505b10ee9/unhcr-detention-guidelines.html" TargetMode="External"/><Relationship Id="rId101" Type="http://schemas.openxmlformats.org/officeDocument/2006/relationships/hyperlink" Target="https://www.parliament.uk/business/committees/committees-a-z/joint-select/human-rights-committee/news-parliament-2017/immigration-detention-inquiry-launch-17-19/" TargetMode="External"/><Relationship Id="rId122" Type="http://schemas.openxmlformats.org/officeDocument/2006/relationships/hyperlink" Target="https://www.bbc.co.uk/news/business-46400290" TargetMode="External"/><Relationship Id="rId130" Type="http://schemas.openxmlformats.org/officeDocument/2006/relationships/hyperlink" Target="https://beta.gov.wales/fair-work-commission" TargetMode="External"/><Relationship Id="rId135" Type="http://schemas.openxmlformats.org/officeDocument/2006/relationships/hyperlink" Target="https://www.equalityhumanrights.com/sites/default/files/pay-gaps-strategy-fair-opportunities-for-all.pdf" TargetMode="External"/><Relationship Id="rId143" Type="http://schemas.openxmlformats.org/officeDocument/2006/relationships/hyperlink" Target="https://www.equalityhumanrights.com/en/managing-pregnancy-and-maternity-workplace/pregnancy-and-maternity-discrimination-research-findings" TargetMode="External"/><Relationship Id="rId148" Type="http://schemas.openxmlformats.org/officeDocument/2006/relationships/hyperlink" Target="http://www.assembly.wales/laid%20documents/gen-ld11734/gen-ld11734-e.pdf" TargetMode="External"/><Relationship Id="rId151" Type="http://schemas.openxmlformats.org/officeDocument/2006/relationships/hyperlink" Target="https://www.cqc.org.uk/publications/major-report/monitoring-mental-health-act-report" TargetMode="External"/><Relationship Id="rId156" Type="http://schemas.openxmlformats.org/officeDocument/2006/relationships/hyperlink" Target="https://assets.publishing.service.gov.uk/government/uploads/system/uploads/attachment_data/file/762206/MHA_reviewFINAL.pdf" TargetMode="External"/><Relationship Id="rId164" Type="http://schemas.openxmlformats.org/officeDocument/2006/relationships/hyperlink" Target="https://gov.wales/newsroom/health-and-social-services/2018/termination/?lang=en" TargetMode="External"/><Relationship Id="rId169" Type="http://schemas.openxmlformats.org/officeDocument/2006/relationships/hyperlink" Target="https://www.pshe-association.org.uk/news/government-takes-%E2%80%98major-step%E2%80%99-towards-better-pshe" TargetMode="External"/><Relationship Id="rId177" Type="http://schemas.openxmlformats.org/officeDocument/2006/relationships/hyperlink" Target="https://gov.wales/newsroom/educationandskills/2018/kirsty-williams-announces-focus-on-healthy-relationships-in-major-reforms-to-relationships-and-sexuality-education/?lang=en" TargetMode="External"/><Relationship Id="rId4" Type="http://schemas.openxmlformats.org/officeDocument/2006/relationships/hyperlink" Target="https://www.parliamentlive.tv/Event/Index/8efe4547-e9df-4e1a-9d43-d8120b186e5e" TargetMode="External"/><Relationship Id="rId9" Type="http://schemas.openxmlformats.org/officeDocument/2006/relationships/hyperlink" Target="https://www.cteg.org.uk/wp-content/uploads/2018/07/final-Rapid-Review-of-Gender-Equality-Phase-One.pdf" TargetMode="External"/><Relationship Id="rId172" Type="http://schemas.openxmlformats.org/officeDocument/2006/relationships/hyperlink" Target="https://www.equalityhumanrights.com/en/advice-and-guidance/how-can-we-stop-prejudice-based-bullying-schools" TargetMode="External"/><Relationship Id="rId13" Type="http://schemas.openxmlformats.org/officeDocument/2006/relationships/hyperlink" Target="http://data.parliament.uk/writtenevidence/committeeevidence.svc/evidencedocument/women-and-equalities-committee/enforcing-the-equality-act-the-law-and-the-role-of-the-equality-and-human-rights-commission/written/91482.html" TargetMode="External"/><Relationship Id="rId18" Type="http://schemas.openxmlformats.org/officeDocument/2006/relationships/hyperlink" Target="https://assets.publishing.service.gov.uk/government/uploads/system/uploads/attachment_data/file/759021/25_November_Political_Declaration_setting_out_the_framework_for_the_future_relationship_between_the_European_Union_and_the_United_Kingdom__.pdf" TargetMode="External"/><Relationship Id="rId39" Type="http://schemas.openxmlformats.org/officeDocument/2006/relationships/hyperlink" Target="http://researchbriefings.files.parliament.uk/documents/CBP-8356/CBP-8356.pdf" TargetMode="External"/><Relationship Id="rId109" Type="http://schemas.openxmlformats.org/officeDocument/2006/relationships/hyperlink" Target="https://www.equalityhumanrights.com/en/publication-download/cumulative-impact-tax-and-welfare-reforms" TargetMode="External"/><Relationship Id="rId34" Type="http://schemas.openxmlformats.org/officeDocument/2006/relationships/hyperlink" Target="http://www.assembly.wales/laid%20documents/gen-ld11618/gen-ld11618-e.pdf" TargetMode="External"/><Relationship Id="rId50" Type="http://schemas.openxmlformats.org/officeDocument/2006/relationships/hyperlink" Target="https://assets.publishing.service.gov.uk/government/uploads/system/uploads/attachment_data/file/721495/Fund_for_domestic_abuse_services_2018-20_prospectus.pdf" TargetMode="External"/><Relationship Id="rId55" Type="http://schemas.openxmlformats.org/officeDocument/2006/relationships/hyperlink" Target="https://www.rcm.org.uk/news-views-and-analysis/news/%E2%80%98a-major-step-in-the-campaign-to-stop-fgm-in-wales%E2%80%99-says-rcm-on-opening" TargetMode="External"/><Relationship Id="rId76" Type="http://schemas.openxmlformats.org/officeDocument/2006/relationships/hyperlink" Target="https://publications.parliament.uk/pa/jt201719/jtselect/jtrights/669/669.pdf" TargetMode="External"/><Relationship Id="rId97" Type="http://schemas.openxmlformats.org/officeDocument/2006/relationships/hyperlink" Target="https://www.gov.uk/government/speeches/home-secretary-statement-on-immigration-detention-and-shaw-report" TargetMode="External"/><Relationship Id="rId104" Type="http://schemas.openxmlformats.org/officeDocument/2006/relationships/hyperlink" Target="https://assets.publishing.service.gov.uk/government/uploads/system/uploads/attachment_data/file/597382/Allocation-Of-Accommodation-v5_0.pdf" TargetMode="External"/><Relationship Id="rId120" Type="http://schemas.openxmlformats.org/officeDocument/2006/relationships/hyperlink" Target="https://www.ftadviser.com/pensions/2017/11/29/ombudsman-intervenes-in-waspi-complaint-cases/?page=2" TargetMode="External"/><Relationship Id="rId125" Type="http://schemas.openxmlformats.org/officeDocument/2006/relationships/hyperlink" Target="https://www.peoplemanagement.co.uk/news/articles/government-shelves-grandparental-leave" TargetMode="External"/><Relationship Id="rId141" Type="http://schemas.openxmlformats.org/officeDocument/2006/relationships/hyperlink" Target="http://senedd.assembly.wales/documents/s72280/Report%20PDF%201.4MB.pdf" TargetMode="External"/><Relationship Id="rId146" Type="http://schemas.openxmlformats.org/officeDocument/2006/relationships/hyperlink" Target="https://www.equalityhumanrights.com/sites/default/files/measuring-and-reporting-on-ethnicity-and-disability-pay-gaps.pdf" TargetMode="External"/><Relationship Id="rId167" Type="http://schemas.openxmlformats.org/officeDocument/2006/relationships/hyperlink" Target="https://www.nice.org.uk/guidance/ph50/chapter/1-Recommendations" TargetMode="External"/><Relationship Id="rId7" Type="http://schemas.openxmlformats.org/officeDocument/2006/relationships/hyperlink" Target="http://record.assembly.wales/Plenary/4998" TargetMode="External"/><Relationship Id="rId71" Type="http://schemas.openxmlformats.org/officeDocument/2006/relationships/hyperlink" Target="https://www.gov.uk/government/publications/post-implementation-review-of-laspo" TargetMode="External"/><Relationship Id="rId92" Type="http://schemas.openxmlformats.org/officeDocument/2006/relationships/hyperlink" Target="https://www.unodc.org/documents/justice-and-prison-reform/Bangkok_Rules_ENG_22032015.pdf" TargetMode="External"/><Relationship Id="rId162" Type="http://schemas.openxmlformats.org/officeDocument/2006/relationships/hyperlink" Target="https://www.parliament.uk/business/publications/written-questions-answers-statements/written-statement/Commons/2018-06-04/HCWS731/" TargetMode="External"/><Relationship Id="rId2" Type="http://schemas.openxmlformats.org/officeDocument/2006/relationships/hyperlink" Target="https://www.equalityhumanrights.com/en/publication-download/pressing-progress-women%E2%80%99s-rights-and-gender-equality-2018" TargetMode="External"/><Relationship Id="rId29" Type="http://schemas.openxmlformats.org/officeDocument/2006/relationships/hyperlink" Target="https://www.equalityhumanrights.com/sites/default/files/consultation-response-gender-stereotypes-in-advertising-26-july-2018.pdf" TargetMode="External"/><Relationship Id="rId24" Type="http://schemas.openxmlformats.org/officeDocument/2006/relationships/hyperlink" Target="https://tbinternet.ohchr.org/_layouts/treatybodyexternal/Download.aspx?symbolno=CEDAW%2fC%2fGBR%2fQ%2f8%2fAdd.1&amp;Lang=en" TargetMode="External"/><Relationship Id="rId40" Type="http://schemas.openxmlformats.org/officeDocument/2006/relationships/hyperlink" Target="https://publications.parliament.uk/pa/bills/lbill/2017-2019/0130/lbill_2017-20190130_en_1.htm" TargetMode="External"/><Relationship Id="rId45" Type="http://schemas.openxmlformats.org/officeDocument/2006/relationships/hyperlink" Target="https://www.endviolenceagainstwomen.org.uk/wp-content/uploads/EVAW-Submission-to-Government-Consultation-on-the-proposed-Domestic-Violence-and-Abuse-Bill-30-May-2018.pdf" TargetMode="External"/><Relationship Id="rId66" Type="http://schemas.openxmlformats.org/officeDocument/2006/relationships/hyperlink" Target="http://www.nottinghamwomenscentre.com/wp-content/uploads/2018/07/Misogyny-Hate-Crime-Evaluation-Report-June-2018.pdf" TargetMode="External"/><Relationship Id="rId87" Type="http://schemas.openxmlformats.org/officeDocument/2006/relationships/hyperlink" Target="https://www.equalityhumanrights.com/en/our-human-rights-work/monitoring-and-promoting-un-treaties/international-covenant-civil-and" TargetMode="External"/><Relationship Id="rId110" Type="http://schemas.openxmlformats.org/officeDocument/2006/relationships/hyperlink" Target="https://www.equalityhumanrights.com/en/publication-download/impact-welfare-reform-and-welfare-work-programmes-evidence-review" TargetMode="External"/><Relationship Id="rId115" Type="http://schemas.openxmlformats.org/officeDocument/2006/relationships/hyperlink" Target="http://data.parliament.uk/writtenevidence/committeeevidence.svc/evidencedocument/work-and-pensions-committee/universal-credit-rollout/written/82350.html" TargetMode="External"/><Relationship Id="rId131" Type="http://schemas.openxmlformats.org/officeDocument/2006/relationships/hyperlink" Target="https://publications.parliament.uk/pa/cm201719/cmselect/cmwomeq/725/725.pdf" TargetMode="External"/><Relationship Id="rId136" Type="http://schemas.openxmlformats.org/officeDocument/2006/relationships/hyperlink" Target="https://www.cloisters.com/news/house-of-commons-independent-inquiry-report" TargetMode="External"/><Relationship Id="rId157" Type="http://schemas.openxmlformats.org/officeDocument/2006/relationships/hyperlink" Target="https://maternalmentalhealthalliance.org/news/new-mums-face-gaps-in-vital-specialist-mental-health-services-in-wales/" TargetMode="External"/><Relationship Id="rId61" Type="http://schemas.openxmlformats.org/officeDocument/2006/relationships/hyperlink" Target="http://www.legislation.gov.uk/mwa/2011/2/contents" TargetMode="External"/><Relationship Id="rId82" Type="http://schemas.openxmlformats.org/officeDocument/2006/relationships/hyperlink" Target="https://www.gov.uk/government/publications/modern-slavery-act-2015-independent-review-terms-of-reference/review-of-the-modern-slavery-act-2015-terms-of-reference" TargetMode="External"/><Relationship Id="rId152" Type="http://schemas.openxmlformats.org/officeDocument/2006/relationships/hyperlink" Target="https://weareagenda.org/wp-content/uploads/2016/11/Mental-health-briefing-FINAL.pdf" TargetMode="External"/><Relationship Id="rId173" Type="http://schemas.openxmlformats.org/officeDocument/2006/relationships/hyperlink" Target="https://consult.education.gov.uk/pshe/relationships-education-rse-health-education/supporting_documents/20170718_%20Draft%20guidance%20for%20consultation.pdf" TargetMode="External"/><Relationship Id="rId19" Type="http://schemas.openxmlformats.org/officeDocument/2006/relationships/hyperlink" Target="https://www.conservatives.com/manifesto" TargetMode="External"/><Relationship Id="rId14" Type="http://schemas.openxmlformats.org/officeDocument/2006/relationships/hyperlink" Target="https://equalityhumanrights.com/en/britain-fairer" TargetMode="External"/><Relationship Id="rId30" Type="http://schemas.openxmlformats.org/officeDocument/2006/relationships/hyperlink" Target="https://www.asa.org.uk/resource/advertising-guidance-on-depicting-gender-stereotypes.html" TargetMode="External"/><Relationship Id="rId35" Type="http://schemas.openxmlformats.org/officeDocument/2006/relationships/hyperlink" Target="https://gov.wales/newsroom/firstminister/2018/181112-first-minister-takes-steps-to-transform-refuge-provision-and-sexual-violence-services-in-wales/?lang=en" TargetMode="External"/><Relationship Id="rId56" Type="http://schemas.openxmlformats.org/officeDocument/2006/relationships/hyperlink" Target="http://www.wales.nhs.uk/sitesplus/documents/888/FGM%20Annual%20report%202017-18%20Final.pdf" TargetMode="External"/><Relationship Id="rId77" Type="http://schemas.openxmlformats.org/officeDocument/2006/relationships/hyperlink" Target="https://gov.wales/newsroom/firstminister/2017/170918-first-minister-establishes-commission-on-justice-in-wales/?lang=en" TargetMode="External"/><Relationship Id="rId100" Type="http://schemas.openxmlformats.org/officeDocument/2006/relationships/hyperlink" Target="http://www.legislation.gov.uk/uksi/2001/238/contents/made" TargetMode="External"/><Relationship Id="rId105" Type="http://schemas.openxmlformats.org/officeDocument/2006/relationships/hyperlink" Target="https://tbinternet.ohchr.org/_layouts/treatybodyexternal/Download.aspx?symbolno=E/C.12/GBR/CO/6&amp;Lang=En" TargetMode="External"/><Relationship Id="rId126" Type="http://schemas.openxmlformats.org/officeDocument/2006/relationships/hyperlink" Target="file://C:\Users\hwillingale\AppData\Local\Microsoft\Windows\INetCache\Content.Outlook\RBZZ5HT6\People%20Management.%202018.%20Number%20of%20parents%20taking%20shared%20parental%20leave%20'remarkably%20low'%20for%20third%20year.%20%5bONLINE%5d.%20Available%20at:%20https:\www.peoplemanagement.co.uk\news\articles\parents-taking-shared-parental-leave-remarkably-low" TargetMode="External"/><Relationship Id="rId147" Type="http://schemas.openxmlformats.org/officeDocument/2006/relationships/hyperlink" Target="https://assets.publishing.service.gov.uk/government/uploads/system/uploads/attachment_data/file/747546/ethnicity-pay-reporting-consultation.pdf" TargetMode="External"/><Relationship Id="rId168" Type="http://schemas.openxmlformats.org/officeDocument/2006/relationships/hyperlink" Target="https://consult.education.gov.uk/pshe/relationships-education-rse-health-education/supporting_documents/180718%20Consultation_call%20for%20evidence%20response_policy%20statement.pdf" TargetMode="External"/><Relationship Id="rId8" Type="http://schemas.openxmlformats.org/officeDocument/2006/relationships/hyperlink" Target="https://gov.wales/topics/people-and-communities/equality-diversity/review-of-gender-equality/?lang=en" TargetMode="External"/><Relationship Id="rId51" Type="http://schemas.openxmlformats.org/officeDocument/2006/relationships/hyperlink" Target="https://www.equalityhumanrights.com/en/publication-download/pressing-progress-women%E2%80%99s-rights-and-gender-equality-2018" TargetMode="External"/><Relationship Id="rId72" Type="http://schemas.openxmlformats.org/officeDocument/2006/relationships/hyperlink" Target="https://hansard.parliament.uk/Commons/2018-09-04/debates/B65C30AA-032A-4957-9064-EA19A3891488/LegalAidPost-ImplementationReview?highlight=%22legal%20aid%22" TargetMode="External"/><Relationship Id="rId93" Type="http://schemas.openxmlformats.org/officeDocument/2006/relationships/hyperlink" Target="https://researchbriefings.parliament.uk/ResearchBriefing/Summary/SN04334" TargetMode="External"/><Relationship Id="rId98" Type="http://schemas.openxmlformats.org/officeDocument/2006/relationships/hyperlink" Target="https://assets.publishing.service.gov.uk/government/uploads/system/uploads/attachment_data/file/721603/adults-at-risk-policy-guidance_v3.pdf" TargetMode="External"/><Relationship Id="rId121" Type="http://schemas.openxmlformats.org/officeDocument/2006/relationships/hyperlink" Target="https://www.ohchr.org/Documents/Issues/Poverty/EOM_GB_16Nov2018.pdf" TargetMode="External"/><Relationship Id="rId142" Type="http://schemas.openxmlformats.org/officeDocument/2006/relationships/hyperlink" Target="https://gender-pay-gap.service.gov.uk/" TargetMode="External"/><Relationship Id="rId163" Type="http://schemas.openxmlformats.org/officeDocument/2006/relationships/hyperlink" Target="https://gov.wales/newsroom/health-and-social-services/2018/ovarian/?lang=en" TargetMode="External"/><Relationship Id="rId3" Type="http://schemas.openxmlformats.org/officeDocument/2006/relationships/hyperlink" Target="http://webarchive.nationalarchives.gov.uk/20110818085323/http://wnc.equalities.gov.uk/" TargetMode="External"/><Relationship Id="rId25" Type="http://schemas.openxmlformats.org/officeDocument/2006/relationships/hyperlink" Target="https://www.parliament.uk/business/publications/written-questions-answers-statements/written-question/Commons/2018-07-03/160175/" TargetMode="External"/><Relationship Id="rId46" Type="http://schemas.openxmlformats.org/officeDocument/2006/relationships/hyperlink" Target="https://www.equalityhumanrights.com/sites/default/files/consultation-response-transforming-response-to-domestic-abuse-may-2018.pdf" TargetMode="External"/><Relationship Id="rId67" Type="http://schemas.openxmlformats.org/officeDocument/2006/relationships/hyperlink" Target="https://www.girlguiding.org.uk/globalassets/docs-and-resources/research-and-campaigns/girls-attitudes-survey-2018.pdf" TargetMode="External"/><Relationship Id="rId116" Type="http://schemas.openxmlformats.org/officeDocument/2006/relationships/hyperlink" Target="https://publications.parliament.uk/pa/cm201719/cmselect/cmworpen/1611/1611.pdf" TargetMode="External"/><Relationship Id="rId137" Type="http://schemas.openxmlformats.org/officeDocument/2006/relationships/hyperlink" Target="https://www.bbc.co.uk/news/uk-wales-politics-44546860" TargetMode="External"/><Relationship Id="rId158" Type="http://schemas.openxmlformats.org/officeDocument/2006/relationships/hyperlink" Target="https://www.england.nhs.uk/wp-content/uploads/2017/07/inequalities-resource-sep-2018.pdf" TargetMode="External"/><Relationship Id="rId20" Type="http://schemas.openxmlformats.org/officeDocument/2006/relationships/hyperlink" Target="http://ec.europa.eu/justice/grants1/programmes-2014-2020/rec/index_en.htm" TargetMode="External"/><Relationship Id="rId41" Type="http://schemas.openxmlformats.org/officeDocument/2006/relationships/hyperlink" Target="http://researchbriefings.files.parliament.uk/documents/CBP-8356/CBP-8356.pdf" TargetMode="External"/><Relationship Id="rId62" Type="http://schemas.openxmlformats.org/officeDocument/2006/relationships/hyperlink" Target="https://beta.gov.wales/legislative-proposal-remove-defence-reasonable-punishment" TargetMode="External"/><Relationship Id="rId83" Type="http://schemas.openxmlformats.org/officeDocument/2006/relationships/hyperlink" Target="https://www.equalityhumanrights.com/en/publication-download/pressing-progress-women%E2%80%99s-rights-and-gender-equality-2018" TargetMode="External"/><Relationship Id="rId88" Type="http://schemas.openxmlformats.org/officeDocument/2006/relationships/hyperlink" Target="https://gov.wales/about/cabinet/cabinetstatements/2017/fairworkfutureforwales/?lang=en" TargetMode="External"/><Relationship Id="rId111" Type="http://schemas.openxmlformats.org/officeDocument/2006/relationships/hyperlink" Target="https://www.equalityhumanrights.com/en/publication-download/cumulative-impact-living-standards-public-spending-changes" TargetMode="External"/><Relationship Id="rId132" Type="http://schemas.openxmlformats.org/officeDocument/2006/relationships/hyperlink" Target="https://www.equalityhumanrights.com/en/publication-download/turning-tables-ending-sexual-harassment-work" TargetMode="External"/><Relationship Id="rId153" Type="http://schemas.openxmlformats.org/officeDocument/2006/relationships/hyperlink" Target="https://weareagenda.org/wp-content/uploads/2018/08/Women-in-Crisis-Agenda-report-.pdf" TargetMode="External"/><Relationship Id="rId174" Type="http://schemas.openxmlformats.org/officeDocument/2006/relationships/hyperlink" Target="https://www.endviolenceagainstwomen.org.uk/plans-for-relationships-and-sex-education-wont-prevent-abuse/" TargetMode="External"/><Relationship Id="rId15" Type="http://schemas.openxmlformats.org/officeDocument/2006/relationships/hyperlink" Target="https://www.gov.uk/government/consultations/reform-of-the-gender-recognition-act-2004" TargetMode="External"/><Relationship Id="rId36" Type="http://schemas.openxmlformats.org/officeDocument/2006/relationships/hyperlink" Target="https://www.bbc.co.uk/news/uk-44366997" TargetMode="External"/><Relationship Id="rId57" Type="http://schemas.openxmlformats.org/officeDocument/2006/relationships/hyperlink" Target="https://www.nhs.uk/conditions/female-genital-mutilation-fgm/" TargetMode="External"/><Relationship Id="rId106" Type="http://schemas.openxmlformats.org/officeDocument/2006/relationships/hyperlink" Target="https://www.crisis.org.uk/media/239050/appg-for-ending-homelessness-report_final.pdf" TargetMode="External"/><Relationship Id="rId127" Type="http://schemas.openxmlformats.org/officeDocument/2006/relationships/hyperlink" Target="https://www.familyandchildcaretrust.org/childcare-survey-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346BE4-CB31-41E1-ACEA-D46397A04AE0}"/>
</file>

<file path=customXml/itemProps2.xml><?xml version="1.0" encoding="utf-8"?>
<ds:datastoreItem xmlns:ds="http://schemas.openxmlformats.org/officeDocument/2006/customXml" ds:itemID="{664733A1-1389-4141-A48E-C11D7054A376}"/>
</file>

<file path=customXml/itemProps3.xml><?xml version="1.0" encoding="utf-8"?>
<ds:datastoreItem xmlns:ds="http://schemas.openxmlformats.org/officeDocument/2006/customXml" ds:itemID="{62528770-8E10-4490-B5A2-4756CFD5376B}"/>
</file>

<file path=customXml/itemProps4.xml><?xml version="1.0" encoding="utf-8"?>
<ds:datastoreItem xmlns:ds="http://schemas.openxmlformats.org/officeDocument/2006/customXml" ds:itemID="{FB7123FC-0D10-466D-B03C-6FD646573A62}"/>
</file>

<file path=docProps/app.xml><?xml version="1.0" encoding="utf-8"?>
<Properties xmlns="http://schemas.openxmlformats.org/officeDocument/2006/extended-properties" xmlns:vt="http://schemas.openxmlformats.org/officeDocument/2006/docPropsVTypes">
  <Template>Normal</Template>
  <TotalTime>113</TotalTime>
  <Pages>68</Pages>
  <Words>14932</Words>
  <Characters>85117</Characters>
  <Application>Microsoft Office Word</Application>
  <DocSecurity>0</DocSecurity>
  <Lines>709</Lines>
  <Paragraphs>199</Paragraphs>
  <ScaleCrop>false</ScaleCrop>
  <HeadingPairs>
    <vt:vector size="2" baseType="variant">
      <vt:variant>
        <vt:lpstr>Title</vt:lpstr>
      </vt:variant>
      <vt:variant>
        <vt:i4>1</vt:i4>
      </vt:variant>
    </vt:vector>
  </HeadingPairs>
  <TitlesOfParts>
    <vt:vector size="1" baseType="lpstr">
      <vt:lpstr/>
    </vt:vector>
  </TitlesOfParts>
  <Company>EHRC</Company>
  <LinksUpToDate>false</LinksUpToDate>
  <CharactersWithSpaces>99850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Hayley Richardson</dc:creator>
  <cp:lastModifiedBy>Hayley Willingale</cp:lastModifiedBy>
  <cp:revision>18</cp:revision>
  <cp:lastPrinted>2019-01-09T17:08:00Z</cp:lastPrinted>
  <dcterms:created xsi:type="dcterms:W3CDTF">2019-01-22T11:38:00Z</dcterms:created>
  <dcterms:modified xsi:type="dcterms:W3CDTF">2019-01-24T15:07:00Z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