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2E18" w:rsidRPr="00CA0DB7" w:rsidRDefault="005C3913" w:rsidP="00F62E18">
      <w:pPr>
        <w:jc w:val="both"/>
        <w:rPr>
          <w:rFonts w:ascii="Times New Roman" w:hAnsi="Times New Roman" w:cs="Times New Roman"/>
          <w:b/>
          <w:bCs/>
          <w:sz w:val="20"/>
          <w:szCs w:val="20"/>
        </w:rPr>
      </w:pPr>
      <w:r>
        <w:rPr>
          <w:rFonts w:ascii="Times New Roman" w:hAnsi="Times New Roman" w:cs="Times New Roman"/>
          <w:b/>
          <w:bCs/>
          <w:sz w:val="20"/>
          <w:szCs w:val="20"/>
        </w:rPr>
        <w:t>Annexe 2</w:t>
      </w:r>
    </w:p>
    <w:p w:rsidR="00F62E18" w:rsidRPr="00AB200B" w:rsidRDefault="00F62E18" w:rsidP="00F62E18">
      <w:pPr>
        <w:jc w:val="both"/>
        <w:rPr>
          <w:rFonts w:ascii="Times New Roman" w:hAnsi="Times New Roman" w:cs="Times New Roman"/>
          <w:sz w:val="20"/>
          <w:szCs w:val="20"/>
        </w:rPr>
      </w:pPr>
      <w:r w:rsidRPr="00AB200B">
        <w:rPr>
          <w:rFonts w:ascii="Times New Roman" w:hAnsi="Times New Roman" w:cs="Times New Roman"/>
          <w:sz w:val="20"/>
          <w:szCs w:val="20"/>
        </w:rPr>
        <w:t xml:space="preserve">14. Le Comité invite l’État partie à fournir une brève mise à jour (pas plus de trois pages) des informations présentées dans son rapport1 en ce qui concerne des faits récents sur : </w:t>
      </w:r>
    </w:p>
    <w:p w:rsidR="00F62E18" w:rsidRPr="00AB200B" w:rsidRDefault="00F62E18" w:rsidP="00F62E18">
      <w:pPr>
        <w:jc w:val="both"/>
        <w:rPr>
          <w:rFonts w:ascii="Times New Roman" w:hAnsi="Times New Roman" w:cs="Times New Roman"/>
          <w:sz w:val="20"/>
          <w:szCs w:val="20"/>
        </w:rPr>
      </w:pPr>
      <w:r w:rsidRPr="00AB200B">
        <w:rPr>
          <w:rFonts w:ascii="Times New Roman" w:hAnsi="Times New Roman" w:cs="Times New Roman"/>
          <w:sz w:val="20"/>
          <w:szCs w:val="20"/>
        </w:rPr>
        <w:t xml:space="preserve">a) Les projets de loi ou lois, et leurs règlements respectifs ; </w:t>
      </w:r>
    </w:p>
    <w:p w:rsidR="00F62E18" w:rsidRPr="00CA0DB7" w:rsidRDefault="00F62E18" w:rsidP="00B16196">
      <w:pPr>
        <w:pStyle w:val="ListParagraph"/>
        <w:numPr>
          <w:ilvl w:val="0"/>
          <w:numId w:val="5"/>
        </w:numPr>
        <w:jc w:val="both"/>
        <w:rPr>
          <w:sz w:val="20"/>
          <w:szCs w:val="20"/>
        </w:rPr>
      </w:pPr>
      <w:r w:rsidRPr="00CA0DB7">
        <w:rPr>
          <w:sz w:val="20"/>
          <w:szCs w:val="20"/>
        </w:rPr>
        <w:t>La loi n°2011-087 du 30 décembre 2011 portant code des personnes et de la famille ;</w:t>
      </w:r>
    </w:p>
    <w:p w:rsidR="00301BA4" w:rsidRPr="00CA0DB7" w:rsidRDefault="00301BA4" w:rsidP="00F62E18">
      <w:pPr>
        <w:jc w:val="both"/>
        <w:rPr>
          <w:rFonts w:ascii="Times New Roman" w:hAnsi="Times New Roman" w:cs="Times New Roman"/>
          <w:sz w:val="20"/>
          <w:szCs w:val="20"/>
        </w:rPr>
      </w:pPr>
      <w:r w:rsidRPr="00CA0DB7">
        <w:rPr>
          <w:rFonts w:ascii="Times New Roman" w:hAnsi="Times New Roman" w:cs="Times New Roman"/>
          <w:sz w:val="20"/>
          <w:szCs w:val="20"/>
        </w:rPr>
        <w:t>Joue un rôle important dans la protection d</w:t>
      </w:r>
      <w:r w:rsidR="001E373C" w:rsidRPr="00CA0DB7">
        <w:rPr>
          <w:rFonts w:ascii="Times New Roman" w:hAnsi="Times New Roman" w:cs="Times New Roman"/>
          <w:sz w:val="20"/>
          <w:szCs w:val="20"/>
        </w:rPr>
        <w:t>e l’</w:t>
      </w:r>
      <w:r w:rsidRPr="00CA0DB7">
        <w:rPr>
          <w:rFonts w:ascii="Times New Roman" w:hAnsi="Times New Roman" w:cs="Times New Roman"/>
          <w:sz w:val="20"/>
          <w:szCs w:val="20"/>
        </w:rPr>
        <w:t>enfants au Mali en tant que personne humaine et membre très important faisant de l’institution familiale</w:t>
      </w:r>
      <w:r w:rsidR="00B73172" w:rsidRPr="00CA0DB7">
        <w:rPr>
          <w:rFonts w:ascii="Times New Roman" w:hAnsi="Times New Roman" w:cs="Times New Roman"/>
          <w:sz w:val="20"/>
          <w:szCs w:val="20"/>
        </w:rPr>
        <w:t> ;</w:t>
      </w:r>
    </w:p>
    <w:p w:rsidR="00F62E18" w:rsidRPr="00CA0DB7" w:rsidRDefault="00F62E18" w:rsidP="00B16196">
      <w:pPr>
        <w:pStyle w:val="ListParagraph"/>
        <w:numPr>
          <w:ilvl w:val="0"/>
          <w:numId w:val="5"/>
        </w:numPr>
        <w:jc w:val="both"/>
        <w:rPr>
          <w:sz w:val="20"/>
          <w:szCs w:val="20"/>
        </w:rPr>
      </w:pPr>
      <w:r w:rsidRPr="00CA0DB7">
        <w:rPr>
          <w:sz w:val="20"/>
          <w:szCs w:val="20"/>
        </w:rPr>
        <w:t>Loi n° 2012-023 du 12 juillet 2012 portant traite des personnes et des pratiques assimilées</w:t>
      </w:r>
      <w:r w:rsidR="00B73172" w:rsidRPr="00CA0DB7">
        <w:rPr>
          <w:sz w:val="20"/>
          <w:szCs w:val="20"/>
        </w:rPr>
        <w:t xml:space="preserve">, est </w:t>
      </w:r>
      <w:r w:rsidR="005C5A2D" w:rsidRPr="00CA0DB7">
        <w:rPr>
          <w:sz w:val="20"/>
          <w:szCs w:val="20"/>
        </w:rPr>
        <w:t xml:space="preserve">la première loi adoptée au Mali. </w:t>
      </w:r>
      <w:r w:rsidR="00B73172" w:rsidRPr="00CA0DB7">
        <w:rPr>
          <w:sz w:val="20"/>
          <w:szCs w:val="20"/>
        </w:rPr>
        <w:t xml:space="preserve"> loi permettant de lutter contre la traite et les pratiques nuisibles assimilées. En lien avec la protection</w:t>
      </w:r>
      <w:r w:rsidR="005E2B2C" w:rsidRPr="00CA0DB7">
        <w:rPr>
          <w:sz w:val="20"/>
          <w:szCs w:val="20"/>
        </w:rPr>
        <w:t>, il prend en compte l’un des</w:t>
      </w:r>
      <w:r w:rsidR="00B73172" w:rsidRPr="00CA0DB7">
        <w:rPr>
          <w:sz w:val="20"/>
          <w:szCs w:val="20"/>
        </w:rPr>
        <w:t xml:space="preserve"> principe</w:t>
      </w:r>
      <w:r w:rsidR="005E2B2C" w:rsidRPr="00CA0DB7">
        <w:rPr>
          <w:sz w:val="20"/>
          <w:szCs w:val="20"/>
        </w:rPr>
        <w:t>s clés de la CDE;</w:t>
      </w:r>
      <w:r w:rsidR="00B73172" w:rsidRPr="00CA0DB7">
        <w:rPr>
          <w:sz w:val="20"/>
          <w:szCs w:val="20"/>
        </w:rPr>
        <w:t xml:space="preserve"> </w:t>
      </w:r>
    </w:p>
    <w:p w:rsidR="00D81776" w:rsidRPr="00CA0DB7" w:rsidRDefault="00F62E18" w:rsidP="00B16196">
      <w:pPr>
        <w:pStyle w:val="ListParagraph"/>
        <w:numPr>
          <w:ilvl w:val="0"/>
          <w:numId w:val="4"/>
        </w:numPr>
        <w:jc w:val="both"/>
        <w:rPr>
          <w:sz w:val="20"/>
          <w:szCs w:val="20"/>
        </w:rPr>
      </w:pPr>
      <w:r w:rsidRPr="00CA0DB7">
        <w:rPr>
          <w:sz w:val="20"/>
          <w:szCs w:val="20"/>
        </w:rPr>
        <w:t>Loi n°2012-002 du 23 janvier 2012 portant création d’un fonds d’appui à l’autonomisation de la femme et à l’épanouissement de l’enfant</w:t>
      </w:r>
      <w:r w:rsidR="000A48B1" w:rsidRPr="00CA0DB7">
        <w:rPr>
          <w:sz w:val="20"/>
          <w:szCs w:val="20"/>
        </w:rPr>
        <w:t>, ce fond a été mis en place en vue de promouvoir le genre et l’autonomisation de la femme, la protection des droits de l’Enfant et la famille</w:t>
      </w:r>
      <w:r w:rsidRPr="00CA0DB7">
        <w:rPr>
          <w:sz w:val="20"/>
          <w:szCs w:val="20"/>
        </w:rPr>
        <w:t> ;</w:t>
      </w:r>
    </w:p>
    <w:p w:rsidR="00F62E18" w:rsidRPr="00CA0DB7" w:rsidRDefault="00F62E18" w:rsidP="00B16196">
      <w:pPr>
        <w:pStyle w:val="ListParagraph"/>
        <w:numPr>
          <w:ilvl w:val="0"/>
          <w:numId w:val="4"/>
        </w:numPr>
        <w:jc w:val="both"/>
        <w:rPr>
          <w:sz w:val="20"/>
          <w:szCs w:val="20"/>
        </w:rPr>
      </w:pPr>
      <w:r w:rsidRPr="00CA0DB7">
        <w:rPr>
          <w:sz w:val="20"/>
          <w:szCs w:val="20"/>
        </w:rPr>
        <w:t>Décret n°10-125/P-RM du 05 mars 2010 portant création des maisons de la femme et de l’enfant</w:t>
      </w:r>
      <w:r w:rsidR="00A874E3" w:rsidRPr="00CA0DB7">
        <w:rPr>
          <w:sz w:val="20"/>
          <w:szCs w:val="20"/>
        </w:rPr>
        <w:t>, sont des services rattachés aux directions régionales et centrales dont l’objectif est de promouvoir et soutenir des initiatives de promotion économique des femmes en milieu urbain et organiser ou participer à l’organisation d’activités de renforcement des capacités des femmes par la formation thématiques ou techniques. Ces maisons permettent de promouvoir les activités socioéducatives pour les enfants de 6 à 12 ans et de loisir pour les enfants de moins de 6 ans.</w:t>
      </w:r>
    </w:p>
    <w:p w:rsidR="005809C5" w:rsidRPr="00CA0DB7" w:rsidRDefault="003749D8" w:rsidP="00E4107E">
      <w:pPr>
        <w:pStyle w:val="ListParagraph"/>
        <w:numPr>
          <w:ilvl w:val="0"/>
          <w:numId w:val="4"/>
        </w:numPr>
        <w:jc w:val="both"/>
        <w:rPr>
          <w:sz w:val="20"/>
          <w:szCs w:val="20"/>
        </w:rPr>
      </w:pPr>
      <w:r w:rsidRPr="00CA0DB7">
        <w:rPr>
          <w:sz w:val="20"/>
          <w:szCs w:val="20"/>
        </w:rPr>
        <w:t>Le projet de loi relative à la protection de l’enfant (en cours d’adoption),  a pour objectif de promouvoir l’enfance d’une manière qui tient compte de ses spécificités  et en rapport avec ses possibilités physiques, ses penchant affectifs, ses capacités intellectuelles et son savoir-faire. En somme, mettre sur pied un mécanisme de protection qui garantit la protection des générations futures en prenant soin des enfants. Elève l’enfant dans le sens de l’identité nationale et de la citoyenneté, de la fidélité et de la loyauté</w:t>
      </w:r>
      <w:r w:rsidR="0040510D" w:rsidRPr="00CA0DB7">
        <w:rPr>
          <w:sz w:val="20"/>
          <w:szCs w:val="20"/>
        </w:rPr>
        <w:t xml:space="preserve"> au Mali, terre, histoire et acquis, ainsi que dans le sentiment d’appartenance à un ensemble de valeurs positives de civilisation au niveau national, sous régional, régional et mondial.</w:t>
      </w:r>
      <w:r w:rsidR="00273BF9" w:rsidRPr="00CA0DB7">
        <w:rPr>
          <w:sz w:val="20"/>
          <w:szCs w:val="20"/>
        </w:rPr>
        <w:t xml:space="preserve"> Cette loi prend en compte toutes les vulnérabilités auxquelles les enfants sont victimes.</w:t>
      </w:r>
    </w:p>
    <w:p w:rsidR="009C2942" w:rsidRPr="00CA0DB7" w:rsidRDefault="005809C5" w:rsidP="004B007E">
      <w:pPr>
        <w:spacing w:line="276" w:lineRule="auto"/>
        <w:jc w:val="both"/>
        <w:rPr>
          <w:rFonts w:ascii="Times New Roman" w:hAnsi="Times New Roman" w:cs="Times New Roman"/>
          <w:sz w:val="20"/>
          <w:szCs w:val="20"/>
        </w:rPr>
      </w:pPr>
      <w:r w:rsidRPr="00CA0DB7">
        <w:rPr>
          <w:rFonts w:ascii="Times New Roman" w:hAnsi="Times New Roman" w:cs="Times New Roman"/>
          <w:sz w:val="20"/>
          <w:szCs w:val="20"/>
        </w:rPr>
        <w:t xml:space="preserve">b) La </w:t>
      </w:r>
      <w:r w:rsidR="009C2942" w:rsidRPr="00CA0DB7">
        <w:rPr>
          <w:rFonts w:ascii="Times New Roman" w:hAnsi="Times New Roman" w:cs="Times New Roman"/>
          <w:sz w:val="20"/>
          <w:szCs w:val="20"/>
        </w:rPr>
        <w:t xml:space="preserve">réforme de la direction nationale de la promotion de l’enfant et de la famille en 2009, </w:t>
      </w:r>
      <w:r w:rsidR="004B007E" w:rsidRPr="00CA0DB7">
        <w:rPr>
          <w:rFonts w:ascii="Times New Roman" w:hAnsi="Times New Roman" w:cs="Times New Roman"/>
          <w:sz w:val="20"/>
          <w:szCs w:val="20"/>
        </w:rPr>
        <w:t>a permis de créer un Bureau d’Accueil et d’Orientation et L’Unité de Planification et de Suivi Evaluation, en plus des deux Divisions existantes (Division Promotion de l’Enfant et Division Promotion de la Famille</w:t>
      </w:r>
      <w:r w:rsidRPr="00CA0DB7">
        <w:rPr>
          <w:rFonts w:ascii="Times New Roman" w:hAnsi="Times New Roman" w:cs="Times New Roman"/>
          <w:sz w:val="20"/>
          <w:szCs w:val="20"/>
        </w:rPr>
        <w:t>.</w:t>
      </w:r>
      <w:r w:rsidR="003749D8" w:rsidRPr="00CA0DB7">
        <w:rPr>
          <w:rFonts w:ascii="Times New Roman" w:hAnsi="Times New Roman" w:cs="Times New Roman"/>
          <w:sz w:val="20"/>
          <w:szCs w:val="20"/>
        </w:rPr>
        <w:t xml:space="preserve"> </w:t>
      </w:r>
    </w:p>
    <w:p w:rsidR="004B007E" w:rsidRPr="00CA0DB7" w:rsidRDefault="004B007E" w:rsidP="004B007E">
      <w:pPr>
        <w:spacing w:line="276" w:lineRule="auto"/>
        <w:jc w:val="both"/>
        <w:rPr>
          <w:rFonts w:ascii="Times New Roman" w:hAnsi="Times New Roman" w:cs="Times New Roman"/>
          <w:sz w:val="20"/>
          <w:szCs w:val="20"/>
        </w:rPr>
      </w:pPr>
      <w:proofErr w:type="gramStart"/>
      <w:r w:rsidRPr="00CA0DB7">
        <w:rPr>
          <w:rFonts w:ascii="Times New Roman" w:hAnsi="Times New Roman" w:cs="Times New Roman"/>
          <w:sz w:val="20"/>
          <w:szCs w:val="20"/>
        </w:rPr>
        <w:t>a</w:t>
      </w:r>
      <w:proofErr w:type="gramEnd"/>
      <w:r w:rsidRPr="00CA0DB7">
        <w:rPr>
          <w:rFonts w:ascii="Times New Roman" w:hAnsi="Times New Roman" w:cs="Times New Roman"/>
          <w:sz w:val="20"/>
          <w:szCs w:val="20"/>
        </w:rPr>
        <w:t>-  Le Bureau d’Accueil et d’Orientation (BAO)   est chargé de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assurer l’accueil des usagers de la Direction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organiser le système d’information du service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mettre à la disposition des usagers l’information sur les procédures et prestations du service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guider et orienter les usagers vers les structures appropriées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 xml:space="preserve">tenir et exploiter la boîte à suggestion du service. </w:t>
      </w:r>
    </w:p>
    <w:p w:rsidR="004B007E" w:rsidRPr="00CA0DB7" w:rsidRDefault="004B007E" w:rsidP="004B007E">
      <w:pPr>
        <w:spacing w:line="276" w:lineRule="auto"/>
        <w:jc w:val="both"/>
        <w:rPr>
          <w:rFonts w:ascii="Times New Roman" w:hAnsi="Times New Roman" w:cs="Times New Roman"/>
          <w:sz w:val="20"/>
          <w:szCs w:val="20"/>
        </w:rPr>
      </w:pPr>
      <w:r w:rsidRPr="00CA0DB7">
        <w:rPr>
          <w:rFonts w:ascii="Times New Roman" w:hAnsi="Times New Roman" w:cs="Times New Roman"/>
          <w:sz w:val="20"/>
          <w:szCs w:val="20"/>
        </w:rPr>
        <w:t>b-  L’Unité de Planification et de Suivi Evaluation(UP)   est chargée de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élaborer, suivre et évaluer les plans et programmes nationaux de réinsertion et de prise en charge des enfants et en particulier des enfants ayant besoin de mesures spécifiques de protection ;</w:t>
      </w:r>
    </w:p>
    <w:p w:rsidR="004B007E" w:rsidRPr="00CA0DB7" w:rsidRDefault="004B007E" w:rsidP="004B007E">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centraliser et analyser les données sur l’enfant et la famille ;</w:t>
      </w:r>
    </w:p>
    <w:p w:rsidR="00382C8B" w:rsidRPr="00CA0DB7" w:rsidRDefault="004B007E" w:rsidP="00382C8B">
      <w:pPr>
        <w:pStyle w:val="ListParagraph"/>
        <w:numPr>
          <w:ilvl w:val="0"/>
          <w:numId w:val="1"/>
        </w:numPr>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 xml:space="preserve">concevoir un système approprié de suivi évaluation. </w:t>
      </w:r>
    </w:p>
    <w:p w:rsidR="00382C8B" w:rsidRPr="00CA0DB7" w:rsidRDefault="004B007E" w:rsidP="00382C8B">
      <w:pPr>
        <w:pStyle w:val="ListParagraph"/>
        <w:spacing w:line="276" w:lineRule="auto"/>
        <w:jc w:val="both"/>
        <w:rPr>
          <w:rFonts w:eastAsiaTheme="minorHAnsi"/>
          <w:kern w:val="2"/>
          <w:sz w:val="20"/>
          <w:szCs w:val="20"/>
          <w:lang w:eastAsia="en-US"/>
          <w14:ligatures w14:val="standardContextual"/>
        </w:rPr>
      </w:pPr>
      <w:r w:rsidRPr="00CA0DB7">
        <w:rPr>
          <w:rFonts w:eastAsiaTheme="minorHAnsi"/>
          <w:kern w:val="2"/>
          <w:sz w:val="20"/>
          <w:szCs w:val="20"/>
          <w:lang w:eastAsia="en-US"/>
          <w14:ligatures w14:val="standardContextual"/>
        </w:rPr>
        <w:t xml:space="preserve">  </w:t>
      </w:r>
    </w:p>
    <w:p w:rsidR="008F5042" w:rsidRPr="00CA0DB7" w:rsidRDefault="00AD6A82" w:rsidP="00AD6A82">
      <w:pPr>
        <w:pStyle w:val="ListParagraph"/>
        <w:numPr>
          <w:ilvl w:val="0"/>
          <w:numId w:val="3"/>
        </w:numPr>
        <w:spacing w:line="276" w:lineRule="auto"/>
        <w:jc w:val="both"/>
        <w:rPr>
          <w:sz w:val="20"/>
          <w:szCs w:val="20"/>
        </w:rPr>
      </w:pPr>
      <w:r w:rsidRPr="00CA0DB7">
        <w:rPr>
          <w:sz w:val="20"/>
          <w:szCs w:val="20"/>
        </w:rPr>
        <w:t xml:space="preserve">Loi n°2019-014/P-RM du 3 juillet 2019 portant création du programme national pour l’abandon des violences basées sur le </w:t>
      </w:r>
      <w:proofErr w:type="gramStart"/>
      <w:r w:rsidRPr="00CA0DB7">
        <w:rPr>
          <w:sz w:val="20"/>
          <w:szCs w:val="20"/>
        </w:rPr>
        <w:t>genre </w:t>
      </w:r>
      <w:r w:rsidR="0067333E" w:rsidRPr="00CA0DB7">
        <w:rPr>
          <w:sz w:val="20"/>
          <w:szCs w:val="20"/>
        </w:rPr>
        <w:t>.</w:t>
      </w:r>
      <w:proofErr w:type="gramEnd"/>
      <w:r w:rsidR="0067333E" w:rsidRPr="00CA0DB7">
        <w:rPr>
          <w:sz w:val="20"/>
          <w:szCs w:val="20"/>
        </w:rPr>
        <w:t xml:space="preserve"> Ce programme permet d’élaborer et mettre en œuvre des programmes basés sur des évidences pour prévenir et répondre aux violences à l’égard des femmes et filles,  plaide pour la mise en œuvre d’une législation visant à mettre fin aux VBG/pratiques néfastes et pour promouvoir les droits à la santé reproductive (SR) des femmes et des filles.</w:t>
      </w:r>
    </w:p>
    <w:p w:rsidR="00362137" w:rsidRPr="00CA0DB7" w:rsidRDefault="00362137" w:rsidP="00362137">
      <w:pPr>
        <w:pStyle w:val="ListParagraph"/>
        <w:spacing w:line="276" w:lineRule="auto"/>
        <w:jc w:val="both"/>
        <w:rPr>
          <w:rFonts w:eastAsiaTheme="minorHAnsi"/>
          <w:kern w:val="2"/>
          <w:sz w:val="20"/>
          <w:szCs w:val="20"/>
          <w:lang w:eastAsia="en-US"/>
          <w14:ligatures w14:val="standardContextual"/>
        </w:rPr>
      </w:pPr>
    </w:p>
    <w:p w:rsidR="00766599" w:rsidRPr="00CA0DB7" w:rsidRDefault="008F5042" w:rsidP="00AB200B">
      <w:pPr>
        <w:pStyle w:val="ListParagraph"/>
        <w:numPr>
          <w:ilvl w:val="0"/>
          <w:numId w:val="3"/>
        </w:numPr>
        <w:jc w:val="both"/>
        <w:rPr>
          <w:rFonts w:asciiTheme="minorHAnsi" w:hAnsiTheme="minorHAnsi" w:cstheme="minorBidi"/>
          <w:sz w:val="20"/>
          <w:szCs w:val="20"/>
        </w:rPr>
      </w:pPr>
      <w:r w:rsidRPr="00CA0DB7">
        <w:rPr>
          <w:sz w:val="20"/>
          <w:szCs w:val="20"/>
        </w:rPr>
        <w:t>La politique nationale de la promotion de l’enfant et de la famille, adoptée en 2014 et son plan d’actions</w:t>
      </w:r>
      <w:r w:rsidR="00382C8B" w:rsidRPr="00CA0DB7">
        <w:rPr>
          <w:sz w:val="20"/>
          <w:szCs w:val="20"/>
        </w:rPr>
        <w:t>, a pour objectif de créer un</w:t>
      </w:r>
      <w:r w:rsidR="00382C8B" w:rsidRPr="00CA0DB7">
        <w:rPr>
          <w:sz w:val="32"/>
          <w:szCs w:val="32"/>
        </w:rPr>
        <w:t xml:space="preserve"> </w:t>
      </w:r>
      <w:r w:rsidR="00382C8B" w:rsidRPr="00CA0DB7">
        <w:rPr>
          <w:rFonts w:asciiTheme="minorHAnsi" w:hAnsiTheme="minorHAnsi" w:cstheme="minorBidi"/>
          <w:sz w:val="20"/>
          <w:szCs w:val="20"/>
        </w:rPr>
        <w:t>environnement favorable à la promotion et à la protection de l’enfant en bâtissant un consensus national au profit du développement intégré de l’enfant.</w:t>
      </w:r>
    </w:p>
    <w:p w:rsidR="004B007E" w:rsidRPr="00CA0DB7" w:rsidRDefault="00B91820" w:rsidP="00F62E18">
      <w:pPr>
        <w:pStyle w:val="ListParagraph"/>
        <w:numPr>
          <w:ilvl w:val="0"/>
          <w:numId w:val="3"/>
        </w:numPr>
        <w:jc w:val="both"/>
        <w:rPr>
          <w:rFonts w:eastAsiaTheme="minorHAnsi"/>
          <w:sz w:val="20"/>
          <w:szCs w:val="20"/>
        </w:rPr>
      </w:pPr>
      <w:r w:rsidRPr="00CA0DB7">
        <w:rPr>
          <w:rFonts w:eastAsiaTheme="minorHAnsi"/>
          <w:sz w:val="20"/>
          <w:szCs w:val="20"/>
        </w:rPr>
        <w:t>L</w:t>
      </w:r>
      <w:r w:rsidR="00766599" w:rsidRPr="00CA0DB7">
        <w:rPr>
          <w:rFonts w:eastAsiaTheme="minorHAnsi"/>
          <w:sz w:val="20"/>
          <w:szCs w:val="20"/>
        </w:rPr>
        <w:t>a politique nationale de la promotion de la famille, adoptée en 2015 et son plan d’actions</w:t>
      </w:r>
      <w:r w:rsidRPr="00CA0DB7">
        <w:rPr>
          <w:rFonts w:eastAsiaTheme="minorHAnsi"/>
          <w:sz w:val="20"/>
          <w:szCs w:val="20"/>
        </w:rPr>
        <w:t xml:space="preserve">, elle a pour objectif de contribuer </w:t>
      </w:r>
      <w:proofErr w:type="gramStart"/>
      <w:r w:rsidRPr="00CA0DB7">
        <w:rPr>
          <w:rFonts w:eastAsiaTheme="minorHAnsi"/>
          <w:sz w:val="20"/>
          <w:szCs w:val="20"/>
        </w:rPr>
        <w:t xml:space="preserve">aux  </w:t>
      </w:r>
      <w:r w:rsidRPr="00CA0DB7">
        <w:rPr>
          <w:sz w:val="20"/>
          <w:szCs w:val="20"/>
        </w:rPr>
        <w:t>renforcement</w:t>
      </w:r>
      <w:proofErr w:type="gramEnd"/>
      <w:r w:rsidRPr="00CA0DB7">
        <w:rPr>
          <w:rFonts w:eastAsiaTheme="minorHAnsi"/>
          <w:sz w:val="20"/>
          <w:szCs w:val="20"/>
        </w:rPr>
        <w:t xml:space="preserve"> des liens familiaux pour la consolidation de la fonction de la socialisation en vue d’une meilleure participation de la famille à la vie publique et au développement de la société Malienne.</w:t>
      </w:r>
    </w:p>
    <w:p w:rsidR="002F1969" w:rsidRPr="00CA0DB7" w:rsidRDefault="000A7387" w:rsidP="00F62E18">
      <w:pPr>
        <w:pStyle w:val="ListParagraph"/>
        <w:numPr>
          <w:ilvl w:val="0"/>
          <w:numId w:val="3"/>
        </w:numPr>
        <w:jc w:val="both"/>
        <w:rPr>
          <w:rFonts w:eastAsiaTheme="minorHAnsi"/>
          <w:sz w:val="20"/>
          <w:szCs w:val="20"/>
        </w:rPr>
      </w:pPr>
      <w:r w:rsidRPr="00CA0DB7">
        <w:rPr>
          <w:rFonts w:eastAsiaTheme="minorHAnsi"/>
          <w:sz w:val="20"/>
          <w:szCs w:val="20"/>
        </w:rPr>
        <w:t>La politique nationale genre </w:t>
      </w:r>
      <w:r w:rsidR="00362137" w:rsidRPr="00CA0DB7">
        <w:rPr>
          <w:rFonts w:eastAsiaTheme="minorHAnsi"/>
          <w:sz w:val="20"/>
          <w:szCs w:val="20"/>
        </w:rPr>
        <w:t>a pour objectif, d’intensifier l’intégration du genre dans l’élaboration et la mise en œuvre des politiques publiques et l’évaluation de leur impact sur l’égalité femme-homme dans les secteurs les plus porteurs et compte développer la prise en compte de la dimension de l’égalité entre les femmes et les hommes dans le processus budgétaire au niveau national et sectoriel.</w:t>
      </w:r>
    </w:p>
    <w:p w:rsidR="00662BB6" w:rsidRPr="00CA0DB7" w:rsidRDefault="002F1969" w:rsidP="0047338E">
      <w:pPr>
        <w:pStyle w:val="ListParagraph"/>
        <w:numPr>
          <w:ilvl w:val="0"/>
          <w:numId w:val="3"/>
        </w:numPr>
        <w:jc w:val="both"/>
        <w:rPr>
          <w:sz w:val="20"/>
          <w:szCs w:val="20"/>
        </w:rPr>
      </w:pPr>
      <w:r w:rsidRPr="00CA0DB7">
        <w:rPr>
          <w:rFonts w:eastAsiaTheme="minorHAnsi"/>
          <w:sz w:val="20"/>
          <w:szCs w:val="20"/>
        </w:rPr>
        <w:t>La stratégie nationale multisectorielle pour mettre fin au mariage d’enfants</w:t>
      </w:r>
      <w:r w:rsidR="0050779E" w:rsidRPr="00CA0DB7">
        <w:rPr>
          <w:rFonts w:eastAsiaTheme="minorHAnsi"/>
          <w:sz w:val="20"/>
          <w:szCs w:val="20"/>
        </w:rPr>
        <w:t xml:space="preserve"> et son plan d’action 2022-2026</w:t>
      </w:r>
      <w:r w:rsidRPr="00CA0DB7">
        <w:rPr>
          <w:rFonts w:eastAsiaTheme="minorHAnsi"/>
          <w:sz w:val="20"/>
          <w:szCs w:val="20"/>
        </w:rPr>
        <w:t xml:space="preserve"> </w:t>
      </w:r>
      <w:r w:rsidR="0050779E" w:rsidRPr="00CA0DB7">
        <w:rPr>
          <w:rFonts w:eastAsiaTheme="minorHAnsi"/>
          <w:sz w:val="20"/>
          <w:szCs w:val="20"/>
        </w:rPr>
        <w:t>, elle a pour objectif de contribuer de réduire les mariages d’enfants pour améliorer le bien être des filles et des garçons au Mali</w:t>
      </w:r>
    </w:p>
    <w:sectPr w:rsidR="00662BB6" w:rsidRPr="00CA0D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73BBC"/>
    <w:multiLevelType w:val="hybridMultilevel"/>
    <w:tmpl w:val="2272DB7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0A1A6C"/>
    <w:multiLevelType w:val="hybridMultilevel"/>
    <w:tmpl w:val="354C03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F88218B"/>
    <w:multiLevelType w:val="hybridMultilevel"/>
    <w:tmpl w:val="096273E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F827551"/>
    <w:multiLevelType w:val="hybridMultilevel"/>
    <w:tmpl w:val="B4A8422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72E7FA2"/>
    <w:multiLevelType w:val="hybridMultilevel"/>
    <w:tmpl w:val="90105AB4"/>
    <w:lvl w:ilvl="0" w:tplc="00702246">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3"/>
      <w:numFmt w:val="bullet"/>
      <w:lvlText w:val=""/>
      <w:lvlJc w:val="left"/>
      <w:pPr>
        <w:tabs>
          <w:tab w:val="num" w:pos="1440"/>
        </w:tabs>
        <w:ind w:left="1440" w:hanging="360"/>
      </w:pPr>
      <w:rPr>
        <w:rFonts w:ascii="Wingdings" w:hAnsi="Wingdings"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16cid:durableId="1393581652">
    <w:abstractNumId w:val="4"/>
  </w:num>
  <w:num w:numId="2" w16cid:durableId="1307121581">
    <w:abstractNumId w:val="3"/>
  </w:num>
  <w:num w:numId="3" w16cid:durableId="335616286">
    <w:abstractNumId w:val="0"/>
  </w:num>
  <w:num w:numId="4" w16cid:durableId="595751652">
    <w:abstractNumId w:val="2"/>
  </w:num>
  <w:num w:numId="5" w16cid:durableId="290325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E18"/>
    <w:rsid w:val="000A48B1"/>
    <w:rsid w:val="000A7387"/>
    <w:rsid w:val="001B72CB"/>
    <w:rsid w:val="001E373C"/>
    <w:rsid w:val="00273BF9"/>
    <w:rsid w:val="002F1969"/>
    <w:rsid w:val="00301BA4"/>
    <w:rsid w:val="00362137"/>
    <w:rsid w:val="003749D8"/>
    <w:rsid w:val="00382C8B"/>
    <w:rsid w:val="00402C24"/>
    <w:rsid w:val="0040510D"/>
    <w:rsid w:val="0047338E"/>
    <w:rsid w:val="004B007E"/>
    <w:rsid w:val="0050779E"/>
    <w:rsid w:val="005809C5"/>
    <w:rsid w:val="005C3913"/>
    <w:rsid w:val="005C5A2D"/>
    <w:rsid w:val="005E2B2C"/>
    <w:rsid w:val="00650C66"/>
    <w:rsid w:val="00662BB6"/>
    <w:rsid w:val="0067333E"/>
    <w:rsid w:val="00766599"/>
    <w:rsid w:val="00845C4C"/>
    <w:rsid w:val="00894F11"/>
    <w:rsid w:val="008F5042"/>
    <w:rsid w:val="00974332"/>
    <w:rsid w:val="00991313"/>
    <w:rsid w:val="009C2942"/>
    <w:rsid w:val="00A874E3"/>
    <w:rsid w:val="00AB200B"/>
    <w:rsid w:val="00AD6A82"/>
    <w:rsid w:val="00B16196"/>
    <w:rsid w:val="00B73172"/>
    <w:rsid w:val="00B91820"/>
    <w:rsid w:val="00BE5C4E"/>
    <w:rsid w:val="00CA0DB7"/>
    <w:rsid w:val="00CC0448"/>
    <w:rsid w:val="00D81776"/>
    <w:rsid w:val="00E4107E"/>
    <w:rsid w:val="00F31708"/>
    <w:rsid w:val="00F62E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7FE2"/>
  <w15:chartTrackingRefBased/>
  <w15:docId w15:val="{944C103A-EF98-4FC5-85F1-65D63501D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E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07E"/>
    <w:pPr>
      <w:spacing w:after="0" w:line="240" w:lineRule="auto"/>
      <w:ind w:left="720"/>
      <w:contextualSpacing/>
    </w:pPr>
    <w:rPr>
      <w:rFonts w:ascii="Times New Roman" w:eastAsia="Times New Roman" w:hAnsi="Times New Roman" w:cs="Times New Roman"/>
      <w:kern w:val="0"/>
      <w:sz w:val="24"/>
      <w:szCs w:val="24"/>
      <w:lang w:eastAsia="fr-FR"/>
      <w14:ligatures w14:val="none"/>
    </w:rPr>
  </w:style>
  <w:style w:type="paragraph" w:styleId="BalloonText">
    <w:name w:val="Balloon Text"/>
    <w:basedOn w:val="Normal"/>
    <w:link w:val="BalloonTextChar"/>
    <w:uiPriority w:val="99"/>
    <w:semiHidden/>
    <w:unhideWhenUsed/>
    <w:rsid w:val="005C39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9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845</Words>
  <Characters>4407</Characters>
  <Application>Microsoft Office Word</Application>
  <DocSecurity>0</DocSecurity>
  <Lines>95</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22376170143</dc:creator>
  <cp:keywords/>
  <dc:description/>
  <cp:lastModifiedBy>James Boit</cp:lastModifiedBy>
  <cp:revision>1</cp:revision>
  <cp:lastPrinted>2024-03-05T10:19:00Z</cp:lastPrinted>
  <dcterms:created xsi:type="dcterms:W3CDTF">2024-03-07T17:13:00Z</dcterms:created>
  <dcterms:modified xsi:type="dcterms:W3CDTF">2024-03-07T17:13:00Z</dcterms:modified>
</cp:coreProperties>
</file>