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B49" w:rsidRPr="00FF7AA8" w:rsidRDefault="009D7B49" w:rsidP="00C175E8">
      <w:pPr>
        <w:pStyle w:val="NoSpacing"/>
        <w:jc w:val="both"/>
        <w:rPr>
          <w:b/>
          <w:u w:val="single"/>
          <w:lang w:val="mt-MT"/>
        </w:rPr>
      </w:pPr>
      <w:r w:rsidRPr="00FF7AA8">
        <w:rPr>
          <w:b/>
          <w:u w:val="single"/>
          <w:lang w:val="mt-MT"/>
        </w:rPr>
        <w:t>UN Human Rights Committee – 112th Session</w:t>
      </w:r>
    </w:p>
    <w:p w:rsidR="009D7B49" w:rsidRPr="00FF7AA8" w:rsidRDefault="009D7B49" w:rsidP="00C175E8">
      <w:pPr>
        <w:pStyle w:val="NoSpacing"/>
        <w:jc w:val="both"/>
        <w:rPr>
          <w:lang w:val="mt-MT"/>
        </w:rPr>
      </w:pPr>
    </w:p>
    <w:p w:rsidR="009D7B49" w:rsidRPr="00FF7AA8" w:rsidRDefault="00FF7AA8" w:rsidP="00C175E8">
      <w:pPr>
        <w:pStyle w:val="NoSpacing"/>
        <w:jc w:val="both"/>
        <w:rPr>
          <w:rFonts w:cs="Arial"/>
          <w:b/>
          <w:u w:val="single"/>
        </w:rPr>
      </w:pPr>
      <w:r w:rsidRPr="00FF7AA8">
        <w:rPr>
          <w:rFonts w:cs="Arial"/>
          <w:b/>
          <w:u w:val="single"/>
        </w:rPr>
        <w:t>Additional responses following Malta’s appearance before the Human Rights Committee, October 13 – 14, 2014</w:t>
      </w:r>
    </w:p>
    <w:p w:rsidR="00FF7AA8" w:rsidRPr="00FF7AA8" w:rsidRDefault="00FF7AA8" w:rsidP="00C175E8">
      <w:pPr>
        <w:pStyle w:val="NoSpacing"/>
        <w:jc w:val="both"/>
        <w:rPr>
          <w:lang w:val="mt-MT"/>
        </w:rPr>
      </w:pPr>
    </w:p>
    <w:p w:rsidR="00C6113F" w:rsidRPr="00FF7AA8" w:rsidRDefault="00C175E8" w:rsidP="00C175E8">
      <w:pPr>
        <w:jc w:val="both"/>
        <w:rPr>
          <w:rFonts w:asciiTheme="minorHAnsi" w:hAnsiTheme="minorHAnsi"/>
        </w:rPr>
      </w:pPr>
      <w:r w:rsidRPr="00FF7AA8">
        <w:rPr>
          <w:rFonts w:asciiTheme="minorHAnsi" w:hAnsiTheme="minorHAnsi"/>
          <w:b/>
          <w:lang w:val="mt-MT"/>
        </w:rPr>
        <w:t>Access to a Lawyer during interrogation</w:t>
      </w:r>
    </w:p>
    <w:p w:rsidR="00C175E8" w:rsidRPr="00FF7AA8" w:rsidRDefault="00C175E8" w:rsidP="00C175E8">
      <w:pPr>
        <w:pStyle w:val="NoSpacing"/>
        <w:jc w:val="both"/>
        <w:rPr>
          <w:lang w:val="mt-MT"/>
        </w:rPr>
      </w:pPr>
      <w:r w:rsidRPr="00FF7AA8">
        <w:rPr>
          <w:lang w:val="mt-MT"/>
        </w:rPr>
        <w:t xml:space="preserve">As the law stands today, in Malta any person arrested or held in Police custody at a Police Station or place of (temporary) detention has the right to consult with a legal representative (Lawyer or Legal Procurator) of his/her choice either in person or via telephone, for a maximum period of one hour. When a person is arrested or otherwise held in temporary custody, he/she is informed with, </w:t>
      </w:r>
      <w:r w:rsidRPr="00FF7AA8">
        <w:rPr>
          <w:i/>
          <w:lang w:val="mt-MT"/>
        </w:rPr>
        <w:t xml:space="preserve">inter alia, </w:t>
      </w:r>
      <w:r w:rsidRPr="00FF7AA8">
        <w:rPr>
          <w:lang w:val="mt-MT"/>
        </w:rPr>
        <w:t xml:space="preserve">this right as early as practical and </w:t>
      </w:r>
      <w:r w:rsidRPr="00FF7AA8">
        <w:rPr>
          <w:u w:val="single"/>
          <w:lang w:val="mt-MT"/>
        </w:rPr>
        <w:t>before</w:t>
      </w:r>
      <w:r w:rsidRPr="00FF7AA8">
        <w:rPr>
          <w:lang w:val="mt-MT"/>
        </w:rPr>
        <w:t xml:space="preserve"> being questioned. Once the person makes a request to this effect, his/her request is met immediately, save in four (4) exceptional circumstances where granting access immediately might prejudice an ongoing investigation. It is not </w:t>
      </w:r>
      <w:r w:rsidRPr="00FF7AA8">
        <w:rPr>
          <w:i/>
          <w:lang w:val="mt-MT"/>
        </w:rPr>
        <w:t xml:space="preserve">any </w:t>
      </w:r>
      <w:r w:rsidRPr="00FF7AA8">
        <w:rPr>
          <w:lang w:val="mt-MT"/>
        </w:rPr>
        <w:t xml:space="preserve">prejudice to an investigation which can justify a delay, but the law mentions four (4) specific instances – i.e. where the immediate exercise of this right will lead to interference with or harm to evidence connected with the offence or physical injury to other persons; or will lead to the alerting of other persons suspected of having committed such an offence but not yet arrested; or will hinder the recovery of any property obtained as a result of such an offence; or (in cases relating to drug trafficking, bribery, or money laundering) will hinder the recovery of the proceeds of the crime. It has to be pointed out that not </w:t>
      </w:r>
      <w:r w:rsidRPr="00FF7AA8">
        <w:rPr>
          <w:i/>
          <w:lang w:val="mt-MT"/>
        </w:rPr>
        <w:t>any</w:t>
      </w:r>
      <w:r w:rsidRPr="00FF7AA8">
        <w:rPr>
          <w:lang w:val="mt-MT"/>
        </w:rPr>
        <w:t xml:space="preserve"> Police Officer may authorise such a delay, but only an Officer in the rank of Superintendent or higher. Moreover this delay can in no case exceed thirty-six (36) hours.</w:t>
      </w:r>
    </w:p>
    <w:p w:rsidR="00C175E8" w:rsidRPr="00FF7AA8" w:rsidRDefault="00C175E8" w:rsidP="00C175E8">
      <w:pPr>
        <w:pStyle w:val="NoSpacing"/>
        <w:jc w:val="both"/>
        <w:rPr>
          <w:lang w:val="mt-MT"/>
        </w:rPr>
      </w:pPr>
    </w:p>
    <w:p w:rsidR="009D7B49" w:rsidRPr="00FF7AA8" w:rsidRDefault="00C175E8" w:rsidP="00C175E8">
      <w:pPr>
        <w:jc w:val="both"/>
        <w:rPr>
          <w:rFonts w:asciiTheme="minorHAnsi" w:hAnsiTheme="minorHAnsi"/>
          <w:lang w:val="mt-MT"/>
        </w:rPr>
      </w:pPr>
      <w:r w:rsidRPr="00FF7AA8">
        <w:rPr>
          <w:rFonts w:asciiTheme="minorHAnsi" w:hAnsiTheme="minorHAnsi"/>
          <w:lang w:val="mt-MT"/>
        </w:rPr>
        <w:t xml:space="preserve">It can be confirmed that currently a Bill is being drafted to amend the Criminal Code, which Bill comprises the transposition of the Directive of the European Parliament and of the Council on the Right of Access to a Lawyer in Criminal Proceedings and in European Arrest Warrant Proceedings, and on the Right to have a Third Party Informed upon Deprivation of Liberty and to Communicate with Third Persons and with Consular Authorities while derived of Liberty. This Bill will be brought before Parliament in the coming weeks. Consequently, the right of access to a lawyer shall be extended significantly. It shall not only be limited to consultation </w:t>
      </w:r>
      <w:r w:rsidRPr="00FF7AA8">
        <w:rPr>
          <w:rFonts w:asciiTheme="minorHAnsi" w:hAnsiTheme="minorHAnsi"/>
          <w:i/>
          <w:lang w:val="mt-MT"/>
        </w:rPr>
        <w:t>prior</w:t>
      </w:r>
      <w:r w:rsidRPr="00FF7AA8">
        <w:rPr>
          <w:rFonts w:asciiTheme="minorHAnsi" w:hAnsiTheme="minorHAnsi"/>
          <w:lang w:val="mt-MT"/>
        </w:rPr>
        <w:t xml:space="preserve"> to questioning, as the law stands today, but also to consultation </w:t>
      </w:r>
      <w:r w:rsidRPr="00FF7AA8">
        <w:rPr>
          <w:rFonts w:asciiTheme="minorHAnsi" w:hAnsiTheme="minorHAnsi"/>
          <w:i/>
          <w:lang w:val="mt-MT"/>
        </w:rPr>
        <w:t>during</w:t>
      </w:r>
      <w:r w:rsidRPr="00FF7AA8">
        <w:rPr>
          <w:rFonts w:asciiTheme="minorHAnsi" w:hAnsiTheme="minorHAnsi"/>
          <w:lang w:val="mt-MT"/>
        </w:rPr>
        <w:t xml:space="preserve"> questioning, whereby the person arrested/held in Police custody will have the right to have a legal representative of his/her choice not only present during questioning, identity parades, confrontations, and reconstructions of the scene of the crime (where applicable), but moreover with the faculty of effective participation in the questioning. In terms of the said Directive, these rights can only be limited on the basis of one of the following compelling reasons: where there is an urgent need to avert serious adverse consequences for the life, liberty or physical integrity of a person; or where immediate action by the investigating authorities is imperative to prevent substantial jeopardy to criminal proceedings.</w:t>
      </w:r>
    </w:p>
    <w:p w:rsidR="00A80FF5" w:rsidRDefault="00A80FF5" w:rsidP="00A80FF5">
      <w:pPr>
        <w:spacing w:after="200" w:line="276" w:lineRule="auto"/>
        <w:rPr>
          <w:rFonts w:asciiTheme="minorHAnsi" w:hAnsiTheme="minorHAnsi"/>
          <w:b/>
          <w:lang w:val="mt-MT"/>
        </w:rPr>
      </w:pPr>
    </w:p>
    <w:p w:rsidR="00C175E8" w:rsidRPr="00FF7AA8" w:rsidRDefault="00C175E8" w:rsidP="00A80FF5">
      <w:pPr>
        <w:spacing w:after="200" w:line="276" w:lineRule="auto"/>
        <w:rPr>
          <w:rFonts w:asciiTheme="minorHAnsi" w:hAnsiTheme="minorHAnsi"/>
          <w:b/>
          <w:lang w:val="mt-MT"/>
        </w:rPr>
      </w:pPr>
      <w:r w:rsidRPr="00FF7AA8">
        <w:rPr>
          <w:rFonts w:asciiTheme="minorHAnsi" w:hAnsiTheme="minorHAnsi"/>
          <w:b/>
          <w:lang w:val="mt-MT"/>
        </w:rPr>
        <w:t>Vilification of Religion</w:t>
      </w:r>
    </w:p>
    <w:p w:rsidR="00C175E8" w:rsidRPr="00FF7AA8" w:rsidRDefault="00C175E8" w:rsidP="00C175E8">
      <w:pPr>
        <w:pStyle w:val="NoSpacing"/>
        <w:jc w:val="both"/>
        <w:rPr>
          <w:lang w:val="mt-MT"/>
        </w:rPr>
      </w:pPr>
      <w:r w:rsidRPr="00FF7AA8">
        <w:rPr>
          <w:lang w:val="mt-MT"/>
        </w:rPr>
        <w:t xml:space="preserve">Whilst the Constitution of Malta declares that the official religion of Malta is the Roman Catholic Apostolic Religion (Art. 2), it fully protects freedom of conscience and worship. Article 40 of the Constitution clearly and unequivocally grants every person in Malta (be he/she Maltese or foreign, whatever his/her nationality or origin) not only full freedom of conscience, but also freedom to exercise his/her respective mode of religious worship. Whilst </w:t>
      </w:r>
      <w:r w:rsidRPr="00FF7AA8">
        <w:rPr>
          <w:i/>
          <w:lang w:val="mt-MT"/>
        </w:rPr>
        <w:t>criticism</w:t>
      </w:r>
      <w:r w:rsidRPr="00FF7AA8">
        <w:rPr>
          <w:lang w:val="mt-MT"/>
        </w:rPr>
        <w:t xml:space="preserve"> of </w:t>
      </w:r>
      <w:r w:rsidRPr="00FF7AA8">
        <w:rPr>
          <w:i/>
          <w:lang w:val="mt-MT"/>
        </w:rPr>
        <w:t>any</w:t>
      </w:r>
      <w:r w:rsidRPr="00FF7AA8">
        <w:rPr>
          <w:lang w:val="mt-MT"/>
        </w:rPr>
        <w:t xml:space="preserve"> religion is fully permissible in Malta, in line with freedom of expression, the </w:t>
      </w:r>
      <w:r w:rsidRPr="00FF7AA8">
        <w:rPr>
          <w:i/>
          <w:lang w:val="mt-MT"/>
        </w:rPr>
        <w:t xml:space="preserve">vilification </w:t>
      </w:r>
      <w:r w:rsidRPr="00FF7AA8">
        <w:rPr>
          <w:lang w:val="mt-MT"/>
        </w:rPr>
        <w:t xml:space="preserve">of </w:t>
      </w:r>
      <w:r w:rsidRPr="00FF7AA8">
        <w:rPr>
          <w:i/>
          <w:lang w:val="mt-MT"/>
        </w:rPr>
        <w:t xml:space="preserve">any </w:t>
      </w:r>
      <w:r w:rsidRPr="00FF7AA8">
        <w:rPr>
          <w:lang w:val="mt-MT"/>
        </w:rPr>
        <w:t xml:space="preserve">religion is a criminal offence. The Criminal Code contains a part entitled: </w:t>
      </w:r>
      <w:r w:rsidRPr="00FF7AA8">
        <w:rPr>
          <w:i/>
          <w:lang w:val="mt-MT"/>
        </w:rPr>
        <w:t xml:space="preserve">“Of Crimes against the Religious Sentiment” </w:t>
      </w:r>
      <w:r w:rsidRPr="00FF7AA8">
        <w:rPr>
          <w:lang w:val="mt-MT"/>
        </w:rPr>
        <w:t>(sections 163-165) and renders a criminal offence the vilification of any religion and/or the obstruction of the performance of any function, ceremony or religious service of the Roman Catholic Apostolic Religion or of any other religion tolerated by law.</w:t>
      </w:r>
    </w:p>
    <w:p w:rsidR="00C175E8" w:rsidRPr="00FF7AA8" w:rsidRDefault="00C175E8" w:rsidP="00C175E8">
      <w:pPr>
        <w:pStyle w:val="NoSpacing"/>
        <w:jc w:val="both"/>
        <w:rPr>
          <w:lang w:val="mt-MT"/>
        </w:rPr>
      </w:pPr>
    </w:p>
    <w:p w:rsidR="00C175E8" w:rsidRPr="00FF7AA8" w:rsidRDefault="00C175E8" w:rsidP="00C175E8">
      <w:pPr>
        <w:jc w:val="both"/>
        <w:rPr>
          <w:rFonts w:asciiTheme="minorHAnsi" w:hAnsiTheme="minorHAnsi"/>
        </w:rPr>
      </w:pPr>
      <w:r w:rsidRPr="00FF7AA8">
        <w:rPr>
          <w:rFonts w:asciiTheme="minorHAnsi" w:hAnsiTheme="minorHAnsi"/>
          <w:lang w:val="mt-MT"/>
        </w:rPr>
        <w:lastRenderedPageBreak/>
        <w:t xml:space="preserve">Diverse religious views and open criticism of </w:t>
      </w:r>
      <w:r w:rsidRPr="00FF7AA8">
        <w:rPr>
          <w:rFonts w:asciiTheme="minorHAnsi" w:hAnsiTheme="minorHAnsi"/>
          <w:i/>
          <w:lang w:val="mt-MT"/>
        </w:rPr>
        <w:t xml:space="preserve">any </w:t>
      </w:r>
      <w:r w:rsidRPr="00FF7AA8">
        <w:rPr>
          <w:rFonts w:asciiTheme="minorHAnsi" w:hAnsiTheme="minorHAnsi"/>
          <w:lang w:val="mt-MT"/>
        </w:rPr>
        <w:t xml:space="preserve">religion in Malta is widely accepted and only in exceptional circumstances – i.e. where one not merely  </w:t>
      </w:r>
      <w:r w:rsidRPr="00FF7AA8">
        <w:rPr>
          <w:rFonts w:asciiTheme="minorHAnsi" w:hAnsiTheme="minorHAnsi"/>
          <w:i/>
          <w:lang w:val="mt-MT"/>
        </w:rPr>
        <w:t xml:space="preserve">criticises religion </w:t>
      </w:r>
      <w:r w:rsidRPr="00FF7AA8">
        <w:rPr>
          <w:rFonts w:asciiTheme="minorHAnsi" w:hAnsiTheme="minorHAnsi"/>
          <w:lang w:val="mt-MT"/>
        </w:rPr>
        <w:t xml:space="preserve">but </w:t>
      </w:r>
      <w:r w:rsidRPr="00FF7AA8">
        <w:rPr>
          <w:rFonts w:asciiTheme="minorHAnsi" w:hAnsiTheme="minorHAnsi"/>
          <w:i/>
          <w:lang w:val="mt-MT"/>
        </w:rPr>
        <w:t xml:space="preserve">vilifies </w:t>
      </w:r>
      <w:r w:rsidRPr="00FF7AA8">
        <w:rPr>
          <w:rFonts w:asciiTheme="minorHAnsi" w:hAnsiTheme="minorHAnsi"/>
          <w:lang w:val="mt-MT"/>
        </w:rPr>
        <w:t>and hence deliberately offends another person’s freedom of worship that criminal action is taken. In fact, in recent years there have been very few arraignments relating to vilification of religion. In one of such cases, decided by the Court of Criminal Appeal on the 23rd October 2009, six youngsters who indulged in Carnival celebrations dressed up as nuns were acquitted of vilifying the Roman Catholic Religion. More recently, i.e. on the 24th August 2014</w:t>
      </w:r>
      <w:r w:rsidRPr="00FF7AA8">
        <w:rPr>
          <w:rStyle w:val="FootnoteReference"/>
          <w:rFonts w:asciiTheme="minorHAnsi" w:hAnsiTheme="minorHAnsi"/>
          <w:lang w:val="mt-MT"/>
        </w:rPr>
        <w:footnoteReference w:id="1"/>
      </w:r>
      <w:r w:rsidRPr="00FF7AA8">
        <w:rPr>
          <w:rFonts w:asciiTheme="minorHAnsi" w:hAnsiTheme="minorHAnsi"/>
          <w:lang w:val="mt-MT"/>
        </w:rPr>
        <w:t xml:space="preserve">, a young woman who, while intoxicated, disturbed a religious function (a procession) and who pleaded guilty to, </w:t>
      </w:r>
      <w:r w:rsidRPr="00FF7AA8">
        <w:rPr>
          <w:rFonts w:asciiTheme="minorHAnsi" w:hAnsiTheme="minorHAnsi"/>
          <w:i/>
          <w:lang w:val="mt-MT"/>
        </w:rPr>
        <w:t xml:space="preserve">inter alia </w:t>
      </w:r>
      <w:r w:rsidRPr="00FF7AA8">
        <w:rPr>
          <w:rFonts w:asciiTheme="minorHAnsi" w:hAnsiTheme="minorHAnsi"/>
          <w:lang w:val="mt-MT"/>
        </w:rPr>
        <w:t>impeding or disturbing the performance of any function, ceremony, or religious service (in terms of Article 165 of the Criminal Code) was conditionally discharged for this criminal charge.</w:t>
      </w:r>
    </w:p>
    <w:p w:rsidR="009D7B49" w:rsidRPr="00FF7AA8" w:rsidRDefault="009D7B49" w:rsidP="00C175E8">
      <w:pPr>
        <w:jc w:val="both"/>
        <w:rPr>
          <w:rFonts w:asciiTheme="minorHAnsi" w:hAnsiTheme="minorHAnsi"/>
        </w:rPr>
      </w:pPr>
    </w:p>
    <w:p w:rsidR="009D7B49" w:rsidRPr="00FF7AA8" w:rsidRDefault="009D7B49" w:rsidP="00C175E8">
      <w:pPr>
        <w:jc w:val="both"/>
        <w:rPr>
          <w:rFonts w:asciiTheme="minorHAnsi" w:hAnsiTheme="minorHAnsi"/>
        </w:rPr>
      </w:pPr>
    </w:p>
    <w:tbl>
      <w:tblPr>
        <w:tblW w:w="9660" w:type="dxa"/>
        <w:tblInd w:w="-15" w:type="dxa"/>
        <w:tblCellMar>
          <w:left w:w="0" w:type="dxa"/>
          <w:right w:w="0" w:type="dxa"/>
        </w:tblCellMar>
        <w:tblLook w:val="04A0"/>
      </w:tblPr>
      <w:tblGrid>
        <w:gridCol w:w="2683"/>
        <w:gridCol w:w="1162"/>
        <w:gridCol w:w="1163"/>
        <w:gridCol w:w="1163"/>
        <w:gridCol w:w="1163"/>
        <w:gridCol w:w="1163"/>
        <w:gridCol w:w="1163"/>
      </w:tblGrid>
      <w:tr w:rsidR="009D7B49" w:rsidRPr="00FF7AA8" w:rsidTr="009D7B49">
        <w:trPr>
          <w:trHeight w:val="300"/>
        </w:trPr>
        <w:tc>
          <w:tcPr>
            <w:tcW w:w="3845" w:type="dxa"/>
            <w:gridSpan w:val="2"/>
            <w:shd w:val="clear" w:color="auto" w:fill="FFFFFF"/>
            <w:noWrap/>
            <w:tcMar>
              <w:top w:w="0" w:type="dxa"/>
              <w:left w:w="108" w:type="dxa"/>
              <w:bottom w:w="0" w:type="dxa"/>
              <w:right w:w="108" w:type="dxa"/>
            </w:tcMar>
            <w:vAlign w:val="bottom"/>
            <w:hideMark/>
          </w:tcPr>
          <w:p w:rsidR="009D7B49" w:rsidRPr="00FF7AA8" w:rsidRDefault="00C175E8" w:rsidP="00C175E8">
            <w:pPr>
              <w:jc w:val="both"/>
              <w:rPr>
                <w:rFonts w:asciiTheme="minorHAnsi" w:hAnsiTheme="minorHAnsi"/>
                <w:b/>
                <w:bCs/>
                <w:color w:val="000000"/>
              </w:rPr>
            </w:pPr>
            <w:r w:rsidRPr="00FF7AA8">
              <w:rPr>
                <w:rFonts w:asciiTheme="minorHAnsi" w:hAnsiTheme="minorHAnsi"/>
              </w:rPr>
              <w:br w:type="page"/>
            </w:r>
            <w:r w:rsidR="009D7B49" w:rsidRPr="00FF7AA8">
              <w:rPr>
                <w:rFonts w:asciiTheme="minorHAnsi" w:hAnsiTheme="minorHAnsi"/>
                <w:b/>
                <w:bCs/>
                <w:color w:val="000000"/>
              </w:rPr>
              <w:t>Human Trafficking in Malta</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r>
      <w:tr w:rsidR="009D7B49" w:rsidRPr="00FF7AA8" w:rsidTr="009D7B49">
        <w:trPr>
          <w:trHeight w:val="300"/>
        </w:trPr>
        <w:tc>
          <w:tcPr>
            <w:tcW w:w="268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2"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r>
      <w:tr w:rsidR="009D7B49" w:rsidRPr="00FF7AA8" w:rsidTr="009D7B49">
        <w:trPr>
          <w:trHeight w:val="300"/>
        </w:trPr>
        <w:tc>
          <w:tcPr>
            <w:tcW w:w="2683"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b/>
                <w:bCs/>
                <w:color w:val="000000"/>
              </w:rPr>
            </w:pPr>
            <w:r w:rsidRPr="00FF7AA8">
              <w:rPr>
                <w:rFonts w:asciiTheme="minorHAnsi" w:hAnsiTheme="minorHAnsi"/>
                <w:b/>
                <w:bCs/>
                <w:color w:val="000000"/>
              </w:rPr>
              <w:t>Year</w:t>
            </w:r>
          </w:p>
        </w:tc>
        <w:tc>
          <w:tcPr>
            <w:tcW w:w="1162"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b/>
                <w:bCs/>
                <w:color w:val="000000"/>
              </w:rPr>
            </w:pPr>
            <w:r w:rsidRPr="00FF7AA8">
              <w:rPr>
                <w:rFonts w:asciiTheme="minorHAnsi" w:hAnsiTheme="minorHAnsi"/>
                <w:b/>
                <w:bCs/>
                <w:color w:val="000000"/>
              </w:rPr>
              <w:t>2009</w:t>
            </w:r>
          </w:p>
        </w:tc>
        <w:tc>
          <w:tcPr>
            <w:tcW w:w="1163"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b/>
                <w:bCs/>
                <w:color w:val="000000"/>
              </w:rPr>
            </w:pPr>
            <w:r w:rsidRPr="00FF7AA8">
              <w:rPr>
                <w:rFonts w:asciiTheme="minorHAnsi" w:hAnsiTheme="minorHAnsi"/>
                <w:b/>
                <w:bCs/>
                <w:color w:val="000000"/>
              </w:rPr>
              <w:t>2010</w:t>
            </w:r>
          </w:p>
        </w:tc>
        <w:tc>
          <w:tcPr>
            <w:tcW w:w="1163"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b/>
                <w:bCs/>
                <w:color w:val="000000"/>
              </w:rPr>
            </w:pPr>
            <w:r w:rsidRPr="00FF7AA8">
              <w:rPr>
                <w:rFonts w:asciiTheme="minorHAnsi" w:hAnsiTheme="minorHAnsi"/>
                <w:b/>
                <w:bCs/>
                <w:color w:val="000000"/>
              </w:rPr>
              <w:t>2011</w:t>
            </w:r>
          </w:p>
        </w:tc>
        <w:tc>
          <w:tcPr>
            <w:tcW w:w="1163"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b/>
                <w:bCs/>
                <w:color w:val="000000"/>
              </w:rPr>
            </w:pPr>
            <w:r w:rsidRPr="00FF7AA8">
              <w:rPr>
                <w:rFonts w:asciiTheme="minorHAnsi" w:hAnsiTheme="minorHAnsi"/>
                <w:b/>
                <w:bCs/>
                <w:color w:val="000000"/>
              </w:rPr>
              <w:t>2012</w:t>
            </w:r>
          </w:p>
        </w:tc>
        <w:tc>
          <w:tcPr>
            <w:tcW w:w="1163"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b/>
                <w:bCs/>
                <w:color w:val="000000"/>
              </w:rPr>
            </w:pPr>
            <w:r w:rsidRPr="00FF7AA8">
              <w:rPr>
                <w:rFonts w:asciiTheme="minorHAnsi" w:hAnsiTheme="minorHAnsi"/>
                <w:b/>
                <w:bCs/>
                <w:color w:val="000000"/>
              </w:rPr>
              <w:t>2013</w:t>
            </w:r>
          </w:p>
        </w:tc>
        <w:tc>
          <w:tcPr>
            <w:tcW w:w="1163"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b/>
                <w:bCs/>
                <w:color w:val="000000"/>
              </w:rPr>
            </w:pPr>
            <w:r w:rsidRPr="00FF7AA8">
              <w:rPr>
                <w:rFonts w:asciiTheme="minorHAnsi" w:hAnsiTheme="minorHAnsi"/>
                <w:b/>
                <w:bCs/>
                <w:color w:val="000000"/>
              </w:rPr>
              <w:t>2014</w:t>
            </w:r>
          </w:p>
        </w:tc>
      </w:tr>
      <w:tr w:rsidR="009D7B49" w:rsidRPr="00FF7AA8" w:rsidTr="009D7B49">
        <w:trPr>
          <w:trHeight w:val="300"/>
        </w:trPr>
        <w:tc>
          <w:tcPr>
            <w:tcW w:w="26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b/>
                <w:bCs/>
                <w:color w:val="000000"/>
              </w:rPr>
            </w:pPr>
            <w:r w:rsidRPr="00FF7AA8">
              <w:rPr>
                <w:rFonts w:asciiTheme="minorHAnsi" w:hAnsiTheme="minorHAnsi"/>
                <w:b/>
                <w:bCs/>
                <w:color w:val="000000"/>
              </w:rPr>
              <w:t>No of Victims</w:t>
            </w:r>
          </w:p>
        </w:tc>
        <w:tc>
          <w:tcPr>
            <w:tcW w:w="1162"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0</w:t>
            </w:r>
          </w:p>
        </w:tc>
        <w:tc>
          <w:tcPr>
            <w:tcW w:w="116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0</w:t>
            </w:r>
          </w:p>
        </w:tc>
        <w:tc>
          <w:tcPr>
            <w:tcW w:w="116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3</w:t>
            </w:r>
          </w:p>
        </w:tc>
        <w:tc>
          <w:tcPr>
            <w:tcW w:w="116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3</w:t>
            </w:r>
          </w:p>
        </w:tc>
        <w:tc>
          <w:tcPr>
            <w:tcW w:w="116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7</w:t>
            </w:r>
          </w:p>
        </w:tc>
        <w:tc>
          <w:tcPr>
            <w:tcW w:w="116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10</w:t>
            </w:r>
          </w:p>
        </w:tc>
      </w:tr>
      <w:tr w:rsidR="009D7B49" w:rsidRPr="00FF7AA8" w:rsidTr="009D7B49">
        <w:trPr>
          <w:trHeight w:val="300"/>
        </w:trPr>
        <w:tc>
          <w:tcPr>
            <w:tcW w:w="2683"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b/>
                <w:bCs/>
                <w:color w:val="000000"/>
              </w:rPr>
            </w:pPr>
            <w:r w:rsidRPr="00FF7AA8">
              <w:rPr>
                <w:rFonts w:asciiTheme="minorHAnsi" w:hAnsiTheme="minorHAnsi"/>
                <w:b/>
                <w:bCs/>
                <w:color w:val="000000"/>
              </w:rPr>
              <w:t>No of Arraignments</w:t>
            </w:r>
          </w:p>
        </w:tc>
        <w:tc>
          <w:tcPr>
            <w:tcW w:w="1162"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0</w:t>
            </w:r>
          </w:p>
        </w:tc>
        <w:tc>
          <w:tcPr>
            <w:tcW w:w="116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0</w:t>
            </w:r>
          </w:p>
        </w:tc>
        <w:tc>
          <w:tcPr>
            <w:tcW w:w="116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4</w:t>
            </w:r>
          </w:p>
        </w:tc>
        <w:tc>
          <w:tcPr>
            <w:tcW w:w="116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1</w:t>
            </w:r>
          </w:p>
        </w:tc>
        <w:tc>
          <w:tcPr>
            <w:tcW w:w="116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5</w:t>
            </w:r>
          </w:p>
        </w:tc>
        <w:tc>
          <w:tcPr>
            <w:tcW w:w="1163"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3</w:t>
            </w:r>
          </w:p>
        </w:tc>
      </w:tr>
      <w:tr w:rsidR="009D7B49" w:rsidRPr="00FF7AA8" w:rsidTr="009D7B49">
        <w:trPr>
          <w:trHeight w:val="300"/>
        </w:trPr>
        <w:tc>
          <w:tcPr>
            <w:tcW w:w="268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2"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c>
          <w:tcPr>
            <w:tcW w:w="1163" w:type="dxa"/>
            <w:shd w:val="clear" w:color="auto" w:fill="FFFFFF"/>
            <w:noWrap/>
            <w:tcMar>
              <w:top w:w="0" w:type="dxa"/>
              <w:left w:w="108" w:type="dxa"/>
              <w:bottom w:w="0" w:type="dxa"/>
              <w:right w:w="108" w:type="dxa"/>
            </w:tcMar>
            <w:vAlign w:val="bottom"/>
            <w:hideMark/>
          </w:tcPr>
          <w:p w:rsidR="009D7B49" w:rsidRPr="00FF7AA8" w:rsidRDefault="009D7B49" w:rsidP="00C175E8">
            <w:pPr>
              <w:jc w:val="both"/>
              <w:rPr>
                <w:rFonts w:asciiTheme="minorHAnsi" w:hAnsiTheme="minorHAnsi"/>
                <w:color w:val="000000"/>
              </w:rPr>
            </w:pPr>
            <w:r w:rsidRPr="00FF7AA8">
              <w:rPr>
                <w:rFonts w:asciiTheme="minorHAnsi" w:hAnsiTheme="minorHAnsi"/>
                <w:color w:val="000000"/>
              </w:rPr>
              <w:t> </w:t>
            </w:r>
          </w:p>
        </w:tc>
      </w:tr>
    </w:tbl>
    <w:p w:rsidR="00A80FF5" w:rsidRDefault="00A80FF5" w:rsidP="00C175E8">
      <w:pPr>
        <w:pStyle w:val="NormalWeb"/>
        <w:jc w:val="both"/>
        <w:rPr>
          <w:rFonts w:asciiTheme="minorHAnsi" w:hAnsiTheme="minorHAnsi"/>
          <w:b/>
          <w:color w:val="000000"/>
          <w:sz w:val="22"/>
          <w:szCs w:val="22"/>
        </w:rPr>
      </w:pPr>
    </w:p>
    <w:p w:rsidR="009D7B49" w:rsidRPr="00FF7AA8" w:rsidRDefault="009D7B49" w:rsidP="00C175E8">
      <w:pPr>
        <w:pStyle w:val="NormalWeb"/>
        <w:jc w:val="both"/>
        <w:rPr>
          <w:rFonts w:asciiTheme="minorHAnsi" w:hAnsiTheme="minorHAnsi"/>
          <w:b/>
          <w:color w:val="000000"/>
          <w:sz w:val="22"/>
          <w:szCs w:val="22"/>
        </w:rPr>
      </w:pPr>
      <w:r w:rsidRPr="00FF7AA8">
        <w:rPr>
          <w:rFonts w:asciiTheme="minorHAnsi" w:hAnsiTheme="minorHAnsi"/>
          <w:b/>
          <w:color w:val="000000"/>
          <w:sz w:val="22"/>
          <w:szCs w:val="22"/>
        </w:rPr>
        <w:t>Homophobic Bullying</w:t>
      </w:r>
      <w:r w:rsidR="00BD33A7" w:rsidRPr="00FF7AA8">
        <w:rPr>
          <w:rFonts w:asciiTheme="minorHAnsi" w:hAnsiTheme="minorHAnsi"/>
          <w:b/>
          <w:color w:val="000000"/>
          <w:sz w:val="22"/>
          <w:szCs w:val="22"/>
        </w:rPr>
        <w:t xml:space="preserve"> - Statistics</w:t>
      </w:r>
    </w:p>
    <w:p w:rsidR="009D7B49" w:rsidRPr="00FF7AA8" w:rsidRDefault="009D7B49" w:rsidP="00C175E8">
      <w:pPr>
        <w:pStyle w:val="NormalWeb"/>
        <w:jc w:val="both"/>
        <w:rPr>
          <w:rFonts w:asciiTheme="minorHAnsi" w:hAnsiTheme="minorHAnsi"/>
          <w:color w:val="000000"/>
          <w:sz w:val="22"/>
          <w:szCs w:val="22"/>
        </w:rPr>
      </w:pPr>
    </w:p>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 xml:space="preserve">The records at the Anti-Bullying Services within the Department for Student </w:t>
      </w:r>
      <w:proofErr w:type="gramStart"/>
      <w:r w:rsidRPr="00FF7AA8">
        <w:rPr>
          <w:rFonts w:asciiTheme="minorHAnsi" w:hAnsiTheme="minorHAnsi"/>
          <w:color w:val="000000"/>
          <w:sz w:val="22"/>
          <w:szCs w:val="22"/>
        </w:rPr>
        <w:t>Services,</w:t>
      </w:r>
      <w:proofErr w:type="gramEnd"/>
      <w:r w:rsidRPr="00FF7AA8">
        <w:rPr>
          <w:rFonts w:asciiTheme="minorHAnsi" w:hAnsiTheme="minorHAnsi"/>
          <w:color w:val="000000"/>
          <w:sz w:val="22"/>
          <w:szCs w:val="22"/>
        </w:rPr>
        <w:t xml:space="preserve"> show the following information regarding instances of </w:t>
      </w:r>
      <w:r w:rsidRPr="00FF7AA8">
        <w:rPr>
          <w:rFonts w:asciiTheme="minorHAnsi" w:hAnsiTheme="minorHAnsi"/>
          <w:b/>
          <w:color w:val="000000"/>
          <w:sz w:val="22"/>
          <w:szCs w:val="22"/>
        </w:rPr>
        <w:t>homophobic bullying</w:t>
      </w:r>
      <w:r w:rsidRPr="00FF7AA8">
        <w:rPr>
          <w:rFonts w:asciiTheme="minorHAnsi" w:hAnsiTheme="minorHAnsi"/>
          <w:color w:val="000000"/>
          <w:sz w:val="22"/>
          <w:szCs w:val="22"/>
        </w:rPr>
        <w:t xml:space="preserve"> reported by schools to the service over the past two scholastic years (2012/2013, 2013/2014):</w:t>
      </w:r>
    </w:p>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 </w:t>
      </w:r>
    </w:p>
    <w:tbl>
      <w:tblPr>
        <w:tblStyle w:val="TableGrid"/>
        <w:tblW w:w="0" w:type="auto"/>
        <w:tblLook w:val="04A0"/>
      </w:tblPr>
      <w:tblGrid>
        <w:gridCol w:w="2310"/>
        <w:gridCol w:w="2310"/>
        <w:gridCol w:w="2311"/>
        <w:gridCol w:w="2311"/>
      </w:tblGrid>
      <w:tr w:rsidR="009D7B49" w:rsidRPr="00FF7AA8" w:rsidTr="00D15163">
        <w:tc>
          <w:tcPr>
            <w:tcW w:w="4620" w:type="dxa"/>
            <w:gridSpan w:val="2"/>
          </w:tcPr>
          <w:p w:rsidR="009D7B49" w:rsidRPr="00FF7AA8" w:rsidRDefault="009D7B49" w:rsidP="00C175E8">
            <w:pPr>
              <w:pStyle w:val="NormalWeb"/>
              <w:jc w:val="both"/>
              <w:rPr>
                <w:rFonts w:asciiTheme="minorHAnsi" w:hAnsiTheme="minorHAnsi"/>
                <w:b/>
                <w:color w:val="000000"/>
                <w:sz w:val="22"/>
                <w:szCs w:val="22"/>
              </w:rPr>
            </w:pPr>
            <w:r w:rsidRPr="00FF7AA8">
              <w:rPr>
                <w:rFonts w:asciiTheme="minorHAnsi" w:hAnsiTheme="minorHAnsi"/>
                <w:b/>
                <w:color w:val="000000"/>
                <w:sz w:val="22"/>
                <w:szCs w:val="22"/>
              </w:rPr>
              <w:t>Victim</w:t>
            </w:r>
          </w:p>
        </w:tc>
        <w:tc>
          <w:tcPr>
            <w:tcW w:w="4622" w:type="dxa"/>
            <w:gridSpan w:val="2"/>
          </w:tcPr>
          <w:p w:rsidR="009D7B49" w:rsidRPr="00FF7AA8" w:rsidRDefault="009D7B49" w:rsidP="00C175E8">
            <w:pPr>
              <w:pStyle w:val="NormalWeb"/>
              <w:jc w:val="both"/>
              <w:rPr>
                <w:rFonts w:asciiTheme="minorHAnsi" w:hAnsiTheme="minorHAnsi"/>
                <w:b/>
                <w:color w:val="000000"/>
                <w:sz w:val="22"/>
                <w:szCs w:val="22"/>
              </w:rPr>
            </w:pPr>
            <w:r w:rsidRPr="00FF7AA8">
              <w:rPr>
                <w:rFonts w:asciiTheme="minorHAnsi" w:hAnsiTheme="minorHAnsi"/>
                <w:b/>
                <w:color w:val="000000"/>
                <w:sz w:val="22"/>
                <w:szCs w:val="22"/>
              </w:rPr>
              <w:t>Perpetrator</w:t>
            </w:r>
          </w:p>
        </w:tc>
      </w:tr>
      <w:tr w:rsidR="009D7B49" w:rsidRPr="00FF7AA8" w:rsidTr="00D15163">
        <w:tc>
          <w:tcPr>
            <w:tcW w:w="2310" w:type="dxa"/>
          </w:tcPr>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 xml:space="preserve">Male </w:t>
            </w:r>
          </w:p>
        </w:tc>
        <w:tc>
          <w:tcPr>
            <w:tcW w:w="2310" w:type="dxa"/>
          </w:tcPr>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Female</w:t>
            </w:r>
          </w:p>
        </w:tc>
        <w:tc>
          <w:tcPr>
            <w:tcW w:w="2311" w:type="dxa"/>
          </w:tcPr>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Male</w:t>
            </w:r>
          </w:p>
        </w:tc>
        <w:tc>
          <w:tcPr>
            <w:tcW w:w="2311" w:type="dxa"/>
          </w:tcPr>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Female</w:t>
            </w:r>
          </w:p>
        </w:tc>
      </w:tr>
      <w:tr w:rsidR="009D7B49" w:rsidRPr="00FF7AA8" w:rsidTr="00D15163">
        <w:tc>
          <w:tcPr>
            <w:tcW w:w="2310" w:type="dxa"/>
          </w:tcPr>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3</w:t>
            </w:r>
          </w:p>
        </w:tc>
        <w:tc>
          <w:tcPr>
            <w:tcW w:w="2310" w:type="dxa"/>
          </w:tcPr>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1</w:t>
            </w:r>
          </w:p>
        </w:tc>
        <w:tc>
          <w:tcPr>
            <w:tcW w:w="2311" w:type="dxa"/>
          </w:tcPr>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w:t>
            </w:r>
          </w:p>
        </w:tc>
        <w:tc>
          <w:tcPr>
            <w:tcW w:w="2311" w:type="dxa"/>
          </w:tcPr>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2</w:t>
            </w:r>
          </w:p>
        </w:tc>
      </w:tr>
    </w:tbl>
    <w:p w:rsidR="009D7B49" w:rsidRPr="00FF7AA8" w:rsidRDefault="009D7B49" w:rsidP="00C175E8">
      <w:pPr>
        <w:pStyle w:val="NormalWeb"/>
        <w:jc w:val="both"/>
        <w:rPr>
          <w:rFonts w:asciiTheme="minorHAnsi" w:hAnsiTheme="minorHAnsi"/>
          <w:color w:val="000000"/>
          <w:sz w:val="22"/>
          <w:szCs w:val="22"/>
        </w:rPr>
      </w:pPr>
    </w:p>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All situations were reported in secondary schools.</w:t>
      </w:r>
    </w:p>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 </w:t>
      </w:r>
    </w:p>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It appears that this type of bullying is the least type of bullying reported to the service. This could be due to the embarrassment often involved as these youngsters often suffer rejection by their families and their peers, and while still confused about their sexuality, it could be that they feel uncomfortable to discuss and report these matters. Therefore it can be concluded that the presenting problem that needs to be dealt with is how to help and support students overcome the embarrassment, making them more comfortable to report such cases.</w:t>
      </w:r>
    </w:p>
    <w:p w:rsidR="009D7B49" w:rsidRPr="00FF7AA8" w:rsidRDefault="009D7B49" w:rsidP="00C175E8">
      <w:pPr>
        <w:pStyle w:val="NormalWeb"/>
        <w:jc w:val="both"/>
        <w:rPr>
          <w:rFonts w:asciiTheme="minorHAnsi" w:hAnsiTheme="minorHAnsi"/>
          <w:color w:val="000000"/>
          <w:sz w:val="22"/>
          <w:szCs w:val="22"/>
        </w:rPr>
      </w:pPr>
      <w:r w:rsidRPr="00FF7AA8">
        <w:rPr>
          <w:rFonts w:asciiTheme="minorHAnsi" w:hAnsiTheme="minorHAnsi"/>
          <w:color w:val="000000"/>
          <w:sz w:val="22"/>
          <w:szCs w:val="22"/>
        </w:rPr>
        <w:t> </w:t>
      </w:r>
    </w:p>
    <w:p w:rsidR="009D7B49" w:rsidRPr="00FF7AA8" w:rsidRDefault="009D7B49" w:rsidP="00C175E8">
      <w:pPr>
        <w:jc w:val="both"/>
        <w:rPr>
          <w:rFonts w:asciiTheme="minorHAnsi" w:hAnsiTheme="minorHAnsi"/>
          <w:color w:val="000000"/>
        </w:rPr>
      </w:pPr>
      <w:r w:rsidRPr="00FF7AA8">
        <w:rPr>
          <w:rFonts w:asciiTheme="minorHAnsi" w:hAnsiTheme="minorHAnsi"/>
          <w:color w:val="000000"/>
        </w:rPr>
        <w:t>It may also be the case that the situation may be dealt with at school or college level.  A reviewed Whole School Approach Policy to Addressing Bullying in Schools will activate a new referral system and a new process of bullying incidents reporting. The Department for Student Services will be able to identify early onset of bullying behaviour and have a clearer understanding of the types of bullying being manifested at school level as from this academic year. This information will be able to guide the development of an appropriate strategy addressing the promotion of inclusion and mutual respect, as outlined in the Respect For All Framework (</w:t>
      </w:r>
      <w:r w:rsidRPr="00FF7AA8">
        <w:rPr>
          <w:rFonts w:asciiTheme="minorHAnsi" w:eastAsia="Times New Roman" w:hAnsiTheme="minorHAnsi"/>
        </w:rPr>
        <w:t>available online on education.gov.mt</w:t>
      </w:r>
      <w:r w:rsidRPr="00FF7AA8">
        <w:rPr>
          <w:rFonts w:asciiTheme="minorHAnsi" w:hAnsiTheme="minorHAnsi"/>
          <w:color w:val="000000"/>
        </w:rPr>
        <w:t>) whilst addressing any incidents of bullying at early stages.</w:t>
      </w:r>
    </w:p>
    <w:p w:rsidR="009D7B49" w:rsidRPr="00FF7AA8" w:rsidRDefault="009D7B49" w:rsidP="00C175E8">
      <w:pPr>
        <w:jc w:val="both"/>
        <w:rPr>
          <w:rFonts w:asciiTheme="minorHAnsi" w:hAnsiTheme="minorHAnsi"/>
          <w:color w:val="000000"/>
        </w:rPr>
      </w:pPr>
    </w:p>
    <w:sectPr w:rsidR="009D7B49" w:rsidRPr="00FF7AA8" w:rsidSect="00C6113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1AC9" w:rsidRDefault="00C61AC9" w:rsidP="00C175E8">
      <w:r>
        <w:separator/>
      </w:r>
    </w:p>
  </w:endnote>
  <w:endnote w:type="continuationSeparator" w:id="0">
    <w:p w:rsidR="00C61AC9" w:rsidRDefault="00C61AC9" w:rsidP="00C175E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41269"/>
      <w:docPartObj>
        <w:docPartGallery w:val="Page Numbers (Bottom of Page)"/>
        <w:docPartUnique/>
      </w:docPartObj>
    </w:sdtPr>
    <w:sdtContent>
      <w:p w:rsidR="00C175E8" w:rsidRDefault="00C175E8">
        <w:pPr>
          <w:pStyle w:val="Footer"/>
          <w:jc w:val="right"/>
        </w:pPr>
        <w:fldSimple w:instr=" PAGE   \* MERGEFORMAT ">
          <w:r w:rsidR="00A80FF5">
            <w:rPr>
              <w:noProof/>
            </w:rPr>
            <w:t>1</w:t>
          </w:r>
        </w:fldSimple>
      </w:p>
    </w:sdtContent>
  </w:sdt>
  <w:p w:rsidR="00C175E8" w:rsidRDefault="00C175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1AC9" w:rsidRDefault="00C61AC9" w:rsidP="00C175E8">
      <w:r>
        <w:separator/>
      </w:r>
    </w:p>
  </w:footnote>
  <w:footnote w:type="continuationSeparator" w:id="0">
    <w:p w:rsidR="00C61AC9" w:rsidRDefault="00C61AC9" w:rsidP="00C175E8">
      <w:r>
        <w:continuationSeparator/>
      </w:r>
    </w:p>
  </w:footnote>
  <w:footnote w:id="1">
    <w:p w:rsidR="00C175E8" w:rsidRDefault="00C175E8" w:rsidP="00C175E8">
      <w:pPr>
        <w:pStyle w:val="FootnoteText"/>
        <w:jc w:val="both"/>
        <w:rPr>
          <w:lang w:val="mt-MT"/>
        </w:rPr>
      </w:pPr>
    </w:p>
    <w:p w:rsidR="00C175E8" w:rsidRPr="00E10884" w:rsidRDefault="00C175E8" w:rsidP="00C175E8">
      <w:pPr>
        <w:pStyle w:val="FootnoteText"/>
        <w:jc w:val="both"/>
        <w:rPr>
          <w:lang w:val="mt-MT"/>
        </w:rPr>
      </w:pPr>
      <w:r>
        <w:rPr>
          <w:rStyle w:val="FootnoteReference"/>
        </w:rPr>
        <w:footnoteRef/>
      </w:r>
      <w:r>
        <w:t xml:space="preserve"> </w:t>
      </w:r>
      <w:r>
        <w:rPr>
          <w:lang w:val="mt-MT"/>
        </w:rPr>
        <w:t xml:space="preserve"> </w:t>
      </w:r>
      <w:r>
        <w:rPr>
          <w:i/>
          <w:lang w:val="mt-MT"/>
        </w:rPr>
        <w:t>Vide: The Police (Inspector Jason Francis Sultana) vs Christina Betke</w:t>
      </w:r>
      <w:r>
        <w:rPr>
          <w:lang w:val="mt-MT"/>
        </w:rPr>
        <w:t>, decided by the Court of Magistrates (Malta) as a Court of Criminal Judicature, case number 787/2014.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1E0"/>
    </w:tblPr>
    <w:tblGrid>
      <w:gridCol w:w="3104"/>
      <w:gridCol w:w="3027"/>
      <w:gridCol w:w="3111"/>
    </w:tblGrid>
    <w:tr w:rsidR="00FF7AA8" w:rsidRPr="00825824" w:rsidTr="00D15163">
      <w:tc>
        <w:tcPr>
          <w:tcW w:w="3312" w:type="dxa"/>
        </w:tcPr>
        <w:p w:rsidR="00FF7AA8" w:rsidRPr="00A67843" w:rsidRDefault="00FF7AA8" w:rsidP="00D15163">
          <w:pPr>
            <w:pStyle w:val="Header"/>
            <w:rPr>
              <w:sz w:val="20"/>
              <w:szCs w:val="20"/>
            </w:rPr>
          </w:pPr>
          <w:r>
            <w:rPr>
              <w:sz w:val="20"/>
              <w:szCs w:val="20"/>
            </w:rPr>
            <w:t>Additional Malta replies</w:t>
          </w:r>
        </w:p>
      </w:tc>
      <w:tc>
        <w:tcPr>
          <w:tcW w:w="3312" w:type="dxa"/>
        </w:tcPr>
        <w:p w:rsidR="00FF7AA8" w:rsidRPr="00A67843" w:rsidRDefault="00FF7AA8" w:rsidP="00D15163">
          <w:pPr>
            <w:pStyle w:val="Header"/>
            <w:tabs>
              <w:tab w:val="left" w:pos="871"/>
            </w:tabs>
            <w:jc w:val="center"/>
            <w:rPr>
              <w:sz w:val="20"/>
              <w:szCs w:val="20"/>
            </w:rPr>
          </w:pPr>
        </w:p>
      </w:tc>
      <w:tc>
        <w:tcPr>
          <w:tcW w:w="3312" w:type="dxa"/>
        </w:tcPr>
        <w:p w:rsidR="00FF7AA8" w:rsidRDefault="00FF7AA8" w:rsidP="00D15163">
          <w:pPr>
            <w:pStyle w:val="Header"/>
            <w:jc w:val="right"/>
            <w:rPr>
              <w:sz w:val="20"/>
              <w:szCs w:val="20"/>
            </w:rPr>
          </w:pPr>
          <w:r>
            <w:rPr>
              <w:sz w:val="20"/>
              <w:szCs w:val="20"/>
            </w:rPr>
            <w:t>112</w:t>
          </w:r>
          <w:r w:rsidRPr="00B62091">
            <w:rPr>
              <w:sz w:val="20"/>
              <w:szCs w:val="20"/>
              <w:vertAlign w:val="superscript"/>
            </w:rPr>
            <w:t>th</w:t>
          </w:r>
          <w:r>
            <w:rPr>
              <w:sz w:val="20"/>
              <w:szCs w:val="20"/>
            </w:rPr>
            <w:t xml:space="preserve"> Session of the </w:t>
          </w:r>
        </w:p>
        <w:p w:rsidR="00FF7AA8" w:rsidRPr="00A67843" w:rsidRDefault="00FF7AA8" w:rsidP="00D15163">
          <w:pPr>
            <w:pStyle w:val="Header"/>
            <w:jc w:val="right"/>
            <w:rPr>
              <w:sz w:val="20"/>
              <w:szCs w:val="20"/>
            </w:rPr>
          </w:pPr>
          <w:r>
            <w:rPr>
              <w:sz w:val="20"/>
              <w:szCs w:val="20"/>
            </w:rPr>
            <w:t>Human Rights Committee</w:t>
          </w:r>
        </w:p>
      </w:tc>
    </w:tr>
  </w:tbl>
  <w:p w:rsidR="00FF7AA8" w:rsidRDefault="00FF7AA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23D27"/>
    <w:multiLevelType w:val="hybridMultilevel"/>
    <w:tmpl w:val="51EE7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D7B49"/>
    <w:rsid w:val="009D7B49"/>
    <w:rsid w:val="00A80FF5"/>
    <w:rsid w:val="00BD33A7"/>
    <w:rsid w:val="00C175E8"/>
    <w:rsid w:val="00C6113F"/>
    <w:rsid w:val="00C61AC9"/>
    <w:rsid w:val="00D8502F"/>
    <w:rsid w:val="00FF7AA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B49"/>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7B49"/>
    <w:pPr>
      <w:spacing w:after="0" w:line="240" w:lineRule="auto"/>
    </w:pPr>
  </w:style>
  <w:style w:type="paragraph" w:styleId="NormalWeb">
    <w:name w:val="Normal (Web)"/>
    <w:basedOn w:val="Normal"/>
    <w:uiPriority w:val="99"/>
    <w:semiHidden/>
    <w:unhideWhenUsed/>
    <w:rsid w:val="009D7B49"/>
    <w:rPr>
      <w:rFonts w:ascii="Times New Roman" w:hAnsi="Times New Roman"/>
      <w:sz w:val="24"/>
      <w:szCs w:val="24"/>
    </w:rPr>
  </w:style>
  <w:style w:type="table" w:styleId="TableGrid">
    <w:name w:val="Table Grid"/>
    <w:basedOn w:val="TableNormal"/>
    <w:uiPriority w:val="59"/>
    <w:rsid w:val="009D7B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C175E8"/>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C175E8"/>
    <w:rPr>
      <w:sz w:val="20"/>
      <w:szCs w:val="20"/>
    </w:rPr>
  </w:style>
  <w:style w:type="character" w:styleId="FootnoteReference">
    <w:name w:val="footnote reference"/>
    <w:basedOn w:val="DefaultParagraphFont"/>
    <w:uiPriority w:val="99"/>
    <w:semiHidden/>
    <w:unhideWhenUsed/>
    <w:rsid w:val="00C175E8"/>
    <w:rPr>
      <w:vertAlign w:val="superscript"/>
    </w:rPr>
  </w:style>
  <w:style w:type="paragraph" w:styleId="Header">
    <w:name w:val="header"/>
    <w:basedOn w:val="Normal"/>
    <w:link w:val="HeaderChar"/>
    <w:uiPriority w:val="99"/>
    <w:unhideWhenUsed/>
    <w:rsid w:val="00C175E8"/>
    <w:pPr>
      <w:tabs>
        <w:tab w:val="center" w:pos="4513"/>
        <w:tab w:val="right" w:pos="9026"/>
      </w:tabs>
    </w:pPr>
  </w:style>
  <w:style w:type="character" w:customStyle="1" w:styleId="HeaderChar">
    <w:name w:val="Header Char"/>
    <w:basedOn w:val="DefaultParagraphFont"/>
    <w:link w:val="Header"/>
    <w:uiPriority w:val="99"/>
    <w:rsid w:val="00C175E8"/>
    <w:rPr>
      <w:rFonts w:ascii="Calibri" w:hAnsi="Calibri" w:cs="Times New Roman"/>
      <w:lang w:eastAsia="en-GB"/>
    </w:rPr>
  </w:style>
  <w:style w:type="paragraph" w:styleId="Footer">
    <w:name w:val="footer"/>
    <w:basedOn w:val="Normal"/>
    <w:link w:val="FooterChar"/>
    <w:uiPriority w:val="99"/>
    <w:unhideWhenUsed/>
    <w:rsid w:val="00C175E8"/>
    <w:pPr>
      <w:tabs>
        <w:tab w:val="center" w:pos="4513"/>
        <w:tab w:val="right" w:pos="9026"/>
      </w:tabs>
    </w:pPr>
  </w:style>
  <w:style w:type="character" w:customStyle="1" w:styleId="FooterChar">
    <w:name w:val="Footer Char"/>
    <w:basedOn w:val="DefaultParagraphFont"/>
    <w:link w:val="Footer"/>
    <w:uiPriority w:val="99"/>
    <w:rsid w:val="00C175E8"/>
    <w:rPr>
      <w:rFonts w:ascii="Calibri" w:hAnsi="Calibri" w:cs="Times New Roman"/>
      <w:lang w:eastAsia="en-GB"/>
    </w:rPr>
  </w:style>
</w:styles>
</file>

<file path=word/webSettings.xml><?xml version="1.0" encoding="utf-8"?>
<w:webSettings xmlns:r="http://schemas.openxmlformats.org/officeDocument/2006/relationships" xmlns:w="http://schemas.openxmlformats.org/wordprocessingml/2006/main">
  <w:divs>
    <w:div w:id="55325589">
      <w:bodyDiv w:val="1"/>
      <w:marLeft w:val="0"/>
      <w:marRight w:val="0"/>
      <w:marTop w:val="0"/>
      <w:marBottom w:val="0"/>
      <w:divBdr>
        <w:top w:val="none" w:sz="0" w:space="0" w:color="auto"/>
        <w:left w:val="none" w:sz="0" w:space="0" w:color="auto"/>
        <w:bottom w:val="none" w:sz="0" w:space="0" w:color="auto"/>
        <w:right w:val="none" w:sz="0" w:space="0" w:color="auto"/>
      </w:divBdr>
    </w:div>
    <w:div w:id="50806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9DE16E-965A-4E69-A7DF-C0EC158DF0CA}"/>
</file>

<file path=customXml/itemProps2.xml><?xml version="1.0" encoding="utf-8"?>
<ds:datastoreItem xmlns:ds="http://schemas.openxmlformats.org/officeDocument/2006/customXml" ds:itemID="{707E8600-B8F4-476F-9D39-04056C27FBCE}"/>
</file>

<file path=customXml/itemProps3.xml><?xml version="1.0" encoding="utf-8"?>
<ds:datastoreItem xmlns:ds="http://schemas.openxmlformats.org/officeDocument/2006/customXml" ds:itemID="{2BB4B2C0-AE53-45D0-B84A-0F8CE2DEF2CF}"/>
</file>

<file path=docProps/app.xml><?xml version="1.0" encoding="utf-8"?>
<Properties xmlns="http://schemas.openxmlformats.org/officeDocument/2006/extended-properties" xmlns:vt="http://schemas.openxmlformats.org/officeDocument/2006/docPropsVTypes">
  <Template>Normal</Template>
  <TotalTime>14</TotalTime>
  <Pages>2</Pages>
  <Words>1036</Words>
  <Characters>5910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kuyma001</dc:creator>
  <cp:lastModifiedBy>kuyma001</cp:lastModifiedBy>
  <cp:revision>2</cp:revision>
  <cp:lastPrinted>2014-10-16T08:47:00Z</cp:lastPrinted>
  <dcterms:created xsi:type="dcterms:W3CDTF">2014-10-16T08:35:00Z</dcterms:created>
  <dcterms:modified xsi:type="dcterms:W3CDTF">2014-10-16T08:57:00Z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