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47AC" w:rsidRDefault="00271CE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C347AC" w:rsidRDefault="00C347AC">
      <w:pPr>
        <w:spacing w:after="0" w:line="240" w:lineRule="auto"/>
        <w:jc w:val="center"/>
        <w:rPr>
          <w:rFonts w:ascii="Times New Roman" w:eastAsia="Times New Roman" w:hAnsi="Times New Roman" w:cs="Times New Roman"/>
          <w:sz w:val="24"/>
          <w:szCs w:val="24"/>
        </w:rPr>
      </w:pPr>
    </w:p>
    <w:p w:rsidR="00C347AC" w:rsidRDefault="00C347AC">
      <w:pPr>
        <w:pBdr>
          <w:top w:val="nil"/>
          <w:left w:val="nil"/>
          <w:bottom w:val="nil"/>
          <w:right w:val="nil"/>
          <w:between w:val="nil"/>
        </w:pBdr>
        <w:spacing w:after="0" w:line="240" w:lineRule="auto"/>
        <w:jc w:val="center"/>
        <w:rPr>
          <w:rFonts w:ascii="Times New Roman" w:eastAsia="Times New Roman" w:hAnsi="Times New Roman" w:cs="Times New Roman"/>
          <w:sz w:val="24"/>
          <w:szCs w:val="24"/>
        </w:rPr>
      </w:pPr>
    </w:p>
    <w:p w:rsidR="00C347AC" w:rsidRDefault="00271CEB">
      <w:pPr>
        <w:pStyle w:val="Title"/>
        <w:spacing w:after="0"/>
        <w:jc w:val="center"/>
        <w:rPr>
          <w:rFonts w:ascii="Times New Roman" w:eastAsia="Times New Roman" w:hAnsi="Times New Roman" w:cs="Times New Roman"/>
        </w:rPr>
      </w:pPr>
      <w:bookmarkStart w:id="0" w:name="_47d5unkpvlho" w:colFirst="0" w:colLast="0"/>
      <w:bookmarkEnd w:id="0"/>
      <w:r>
        <w:rPr>
          <w:rFonts w:ascii="Times New Roman" w:eastAsia="Times New Roman" w:hAnsi="Times New Roman" w:cs="Times New Roman"/>
        </w:rPr>
        <w:t>Observaciones sobre el Estado del Cumplimiento del Derecho a la Libertad de Expresión en Guatemala</w:t>
      </w:r>
    </w:p>
    <w:p w:rsidR="00C347AC" w:rsidRDefault="00C347AC">
      <w:pPr>
        <w:spacing w:after="0"/>
        <w:rPr>
          <w:rFonts w:ascii="Times New Roman" w:eastAsia="Times New Roman" w:hAnsi="Times New Roman" w:cs="Times New Roman"/>
          <w:b/>
          <w:sz w:val="20"/>
          <w:szCs w:val="20"/>
        </w:rPr>
      </w:pPr>
    </w:p>
    <w:p w:rsidR="00C347AC" w:rsidRDefault="00C347AC">
      <w:pPr>
        <w:spacing w:after="0"/>
        <w:rPr>
          <w:rFonts w:ascii="Times New Roman" w:eastAsia="Times New Roman" w:hAnsi="Times New Roman" w:cs="Times New Roman"/>
          <w:b/>
          <w:sz w:val="20"/>
          <w:szCs w:val="20"/>
        </w:rPr>
      </w:pPr>
    </w:p>
    <w:p w:rsidR="00C347AC" w:rsidRDefault="00271CEB">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SOBREVIVENCIA CULTURAL: </w:t>
      </w:r>
      <w:r>
        <w:rPr>
          <w:rFonts w:ascii="Times New Roman" w:eastAsia="Times New Roman" w:hAnsi="Times New Roman" w:cs="Times New Roman"/>
          <w:sz w:val="24"/>
          <w:szCs w:val="24"/>
        </w:rPr>
        <w:t xml:space="preserve">Es una organización que promueve los derechos y desarrollo de los Pueblos Indígenas en Guatemala,  miembro del Movimiento de Radios Comunitarias de Guatemala,  que impulsa la aprobación de la iniciativa 4087 Ley de Medios de Comunicación Comunitaria, para </w:t>
      </w:r>
      <w:r>
        <w:rPr>
          <w:rFonts w:ascii="Times New Roman" w:eastAsia="Times New Roman" w:hAnsi="Times New Roman" w:cs="Times New Roman"/>
          <w:sz w:val="24"/>
          <w:szCs w:val="24"/>
        </w:rPr>
        <w:t>que los pueblos originarios accedan a sus propios medios de comunicación.</w:t>
      </w:r>
      <w:r>
        <w:rPr>
          <w:rFonts w:ascii="Times New Roman" w:eastAsia="Times New Roman" w:hAnsi="Times New Roman" w:cs="Times New Roman"/>
          <w:b/>
          <w:sz w:val="24"/>
          <w:szCs w:val="24"/>
        </w:rPr>
        <w:t xml:space="preserve">    </w:t>
      </w:r>
    </w:p>
    <w:p w:rsidR="00C347AC" w:rsidRDefault="00C347AC">
      <w:pPr>
        <w:spacing w:after="0"/>
        <w:rPr>
          <w:rFonts w:ascii="Times New Roman" w:eastAsia="Times New Roman" w:hAnsi="Times New Roman" w:cs="Times New Roman"/>
          <w:b/>
          <w:sz w:val="24"/>
          <w:szCs w:val="24"/>
        </w:rPr>
      </w:pPr>
    </w:p>
    <w:p w:rsidR="00C347AC" w:rsidRDefault="00271CEB">
      <w:pPr>
        <w:spacing w:after="0"/>
        <w:rPr>
          <w:rFonts w:ascii="Times New Roman" w:eastAsia="Times New Roman" w:hAnsi="Times New Roman" w:cs="Times New Roman"/>
          <w:sz w:val="24"/>
          <w:szCs w:val="24"/>
        </w:rPr>
      </w:pPr>
      <w:r>
        <w:rPr>
          <w:rFonts w:ascii="Times New Roman" w:eastAsia="Times New Roman" w:hAnsi="Times New Roman" w:cs="Times New Roman"/>
          <w:b/>
          <w:sz w:val="24"/>
          <w:szCs w:val="24"/>
        </w:rPr>
        <w:t>CULTURAL SURVIVAL</w:t>
      </w:r>
      <w:r>
        <w:rPr>
          <w:rFonts w:ascii="Times New Roman" w:eastAsia="Times New Roman" w:hAnsi="Times New Roman" w:cs="Times New Roman"/>
          <w:sz w:val="24"/>
          <w:szCs w:val="24"/>
        </w:rPr>
        <w:t xml:space="preserve"> Promueve los Derechos y Visiones de los Pueblos Indígenas en el mundo. En Guatemala  desde el 2005 ha apoyado la lucha de los Pueblos Indígenas a acceder a sus</w:t>
      </w:r>
      <w:r>
        <w:rPr>
          <w:rFonts w:ascii="Times New Roman" w:eastAsia="Times New Roman" w:hAnsi="Times New Roman" w:cs="Times New Roman"/>
          <w:sz w:val="24"/>
          <w:szCs w:val="24"/>
        </w:rPr>
        <w:t xml:space="preserve"> propios medios de comunicación y visibilizar a nivel Nacional e Internacional la violación de este derecho.</w:t>
      </w:r>
    </w:p>
    <w:p w:rsidR="00C347AC" w:rsidRDefault="00C347AC">
      <w:pPr>
        <w:spacing w:after="0" w:line="240" w:lineRule="auto"/>
        <w:jc w:val="center"/>
        <w:rPr>
          <w:rFonts w:ascii="Arial" w:eastAsia="Arial" w:hAnsi="Arial" w:cs="Arial"/>
          <w:sz w:val="24"/>
          <w:szCs w:val="24"/>
        </w:rPr>
      </w:pPr>
    </w:p>
    <w:p w:rsidR="00C347AC" w:rsidRDefault="00C347AC">
      <w:pPr>
        <w:spacing w:after="0" w:line="240" w:lineRule="auto"/>
        <w:jc w:val="center"/>
        <w:rPr>
          <w:rFonts w:ascii="Arial" w:eastAsia="Arial" w:hAnsi="Arial" w:cs="Arial"/>
          <w:sz w:val="24"/>
          <w:szCs w:val="24"/>
        </w:rPr>
      </w:pPr>
    </w:p>
    <w:p w:rsidR="00C347AC" w:rsidRDefault="00C347AC">
      <w:pPr>
        <w:spacing w:after="0" w:line="240" w:lineRule="auto"/>
        <w:jc w:val="center"/>
        <w:rPr>
          <w:rFonts w:ascii="Arial" w:eastAsia="Arial" w:hAnsi="Arial" w:cs="Arial"/>
          <w:sz w:val="24"/>
          <w:szCs w:val="24"/>
        </w:rPr>
      </w:pPr>
    </w:p>
    <w:p w:rsidR="00C347AC" w:rsidRDefault="00271CEB">
      <w:pPr>
        <w:spacing w:after="0" w:line="240" w:lineRule="auto"/>
        <w:jc w:val="center"/>
        <w:rPr>
          <w:rFonts w:ascii="Times New Roman" w:eastAsia="Times New Roman" w:hAnsi="Times New Roman" w:cs="Times New Roman"/>
          <w:sz w:val="24"/>
          <w:szCs w:val="24"/>
        </w:rPr>
      </w:pPr>
      <w:r>
        <w:rPr>
          <w:rFonts w:ascii="Arial" w:eastAsia="Arial" w:hAnsi="Arial" w:cs="Arial"/>
          <w:sz w:val="24"/>
          <w:szCs w:val="24"/>
        </w:rPr>
        <w:t xml:space="preserve">  </w:t>
      </w:r>
      <w:r>
        <w:rPr>
          <w:noProof/>
          <w:lang w:val="en-US"/>
        </w:rPr>
        <w:drawing>
          <wp:anchor distT="0" distB="0" distL="114300" distR="114300" simplePos="0" relativeHeight="251658240" behindDoc="0" locked="0" layoutInCell="1" hidden="0" allowOverlap="1">
            <wp:simplePos x="0" y="0"/>
            <wp:positionH relativeFrom="column">
              <wp:posOffset>189960</wp:posOffset>
            </wp:positionH>
            <wp:positionV relativeFrom="paragraph">
              <wp:posOffset>19050</wp:posOffset>
            </wp:positionV>
            <wp:extent cx="2758027" cy="1947361"/>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758027" cy="1947361"/>
                    </a:xfrm>
                    <a:prstGeom prst="rect">
                      <a:avLst/>
                    </a:prstGeom>
                    <a:ln/>
                  </pic:spPr>
                </pic:pic>
              </a:graphicData>
            </a:graphic>
          </wp:anchor>
        </w:drawing>
      </w:r>
    </w:p>
    <w:p w:rsidR="00C347AC" w:rsidRDefault="00271CEB">
      <w:pPr>
        <w:spacing w:after="0"/>
        <w:rPr>
          <w:rFonts w:ascii="Times New Roman" w:eastAsia="Times New Roman" w:hAnsi="Times New Roman" w:cs="Times New Roman"/>
          <w:b/>
          <w:sz w:val="20"/>
          <w:szCs w:val="20"/>
        </w:rPr>
      </w:pPr>
      <w:r>
        <w:rPr>
          <w:noProof/>
          <w:lang w:val="en-US"/>
        </w:rPr>
        <w:drawing>
          <wp:anchor distT="0" distB="0" distL="114300" distR="114300" simplePos="0" relativeHeight="251659264" behindDoc="0" locked="0" layoutInCell="1" hidden="0" allowOverlap="1">
            <wp:simplePos x="0" y="0"/>
            <wp:positionH relativeFrom="column">
              <wp:posOffset>254000</wp:posOffset>
            </wp:positionH>
            <wp:positionV relativeFrom="paragraph">
              <wp:posOffset>311150</wp:posOffset>
            </wp:positionV>
            <wp:extent cx="2877090" cy="884571"/>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2877090" cy="884571"/>
                    </a:xfrm>
                    <a:prstGeom prst="rect">
                      <a:avLst/>
                    </a:prstGeom>
                    <a:ln/>
                  </pic:spPr>
                </pic:pic>
              </a:graphicData>
            </a:graphic>
          </wp:anchor>
        </w:drawing>
      </w:r>
    </w:p>
    <w:p w:rsidR="00C347AC" w:rsidRDefault="00C347AC">
      <w:pPr>
        <w:spacing w:after="0"/>
        <w:rPr>
          <w:rFonts w:ascii="Times New Roman" w:eastAsia="Times New Roman" w:hAnsi="Times New Roman" w:cs="Times New Roman"/>
          <w:b/>
          <w:sz w:val="20"/>
          <w:szCs w:val="20"/>
        </w:rPr>
      </w:pPr>
    </w:p>
    <w:p w:rsidR="00C347AC" w:rsidRDefault="00C347AC">
      <w:pPr>
        <w:spacing w:after="0"/>
        <w:rPr>
          <w:rFonts w:ascii="Times New Roman" w:eastAsia="Times New Roman" w:hAnsi="Times New Roman" w:cs="Times New Roman"/>
          <w:b/>
          <w:sz w:val="20"/>
          <w:szCs w:val="20"/>
        </w:rPr>
      </w:pPr>
    </w:p>
    <w:p w:rsidR="00C347AC" w:rsidRDefault="00C347AC">
      <w:pPr>
        <w:spacing w:after="0"/>
        <w:rPr>
          <w:rFonts w:ascii="Times New Roman" w:eastAsia="Times New Roman" w:hAnsi="Times New Roman" w:cs="Times New Roman"/>
          <w:b/>
          <w:sz w:val="20"/>
          <w:szCs w:val="20"/>
        </w:rPr>
      </w:pPr>
    </w:p>
    <w:p w:rsidR="00C347AC" w:rsidRDefault="00C347AC">
      <w:pPr>
        <w:spacing w:after="0"/>
        <w:rPr>
          <w:rFonts w:ascii="Times New Roman" w:eastAsia="Times New Roman" w:hAnsi="Times New Roman" w:cs="Times New Roman"/>
          <w:b/>
          <w:sz w:val="20"/>
          <w:szCs w:val="20"/>
        </w:rPr>
      </w:pPr>
    </w:p>
    <w:p w:rsidR="00C347AC" w:rsidRDefault="00C347AC">
      <w:pPr>
        <w:spacing w:after="0"/>
        <w:rPr>
          <w:rFonts w:ascii="Times New Roman" w:eastAsia="Times New Roman" w:hAnsi="Times New Roman" w:cs="Times New Roman"/>
          <w:b/>
          <w:sz w:val="20"/>
          <w:szCs w:val="20"/>
        </w:rPr>
      </w:pPr>
    </w:p>
    <w:p w:rsidR="00C347AC" w:rsidRDefault="00C347AC">
      <w:pPr>
        <w:spacing w:after="0"/>
        <w:rPr>
          <w:rFonts w:ascii="Times New Roman" w:eastAsia="Times New Roman" w:hAnsi="Times New Roman" w:cs="Times New Roman"/>
          <w:b/>
          <w:sz w:val="20"/>
          <w:szCs w:val="20"/>
        </w:rPr>
      </w:pPr>
    </w:p>
    <w:p w:rsidR="00C347AC" w:rsidRDefault="00C347AC">
      <w:pPr>
        <w:spacing w:after="0"/>
        <w:rPr>
          <w:rFonts w:ascii="Times New Roman" w:eastAsia="Times New Roman" w:hAnsi="Times New Roman" w:cs="Times New Roman"/>
          <w:b/>
          <w:sz w:val="20"/>
          <w:szCs w:val="20"/>
        </w:rPr>
      </w:pPr>
      <w:bookmarkStart w:id="1" w:name="_GoBack"/>
      <w:bookmarkEnd w:id="1"/>
    </w:p>
    <w:p w:rsidR="00C347AC" w:rsidRDefault="00C347AC">
      <w:pPr>
        <w:spacing w:after="0"/>
        <w:rPr>
          <w:rFonts w:ascii="Times New Roman" w:eastAsia="Times New Roman" w:hAnsi="Times New Roman" w:cs="Times New Roman"/>
          <w:b/>
          <w:sz w:val="20"/>
          <w:szCs w:val="20"/>
        </w:rPr>
      </w:pPr>
    </w:p>
    <w:p w:rsidR="00C347AC" w:rsidRDefault="00C347AC">
      <w:pPr>
        <w:spacing w:after="0"/>
        <w:rPr>
          <w:rFonts w:ascii="Times New Roman" w:eastAsia="Times New Roman" w:hAnsi="Times New Roman" w:cs="Times New Roman"/>
          <w:b/>
          <w:sz w:val="20"/>
          <w:szCs w:val="20"/>
        </w:rPr>
      </w:pPr>
    </w:p>
    <w:p w:rsidR="00C347AC" w:rsidRDefault="00C347AC">
      <w:pPr>
        <w:spacing w:after="0"/>
        <w:rPr>
          <w:rFonts w:ascii="Times New Roman" w:eastAsia="Times New Roman" w:hAnsi="Times New Roman" w:cs="Times New Roman"/>
          <w:b/>
          <w:sz w:val="20"/>
          <w:szCs w:val="20"/>
        </w:rPr>
      </w:pPr>
    </w:p>
    <w:p w:rsidR="00C347AC" w:rsidRDefault="00C347AC">
      <w:pPr>
        <w:spacing w:after="0"/>
        <w:rPr>
          <w:rFonts w:ascii="Times New Roman" w:eastAsia="Times New Roman" w:hAnsi="Times New Roman" w:cs="Times New Roman"/>
          <w:b/>
          <w:sz w:val="20"/>
          <w:szCs w:val="20"/>
        </w:rPr>
      </w:pPr>
    </w:p>
    <w:p w:rsidR="00C347AC" w:rsidRDefault="00C347AC">
      <w:pPr>
        <w:spacing w:after="0"/>
        <w:rPr>
          <w:rFonts w:ascii="Times New Roman" w:eastAsia="Times New Roman" w:hAnsi="Times New Roman" w:cs="Times New Roman"/>
          <w:b/>
          <w:sz w:val="20"/>
          <w:szCs w:val="20"/>
        </w:rPr>
      </w:pPr>
    </w:p>
    <w:p w:rsidR="00C347AC" w:rsidRDefault="00271CEB">
      <w:pPr>
        <w:pStyle w:val="Heading3"/>
        <w:numPr>
          <w:ilvl w:val="0"/>
          <w:numId w:val="1"/>
        </w:numPr>
        <w:spacing w:after="0"/>
        <w:jc w:val="both"/>
        <w:rPr>
          <w:rFonts w:ascii="Times New Roman" w:eastAsia="Times New Roman" w:hAnsi="Times New Roman" w:cs="Times New Roman"/>
        </w:rPr>
      </w:pPr>
      <w:bookmarkStart w:id="2" w:name="_qhryef1srqf1" w:colFirst="0" w:colLast="0"/>
      <w:bookmarkEnd w:id="2"/>
      <w:r>
        <w:rPr>
          <w:rFonts w:ascii="Times New Roman" w:eastAsia="Times New Roman" w:hAnsi="Times New Roman" w:cs="Times New Roman"/>
        </w:rPr>
        <w:lastRenderedPageBreak/>
        <w:t>RESUMEN EJECUTIVO</w:t>
      </w:r>
    </w:p>
    <w:p w:rsidR="00C347AC" w:rsidRDefault="00271CEB">
      <w:pPr>
        <w:rPr>
          <w:rFonts w:ascii="Times New Roman" w:eastAsia="Times New Roman" w:hAnsi="Times New Roman" w:cs="Times New Roman"/>
        </w:rPr>
      </w:pPr>
      <w:r>
        <w:rPr>
          <w:rFonts w:ascii="Times New Roman" w:eastAsia="Times New Roman" w:hAnsi="Times New Roman" w:cs="Times New Roman"/>
        </w:rPr>
        <w:t>A pesar de varias recomendaciones del CERD y otros mecanismos de derechos humanos</w:t>
      </w:r>
      <w:r>
        <w:rPr>
          <w:rFonts w:ascii="Times New Roman" w:eastAsia="Times New Roman" w:hAnsi="Times New Roman" w:cs="Times New Roman"/>
        </w:rPr>
        <w:t xml:space="preserve">, Guatemala sigue discriminando y criminalizando a los Pueblos Indígenas quienes ejercen su derecho a la Libertad de Expresión a través de la radio comunitaria. </w:t>
      </w:r>
    </w:p>
    <w:p w:rsidR="00C347AC" w:rsidRDefault="00271CEB">
      <w:pPr>
        <w:pStyle w:val="Heading3"/>
        <w:numPr>
          <w:ilvl w:val="0"/>
          <w:numId w:val="1"/>
        </w:numPr>
        <w:spacing w:after="0"/>
        <w:jc w:val="both"/>
        <w:rPr>
          <w:rFonts w:ascii="Times New Roman" w:eastAsia="Times New Roman" w:hAnsi="Times New Roman" w:cs="Times New Roman"/>
        </w:rPr>
      </w:pPr>
      <w:bookmarkStart w:id="3" w:name="_sgj2fx4lem6k" w:colFirst="0" w:colLast="0"/>
      <w:bookmarkEnd w:id="3"/>
      <w:r>
        <w:rPr>
          <w:rFonts w:ascii="Times New Roman" w:eastAsia="Times New Roman" w:hAnsi="Times New Roman" w:cs="Times New Roman"/>
        </w:rPr>
        <w:t>INTRODUCCIÓN</w:t>
      </w:r>
    </w:p>
    <w:p w:rsidR="00C347AC" w:rsidRDefault="00C347AC">
      <w:pPr>
        <w:spacing w:after="0"/>
        <w:jc w:val="both"/>
        <w:rPr>
          <w:rFonts w:ascii="Times New Roman" w:eastAsia="Times New Roman" w:hAnsi="Times New Roman" w:cs="Times New Roman"/>
          <w:b/>
          <w:sz w:val="23"/>
          <w:szCs w:val="23"/>
        </w:rPr>
      </w:pPr>
    </w:p>
    <w:p w:rsidR="00C347AC" w:rsidRDefault="00271CEB">
      <w:pPr>
        <w:spacing w:after="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Los pueblos </w:t>
      </w:r>
      <w:r>
        <w:rPr>
          <w:rFonts w:ascii="Times New Roman" w:eastAsia="Times New Roman" w:hAnsi="Times New Roman" w:cs="Times New Roman"/>
          <w:sz w:val="23"/>
          <w:szCs w:val="23"/>
        </w:rPr>
        <w:t>I</w:t>
      </w:r>
      <w:r>
        <w:rPr>
          <w:rFonts w:ascii="Times New Roman" w:eastAsia="Times New Roman" w:hAnsi="Times New Roman" w:cs="Times New Roman"/>
          <w:sz w:val="23"/>
          <w:szCs w:val="23"/>
        </w:rPr>
        <w:t xml:space="preserve">ndígenas en Guatemala siguen </w:t>
      </w:r>
      <w:r>
        <w:rPr>
          <w:rFonts w:ascii="Times New Roman" w:eastAsia="Times New Roman" w:hAnsi="Times New Roman" w:cs="Times New Roman"/>
          <w:sz w:val="23"/>
          <w:szCs w:val="23"/>
        </w:rPr>
        <w:t xml:space="preserve">siendo discriminados </w:t>
      </w:r>
      <w:r>
        <w:rPr>
          <w:rFonts w:ascii="Times New Roman" w:eastAsia="Times New Roman" w:hAnsi="Times New Roman" w:cs="Times New Roman"/>
          <w:sz w:val="23"/>
          <w:szCs w:val="23"/>
        </w:rPr>
        <w:t xml:space="preserve"> en la aplicación del derecho de Libertad de </w:t>
      </w:r>
      <w:r>
        <w:rPr>
          <w:rFonts w:ascii="Times New Roman" w:eastAsia="Times New Roman" w:hAnsi="Times New Roman" w:cs="Times New Roman"/>
          <w:sz w:val="23"/>
          <w:szCs w:val="23"/>
        </w:rPr>
        <w:t>Expresión</w:t>
      </w:r>
      <w:r>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específicamente</w:t>
      </w:r>
      <w:r>
        <w:rPr>
          <w:rFonts w:ascii="Times New Roman" w:eastAsia="Times New Roman" w:hAnsi="Times New Roman" w:cs="Times New Roman"/>
          <w:sz w:val="23"/>
          <w:szCs w:val="23"/>
        </w:rPr>
        <w:t xml:space="preserve"> en el marco del acceso a los medios de comunicación. Los medios d</w:t>
      </w:r>
      <w:r>
        <w:rPr>
          <w:rFonts w:ascii="Times New Roman" w:eastAsia="Times New Roman" w:hAnsi="Times New Roman" w:cs="Times New Roman"/>
          <w:sz w:val="23"/>
          <w:szCs w:val="23"/>
        </w:rPr>
        <w:t xml:space="preserve">e comunicación son mayoritariamente comerciales y </w:t>
      </w:r>
      <w:r>
        <w:rPr>
          <w:rFonts w:ascii="Times New Roman" w:eastAsia="Times New Roman" w:hAnsi="Times New Roman" w:cs="Times New Roman"/>
          <w:sz w:val="23"/>
          <w:szCs w:val="23"/>
        </w:rPr>
        <w:t xml:space="preserve">masivos, que divulgan desde la ciudad capital, quedan bajo control de </w:t>
      </w:r>
      <w:r>
        <w:rPr>
          <w:rFonts w:ascii="Times New Roman" w:eastAsia="Times New Roman" w:hAnsi="Times New Roman" w:cs="Times New Roman"/>
          <w:sz w:val="23"/>
          <w:szCs w:val="23"/>
        </w:rPr>
        <w:t xml:space="preserve">un monopolio y no reflejan la diversidad de idiomas, culturas, y perspectivas que </w:t>
      </w:r>
      <w:r>
        <w:rPr>
          <w:rFonts w:ascii="Times New Roman" w:eastAsia="Times New Roman" w:hAnsi="Times New Roman" w:cs="Times New Roman"/>
          <w:sz w:val="23"/>
          <w:szCs w:val="23"/>
        </w:rPr>
        <w:t>abundan</w:t>
      </w:r>
      <w:r>
        <w:rPr>
          <w:rFonts w:ascii="Times New Roman" w:eastAsia="Times New Roman" w:hAnsi="Times New Roman" w:cs="Times New Roman"/>
          <w:sz w:val="23"/>
          <w:szCs w:val="23"/>
        </w:rPr>
        <w:t xml:space="preserve"> en los 24 diferentes </w:t>
      </w:r>
      <w:r>
        <w:rPr>
          <w:rFonts w:ascii="Times New Roman" w:eastAsia="Times New Roman" w:hAnsi="Times New Roman" w:cs="Times New Roman"/>
          <w:sz w:val="23"/>
          <w:szCs w:val="23"/>
        </w:rPr>
        <w:t>Pueblos Indígenas</w:t>
      </w:r>
      <w:r>
        <w:rPr>
          <w:rFonts w:ascii="Times New Roman" w:eastAsia="Times New Roman" w:hAnsi="Times New Roman" w:cs="Times New Roman"/>
          <w:sz w:val="23"/>
          <w:szCs w:val="23"/>
        </w:rPr>
        <w:t xml:space="preserve"> de Guatemala.  Guatemala sigue siendo un Estado mono</w:t>
      </w:r>
      <w:r w:rsidR="00E849D8">
        <w:rPr>
          <w:rFonts w:ascii="Times New Roman" w:eastAsia="Times New Roman" w:hAnsi="Times New Roman" w:cs="Times New Roman"/>
          <w:sz w:val="23"/>
          <w:szCs w:val="23"/>
        </w:rPr>
        <w:t>-</w:t>
      </w:r>
      <w:r>
        <w:rPr>
          <w:rFonts w:ascii="Times New Roman" w:eastAsia="Times New Roman" w:hAnsi="Times New Roman" w:cs="Times New Roman"/>
          <w:sz w:val="23"/>
          <w:szCs w:val="23"/>
        </w:rPr>
        <w:t xml:space="preserve">cultural, monolingüe, racista y discriminador que </w:t>
      </w:r>
      <w:r>
        <w:rPr>
          <w:rFonts w:ascii="Times New Roman" w:eastAsia="Times New Roman" w:hAnsi="Times New Roman" w:cs="Times New Roman"/>
          <w:sz w:val="23"/>
          <w:szCs w:val="23"/>
        </w:rPr>
        <w:t xml:space="preserve">se refleja en las </w:t>
      </w:r>
      <w:r>
        <w:rPr>
          <w:rFonts w:ascii="Times New Roman" w:eastAsia="Times New Roman" w:hAnsi="Times New Roman" w:cs="Times New Roman"/>
          <w:sz w:val="23"/>
          <w:szCs w:val="23"/>
        </w:rPr>
        <w:t>polític</w:t>
      </w:r>
      <w:r>
        <w:rPr>
          <w:rFonts w:ascii="Times New Roman" w:eastAsia="Times New Roman" w:hAnsi="Times New Roman" w:cs="Times New Roman"/>
          <w:sz w:val="23"/>
          <w:szCs w:val="23"/>
        </w:rPr>
        <w:t xml:space="preserve">as públicas y la legislación vigente impuesta a los </w:t>
      </w:r>
      <w:r>
        <w:rPr>
          <w:rFonts w:ascii="Times New Roman" w:eastAsia="Times New Roman" w:hAnsi="Times New Roman" w:cs="Times New Roman"/>
          <w:sz w:val="23"/>
          <w:szCs w:val="23"/>
        </w:rPr>
        <w:t>Pueblos Indígenas</w:t>
      </w:r>
      <w:r>
        <w:rPr>
          <w:rFonts w:ascii="Times New Roman" w:eastAsia="Times New Roman" w:hAnsi="Times New Roman" w:cs="Times New Roman"/>
          <w:sz w:val="23"/>
          <w:szCs w:val="23"/>
        </w:rPr>
        <w:t>, un modelo</w:t>
      </w:r>
      <w:r>
        <w:rPr>
          <w:rFonts w:ascii="Times New Roman" w:eastAsia="Times New Roman" w:hAnsi="Times New Roman" w:cs="Times New Roman"/>
          <w:sz w:val="23"/>
          <w:szCs w:val="23"/>
        </w:rPr>
        <w:t xml:space="preserve"> socio económico que genera más pobreza, migración, desinformación y exclusión.</w:t>
      </w:r>
      <w:r>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br/>
      </w:r>
    </w:p>
    <w:p w:rsidR="00C347AC" w:rsidRDefault="00271CEB">
      <w:pPr>
        <w:spacing w:after="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Los</w:t>
      </w:r>
      <w:r>
        <w:rPr>
          <w:rFonts w:ascii="Times New Roman" w:eastAsia="Times New Roman" w:hAnsi="Times New Roman" w:cs="Times New Roman"/>
          <w:sz w:val="23"/>
          <w:szCs w:val="23"/>
        </w:rPr>
        <w:t xml:space="preserve"> Acuerdo</w:t>
      </w:r>
      <w:r>
        <w:rPr>
          <w:rFonts w:ascii="Times New Roman" w:eastAsia="Times New Roman" w:hAnsi="Times New Roman" w:cs="Times New Roman"/>
          <w:sz w:val="23"/>
          <w:szCs w:val="23"/>
        </w:rPr>
        <w:t>s</w:t>
      </w:r>
      <w:r>
        <w:rPr>
          <w:rFonts w:ascii="Times New Roman" w:eastAsia="Times New Roman" w:hAnsi="Times New Roman" w:cs="Times New Roman"/>
          <w:sz w:val="23"/>
          <w:szCs w:val="23"/>
        </w:rPr>
        <w:t xml:space="preserve"> de Paz de Guatemala, firmados en 1996,  inciso H, </w:t>
      </w:r>
      <w:r>
        <w:rPr>
          <w:rFonts w:ascii="Times New Roman" w:eastAsia="Times New Roman" w:hAnsi="Times New Roman" w:cs="Times New Roman"/>
          <w:sz w:val="23"/>
          <w:szCs w:val="23"/>
        </w:rPr>
        <w:t>hace referencia</w:t>
      </w:r>
      <w:r>
        <w:rPr>
          <w:rFonts w:ascii="Times New Roman" w:eastAsia="Times New Roman" w:hAnsi="Times New Roman" w:cs="Times New Roman"/>
          <w:sz w:val="23"/>
          <w:szCs w:val="23"/>
        </w:rPr>
        <w:t xml:space="preserve"> a los Medios </w:t>
      </w:r>
      <w:r>
        <w:rPr>
          <w:rFonts w:ascii="Times New Roman" w:eastAsia="Times New Roman" w:hAnsi="Times New Roman" w:cs="Times New Roman"/>
          <w:sz w:val="23"/>
          <w:szCs w:val="23"/>
        </w:rPr>
        <w:t xml:space="preserve">de Comunicación en </w:t>
      </w:r>
      <w:r>
        <w:rPr>
          <w:rFonts w:ascii="Times New Roman" w:eastAsia="Times New Roman" w:hAnsi="Times New Roman" w:cs="Times New Roman"/>
          <w:sz w:val="23"/>
          <w:szCs w:val="23"/>
        </w:rPr>
        <w:t>el</w:t>
      </w:r>
      <w:r>
        <w:rPr>
          <w:rFonts w:ascii="Times New Roman" w:eastAsia="Times New Roman" w:hAnsi="Times New Roman" w:cs="Times New Roman"/>
          <w:sz w:val="23"/>
          <w:szCs w:val="23"/>
        </w:rPr>
        <w:t xml:space="preserve"> cual el Estado se compromete a reformar la Ley de Radiocomunicaciones para facilitar frecuencias radioeléctricas a los </w:t>
      </w:r>
      <w:r>
        <w:rPr>
          <w:rFonts w:ascii="Times New Roman" w:eastAsia="Times New Roman" w:hAnsi="Times New Roman" w:cs="Times New Roman"/>
          <w:sz w:val="23"/>
          <w:szCs w:val="23"/>
        </w:rPr>
        <w:t>Pueblos Indígenas</w:t>
      </w:r>
      <w:r>
        <w:rPr>
          <w:rFonts w:ascii="Times New Roman" w:eastAsia="Times New Roman" w:hAnsi="Times New Roman" w:cs="Times New Roman"/>
          <w:sz w:val="23"/>
          <w:szCs w:val="23"/>
        </w:rPr>
        <w:t xml:space="preserve"> sin discriminación. El enfoque de este reporte analiza </w:t>
      </w:r>
      <w:r>
        <w:rPr>
          <w:rFonts w:ascii="Times New Roman" w:eastAsia="Times New Roman" w:hAnsi="Times New Roman" w:cs="Times New Roman"/>
          <w:sz w:val="23"/>
          <w:szCs w:val="23"/>
        </w:rPr>
        <w:t>específicamente</w:t>
      </w:r>
      <w:r>
        <w:rPr>
          <w:rFonts w:ascii="Times New Roman" w:eastAsia="Times New Roman" w:hAnsi="Times New Roman" w:cs="Times New Roman"/>
          <w:sz w:val="23"/>
          <w:szCs w:val="23"/>
        </w:rPr>
        <w:t xml:space="preserve"> las maneras en que el Esta</w:t>
      </w:r>
      <w:r>
        <w:rPr>
          <w:rFonts w:ascii="Times New Roman" w:eastAsia="Times New Roman" w:hAnsi="Times New Roman" w:cs="Times New Roman"/>
          <w:sz w:val="23"/>
          <w:szCs w:val="23"/>
        </w:rPr>
        <w:t>do de Guatemala ha fallado en hacer realidad e</w:t>
      </w:r>
      <w:r>
        <w:rPr>
          <w:rFonts w:ascii="Times New Roman" w:eastAsia="Times New Roman" w:hAnsi="Times New Roman" w:cs="Times New Roman"/>
          <w:sz w:val="23"/>
          <w:szCs w:val="23"/>
        </w:rPr>
        <w:t>l</w:t>
      </w:r>
      <w:r>
        <w:rPr>
          <w:rFonts w:ascii="Times New Roman" w:eastAsia="Times New Roman" w:hAnsi="Times New Roman" w:cs="Times New Roman"/>
          <w:sz w:val="23"/>
          <w:szCs w:val="23"/>
        </w:rPr>
        <w:t xml:space="preserve"> derecho a la libre expresión de Pueblos </w:t>
      </w:r>
      <w:r>
        <w:rPr>
          <w:rFonts w:ascii="Times New Roman" w:eastAsia="Times New Roman" w:hAnsi="Times New Roman" w:cs="Times New Roman"/>
          <w:sz w:val="23"/>
          <w:szCs w:val="23"/>
        </w:rPr>
        <w:t>Indígenas</w:t>
      </w:r>
      <w:r>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a través</w:t>
      </w:r>
      <w:r>
        <w:rPr>
          <w:rFonts w:ascii="Times New Roman" w:eastAsia="Times New Roman" w:hAnsi="Times New Roman" w:cs="Times New Roman"/>
          <w:sz w:val="23"/>
          <w:szCs w:val="23"/>
        </w:rPr>
        <w:t xml:space="preserve"> de sus propios medios: la radio comunitaria</w:t>
      </w:r>
      <w:r>
        <w:rPr>
          <w:rFonts w:ascii="Times New Roman" w:eastAsia="Times New Roman" w:hAnsi="Times New Roman" w:cs="Times New Roman"/>
          <w:sz w:val="23"/>
          <w:szCs w:val="23"/>
        </w:rPr>
        <w:t xml:space="preserve">, a pesar  de una variedad de recomendaciones sobre el tema de diversos organismos de la ONU y los mismos </w:t>
      </w:r>
      <w:r>
        <w:rPr>
          <w:rFonts w:ascii="Times New Roman" w:eastAsia="Times New Roman" w:hAnsi="Times New Roman" w:cs="Times New Roman"/>
          <w:sz w:val="23"/>
          <w:szCs w:val="23"/>
        </w:rPr>
        <w:t>Acuerdos de Paz.</w:t>
      </w:r>
      <w:r>
        <w:rPr>
          <w:rFonts w:ascii="Times New Roman" w:eastAsia="Times New Roman" w:hAnsi="Times New Roman" w:cs="Times New Roman"/>
          <w:sz w:val="23"/>
          <w:szCs w:val="23"/>
        </w:rPr>
        <w:br/>
      </w:r>
    </w:p>
    <w:p w:rsidR="00C347AC" w:rsidRDefault="00C347AC">
      <w:pPr>
        <w:spacing w:after="0"/>
        <w:jc w:val="both"/>
        <w:rPr>
          <w:rFonts w:ascii="Times New Roman" w:eastAsia="Times New Roman" w:hAnsi="Times New Roman" w:cs="Times New Roman"/>
          <w:sz w:val="8"/>
          <w:szCs w:val="8"/>
        </w:rPr>
      </w:pPr>
    </w:p>
    <w:p w:rsidR="00C347AC" w:rsidRDefault="00271CEB" w:rsidP="00E849D8">
      <w:pPr>
        <w:pStyle w:val="Heading3"/>
        <w:numPr>
          <w:ilvl w:val="0"/>
          <w:numId w:val="1"/>
        </w:numPr>
        <w:spacing w:after="0"/>
      </w:pPr>
      <w:bookmarkStart w:id="4" w:name="_snhoxvu24q91" w:colFirst="0" w:colLast="0"/>
      <w:bookmarkEnd w:id="4"/>
      <w:r>
        <w:rPr>
          <w:rFonts w:ascii="Times New Roman" w:eastAsia="Times New Roman" w:hAnsi="Times New Roman" w:cs="Times New Roman"/>
        </w:rPr>
        <w:t xml:space="preserve">ANTECEDENTES </w:t>
      </w:r>
      <w:r>
        <w:rPr>
          <w:rFonts w:ascii="Times New Roman" w:eastAsia="Times New Roman" w:hAnsi="Times New Roman" w:cs="Times New Roman"/>
        </w:rPr>
        <w:t>DESDE EL CERD</w:t>
      </w:r>
      <w:r>
        <w:br/>
      </w:r>
    </w:p>
    <w:p w:rsidR="00C347AC" w:rsidRDefault="00271CEB">
      <w:pPr>
        <w:rPr>
          <w:rFonts w:ascii="Times New Roman" w:eastAsia="Times New Roman" w:hAnsi="Times New Roman" w:cs="Times New Roman"/>
          <w:sz w:val="23"/>
          <w:szCs w:val="23"/>
        </w:rPr>
      </w:pPr>
      <w:r>
        <w:rPr>
          <w:rFonts w:ascii="Times New Roman" w:eastAsia="Times New Roman" w:hAnsi="Times New Roman" w:cs="Times New Roman"/>
          <w:sz w:val="23"/>
          <w:szCs w:val="23"/>
        </w:rPr>
        <w:t>En las observaciones finales sobre los informes periódicos 14.º y 15.º combinados de Guatemala, publicados en 2015, el CERD hizo los siguientes observaciones sobre el derecho de la libertad de expresión para r</w:t>
      </w:r>
      <w:r>
        <w:rPr>
          <w:rFonts w:ascii="Times New Roman" w:eastAsia="Times New Roman" w:hAnsi="Times New Roman" w:cs="Times New Roman"/>
          <w:sz w:val="23"/>
          <w:szCs w:val="23"/>
        </w:rPr>
        <w:t>adios comunitarias en Guatemala:</w:t>
      </w:r>
    </w:p>
    <w:p w:rsidR="00C347AC" w:rsidRDefault="00271CEB">
      <w:pPr>
        <w:numPr>
          <w:ilvl w:val="0"/>
          <w:numId w:val="2"/>
        </w:numPr>
      </w:pPr>
      <w:r>
        <w:rPr>
          <w:rFonts w:ascii="Times New Roman" w:eastAsia="Times New Roman" w:hAnsi="Times New Roman" w:cs="Times New Roman"/>
          <w:sz w:val="23"/>
          <w:szCs w:val="23"/>
        </w:rPr>
        <w:t>Marco lega</w:t>
      </w:r>
      <w:r>
        <w:rPr>
          <w:rFonts w:ascii="Times New Roman" w:eastAsia="Times New Roman" w:hAnsi="Times New Roman" w:cs="Times New Roman"/>
        </w:rPr>
        <w:t xml:space="preserve">l 9:  </w:t>
      </w:r>
      <w:r>
        <w:rPr>
          <w:rFonts w:ascii="Times New Roman" w:eastAsia="Times New Roman" w:hAnsi="Times New Roman" w:cs="Times New Roman"/>
          <w:i/>
        </w:rPr>
        <w:t>El Comité nota con preocupación brechas en la implementación del Acuerdo sobre Identidad y Derechos de los Pueblos Indígenas —uno de los 12 Acuerdos de Paz— y destaca al respecto la importancia de reformas e</w:t>
      </w:r>
      <w:r>
        <w:rPr>
          <w:rFonts w:ascii="Times New Roman" w:eastAsia="Times New Roman" w:hAnsi="Times New Roman" w:cs="Times New Roman"/>
          <w:i/>
        </w:rPr>
        <w:t xml:space="preserve">structurales. El Comité toma nota del compromiso de Guatemala para llevar a cabo las necesarias reformas constitucionales y asimismo reconocer formalmente los pueblos indígenas, sus lenguas, espiritualidad, justicia, y otros contenidos de dicho Acuerdo de </w:t>
      </w:r>
      <w:r>
        <w:rPr>
          <w:rFonts w:ascii="Times New Roman" w:eastAsia="Times New Roman" w:hAnsi="Times New Roman" w:cs="Times New Roman"/>
          <w:i/>
        </w:rPr>
        <w:t>Paz. Asimismo, el Comité sigue preocupado por la falta de avances en la discusión y aprobación por el Congreso de varias iniciativas tales como...los medios de comunicación comunitarios (iniciativa 4087) ...</w:t>
      </w:r>
    </w:p>
    <w:p w:rsidR="00C347AC" w:rsidRDefault="00271CEB">
      <w:pPr>
        <w:ind w:left="720"/>
        <w:rPr>
          <w:rFonts w:ascii="Times New Roman" w:eastAsia="Times New Roman" w:hAnsi="Times New Roman" w:cs="Times New Roman"/>
        </w:rPr>
      </w:pPr>
      <w:r>
        <w:rPr>
          <w:rFonts w:ascii="Times New Roman" w:eastAsia="Times New Roman" w:hAnsi="Times New Roman" w:cs="Times New Roman"/>
        </w:rPr>
        <w:t xml:space="preserve">Y continúa, </w:t>
      </w:r>
    </w:p>
    <w:p w:rsidR="00C347AC" w:rsidRDefault="00271CEB">
      <w:pPr>
        <w:ind w:left="720"/>
        <w:rPr>
          <w:rFonts w:ascii="Times New Roman" w:eastAsia="Times New Roman" w:hAnsi="Times New Roman" w:cs="Times New Roman"/>
          <w:i/>
        </w:rPr>
      </w:pPr>
      <w:r>
        <w:rPr>
          <w:rFonts w:ascii="Times New Roman" w:eastAsia="Times New Roman" w:hAnsi="Times New Roman" w:cs="Times New Roman"/>
          <w:i/>
        </w:rPr>
        <w:t>Preocupa al Comité que la aprobación de varias de estas iniciativas siga pendiente en el Congreso desde hace más de una década. El Comité recomienda dar prioridad en la agenda legislativa a las iniciativas para la lucha contra la discriminación racial y la</w:t>
      </w:r>
      <w:r>
        <w:rPr>
          <w:rFonts w:ascii="Times New Roman" w:eastAsia="Times New Roman" w:hAnsi="Times New Roman" w:cs="Times New Roman"/>
          <w:i/>
        </w:rPr>
        <w:t xml:space="preserve"> promoción de los derechos de los pueblos indígenas para su urgente discusión y adopción, en consulta con dichos pueblos. El Comité recomienda </w:t>
      </w:r>
      <w:r>
        <w:rPr>
          <w:rFonts w:ascii="Times New Roman" w:eastAsia="Times New Roman" w:hAnsi="Times New Roman" w:cs="Times New Roman"/>
          <w:i/>
        </w:rPr>
        <w:lastRenderedPageBreak/>
        <w:t>también tomar las medidas estructurales adecuadas para implementar plenamente el Acuerdo sobre Identidad y Derech</w:t>
      </w:r>
      <w:r>
        <w:rPr>
          <w:rFonts w:ascii="Times New Roman" w:eastAsia="Times New Roman" w:hAnsi="Times New Roman" w:cs="Times New Roman"/>
          <w:i/>
        </w:rPr>
        <w:t>os de los Pueblos Indígenas, incluso con las necesarias reformas constitucionales, considerando la posibilidad de establecer mesas de trabajo al respecto con los pueblos indígenas</w:t>
      </w:r>
      <w:r>
        <w:rPr>
          <w:rFonts w:ascii="Times New Roman" w:eastAsia="Times New Roman" w:hAnsi="Times New Roman" w:cs="Times New Roman"/>
          <w:i/>
        </w:rPr>
        <w:br/>
      </w:r>
    </w:p>
    <w:p w:rsidR="00C347AC" w:rsidRPr="00271CEB" w:rsidRDefault="00271CEB" w:rsidP="00271CEB">
      <w:pPr>
        <w:numPr>
          <w:ilvl w:val="0"/>
          <w:numId w:val="1"/>
        </w:numPr>
        <w:rPr>
          <w:rFonts w:ascii="Times New Roman" w:eastAsia="Times New Roman" w:hAnsi="Times New Roman" w:cs="Times New Roman"/>
        </w:rPr>
      </w:pPr>
      <w:r w:rsidRPr="00271CEB">
        <w:rPr>
          <w:rFonts w:ascii="Times New Roman" w:eastAsia="Times New Roman" w:hAnsi="Times New Roman" w:cs="Times New Roman"/>
        </w:rPr>
        <w:t xml:space="preserve">Medios de comunicación 24. </w:t>
      </w:r>
      <w:r w:rsidRPr="00271CEB">
        <w:rPr>
          <w:rFonts w:ascii="Times New Roman" w:eastAsia="Times New Roman" w:hAnsi="Times New Roman" w:cs="Times New Roman"/>
          <w:i/>
        </w:rPr>
        <w:t>El Comité nota con preocupación que aún siguen e</w:t>
      </w:r>
      <w:r w:rsidRPr="00271CEB">
        <w:rPr>
          <w:rFonts w:ascii="Times New Roman" w:eastAsia="Times New Roman" w:hAnsi="Times New Roman" w:cs="Times New Roman"/>
          <w:i/>
        </w:rPr>
        <w:t>xistiendo en los medios de comunicación manifestaciones de discriminación racial. Asimismo, el Comité destaca la importancia de los medios de comunicación comunitarios para los pueblos indígenas y nota con preocupación intervenciones del Estado para cerrar</w:t>
      </w:r>
      <w:r w:rsidRPr="00271CEB">
        <w:rPr>
          <w:rFonts w:ascii="Times New Roman" w:eastAsia="Times New Roman" w:hAnsi="Times New Roman" w:cs="Times New Roman"/>
          <w:i/>
        </w:rPr>
        <w:t xml:space="preserve"> radios comunitarias y la ausencia de un marco jurídico al respecto (art. 7). El Comité reitera su recomendación (CERD/C/GTM/CO/12-13 párr. 17) para la adopción de medidas apropiadas para combatir los prejuicios raciales en los medios de comunicación. El C</w:t>
      </w:r>
      <w:r w:rsidRPr="00271CEB">
        <w:rPr>
          <w:rFonts w:ascii="Times New Roman" w:eastAsia="Times New Roman" w:hAnsi="Times New Roman" w:cs="Times New Roman"/>
          <w:i/>
        </w:rPr>
        <w:t>omité recomienda seguir trabajando, en consulta con los pueblos indígenas, para la adopción de un marco legal sobre medios de comunicación comunitarios, reservando frecuencias para radios comunitarias.</w:t>
      </w:r>
      <w:bookmarkStart w:id="5" w:name="_b2hdii8sluyh" w:colFirst="0" w:colLast="0"/>
      <w:bookmarkEnd w:id="5"/>
      <w:r w:rsidRPr="00271CEB">
        <w:rPr>
          <w:rFonts w:ascii="Times New Roman" w:eastAsia="Times New Roman" w:hAnsi="Times New Roman" w:cs="Times New Roman"/>
        </w:rPr>
        <w:t xml:space="preserve"> VIOLACIONES CONTINUAS SOBRE EL DERECHO DE LA LIBERTAD</w:t>
      </w:r>
      <w:r w:rsidRPr="00271CEB">
        <w:rPr>
          <w:rFonts w:ascii="Times New Roman" w:eastAsia="Times New Roman" w:hAnsi="Times New Roman" w:cs="Times New Roman"/>
        </w:rPr>
        <w:t xml:space="preserve"> DE EXPRESIÓN PARA PUEBLOS INDÍGENAS EN GUATEMALA</w:t>
      </w:r>
      <w:r>
        <w:rPr>
          <w:rFonts w:ascii="Times New Roman" w:eastAsia="Times New Roman" w:hAnsi="Times New Roman" w:cs="Times New Roman"/>
        </w:rPr>
        <w:br/>
      </w:r>
    </w:p>
    <w:p w:rsidR="00C347AC" w:rsidRDefault="00271CEB">
      <w:pPr>
        <w:pStyle w:val="Heading3"/>
        <w:spacing w:after="0"/>
        <w:ind w:left="0"/>
        <w:jc w:val="both"/>
        <w:rPr>
          <w:rFonts w:ascii="Times New Roman" w:eastAsia="Times New Roman" w:hAnsi="Times New Roman" w:cs="Times New Roman"/>
          <w:sz w:val="23"/>
          <w:szCs w:val="23"/>
        </w:rPr>
      </w:pPr>
      <w:r>
        <w:rPr>
          <w:rFonts w:ascii="Times New Roman" w:eastAsia="Times New Roman" w:hAnsi="Times New Roman" w:cs="Times New Roman"/>
          <w:sz w:val="24"/>
          <w:szCs w:val="24"/>
        </w:rPr>
        <w:t>A</w:t>
      </w:r>
      <w:r>
        <w:rPr>
          <w:rFonts w:ascii="Times New Roman" w:eastAsia="Times New Roman" w:hAnsi="Times New Roman" w:cs="Times New Roman"/>
          <w:sz w:val="24"/>
          <w:szCs w:val="24"/>
        </w:rPr>
        <w:t>.       INCUMPLIMIENTO DEL EXHORTO DE LA CORTE DE CONSTITUCIONALIDAD</w:t>
      </w:r>
    </w:p>
    <w:p w:rsidR="00C347AC" w:rsidRDefault="00271CEB">
      <w:pPr>
        <w:pStyle w:val="Heading3"/>
        <w:spacing w:after="0"/>
        <w:ind w:left="0"/>
        <w:jc w:val="both"/>
        <w:rPr>
          <w:rFonts w:ascii="Times New Roman" w:eastAsia="Times New Roman" w:hAnsi="Times New Roman" w:cs="Times New Roman"/>
          <w:b w:val="0"/>
          <w:sz w:val="24"/>
          <w:szCs w:val="24"/>
        </w:rPr>
      </w:pPr>
      <w:r>
        <w:rPr>
          <w:rFonts w:ascii="Times New Roman" w:eastAsia="Times New Roman" w:hAnsi="Times New Roman" w:cs="Times New Roman"/>
          <w:b w:val="0"/>
          <w:sz w:val="24"/>
          <w:szCs w:val="24"/>
        </w:rPr>
        <w:t>En el 2011, la Corte de Constitucionalidad de Guatemala, emitió un exhorto (4238-2011)</w:t>
      </w:r>
      <w:r>
        <w:rPr>
          <w:rFonts w:ascii="Times New Roman" w:eastAsia="Times New Roman" w:hAnsi="Times New Roman" w:cs="Times New Roman"/>
          <w:b w:val="0"/>
          <w:color w:val="263238"/>
          <w:sz w:val="20"/>
          <w:szCs w:val="20"/>
        </w:rPr>
        <w:t xml:space="preserve">, </w:t>
      </w:r>
      <w:r>
        <w:rPr>
          <w:rFonts w:ascii="Times New Roman" w:eastAsia="Times New Roman" w:hAnsi="Times New Roman" w:cs="Times New Roman"/>
          <w:b w:val="0"/>
          <w:sz w:val="24"/>
          <w:szCs w:val="24"/>
        </w:rPr>
        <w:t xml:space="preserve"> que ordenó al Congreso de la República enmendar</w:t>
      </w:r>
      <w:r>
        <w:rPr>
          <w:rFonts w:ascii="Times New Roman" w:eastAsia="Times New Roman" w:hAnsi="Times New Roman" w:cs="Times New Roman"/>
          <w:b w:val="0"/>
          <w:sz w:val="24"/>
          <w:szCs w:val="24"/>
        </w:rPr>
        <w:t xml:space="preserve"> la Ley de Telecomunicaciones de Guatemala, Decreto 94-96, para que los Pueblos Indígenas puedan acceder a las frecuencias de radio.  Sin embargo, desde ese momento los legisladores no han ejercido voluntad política de presentarlo  en el pleno y darle cump</w:t>
      </w:r>
      <w:r>
        <w:rPr>
          <w:rFonts w:ascii="Times New Roman" w:eastAsia="Times New Roman" w:hAnsi="Times New Roman" w:cs="Times New Roman"/>
          <w:b w:val="0"/>
          <w:sz w:val="24"/>
          <w:szCs w:val="24"/>
        </w:rPr>
        <w:t>limiento al exhorto de la máxima instancia de derecho, de reformar la legislación vigente para que los Pueblos Indígenas accedan a frecuencias radiofónicas para promover, desarrollar y difundir sus idiomas y tradiciones y otras expresiones culturales.  Ade</w:t>
      </w:r>
      <w:r>
        <w:rPr>
          <w:rFonts w:ascii="Times New Roman" w:eastAsia="Times New Roman" w:hAnsi="Times New Roman" w:cs="Times New Roman"/>
          <w:b w:val="0"/>
          <w:sz w:val="24"/>
          <w:szCs w:val="24"/>
        </w:rPr>
        <w:t xml:space="preserve">más de ésta obviación de derecho,  el Congreso aprobó el decreto 34-2012  en el año 2012, el cual amplía el usufructo de las frecuencias radioeléctricas por un periodo de 20 años prorrogables indefinidamente para las radios comerciales sin tomar en cuenta </w:t>
      </w:r>
      <w:r>
        <w:rPr>
          <w:rFonts w:ascii="Times New Roman" w:eastAsia="Times New Roman" w:hAnsi="Times New Roman" w:cs="Times New Roman"/>
          <w:b w:val="0"/>
          <w:sz w:val="24"/>
          <w:szCs w:val="24"/>
        </w:rPr>
        <w:t>las radios comunitarias.   El caso fue llevado a la Comisión Interamericana de Derechos Humanos dónde está pendiente de una decisión.</w:t>
      </w:r>
    </w:p>
    <w:p w:rsidR="00C347AC" w:rsidRDefault="00271CEB">
      <w:pPr>
        <w:pStyle w:val="Heading3"/>
        <w:ind w:left="0"/>
        <w:rPr>
          <w:rFonts w:ascii="Times New Roman" w:eastAsia="Times New Roman" w:hAnsi="Times New Roman" w:cs="Times New Roman"/>
          <w:b w:val="0"/>
          <w:sz w:val="23"/>
          <w:szCs w:val="23"/>
        </w:rPr>
      </w:pPr>
      <w:r>
        <w:rPr>
          <w:rFonts w:ascii="Times New Roman" w:eastAsia="Times New Roman" w:hAnsi="Times New Roman" w:cs="Times New Roman"/>
          <w:b w:val="0"/>
          <w:sz w:val="4"/>
          <w:szCs w:val="4"/>
        </w:rPr>
        <w:t xml:space="preserve"> </w:t>
      </w:r>
    </w:p>
    <w:p w:rsidR="00C347AC" w:rsidRDefault="00271CEB">
      <w:pPr>
        <w:pStyle w:val="Heading3"/>
        <w:spacing w:after="0"/>
        <w:ind w:left="0"/>
        <w:jc w:val="both"/>
        <w:rPr>
          <w:sz w:val="24"/>
          <w:szCs w:val="24"/>
        </w:rPr>
      </w:pPr>
      <w:r>
        <w:rPr>
          <w:rFonts w:ascii="Times New Roman" w:eastAsia="Times New Roman" w:hAnsi="Times New Roman" w:cs="Times New Roman"/>
          <w:sz w:val="24"/>
          <w:szCs w:val="24"/>
        </w:rPr>
        <w:t>B. ESTATUS DE  LA INICIATIVA 4087 LEY DE MEDIOS DE COMUNICACIÓN COMUNITARIA</w:t>
      </w:r>
    </w:p>
    <w:p w:rsidR="00C347AC" w:rsidRDefault="00271CEB">
      <w:pPr>
        <w:pStyle w:val="Heading3"/>
        <w:ind w:left="0"/>
        <w:jc w:val="both"/>
        <w:rPr>
          <w:rFonts w:ascii="Times New Roman" w:eastAsia="Times New Roman" w:hAnsi="Times New Roman" w:cs="Times New Roman"/>
          <w:b w:val="0"/>
          <w:sz w:val="24"/>
          <w:szCs w:val="24"/>
        </w:rPr>
      </w:pPr>
      <w:r>
        <w:rPr>
          <w:rFonts w:ascii="Times New Roman" w:eastAsia="Times New Roman" w:hAnsi="Times New Roman" w:cs="Times New Roman"/>
          <w:b w:val="0"/>
          <w:sz w:val="24"/>
          <w:szCs w:val="24"/>
        </w:rPr>
        <w:t>La iniciativa de ley 4087 daría autorización legal a las radios comunitarias para tener una frecuencia en el espectro radioeléctrico por municipio, lo que daría un</w:t>
      </w:r>
      <w:r>
        <w:rPr>
          <w:rFonts w:ascii="Times New Roman" w:eastAsia="Times New Roman" w:hAnsi="Times New Roman" w:cs="Times New Roman"/>
          <w:b w:val="0"/>
          <w:sz w:val="24"/>
          <w:szCs w:val="24"/>
        </w:rPr>
        <w:t xml:space="preserve"> espacio protegido a Pueblos Indígenas y otros grupos marginalizados a expresarse a través d</w:t>
      </w:r>
      <w:r>
        <w:rPr>
          <w:rFonts w:ascii="Times New Roman" w:eastAsia="Times New Roman" w:hAnsi="Times New Roman" w:cs="Times New Roman"/>
          <w:b w:val="0"/>
          <w:sz w:val="24"/>
          <w:szCs w:val="24"/>
        </w:rPr>
        <w:t>e sus propias formas de comunicación.  En sus observaciones finales en 2015 el Comité expresó: “</w:t>
      </w:r>
      <w:r>
        <w:rPr>
          <w:rFonts w:ascii="Times New Roman" w:eastAsia="Times New Roman" w:hAnsi="Times New Roman" w:cs="Times New Roman"/>
          <w:b w:val="0"/>
          <w:i/>
          <w:sz w:val="22"/>
          <w:szCs w:val="22"/>
        </w:rPr>
        <w:t>el Comité sigue preocupado por la falta de avances en la discusión y aprobación por el Congreso de varias iniciativas tales como...los medios de comunicación co</w:t>
      </w:r>
      <w:r>
        <w:rPr>
          <w:rFonts w:ascii="Times New Roman" w:eastAsia="Times New Roman" w:hAnsi="Times New Roman" w:cs="Times New Roman"/>
          <w:b w:val="0"/>
          <w:i/>
          <w:sz w:val="22"/>
          <w:szCs w:val="22"/>
        </w:rPr>
        <w:t xml:space="preserve">munitarios (iniciativa 4087).” </w:t>
      </w:r>
    </w:p>
    <w:p w:rsidR="00C347AC" w:rsidRDefault="00271CEB">
      <w:pPr>
        <w:pStyle w:val="Heading3"/>
        <w:ind w:left="0"/>
        <w:jc w:val="both"/>
        <w:rPr>
          <w:rFonts w:ascii="Times New Roman" w:eastAsia="Times New Roman" w:hAnsi="Times New Roman" w:cs="Times New Roman"/>
          <w:b w:val="0"/>
          <w:sz w:val="24"/>
          <w:szCs w:val="24"/>
        </w:rPr>
      </w:pPr>
      <w:r>
        <w:rPr>
          <w:rFonts w:ascii="Times New Roman" w:eastAsia="Times New Roman" w:hAnsi="Times New Roman" w:cs="Times New Roman"/>
          <w:b w:val="0"/>
          <w:sz w:val="24"/>
          <w:szCs w:val="24"/>
        </w:rPr>
        <w:t xml:space="preserve">En febrero del 2016, después de más que 10 años de incidencia, se conoció en su primera y segunda lectura de la iniciativa 4087. A pesar de los esfuerzos realizados  para que se siguiera con la tercera </w:t>
      </w:r>
      <w:r>
        <w:rPr>
          <w:rFonts w:ascii="Times New Roman" w:eastAsia="Times New Roman" w:hAnsi="Times New Roman" w:cs="Times New Roman"/>
          <w:b w:val="0"/>
          <w:sz w:val="24"/>
          <w:szCs w:val="24"/>
        </w:rPr>
        <w:lastRenderedPageBreak/>
        <w:t>lectura, (necesaria pa</w:t>
      </w:r>
      <w:r>
        <w:rPr>
          <w:rFonts w:ascii="Times New Roman" w:eastAsia="Times New Roman" w:hAnsi="Times New Roman" w:cs="Times New Roman"/>
          <w:b w:val="0"/>
          <w:sz w:val="24"/>
          <w:szCs w:val="24"/>
        </w:rPr>
        <w:t xml:space="preserve">ra aprobar una ley en Guatemala) se descartó de la agenda legislativa y a finales  de febrero de 2016 el Presidente del Congreso, Mario Taracena, propuso la instalación de una Mesa Técnica integrada por cinco diputados a quienes les encomendó analizar con </w:t>
      </w:r>
      <w:r>
        <w:rPr>
          <w:rFonts w:ascii="Times New Roman" w:eastAsia="Times New Roman" w:hAnsi="Times New Roman" w:cs="Times New Roman"/>
          <w:b w:val="0"/>
          <w:sz w:val="24"/>
          <w:szCs w:val="24"/>
        </w:rPr>
        <w:t>“distintos sectores interesados” el contenido de la iniciativa 4087 de la cual debían emitir su opinión sobre la viabilidad de la iniciativa. La  mesa  técnica en  ningún momento analizó el contenido de la iniciativa 4087;  se limitó  a escuchar la opinión</w:t>
      </w:r>
      <w:r>
        <w:rPr>
          <w:rFonts w:ascii="Times New Roman" w:eastAsia="Times New Roman" w:hAnsi="Times New Roman" w:cs="Times New Roman"/>
          <w:b w:val="0"/>
          <w:sz w:val="24"/>
          <w:szCs w:val="24"/>
        </w:rPr>
        <w:t xml:space="preserve"> de la Superintendencia de Telecomunicaciones (SIT) y la Cámara de Radiodifusión de Guatemala (CRG), no así a las organizaciones que promueven la democratización de los medios de comunicación, quienes entregaron a la presidencia de la mesa técnica document</w:t>
      </w:r>
      <w:r>
        <w:rPr>
          <w:rFonts w:ascii="Times New Roman" w:eastAsia="Times New Roman" w:hAnsi="Times New Roman" w:cs="Times New Roman"/>
          <w:b w:val="0"/>
          <w:sz w:val="24"/>
          <w:szCs w:val="24"/>
        </w:rPr>
        <w:t xml:space="preserve">ación del proceso y de los derechos que amparan la libertad de expresión y acceso a frecuencias radioeléctricas, las cuales, ni siquiera fueron tomados en cuenta en el informe.  Por su parte, la Cámara de Radiodifusión de Guatemala, incrementó a través de </w:t>
      </w:r>
      <w:r>
        <w:rPr>
          <w:rFonts w:ascii="Times New Roman" w:eastAsia="Times New Roman" w:hAnsi="Times New Roman" w:cs="Times New Roman"/>
          <w:b w:val="0"/>
          <w:sz w:val="24"/>
          <w:szCs w:val="24"/>
        </w:rPr>
        <w:t>los medios Televisivo, Escrito y Radial una campaña fomentando el discurso del odio y desinformación, denotando en los mensajes el racismo y la discriminación para que no avanzara ni se aprobara la iniciativa 4087 en el Congreso.</w:t>
      </w:r>
    </w:p>
    <w:p w:rsidR="00C347AC" w:rsidRDefault="00271CEB">
      <w:pPr>
        <w:pStyle w:val="Heading1"/>
        <w:spacing w:before="480" w:after="0"/>
        <w:jc w:val="both"/>
      </w:pPr>
      <w:bookmarkStart w:id="6" w:name="_bjzx6pgv0b7i" w:colFirst="0" w:colLast="0"/>
      <w:bookmarkEnd w:id="6"/>
      <w:r>
        <w:rPr>
          <w:rFonts w:ascii="Times New Roman" w:eastAsia="Times New Roman" w:hAnsi="Times New Roman" w:cs="Times New Roman"/>
          <w:b w:val="0"/>
          <w:sz w:val="24"/>
          <w:szCs w:val="24"/>
        </w:rPr>
        <w:t>Desde que se paralizaron las subastas, que fueron la manera de asignar las frecuencias radiales, los diputados han argumentado la nula existencia de frecuencias radioeléctricas, por tal razón no se puede facilitar a las radios comunitarias, lo cual se desm</w:t>
      </w:r>
      <w:r>
        <w:rPr>
          <w:rFonts w:ascii="Times New Roman" w:eastAsia="Times New Roman" w:hAnsi="Times New Roman" w:cs="Times New Roman"/>
          <w:b w:val="0"/>
          <w:sz w:val="24"/>
          <w:szCs w:val="24"/>
        </w:rPr>
        <w:t>intió en una sesión de Jefes de Bloque, de fecha 16 de agosto de 2016, a través del experto en Telecomunicaciones, Calixto Rodríguez, quien realizó un análisis de las frecuencias otorgadas por SIT, que se encuentra en la página web de dicha institución del</w:t>
      </w:r>
      <w:r>
        <w:rPr>
          <w:rFonts w:ascii="Times New Roman" w:eastAsia="Times New Roman" w:hAnsi="Times New Roman" w:cs="Times New Roman"/>
          <w:b w:val="0"/>
          <w:sz w:val="24"/>
          <w:szCs w:val="24"/>
        </w:rPr>
        <w:t xml:space="preserve"> Estado (SIT/Registro de Telecomunicaciones Actualizado al 01/03/2016), develando, que es posible técnicamente asignar frecuencias a radios comunitarias.  Seguidamente, en una citación realizada por los Diputados Amílcar Pop y Sandra Moran de las bancadas </w:t>
      </w:r>
      <w:r>
        <w:rPr>
          <w:rFonts w:ascii="Times New Roman" w:eastAsia="Times New Roman" w:hAnsi="Times New Roman" w:cs="Times New Roman"/>
          <w:b w:val="0"/>
          <w:sz w:val="24"/>
          <w:szCs w:val="24"/>
        </w:rPr>
        <w:t>Winaq y Convergencia, con fecha 17 de octubre de 2016 al Superintendente de Telecomunicaciones y la Contraloría General de Cuentas de la Nación, se evidenció la inoperancia de SIT como ente regulador de la Frecuencias Radiofónicas, debido a que el superint</w:t>
      </w:r>
      <w:r>
        <w:rPr>
          <w:rFonts w:ascii="Times New Roman" w:eastAsia="Times New Roman" w:hAnsi="Times New Roman" w:cs="Times New Roman"/>
          <w:b w:val="0"/>
          <w:sz w:val="24"/>
          <w:szCs w:val="24"/>
        </w:rPr>
        <w:t xml:space="preserve">endente carece de información fidedigna y actualizada del número de frecuencias otorgadas en usufructo y las que se encuentran disponibles.  A nuestro criterio es un desorden de hecho para no dar a conocer y otorgar a los Pueblos Indígenas las frecuencias </w:t>
      </w:r>
      <w:r>
        <w:rPr>
          <w:rFonts w:ascii="Times New Roman" w:eastAsia="Times New Roman" w:hAnsi="Times New Roman" w:cs="Times New Roman"/>
          <w:b w:val="0"/>
          <w:sz w:val="24"/>
          <w:szCs w:val="24"/>
        </w:rPr>
        <w:t>disponibles, como lo manifiestan los Acuerdos de Paz y el Exhorto de la Corte de Constitucionalidad.</w:t>
      </w:r>
    </w:p>
    <w:p w:rsidR="00E849D8" w:rsidRDefault="00271CEB">
      <w:pPr>
        <w:pStyle w:val="Heading3"/>
        <w:ind w:left="0"/>
        <w:jc w:val="both"/>
        <w:rPr>
          <w:rFonts w:ascii="Times New Roman" w:eastAsia="Times New Roman" w:hAnsi="Times New Roman" w:cs="Times New Roman"/>
          <w:b w:val="0"/>
          <w:sz w:val="24"/>
          <w:szCs w:val="24"/>
        </w:rPr>
      </w:pPr>
      <w:bookmarkStart w:id="7" w:name="_jwwzpotgmmgj" w:colFirst="0" w:colLast="0"/>
      <w:bookmarkEnd w:id="7"/>
      <w:r>
        <w:rPr>
          <w:rFonts w:ascii="Times New Roman" w:eastAsia="Times New Roman" w:hAnsi="Times New Roman" w:cs="Times New Roman"/>
          <w:b w:val="0"/>
          <w:sz w:val="4"/>
          <w:szCs w:val="4"/>
        </w:rPr>
        <w:t xml:space="preserve"> </w:t>
      </w:r>
      <w:r>
        <w:rPr>
          <w:rFonts w:ascii="Times New Roman" w:eastAsia="Times New Roman" w:hAnsi="Times New Roman" w:cs="Times New Roman"/>
          <w:b w:val="0"/>
          <w:sz w:val="24"/>
          <w:szCs w:val="24"/>
        </w:rPr>
        <w:t xml:space="preserve">En el informe del Comisión Internacional de las Naciones Unidas contra la Impunidad en Guatemala (CICIG) </w:t>
      </w:r>
      <w:r>
        <w:rPr>
          <w:rFonts w:ascii="Times New Roman" w:eastAsia="Times New Roman" w:hAnsi="Times New Roman" w:cs="Times New Roman"/>
          <w:b w:val="0"/>
          <w:i/>
          <w:sz w:val="24"/>
          <w:szCs w:val="24"/>
        </w:rPr>
        <w:t>Financiamiento de la Política en Guatemala,</w:t>
      </w:r>
      <w:r>
        <w:rPr>
          <w:rFonts w:ascii="Times New Roman" w:eastAsia="Times New Roman" w:hAnsi="Times New Roman" w:cs="Times New Roman"/>
          <w:b w:val="0"/>
          <w:sz w:val="24"/>
          <w:szCs w:val="24"/>
        </w:rPr>
        <w:t xml:space="preserve"> de 20</w:t>
      </w:r>
      <w:r>
        <w:rPr>
          <w:rFonts w:ascii="Times New Roman" w:eastAsia="Times New Roman" w:hAnsi="Times New Roman" w:cs="Times New Roman"/>
          <w:b w:val="0"/>
          <w:sz w:val="24"/>
          <w:szCs w:val="24"/>
        </w:rPr>
        <w:t xml:space="preserve">15, la falta de voluntad política de legislar a favor de las radios comunitarias es explicado claramente: </w:t>
      </w:r>
      <w:r>
        <w:rPr>
          <w:rFonts w:ascii="Times New Roman" w:eastAsia="Times New Roman" w:hAnsi="Times New Roman" w:cs="Times New Roman"/>
          <w:b w:val="0"/>
          <w:i/>
          <w:sz w:val="24"/>
          <w:szCs w:val="24"/>
        </w:rPr>
        <w:t>“...las concesiones que usufructúa son el resultado de decisiones políticas… [Angel] González es propietario de una de las principales cadenas radiale</w:t>
      </w:r>
      <w:r>
        <w:rPr>
          <w:rFonts w:ascii="Times New Roman" w:eastAsia="Times New Roman" w:hAnsi="Times New Roman" w:cs="Times New Roman"/>
          <w:b w:val="0"/>
          <w:i/>
          <w:sz w:val="24"/>
          <w:szCs w:val="24"/>
        </w:rPr>
        <w:t>s del país, lo que le permite no solo influir en la construcción de las preferencias políticas, sino que todos los políticos deben llegar a entendidos con él si quieren promover sus candidaturas.</w:t>
      </w:r>
      <w:r>
        <w:rPr>
          <w:rFonts w:ascii="Times New Roman" w:eastAsia="Times New Roman" w:hAnsi="Times New Roman" w:cs="Times New Roman"/>
          <w:b w:val="0"/>
          <w:sz w:val="24"/>
          <w:szCs w:val="24"/>
        </w:rPr>
        <w:t>”</w:t>
      </w:r>
      <w:r w:rsidR="00E849D8">
        <w:rPr>
          <w:rFonts w:ascii="Times New Roman" w:eastAsia="Times New Roman" w:hAnsi="Times New Roman" w:cs="Times New Roman"/>
          <w:b w:val="0"/>
          <w:sz w:val="24"/>
          <w:szCs w:val="24"/>
          <w:vertAlign w:val="superscript"/>
        </w:rPr>
        <w:endnoteReference w:id="1"/>
      </w:r>
      <w:r w:rsidR="00E849D8">
        <w:rPr>
          <w:rFonts w:ascii="Times New Roman" w:eastAsia="Times New Roman" w:hAnsi="Times New Roman" w:cs="Times New Roman"/>
          <w:b w:val="0"/>
          <w:sz w:val="24"/>
          <w:szCs w:val="24"/>
        </w:rPr>
        <w:br/>
      </w:r>
    </w:p>
    <w:p w:rsidR="00E849D8" w:rsidRDefault="00E849D8">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Como discriminatoria señaló el Movimiento de Radios Comunitarias la propuesta de reformas a la Ley de Telecomunicaciones decreto 94-96 presentada en Junio 2018 por la Comisión de Comunicaciones de Congreso de la República, la  Organización Familiares y Amigos contra la Delincuencia y el Secuestro, la Contraloría General de Cuentas, la Procuraduría General de la Nación, que otra vez no reconoce  a las radios comunitarias, la cual fue entregada a la comisión de Probidad.</w:t>
      </w:r>
    </w:p>
    <w:p w:rsidR="00E849D8" w:rsidRDefault="00E849D8"/>
    <w:p w:rsidR="00E849D8" w:rsidRPr="00271CEB" w:rsidRDefault="00E849D8">
      <w:pPr>
        <w:pStyle w:val="Heading1"/>
        <w:spacing w:before="480" w:after="0" w:line="360" w:lineRule="auto"/>
        <w:jc w:val="both"/>
        <w:rPr>
          <w:rFonts w:ascii="Times New Roman" w:eastAsia="Times New Roman" w:hAnsi="Times New Roman" w:cs="Times New Roman"/>
          <w:sz w:val="24"/>
          <w:szCs w:val="24"/>
        </w:rPr>
      </w:pPr>
      <w:bookmarkStart w:id="8" w:name="_kaxuy64e0qop" w:colFirst="0" w:colLast="0"/>
      <w:bookmarkEnd w:id="8"/>
      <w:r w:rsidRPr="00271CEB">
        <w:rPr>
          <w:rFonts w:ascii="Times New Roman" w:eastAsia="Times New Roman" w:hAnsi="Times New Roman" w:cs="Times New Roman"/>
          <w:sz w:val="24"/>
          <w:szCs w:val="24"/>
        </w:rPr>
        <w:t>C.</w:t>
      </w:r>
      <w:r w:rsidRPr="00271CEB">
        <w:rPr>
          <w:rFonts w:ascii="Times New Roman" w:eastAsia="Times New Roman" w:hAnsi="Times New Roman" w:cs="Times New Roman"/>
          <w:b w:val="0"/>
          <w:sz w:val="24"/>
          <w:szCs w:val="24"/>
        </w:rPr>
        <w:t xml:space="preserve">             </w:t>
      </w:r>
      <w:r w:rsidRPr="00271CEB">
        <w:rPr>
          <w:rFonts w:ascii="Times New Roman" w:eastAsia="Times New Roman" w:hAnsi="Times New Roman" w:cs="Times New Roman"/>
          <w:sz w:val="24"/>
          <w:szCs w:val="24"/>
        </w:rPr>
        <w:t>CONCENTRACIÓN DE LA PROPIEDAD DE LOS MEDIOS</w:t>
      </w:r>
    </w:p>
    <w:p w:rsidR="00E849D8" w:rsidRDefault="00E849D8">
      <w:pPr>
        <w:spacing w:before="480" w:after="0"/>
        <w:jc w:val="both"/>
        <w:rPr>
          <w:rFonts w:ascii="Times New Roman" w:eastAsia="Times New Roman" w:hAnsi="Times New Roman" w:cs="Times New Roman"/>
          <w:sz w:val="24"/>
          <w:szCs w:val="24"/>
        </w:rPr>
      </w:pPr>
      <w:r>
        <w:rPr>
          <w:rFonts w:ascii="Times New Roman" w:eastAsia="Times New Roman" w:hAnsi="Times New Roman" w:cs="Times New Roman"/>
          <w:sz w:val="23"/>
          <w:szCs w:val="23"/>
        </w:rPr>
        <w:t>En 2015 el Comité</w:t>
      </w:r>
      <w:r>
        <w:rPr>
          <w:rFonts w:ascii="Times New Roman" w:eastAsia="Times New Roman" w:hAnsi="Times New Roman" w:cs="Times New Roman"/>
          <w:sz w:val="24"/>
          <w:szCs w:val="24"/>
        </w:rPr>
        <w:t xml:space="preserve"> expresó: “</w:t>
      </w:r>
      <w:r>
        <w:rPr>
          <w:rFonts w:ascii="Times New Roman" w:eastAsia="Times New Roman" w:hAnsi="Times New Roman" w:cs="Times New Roman"/>
          <w:i/>
          <w:sz w:val="24"/>
          <w:szCs w:val="24"/>
        </w:rPr>
        <w:t xml:space="preserve">El Comité nota con preocupación que aún siguen existiendo en los medios de comunicación manifestaciones de discriminación racial.”  </w:t>
      </w:r>
      <w:r>
        <w:rPr>
          <w:rFonts w:ascii="Times New Roman" w:eastAsia="Times New Roman" w:hAnsi="Times New Roman" w:cs="Times New Roman"/>
          <w:sz w:val="24"/>
          <w:szCs w:val="24"/>
        </w:rPr>
        <w:t>Esta situación sigue siendo un problema en Guatemala.  La concentración de los medios masivos en los manos de pocos empresarios (hombres, ladinos, y extranjeros) hace daño a los Pueblos Indígenas y todos los grupos marginalizados por efectivamente negarles la oportunidad de participar en los medios de comunicación  y limita su libertad de expresión. A la vez, reduce la visibilidad de grupos minoritarias y marginalizadas dentro de los medios, volviendo un país multilingüe y multiétnico a parecer un país monolingüe y mono</w:t>
      </w:r>
      <w:r w:rsidR="00271CE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étnico. Esto tiene como efecto una reducción en  la autoestima de las personas Indígenas al no verse reflejado en papeles de poder e influencia,  contribuye a mantener el </w:t>
      </w:r>
      <w:r>
        <w:rPr>
          <w:rFonts w:ascii="Times New Roman" w:eastAsia="Times New Roman" w:hAnsi="Times New Roman" w:cs="Times New Roman"/>
          <w:i/>
          <w:sz w:val="24"/>
          <w:szCs w:val="24"/>
        </w:rPr>
        <w:t>estatus quo</w:t>
      </w:r>
      <w:r>
        <w:rPr>
          <w:rFonts w:ascii="Times New Roman" w:eastAsia="Times New Roman" w:hAnsi="Times New Roman" w:cs="Times New Roman"/>
          <w:sz w:val="24"/>
          <w:szCs w:val="24"/>
        </w:rPr>
        <w:t xml:space="preserve"> de la discriminación dentro de la sociedad, y sobre todo, restringe la democracia.  Según informes elaborados por  los  académicos  argentinos Guillermo Mastrini y Martín Becerra, Guatemala es uno de los países latinoamericanos con los índices más altos de concentración de la propiedad de los medios en el continente</w:t>
      </w:r>
      <w:r>
        <w:rPr>
          <w:rFonts w:ascii="Times New Roman" w:eastAsia="Times New Roman" w:hAnsi="Times New Roman" w:cs="Times New Roman"/>
          <w:sz w:val="24"/>
          <w:szCs w:val="24"/>
          <w:vertAlign w:val="superscript"/>
        </w:rPr>
        <w:endnoteReference w:id="2"/>
      </w:r>
      <w:r>
        <w:rPr>
          <w:rFonts w:ascii="Times New Roman" w:eastAsia="Times New Roman" w:hAnsi="Times New Roman" w:cs="Times New Roman"/>
          <w:sz w:val="24"/>
          <w:szCs w:val="24"/>
        </w:rPr>
        <w:t xml:space="preserve">. Esta problemática se produce a causa de dos fenómenos que se expresan igualmente en el resto de países centroamericanos. El primero de éstos es la presencia del empresario mexicano Ángel González, quien, en el caso guatemalteco, a la par de sus socios minoritarios guatemaltecos, Édgar Kestler y Fernando Villanueva, concentran medios en los espectros radiofónico y televisivo, especialmente en frecuencias abiertas.  En el caso de la televisión abierta, según el informe presentado por la asociación Centro Civitas en 2015, durante 2014 “fueron concedidas trece frecuencias en VHF (canales 2 al 13), de los cuales se sabe, extraoficialmente, que por lo menos 8 pertenecen al llamado monopolio de facto, donde Ángel González –y su </w:t>
      </w:r>
      <w:r>
        <w:rPr>
          <w:rFonts w:ascii="Times New Roman" w:eastAsia="Times New Roman" w:hAnsi="Times New Roman" w:cs="Times New Roman"/>
          <w:i/>
          <w:sz w:val="24"/>
          <w:szCs w:val="24"/>
        </w:rPr>
        <w:t>Televideo Services Inc.</w:t>
      </w:r>
      <w:r>
        <w:rPr>
          <w:rFonts w:ascii="Times New Roman" w:eastAsia="Times New Roman" w:hAnsi="Times New Roman" w:cs="Times New Roman"/>
          <w:sz w:val="24"/>
          <w:szCs w:val="24"/>
        </w:rPr>
        <w:t xml:space="preserve">, con sede en Miami, Florida, USA  y la empresa Albavisión, en Guatemala –, son socios mayoritarios.  Además, se indica en dicho informe, que en espectro radiofónico Ángel González y sus socios manejarían 83 frecuencias de radio, por medio de las empresas Central de Radios, S.A. (41 frecuencias) y el Grupo Tajín (42).  En total existen aproximadamente 430 emisoras de radio FM licenciadas en Guatemala, pero solo una de estas es una emisora comunitaria Indígena que pudo obtener una licencia bajo el marco legal actual, mientras la población Indígena está estimada a un 60%. </w:t>
      </w:r>
    </w:p>
    <w:p w:rsidR="00E849D8" w:rsidRDefault="00E849D8">
      <w:pPr>
        <w:pStyle w:val="Heading1"/>
        <w:spacing w:before="480" w:after="0"/>
        <w:jc w:val="both"/>
        <w:rPr>
          <w:rFonts w:ascii="Times New Roman" w:eastAsia="Times New Roman" w:hAnsi="Times New Roman" w:cs="Times New Roman"/>
          <w:b w:val="0"/>
          <w:sz w:val="24"/>
          <w:szCs w:val="24"/>
        </w:rPr>
      </w:pPr>
      <w:bookmarkStart w:id="9" w:name="_fg9kag6x62go" w:colFirst="0" w:colLast="0"/>
      <w:bookmarkEnd w:id="9"/>
      <w:r>
        <w:rPr>
          <w:rFonts w:ascii="Times New Roman" w:eastAsia="Times New Roman" w:hAnsi="Times New Roman" w:cs="Times New Roman"/>
          <w:b w:val="0"/>
          <w:sz w:val="24"/>
          <w:szCs w:val="24"/>
        </w:rPr>
        <w:t>El poder político que esto le ha permitido a González y sus socios es innegable</w:t>
      </w:r>
      <w:r>
        <w:rPr>
          <w:rFonts w:ascii="Times New Roman" w:eastAsia="Times New Roman" w:hAnsi="Times New Roman" w:cs="Times New Roman"/>
          <w:b w:val="0"/>
          <w:sz w:val="24"/>
          <w:szCs w:val="24"/>
          <w:vertAlign w:val="superscript"/>
        </w:rPr>
        <w:endnoteReference w:id="3"/>
      </w:r>
      <w:r>
        <w:rPr>
          <w:rFonts w:ascii="Times New Roman" w:eastAsia="Times New Roman" w:hAnsi="Times New Roman" w:cs="Times New Roman"/>
          <w:b w:val="0"/>
          <w:sz w:val="24"/>
          <w:szCs w:val="24"/>
        </w:rPr>
        <w:t xml:space="preserve"> </w:t>
      </w:r>
      <w:r>
        <w:rPr>
          <w:rFonts w:ascii="Times New Roman" w:eastAsia="Times New Roman" w:hAnsi="Times New Roman" w:cs="Times New Roman"/>
          <w:b w:val="0"/>
          <w:sz w:val="24"/>
          <w:szCs w:val="24"/>
          <w:vertAlign w:val="superscript"/>
        </w:rPr>
        <w:endnoteReference w:id="4"/>
      </w:r>
      <w:r>
        <w:rPr>
          <w:rFonts w:ascii="Times New Roman" w:eastAsia="Times New Roman" w:hAnsi="Times New Roman" w:cs="Times New Roman"/>
          <w:b w:val="0"/>
          <w:sz w:val="24"/>
          <w:szCs w:val="24"/>
        </w:rPr>
        <w:t>. Durante el periodo 2015-2016 el ex cuñado de González, Luis Armando Rabbé, presidió el Congreso de la República. Antes de eso, en 2012, el Congreso de la República de Guatemala amplió los derechos de usufructos otorgados de 15 a 20 años, mediante modificaciones a la Ley de Telecomunicaciones, beneficiando a González.</w:t>
      </w:r>
      <w:r>
        <w:rPr>
          <w:rFonts w:ascii="Times New Roman" w:eastAsia="Times New Roman" w:hAnsi="Times New Roman" w:cs="Times New Roman"/>
          <w:b w:val="0"/>
          <w:sz w:val="24"/>
          <w:szCs w:val="24"/>
          <w:vertAlign w:val="superscript"/>
        </w:rPr>
        <w:endnoteReference w:id="5"/>
      </w:r>
      <w:r>
        <w:rPr>
          <w:rFonts w:ascii="Times New Roman" w:eastAsia="Times New Roman" w:hAnsi="Times New Roman" w:cs="Times New Roman"/>
          <w:b w:val="0"/>
          <w:sz w:val="24"/>
          <w:szCs w:val="24"/>
        </w:rPr>
        <w:t xml:space="preserve"> Pero además, el Ejecutivo también actúa en protección de los intereses del empresario. En 2015, la Asociación Centro Civitas también denunció haber acudido a la Ley de Acceso a la Información Pública para que la Superintendencia de Telecomunicaciones (SIT) le informara sobre la concesión de usufructos; sin embargo, la información llegó incompleta sin nombres de usufructuarios, y la entidad alegó que ésa información no estaba disponible. En esa ocasión, la ONG presentó una denuncia ante la oficina del Procurador de los Derechos Humanos, sin resultados a la vista.  Según una denuncia publicada en el diario el Periódico el 24 de</w:t>
      </w:r>
      <w:r>
        <w:rPr>
          <w:rFonts w:ascii="Times New Roman" w:eastAsia="Times New Roman" w:hAnsi="Times New Roman" w:cs="Times New Roman"/>
          <w:b w:val="0"/>
          <w:sz w:val="24"/>
          <w:szCs w:val="24"/>
          <w:vertAlign w:val="superscript"/>
        </w:rPr>
        <w:endnoteReference w:id="6"/>
      </w:r>
      <w:r>
        <w:rPr>
          <w:rFonts w:ascii="Times New Roman" w:eastAsia="Times New Roman" w:hAnsi="Times New Roman" w:cs="Times New Roman"/>
          <w:b w:val="0"/>
          <w:sz w:val="24"/>
          <w:szCs w:val="24"/>
        </w:rPr>
        <w:t xml:space="preserve"> febrero de 2017, contrario a su mandato, quien hasta 2011 fuera jefe de la SIT y hasta 2016 se mantuviera en esa entidad como Gerente de regulación de Frecuencias, Félix Barrios, trabajó a favor de los intereses de Gonzáles, incurriendo en múltiples anomalías durante su gestión, las cuales han sido denunciadas.  El otro fenómeno en torno a la concentración de la propiedad de los medios es de familias que históricamente los han concentrado y aún los conservan. Es el caso que explica la concentración en el ámbito de la radio, donde destacan familias como los Archila (propietarios de 37 frecuencias) y los Liu (69 frecuencias).</w:t>
      </w:r>
    </w:p>
    <w:p w:rsidR="00E849D8" w:rsidRDefault="00E849D8">
      <w:pPr>
        <w:pStyle w:val="Heading1"/>
        <w:spacing w:before="480" w:after="0"/>
        <w:jc w:val="both"/>
        <w:rPr>
          <w:rFonts w:ascii="Times New Roman" w:eastAsia="Times New Roman" w:hAnsi="Times New Roman" w:cs="Times New Roman"/>
          <w:b w:val="0"/>
          <w:sz w:val="24"/>
          <w:szCs w:val="24"/>
        </w:rPr>
      </w:pPr>
      <w:bookmarkStart w:id="10" w:name="_psfftvoxfrjc" w:colFirst="0" w:colLast="0"/>
      <w:bookmarkEnd w:id="10"/>
      <w:r>
        <w:rPr>
          <w:rFonts w:ascii="Times New Roman" w:eastAsia="Times New Roman" w:hAnsi="Times New Roman" w:cs="Times New Roman"/>
          <w:b w:val="0"/>
          <w:sz w:val="24"/>
          <w:szCs w:val="24"/>
        </w:rPr>
        <w:t>En el ámbito de los medios impresos, continúa la tendencia descrita por el Relator Especial para la Libertad de Expresión de la OEA, en su informe de país 2015: “Con respecto a los impresos, el mercado mayoritario sigue perteneciendo a Prensa Libre y Nuestro Diario, beneficiados por la pauta publicitaria gubernamental muy por encima de otros medios”. Según el informe del Centro Civitas, “solo de noviembre de 2012 a marzo de 2013, la Secretaría de Comunicación Social de la Presidencia desembolsó a Prensa Libre Q1,751,449.05, casi 226 millones de dólares al cambio actual. En el mismo periodo elPeriódico, medio que ha alegado censura de parte del gobierno de Pérez Molina no percibió centavo alguno. El segundo de los medios beneficiados fue Nuestro Diario, con casi Q920 mil, equivalentes a más de 118 mil dólares al cambio actual”. Los gastos por publicidad o en medios de la Secretaría de Comunicación Social de la Presidencia reflejan otro de los fenómenos nuevos en el ámbito de la concentración de la propiedad de los medios, que es el del imperio de las telefónicas, entre las cuales la más beneficiada ha sido Tigo, del empresario guatemalteco Mario López Estrada, no sólo beneficiado por contratos con el Estado, sino que también con mucha influencia en el Congreso de la República.  En 2014, 102 parlamentarios, en vez de los 105 requeridos por ley “aprobaron” en tiempo récord (1 hora) modificaciones a la Ley de Telecomunicaciones que beneficiaban a López Estrada, fomentando el oligopolio en el sector. Las modificaciones han sido declaradas inconstitucionales</w:t>
      </w:r>
      <w:r>
        <w:rPr>
          <w:rFonts w:ascii="Times New Roman" w:eastAsia="Times New Roman" w:hAnsi="Times New Roman" w:cs="Times New Roman"/>
          <w:b w:val="0"/>
          <w:sz w:val="24"/>
          <w:szCs w:val="24"/>
          <w:vertAlign w:val="superscript"/>
        </w:rPr>
        <w:endnoteReference w:id="7"/>
      </w:r>
      <w:r>
        <w:rPr>
          <w:rFonts w:ascii="Times New Roman" w:eastAsia="Times New Roman" w:hAnsi="Times New Roman" w:cs="Times New Roman"/>
          <w:b w:val="0"/>
          <w:sz w:val="24"/>
          <w:szCs w:val="24"/>
        </w:rPr>
        <w:t>. Junto a la negativa del Estado guatemalteco de desmantelar los monopolios de medios, este panorama señala la falta de políticas estatales y gubernamentales para el desarrollo de un ambiente mediático plural, diverso y democrático.</w:t>
      </w:r>
    </w:p>
    <w:p w:rsidR="00E849D8" w:rsidRDefault="00E849D8"/>
    <w:p w:rsidR="00E849D8" w:rsidRDefault="00E849D8">
      <w:pPr>
        <w:pStyle w:val="Heading1"/>
        <w:spacing w:before="480" w:after="0"/>
        <w:jc w:val="both"/>
        <w:rPr>
          <w:b w:val="0"/>
          <w:sz w:val="8"/>
          <w:szCs w:val="8"/>
        </w:rPr>
      </w:pPr>
      <w:bookmarkStart w:id="11" w:name="_fmc8tht8as3y" w:colFirst="0" w:colLast="0"/>
      <w:bookmarkEnd w:id="11"/>
      <w:r>
        <w:rPr>
          <w:rFonts w:ascii="Times New Roman" w:eastAsia="Times New Roman" w:hAnsi="Times New Roman" w:cs="Times New Roman"/>
          <w:sz w:val="23"/>
          <w:szCs w:val="23"/>
        </w:rPr>
        <w:t>D.</w:t>
      </w:r>
      <w:r>
        <w:rPr>
          <w:rFonts w:ascii="Times New Roman" w:eastAsia="Times New Roman" w:hAnsi="Times New Roman" w:cs="Times New Roman"/>
          <w:sz w:val="14"/>
          <w:szCs w:val="14"/>
        </w:rPr>
        <w:t xml:space="preserve">            </w:t>
      </w:r>
      <w:r>
        <w:rPr>
          <w:rFonts w:ascii="Times New Roman" w:eastAsia="Times New Roman" w:hAnsi="Times New Roman" w:cs="Times New Roman"/>
          <w:sz w:val="23"/>
          <w:szCs w:val="23"/>
        </w:rPr>
        <w:t xml:space="preserve">CRIMINALIZACIÓN </w:t>
      </w:r>
    </w:p>
    <w:p w:rsidR="00E849D8" w:rsidRDefault="00E849D8">
      <w:pPr>
        <w:spacing w:before="480" w:after="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En 2015 el Comité notó</w:t>
      </w:r>
      <w:r>
        <w:rPr>
          <w:rFonts w:ascii="Times New Roman" w:eastAsia="Times New Roman" w:hAnsi="Times New Roman" w:cs="Times New Roman"/>
          <w:i/>
          <w:sz w:val="24"/>
          <w:szCs w:val="24"/>
        </w:rPr>
        <w:t xml:space="preserve"> “con preocupación intervenciones del Estado para cerrar radios comunitarias y la ausencia de un marco jurídico al respecto.”  </w:t>
      </w:r>
      <w:r>
        <w:rPr>
          <w:rFonts w:ascii="Times New Roman" w:eastAsia="Times New Roman" w:hAnsi="Times New Roman" w:cs="Times New Roman"/>
          <w:sz w:val="24"/>
          <w:szCs w:val="24"/>
        </w:rPr>
        <w:t>A pesar de eso, el Estado, a través del Ministerio Público, sigue haciendo uso indebido del Derecho Penal para reprimir la libertad de expresión y opinión de los Pueblos Indígenas a través de las radios comunitarias, utilizando indistintamente distintos tipos penales para criminalizar a las radios comunitarias.  En los últimos 10 años, doce radios comunitarias Indígenas han sido allanadas por el Ministerio Público.  En estas operaciones, agentes del gobierno han llegado armados en las radios comunitarias, confiscando el equipo de radiodifusión,  intimidando a las personas y oyentes de la radio por su trabajo, en varias ocasiones por la fuerza han detenido a un total de 6 comunicadores Indígenas trabajando en las radios. En los allanamientos, se han identificado particularmente dos tipos penales que utilizan frecuentemente siendo estos el delito de “hurto de fluidos” y el “hurto,” tipificados en el Código Penal de Guatemala. Sin embargo al analizar dichos tipos penales ninguno de ellos desarrolla una conducta en la cual pueda encuadrarse el uso de frecuencias radioeléctricas, violando principios y garantías del derecho penal como el de</w:t>
      </w:r>
      <w:r>
        <w:rPr>
          <w:rFonts w:ascii="Times New Roman" w:eastAsia="Times New Roman" w:hAnsi="Times New Roman" w:cs="Times New Roman"/>
          <w:i/>
          <w:sz w:val="24"/>
          <w:szCs w:val="24"/>
        </w:rPr>
        <w:t>: Legalidad, debido proceso y prohibición de analogía.</w:t>
      </w:r>
    </w:p>
    <w:p w:rsidR="00E849D8" w:rsidRDefault="00E849D8">
      <w:pPr>
        <w:pStyle w:val="Heading1"/>
        <w:spacing w:before="480" w:after="0"/>
        <w:jc w:val="both"/>
        <w:rPr>
          <w:rFonts w:ascii="Times New Roman" w:eastAsia="Times New Roman" w:hAnsi="Times New Roman" w:cs="Times New Roman"/>
          <w:b w:val="0"/>
          <w:sz w:val="24"/>
          <w:szCs w:val="24"/>
        </w:rPr>
      </w:pPr>
      <w:bookmarkStart w:id="12" w:name="_k7exssvlbmrq" w:colFirst="0" w:colLast="0"/>
      <w:bookmarkEnd w:id="12"/>
      <w:r>
        <w:rPr>
          <w:rFonts w:ascii="Times New Roman" w:eastAsia="Times New Roman" w:hAnsi="Times New Roman" w:cs="Times New Roman"/>
          <w:b w:val="0"/>
          <w:sz w:val="24"/>
          <w:szCs w:val="24"/>
        </w:rPr>
        <w:t xml:space="preserve">“Hurto de Fluidos”: En el año 2006, La Fiscalía de Derechos Humanos del Ministerio Público, allanó y secuestró equipo de la radio comunitaria “Radio Ixchel” una radio conducido y dirigido de gran parte por mujeres Indígenas; caso identificado como causa 653-2006, a cargo del Juzgado de Primera Instancia Penal Narcoactividad y Delitos contra el ambiente del departamento de Sacatepéquez. Dicha radio se encuentra ubicado en el municipio de Sumpango, departamento de Sacatepéquez, municipio donde la mayoría de sus habitantes pertenecen al pueblo maya Kaqchikel. En el presente caso todas las actuaciones del Ministerio Público, se fundamentaron en el tipo penal denominado Hurto de fluidos, regulado en el Artículo 249 del Código Penal, el cual establece: “Quien, ilícitamente, sustrajere energía eléctrica, agua, gas, fuerza de una instalación o cualquier otro fluido ajeno, será sancionado con multa de doscientos a tres mil quetzales.” Haciendo una interpretación analógica del espectro radioeléctrico, </w:t>
      </w:r>
      <w:r w:rsidR="00271CEB">
        <w:rPr>
          <w:rFonts w:ascii="Times New Roman" w:eastAsia="Times New Roman" w:hAnsi="Times New Roman" w:cs="Times New Roman"/>
          <w:b w:val="0"/>
          <w:sz w:val="24"/>
          <w:szCs w:val="24"/>
        </w:rPr>
        <w:t>equiparándolo</w:t>
      </w:r>
      <w:r>
        <w:rPr>
          <w:rFonts w:ascii="Times New Roman" w:eastAsia="Times New Roman" w:hAnsi="Times New Roman" w:cs="Times New Roman"/>
          <w:b w:val="0"/>
          <w:sz w:val="24"/>
          <w:szCs w:val="24"/>
        </w:rPr>
        <w:t xml:space="preserve"> a un fluido; al final el juez declaró falta de mérito en el proceso y cerró el caso, así como esta denuncia existieron otras utilizando el mismo tipo penal. </w:t>
      </w:r>
      <w:r>
        <w:rPr>
          <w:rFonts w:ascii="Times New Roman" w:eastAsia="Times New Roman" w:hAnsi="Times New Roman" w:cs="Times New Roman"/>
          <w:b w:val="0"/>
          <w:sz w:val="24"/>
          <w:szCs w:val="24"/>
        </w:rPr>
        <w:br/>
      </w:r>
      <w:r>
        <w:rPr>
          <w:rFonts w:ascii="Times New Roman" w:eastAsia="Times New Roman" w:hAnsi="Times New Roman" w:cs="Times New Roman"/>
          <w:b w:val="0"/>
          <w:sz w:val="24"/>
          <w:szCs w:val="24"/>
        </w:rPr>
        <w:br/>
        <w:t xml:space="preserve">“Hurto”: A partir del año 2013, entra en funcionamiento la autodenominada Fiscalía contra el uso ilegal del espectro radioeléctrico, ya que no existe ningún acuerdo donde conste su mandato ni creación por parte del Ministerio Público, sin embargo así se hacen llamar; se ha pedido al Ministerio Público información sobre la base legal de esta fiscalía, y se nos ha informado que en sus archivos no consta ninguna fiscalía contra el uso ilegal del espectro radioeléctrico. Sin embargo esta fiscalía, es la que actualmente solicita allanamientos, secuestro de equipos de radios comunitarias, así como solicita y ejecuta las órdenes de captura contra los líderes y lideresas de dichas radios. El tipo penal para perseguir los mismos hechos que motivaron la utilización del tipo penal del delito de hurto de fluidos ha variado y ahora están utilizando el delito de Hurto, el cual es tipificado en el Artículo 246, del Código Penal, el cual regula: “Quien tomare, sin debida autorización, cosa mueble, total o parcialmente ajena, será sancionada con prisión de 1 a 6 años.” Siempre violando principios y garantías universales del derecho penal, el Ministerio Público hace una interpretación analógica del tipo penal de Hurto, ya que en sus actuaciones judiciales, argumenta que el espectro radioeléctrico </w:t>
      </w:r>
      <w:r>
        <w:rPr>
          <w:rFonts w:ascii="Times New Roman" w:eastAsia="Times New Roman" w:hAnsi="Times New Roman" w:cs="Times New Roman"/>
          <w:b w:val="0"/>
          <w:i/>
          <w:sz w:val="24"/>
          <w:szCs w:val="24"/>
        </w:rPr>
        <w:t xml:space="preserve">“puede” </w:t>
      </w:r>
      <w:r>
        <w:rPr>
          <w:rFonts w:ascii="Times New Roman" w:eastAsia="Times New Roman" w:hAnsi="Times New Roman" w:cs="Times New Roman"/>
          <w:b w:val="0"/>
          <w:sz w:val="24"/>
          <w:szCs w:val="24"/>
        </w:rPr>
        <w:t>ser considerado un bien mueble y por tanto es aplicable en estos casos el delito.</w:t>
      </w:r>
    </w:p>
    <w:p w:rsidR="00E849D8" w:rsidRDefault="00E849D8"/>
    <w:p w:rsidR="00E849D8" w:rsidRDefault="00E849D8">
      <w:pPr>
        <w:rPr>
          <w:rFonts w:ascii="Times New Roman" w:eastAsia="Times New Roman" w:hAnsi="Times New Roman" w:cs="Times New Roman"/>
          <w:sz w:val="24"/>
          <w:szCs w:val="24"/>
        </w:rPr>
      </w:pPr>
      <w:r>
        <w:rPr>
          <w:rFonts w:ascii="Times New Roman" w:eastAsia="Times New Roman" w:hAnsi="Times New Roman" w:cs="Times New Roman"/>
          <w:sz w:val="24"/>
          <w:szCs w:val="24"/>
        </w:rPr>
        <w:t>En febrero de 2015, comunicador Indígena Óscar Mejía fue detenido durante un allanamiento efectuado por el Ministerio Público, en la radio comunitaria Swan Tinamit,  una radio que pertenece a las comunidades de Chichicastenango, Quiché, en la que promueven el uso del idioma Indígena del lugar, su cosmovisión, los valores ancestrales, la identidad entre otros temas de interés de la población. En el allanamiento a la emisora, participaron más de 15 elementos de la policía y personal del ministerio público quienes confiscaron el equipo de transmisión y arrestaron a Oscar Mejía a quien encarcelaron durante una semana. Posteriormente iniciaron un proceso penal acusándolo del delito de “hurto.”  Después de la sentencia condenatoria, la defensa presentó una apelación especial, en la Sala Regional Mixta de Apelaciones del Departamento del Quiché, a la cual no le dan trámite, ante lo anterior se procede a interponer un Amparo, en la Corte Suprema de Justicia, quien la declara inadmisible, procediendo la defensa a presentar la apelación ante la Corte de Constitucionalidad  para restaurarle al Sr. Mejía su derecho vulnerado del debido proceso. En Febrero 2019, la Corte de Constitucionalidad notificó que no fue tomada en cuenta el Amicus Curiae que ampliaba información del debido proceso en el  caso de Mejía, presentado por diez organizaciones nacionales e internacionales de derechos humanos y comunicación, a pesar que el documento fue entregado a la Corte el 5  Julio de 2018.</w:t>
      </w:r>
    </w:p>
    <w:p w:rsidR="00E849D8" w:rsidRDefault="00E849D8" w:rsidP="00271CEB">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En noviembre 2018,  el Ministerio Público allanó y encarceló a dos comunicadoras por el delito de hurto,</w:t>
      </w:r>
      <w:r>
        <w:rPr>
          <w:vertAlign w:val="superscript"/>
        </w:rPr>
        <w:endnoteReference w:id="8"/>
      </w:r>
      <w:r>
        <w:rPr>
          <w:rFonts w:ascii="Times New Roman" w:eastAsia="Times New Roman" w:hAnsi="Times New Roman" w:cs="Times New Roman"/>
          <w:sz w:val="24"/>
          <w:szCs w:val="24"/>
        </w:rPr>
        <w:t xml:space="preserve"> durante las audiencias se demostró que las pruebas presentadas por el ministerio público carecían de fundamento, por lo que fueron dejadas en libertad y cerrado el caso, en febrero 2019.</w:t>
      </w:r>
      <w:r>
        <w:rPr>
          <w:vertAlign w:val="superscript"/>
        </w:rPr>
        <w:endnoteReference w:id="9"/>
      </w:r>
      <w:bookmarkStart w:id="13" w:name="_w8ir1hex9pjz" w:colFirst="0" w:colLast="0"/>
      <w:bookmarkEnd w:id="13"/>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Los elementos de tipo de la figura de HURTO no se pueden aplicar al ejercicio de libertad de expresión y opinión de los Pueblos Indígenas a través de las radios comunitarias, y esta interpretación se puede constatar en los casos siguientes: Radio Mash, Causa No. 320-2013, of. 2do. A cargo del Juzgado de Paz, Ramo Penal, del Municipio de Santo Tomás la Unión del departamento de Suchitepéquez. Radio Ixmukane, (una radio fundada, dirigida, y para mujeres Indígenas) causa No. 14003-2014-0027, a cargo del Juzgado de Primera Instancia Penal, Narcoactividad y delitos contra el ambiente del departamento de El Quiché. Radio Siwan Tinamit, causa No. 14003-2014-00280, a cargo del Juzgado de Primera Instancia penal, Narcoactividad y Delitos contra el Ambiente del departamento del Quiché. Radio Juventud, causa No. 07002-2014-00925, a cargo del Juzgado de Primera Instancia Penal, Narcoactividad y delitos contra el Ambiente del departamento de Sololá. Con esto evidenciamos el uso indebido del derecho penal para reprimir la libertad de expresión y opinión de los Pueblos Indígenas que se expresan a través de las radios comunitarias.</w:t>
      </w:r>
      <w:bookmarkStart w:id="14" w:name="_3cegihf0wbq" w:colFirst="0" w:colLast="0"/>
      <w:bookmarkEnd w:id="14"/>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Otro riesgo que siguen afrontando los operadores y dirigentes de las radios comunitarias, como garantes de los derechos humanos, de Pueblos Indígenas y la Libertad de Expresión, es el avance de la iniciativa de ley 4479.  Esta iniciativa pretende criminalizar el trabajo de comunicadores comunitarias con 6-10 años en prisión.  Esta iniciativa  tiene dictamen favorable, emitido por la Comisión de Legislación y Puntos Constitucionales, el 16 de Agosto del año 2012,  dispone aprobar reformas al Decreto 17-73 del Congreso de la República, Código Penal,  añadiendo lo siguiente: “Artículo 219 bis. Transmisiones ilegales</w:t>
      </w:r>
      <w:r>
        <w:rPr>
          <w:rFonts w:ascii="Times New Roman" w:eastAsia="Times New Roman" w:hAnsi="Times New Roman" w:cs="Times New Roman"/>
          <w:i/>
          <w:sz w:val="24"/>
          <w:szCs w:val="24"/>
        </w:rPr>
        <w:t>. La persona individual o jurídica que utilizare el espectro radioeléctrico perteneciente al Estado de Guatemala, sin el título de usufructo o la correspondiente autorización emitida por la Superintendencia  de Telecomunicaciones, para la transmisión de ondas sonoras, audiovisuales, o cualquier otro uso de comunicación, será sancionado con seis a diez años de prisión, y el comiso y pérdida del equipo de transmisión.”</w:t>
      </w:r>
      <w:bookmarkStart w:id="15" w:name="_2evc0up02wfk" w:colFirst="0" w:colLast="0"/>
      <w:bookmarkEnd w:id="15"/>
      <w:r>
        <w:rPr>
          <w:rFonts w:ascii="Times New Roman" w:eastAsia="Times New Roman" w:hAnsi="Times New Roman" w:cs="Times New Roman"/>
          <w:i/>
          <w:sz w:val="24"/>
          <w:szCs w:val="24"/>
        </w:rPr>
        <w:br/>
      </w:r>
      <w:r>
        <w:rPr>
          <w:rFonts w:ascii="Times New Roman" w:eastAsia="Times New Roman" w:hAnsi="Times New Roman" w:cs="Times New Roman"/>
          <w:i/>
          <w:sz w:val="24"/>
          <w:szCs w:val="24"/>
        </w:rPr>
        <w:br/>
      </w:r>
      <w:r>
        <w:rPr>
          <w:rFonts w:ascii="Times New Roman" w:eastAsia="Times New Roman" w:hAnsi="Times New Roman" w:cs="Times New Roman"/>
          <w:sz w:val="24"/>
          <w:szCs w:val="24"/>
        </w:rPr>
        <w:t xml:space="preserve">En noviembre de 2018, Congresistas presentaron otra propuesta similar, la iniciativa 5494 que dispone aprobar Código Penal, que prevé reconocer el espectro radio electromagnético como un bien mueble y sanciones a los que la utilicen de forma ilegal. </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Esta acción demuestra que el Estado en lugar de promover acciones para que los Pueblos Originarios accedan a frecuencias radioeléctricas pretende aprobar una ley que viola el derecho a la libertad de expresión, contraviniendo el artículo 35 constitucional y los Convenios y Tratados Internacionales en materia de derechos humanos, legislando a favor de la discriminación en contra de los Pueblos Originarios.</w:t>
      </w:r>
    </w:p>
    <w:p w:rsidR="00E849D8" w:rsidRDefault="00E849D8">
      <w:pPr>
        <w:pStyle w:val="Heading1"/>
        <w:spacing w:before="480" w:after="200"/>
        <w:jc w:val="both"/>
        <w:rPr>
          <w:rFonts w:ascii="Times New Roman" w:eastAsia="Times New Roman" w:hAnsi="Times New Roman" w:cs="Times New Roman"/>
          <w:b w:val="0"/>
          <w:sz w:val="24"/>
          <w:szCs w:val="24"/>
        </w:rPr>
      </w:pPr>
      <w:bookmarkStart w:id="16" w:name="_jmr8ahdq6msh" w:colFirst="0" w:colLast="0"/>
      <w:bookmarkEnd w:id="16"/>
      <w:r>
        <w:rPr>
          <w:rFonts w:ascii="Times New Roman" w:eastAsia="Times New Roman" w:hAnsi="Times New Roman" w:cs="Times New Roman"/>
          <w:sz w:val="23"/>
          <w:szCs w:val="23"/>
        </w:rPr>
        <w:t>E.</w:t>
      </w:r>
      <w:r>
        <w:rPr>
          <w:rFonts w:ascii="Times New Roman" w:eastAsia="Times New Roman" w:hAnsi="Times New Roman" w:cs="Times New Roman"/>
          <w:b w:val="0"/>
          <w:sz w:val="14"/>
          <w:szCs w:val="14"/>
        </w:rPr>
        <w:t xml:space="preserve">             </w:t>
      </w:r>
      <w:r>
        <w:rPr>
          <w:rFonts w:ascii="Times New Roman" w:eastAsia="Times New Roman" w:hAnsi="Times New Roman" w:cs="Times New Roman"/>
          <w:sz w:val="23"/>
          <w:szCs w:val="23"/>
        </w:rPr>
        <w:t xml:space="preserve"> ACTOS DE VIOLENCIA CONTRA LA LIBERTAD DE EXPRESIÓN </w:t>
      </w:r>
    </w:p>
    <w:p w:rsidR="00E849D8" w:rsidRDefault="00E849D8">
      <w:pPr>
        <w:pStyle w:val="Heading1"/>
        <w:spacing w:before="480" w:after="200"/>
        <w:jc w:val="both"/>
        <w:rPr>
          <w:rFonts w:ascii="Times New Roman" w:eastAsia="Times New Roman" w:hAnsi="Times New Roman" w:cs="Times New Roman"/>
          <w:b w:val="0"/>
          <w:sz w:val="24"/>
          <w:szCs w:val="24"/>
        </w:rPr>
      </w:pPr>
      <w:bookmarkStart w:id="17" w:name="_6g5hr4f9en08" w:colFirst="0" w:colLast="0"/>
      <w:bookmarkEnd w:id="17"/>
      <w:r>
        <w:rPr>
          <w:rFonts w:ascii="Times New Roman" w:eastAsia="Times New Roman" w:hAnsi="Times New Roman" w:cs="Times New Roman"/>
          <w:b w:val="0"/>
          <w:sz w:val="24"/>
          <w:szCs w:val="24"/>
        </w:rPr>
        <w:t>Lamentablemente, en el periodo entre el último reporte CERD y hoy, sigue siendo un crisis en asesinatos políticos contra defensores de derechos Indígenas y periodistas.  Los comunicadores Indígenas existen en la intersección de estas identidades y experimentan el riesgo de violencia por ser comunicador social y a la vez experimentan la discriminación histórica como Indígena en Guatemala, que se manifiesta en este caso como falta de respaldo institucional y jurídico.</w:t>
      </w:r>
    </w:p>
    <w:p w:rsidR="00E849D8" w:rsidRDefault="00E849D8" w:rsidP="00E849D8">
      <w:pPr>
        <w:pStyle w:val="Heading1"/>
        <w:spacing w:before="480" w:after="0"/>
        <w:rPr>
          <w:rFonts w:ascii="Times New Roman" w:eastAsia="Times New Roman" w:hAnsi="Times New Roman" w:cs="Times New Roman"/>
          <w:sz w:val="24"/>
          <w:szCs w:val="24"/>
        </w:rPr>
      </w:pPr>
      <w:bookmarkStart w:id="18" w:name="_nv9udkh1z71e" w:colFirst="0" w:colLast="0"/>
      <w:bookmarkEnd w:id="18"/>
      <w:r>
        <w:rPr>
          <w:rFonts w:ascii="Times New Roman" w:eastAsia="Times New Roman" w:hAnsi="Times New Roman" w:cs="Times New Roman"/>
          <w:sz w:val="24"/>
          <w:szCs w:val="24"/>
        </w:rPr>
        <w:t>i) Actos de Violencia Contra Defensores Indígenas</w:t>
      </w:r>
      <w:r>
        <w:rPr>
          <w:rFonts w:ascii="Times New Roman" w:eastAsia="Times New Roman" w:hAnsi="Times New Roman" w:cs="Times New Roman"/>
          <w:sz w:val="24"/>
          <w:szCs w:val="24"/>
        </w:rPr>
        <w:br/>
      </w:r>
    </w:p>
    <w:p w:rsidR="00E849D8" w:rsidRDefault="00E849D8">
      <w:r>
        <w:rPr>
          <w:rFonts w:ascii="Times New Roman" w:eastAsia="Times New Roman" w:hAnsi="Times New Roman" w:cs="Times New Roman"/>
          <w:sz w:val="24"/>
          <w:szCs w:val="24"/>
        </w:rPr>
        <w:t xml:space="preserve">En violación del Artículo 5b de la Convención para La Eliminación de  la Discriminación Racial, El Estado ha fallado en proteger la seguridad de defensores Indígenas de derechos humanos y colectivos. </w:t>
      </w:r>
    </w:p>
    <w:p w:rsidR="00E849D8" w:rsidRDefault="00E849D8">
      <w:pPr>
        <w:spacing w:before="480"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periodo, entre abril y septiembre 2018, nueve defensores de derechos humanos fueron asesinados en Guatemala.  Entre ellos 4 líderes eran de CODECA, una organización de base que lucha por los derechos Indígenas y su territorio: Luis Arturo Marroquín, Florencio Pérez Nájera, Alejandro Hernández, Francisco Munguía, José Can Xol, Mateo Chamán y Ramón Choc.  Para explicar esta ola sin precedente, organizaciones sociales señalan que los ataques se dieron una semana después que, el Presidente Jimmy Morales, en un discurso público, calificó a los miembros del movimiento CODECA como criminales, lo cual se consideró una amplificación de un discurso de odio.   Esta serie de eventos ocurrió lamentablemente a pesar de que Guatemala ha recibido 17 recomendaciones de Estados a través del Examen Periódico Universal sobre la protección de defensores, y a pesar de que artículo 5a del CERD obliga a Guatemala administrar la justicia con equidad. </w:t>
      </w:r>
      <w:r>
        <w:rPr>
          <w:sz w:val="24"/>
          <w:szCs w:val="24"/>
        </w:rPr>
        <w:br/>
      </w:r>
      <w:r>
        <w:rPr>
          <w:sz w:val="24"/>
          <w:szCs w:val="24"/>
        </w:rPr>
        <w:br/>
      </w:r>
      <w:r>
        <w:rPr>
          <w:rFonts w:ascii="Times New Roman" w:eastAsia="Times New Roman" w:hAnsi="Times New Roman" w:cs="Times New Roman"/>
          <w:sz w:val="24"/>
          <w:szCs w:val="24"/>
        </w:rPr>
        <w:t xml:space="preserve">En Julio 2018, también fue ultimada activista Indígena Juana Raymundo. En Septiembre 2018, asesinaron Maya-Ixil líder Juana Ramírez Santiago.  En Febrero 2019, líder comunitario Saturnino Ramírez Interiano, Maya Cho’rti’, también fue matado. En respuesta a </w:t>
      </w:r>
      <w:r w:rsidR="00271CEB">
        <w:rPr>
          <w:rFonts w:ascii="Times New Roman" w:eastAsia="Times New Roman" w:hAnsi="Times New Roman" w:cs="Times New Roman"/>
          <w:sz w:val="24"/>
          <w:szCs w:val="24"/>
        </w:rPr>
        <w:t>estas</w:t>
      </w:r>
      <w:r>
        <w:rPr>
          <w:rFonts w:ascii="Times New Roman" w:eastAsia="Times New Roman" w:hAnsi="Times New Roman" w:cs="Times New Roman"/>
          <w:sz w:val="24"/>
          <w:szCs w:val="24"/>
        </w:rPr>
        <w:t xml:space="preserve"> actas de violencia justo después de su visita oficial al país, la Relatora Especial sobre los Derechos de los Pueblos Indígenas Vicky Tauli-Corpuz publicó lo siguiente en una carta al Washington Post (traducido): “</w:t>
      </w:r>
      <w:r>
        <w:rPr>
          <w:rFonts w:ascii="Times New Roman" w:eastAsia="Times New Roman" w:hAnsi="Times New Roman" w:cs="Times New Roman"/>
          <w:i/>
          <w:sz w:val="24"/>
          <w:szCs w:val="24"/>
        </w:rPr>
        <w:t>A raíz de esta violencia es racismo institucional y discriminación contra la poblacion Indigena en Guatemala... Los asesinatos extrajudiciales y el abuso de los procedimientos de justicia siguen creciendo mientras una agenda legislativa regresiva y un disminuyendo espacio democrático ponen más defensores en riesgo.  Condeno estos asesinatos en los términos más fuertes posibles, y llamo al gobierno de Guatemala a investigar estos crímenes y llevar los responsables a justicia. Es imperativo que estos asesinatos, y las injusticias y grandes violaciones contra los derechos de los Pueblos Indígenas, que son de mayoría en Guatemala, sea atendido de manera seria por el gobierno.”</w:t>
      </w:r>
      <w:r>
        <w:rPr>
          <w:rFonts w:ascii="Times New Roman" w:eastAsia="Times New Roman" w:hAnsi="Times New Roman" w:cs="Times New Roman"/>
          <w:sz w:val="24"/>
          <w:szCs w:val="24"/>
          <w:vertAlign w:val="superscript"/>
        </w:rPr>
        <w:endnoteReference w:id="10"/>
      </w:r>
    </w:p>
    <w:p w:rsidR="00271CEB" w:rsidRDefault="00271CEB">
      <w:pPr>
        <w:rPr>
          <w:rFonts w:ascii="Times New Roman" w:eastAsia="Times New Roman" w:hAnsi="Times New Roman" w:cs="Times New Roman"/>
          <w:sz w:val="24"/>
          <w:szCs w:val="24"/>
        </w:rPr>
      </w:pPr>
    </w:p>
    <w:p w:rsidR="00E849D8" w:rsidRDefault="00E849D8">
      <w:pPr>
        <w:rPr>
          <w:rFonts w:ascii="Arial" w:eastAsia="Arial" w:hAnsi="Arial" w:cs="Arial"/>
          <w:b/>
          <w:i/>
          <w:color w:val="222222"/>
          <w:sz w:val="24"/>
          <w:szCs w:val="24"/>
          <w:highlight w:val="white"/>
        </w:rPr>
      </w:pPr>
      <w:r>
        <w:rPr>
          <w:rFonts w:ascii="Times New Roman" w:eastAsia="Times New Roman" w:hAnsi="Times New Roman" w:cs="Times New Roman"/>
          <w:b/>
          <w:sz w:val="24"/>
          <w:szCs w:val="24"/>
        </w:rPr>
        <w:t>ii) Actos de Violencia contra periodistas y comunicadores</w:t>
      </w:r>
    </w:p>
    <w:p w:rsidR="00E849D8" w:rsidRDefault="00E849D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Desde julio 2016 a febrero 2018, 14 periodistas/ comunicadores fueron asesinados en Guatemala.</w:t>
      </w:r>
      <w:r>
        <w:rPr>
          <w:rFonts w:ascii="Times New Roman" w:eastAsia="Times New Roman" w:hAnsi="Times New Roman" w:cs="Times New Roman"/>
          <w:sz w:val="24"/>
          <w:szCs w:val="24"/>
          <w:vertAlign w:val="superscript"/>
        </w:rPr>
        <w:endnoteReference w:id="11"/>
      </w:r>
      <w:r>
        <w:rPr>
          <w:rFonts w:ascii="Times New Roman" w:eastAsia="Times New Roman" w:hAnsi="Times New Roman" w:cs="Times New Roman"/>
          <w:sz w:val="24"/>
          <w:szCs w:val="24"/>
        </w:rPr>
        <w:t xml:space="preserve"> Durante el año 2017, UDEFEGUA</w:t>
      </w:r>
      <w:r>
        <w:rPr>
          <w:rFonts w:ascii="Times New Roman" w:eastAsia="Times New Roman" w:hAnsi="Times New Roman" w:cs="Times New Roman"/>
          <w:sz w:val="24"/>
          <w:szCs w:val="24"/>
          <w:vertAlign w:val="superscript"/>
        </w:rPr>
        <w:endnoteReference w:id="12"/>
      </w:r>
      <w:r>
        <w:rPr>
          <w:rFonts w:ascii="Times New Roman" w:eastAsia="Times New Roman" w:hAnsi="Times New Roman" w:cs="Times New Roman"/>
          <w:sz w:val="24"/>
          <w:szCs w:val="24"/>
        </w:rPr>
        <w:t xml:space="preserve"> registró un aumentó a 37 agresiones contra periodistas/comunicadores, 18 más que el año anterior. Las agresiones van desde retención, amenazas escritas y verbales, intimidación, difamación, espionaje, censura, malos tratos hasta la más grave de asesinato. </w:t>
      </w:r>
      <w:r>
        <w:rPr>
          <w:rFonts w:ascii="Times New Roman" w:eastAsia="Times New Roman" w:hAnsi="Times New Roman" w:cs="Times New Roman"/>
          <w:sz w:val="24"/>
          <w:szCs w:val="24"/>
          <w:highlight w:val="white"/>
        </w:rPr>
        <w:t xml:space="preserve">En su informe publicado en 2016, “Agresiones contra periodistas en Guatemala: una radiografía de 2015,” el Centro Civitas informó que en 2015 fueron abierto en total 131 expedientes por agresiones a estos profesionales. Según datos de 2016 de la Unidad fiscal de delitos contra periodistas del MP, en 2016 fueron abiertos 93 expedientes por amenazas, agresión sexual, abuso de autoridad, asesinato, coacción, disparo con arma de fuego, extorsión y lesiones. En once de los casos hubo actos conclusivos; de las 16 personas acusadas, seis fueron sentenciadas ese año.  </w:t>
      </w:r>
      <w:r w:rsidR="00271CEB">
        <w:rPr>
          <w:rFonts w:ascii="Times New Roman" w:eastAsia="Times New Roman" w:hAnsi="Times New Roman" w:cs="Times New Roman"/>
          <w:sz w:val="24"/>
          <w:szCs w:val="24"/>
          <w:highlight w:val="white"/>
        </w:rPr>
        <w:t>Según</w:t>
      </w:r>
      <w:r>
        <w:rPr>
          <w:rFonts w:ascii="Times New Roman" w:eastAsia="Times New Roman" w:hAnsi="Times New Roman" w:cs="Times New Roman"/>
          <w:sz w:val="24"/>
          <w:szCs w:val="24"/>
          <w:highlight w:val="white"/>
        </w:rPr>
        <w:t xml:space="preserve"> Centro Civitas, la mayoría de agresiones a periodistas suceden en la capital, pero las más graves se realizan en los departamentos, donde hay mayor presencia de población Indígena y menos posibilidades de recursos de justicia. </w:t>
      </w:r>
    </w:p>
    <w:p w:rsidR="00E849D8" w:rsidRDefault="00E849D8">
      <w:pPr>
        <w:pStyle w:val="Heading1"/>
        <w:spacing w:before="480" w:after="0"/>
        <w:jc w:val="both"/>
        <w:rPr>
          <w:rFonts w:ascii="Times New Roman" w:eastAsia="Times New Roman" w:hAnsi="Times New Roman" w:cs="Times New Roman"/>
          <w:b w:val="0"/>
          <w:sz w:val="24"/>
          <w:szCs w:val="24"/>
        </w:rPr>
      </w:pPr>
      <w:bookmarkStart w:id="19" w:name="_gjq6lwmrtkhu" w:colFirst="0" w:colLast="0"/>
      <w:bookmarkEnd w:id="19"/>
      <w:r>
        <w:rPr>
          <w:rFonts w:ascii="Times New Roman" w:eastAsia="Times New Roman" w:hAnsi="Times New Roman" w:cs="Times New Roman"/>
          <w:b w:val="0"/>
          <w:sz w:val="24"/>
          <w:szCs w:val="24"/>
        </w:rPr>
        <w:t>En su informe de 2016 el Centro Civitas destaca que la mayoría de agresores identificados son funcionarios públicos, sobre todo guardias de seguridad de distintas dependencias: “en los 79 expedientes donde aparecen identificados los agresores, 33 son personas particulares, seis alcaldes, uno es policía de tránsito de la municipalidad capitalina, 11 son policías nacionales civiles, cuatro son guardias del sistema penitenciario, tres diputados, cuatro están ligados a partidos políticos, incluyendo un candidato presidencial, 12 son funcionarios públicos en distintos cargos en dependencias estatales y 3 son agentes de la Secretaría de Asuntos Administrativos y de Seguridad de la Presidencia de la República (SAAS), entidad que posee un mandato específico de respeto a la Libertad de Expresión”</w:t>
      </w:r>
      <w:r>
        <w:rPr>
          <w:rFonts w:ascii="Times New Roman" w:eastAsia="Times New Roman" w:hAnsi="Times New Roman" w:cs="Times New Roman"/>
          <w:b w:val="0"/>
          <w:sz w:val="24"/>
          <w:szCs w:val="24"/>
          <w:vertAlign w:val="superscript"/>
        </w:rPr>
        <w:endnoteReference w:id="13"/>
      </w:r>
      <w:r>
        <w:rPr>
          <w:rFonts w:ascii="Times New Roman" w:eastAsia="Times New Roman" w:hAnsi="Times New Roman" w:cs="Times New Roman"/>
          <w:b w:val="0"/>
          <w:sz w:val="24"/>
          <w:szCs w:val="24"/>
        </w:rPr>
        <w:t>.  Centro Civitas reveló también un problema de sub registro de los casos de agresiones, pues muchos no llegan a ser denunciados. En 2015, dicha entidad recogió 32 casos no denunciados, la mayoría de hechos ocurridos en los departamentos. La mayoría de las y los agredidos indicó que no denunciaron por falta de confianza en el desempeño de las autoridades. Esto evidencia la falta de registros fiables por parte del Estado que reflejen la dimensión real de la problemática y le permita conocer a profundidad el fenómeno para poder enfrentarlo.  La entidad también señala la falta de una estrategia general de investigación de los casos, lo cual incide en que por lo general no son investigados como casos de Libertad de Expresión, sino como comunes, lo cual incide para que las sentencias tampoco reflejan el accionar del Estado en la materia. La tendencia de no denunciar es especialmente común entre personas Indígenas, quienes históricamente han sido marginalizado por el Estado en recibir servicios básicos especialmente acceso a la justicia y tienen una falta de confianza en el sistema.   Por lo cual, y p</w:t>
      </w:r>
      <w:r w:rsidR="00271CEB">
        <w:rPr>
          <w:rFonts w:ascii="Times New Roman" w:eastAsia="Times New Roman" w:hAnsi="Times New Roman" w:cs="Times New Roman"/>
          <w:b w:val="0"/>
          <w:sz w:val="24"/>
          <w:szCs w:val="24"/>
        </w:rPr>
        <w:t>or nuestra experiencia anécdota</w:t>
      </w:r>
      <w:r>
        <w:rPr>
          <w:rFonts w:ascii="Times New Roman" w:eastAsia="Times New Roman" w:hAnsi="Times New Roman" w:cs="Times New Roman"/>
          <w:b w:val="0"/>
          <w:sz w:val="24"/>
          <w:szCs w:val="24"/>
        </w:rPr>
        <w:t xml:space="preserve">, estimamos que el número de amenazas contra comunicadores Indígenas que trabajan en radios comunitarias es mayor de lo que este reportado oficialmente. </w:t>
      </w:r>
    </w:p>
    <w:p w:rsidR="00E849D8" w:rsidRDefault="00E849D8">
      <w:pPr>
        <w:rPr>
          <w:rFonts w:ascii="Times New Roman" w:eastAsia="Times New Roman" w:hAnsi="Times New Roman" w:cs="Times New Roman"/>
          <w:sz w:val="24"/>
          <w:szCs w:val="24"/>
        </w:rPr>
      </w:pPr>
    </w:p>
    <w:p w:rsidR="00E849D8" w:rsidRDefault="00E849D8">
      <w:pPr>
        <w:rPr>
          <w:rFonts w:ascii="Times New Roman" w:eastAsia="Times New Roman" w:hAnsi="Times New Roman" w:cs="Times New Roman"/>
          <w:sz w:val="24"/>
          <w:szCs w:val="24"/>
        </w:rPr>
      </w:pPr>
      <w:r>
        <w:rPr>
          <w:rFonts w:ascii="Times New Roman" w:eastAsia="Times New Roman" w:hAnsi="Times New Roman" w:cs="Times New Roman"/>
          <w:sz w:val="24"/>
          <w:szCs w:val="24"/>
        </w:rPr>
        <w:t>Un caso de amenazas y violencia contra una radio comunitaria Indígena que sí fue denunciado es el caso de Radio Snuq’ Jolom Konob’ en Santa Eulalia, Huehuetenango.</w:t>
      </w:r>
      <w:r>
        <w:rPr>
          <w:rFonts w:ascii="Times New Roman" w:eastAsia="Times New Roman" w:hAnsi="Times New Roman" w:cs="Times New Roman"/>
          <w:sz w:val="24"/>
          <w:szCs w:val="24"/>
          <w:vertAlign w:val="superscript"/>
        </w:rPr>
        <w:endnoteReference w:id="14"/>
      </w:r>
      <w:r>
        <w:rPr>
          <w:rFonts w:ascii="Times New Roman" w:eastAsia="Times New Roman" w:hAnsi="Times New Roman" w:cs="Times New Roman"/>
          <w:sz w:val="24"/>
          <w:szCs w:val="24"/>
        </w:rPr>
        <w:t xml:space="preserve"> En Enero 2015, el alcalde de Santa Eulalia cerró por fuerza la radio comunitaria del pueblo después de su cobertura de protestas en contra de un proyecto hidroeléctrico planificado para la región.  Durante la protesta, el alcalde y sus seguidores disparó a un grupo y dejó muerto un joven de la comunidad, Basilio Pascual Pascual Diego, de 17 años de edad.  Luego, el grupo se dirigió a la radio y intimidó, amenazó, y golpeó a 5 trabajadores de la radio comunitaria, y dejó cortado los cables de electricidad. A Lorenzo Mateo, el gerente de la estación, dijeron que se dejara de transmitir porque las divulgaciones en la radio </w:t>
      </w:r>
      <w:r w:rsidR="00271CEB">
        <w:rPr>
          <w:rFonts w:ascii="Times New Roman" w:eastAsia="Times New Roman" w:hAnsi="Times New Roman" w:cs="Times New Roman"/>
          <w:sz w:val="24"/>
          <w:szCs w:val="24"/>
        </w:rPr>
        <w:t>van</w:t>
      </w:r>
      <w:r>
        <w:rPr>
          <w:rFonts w:ascii="Times New Roman" w:eastAsia="Times New Roman" w:hAnsi="Times New Roman" w:cs="Times New Roman"/>
          <w:sz w:val="24"/>
          <w:szCs w:val="24"/>
        </w:rPr>
        <w:t xml:space="preserve"> en contra del Alcalde y su trabajo y que ya era suficiente. La radio se quedó fuera del aire por meses después, y a Lorenzo Mateo sacaron un orden de captura. Su persona, su familia, y oyentes de la radio siguieron recibieron amenazas de personas cerca del alcalde.  Problemas con el alcalde empezó desde 2014 cuando también cortó la luz a la emisora. En ese momento, se registró una denuncia con la Unidad Fiscal de Delitos Contra Periodistas, del Ministerio Público.  Pero, </w:t>
      </w:r>
      <w:r w:rsidR="00271CEB">
        <w:rPr>
          <w:rFonts w:ascii="Times New Roman" w:eastAsia="Times New Roman" w:hAnsi="Times New Roman" w:cs="Times New Roman"/>
          <w:sz w:val="24"/>
          <w:szCs w:val="24"/>
        </w:rPr>
        <w:t>ninguna</w:t>
      </w:r>
      <w:r>
        <w:rPr>
          <w:rFonts w:ascii="Times New Roman" w:eastAsia="Times New Roman" w:hAnsi="Times New Roman" w:cs="Times New Roman"/>
          <w:sz w:val="24"/>
          <w:szCs w:val="24"/>
        </w:rPr>
        <w:t xml:space="preserve"> acción fue </w:t>
      </w:r>
      <w:r w:rsidR="00271CEB">
        <w:rPr>
          <w:rFonts w:ascii="Times New Roman" w:eastAsia="Times New Roman" w:hAnsi="Times New Roman" w:cs="Times New Roman"/>
          <w:sz w:val="24"/>
          <w:szCs w:val="24"/>
        </w:rPr>
        <w:t>tomada</w:t>
      </w:r>
      <w:r>
        <w:rPr>
          <w:rFonts w:ascii="Times New Roman" w:eastAsia="Times New Roman" w:hAnsi="Times New Roman" w:cs="Times New Roman"/>
          <w:sz w:val="24"/>
          <w:szCs w:val="24"/>
        </w:rPr>
        <w:t xml:space="preserve"> desde esa oficina.</w:t>
      </w:r>
    </w:p>
    <w:p w:rsidR="00271CEB" w:rsidRDefault="00E849D8" w:rsidP="00271CEB">
      <w:pPr>
        <w:rPr>
          <w:rFonts w:ascii="Times New Roman" w:eastAsia="Times New Roman" w:hAnsi="Times New Roman" w:cs="Times New Roman"/>
          <w:sz w:val="24"/>
          <w:szCs w:val="24"/>
        </w:rPr>
      </w:pPr>
      <w:r>
        <w:rPr>
          <w:rFonts w:ascii="Times New Roman" w:eastAsia="Times New Roman" w:hAnsi="Times New Roman" w:cs="Times New Roman"/>
          <w:sz w:val="24"/>
          <w:szCs w:val="24"/>
        </w:rPr>
        <w:t>Es preocupante que el Estado sigue sin poder brindar seguridad idónea a periodistas que sí han llevado casos graves de agresiones ante el sistema de justicia guatemalteco, como el caso de Snuq’ Jolom Konob demuestra y también como lo refleja el caso de periodista Indígena Oswaldo Ical Jom, agredido en varias ocasiones</w:t>
      </w:r>
      <w:r>
        <w:rPr>
          <w:rFonts w:ascii="Times New Roman" w:eastAsia="Times New Roman" w:hAnsi="Times New Roman" w:cs="Times New Roman"/>
          <w:sz w:val="24"/>
          <w:szCs w:val="24"/>
          <w:vertAlign w:val="superscript"/>
        </w:rPr>
        <w:endnoteReference w:id="15"/>
      </w:r>
      <w:r>
        <w:rPr>
          <w:rFonts w:ascii="Times New Roman" w:eastAsia="Times New Roman" w:hAnsi="Times New Roman" w:cs="Times New Roman"/>
          <w:sz w:val="24"/>
          <w:szCs w:val="24"/>
        </w:rPr>
        <w:t>, cuya defensa ha intentado en el primero de los casos, sin éxito hasta ahora, que sea juzgado como uno de tortura, presentando como base un dictamen del Mecanismo Nacional contra la Tortura. Es preocupante además que a pesar del compromiso asumido en Ginebra en 2012 y reiterado en 2017, el Estado guatemalteco aún no dé pasos firmes para crear el mecanismo de protección a periodistas. A la fecha, a partir de 2013 se han sucedido tres intentos de creación de dicho mecanismo, sin resultados positivos. El primero se inicia en noviembre de 2013, cuando la Secretaría de Comunicación Social de la Presidencia de la administración de Otto Pérez Molina lanza un borrador de propuesta sobre un programa de protección a periodistas, el cual, se indicó en esa ocasión, sería sometido a un proceso de consultas.</w:t>
      </w:r>
      <w:bookmarkStart w:id="20" w:name="_kpn93y4h7v57" w:colFirst="0" w:colLast="0"/>
      <w:bookmarkEnd w:id="20"/>
    </w:p>
    <w:p w:rsidR="00E849D8" w:rsidRDefault="00E849D8" w:rsidP="00271CEB">
      <w:r>
        <w:rPr>
          <w:rFonts w:ascii="Times New Roman" w:eastAsia="Times New Roman" w:hAnsi="Times New Roman" w:cs="Times New Roman"/>
          <w:sz w:val="24"/>
          <w:szCs w:val="24"/>
        </w:rPr>
        <w:t>El segundo intento dio inicio durante la misma administración, cuando el Estado contrata a una consultora especial, quien procede a elaborar una nueva propuesta, acompañada de una mesa técnica y otra de alto nivel. Al final de esa administración, en 2015, la consultora lanza la propuesta de creación de un mecanismo con enfoque sistémico, consultada con organizaciones y periodistas departamentales. Sin embargo, una vez iniciada la administración de Jimmy Morales, la propuesta fue desechada y da inicio un tercer intento, impulsado presuntamente por varias asociaciones de prensa. Aunque algunos de sus representantes indicaron en un inicio que fue presentada una propuesta a la actual administración de gobierno y que este está de acuerdo en impulsarla, en un comunicado de la Asociación de Periodistas de Guatemala, emitido el 24 de febrero 2017, se indica: “Que una vez más el Estado de Guatemala ha incumplido con el compromiso que asumió en Ginebra desde el 2012 durante el Examen Periódico Universal, y con las promesas que el gobierno asumió en relación con adoptar un Programa de Protección a Periodistas”</w:t>
      </w:r>
      <w:r>
        <w:rPr>
          <w:rFonts w:ascii="Times New Roman" w:eastAsia="Times New Roman" w:hAnsi="Times New Roman" w:cs="Times New Roman"/>
          <w:sz w:val="24"/>
          <w:szCs w:val="24"/>
          <w:vertAlign w:val="superscript"/>
        </w:rPr>
        <w:endnoteReference w:id="16"/>
      </w:r>
      <w:r>
        <w:rPr>
          <w:rFonts w:ascii="Times New Roman" w:eastAsia="Times New Roman" w:hAnsi="Times New Roman" w:cs="Times New Roman"/>
          <w:sz w:val="24"/>
          <w:szCs w:val="24"/>
        </w:rPr>
        <w:t>. Además: “Que a pesar de que el Presidente Jimmy Morales avaló totalmente nuestra propuesta para la creación de ese Programa el 18 de julio de 2016 y que giró instrucciones a sus funcionarios para que se iniciara su construcción, a la fecha sus subalternos no han cumplido con dichas órdenes”. Este último intento representó un retroceso con respecto al anterior, en la medida en que fue más excluyente. En suma, en tanto crecen los índices de agresiones a periodistas en Guatemala y repuntan los asesinatos, el Estado guatemalteco no da muestras de voluntad política para crear el mecanismo de protección a periodistas.</w:t>
      </w:r>
      <w:r>
        <w:br/>
      </w:r>
    </w:p>
    <w:p w:rsidR="00E849D8" w:rsidRDefault="00E849D8">
      <w:pPr>
        <w:pStyle w:val="Heading3"/>
        <w:pBdr>
          <w:top w:val="nil"/>
          <w:left w:val="nil"/>
          <w:bottom w:val="nil"/>
          <w:right w:val="nil"/>
          <w:between w:val="nil"/>
        </w:pBdr>
        <w:spacing w:after="0"/>
        <w:ind w:left="0"/>
      </w:pPr>
      <w:bookmarkStart w:id="21" w:name="_osmbqs13mzt6" w:colFirst="0" w:colLast="0"/>
      <w:bookmarkEnd w:id="21"/>
      <w:r>
        <w:rPr>
          <w:rFonts w:ascii="Times New Roman" w:eastAsia="Times New Roman" w:hAnsi="Times New Roman" w:cs="Times New Roman"/>
        </w:rPr>
        <w:t>V. INFORMACIÓN DEL ESTADO SOBRE LOS DERECHOS DE PUEBLOS INDÍGENAS</w:t>
      </w:r>
      <w:r>
        <w:rPr>
          <w:rFonts w:ascii="Times New Roman" w:eastAsia="Times New Roman" w:hAnsi="Times New Roman" w:cs="Times New Roman"/>
          <w:sz w:val="23"/>
          <w:szCs w:val="23"/>
        </w:rPr>
        <w:br/>
      </w:r>
    </w:p>
    <w:p w:rsidR="00E849D8" w:rsidRDefault="00E849D8" w:rsidP="00271CEB">
      <w:pPr>
        <w:spacing w:after="0"/>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La oficina del Procurador de los Derechos Humanos (PDH) es la entidad estatal, comisionada </w:t>
      </w:r>
    </w:p>
    <w:p w:rsidR="00E849D8" w:rsidRDefault="00E849D8" w:rsidP="00271CEB">
      <w:pPr>
        <w:spacing w:after="0"/>
        <w:rPr>
          <w:rFonts w:ascii="Times New Roman" w:eastAsia="Times New Roman" w:hAnsi="Times New Roman" w:cs="Times New Roman"/>
          <w:sz w:val="23"/>
          <w:szCs w:val="23"/>
        </w:rPr>
      </w:pPr>
      <w:r>
        <w:rPr>
          <w:rFonts w:ascii="Times New Roman" w:eastAsia="Times New Roman" w:hAnsi="Times New Roman" w:cs="Times New Roman"/>
          <w:sz w:val="23"/>
          <w:szCs w:val="23"/>
        </w:rPr>
        <w:t>por el </w:t>
      </w:r>
      <w:hyperlink r:id="rId10">
        <w:r>
          <w:rPr>
            <w:rFonts w:ascii="Times New Roman" w:eastAsia="Times New Roman" w:hAnsi="Times New Roman" w:cs="Times New Roman"/>
            <w:sz w:val="23"/>
            <w:szCs w:val="23"/>
          </w:rPr>
          <w:t>Congreso de la República de Guatemala</w:t>
        </w:r>
      </w:hyperlink>
      <w:r>
        <w:rPr>
          <w:rFonts w:ascii="Times New Roman" w:eastAsia="Times New Roman" w:hAnsi="Times New Roman" w:cs="Times New Roman"/>
          <w:sz w:val="23"/>
          <w:szCs w:val="23"/>
        </w:rPr>
        <w:t> para garantizar el cumplimiento de los </w:t>
      </w:r>
      <w:hyperlink r:id="rId11">
        <w:r>
          <w:rPr>
            <w:rFonts w:ascii="Times New Roman" w:eastAsia="Times New Roman" w:hAnsi="Times New Roman" w:cs="Times New Roman"/>
            <w:sz w:val="23"/>
            <w:szCs w:val="23"/>
          </w:rPr>
          <w:t>Derechos Humanos</w:t>
        </w:r>
      </w:hyperlink>
      <w:r>
        <w:rPr>
          <w:rFonts w:ascii="Times New Roman" w:eastAsia="Times New Roman" w:hAnsi="Times New Roman" w:cs="Times New Roman"/>
          <w:sz w:val="23"/>
          <w:szCs w:val="23"/>
        </w:rPr>
        <w:t xml:space="preserve">. En su informe anual del 2016, reconocen lo siguiente: </w:t>
      </w:r>
      <w:r>
        <w:rPr>
          <w:rFonts w:ascii="Times New Roman" w:eastAsia="Times New Roman" w:hAnsi="Times New Roman" w:cs="Times New Roman"/>
          <w:sz w:val="23"/>
          <w:szCs w:val="23"/>
        </w:rPr>
        <w:br/>
      </w:r>
    </w:p>
    <w:p w:rsidR="00E849D8" w:rsidRDefault="00E849D8">
      <w:pPr>
        <w:spacing w:after="0"/>
        <w:ind w:left="720"/>
        <w:jc w:val="both"/>
        <w:rPr>
          <w:rFonts w:ascii="Times New Roman" w:eastAsia="Times New Roman" w:hAnsi="Times New Roman" w:cs="Times New Roman"/>
          <w:sz w:val="23"/>
          <w:szCs w:val="23"/>
        </w:rPr>
      </w:pPr>
      <w:r>
        <w:rPr>
          <w:rFonts w:ascii="Times New Roman" w:eastAsia="Times New Roman" w:hAnsi="Times New Roman" w:cs="Times New Roman"/>
          <w:i/>
          <w:sz w:val="23"/>
          <w:szCs w:val="23"/>
        </w:rPr>
        <w:t>“Los Pueblos Indígenas guatemaltecos continúan viendo conculcados sus derechos colectivos lo cual interfiere con su derecho al desarrollo y a la paz, en tanto que el Estado no toma medidas afirmativas para asegurar su cumplimiento. En lo individual continúan sufriendo violaciones a sus derechos a la libertad, la seguridad y la justicia. En su informe anual 2015 el PDH recordó que la conflictividad social en el país deriva de la conculcación de los derechos humanos y de la criminalización de la lucha social, de la cual han sido víctimas también las personas indígenas, especialmente en su defensa del territorio y de la naturaleza. Aunque la discriminación es un delito tipificado en el Código Penal, sigue siendo uno de los hechos más cometidos contra la población indígena.”</w:t>
      </w:r>
    </w:p>
    <w:p w:rsidR="00E849D8" w:rsidRDefault="00E849D8">
      <w:pPr>
        <w:spacing w:after="0"/>
        <w:ind w:left="720"/>
        <w:jc w:val="both"/>
        <w:rPr>
          <w:rFonts w:ascii="Times New Roman" w:eastAsia="Times New Roman" w:hAnsi="Times New Roman" w:cs="Times New Roman"/>
          <w:sz w:val="12"/>
          <w:szCs w:val="12"/>
        </w:rPr>
      </w:pPr>
    </w:p>
    <w:p w:rsidR="00E849D8" w:rsidRDefault="00E849D8">
      <w:pPr>
        <w:spacing w:after="0"/>
        <w:ind w:left="720"/>
        <w:jc w:val="both"/>
        <w:rPr>
          <w:rFonts w:ascii="Times New Roman" w:eastAsia="Times New Roman" w:hAnsi="Times New Roman" w:cs="Times New Roman"/>
          <w:sz w:val="23"/>
          <w:szCs w:val="23"/>
        </w:rPr>
      </w:pPr>
      <w:r>
        <w:rPr>
          <w:rFonts w:ascii="Times New Roman" w:eastAsia="Times New Roman" w:hAnsi="Times New Roman" w:cs="Times New Roman"/>
          <w:i/>
          <w:sz w:val="23"/>
          <w:szCs w:val="23"/>
        </w:rPr>
        <w:t xml:space="preserve">“En materia legislativa,  continúa  habiendo  bastantes  leyes  pendientes a  favor de  pueblos </w:t>
      </w:r>
    </w:p>
    <w:p w:rsidR="00E849D8" w:rsidRDefault="00E849D8">
      <w:pPr>
        <w:spacing w:after="0"/>
        <w:ind w:left="720"/>
        <w:jc w:val="both"/>
        <w:rPr>
          <w:rFonts w:ascii="Times New Roman" w:eastAsia="Times New Roman" w:hAnsi="Times New Roman" w:cs="Times New Roman"/>
          <w:sz w:val="12"/>
          <w:szCs w:val="12"/>
        </w:rPr>
      </w:pPr>
      <w:r>
        <w:rPr>
          <w:rFonts w:ascii="Times New Roman" w:eastAsia="Times New Roman" w:hAnsi="Times New Roman" w:cs="Times New Roman"/>
          <w:i/>
          <w:sz w:val="23"/>
          <w:szCs w:val="23"/>
        </w:rPr>
        <w:t>indígenas…</w:t>
      </w:r>
      <w:r>
        <w:rPr>
          <w:rFonts w:ascii="Times New Roman" w:eastAsia="Times New Roman" w:hAnsi="Times New Roman" w:cs="Times New Roman"/>
          <w:b/>
          <w:i/>
          <w:sz w:val="23"/>
          <w:szCs w:val="23"/>
        </w:rPr>
        <w:t xml:space="preserve"> </w:t>
      </w:r>
      <w:r>
        <w:rPr>
          <w:rFonts w:ascii="Times New Roman" w:eastAsia="Times New Roman" w:hAnsi="Times New Roman" w:cs="Times New Roman"/>
          <w:i/>
          <w:sz w:val="23"/>
          <w:szCs w:val="23"/>
        </w:rPr>
        <w:t xml:space="preserve">aprobar la iniciativa 4087 Ley de Medios de Comunicación Comunitaria para normar su funcionamiento en los rangos del espectro que transmiten, y resolver muchas de las controversias que existen en relación con las radios comunitarias.”  </w:t>
      </w:r>
      <w:r>
        <w:rPr>
          <w:rFonts w:ascii="Times New Roman" w:eastAsia="Times New Roman" w:hAnsi="Times New Roman" w:cs="Times New Roman"/>
          <w:i/>
          <w:sz w:val="23"/>
          <w:szCs w:val="23"/>
        </w:rPr>
        <w:br/>
      </w:r>
    </w:p>
    <w:p w:rsidR="00E849D8" w:rsidRDefault="00E849D8">
      <w:pPr>
        <w:spacing w:after="0"/>
        <w:ind w:left="720"/>
        <w:jc w:val="both"/>
        <w:rPr>
          <w:rFonts w:ascii="Times New Roman" w:eastAsia="Times New Roman" w:hAnsi="Times New Roman" w:cs="Times New Roman"/>
          <w:sz w:val="23"/>
          <w:szCs w:val="23"/>
        </w:rPr>
      </w:pPr>
      <w:r>
        <w:rPr>
          <w:rFonts w:ascii="Times New Roman" w:eastAsia="Times New Roman" w:hAnsi="Times New Roman" w:cs="Times New Roman"/>
          <w:i/>
          <w:sz w:val="23"/>
          <w:szCs w:val="23"/>
        </w:rPr>
        <w:t xml:space="preserve">“El Acuerdo sobre identidad y derechos de los pueblos indígenas recoge la obligación del </w:t>
      </w:r>
    </w:p>
    <w:p w:rsidR="00E849D8" w:rsidRDefault="00E849D8">
      <w:pPr>
        <w:spacing w:after="0"/>
        <w:ind w:left="720"/>
        <w:jc w:val="both"/>
        <w:rPr>
          <w:rFonts w:ascii="Times New Roman" w:eastAsia="Times New Roman" w:hAnsi="Times New Roman" w:cs="Times New Roman"/>
          <w:sz w:val="23"/>
          <w:szCs w:val="23"/>
        </w:rPr>
      </w:pPr>
      <w:r>
        <w:rPr>
          <w:rFonts w:ascii="Times New Roman" w:eastAsia="Times New Roman" w:hAnsi="Times New Roman" w:cs="Times New Roman"/>
          <w:i/>
          <w:sz w:val="23"/>
          <w:szCs w:val="23"/>
        </w:rPr>
        <w:t>Estado de garantizar el acceso de los pueblos indígenas a los mecanismos de garantía de sus derechos, asentándose en cuatro rubros principales: a) Los derechos culturales como idioma, religión, ciencia y tecnología; b) Los derechos de reconocer, mantener y respetar su identidad histórica y memoria colectiva; c) El derecho político, considerando necesaria la participación directa de los pueblos, recogiendo sus propias aspiraciones y expresiones de representatividad propia expresada en todos los niveles; d) Los derechos económicos implementando programas prioritarios de desarrollo económico concebidos y administrados por los pueblos indígenas, garantizando el bienestar de los mismos y del país.”</w:t>
      </w:r>
    </w:p>
    <w:p w:rsidR="00E849D8" w:rsidRDefault="00E849D8">
      <w:pPr>
        <w:spacing w:after="0"/>
        <w:ind w:left="720"/>
        <w:jc w:val="both"/>
        <w:rPr>
          <w:rFonts w:ascii="Times New Roman" w:eastAsia="Times New Roman" w:hAnsi="Times New Roman" w:cs="Times New Roman"/>
          <w:sz w:val="12"/>
          <w:szCs w:val="12"/>
        </w:rPr>
      </w:pPr>
    </w:p>
    <w:p w:rsidR="00E849D8" w:rsidRDefault="00E849D8">
      <w:pPr>
        <w:spacing w:after="0"/>
        <w:ind w:left="720"/>
        <w:jc w:val="both"/>
        <w:rPr>
          <w:rFonts w:ascii="Times New Roman" w:eastAsia="Times New Roman" w:hAnsi="Times New Roman" w:cs="Times New Roman"/>
          <w:sz w:val="23"/>
          <w:szCs w:val="23"/>
        </w:rPr>
      </w:pPr>
      <w:r>
        <w:rPr>
          <w:rFonts w:ascii="Times New Roman" w:eastAsia="Times New Roman" w:hAnsi="Times New Roman" w:cs="Times New Roman"/>
          <w:i/>
          <w:sz w:val="23"/>
          <w:szCs w:val="23"/>
        </w:rPr>
        <w:t xml:space="preserve">“El Acuerdo de Identidad y Derechos de los Pueblos Indígenas, específicamente en los derechos </w:t>
      </w:r>
    </w:p>
    <w:p w:rsidR="00E849D8" w:rsidRDefault="00E849D8">
      <w:pPr>
        <w:spacing w:after="0"/>
        <w:ind w:left="720"/>
        <w:jc w:val="both"/>
        <w:rPr>
          <w:rFonts w:ascii="Times New Roman" w:eastAsia="Times New Roman" w:hAnsi="Times New Roman" w:cs="Times New Roman"/>
          <w:sz w:val="23"/>
          <w:szCs w:val="23"/>
        </w:rPr>
      </w:pPr>
      <w:r>
        <w:rPr>
          <w:rFonts w:ascii="Times New Roman" w:eastAsia="Times New Roman" w:hAnsi="Times New Roman" w:cs="Times New Roman"/>
          <w:i/>
          <w:sz w:val="23"/>
          <w:szCs w:val="23"/>
        </w:rPr>
        <w:t>culturales, señala que la cultura maya constituye el sustento original de la cultura guatemalteca por lo tanto es inconcebible el desarrollo de la cultura nacional sin el reconocimiento de los pueblos indígenas.”</w:t>
      </w:r>
    </w:p>
    <w:p w:rsidR="00E849D8" w:rsidRDefault="00E849D8">
      <w:pPr>
        <w:spacing w:after="0"/>
        <w:jc w:val="both"/>
        <w:rPr>
          <w:rFonts w:ascii="Times New Roman" w:eastAsia="Times New Roman" w:hAnsi="Times New Roman" w:cs="Times New Roman"/>
          <w:sz w:val="23"/>
          <w:szCs w:val="23"/>
        </w:rPr>
      </w:pPr>
    </w:p>
    <w:p w:rsidR="00E849D8" w:rsidRDefault="00E849D8">
      <w:pPr>
        <w:spacing w:after="0"/>
        <w:rPr>
          <w:rFonts w:ascii="Times New Roman" w:eastAsia="Times New Roman" w:hAnsi="Times New Roman" w:cs="Times New Roman"/>
          <w:b/>
          <w:sz w:val="23"/>
          <w:szCs w:val="23"/>
        </w:rPr>
      </w:pPr>
    </w:p>
    <w:p w:rsidR="00E849D8" w:rsidRDefault="00E849D8">
      <w:pPr>
        <w:spacing w:after="0"/>
        <w:rPr>
          <w:rFonts w:ascii="Times New Roman" w:eastAsia="Times New Roman" w:hAnsi="Times New Roman" w:cs="Times New Roman"/>
          <w:b/>
          <w:sz w:val="23"/>
          <w:szCs w:val="23"/>
        </w:rPr>
      </w:pPr>
      <w:r>
        <w:rPr>
          <w:rFonts w:ascii="Times New Roman" w:eastAsia="Times New Roman" w:hAnsi="Times New Roman" w:cs="Times New Roman"/>
          <w:b/>
          <w:sz w:val="26"/>
          <w:szCs w:val="26"/>
        </w:rPr>
        <w:t>VI. RECOMENDACIONES DE OTROS CUERPOS DE DERECHOS HUMANOS</w:t>
      </w:r>
    </w:p>
    <w:p w:rsidR="00E849D8" w:rsidRDefault="00E849D8">
      <w:pPr>
        <w:spacing w:after="0"/>
        <w:jc w:val="both"/>
        <w:rPr>
          <w:rFonts w:ascii="Times New Roman" w:eastAsia="Times New Roman" w:hAnsi="Times New Roman" w:cs="Times New Roman"/>
          <w:sz w:val="23"/>
          <w:szCs w:val="23"/>
        </w:rPr>
      </w:pPr>
    </w:p>
    <w:p w:rsidR="00E849D8" w:rsidRDefault="00E849D8" w:rsidP="00271CEB">
      <w:pPr>
        <w:numPr>
          <w:ilvl w:val="0"/>
          <w:numId w:val="4"/>
        </w:numPr>
        <w:spacing w:after="0"/>
        <w:rPr>
          <w:sz w:val="23"/>
          <w:szCs w:val="23"/>
        </w:rPr>
      </w:pPr>
      <w:r>
        <w:rPr>
          <w:rFonts w:ascii="Times New Roman" w:eastAsia="Times New Roman" w:hAnsi="Times New Roman" w:cs="Times New Roman"/>
          <w:sz w:val="23"/>
          <w:szCs w:val="23"/>
        </w:rPr>
        <w:t xml:space="preserve">En una carta del Alto Comisionado en la ONU para derechos humanos publicado April 2018,  Zeid Ra'ad Al Hussein exigió a Guatemala lo siguiente: </w:t>
      </w:r>
      <w:r>
        <w:rPr>
          <w:rFonts w:ascii="Times New Roman" w:eastAsia="Times New Roman" w:hAnsi="Times New Roman" w:cs="Times New Roman"/>
          <w:i/>
          <w:sz w:val="23"/>
          <w:szCs w:val="23"/>
        </w:rPr>
        <w:t>Levantar las restricciones a la libertad de expresión y adoptar medidas legales y reglamentarias para la protección y la seguridad de periodistas contra la persecución, la intimidación y el acoso; despenalizar la difamación y abstenerse de adoptar leyes que prevean la censura; adoptar el proyecto de ley 4087 que autoriza una estación de radio comunitaria por municipio.</w:t>
      </w:r>
      <w:r>
        <w:rPr>
          <w:rFonts w:ascii="Times New Roman" w:eastAsia="Times New Roman" w:hAnsi="Times New Roman" w:cs="Times New Roman"/>
          <w:i/>
          <w:sz w:val="23"/>
          <w:szCs w:val="23"/>
          <w:vertAlign w:val="superscript"/>
        </w:rPr>
        <w:endnoteReference w:id="17"/>
      </w:r>
      <w:r>
        <w:rPr>
          <w:rFonts w:ascii="Times New Roman" w:eastAsia="Times New Roman" w:hAnsi="Times New Roman" w:cs="Times New Roman"/>
          <w:i/>
          <w:sz w:val="23"/>
          <w:szCs w:val="23"/>
        </w:rPr>
        <w:br/>
      </w:r>
    </w:p>
    <w:p w:rsidR="00E849D8" w:rsidRDefault="00E849D8" w:rsidP="00271CEB">
      <w:pPr>
        <w:numPr>
          <w:ilvl w:val="0"/>
          <w:numId w:val="4"/>
        </w:numPr>
        <w:spacing w:after="0"/>
        <w:rPr>
          <w:sz w:val="23"/>
          <w:szCs w:val="23"/>
        </w:rPr>
      </w:pPr>
      <w:r>
        <w:rPr>
          <w:rFonts w:ascii="Times New Roman" w:eastAsia="Times New Roman" w:hAnsi="Times New Roman" w:cs="Times New Roman"/>
          <w:sz w:val="23"/>
          <w:szCs w:val="23"/>
        </w:rPr>
        <w:t xml:space="preserve"> En Febrero 2016, La Relatoría Especial para la Libertad de Expresión de la CIDH insta a Guatemala a adoptar legislación en materia de radiodifusión comunitaria: </w:t>
      </w:r>
      <w:r>
        <w:rPr>
          <w:rFonts w:ascii="Times New Roman" w:eastAsia="Times New Roman" w:hAnsi="Times New Roman" w:cs="Times New Roman"/>
          <w:i/>
          <w:sz w:val="23"/>
          <w:szCs w:val="23"/>
        </w:rPr>
        <w:t>En el marco de la discusión parlamentaria sobre radiodifusión comunitaria en Guatemala, la Relatoría Especial para la Libertad de Expresión de la Comisión Interamericana de Derechos Humanos (CIDH) insta al Estado a adoptar de forma urgente legislación adecuada en  esta materia, de manera que se reconozca a la radio y televisión comunitaria y se destine una parte equitativa del espectro y del dividendo digital a este importante sector.</w:t>
      </w:r>
      <w:r>
        <w:rPr>
          <w:rFonts w:ascii="Times New Roman" w:eastAsia="Times New Roman" w:hAnsi="Times New Roman" w:cs="Times New Roman"/>
          <w:i/>
          <w:sz w:val="23"/>
          <w:szCs w:val="23"/>
          <w:vertAlign w:val="superscript"/>
        </w:rPr>
        <w:endnoteReference w:id="18"/>
      </w:r>
    </w:p>
    <w:p w:rsidR="00E849D8" w:rsidRDefault="00E849D8" w:rsidP="00271CEB">
      <w:pPr>
        <w:spacing w:after="0"/>
        <w:ind w:left="720"/>
        <w:rPr>
          <w:rFonts w:ascii="Times New Roman" w:eastAsia="Times New Roman" w:hAnsi="Times New Roman" w:cs="Times New Roman"/>
          <w:i/>
          <w:sz w:val="23"/>
          <w:szCs w:val="23"/>
        </w:rPr>
      </w:pPr>
    </w:p>
    <w:p w:rsidR="00C347AC" w:rsidRDefault="00E849D8" w:rsidP="00271CEB">
      <w:pPr>
        <w:numPr>
          <w:ilvl w:val="0"/>
          <w:numId w:val="4"/>
        </w:numPr>
        <w:spacing w:after="0"/>
        <w:rPr>
          <w:sz w:val="23"/>
          <w:szCs w:val="23"/>
        </w:rPr>
      </w:pPr>
      <w:r>
        <w:rPr>
          <w:rFonts w:ascii="Times New Roman" w:eastAsia="Times New Roman" w:hAnsi="Times New Roman" w:cs="Times New Roman"/>
          <w:sz w:val="23"/>
          <w:szCs w:val="23"/>
        </w:rPr>
        <w:t xml:space="preserve">En su reporte de visita al país de Guatemala, publicado en Septiembre 2018, La Relatora Especial para los Derechos de los Pueblos Indígenas recomendó: </w:t>
      </w:r>
      <w:r>
        <w:rPr>
          <w:rFonts w:ascii="Times New Roman" w:eastAsia="Times New Roman" w:hAnsi="Times New Roman" w:cs="Times New Roman"/>
          <w:i/>
          <w:sz w:val="23"/>
          <w:szCs w:val="23"/>
        </w:rPr>
        <w:t xml:space="preserve"> Urge adoptar la reforma de la actual Ley General de Telecomunicaciones para asegurar el acceso de las radios comunitarias indígenas a las frecuencias de radio autorizadas por el Estado.</w:t>
      </w:r>
      <w:r>
        <w:rPr>
          <w:rFonts w:ascii="Times New Roman" w:eastAsia="Times New Roman" w:hAnsi="Times New Roman" w:cs="Times New Roman"/>
          <w:i/>
          <w:sz w:val="23"/>
          <w:szCs w:val="23"/>
          <w:vertAlign w:val="superscript"/>
        </w:rPr>
        <w:endnoteReference w:id="19"/>
      </w:r>
      <w:r>
        <w:rPr>
          <w:rFonts w:ascii="Times New Roman" w:eastAsia="Times New Roman" w:hAnsi="Times New Roman" w:cs="Times New Roman"/>
          <w:i/>
          <w:sz w:val="23"/>
          <w:szCs w:val="23"/>
        </w:rPr>
        <w:br/>
      </w:r>
    </w:p>
    <w:p w:rsidR="00C347AC" w:rsidRDefault="00271CEB" w:rsidP="00271CEB">
      <w:pPr>
        <w:numPr>
          <w:ilvl w:val="0"/>
          <w:numId w:val="4"/>
        </w:numPr>
        <w:spacing w:after="0"/>
        <w:rPr>
          <w:rFonts w:ascii="Times New Roman" w:eastAsia="Times New Roman" w:hAnsi="Times New Roman" w:cs="Times New Roman"/>
          <w:i/>
          <w:sz w:val="23"/>
          <w:szCs w:val="23"/>
        </w:rPr>
      </w:pPr>
      <w:r>
        <w:rPr>
          <w:rFonts w:ascii="Times New Roman" w:eastAsia="Times New Roman" w:hAnsi="Times New Roman" w:cs="Times New Roman"/>
          <w:sz w:val="23"/>
          <w:szCs w:val="23"/>
        </w:rPr>
        <w:t>En el segundo ciclo del Examen Periódico Universal del Estado de Guatemala, en el año 2008, Noruega se refirió a las recomendaciones  del Comité para la Eliminación de la D</w:t>
      </w:r>
      <w:r>
        <w:rPr>
          <w:rFonts w:ascii="Times New Roman" w:eastAsia="Times New Roman" w:hAnsi="Times New Roman" w:cs="Times New Roman"/>
          <w:sz w:val="23"/>
          <w:szCs w:val="23"/>
        </w:rPr>
        <w:t>iscriminación Racial de que las radiodifusoras comunitarias llegarán al número más amplio posible de comunidades Indígenas. Recomendó que se enmendara la Ley de Radiodifusión, a fin de garantizar el funcionamiento adecuado y libre de las emisoras locales (</w:t>
      </w:r>
      <w:r>
        <w:rPr>
          <w:rFonts w:ascii="Times New Roman" w:eastAsia="Times New Roman" w:hAnsi="Times New Roman" w:cs="Times New Roman"/>
          <w:sz w:val="23"/>
          <w:szCs w:val="23"/>
        </w:rPr>
        <w:t>EPU 2008). El País de Noruega dándole continuidad a lo manifestado, en el EPU 2012,</w:t>
      </w:r>
      <w:r>
        <w:rPr>
          <w:rFonts w:ascii="Times New Roman" w:eastAsia="Times New Roman" w:hAnsi="Times New Roman" w:cs="Times New Roman"/>
          <w:color w:val="FF0000"/>
          <w:sz w:val="23"/>
          <w:szCs w:val="23"/>
        </w:rPr>
        <w:t xml:space="preserve"> </w:t>
      </w:r>
      <w:r>
        <w:rPr>
          <w:rFonts w:ascii="Times New Roman" w:eastAsia="Times New Roman" w:hAnsi="Times New Roman" w:cs="Times New Roman"/>
          <w:sz w:val="23"/>
          <w:szCs w:val="23"/>
        </w:rPr>
        <w:t xml:space="preserve">señala en el punto 99.78:   </w:t>
      </w:r>
      <w:r>
        <w:rPr>
          <w:rFonts w:ascii="Times New Roman" w:eastAsia="Times New Roman" w:hAnsi="Times New Roman" w:cs="Times New Roman"/>
          <w:i/>
          <w:sz w:val="23"/>
          <w:szCs w:val="23"/>
        </w:rPr>
        <w:t>Hacer seguimiento de la decisión de la Corte de Constitucionalidad en la que se insta al poder legislativo a reformar la legislación sobre el ac</w:t>
      </w:r>
      <w:r>
        <w:rPr>
          <w:rFonts w:ascii="Times New Roman" w:eastAsia="Times New Roman" w:hAnsi="Times New Roman" w:cs="Times New Roman"/>
          <w:i/>
          <w:sz w:val="23"/>
          <w:szCs w:val="23"/>
        </w:rPr>
        <w:t>ceso de los pueblos indígenas a frecuencias radiofónicas para promover, desarrollar y difundir sus idiomas y tradiciones y otras expresiones culturales, y reformar la Ley de Radiocomunicaciones para garantizar el libre y adecuado funcionamiento de las radi</w:t>
      </w:r>
      <w:r>
        <w:rPr>
          <w:rFonts w:ascii="Times New Roman" w:eastAsia="Times New Roman" w:hAnsi="Times New Roman" w:cs="Times New Roman"/>
          <w:i/>
          <w:sz w:val="23"/>
          <w:szCs w:val="23"/>
        </w:rPr>
        <w:t>os locales (Noruega)</w:t>
      </w:r>
      <w:r>
        <w:rPr>
          <w:rFonts w:ascii="Times New Roman" w:eastAsia="Times New Roman" w:hAnsi="Times New Roman" w:cs="Times New Roman"/>
          <w:i/>
          <w:sz w:val="23"/>
          <w:szCs w:val="23"/>
        </w:rPr>
        <w:br/>
      </w:r>
    </w:p>
    <w:p w:rsidR="00C347AC" w:rsidRDefault="00C347AC" w:rsidP="00271CEB">
      <w:pPr>
        <w:spacing w:after="0"/>
        <w:rPr>
          <w:rFonts w:ascii="Times New Roman" w:eastAsia="Times New Roman" w:hAnsi="Times New Roman" w:cs="Times New Roman"/>
          <w:sz w:val="23"/>
          <w:szCs w:val="23"/>
        </w:rPr>
      </w:pPr>
    </w:p>
    <w:p w:rsidR="00C347AC" w:rsidRDefault="00271CEB" w:rsidP="00271CEB">
      <w:pPr>
        <w:numPr>
          <w:ilvl w:val="0"/>
          <w:numId w:val="4"/>
        </w:numPr>
        <w:spacing w:after="0"/>
        <w:rPr>
          <w:rFonts w:ascii="Times New Roman" w:eastAsia="Times New Roman" w:hAnsi="Times New Roman" w:cs="Times New Roman"/>
          <w:i/>
          <w:sz w:val="23"/>
          <w:szCs w:val="23"/>
        </w:rPr>
      </w:pPr>
      <w:r>
        <w:rPr>
          <w:rFonts w:ascii="Times New Roman" w:eastAsia="Times New Roman" w:hAnsi="Times New Roman" w:cs="Times New Roman"/>
          <w:sz w:val="23"/>
          <w:szCs w:val="23"/>
        </w:rPr>
        <w:t>En el tercer ciclo del Examen Periódico Universal en 2018, Guatemala apoyó  varias recomendaciones sobre protección de defensores de derechos humanos y periodistas; aquí compartimos una selección:</w:t>
      </w:r>
    </w:p>
    <w:p w:rsidR="00C347AC" w:rsidRDefault="00271CEB" w:rsidP="00271CEB">
      <w:pPr>
        <w:numPr>
          <w:ilvl w:val="1"/>
          <w:numId w:val="4"/>
        </w:numPr>
        <w:spacing w:after="0"/>
        <w:rPr>
          <w:rFonts w:ascii="Times New Roman" w:eastAsia="Times New Roman" w:hAnsi="Times New Roman" w:cs="Times New Roman"/>
          <w:i/>
          <w:sz w:val="23"/>
          <w:szCs w:val="23"/>
        </w:rPr>
      </w:pPr>
      <w:r>
        <w:rPr>
          <w:rFonts w:ascii="Times New Roman" w:eastAsia="Times New Roman" w:hAnsi="Times New Roman" w:cs="Times New Roman"/>
          <w:sz w:val="23"/>
          <w:szCs w:val="23"/>
        </w:rPr>
        <w:t xml:space="preserve">Alemania recomendó: </w:t>
      </w:r>
      <w:r>
        <w:rPr>
          <w:rFonts w:ascii="Times New Roman" w:eastAsia="Times New Roman" w:hAnsi="Times New Roman" w:cs="Times New Roman"/>
          <w:i/>
          <w:sz w:val="23"/>
          <w:szCs w:val="23"/>
        </w:rPr>
        <w:t>111.43 Apoyar la</w:t>
      </w:r>
      <w:r>
        <w:rPr>
          <w:rFonts w:ascii="Times New Roman" w:eastAsia="Times New Roman" w:hAnsi="Times New Roman" w:cs="Times New Roman"/>
          <w:i/>
          <w:sz w:val="23"/>
          <w:szCs w:val="23"/>
        </w:rPr>
        <w:t xml:space="preserve"> labor de la sociedad civil mediante la adopción de políticas públicas para protegerla y poner fin a la aplicación indebida del derecho penal y administrativo contra los defensores de los derechos humanos, incluidos los defensores de los derechos humanos d</w:t>
      </w:r>
      <w:r>
        <w:rPr>
          <w:rFonts w:ascii="Times New Roman" w:eastAsia="Times New Roman" w:hAnsi="Times New Roman" w:cs="Times New Roman"/>
          <w:i/>
          <w:sz w:val="23"/>
          <w:szCs w:val="23"/>
        </w:rPr>
        <w:t xml:space="preserve">e los pueblos indígenas, en especial en el contexto de los proyectos hidroeléctricos y mineros </w:t>
      </w:r>
    </w:p>
    <w:p w:rsidR="00C347AC" w:rsidRDefault="00271CEB" w:rsidP="00271CEB">
      <w:pPr>
        <w:numPr>
          <w:ilvl w:val="1"/>
          <w:numId w:val="4"/>
        </w:numPr>
        <w:spacing w:after="0"/>
        <w:rPr>
          <w:rFonts w:ascii="Times New Roman" w:eastAsia="Times New Roman" w:hAnsi="Times New Roman" w:cs="Times New Roman"/>
          <w:i/>
          <w:sz w:val="23"/>
          <w:szCs w:val="23"/>
        </w:rPr>
      </w:pPr>
      <w:r>
        <w:rPr>
          <w:rFonts w:ascii="Times New Roman" w:eastAsia="Times New Roman" w:hAnsi="Times New Roman" w:cs="Times New Roman"/>
          <w:sz w:val="23"/>
          <w:szCs w:val="23"/>
        </w:rPr>
        <w:t xml:space="preserve">Francia recomendó: </w:t>
      </w:r>
      <w:r>
        <w:rPr>
          <w:rFonts w:ascii="Times New Roman" w:eastAsia="Times New Roman" w:hAnsi="Times New Roman" w:cs="Times New Roman"/>
          <w:i/>
          <w:sz w:val="23"/>
          <w:szCs w:val="23"/>
        </w:rPr>
        <w:t>111.41 Reforzar la protección de los periodistas, un aspecto esencial para el pleno respeto de las libertades fundamentales, en particular me</w:t>
      </w:r>
      <w:r>
        <w:rPr>
          <w:rFonts w:ascii="Times New Roman" w:eastAsia="Times New Roman" w:hAnsi="Times New Roman" w:cs="Times New Roman"/>
          <w:i/>
          <w:sz w:val="23"/>
          <w:szCs w:val="23"/>
        </w:rPr>
        <w:t>diante la rápida puesta en marcha del programa de protección de los periodistas, al que ya se ha dedicado un gran esfuerzo</w:t>
      </w:r>
      <w:r>
        <w:rPr>
          <w:rFonts w:ascii="Times New Roman" w:eastAsia="Times New Roman" w:hAnsi="Times New Roman" w:cs="Times New Roman"/>
          <w:sz w:val="23"/>
          <w:szCs w:val="23"/>
        </w:rPr>
        <w:t xml:space="preserve"> </w:t>
      </w:r>
    </w:p>
    <w:p w:rsidR="00C347AC" w:rsidRDefault="00271CEB" w:rsidP="00271CEB">
      <w:pPr>
        <w:numPr>
          <w:ilvl w:val="1"/>
          <w:numId w:val="4"/>
        </w:numPr>
        <w:spacing w:after="0"/>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Grecia recomendó: </w:t>
      </w:r>
      <w:r>
        <w:rPr>
          <w:rFonts w:ascii="Times New Roman" w:eastAsia="Times New Roman" w:hAnsi="Times New Roman" w:cs="Times New Roman"/>
          <w:i/>
          <w:sz w:val="23"/>
          <w:szCs w:val="23"/>
        </w:rPr>
        <w:t xml:space="preserve">111.44 Adoptar un mecanismo para la protección de los periodistas y liberar a todos los periodistas recluidos por </w:t>
      </w:r>
      <w:r>
        <w:rPr>
          <w:rFonts w:ascii="Times New Roman" w:eastAsia="Times New Roman" w:hAnsi="Times New Roman" w:cs="Times New Roman"/>
          <w:i/>
          <w:sz w:val="23"/>
          <w:szCs w:val="23"/>
        </w:rPr>
        <w:t xml:space="preserve">ejercer su derecho a la libertad de expresión; </w:t>
      </w:r>
      <w:r>
        <w:rPr>
          <w:rFonts w:ascii="Times New Roman" w:eastAsia="Times New Roman" w:hAnsi="Times New Roman" w:cs="Times New Roman"/>
          <w:sz w:val="23"/>
          <w:szCs w:val="23"/>
        </w:rPr>
        <w:t>Y</w:t>
      </w:r>
      <w:r>
        <w:rPr>
          <w:rFonts w:ascii="Times New Roman" w:eastAsia="Times New Roman" w:hAnsi="Times New Roman" w:cs="Times New Roman"/>
          <w:i/>
          <w:sz w:val="23"/>
          <w:szCs w:val="23"/>
        </w:rPr>
        <w:t xml:space="preserve"> 111.45 Asegurar la realización de investigaciones rápidas, exhaustivas e imparciales sobre los ataques contra los defensores de los derechos humanos y adoptar una política pública para su protección </w:t>
      </w:r>
    </w:p>
    <w:p w:rsidR="00C347AC" w:rsidRDefault="00271CEB" w:rsidP="00271CEB">
      <w:pPr>
        <w:numPr>
          <w:ilvl w:val="1"/>
          <w:numId w:val="4"/>
        </w:numPr>
        <w:spacing w:after="0"/>
        <w:rPr>
          <w:rFonts w:ascii="Times New Roman" w:eastAsia="Times New Roman" w:hAnsi="Times New Roman" w:cs="Times New Roman"/>
          <w:sz w:val="23"/>
          <w:szCs w:val="23"/>
        </w:rPr>
      </w:pPr>
      <w:r>
        <w:rPr>
          <w:rFonts w:ascii="Times New Roman" w:eastAsia="Times New Roman" w:hAnsi="Times New Roman" w:cs="Times New Roman"/>
          <w:sz w:val="23"/>
          <w:szCs w:val="23"/>
        </w:rPr>
        <w:t>Santa S</w:t>
      </w:r>
      <w:r>
        <w:rPr>
          <w:rFonts w:ascii="Times New Roman" w:eastAsia="Times New Roman" w:hAnsi="Times New Roman" w:cs="Times New Roman"/>
          <w:sz w:val="23"/>
          <w:szCs w:val="23"/>
        </w:rPr>
        <w:t>ede recomendó:</w:t>
      </w:r>
      <w:r>
        <w:rPr>
          <w:rFonts w:ascii="Times New Roman" w:eastAsia="Times New Roman" w:hAnsi="Times New Roman" w:cs="Times New Roman"/>
          <w:i/>
          <w:sz w:val="23"/>
          <w:szCs w:val="23"/>
        </w:rPr>
        <w:t xml:space="preserve"> 111.46 Proseguir los esfuerzos para promover la libertad de expresión e información protegiendo a los periodistas (Santa Sede);</w:t>
      </w:r>
    </w:p>
    <w:p w:rsidR="00C347AC" w:rsidRDefault="00271CEB" w:rsidP="00271CEB">
      <w:pPr>
        <w:numPr>
          <w:ilvl w:val="1"/>
          <w:numId w:val="4"/>
        </w:numPr>
        <w:spacing w:after="0"/>
        <w:rPr>
          <w:rFonts w:ascii="Times New Roman" w:eastAsia="Times New Roman" w:hAnsi="Times New Roman" w:cs="Times New Roman"/>
          <w:i/>
          <w:sz w:val="23"/>
          <w:szCs w:val="23"/>
        </w:rPr>
      </w:pPr>
      <w:r>
        <w:rPr>
          <w:rFonts w:ascii="Times New Roman" w:eastAsia="Times New Roman" w:hAnsi="Times New Roman" w:cs="Times New Roman"/>
          <w:sz w:val="23"/>
          <w:szCs w:val="23"/>
        </w:rPr>
        <w:t xml:space="preserve"> Lituania recomendó</w:t>
      </w:r>
      <w:r>
        <w:rPr>
          <w:rFonts w:ascii="Times New Roman" w:eastAsia="Times New Roman" w:hAnsi="Times New Roman" w:cs="Times New Roman"/>
          <w:i/>
          <w:sz w:val="23"/>
          <w:szCs w:val="23"/>
        </w:rPr>
        <w:t xml:space="preserve"> 111.51 Adoptar un marco para la protección de los profesionales de los medios de comunicación</w:t>
      </w:r>
      <w:r>
        <w:rPr>
          <w:rFonts w:ascii="Times New Roman" w:eastAsia="Times New Roman" w:hAnsi="Times New Roman" w:cs="Times New Roman"/>
          <w:i/>
          <w:sz w:val="23"/>
          <w:szCs w:val="23"/>
        </w:rPr>
        <w:t xml:space="preserve">, basado en el Plan de Acción de las Naciones Unidas sobre la Seguridad de los Periodistas y la Cuestión de la Impunidad. </w:t>
      </w:r>
    </w:p>
    <w:p w:rsidR="00C347AC" w:rsidRDefault="00271CEB" w:rsidP="00271CEB">
      <w:pPr>
        <w:numPr>
          <w:ilvl w:val="1"/>
          <w:numId w:val="4"/>
        </w:numPr>
        <w:spacing w:after="0"/>
        <w:rPr>
          <w:rFonts w:ascii="Times New Roman" w:eastAsia="Times New Roman" w:hAnsi="Times New Roman" w:cs="Times New Roman"/>
          <w:i/>
          <w:sz w:val="23"/>
          <w:szCs w:val="23"/>
        </w:rPr>
      </w:pPr>
      <w:r>
        <w:rPr>
          <w:rFonts w:ascii="Times New Roman" w:eastAsia="Times New Roman" w:hAnsi="Times New Roman" w:cs="Times New Roman"/>
          <w:sz w:val="23"/>
          <w:szCs w:val="23"/>
        </w:rPr>
        <w:t>República de Corea recomendó:</w:t>
      </w:r>
      <w:r>
        <w:rPr>
          <w:rFonts w:ascii="Times New Roman" w:eastAsia="Times New Roman" w:hAnsi="Times New Roman" w:cs="Times New Roman"/>
          <w:i/>
          <w:sz w:val="23"/>
          <w:szCs w:val="23"/>
        </w:rPr>
        <w:t xml:space="preserve"> 111.55 Iniciar investigaciones oportunas, independientes, imparciales y eficaces sobre las amenazas y a</w:t>
      </w:r>
      <w:r>
        <w:rPr>
          <w:rFonts w:ascii="Times New Roman" w:eastAsia="Times New Roman" w:hAnsi="Times New Roman" w:cs="Times New Roman"/>
          <w:i/>
          <w:sz w:val="23"/>
          <w:szCs w:val="23"/>
        </w:rPr>
        <w:t xml:space="preserve">taques contra los defensores de los derechos humanos, en particular los indígenas, para garantizar su protección efectiva. </w:t>
      </w:r>
    </w:p>
    <w:p w:rsidR="00C347AC" w:rsidRDefault="00C347AC">
      <w:pPr>
        <w:spacing w:after="0" w:line="360" w:lineRule="auto"/>
        <w:rPr>
          <w:rFonts w:ascii="Times New Roman" w:eastAsia="Times New Roman" w:hAnsi="Times New Roman" w:cs="Times New Roman"/>
          <w:b/>
          <w:sz w:val="23"/>
          <w:szCs w:val="23"/>
        </w:rPr>
      </w:pPr>
    </w:p>
    <w:p w:rsidR="00C347AC" w:rsidRDefault="00C347AC">
      <w:pPr>
        <w:spacing w:after="0" w:line="360" w:lineRule="auto"/>
        <w:rPr>
          <w:rFonts w:ascii="Times New Roman" w:eastAsia="Times New Roman" w:hAnsi="Times New Roman" w:cs="Times New Roman"/>
          <w:b/>
          <w:sz w:val="23"/>
          <w:szCs w:val="23"/>
        </w:rPr>
      </w:pPr>
    </w:p>
    <w:p w:rsidR="00C347AC" w:rsidRDefault="00271CEB">
      <w:pPr>
        <w:spacing w:after="0" w:line="360" w:lineRule="auto"/>
        <w:rPr>
          <w:rFonts w:ascii="Times New Roman" w:eastAsia="Times New Roman" w:hAnsi="Times New Roman" w:cs="Times New Roman"/>
          <w:sz w:val="23"/>
          <w:szCs w:val="23"/>
        </w:rPr>
      </w:pPr>
      <w:r>
        <w:rPr>
          <w:rFonts w:ascii="Times New Roman" w:eastAsia="Times New Roman" w:hAnsi="Times New Roman" w:cs="Times New Roman"/>
          <w:b/>
          <w:sz w:val="26"/>
          <w:szCs w:val="26"/>
        </w:rPr>
        <w:t>VIII. RECOMENDACIONES</w:t>
      </w:r>
    </w:p>
    <w:p w:rsidR="00C347AC" w:rsidRDefault="00C347AC">
      <w:pPr>
        <w:spacing w:after="0" w:line="360" w:lineRule="auto"/>
        <w:jc w:val="center"/>
        <w:rPr>
          <w:rFonts w:ascii="Times New Roman" w:eastAsia="Times New Roman" w:hAnsi="Times New Roman" w:cs="Times New Roman"/>
          <w:sz w:val="12"/>
          <w:szCs w:val="12"/>
        </w:rPr>
      </w:pPr>
    </w:p>
    <w:p w:rsidR="00C347AC" w:rsidRDefault="00271CEB">
      <w:pPr>
        <w:numPr>
          <w:ilvl w:val="0"/>
          <w:numId w:val="3"/>
        </w:numPr>
        <w:spacing w:after="0" w:line="36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Para garantizar acceso equitativo a los medios de comunicación a todas las etnicidades del país, que se a</w:t>
      </w:r>
      <w:r>
        <w:rPr>
          <w:rFonts w:ascii="Times New Roman" w:eastAsia="Times New Roman" w:hAnsi="Times New Roman" w:cs="Times New Roman"/>
          <w:sz w:val="23"/>
          <w:szCs w:val="23"/>
        </w:rPr>
        <w:t>pr</w:t>
      </w:r>
      <w:r>
        <w:rPr>
          <w:rFonts w:ascii="Times New Roman" w:eastAsia="Times New Roman" w:hAnsi="Times New Roman" w:cs="Times New Roman"/>
          <w:sz w:val="23"/>
          <w:szCs w:val="23"/>
        </w:rPr>
        <w:t>ue</w:t>
      </w:r>
      <w:r>
        <w:rPr>
          <w:rFonts w:ascii="Times New Roman" w:eastAsia="Times New Roman" w:hAnsi="Times New Roman" w:cs="Times New Roman"/>
          <w:sz w:val="23"/>
          <w:szCs w:val="23"/>
        </w:rPr>
        <w:t>b</w:t>
      </w:r>
      <w:r>
        <w:rPr>
          <w:rFonts w:ascii="Times New Roman" w:eastAsia="Times New Roman" w:hAnsi="Times New Roman" w:cs="Times New Roman"/>
          <w:sz w:val="23"/>
          <w:szCs w:val="23"/>
        </w:rPr>
        <w:t>e</w:t>
      </w:r>
      <w:r>
        <w:rPr>
          <w:rFonts w:ascii="Times New Roman" w:eastAsia="Times New Roman" w:hAnsi="Times New Roman" w:cs="Times New Roman"/>
          <w:sz w:val="23"/>
          <w:szCs w:val="23"/>
        </w:rPr>
        <w:t xml:space="preserve"> la Iniciativa 4087 Ley de  Medios de Comunicación Comunitaria que está en el Congreso de la República, </w:t>
      </w:r>
      <w:r>
        <w:rPr>
          <w:rFonts w:ascii="Times New Roman" w:eastAsia="Times New Roman" w:hAnsi="Times New Roman" w:cs="Times New Roman"/>
          <w:sz w:val="23"/>
          <w:szCs w:val="23"/>
        </w:rPr>
        <w:t>en</w:t>
      </w:r>
      <w:r>
        <w:rPr>
          <w:rFonts w:ascii="Times New Roman" w:eastAsia="Times New Roman" w:hAnsi="Times New Roman" w:cs="Times New Roman"/>
          <w:sz w:val="23"/>
          <w:szCs w:val="23"/>
        </w:rPr>
        <w:t xml:space="preserve"> cumpl</w:t>
      </w:r>
      <w:r>
        <w:rPr>
          <w:rFonts w:ascii="Times New Roman" w:eastAsia="Times New Roman" w:hAnsi="Times New Roman" w:cs="Times New Roman"/>
          <w:sz w:val="23"/>
          <w:szCs w:val="23"/>
        </w:rPr>
        <w:t>imiento del</w:t>
      </w:r>
      <w:r>
        <w:rPr>
          <w:rFonts w:ascii="Times New Roman" w:eastAsia="Times New Roman" w:hAnsi="Times New Roman" w:cs="Times New Roman"/>
          <w:sz w:val="23"/>
          <w:szCs w:val="23"/>
        </w:rPr>
        <w:t xml:space="preserve"> Exhorto de la Corte de Constitucionalidad</w:t>
      </w:r>
      <w:r>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 xml:space="preserve"> los Acuerdos de Paz</w:t>
      </w:r>
      <w:r>
        <w:rPr>
          <w:rFonts w:ascii="Times New Roman" w:eastAsia="Times New Roman" w:hAnsi="Times New Roman" w:cs="Times New Roman"/>
          <w:sz w:val="23"/>
          <w:szCs w:val="23"/>
        </w:rPr>
        <w:t>, y recomendaciones anteriores del CERD y otros cuerpos de la ONU</w:t>
      </w:r>
      <w:r>
        <w:rPr>
          <w:rFonts w:ascii="Times New Roman" w:eastAsia="Times New Roman" w:hAnsi="Times New Roman" w:cs="Times New Roman"/>
          <w:sz w:val="23"/>
          <w:szCs w:val="23"/>
        </w:rPr>
        <w:t>.</w:t>
      </w:r>
    </w:p>
    <w:p w:rsidR="00C347AC" w:rsidRDefault="00271CEB">
      <w:pPr>
        <w:numPr>
          <w:ilvl w:val="0"/>
          <w:numId w:val="3"/>
        </w:numPr>
        <w:spacing w:after="0" w:line="36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Que cese la criminalización y persecuci</w:t>
      </w:r>
      <w:r>
        <w:rPr>
          <w:rFonts w:ascii="Times New Roman" w:eastAsia="Times New Roman" w:hAnsi="Times New Roman" w:cs="Times New Roman"/>
          <w:sz w:val="23"/>
          <w:szCs w:val="23"/>
        </w:rPr>
        <w:t>ó</w:t>
      </w:r>
      <w:r>
        <w:rPr>
          <w:rFonts w:ascii="Times New Roman" w:eastAsia="Times New Roman" w:hAnsi="Times New Roman" w:cs="Times New Roman"/>
          <w:sz w:val="23"/>
          <w:szCs w:val="23"/>
        </w:rPr>
        <w:t>n de defen</w:t>
      </w:r>
      <w:r>
        <w:rPr>
          <w:rFonts w:ascii="Times New Roman" w:eastAsia="Times New Roman" w:hAnsi="Times New Roman" w:cs="Times New Roman"/>
          <w:sz w:val="23"/>
          <w:szCs w:val="23"/>
        </w:rPr>
        <w:t xml:space="preserve">sores de derechos Indígenas, en particular </w:t>
      </w:r>
      <w:r>
        <w:rPr>
          <w:rFonts w:ascii="Times New Roman" w:eastAsia="Times New Roman" w:hAnsi="Times New Roman" w:cs="Times New Roman"/>
          <w:sz w:val="23"/>
          <w:szCs w:val="23"/>
        </w:rPr>
        <w:t>a los dirigentes y comunicadores de las radios comunitarias, así como los allanamientos y el decomiso de equipo</w:t>
      </w:r>
      <w:r>
        <w:rPr>
          <w:rFonts w:ascii="Times New Roman" w:eastAsia="Times New Roman" w:hAnsi="Times New Roman" w:cs="Times New Roman"/>
          <w:sz w:val="23"/>
          <w:szCs w:val="23"/>
        </w:rPr>
        <w:t>.</w:t>
      </w:r>
    </w:p>
    <w:p w:rsidR="00C347AC" w:rsidRDefault="00271CEB">
      <w:pPr>
        <w:numPr>
          <w:ilvl w:val="0"/>
          <w:numId w:val="3"/>
        </w:numPr>
        <w:spacing w:after="0" w:line="360" w:lineRule="auto"/>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Que se tomen pasos concretos para establecer un </w:t>
      </w:r>
      <w:r>
        <w:rPr>
          <w:rFonts w:ascii="Times New Roman" w:eastAsia="Times New Roman" w:hAnsi="Times New Roman" w:cs="Times New Roman"/>
          <w:sz w:val="23"/>
          <w:szCs w:val="23"/>
        </w:rPr>
        <w:t xml:space="preserve">mecanismo de </w:t>
      </w:r>
      <w:r>
        <w:rPr>
          <w:rFonts w:ascii="Times New Roman" w:eastAsia="Times New Roman" w:hAnsi="Times New Roman" w:cs="Times New Roman"/>
          <w:sz w:val="23"/>
          <w:szCs w:val="23"/>
        </w:rPr>
        <w:t>protección</w:t>
      </w:r>
      <w:r>
        <w:rPr>
          <w:rFonts w:ascii="Times New Roman" w:eastAsia="Times New Roman" w:hAnsi="Times New Roman" w:cs="Times New Roman"/>
          <w:sz w:val="23"/>
          <w:szCs w:val="23"/>
        </w:rPr>
        <w:t xml:space="preserve"> a periodistas</w:t>
      </w:r>
      <w:r>
        <w:rPr>
          <w:rFonts w:ascii="Times New Roman" w:eastAsia="Times New Roman" w:hAnsi="Times New Roman" w:cs="Times New Roman"/>
          <w:sz w:val="23"/>
          <w:szCs w:val="23"/>
        </w:rPr>
        <w:t xml:space="preserve"> y comunicadores comunitarias.</w:t>
      </w:r>
    </w:p>
    <w:p w:rsidR="00C347AC" w:rsidRDefault="00C347AC">
      <w:pPr>
        <w:spacing w:after="0" w:line="360" w:lineRule="auto"/>
        <w:ind w:left="720"/>
        <w:jc w:val="both"/>
        <w:rPr>
          <w:rFonts w:ascii="Times New Roman" w:eastAsia="Times New Roman" w:hAnsi="Times New Roman" w:cs="Times New Roman"/>
          <w:sz w:val="23"/>
          <w:szCs w:val="23"/>
        </w:rPr>
      </w:pPr>
    </w:p>
    <w:p w:rsidR="00C347AC" w:rsidRDefault="00C347AC">
      <w:pPr>
        <w:pStyle w:val="Heading3"/>
        <w:ind w:left="0"/>
        <w:rPr>
          <w:rFonts w:ascii="Times New Roman" w:eastAsia="Times New Roman" w:hAnsi="Times New Roman" w:cs="Times New Roman"/>
          <w:sz w:val="24"/>
          <w:szCs w:val="24"/>
        </w:rPr>
      </w:pPr>
      <w:bookmarkStart w:id="22" w:name="_cb31wpn2lymq" w:colFirst="0" w:colLast="0"/>
      <w:bookmarkEnd w:id="22"/>
    </w:p>
    <w:p w:rsidR="00271CEB" w:rsidRDefault="00271CEB" w:rsidP="00271CEB"/>
    <w:p w:rsidR="00271CEB" w:rsidRDefault="00271CEB" w:rsidP="00271CEB"/>
    <w:p w:rsidR="00271CEB" w:rsidRDefault="00271CEB" w:rsidP="00271CEB"/>
    <w:p w:rsidR="00271CEB" w:rsidRDefault="00271CEB" w:rsidP="00271CEB"/>
    <w:p w:rsidR="00271CEB" w:rsidRDefault="00271CEB" w:rsidP="00271CEB"/>
    <w:p w:rsidR="00271CEB" w:rsidRDefault="00271CEB" w:rsidP="00271CEB"/>
    <w:p w:rsidR="00271CEB" w:rsidRDefault="00271CEB" w:rsidP="00271CEB"/>
    <w:p w:rsidR="00271CEB" w:rsidRDefault="00271CEB" w:rsidP="00271CEB"/>
    <w:p w:rsidR="00271CEB" w:rsidRDefault="00271CEB" w:rsidP="00271CEB"/>
    <w:p w:rsidR="00271CEB" w:rsidRPr="00271CEB" w:rsidRDefault="00271CEB" w:rsidP="00271CEB">
      <w:r>
        <w:t>Fuentes</w:t>
      </w:r>
    </w:p>
    <w:sectPr w:rsidR="00271CEB" w:rsidRPr="00271CEB" w:rsidSect="00271CEB">
      <w:footerReference w:type="default" r:id="rId12"/>
      <w:endnotePr>
        <w:numFmt w:val="decimal"/>
      </w:endnotePr>
      <w:pgSz w:w="12240" w:h="15840"/>
      <w:pgMar w:top="1138" w:right="1138" w:bottom="1138" w:left="1138"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1CEB">
      <w:pPr>
        <w:spacing w:after="0" w:line="240" w:lineRule="auto"/>
      </w:pPr>
      <w:r>
        <w:separator/>
      </w:r>
    </w:p>
  </w:endnote>
  <w:endnote w:type="continuationSeparator" w:id="0">
    <w:p w:rsidR="00000000" w:rsidRDefault="00271CEB">
      <w:pPr>
        <w:spacing w:after="0" w:line="240" w:lineRule="auto"/>
      </w:pPr>
      <w:r>
        <w:continuationSeparator/>
      </w:r>
    </w:p>
  </w:endnote>
  <w:endnote w:id="1">
    <w:p w:rsidR="00E849D8" w:rsidRPr="00E849D8" w:rsidRDefault="00E849D8">
      <w:pPr>
        <w:spacing w:after="0" w:line="240" w:lineRule="auto"/>
        <w:rPr>
          <w:rFonts w:ascii="Times New Roman" w:eastAsia="Times New Roman" w:hAnsi="Times New Roman" w:cs="Times New Roman"/>
        </w:rPr>
      </w:pPr>
      <w:r w:rsidRPr="00E849D8">
        <w:rPr>
          <w:rFonts w:ascii="Times New Roman" w:hAnsi="Times New Roman" w:cs="Times New Roman"/>
          <w:vertAlign w:val="superscript"/>
        </w:rPr>
        <w:endnoteRef/>
      </w:r>
      <w:r w:rsidRPr="00E849D8">
        <w:rPr>
          <w:rFonts w:ascii="Times New Roman" w:eastAsia="Times New Roman" w:hAnsi="Times New Roman" w:cs="Times New Roman"/>
        </w:rPr>
        <w:t xml:space="preserve"> http://www.cicig.org/uploads/documents/2015/informe_financiamiento_politicagt.pdf </w:t>
      </w:r>
    </w:p>
  </w:endnote>
  <w:endnote w:id="2">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w:t>
      </w:r>
      <w:r w:rsidRPr="00E849D8">
        <w:rPr>
          <w:rFonts w:ascii="Times New Roman" w:eastAsia="Times New Roman" w:hAnsi="Times New Roman" w:cs="Times New Roman"/>
        </w:rPr>
        <w:t>http://leyderadioytele.ucr.ac.cr/sites/default/files/documentos/Los%20monopolios%20de%20la%20verdad,%20Descifrando%20la%20estructura%20y%20concentraci%C3%B3n%20de%20los%20medios%20en%20Centroam%C3%A9rica%20y%20Rep%C3%BAblica%20Dominicana.%20Gianina%20Segnini.pdf</w:t>
      </w:r>
    </w:p>
  </w:endnote>
  <w:endnote w:id="3">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w:t>
      </w:r>
      <w:r w:rsidRPr="00E849D8">
        <w:rPr>
          <w:rFonts w:ascii="Times New Roman" w:eastAsia="Times New Roman" w:hAnsi="Times New Roman" w:cs="Times New Roman"/>
        </w:rPr>
        <w:t>http://www.prensalibre.com/hemeroteca/publicidad-en-tv-a-politicos-en-2000</w:t>
      </w:r>
    </w:p>
  </w:endnote>
  <w:endnote w:id="4">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w:t>
      </w:r>
      <w:r w:rsidRPr="00E849D8">
        <w:rPr>
          <w:rFonts w:ascii="Times New Roman" w:eastAsia="Times New Roman" w:hAnsi="Times New Roman" w:cs="Times New Roman"/>
        </w:rPr>
        <w:t>https://nomada.gt/esta-es-la-publicidad-gratuita-que-nos-cobran-a-los-ciudadanos-despues/</w:t>
      </w:r>
    </w:p>
  </w:endnote>
  <w:endnote w:id="5">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w:t>
      </w:r>
      <w:r w:rsidRPr="00E849D8">
        <w:rPr>
          <w:rFonts w:ascii="Times New Roman" w:eastAsia="Times New Roman" w:hAnsi="Times New Roman" w:cs="Times New Roman"/>
        </w:rPr>
        <w:t>http://elperiodico.com.gt/investigacion/2016/11/20/las-migajas-que-pago-angel-gonzalez-para-renovar-sus-frecuencias/</w:t>
      </w:r>
    </w:p>
  </w:endnote>
  <w:endnote w:id="6">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w:t>
      </w:r>
      <w:hyperlink r:id="rId1">
        <w:r w:rsidRPr="00E849D8">
          <w:rPr>
            <w:rFonts w:ascii="Times New Roman" w:eastAsia="Times New Roman" w:hAnsi="Times New Roman" w:cs="Times New Roman"/>
          </w:rPr>
          <w:t>http://elperiodico.com.gt/investigacion/2016/08/29/el-guardian-de-las-frecuencias-de-angel-gonzalez/</w:t>
        </w:r>
      </w:hyperlink>
    </w:p>
  </w:endnote>
  <w:endnote w:id="7">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w:t>
      </w:r>
      <w:hyperlink r:id="rId2">
        <w:r w:rsidRPr="00E849D8">
          <w:rPr>
            <w:rFonts w:ascii="Times New Roman" w:eastAsia="Times New Roman" w:hAnsi="Times New Roman" w:cs="Times New Roman"/>
          </w:rPr>
          <w:t>http://contrapoder.com.gt/2016/03/20/el-congreso-puede-pagar-caro-un-error-en-pase-de-ley-de-telecomunicaciones/</w:t>
        </w:r>
      </w:hyperlink>
    </w:p>
  </w:endnote>
  <w:endnote w:id="8">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w:t>
      </w:r>
      <w:r w:rsidRPr="00E849D8">
        <w:rPr>
          <w:rFonts w:ascii="Times New Roman" w:eastAsia="Times New Roman" w:hAnsi="Times New Roman" w:cs="Times New Roman"/>
        </w:rPr>
        <w:t>http://www.prensacomunitaria.org/en-allanamiento-a-cuatro-emisoras-comunitarias-criminalizan-a-comunicadoras-indigenas/</w:t>
      </w:r>
    </w:p>
  </w:endnote>
  <w:endnote w:id="9">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w:t>
      </w:r>
      <w:r w:rsidRPr="00E849D8">
        <w:rPr>
          <w:rFonts w:ascii="Times New Roman" w:eastAsia="Times New Roman" w:hAnsi="Times New Roman" w:cs="Times New Roman"/>
        </w:rPr>
        <w:t>http://www.prensacomunitaria.org/otro-reves-para-la-persecucion-penal-espuria-de-las-radios-comunitarias/</w:t>
      </w:r>
    </w:p>
  </w:endnote>
  <w:endnote w:id="10">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https://www.washingtonpost.com/news/global-opinions/wp/2018/05/23/guatemala-needs-to-do-more-to-stop-the-killings-of-indigenous-activists/?noredirect=on&amp;utm_term=.44882b13f1ec</w:t>
      </w:r>
    </w:p>
  </w:endnote>
  <w:endnote w:id="11">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https://elperiodico.com.gt/opinion/2018/02/05/otros-dos-periodistas-asesinados/</w:t>
      </w:r>
    </w:p>
  </w:endnote>
  <w:endnote w:id="12">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http://udefegua.org/wp-content/uploads/2018/07/Informe-2017.FINAL_.5.compressed.pdf</w:t>
      </w:r>
    </w:p>
  </w:endnote>
  <w:endnote w:id="13">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https://www.plazapublica.com.gt/content/como-se-hace-un-plan-para-proteger-los-periodistas </w:t>
      </w:r>
    </w:p>
  </w:endnote>
  <w:endnote w:id="14">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https://www.culturalsurvival.org/news/community-radio-station-attacked-censored-town-mayor-guatemala</w:t>
      </w:r>
    </w:p>
  </w:endnote>
  <w:endnote w:id="15">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w:t>
      </w:r>
    </w:p>
    <w:p w:rsidR="00E849D8" w:rsidRPr="00E849D8" w:rsidRDefault="00E849D8">
      <w:pPr>
        <w:spacing w:after="0" w:line="240" w:lineRule="auto"/>
        <w:rPr>
          <w:rFonts w:ascii="Times New Roman" w:eastAsia="Times New Roman" w:hAnsi="Times New Roman" w:cs="Times New Roman"/>
        </w:rPr>
      </w:pPr>
      <w:r w:rsidRPr="00E849D8">
        <w:rPr>
          <w:rFonts w:ascii="Times New Roman" w:eastAsia="Times New Roman" w:hAnsi="Times New Roman" w:cs="Times New Roman"/>
        </w:rPr>
        <w:t>https://nomada.gt/cuando-pedir-informacion-publica-te-consigue</w:t>
      </w:r>
    </w:p>
    <w:p w:rsidR="00E849D8" w:rsidRPr="00E849D8" w:rsidRDefault="00E849D8">
      <w:pPr>
        <w:spacing w:after="0" w:line="240" w:lineRule="auto"/>
        <w:rPr>
          <w:rFonts w:ascii="Times New Roman" w:eastAsia="Times New Roman" w:hAnsi="Times New Roman" w:cs="Times New Roman"/>
        </w:rPr>
      </w:pPr>
      <w:r w:rsidRPr="00E849D8">
        <w:rPr>
          <w:rFonts w:ascii="Times New Roman" w:eastAsia="Times New Roman" w:hAnsi="Times New Roman" w:cs="Times New Roman"/>
        </w:rPr>
        <w:t>-una-golpiza/</w:t>
      </w:r>
    </w:p>
    <w:p w:rsidR="00E849D8" w:rsidRPr="00E849D8" w:rsidRDefault="00E849D8">
      <w:pPr>
        <w:spacing w:after="0" w:line="240" w:lineRule="auto"/>
        <w:rPr>
          <w:rFonts w:ascii="Times New Roman" w:hAnsi="Times New Roman" w:cs="Times New Roman"/>
        </w:rPr>
      </w:pPr>
    </w:p>
  </w:endnote>
  <w:endnote w:id="16">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https://kaosenlared.net/guatemala-reclamos-de-la-prensa/</w:t>
      </w:r>
    </w:p>
  </w:endnote>
  <w:endnote w:id="17">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https://www.culturalsurvival.org/publications/cultural-survival-quarterly/human-rights-violations-guatemala-hearing-indigenous</w:t>
      </w:r>
    </w:p>
  </w:endnote>
  <w:endnote w:id="18">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https://us6.campaign-archive.com/?u=af0b024f4f6c25b6530ff4c66&amp;id=8e38c2d052&amp;e=8cb93adb53</w:t>
      </w:r>
    </w:p>
  </w:endnote>
  <w:endnote w:id="19">
    <w:p w:rsidR="00E849D8" w:rsidRPr="00E849D8" w:rsidRDefault="00E849D8">
      <w:pPr>
        <w:spacing w:after="0" w:line="240" w:lineRule="auto"/>
        <w:rPr>
          <w:rFonts w:ascii="Times New Roman" w:hAnsi="Times New Roman" w:cs="Times New Roman"/>
        </w:rPr>
      </w:pPr>
      <w:r w:rsidRPr="00E849D8">
        <w:rPr>
          <w:rFonts w:ascii="Times New Roman" w:hAnsi="Times New Roman" w:cs="Times New Roman"/>
          <w:vertAlign w:val="superscript"/>
        </w:rPr>
        <w:endnoteRef/>
      </w:r>
      <w:r w:rsidRPr="00E849D8">
        <w:rPr>
          <w:rFonts w:ascii="Times New Roman" w:hAnsi="Times New Roman" w:cs="Times New Roman"/>
        </w:rPr>
        <w:t xml:space="preserve"> Informe de la Relatora Especial sobre los derechos de los pueblos indígenas sobre su visita a Guatemala, Septiembre 2018. http://unsr.vtaulicorpuz.org/site/images/docs/country/2018-guatemala-a-hrc-39-17-add3-sp.pdf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165558"/>
      <w:docPartObj>
        <w:docPartGallery w:val="Page Numbers (Bottom of Page)"/>
        <w:docPartUnique/>
      </w:docPartObj>
    </w:sdtPr>
    <w:sdtEndPr>
      <w:rPr>
        <w:noProof/>
      </w:rPr>
    </w:sdtEndPr>
    <w:sdtContent>
      <w:p w:rsidR="00271CEB" w:rsidRDefault="00271C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71CEB" w:rsidRDefault="00271C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1CEB">
      <w:pPr>
        <w:spacing w:after="0" w:line="240" w:lineRule="auto"/>
      </w:pPr>
      <w:r>
        <w:separator/>
      </w:r>
    </w:p>
  </w:footnote>
  <w:footnote w:type="continuationSeparator" w:id="0">
    <w:p w:rsidR="00000000" w:rsidRDefault="00271CE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08125D"/>
    <w:multiLevelType w:val="multilevel"/>
    <w:tmpl w:val="5552874E"/>
    <w:lvl w:ilvl="0">
      <w:start w:val="1"/>
      <w:numFmt w:val="upperRoman"/>
      <w:lvlText w:val="%1."/>
      <w:lvlJc w:val="right"/>
      <w:pPr>
        <w:ind w:left="1080" w:hanging="720"/>
      </w:pPr>
      <w:rPr>
        <w:rFonts w:ascii="Times New Roman" w:hAnsi="Times New Roman" w:cs="Times New Roman" w:hint="default"/>
        <w:vertAlign w:val="baseline"/>
      </w:rPr>
    </w:lvl>
    <w:lvl w:ilvl="1">
      <w:start w:val="1"/>
      <w:numFmt w:val="upperLetter"/>
      <w:lvlText w:val="%2."/>
      <w:lvlJc w:val="left"/>
      <w:pPr>
        <w:ind w:left="450" w:hanging="360"/>
      </w:pPr>
      <w:rPr>
        <w:vertAlign w:val="baseline"/>
      </w:rPr>
    </w:lvl>
    <w:lvl w:ilvl="2">
      <w:start w:val="1"/>
      <w:numFmt w:val="decimal"/>
      <w:lvlText w:val="%3."/>
      <w:lvlJc w:val="left"/>
      <w:pPr>
        <w:ind w:left="2160" w:hanging="180"/>
      </w:pPr>
      <w:rPr>
        <w:vertAlign w:val="baseline"/>
      </w:rPr>
    </w:lvl>
    <w:lvl w:ilvl="3">
      <w:start w:val="1"/>
      <w:numFmt w:val="lowerLetter"/>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lowerLetter"/>
      <w:lvlText w:val="(%6)"/>
      <w:lvlJc w:val="left"/>
      <w:pPr>
        <w:ind w:left="4320" w:hanging="180"/>
      </w:pPr>
      <w:rPr>
        <w:vertAlign w:val="baseline"/>
      </w:rPr>
    </w:lvl>
    <w:lvl w:ilvl="6">
      <w:start w:val="1"/>
      <w:numFmt w:val="lowerRoman"/>
      <w:lvlText w:val="(%7)"/>
      <w:lvlJc w:val="righ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30BC58A0"/>
    <w:multiLevelType w:val="multilevel"/>
    <w:tmpl w:val="8292BBB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5F23024A"/>
    <w:multiLevelType w:val="multilevel"/>
    <w:tmpl w:val="F054682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7FD153FB"/>
    <w:multiLevelType w:val="multilevel"/>
    <w:tmpl w:val="0CDEFCE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7AC"/>
    <w:rsid w:val="00271CEB"/>
    <w:rsid w:val="00C347AC"/>
    <w:rsid w:val="00E84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30B608-60E0-48E0-9A49-A4FDAD211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G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outlineLvl w:val="0"/>
    </w:pPr>
    <w:rPr>
      <w:b/>
      <w:sz w:val="32"/>
      <w:szCs w:val="32"/>
    </w:rPr>
  </w:style>
  <w:style w:type="paragraph" w:styleId="Heading2">
    <w:name w:val="heading 2"/>
    <w:basedOn w:val="Normal"/>
    <w:next w:val="Normal"/>
    <w:pPr>
      <w:keepNext/>
      <w:spacing w:before="240" w:after="60"/>
      <w:ind w:left="720"/>
      <w:outlineLvl w:val="1"/>
    </w:pPr>
    <w:rPr>
      <w:b/>
      <w:i/>
      <w:sz w:val="28"/>
      <w:szCs w:val="28"/>
    </w:rPr>
  </w:style>
  <w:style w:type="paragraph" w:styleId="Heading3">
    <w:name w:val="heading 3"/>
    <w:basedOn w:val="Normal"/>
    <w:next w:val="Normal"/>
    <w:pPr>
      <w:keepNext/>
      <w:spacing w:before="240" w:after="60"/>
      <w:ind w:left="1440"/>
      <w:outlineLvl w:val="2"/>
    </w:pPr>
    <w:rPr>
      <w:b/>
      <w:sz w:val="26"/>
      <w:szCs w:val="26"/>
    </w:rPr>
  </w:style>
  <w:style w:type="paragraph" w:styleId="Heading4">
    <w:name w:val="heading 4"/>
    <w:basedOn w:val="Normal"/>
    <w:next w:val="Normal"/>
    <w:pPr>
      <w:keepNext/>
      <w:spacing w:before="240" w:after="60"/>
      <w:ind w:left="2160"/>
      <w:outlineLvl w:val="3"/>
    </w:pPr>
    <w:rPr>
      <w:rFonts w:ascii="Cambria" w:eastAsia="Cambria" w:hAnsi="Cambria" w:cs="Cambria"/>
      <w:b/>
      <w:sz w:val="28"/>
      <w:szCs w:val="28"/>
    </w:rPr>
  </w:style>
  <w:style w:type="paragraph" w:styleId="Heading5">
    <w:name w:val="heading 5"/>
    <w:basedOn w:val="Normal"/>
    <w:next w:val="Normal"/>
    <w:pPr>
      <w:spacing w:before="240" w:after="60"/>
      <w:ind w:left="2880"/>
      <w:outlineLvl w:val="4"/>
    </w:pPr>
    <w:rPr>
      <w:rFonts w:ascii="Cambria" w:eastAsia="Cambria" w:hAnsi="Cambria" w:cs="Cambria"/>
      <w:b/>
      <w:i/>
      <w:sz w:val="26"/>
      <w:szCs w:val="26"/>
    </w:rPr>
  </w:style>
  <w:style w:type="paragraph" w:styleId="Heading6">
    <w:name w:val="heading 6"/>
    <w:basedOn w:val="Normal"/>
    <w:next w:val="Normal"/>
    <w:pPr>
      <w:spacing w:before="240" w:after="60"/>
      <w:ind w:left="3600"/>
      <w:outlineLvl w:val="5"/>
    </w:pPr>
    <w:rPr>
      <w:rFonts w:ascii="Cambria" w:eastAsia="Cambria" w:hAnsi="Cambria" w:cs="Cambri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EndnoteText">
    <w:name w:val="endnote text"/>
    <w:basedOn w:val="Normal"/>
    <w:link w:val="EndnoteTextChar"/>
    <w:uiPriority w:val="99"/>
    <w:semiHidden/>
    <w:unhideWhenUsed/>
    <w:rsid w:val="00E849D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849D8"/>
    <w:rPr>
      <w:sz w:val="20"/>
      <w:szCs w:val="20"/>
    </w:rPr>
  </w:style>
  <w:style w:type="paragraph" w:styleId="FootnoteText">
    <w:name w:val="footnote text"/>
    <w:basedOn w:val="Normal"/>
    <w:link w:val="FootnoteTextChar"/>
    <w:uiPriority w:val="99"/>
    <w:semiHidden/>
    <w:unhideWhenUsed/>
    <w:rsid w:val="00E849D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49D8"/>
    <w:rPr>
      <w:sz w:val="20"/>
      <w:szCs w:val="20"/>
    </w:rPr>
  </w:style>
  <w:style w:type="character" w:styleId="EndnoteReference">
    <w:name w:val="endnote reference"/>
    <w:basedOn w:val="DefaultParagraphFont"/>
    <w:uiPriority w:val="99"/>
    <w:semiHidden/>
    <w:unhideWhenUsed/>
    <w:rsid w:val="00E849D8"/>
    <w:rPr>
      <w:vertAlign w:val="superscript"/>
    </w:rPr>
  </w:style>
  <w:style w:type="character" w:styleId="FootnoteReference">
    <w:name w:val="footnote reference"/>
    <w:basedOn w:val="DefaultParagraphFont"/>
    <w:uiPriority w:val="99"/>
    <w:semiHidden/>
    <w:unhideWhenUsed/>
    <w:rsid w:val="00E849D8"/>
    <w:rPr>
      <w:vertAlign w:val="superscript"/>
    </w:rPr>
  </w:style>
  <w:style w:type="paragraph" w:styleId="Header">
    <w:name w:val="header"/>
    <w:basedOn w:val="Normal"/>
    <w:link w:val="HeaderChar"/>
    <w:uiPriority w:val="99"/>
    <w:unhideWhenUsed/>
    <w:rsid w:val="00271C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1CEB"/>
  </w:style>
  <w:style w:type="paragraph" w:styleId="Footer">
    <w:name w:val="footer"/>
    <w:basedOn w:val="Normal"/>
    <w:link w:val="FooterChar"/>
    <w:uiPriority w:val="99"/>
    <w:unhideWhenUsed/>
    <w:rsid w:val="00271C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1C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wikipedia.org/wiki/Derechos_Humanos"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es.wikipedia.org/wiki/Congreso_de_la_Rep%C3%BAblica_de_Guatemala"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http://contrapoder.com.gt/2016/03/20/el-congreso-puede-pagar-caro-un-error-en-pase-de-ley-de-telecomunicaciones/" TargetMode="External"/><Relationship Id="rId1" Type="http://schemas.openxmlformats.org/officeDocument/2006/relationships/hyperlink" Target="http://elperiodico.com.gt/investigacion/2016/08/29/el-guardian-de-las-frecuencias-de-angel-gonzale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A49FF9-47BA-45F4-AB0E-5F02D6F72B8F}"/>
</file>

<file path=customXml/itemProps2.xml><?xml version="1.0" encoding="utf-8"?>
<ds:datastoreItem xmlns:ds="http://schemas.openxmlformats.org/officeDocument/2006/customXml" ds:itemID="{8D37027F-7069-4391-802A-116E58572C07}"/>
</file>

<file path=customXml/itemProps3.xml><?xml version="1.0" encoding="utf-8"?>
<ds:datastoreItem xmlns:ds="http://schemas.openxmlformats.org/officeDocument/2006/customXml" ds:itemID="{0D119C31-D27B-4403-8227-E999EB8B815A}"/>
</file>

<file path=customXml/itemProps4.xml><?xml version="1.0" encoding="utf-8"?>
<ds:datastoreItem xmlns:ds="http://schemas.openxmlformats.org/officeDocument/2006/customXml" ds:itemID="{D5C45175-8602-4BE9-BCC1-30A4D6675CE8}"/>
</file>

<file path=docProps/app.xml><?xml version="1.0" encoding="utf-8"?>
<Properties xmlns="http://schemas.openxmlformats.org/officeDocument/2006/extended-properties" xmlns:vt="http://schemas.openxmlformats.org/officeDocument/2006/docPropsVTypes">
  <Template>Normal</Template>
  <TotalTime>1</TotalTime>
  <Pages>15</Pages>
  <Words>6495</Words>
  <Characters>37028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DeLuca</dc:creator>
  <cp:lastModifiedBy>Danielle DeLuca</cp:lastModifiedBy>
  <cp:revision>2</cp:revision>
  <dcterms:created xsi:type="dcterms:W3CDTF">2019-03-21T19:40:00Z</dcterms:created>
  <dcterms:modified xsi:type="dcterms:W3CDTF">2019-03-21T19:40:00Z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