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rPr>
      </w:pPr>
      <w:r>
        <w:rPr>
          <w:rFonts w:cs="Times New Roman" w:ascii="Times New Roman" w:hAnsi="Times New Roman"/>
          <w:b/>
        </w:rPr>
        <w:t>Discours du chef de la délégation haïtienne à Genève lors de sa participation au dialogue interactif avec les membres du Comité des droits des personnes handicapées</w:t>
      </w:r>
    </w:p>
    <w:p>
      <w:pPr>
        <w:pStyle w:val="Normal"/>
        <w:jc w:val="center"/>
        <w:rPr>
          <w:rFonts w:ascii="Times New Roman" w:hAnsi="Times New Roman" w:cs="Times New Roman"/>
          <w:b/>
          <w:b/>
        </w:rPr>
      </w:pPr>
      <w:r>
        <w:rPr>
          <w:rFonts w:cs="Times New Roman" w:ascii="Times New Roman" w:hAnsi="Times New Roman"/>
          <w:b/>
        </w:rPr>
        <w:t>Genève, le 15 février 2018</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pPr>
      <w:r>
        <w:rPr>
          <w:rFonts w:cs="Times New Roman" w:ascii="Times New Roman" w:hAnsi="Times New Roman"/>
          <w:sz w:val="24"/>
          <w:szCs w:val="24"/>
        </w:rPr>
        <w:t xml:space="preserve">Mesdames, Messieurs les membres du </w:t>
      </w:r>
      <w:r>
        <w:rPr>
          <w:rFonts w:cs="Times New Roman" w:ascii="Times New Roman" w:hAnsi="Times New Roman"/>
          <w:sz w:val="24"/>
          <w:szCs w:val="24"/>
        </w:rPr>
        <w:t>C</w:t>
      </w:r>
      <w:r>
        <w:rPr>
          <w:rFonts w:cs="Times New Roman" w:ascii="Times New Roman" w:hAnsi="Times New Roman"/>
          <w:sz w:val="24"/>
          <w:szCs w:val="24"/>
        </w:rPr>
        <w:t>omité des droits des personnes handicapées ;</w:t>
      </w:r>
    </w:p>
    <w:p>
      <w:pPr>
        <w:pStyle w:val="Normal"/>
        <w:jc w:val="both"/>
        <w:rPr>
          <w:rFonts w:ascii="Times New Roman" w:hAnsi="Times New Roman" w:cs="Times New Roman"/>
          <w:sz w:val="24"/>
          <w:szCs w:val="24"/>
        </w:rPr>
      </w:pPr>
      <w:r>
        <w:rPr>
          <w:rFonts w:cs="Times New Roman" w:ascii="Times New Roman" w:hAnsi="Times New Roman"/>
          <w:sz w:val="24"/>
          <w:szCs w:val="24"/>
        </w:rPr>
        <w:t>Mesdames, Messieurs les membres de la délégation haïtienne ;</w:t>
      </w:r>
    </w:p>
    <w:p>
      <w:pPr>
        <w:pStyle w:val="Normal"/>
        <w:jc w:val="both"/>
        <w:rPr/>
      </w:pPr>
      <w:r>
        <w:rPr>
          <w:rFonts w:cs="Times New Roman" w:ascii="Times New Roman" w:hAnsi="Times New Roman"/>
          <w:sz w:val="24"/>
          <w:szCs w:val="24"/>
        </w:rPr>
        <w:t xml:space="preserve">C’est un immense plaisir pour moi d’intervenir ici au nom de la délégation haïtienne dans le cadre de ce dialogue interactif avec le </w:t>
      </w:r>
      <w:r>
        <w:rPr>
          <w:rFonts w:cs="Times New Roman" w:ascii="Times New Roman" w:hAnsi="Times New Roman"/>
          <w:sz w:val="24"/>
          <w:szCs w:val="24"/>
        </w:rPr>
        <w:t>C</w:t>
      </w:r>
      <w:r>
        <w:rPr>
          <w:rFonts w:cs="Times New Roman" w:ascii="Times New Roman" w:hAnsi="Times New Roman"/>
          <w:sz w:val="24"/>
          <w:szCs w:val="24"/>
        </w:rPr>
        <w:t>omité des droits des personnes handicapées de l’ONU en vue de faire le point sur l’évolution de la situation des droits des personnes handicapées de 2009 à nos jours dans mon pays.</w:t>
      </w:r>
    </w:p>
    <w:p>
      <w:pPr>
        <w:pStyle w:val="Normal"/>
        <w:jc w:val="both"/>
        <w:rPr/>
      </w:pPr>
      <w:r>
        <w:rPr>
          <w:rFonts w:cs="Times New Roman" w:ascii="Times New Roman" w:hAnsi="Times New Roman"/>
          <w:sz w:val="24"/>
          <w:szCs w:val="24"/>
        </w:rPr>
        <w:t xml:space="preserve">Permettez-moi, un instant, de saisir ce privilège que j’ai en tant que porteur du dossier pour saluer l’assistance. En mon nom propre et au nom du </w:t>
      </w:r>
      <w:r>
        <w:rPr>
          <w:rFonts w:cs="Times New Roman" w:ascii="Times New Roman" w:hAnsi="Times New Roman"/>
          <w:sz w:val="24"/>
          <w:szCs w:val="24"/>
        </w:rPr>
        <w:t>G</w:t>
      </w:r>
      <w:r>
        <w:rPr>
          <w:rFonts w:cs="Times New Roman" w:ascii="Times New Roman" w:hAnsi="Times New Roman"/>
          <w:sz w:val="24"/>
          <w:szCs w:val="24"/>
        </w:rPr>
        <w:t xml:space="preserve">ouvernement d’Haïti, je vous présente l’expression des sentiments les plus chaleureux du peuple haïtien. À celles et ceux d’entre vous qui ne sont pas familiers avec ce coin de la Caraïbe dont l’histoire reste exceptionnelle, je vous invite à découvrir son merveilleux climat tropical et ses radieuses plages, à ne pas négliger, pour de bonnes vacances inoubliables… Et cela, je vous le dis sans connotation publicitaire. </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Mesdames, Messieurs, </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Pour entrer dans le vif de ma </w:t>
      </w:r>
      <w:r>
        <w:rPr>
          <w:rFonts w:cs="Times New Roman" w:ascii="Times New Roman" w:hAnsi="Times New Roman"/>
          <w:sz w:val="24"/>
          <w:szCs w:val="24"/>
        </w:rPr>
        <w:t>D</w:t>
      </w:r>
      <w:r>
        <w:rPr>
          <w:rFonts w:cs="Times New Roman" w:ascii="Times New Roman" w:hAnsi="Times New Roman"/>
          <w:sz w:val="24"/>
          <w:szCs w:val="24"/>
        </w:rPr>
        <w:t>éclaration, je commencerai par une mise en contexte. Ensuite, je montrerai les avancées obtenues et les défis à relever. En troisième lieu, je mettrai en lumière le cadre d’action programmatique national qui nous permet d’envisager la possible satisfaction des engagements pris en la matière.</w:t>
      </w:r>
    </w:p>
    <w:p>
      <w:pPr>
        <w:pStyle w:val="Normal"/>
        <w:jc w:val="both"/>
        <w:rPr>
          <w:rFonts w:ascii="Times" w:hAnsi="Times" w:eastAsia="Times New Roman" w:cs="Times New Roman"/>
          <w:sz w:val="20"/>
          <w:szCs w:val="20"/>
          <w:lang w:val="fr-FR"/>
        </w:rPr>
      </w:pPr>
      <w:r>
        <w:rPr>
          <w:rFonts w:cs="Times New Roman" w:ascii="Times New Roman" w:hAnsi="Times New Roman"/>
          <w:sz w:val="24"/>
          <w:szCs w:val="24"/>
        </w:rPr>
        <w:t>Constituant le tiers occidental de l’île d’Haïti (</w:t>
      </w:r>
      <w:r>
        <w:rPr>
          <w:rFonts w:eastAsia="Times New Roman" w:cs="Times New Roman" w:ascii="Times New Roman" w:hAnsi="Times New Roman"/>
          <w:sz w:val="24"/>
          <w:szCs w:val="24"/>
          <w:shd w:fill="FFFFFF" w:val="clear"/>
          <w:lang w:val="fr-FR"/>
        </w:rPr>
        <w:t>76 192 km²</w:t>
      </w:r>
      <w:r>
        <w:rPr>
          <w:rFonts w:cs="Times New Roman" w:ascii="Times New Roman" w:hAnsi="Times New Roman"/>
          <w:sz w:val="24"/>
          <w:szCs w:val="24"/>
        </w:rPr>
        <w:t>), Quisqueya ou Bohio, signifiant terre montagneuse dans la langue amérindienne, la République d’Haïti (27 700 km</w:t>
      </w:r>
      <w:r>
        <w:rPr>
          <w:rFonts w:cs="Times New Roman" w:ascii="Times New Roman" w:hAnsi="Times New Roman"/>
          <w:sz w:val="24"/>
          <w:szCs w:val="24"/>
          <w:vertAlign w:val="superscript"/>
        </w:rPr>
        <w:t>2</w:t>
      </w:r>
      <w:r>
        <w:rPr>
          <w:rFonts w:cs="Times New Roman" w:ascii="Times New Roman" w:hAnsi="Times New Roman"/>
          <w:sz w:val="24"/>
          <w:szCs w:val="24"/>
        </w:rPr>
        <w:t xml:space="preserve">) a une population totale estimée actuellement à 10 413 211 habitants, dont environ un dixième vit avec un handicap quelconque. </w:t>
      </w:r>
    </w:p>
    <w:p>
      <w:pPr>
        <w:pStyle w:val="Normal"/>
        <w:jc w:val="both"/>
        <w:rPr/>
      </w:pPr>
      <w:r>
        <w:rPr>
          <w:rFonts w:cs="Times New Roman" w:ascii="Times New Roman" w:hAnsi="Times New Roman"/>
          <w:sz w:val="24"/>
          <w:szCs w:val="24"/>
        </w:rPr>
        <w:t xml:space="preserve">Après avoir intégré officiellement le nombre des États parties </w:t>
      </w:r>
      <w:r>
        <w:rPr>
          <w:rFonts w:cs="Times New Roman" w:ascii="Times New Roman" w:hAnsi="Times New Roman"/>
          <w:sz w:val="24"/>
          <w:szCs w:val="24"/>
        </w:rPr>
        <w:t>à</w:t>
      </w:r>
      <w:r>
        <w:rPr>
          <w:rFonts w:cs="Times New Roman" w:ascii="Times New Roman" w:hAnsi="Times New Roman"/>
          <w:sz w:val="24"/>
          <w:szCs w:val="24"/>
        </w:rPr>
        <w:t xml:space="preserve"> la </w:t>
      </w:r>
      <w:r>
        <w:rPr>
          <w:rFonts w:cs="Times New Roman" w:ascii="Times New Roman" w:hAnsi="Times New Roman"/>
          <w:sz w:val="24"/>
          <w:szCs w:val="24"/>
        </w:rPr>
        <w:t>C</w:t>
      </w:r>
      <w:r>
        <w:rPr>
          <w:rFonts w:cs="Times New Roman" w:ascii="Times New Roman" w:hAnsi="Times New Roman"/>
          <w:sz w:val="24"/>
          <w:szCs w:val="24"/>
        </w:rPr>
        <w:t xml:space="preserve">onvention </w:t>
      </w:r>
      <w:r>
        <w:rPr>
          <w:rFonts w:eastAsia="Times New Roman" w:cs="Times New Roman" w:ascii="Times New Roman" w:hAnsi="Times New Roman"/>
          <w:sz w:val="24"/>
          <w:szCs w:val="24"/>
          <w:lang w:eastAsia="es-ES"/>
        </w:rPr>
        <w:t>relative aux droits des personnes handicapées</w:t>
      </w:r>
      <w:r>
        <w:rPr>
          <w:rFonts w:cs="Times New Roman" w:ascii="Times New Roman" w:hAnsi="Times New Roman"/>
          <w:sz w:val="24"/>
          <w:szCs w:val="24"/>
        </w:rPr>
        <w:t>, le 23 juillet 2009, l’État haïtien s’était ainsi engagé à œuvrer davantage pour la protection des droits et l’amélioration des conditions de vie de sa population handicapée. Cependant, son contexte global a été profondément bouleversé, cinq mois plus tard, avec un terrible tremblement de terre qui a provoqué une catastrophe naturelle sans précédent,</w:t>
      </w:r>
      <w:r>
        <w:rPr>
          <w:rFonts w:eastAsia="Times New Roman" w:ascii="Times New Roman" w:hAnsi="Times New Roman"/>
          <w:sz w:val="24"/>
          <w:szCs w:val="24"/>
          <w:lang w:eastAsia="es-ES"/>
        </w:rPr>
        <w:t xml:space="preserve"> causant environ 222 000 morts, 300 000 blessés, une forte augmentation du nombre de personnes handicapées dont 4 000 amputés environ et une perte économique équivalent à 120 pour cent de son Produit Intérieur Brut (PIB) en 2009, soit une valeur estimée à 7,804 milliards de dollars américains. Cette catastrophe qui a laissé près de 2,3 millions de personnes sans abri n’a pas été l’ultime épreuve d’un cycle d’évènements extrêmes tout au long des deux premières décennies du 21</w:t>
      </w:r>
      <w:r>
        <w:rPr>
          <w:rFonts w:eastAsia="Times New Roman" w:ascii="Times New Roman" w:hAnsi="Times New Roman"/>
          <w:sz w:val="24"/>
          <w:szCs w:val="24"/>
          <w:vertAlign w:val="superscript"/>
          <w:lang w:eastAsia="es-ES"/>
        </w:rPr>
        <w:t>e</w:t>
      </w:r>
      <w:r>
        <w:rPr>
          <w:rFonts w:eastAsia="Times New Roman" w:ascii="Times New Roman" w:hAnsi="Times New Roman"/>
          <w:sz w:val="24"/>
          <w:szCs w:val="24"/>
          <w:lang w:eastAsia="es-ES"/>
        </w:rPr>
        <w:t xml:space="preserve"> siècle en cours.</w:t>
      </w:r>
    </w:p>
    <w:p>
      <w:pPr>
        <w:pStyle w:val="Normal"/>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Au cours de la même année, les premiers cas de choléra se sont manifestés et l’épidémie s’est propagée rapidement, faisant plus de 3 500 morts et 150 000 malades entre octobre et décembre 2010. Six ans après, l’Ouragan Matthew qui a dévasté, en octobre 2016, la région du sud d’Haïti a causé 546 morts; 2,1 millions de personnes affectées; 1,4 millions d’autres laissées dans le besoin et des dégâts et pertes économiques de l’ordre de 1,89 milliards de dollars, soit 20 % du PIB d’Haïti. Ainsi, à chaque effort de relèvement et de reprise de la croissance, un nouveau choc s'est produit, accentuant ainsi l'écart et les défis. Ce qui renouvelle le cycle de fragilité sociale. Il en résulte un indice de développement humain de 0.454 et un PIB par habitant de 1200 dollars américains. Ce faisant, malgré les efforts accomplis par le gouvernement, le pays reste caractérisé par un fort niveau de pauvreté de masse qui affecte 78 % de la population totale, vivant avec un revenu monétaire inférieur à 2 dollars américains par jour. Tout cela montre que beaucoup de choses doivent être faites pour réduire dans divers domaines les indicateurs de développement suivants, cités dans le rapport d’Haïti, qui se situent à un niveau inquiétant: </w:t>
      </w:r>
    </w:p>
    <w:p>
      <w:pPr>
        <w:pStyle w:val="ListParagraph"/>
        <w:numPr>
          <w:ilvl w:val="0"/>
          <w:numId w:val="2"/>
        </w:numPr>
        <w:jc w:val="both"/>
        <w:rPr>
          <w:rFonts w:ascii="Times New Roman" w:hAnsi="Times New Roman" w:eastAsia="Times New Roman"/>
          <w:sz w:val="24"/>
          <w:szCs w:val="24"/>
          <w:lang w:eastAsia="es-ES"/>
        </w:rPr>
      </w:pPr>
      <w:r>
        <w:rPr>
          <w:rFonts w:eastAsia="Times New Roman" w:ascii="Times New Roman" w:hAnsi="Times New Roman"/>
          <w:sz w:val="24"/>
          <w:szCs w:val="24"/>
          <w:lang w:eastAsia="en-GB"/>
        </w:rPr>
        <w:t>le ratio de mortalité maternelle qui s’élève à 630 décès par 100 000 naissances vivantes ;</w:t>
      </w:r>
    </w:p>
    <w:p>
      <w:pPr>
        <w:pStyle w:val="ListParagraph"/>
        <w:numPr>
          <w:ilvl w:val="0"/>
          <w:numId w:val="1"/>
        </w:numPr>
        <w:spacing w:lineRule="auto" w:line="240" w:before="0" w:after="0"/>
        <w:ind w:left="1134" w:right="666" w:hanging="36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t>47,7 % des jeunes qui sont sans emploi à l’échelle nationale ;</w:t>
      </w:r>
    </w:p>
    <w:p>
      <w:pPr>
        <w:pStyle w:val="ListParagraph"/>
        <w:numPr>
          <w:ilvl w:val="0"/>
          <w:numId w:val="1"/>
        </w:numPr>
        <w:tabs>
          <w:tab w:val="left" w:pos="8460" w:leader="none"/>
        </w:tabs>
        <w:spacing w:lineRule="auto" w:line="240" w:before="0" w:after="0"/>
        <w:ind w:left="1134" w:right="666" w:hanging="36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t>Seulement 58 % des nouveau-nés sont immunisés contre la rougeole ;</w:t>
      </w:r>
    </w:p>
    <w:p>
      <w:pPr>
        <w:pStyle w:val="ListParagraph"/>
        <w:numPr>
          <w:ilvl w:val="0"/>
          <w:numId w:val="1"/>
        </w:numPr>
        <w:tabs>
          <w:tab w:val="left" w:pos="8460" w:leader="none"/>
        </w:tabs>
        <w:spacing w:lineRule="auto" w:line="240" w:before="0" w:after="0"/>
        <w:ind w:left="1134" w:right="666" w:hanging="36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t>40 % des ménages n’avaient aucun accès fiable à la nourriture ;</w:t>
      </w:r>
    </w:p>
    <w:p>
      <w:pPr>
        <w:pStyle w:val="ListParagraph"/>
        <w:numPr>
          <w:ilvl w:val="0"/>
          <w:numId w:val="1"/>
        </w:numPr>
        <w:tabs>
          <w:tab w:val="left" w:pos="8460" w:leader="none"/>
        </w:tabs>
        <w:spacing w:lineRule="auto" w:line="240" w:before="0" w:after="0"/>
        <w:ind w:left="1134" w:right="666" w:hanging="36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t>30 % des enfants souffraient de malnutrition chronique ;</w:t>
      </w:r>
    </w:p>
    <w:p>
      <w:pPr>
        <w:pStyle w:val="ListParagraph"/>
        <w:numPr>
          <w:ilvl w:val="0"/>
          <w:numId w:val="1"/>
        </w:numPr>
        <w:tabs>
          <w:tab w:val="left" w:pos="8460" w:leader="none"/>
        </w:tabs>
        <w:spacing w:lineRule="auto" w:line="240" w:before="0" w:after="0"/>
        <w:ind w:left="1134" w:right="666" w:hanging="36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t>58 % de la population n’avaient pas accès à l’eau potable.</w:t>
      </w:r>
    </w:p>
    <w:p>
      <w:pPr>
        <w:pStyle w:val="ListParagraph"/>
        <w:tabs>
          <w:tab w:val="left" w:pos="8460" w:leader="none"/>
        </w:tabs>
        <w:spacing w:lineRule="auto" w:line="240" w:before="0" w:after="0"/>
        <w:ind w:left="1134" w:right="666" w:hanging="0"/>
        <w:jc w:val="both"/>
        <w:rPr>
          <w:rFonts w:ascii="Times New Roman" w:hAnsi="Times New Roman" w:eastAsia="Times New Roman"/>
          <w:sz w:val="24"/>
          <w:szCs w:val="24"/>
          <w:lang w:eastAsia="en-GB"/>
        </w:rPr>
      </w:pPr>
      <w:r>
        <w:rPr>
          <w:rFonts w:eastAsia="Times New Roman" w:ascii="Times New Roman" w:hAnsi="Times New Roman"/>
          <w:sz w:val="24"/>
          <w:szCs w:val="24"/>
          <w:lang w:eastAsia="en-GB"/>
        </w:rPr>
      </w:r>
    </w:p>
    <w:p>
      <w:pPr>
        <w:pStyle w:val="Normal"/>
        <w:jc w:val="both"/>
        <w:rPr/>
      </w:pPr>
      <w:r>
        <w:rPr>
          <w:rFonts w:eastAsia="Times New Roman" w:ascii="Times New Roman" w:hAnsi="Times New Roman"/>
          <w:sz w:val="24"/>
          <w:szCs w:val="24"/>
          <w:lang w:eastAsia="es-ES"/>
        </w:rPr>
        <w:t xml:space="preserve">C’est dans ce contexte de vulnérabilité accrue que le gouvernement haïtien et les acteurs sociaux appliquent autant que possible les recommandations de la </w:t>
      </w:r>
      <w:r>
        <w:rPr>
          <w:rFonts w:eastAsia="Times New Roman" w:ascii="Times New Roman" w:hAnsi="Times New Roman"/>
          <w:sz w:val="24"/>
          <w:szCs w:val="24"/>
          <w:lang w:eastAsia="es-ES"/>
        </w:rPr>
        <w:t>C</w:t>
      </w:r>
      <w:r>
        <w:rPr>
          <w:rFonts w:eastAsia="Times New Roman" w:ascii="Times New Roman" w:hAnsi="Times New Roman"/>
          <w:sz w:val="24"/>
          <w:szCs w:val="24"/>
          <w:lang w:eastAsia="es-ES"/>
        </w:rPr>
        <w:t>onvention relative aux droits des personnes handicapées et le Protocole facultatif et essaient d’honorer leurs engagements. Ces évènements extrêmes qui ont frappé Haïti jouent à la fois comme facteurs de contraintes et d’opportunités pour des avancées dans la mise en place de politiques publiques inclusives.</w:t>
      </w:r>
    </w:p>
    <w:p>
      <w:pPr>
        <w:pStyle w:val="Normal"/>
        <w:tabs>
          <w:tab w:val="left" w:pos="8460" w:leader="none"/>
        </w:tabs>
        <w:spacing w:lineRule="auto" w:line="240" w:before="0" w:after="0"/>
        <w:ind w:left="1134" w:right="666" w:hanging="0"/>
        <w:jc w:val="both"/>
        <w:rPr>
          <w:rFonts w:ascii="Times New Roman" w:hAnsi="Times New Roman" w:eastAsia="Times New Roman"/>
          <w:sz w:val="20"/>
          <w:szCs w:val="20"/>
          <w:lang w:eastAsia="en-GB"/>
        </w:rPr>
      </w:pPr>
      <w:r>
        <w:rPr>
          <w:rFonts w:eastAsia="Times New Roman" w:ascii="Times New Roman" w:hAnsi="Times New Roman"/>
          <w:sz w:val="20"/>
          <w:szCs w:val="20"/>
          <w:lang w:eastAsia="en-GB"/>
        </w:rPr>
      </w:r>
    </w:p>
    <w:p>
      <w:pPr>
        <w:pStyle w:val="Normal"/>
        <w:jc w:val="both"/>
        <w:rPr>
          <w:rFonts w:ascii="Times New Roman" w:hAnsi="Times New Roman" w:cs="Times New Roman"/>
          <w:b/>
          <w:b/>
          <w:sz w:val="24"/>
          <w:szCs w:val="24"/>
        </w:rPr>
      </w:pPr>
      <w:r>
        <w:rPr>
          <w:rFonts w:cs="Times New Roman" w:ascii="Times New Roman" w:hAnsi="Times New Roman"/>
          <w:b/>
          <w:sz w:val="24"/>
          <w:szCs w:val="24"/>
        </w:rPr>
        <w:t>[Réalisation</w:t>
      </w:r>
      <w:r>
        <w:rPr>
          <w:rFonts w:cs="Times New Roman" w:ascii="Times New Roman" w:hAnsi="Times New Roman"/>
          <w:b/>
          <w:sz w:val="24"/>
          <w:szCs w:val="24"/>
        </w:rPr>
        <w:t>s</w:t>
      </w:r>
      <w:r>
        <w:rPr>
          <w:rFonts w:cs="Times New Roman" w:ascii="Times New Roman" w:hAnsi="Times New Roman"/>
          <w:b/>
          <w:sz w:val="24"/>
          <w:szCs w:val="24"/>
        </w:rPr>
        <w:t xml:space="preserve"> ou avancées]</w:t>
      </w:r>
    </w:p>
    <w:p>
      <w:pPr>
        <w:pStyle w:val="Normal"/>
        <w:tabs>
          <w:tab w:val="left" w:pos="8460" w:leader="none"/>
        </w:tabs>
        <w:spacing w:lineRule="atLeast" w:line="240" w:before="0" w:after="120"/>
        <w:ind w:right="666" w:hanging="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Mesdames, Messieurs,</w:t>
      </w:r>
    </w:p>
    <w:p>
      <w:pPr>
        <w:pStyle w:val="Normal"/>
        <w:tabs>
          <w:tab w:val="left" w:pos="8460" w:leader="none"/>
        </w:tabs>
        <w:spacing w:lineRule="atLeast" w:line="240" w:before="0" w:after="0"/>
        <w:jc w:val="both"/>
        <w:rPr/>
      </w:pPr>
      <w:r>
        <w:rPr>
          <w:rFonts w:eastAsia="Times New Roman" w:ascii="Times New Roman" w:hAnsi="Times New Roman"/>
          <w:sz w:val="24"/>
          <w:szCs w:val="24"/>
          <w:lang w:eastAsia="es-ES"/>
        </w:rPr>
        <w:t xml:space="preserve">En insistant sur le contexte d’adoption de la </w:t>
      </w:r>
      <w:r>
        <w:rPr>
          <w:rFonts w:eastAsia="Times New Roman" w:ascii="Times New Roman" w:hAnsi="Times New Roman"/>
          <w:sz w:val="24"/>
          <w:szCs w:val="24"/>
          <w:lang w:eastAsia="es-ES"/>
        </w:rPr>
        <w:t>C</w:t>
      </w:r>
      <w:r>
        <w:rPr>
          <w:rFonts w:eastAsia="Times New Roman" w:ascii="Times New Roman" w:hAnsi="Times New Roman"/>
          <w:sz w:val="24"/>
          <w:szCs w:val="24"/>
          <w:lang w:eastAsia="es-ES"/>
        </w:rPr>
        <w:t xml:space="preserve">onvention, je voudrais d’abord montrer comment la répétition des évènements extrêmes comme le séisme du 12 janvier 2010 a considérablement augmenté le nombre de personnes handicapées aussi bien que les types de handicap enregistrés. Segundo, la forte vulnérabilité de la population a généré une prise de conscience pour la transformation des mentalités sociales. Le handicap est de moins en moins perçu comme attribuable à un fléau divin ou un phénomène non naturel. Tout cela a favorisé une méthodologie participative de travail avec différents acteurs étatiques, sociaux et internationaux. Les rapports initial et additif qui ont été soumis au Comité des droits des personnes handicapées de l’ONU sont également assortis de cette dynamique ; ils sont le produit de vastes opérations de consultations. </w:t>
      </w:r>
      <w:r>
        <w:rPr>
          <w:rFonts w:eastAsia="Times New Roman" w:ascii="Times New Roman" w:hAnsi="Times New Roman"/>
          <w:b/>
          <w:i/>
          <w:sz w:val="24"/>
          <w:szCs w:val="24"/>
          <w:lang w:eastAsia="es-ES"/>
        </w:rPr>
        <w:t>En développant ainsi des capacités de travailler ensemble, le maintien des consultations entre acteurs du secteur du handicap figure au nombre des principales avancées obtenues ou en cours de réalisation</w:t>
      </w:r>
      <w:r>
        <w:rPr>
          <w:rFonts w:eastAsia="Times New Roman" w:ascii="Times New Roman" w:hAnsi="Times New Roman"/>
          <w:sz w:val="24"/>
          <w:szCs w:val="24"/>
          <w:lang w:eastAsia="es-ES"/>
        </w:rPr>
        <w:t>.</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Les rapports initial et additif donnent un aperçu historique de la dynamique de progrès instituée depuis la ratification de la convention par le parlement haïtien, le 12 mars 2009. Y sont explicitées les différentes mesures prises par le gouvernement en conformité avec la CDPH en vue de la protection des droits et de l’amélioration des conditions de vie des personnes handicapées sur les plans législatif et judiciaire, administratif, communautaire, etc.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pPr>
      <w:r>
        <w:rPr>
          <w:rFonts w:eastAsia="Times New Roman" w:ascii="Times New Roman" w:hAnsi="Times New Roman"/>
          <w:b/>
          <w:i/>
          <w:sz w:val="24"/>
          <w:szCs w:val="24"/>
          <w:lang w:eastAsia="es-ES"/>
        </w:rPr>
        <w:t xml:space="preserve">Bien que l’esprit et la lettre de la </w:t>
      </w:r>
      <w:r>
        <w:rPr>
          <w:rFonts w:eastAsia="Times New Roman" w:ascii="Times New Roman" w:hAnsi="Times New Roman"/>
          <w:b/>
          <w:i/>
          <w:sz w:val="24"/>
          <w:szCs w:val="24"/>
          <w:lang w:eastAsia="es-ES"/>
        </w:rPr>
        <w:t>C</w:t>
      </w:r>
      <w:r>
        <w:rPr>
          <w:rFonts w:eastAsia="Times New Roman" w:ascii="Times New Roman" w:hAnsi="Times New Roman"/>
          <w:b/>
          <w:i/>
          <w:sz w:val="24"/>
          <w:szCs w:val="24"/>
          <w:lang w:eastAsia="es-ES"/>
        </w:rPr>
        <w:t xml:space="preserve">onvention aient été en harmonie avec la Constitution haïtienne de 1987 en vigueur, son adoption a inauguré la réforme du cadre légal national. </w:t>
      </w:r>
      <w:r>
        <w:rPr>
          <w:rFonts w:eastAsia="Times New Roman" w:ascii="Times New Roman" w:hAnsi="Times New Roman"/>
          <w:sz w:val="24"/>
          <w:szCs w:val="24"/>
          <w:lang w:eastAsia="es-ES"/>
        </w:rPr>
        <w:t xml:space="preserve">En effet, les conventions et traités internationaux, une fois ratifiés par Haïti, font partie intégrante de la législation nationale et abrogent toute loi qui leur sont contraires. </w:t>
      </w:r>
      <w:r>
        <w:rPr>
          <w:rFonts w:eastAsia="Times New Roman" w:ascii="Times New Roman" w:hAnsi="Times New Roman"/>
          <w:b/>
          <w:i/>
          <w:sz w:val="24"/>
          <w:szCs w:val="24"/>
          <w:lang w:eastAsia="es-ES"/>
        </w:rPr>
        <w:t xml:space="preserve">En ce qui a trait à cette </w:t>
      </w:r>
      <w:r>
        <w:rPr>
          <w:rFonts w:eastAsia="Times New Roman" w:ascii="Times New Roman" w:hAnsi="Times New Roman"/>
          <w:b/>
          <w:i/>
          <w:sz w:val="24"/>
          <w:szCs w:val="24"/>
          <w:lang w:eastAsia="es-ES"/>
        </w:rPr>
        <w:t>C</w:t>
      </w:r>
      <w:r>
        <w:rPr>
          <w:rFonts w:eastAsia="Times New Roman" w:ascii="Times New Roman" w:hAnsi="Times New Roman"/>
          <w:b/>
          <w:i/>
          <w:sz w:val="24"/>
          <w:szCs w:val="24"/>
          <w:lang w:eastAsia="es-ES"/>
        </w:rPr>
        <w:t>onvention, l’État haïtien s’est engagé à prendre une série de mesures législatives, administratives et sociales subséquentes et à élaborer des programmes destinés à mieux placer la population handicapée dans ses objectifs stratégiques pour faciliter son intégration à différente échelle de la vie nationale.</w:t>
      </w:r>
    </w:p>
    <w:p>
      <w:pPr>
        <w:pStyle w:val="Normal"/>
        <w:tabs>
          <w:tab w:val="left" w:pos="8460" w:leader="none"/>
        </w:tabs>
        <w:spacing w:lineRule="atLeast" w:line="240" w:before="0" w:after="0"/>
        <w:jc w:val="both"/>
        <w:rPr>
          <w:rFonts w:ascii="Times New Roman" w:hAnsi="Times New Roman"/>
          <w:sz w:val="24"/>
          <w:szCs w:val="24"/>
        </w:rPr>
      </w:pPr>
      <w:r>
        <w:rPr>
          <w:rFonts w:ascii="Times New Roman" w:hAnsi="Times New Roman"/>
          <w:sz w:val="24"/>
          <w:szCs w:val="24"/>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Dans ce contexte, la loi haïtienne portant sur l’intégration des personnes handicapées a été votée le 13 mars 2012 et est entrée en vigueur le 21 mai 2012. Il s’agit, d’une part, de promouvoir des principes et des valeurs concourant à leur intégration pleine et entière dans toutes les sphères de la société haïtienne et, d’autre part, d’adopter les mesures d'applications prévues.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Au nombre de ces dernières dispositions, il y a l’avant projet de loi organisant le fonds de solidarité pour l’intégration des personnes handicapées qui a une importance capitale. Celle-ci réside dans l’affectation des ressources pour répondre aux besoins particuliers de cette population. Dans ce cas, on a beaucoup progressé. Un projet de loi a été élaboré en concertation avec les acteurs, et se trouve actuellement en Conseil des ministres.</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Il y a aussi l’aspect critique que constitue l’accessibilité universelle à l’environnement bâti en Haïti. Il s’agit de promouvoir l’égal accès des personnes handicapées à l’école, à l’université, aux services de santé, à l’espace public, au transport public, au logement, au travail, etc.  Au niveau de ce domaine, l’inégalité est criante. Des dispositions sont déjà prises dans ce domaine. Un projet de loi relatif aux normes d’accessibilité universelle qui a fait l’objet de nombreuses consultations a été validé, adopté en Conseil des ministres et se trouve actuellement au Parlement haïtien.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pPr>
      <w:r>
        <w:rPr>
          <w:rFonts w:eastAsia="Times New Roman" w:ascii="Times New Roman" w:hAnsi="Times New Roman"/>
          <w:sz w:val="24"/>
          <w:szCs w:val="24"/>
          <w:lang w:eastAsia="es-ES"/>
        </w:rPr>
        <w:t xml:space="preserve">Soulignons que ce travail ne s’arrête pas au niveau législatif. Dans le cadre des mesures transversales de politiques publiques inclusives, le Bureau du Secrétaire d’État </w:t>
      </w:r>
      <w:r>
        <w:rPr>
          <w:rFonts w:eastAsia="Times New Roman" w:ascii="Times New Roman" w:hAnsi="Times New Roman"/>
          <w:sz w:val="24"/>
          <w:szCs w:val="24"/>
          <w:lang w:eastAsia="es-ES"/>
        </w:rPr>
        <w:t>à l’Intégration des Personnes Handicapées (</w:t>
      </w:r>
      <w:r>
        <w:rPr>
          <w:rFonts w:eastAsia="Times New Roman" w:cs="Times New Roman" w:ascii="Times New Roman" w:hAnsi="Times New Roman"/>
          <w:sz w:val="24"/>
          <w:szCs w:val="24"/>
          <w:lang w:val="fr-FR" w:eastAsia="es-ES"/>
        </w:rPr>
        <w:t xml:space="preserve">BSEIPH) </w:t>
      </w:r>
      <w:r>
        <w:rPr>
          <w:rFonts w:eastAsia="Times New Roman" w:ascii="Times New Roman" w:hAnsi="Times New Roman"/>
          <w:sz w:val="24"/>
          <w:szCs w:val="24"/>
          <w:lang w:eastAsia="es-ES"/>
        </w:rPr>
        <w:t xml:space="preserve">a mis en place un dispositif de veille et de communications quasi permanentes pour l’adoption de mécanismes sectoriels d’application de telles normes. On a pu, dans ce cadre, porter la Commission Nationale des Marchés Publics (CNMP) et la Cour Supérieure des Comptes et du Contentieux Administratif (CSCCA) à adopter des clauses d’accessibilité. Autrement dit, ces agents étatiques conditionnent l’approbation d’un contrat de marché à la prise en compte des principes d’accessibilité dans les plans d’exécution.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En somme, sur les plans législatif et judiciaire, on peut dire sans ambages qu’une avancée substantielle est en train de se produire. Il reste que cela ne va pas sans difficultés. Eu égard aux défis propres au contexte social dans lequel Haïti évolue, le rapport souligne également les difficultés et les insuffisances observées pour donner effet aux dispositions de la Convention et les stratégies en place ou en cours pour combler les lacunes existantes. Ces dispositions sont autant matérielles, socio-symboliques que culturelles.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Au niveau matériel, il y a la limitation des ressources qui se conjugue avec le fait que, dans un contexte de pauvreté de masse comme le nôtre, tout parait être prioritaire, c’est-à-dire la grande majorité des demandes sociales adressées à l’État répondent à une logique d'urgences. Qu’il s’agisse de l’accès à l’eau potable, aux soins de santé, à l’éducation, au logement, à la justice, etc. C’est le cas, par exemple, de quelque 160 000 sinistrés du tremblement de terre incluant des personnes handicapées qui vivent toujours dans des camps. Cela représente beaucoup de personnes vivant dans des conditions de plus en plus précaires, mais cela veut aussi dire qu’un large pourcentage des déplacés de juillet 2010 vit désormais ailleurs, dans de meilleurs logements. Certains d’entre eux occupent les 100 000 abris temporaires ou les plus de 21 000 maisons permanentes qui ont été réparées ou construites, jusqu’à présent, suite à l’évaluation structurelle de plus de 413 000 bâtiments par le Ministère des Travaux Publics, Transports et Communications (MTPTC) et ses partenaires. Aussi le nombre d’enfants scolarisés au niveau primaire a-t-il augmenté pour l’année 2013. Mais, jusque-là, seulement 80 % des enfants vivant dans les camps ont accès à l’éducation. Bien que des hôpitaux et des centres de soins aient été réparés ou construits, d’autres fonctionnent dans des conditions critiques faute de moyens suffisants. Ces exemples montrent des avancées en dents de scie, dans la mesure où quelques bonds en avant ne permettent pas d’éliminer les problèmes de grandes urgences sociales.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b/>
          <w:sz w:val="24"/>
          <w:szCs w:val="24"/>
          <w:lang w:eastAsia="es-ES"/>
        </w:rPr>
        <w:t>Que dire dans le domaine social et symbolique, dans le domaine des mentalités sociales à l’égard du handicap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cs="Times New Roman"/>
          <w:sz w:val="24"/>
          <w:szCs w:val="24"/>
          <w:lang w:val="fr-FR"/>
        </w:rPr>
      </w:pPr>
      <w:r>
        <w:rPr>
          <w:rFonts w:eastAsia="Times New Roman" w:cs="Times New Roman" w:ascii="Times New Roman" w:hAnsi="Times New Roman"/>
          <w:sz w:val="24"/>
          <w:szCs w:val="24"/>
          <w:lang w:eastAsia="es-ES"/>
        </w:rPr>
        <w:t>Avec le tremblement de terre, la tendance à naturaliser le handicap est devenue plus contrastée, car son côté social ou son rapport au milieu social parait plus visible. Et cela, en dépit du fait que certains interprètes religieux ont tenté d’attribuer le séisme à un mauvais sort, à une punition divine. Ainsi s’opère petit à petit une certaine transformation dans les mentalités sociales en lien avec des activités intenses de plaidoyer et de sensibilisation de la population menées par le Bureau du Secrétaire d’État à l’Intégration des Personnes Handicapées et ses partenaires à différents niveaux (associatif, communautaire, institutionnel et médiatique). Elles remettent en cause certaines croyances. On peut dire aujourd’hui que la problématique du handicap commence à être vue d’un autre œil. Par exemple, d</w:t>
      </w:r>
      <w:r>
        <w:rPr>
          <w:rFonts w:cs="Times New Roman" w:ascii="Times New Roman" w:hAnsi="Times New Roman"/>
          <w:sz w:val="24"/>
          <w:szCs w:val="24"/>
          <w:lang w:val="fr-FR"/>
        </w:rPr>
        <w:t>es séances de sensibilisation sur le handicap qui ont été organisées en 2010 pour les chauffeurs de transport en commun afin qu’ils aient une attitude positive à l’égard des personnes handicapées avaient été accueillies favorablement. Des visites de terrain ont été réalisées par le BSEIPH en février 2013 dans le département du Centre et en avril 2013 dans les départements du Sud, du Sud-Est, de l’Ouest, et des Nippes dans le cadre du projet d’aménagement d’écoles en partenariat avec le Ministère de l’Education Nationale et de la Formation Professionnelle (MENFP) et une agence de développement d’un pays ami. L’occasion a été propice pour mettre l’accent sur l’importance de la prise en compte des principes d’accessibilité universelle dans ces projets de construction ou de rénovation d’écoles. C’est aussi le cas lors de l’installation de rampes d’accès au niveau de différentes institutions ouvertes au public à titre de modèles de conception et adaptation de lieu de travail afin qu’il soit accessible aux personnes handicapées. Dans ce contexte, l’École Spéciale « Foyer d’Amour » à Port-au-Prince et la Mairie de Pétion-Ville ont bénéficié de projets d’aménagement de rampes d’accès.</w:t>
      </w:r>
    </w:p>
    <w:p>
      <w:pPr>
        <w:pStyle w:val="Normal"/>
        <w:tabs>
          <w:tab w:val="left" w:pos="8460" w:leader="none"/>
        </w:tabs>
        <w:spacing w:lineRule="atLeast" w:line="240" w:before="0" w:after="0"/>
        <w:jc w:val="both"/>
        <w:rPr>
          <w:rFonts w:ascii="Times New Roman" w:hAnsi="Times New Roman" w:cs="Times New Roman"/>
          <w:sz w:val="24"/>
          <w:szCs w:val="24"/>
          <w:lang w:val="fr-FR"/>
        </w:rPr>
      </w:pPr>
      <w:r>
        <w:rPr>
          <w:rFonts w:cs="Times New Roman" w:ascii="Times New Roman" w:hAnsi="Times New Roman"/>
          <w:sz w:val="24"/>
          <w:szCs w:val="24"/>
          <w:lang w:val="fr-FR"/>
        </w:rPr>
      </w:r>
    </w:p>
    <w:p>
      <w:pPr>
        <w:pStyle w:val="Normal"/>
        <w:tabs>
          <w:tab w:val="left" w:pos="8460" w:leader="none"/>
        </w:tabs>
        <w:spacing w:lineRule="atLeast" w:line="240" w:before="0" w:after="0"/>
        <w:jc w:val="both"/>
        <w:rPr>
          <w:rFonts w:ascii="Times New Roman" w:hAnsi="Times New Roman" w:cs="Times New Roman"/>
          <w:b/>
          <w:b/>
          <w:sz w:val="24"/>
          <w:szCs w:val="24"/>
          <w:lang w:val="fr-FR"/>
        </w:rPr>
      </w:pPr>
      <w:r>
        <w:rPr>
          <w:rFonts w:cs="Times New Roman" w:ascii="Times New Roman" w:hAnsi="Times New Roman"/>
          <w:b/>
          <w:sz w:val="24"/>
          <w:szCs w:val="24"/>
          <w:lang w:val="fr-FR"/>
        </w:rPr>
        <w:t xml:space="preserve">Éléments de politiques publiques inclusives </w:t>
      </w:r>
    </w:p>
    <w:p>
      <w:pPr>
        <w:pStyle w:val="Normal"/>
        <w:tabs>
          <w:tab w:val="left" w:pos="8460" w:leader="none"/>
        </w:tabs>
        <w:spacing w:lineRule="atLeast" w:line="240" w:before="0" w:after="0"/>
        <w:jc w:val="both"/>
        <w:rPr>
          <w:rFonts w:ascii="Times New Roman" w:hAnsi="Times New Roman" w:cs="Times New Roman"/>
          <w:sz w:val="24"/>
          <w:szCs w:val="24"/>
          <w:lang w:val="fr-FR"/>
        </w:rPr>
      </w:pPr>
      <w:r>
        <w:rPr>
          <w:rFonts w:cs="Times New Roman" w:ascii="Times New Roman" w:hAnsi="Times New Roman"/>
          <w:sz w:val="24"/>
          <w:szCs w:val="24"/>
          <w:lang w:val="fr-FR"/>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Parallèlement à ces activités de plaidoyer et de sensibilisation, ce sont des éléments de politiques publiques inclusives qui sont mis en place. Le BSEIPH développe des partenariats avec des acteurs tant publics que privés. Avec le Ministère de la Santé Publique et de la Population (MSPP), il participe à la création de l’Institut Haïtien de Réhabilitation. Avec le Fonds d’Assistance Économique et Sociale (FAES), sont mis en place des programmes d’appui économique aux personnes handicapées. Tandis que le Ministère de l’Éducation Nationale et de la Formation Professionnelle a créé la Commission d’Adaptation Scolaire et d’Appui social (CASAS) qui intervient au niveau de la scolarisation des élèves handicapés. Conformément à la loi du 13 mars 2012, le BSEIPH a signé un protocole d’accord avec l’Entreprise Publique de Promotion de Logements Sociaux (EPPLS) qui accordent un quota de logements sociaux aux personnes handicapées.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Au niveau de l’accès au marché du travail, le Bureau du Secrétaire d’État à l’Intégration des Personnes Handicapées (BSEIPH) travaille en parallèle avec l’Office de Management et des Ressources Humaines (OMRH), qui intervient dans la gestion des carrières des fonctionnaires publics afin de respecter le quota d’emploi prévu par la loi du 13 mars 2012 en faveur des personnes handicapées. Des échanges sont toujours en cours avec le secteur du patronat pour le recrutement de personnes handicapées et l’application du quota d’emploi par entreprise défini par la loi. Après avoir organisé un premier salon de l’emploi pour personnes handicapées en 2013, le BSEIPH a créé en son sein un Service de Placement en Emploi pour ces dernières. Si les résultats ne sont pas encore tout à fait satisfaisants, ils reflètent quand même les caractéristiques de l’économie nationale où un très large secteur informel, le chômage élevé et les sous-emplois sont des facteurs dominants.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t xml:space="preserve">Parallèlement à tous ces efforts de coordination des politiques publiques transversales inclusives, le BSEIPH met sur pied des programmes de subventions pour la création des activités génératrices de revenus pour venir en aide aux associations des personnes handicapées, aux familles et à des individus qui sont dans le besoin.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pPr>
      <w:r>
        <w:rPr>
          <w:rFonts w:eastAsia="Times New Roman" w:ascii="Times New Roman" w:hAnsi="Times New Roman"/>
          <w:sz w:val="24"/>
          <w:szCs w:val="24"/>
          <w:lang w:eastAsia="es-ES"/>
        </w:rPr>
        <w:t xml:space="preserve">On peut, en guise de conclusion, retenir que, depuis la ratification par Haïti de la </w:t>
      </w:r>
      <w:r>
        <w:rPr>
          <w:rFonts w:eastAsia="Times New Roman" w:ascii="Times New Roman" w:hAnsi="Times New Roman"/>
          <w:sz w:val="24"/>
          <w:szCs w:val="24"/>
          <w:lang w:eastAsia="es-ES"/>
        </w:rPr>
        <w:t>C</w:t>
      </w:r>
      <w:r>
        <w:rPr>
          <w:rFonts w:eastAsia="Times New Roman" w:ascii="Times New Roman" w:hAnsi="Times New Roman"/>
          <w:sz w:val="24"/>
          <w:szCs w:val="24"/>
          <w:lang w:eastAsia="es-ES"/>
        </w:rPr>
        <w:t xml:space="preserve">onvention des Nations Unies relative aux droits des personnes handicapées, le pays continue de faire face à des défis majeurs découlant de son exposition à des catastrophes naturelles et de la faiblesse de son économie. Malgré la situation de crise quasi permanente, des mesures de politiques publiques inclusives ont été adoptées et mises en œuvre. Les résultats, jusque-là obtenus, en matière de protection et de reconnaissance des droits des personnes handicapées, d’amélioration de leurs conditions de vie sont satisfaisants bien que beaucoup reste à faire. La méthode de travail participative a permis de surmonter beaucoup de difficultés en dépit du fait que le pays évolue dans un climat d’instabilité politique. On espère que l’expérience positive d’implication des acteurs dans le secteur du handicap pourra s’étendre à d’autres sphères d’action de la vie haïtienne. </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bookmarkStart w:id="0" w:name="_GoBack"/>
      <w:bookmarkEnd w:id="0"/>
      <w:r>
        <w:rPr>
          <w:rFonts w:eastAsia="Times New Roman" w:ascii="Times New Roman" w:hAnsi="Times New Roman"/>
          <w:sz w:val="24"/>
          <w:szCs w:val="24"/>
          <w:lang w:eastAsia="es-ES"/>
        </w:rPr>
        <w:t>Merci.</w:t>
      </w:r>
    </w:p>
    <w:p>
      <w:pPr>
        <w:pStyle w:val="Normal"/>
        <w:tabs>
          <w:tab w:val="left" w:pos="8460" w:leader="none"/>
        </w:tabs>
        <w:spacing w:lineRule="atLeast" w:line="240" w:before="0" w:after="0"/>
        <w:jc w:val="both"/>
        <w:rPr>
          <w:rFonts w:ascii="Times New Roman" w:hAnsi="Times New Roman" w:eastAsia="Times New Roman"/>
          <w:sz w:val="24"/>
          <w:szCs w:val="24"/>
          <w:lang w:eastAsia="es-ES"/>
        </w:rPr>
      </w:pPr>
      <w:r>
        <w:rPr>
          <w:rFonts w:eastAsia="Times New Roman" w:ascii="Times New Roman" w:hAnsi="Times New Roman"/>
          <w:sz w:val="24"/>
          <w:szCs w:val="24"/>
          <w:lang w:eastAsia="es-ES"/>
        </w:rPr>
      </w:r>
    </w:p>
    <w:p>
      <w:pPr>
        <w:pStyle w:val="Normal"/>
        <w:spacing w:lineRule="atLeast" w:line="240" w:before="0" w:after="120"/>
        <w:ind w:right="666" w:hanging="0"/>
        <w:jc w:val="both"/>
        <w:rPr/>
      </w:pPr>
      <w:r>
        <w:rPr/>
      </w:r>
    </w:p>
    <w:sectPr>
      <w:type w:val="nextPage"/>
      <w:pgSz w:w="12240" w:h="15840"/>
      <w:pgMar w:left="1800" w:right="180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1068" w:hanging="360"/>
      </w:pPr>
      <w:rPr>
        <w:rFonts w:ascii="Symbol" w:hAnsi="Symbol" w:cs="Symbol" w:hint="default"/>
      </w:rPr>
    </w:lvl>
    <w:lvl w:ilvl="1">
      <w:start w:val="1"/>
      <w:numFmt w:val="bullet"/>
      <w:lvlText w:val="o"/>
      <w:lvlJc w:val="left"/>
      <w:pPr>
        <w:ind w:left="1788" w:hanging="360"/>
      </w:pPr>
      <w:rPr>
        <w:rFonts w:ascii="Courier New" w:hAnsi="Courier New" w:cs="Courier New" w:hint="default"/>
        <w:rFonts w:cs="Courier New"/>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defaultTabStop w:val="708"/>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C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bb2"/>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CA" w:eastAsia="en-US" w:bidi="ar-SA"/>
    </w:rPr>
  </w:style>
  <w:style w:type="character" w:styleId="DefaultParagraphFont" w:default="1">
    <w:name w:val="Default Paragraph Font"/>
    <w:uiPriority w:val="1"/>
    <w:semiHidden/>
    <w:unhideWhenUsed/>
    <w:qFormat/>
    <w:rPr/>
  </w:style>
  <w:style w:type="character" w:styleId="SingleTxtGChar" w:customStyle="1">
    <w:name w:val="_ Single Txt_G Char"/>
    <w:link w:val="SingleTxtG"/>
    <w:qFormat/>
    <w:rsid w:val="006e0880"/>
    <w:rPr>
      <w:rFonts w:ascii="Times New Roman" w:hAnsi="Times New Roman" w:eastAsia="Times New Roman" w:cs="Times New Roman"/>
      <w:sz w:val="20"/>
      <w:szCs w:val="20"/>
      <w:lang w:val="es-ES" w:eastAsia="es-ES"/>
    </w:rPr>
  </w:style>
  <w:style w:type="character" w:styleId="HeaderChar" w:customStyle="1">
    <w:name w:val="Header Char"/>
    <w:basedOn w:val="DefaultParagraphFont"/>
    <w:link w:val="Header"/>
    <w:uiPriority w:val="99"/>
    <w:qFormat/>
    <w:rsid w:val="00dc68ac"/>
    <w:rPr/>
  </w:style>
  <w:style w:type="character" w:styleId="FooterChar" w:customStyle="1">
    <w:name w:val="Footer Char"/>
    <w:basedOn w:val="DefaultParagraphFont"/>
    <w:link w:val="Footer"/>
    <w:uiPriority w:val="99"/>
    <w:qFormat/>
    <w:rsid w:val="00dc68ac"/>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sz w:val="24"/>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paragraph" w:styleId="Titre">
    <w:name w:val="Titre"/>
    <w:basedOn w:val="Normal"/>
    <w:next w:val="Corpsdetexte"/>
    <w:qFormat/>
    <w:pPr>
      <w:keepNext/>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1" w:customStyle="1">
    <w:name w:val="No Spacing1"/>
    <w:uiPriority w:val="1"/>
    <w:qFormat/>
    <w:rsid w:val="00fa2d48"/>
    <w:pPr>
      <w:widowControl/>
      <w:bidi w:val="0"/>
      <w:spacing w:lineRule="auto" w:line="240" w:before="0" w:after="0"/>
      <w:jc w:val="left"/>
    </w:pPr>
    <w:rPr>
      <w:rFonts w:ascii="Calibri" w:hAnsi="Calibri" w:eastAsia="Times New Roman" w:cs="Times New Roman" w:asciiTheme="minorHAnsi" w:hAnsiTheme="minorHAnsi"/>
      <w:color w:val="auto"/>
      <w:kern w:val="0"/>
      <w:sz w:val="22"/>
      <w:szCs w:val="22"/>
      <w:lang w:val="en-GB" w:eastAsia="en-GB" w:bidi="ar-SA"/>
    </w:rPr>
  </w:style>
  <w:style w:type="paragraph" w:styleId="ListParagraph">
    <w:name w:val="List Paragraph"/>
    <w:basedOn w:val="Normal"/>
    <w:uiPriority w:val="34"/>
    <w:qFormat/>
    <w:rsid w:val="002819c0"/>
    <w:pPr>
      <w:spacing w:before="0" w:after="160"/>
      <w:ind w:left="720" w:hanging="0"/>
      <w:contextualSpacing/>
    </w:pPr>
    <w:rPr/>
  </w:style>
  <w:style w:type="paragraph" w:styleId="SingleTxtG" w:customStyle="1">
    <w:name w:val="_ Single Txt_G"/>
    <w:basedOn w:val="Normal"/>
    <w:link w:val="SingleTxtGChar"/>
    <w:qFormat/>
    <w:rsid w:val="006e0880"/>
    <w:pPr>
      <w:spacing w:lineRule="atLeast" w:line="240" w:before="0" w:after="120"/>
      <w:ind w:left="1134" w:right="1134" w:hanging="0"/>
      <w:jc w:val="both"/>
    </w:pPr>
    <w:rPr>
      <w:rFonts w:ascii="Times New Roman" w:hAnsi="Times New Roman" w:eastAsia="Times New Roman" w:cs="Times New Roman"/>
      <w:sz w:val="20"/>
      <w:szCs w:val="20"/>
      <w:lang w:val="es-ES" w:eastAsia="es-ES"/>
    </w:rPr>
  </w:style>
  <w:style w:type="paragraph" w:styleId="Entte">
    <w:name w:val="Header"/>
    <w:basedOn w:val="Normal"/>
    <w:link w:val="HeaderChar"/>
    <w:uiPriority w:val="99"/>
    <w:unhideWhenUsed/>
    <w:rsid w:val="00dc68ac"/>
    <w:pPr>
      <w:tabs>
        <w:tab w:val="center" w:pos="4320" w:leader="none"/>
        <w:tab w:val="right" w:pos="8640" w:leader="none"/>
      </w:tabs>
      <w:spacing w:lineRule="auto" w:line="240" w:before="0" w:after="0"/>
    </w:pPr>
    <w:rPr/>
  </w:style>
  <w:style w:type="paragraph" w:styleId="Pieddepage">
    <w:name w:val="Footer"/>
    <w:basedOn w:val="Normal"/>
    <w:link w:val="FooterChar"/>
    <w:uiPriority w:val="99"/>
    <w:unhideWhenUsed/>
    <w:rsid w:val="00dc68ac"/>
    <w:pPr>
      <w:tabs>
        <w:tab w:val="center" w:pos="4320" w:leader="none"/>
        <w:tab w:val="right" w:pos="864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44E16B-EFAD-4386-BEA8-ED7CA0670F09}"/>
</file>

<file path=customXml/itemProps2.xml><?xml version="1.0" encoding="utf-8"?>
<ds:datastoreItem xmlns:ds="http://schemas.openxmlformats.org/officeDocument/2006/customXml" ds:itemID="{519192BE-B72D-4A0C-894E-4DE94902A92C}"/>
</file>

<file path=customXml/itemProps3.xml><?xml version="1.0" encoding="utf-8"?>
<ds:datastoreItem xmlns:ds="http://schemas.openxmlformats.org/officeDocument/2006/customXml" ds:itemID="{A093D4F8-4931-4EFC-A42E-3D7DBAD38AD0}"/>
</file>

<file path=docProps/app.xml><?xml version="1.0" encoding="utf-8"?>
<Properties xmlns="http://schemas.openxmlformats.org/officeDocument/2006/extended-properties" xmlns:vt="http://schemas.openxmlformats.org/officeDocument/2006/docPropsVTypes">
  <Template>Normal</Template>
  <TotalTime>142</TotalTime>
  <Application>LibreOffice/5.4.1.2$Windows_x86 LibreOffice_project/ea7cb86e6eeb2bf3a5af73a8f7777ac570321527</Application>
  <Pages>6</Pages>
  <Words>2634</Words>
  <Characters>14231</Characters>
  <CharactersWithSpaces>16837</CharactersWithSpaces>
  <Paragraphs>37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dc:creator>
  <dc:description/>
  <cp:lastModifiedBy/>
  <cp:revision>8</cp:revision>
  <dcterms:created xsi:type="dcterms:W3CDTF">2018-02-12T17:24:00Z</dcterms:created>
  <dcterms:modified xsi:type="dcterms:W3CDTF">2018-02-13T12:59:33Z</dcterms:modified>
  <dc:language>fr-CH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0x010100A55E3C1D809DFD4CA245D0C6A65A453A</vt:lpwstr>
  </property>
</Properties>
</file>