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4AFD" w:rsidRDefault="00D84AFD">
      <w:pPr>
        <w:rPr>
          <w:rFonts w:ascii="Arial" w:eastAsia="Arial" w:hAnsi="Arial" w:cs="Arial"/>
          <w:b/>
          <w:sz w:val="32"/>
          <w:szCs w:val="32"/>
        </w:rPr>
      </w:pPr>
    </w:p>
    <w:p w:rsidR="00D84AFD" w:rsidRDefault="00D84AFD">
      <w:pPr>
        <w:jc w:val="center"/>
        <w:rPr>
          <w:rFonts w:ascii="Arial" w:eastAsia="Arial" w:hAnsi="Arial" w:cs="Arial"/>
          <w:b/>
          <w:sz w:val="32"/>
          <w:szCs w:val="32"/>
        </w:rPr>
      </w:pPr>
    </w:p>
    <w:p w:rsidR="00D84AFD" w:rsidRDefault="00D84AFD">
      <w:pPr>
        <w:jc w:val="center"/>
        <w:rPr>
          <w:rFonts w:ascii="Arial" w:eastAsia="Arial" w:hAnsi="Arial" w:cs="Arial"/>
          <w:b/>
          <w:sz w:val="32"/>
          <w:szCs w:val="32"/>
        </w:rPr>
      </w:pPr>
    </w:p>
    <w:p w:rsidR="00D84AFD" w:rsidRDefault="00D84AFD">
      <w:pPr>
        <w:pBdr>
          <w:top w:val="nil"/>
          <w:left w:val="nil"/>
          <w:bottom w:val="nil"/>
          <w:right w:val="nil"/>
          <w:between w:val="nil"/>
        </w:pBdr>
        <w:spacing w:after="280"/>
        <w:jc w:val="center"/>
        <w:rPr>
          <w:rFonts w:ascii="Arial" w:eastAsia="Arial" w:hAnsi="Arial" w:cs="Arial"/>
          <w:b/>
          <w:color w:val="000000"/>
          <w:sz w:val="32"/>
          <w:szCs w:val="32"/>
        </w:rPr>
      </w:pPr>
    </w:p>
    <w:p w:rsidR="00D84AFD" w:rsidRDefault="00000000">
      <w:pPr>
        <w:pBdr>
          <w:top w:val="nil"/>
          <w:left w:val="nil"/>
          <w:bottom w:val="nil"/>
          <w:right w:val="nil"/>
          <w:between w:val="nil"/>
        </w:pBdr>
        <w:spacing w:after="280"/>
        <w:jc w:val="center"/>
        <w:rPr>
          <w:rFonts w:ascii="Arial" w:eastAsia="Arial" w:hAnsi="Arial" w:cs="Arial"/>
          <w:b/>
          <w:color w:val="000000"/>
          <w:sz w:val="32"/>
          <w:szCs w:val="32"/>
        </w:rPr>
      </w:pPr>
      <w:r>
        <w:rPr>
          <w:rFonts w:ascii="Arial" w:eastAsia="Arial" w:hAnsi="Arial" w:cs="Arial"/>
          <w:b/>
          <w:color w:val="000000"/>
          <w:sz w:val="32"/>
          <w:szCs w:val="32"/>
        </w:rPr>
        <w:t>THEMATIC REPORT ON MUSLIM FAMILY LAW AND</w:t>
      </w:r>
    </w:p>
    <w:p w:rsidR="00D84AFD" w:rsidRDefault="00000000">
      <w:pPr>
        <w:pBdr>
          <w:top w:val="nil"/>
          <w:left w:val="nil"/>
          <w:bottom w:val="nil"/>
          <w:right w:val="nil"/>
          <w:between w:val="nil"/>
        </w:pBdr>
        <w:spacing w:after="280"/>
        <w:jc w:val="center"/>
        <w:rPr>
          <w:rFonts w:ascii="Arial" w:eastAsia="Arial" w:hAnsi="Arial" w:cs="Arial"/>
          <w:b/>
          <w:color w:val="000000"/>
          <w:sz w:val="32"/>
          <w:szCs w:val="32"/>
        </w:rPr>
      </w:pPr>
      <w:r>
        <w:rPr>
          <w:rFonts w:ascii="Arial" w:eastAsia="Arial" w:hAnsi="Arial" w:cs="Arial"/>
          <w:b/>
          <w:color w:val="000000"/>
          <w:sz w:val="32"/>
          <w:szCs w:val="32"/>
        </w:rPr>
        <w:t>MUSLIM WOMEN’S RIGHTS IN</w:t>
      </w:r>
    </w:p>
    <w:p w:rsidR="00D84AFD" w:rsidRDefault="00000000">
      <w:pPr>
        <w:pBdr>
          <w:top w:val="nil"/>
          <w:left w:val="nil"/>
          <w:bottom w:val="nil"/>
          <w:right w:val="nil"/>
          <w:between w:val="nil"/>
        </w:pBdr>
        <w:spacing w:after="280"/>
        <w:jc w:val="center"/>
        <w:rPr>
          <w:rFonts w:ascii="Arial" w:eastAsia="Arial" w:hAnsi="Arial" w:cs="Arial"/>
          <w:b/>
          <w:color w:val="000000"/>
          <w:sz w:val="40"/>
          <w:szCs w:val="40"/>
        </w:rPr>
      </w:pPr>
      <w:r>
        <w:rPr>
          <w:rFonts w:ascii="Arial" w:eastAsia="Arial" w:hAnsi="Arial" w:cs="Arial"/>
          <w:b/>
          <w:sz w:val="40"/>
          <w:szCs w:val="40"/>
        </w:rPr>
        <w:t>AFGHANISTAN</w:t>
      </w:r>
    </w:p>
    <w:p w:rsidR="00D84AFD" w:rsidRDefault="00D84AFD">
      <w:pPr>
        <w:rPr>
          <w:rFonts w:ascii="Arial" w:eastAsia="Arial" w:hAnsi="Arial" w:cs="Arial"/>
          <w:b/>
          <w:sz w:val="32"/>
          <w:szCs w:val="32"/>
        </w:rPr>
      </w:pPr>
    </w:p>
    <w:p w:rsidR="00D84AFD" w:rsidRDefault="00D84AFD">
      <w:pPr>
        <w:jc w:val="center"/>
        <w:rPr>
          <w:rFonts w:ascii="Arial" w:eastAsia="Arial" w:hAnsi="Arial" w:cs="Arial"/>
          <w:b/>
          <w:sz w:val="32"/>
          <w:szCs w:val="32"/>
        </w:rPr>
      </w:pPr>
    </w:p>
    <w:p w:rsidR="00D84AFD" w:rsidRDefault="00000000">
      <w:pPr>
        <w:spacing w:line="276" w:lineRule="auto"/>
        <w:jc w:val="center"/>
        <w:rPr>
          <w:rFonts w:ascii="Arial" w:eastAsia="Arial" w:hAnsi="Arial" w:cs="Arial"/>
          <w:b/>
          <w:sz w:val="32"/>
          <w:szCs w:val="32"/>
        </w:rPr>
      </w:pPr>
      <w:r>
        <w:rPr>
          <w:rFonts w:ascii="Arial" w:eastAsia="Arial" w:hAnsi="Arial" w:cs="Arial"/>
          <w:b/>
          <w:sz w:val="32"/>
          <w:szCs w:val="32"/>
        </w:rPr>
        <w:t>91st CEDAW Session</w:t>
      </w:r>
    </w:p>
    <w:p w:rsidR="00D84AFD" w:rsidRDefault="00000000">
      <w:pPr>
        <w:pBdr>
          <w:top w:val="nil"/>
          <w:left w:val="nil"/>
          <w:bottom w:val="nil"/>
          <w:right w:val="nil"/>
          <w:between w:val="nil"/>
        </w:pBdr>
        <w:spacing w:before="120" w:after="200" w:line="276" w:lineRule="auto"/>
        <w:jc w:val="center"/>
        <w:rPr>
          <w:rFonts w:ascii="Arial" w:eastAsia="Arial" w:hAnsi="Arial" w:cs="Arial"/>
          <w:b/>
          <w:color w:val="000000"/>
          <w:sz w:val="28"/>
          <w:szCs w:val="28"/>
        </w:rPr>
      </w:pPr>
      <w:r>
        <w:rPr>
          <w:rFonts w:ascii="Arial" w:eastAsia="Arial" w:hAnsi="Arial" w:cs="Arial"/>
          <w:b/>
          <w:color w:val="000000"/>
          <w:sz w:val="28"/>
          <w:szCs w:val="28"/>
        </w:rPr>
        <w:t>Geneva, Switzerland</w:t>
      </w:r>
    </w:p>
    <w:p w:rsidR="00D84AFD" w:rsidRDefault="00000000">
      <w:pPr>
        <w:pBdr>
          <w:top w:val="nil"/>
          <w:left w:val="nil"/>
          <w:bottom w:val="nil"/>
          <w:right w:val="nil"/>
          <w:between w:val="nil"/>
        </w:pBdr>
        <w:spacing w:before="120" w:after="200" w:line="276" w:lineRule="auto"/>
        <w:jc w:val="center"/>
        <w:rPr>
          <w:rFonts w:ascii="Arial" w:eastAsia="Arial" w:hAnsi="Arial" w:cs="Arial"/>
          <w:b/>
          <w:color w:val="000000"/>
          <w:sz w:val="28"/>
          <w:szCs w:val="28"/>
        </w:rPr>
      </w:pPr>
      <w:r>
        <w:rPr>
          <w:rFonts w:ascii="Arial" w:eastAsia="Arial" w:hAnsi="Arial" w:cs="Arial"/>
          <w:b/>
          <w:sz w:val="28"/>
          <w:szCs w:val="28"/>
        </w:rPr>
        <w:t>June</w:t>
      </w:r>
      <w:r>
        <w:rPr>
          <w:rFonts w:ascii="Arial" w:eastAsia="Arial" w:hAnsi="Arial" w:cs="Arial"/>
          <w:b/>
          <w:color w:val="000000"/>
          <w:sz w:val="28"/>
          <w:szCs w:val="28"/>
        </w:rPr>
        <w:t xml:space="preserve"> 202</w:t>
      </w:r>
      <w:r>
        <w:rPr>
          <w:rFonts w:ascii="Arial" w:eastAsia="Arial" w:hAnsi="Arial" w:cs="Arial"/>
          <w:b/>
          <w:sz w:val="28"/>
          <w:szCs w:val="28"/>
        </w:rPr>
        <w:t>5</w:t>
      </w:r>
    </w:p>
    <w:p w:rsidR="00D84AFD" w:rsidRDefault="00D84AFD">
      <w:pPr>
        <w:pBdr>
          <w:top w:val="nil"/>
          <w:left w:val="nil"/>
          <w:bottom w:val="nil"/>
          <w:right w:val="nil"/>
          <w:between w:val="nil"/>
        </w:pBdr>
        <w:spacing w:before="120" w:after="200" w:line="276" w:lineRule="auto"/>
        <w:jc w:val="center"/>
        <w:rPr>
          <w:rFonts w:ascii="Arial" w:eastAsia="Arial" w:hAnsi="Arial" w:cs="Arial"/>
          <w:b/>
          <w:sz w:val="28"/>
          <w:szCs w:val="28"/>
        </w:rPr>
      </w:pPr>
    </w:p>
    <w:p w:rsidR="00D84AFD" w:rsidRDefault="00000000">
      <w:pPr>
        <w:jc w:val="center"/>
        <w:rPr>
          <w:rFonts w:ascii="Roboto" w:eastAsia="Roboto" w:hAnsi="Roboto" w:cs="Roboto"/>
          <w:b/>
          <w:sz w:val="20"/>
          <w:szCs w:val="20"/>
        </w:rPr>
      </w:pPr>
      <w:r>
        <w:rPr>
          <w:rFonts w:ascii="Roboto" w:eastAsia="Roboto" w:hAnsi="Roboto" w:cs="Roboto"/>
          <w:b/>
        </w:rPr>
        <w:t>SUBMITTED BY:</w:t>
      </w:r>
    </w:p>
    <w:p w:rsidR="00D84AFD" w:rsidRDefault="00D84AFD">
      <w:pPr>
        <w:shd w:val="clear" w:color="auto" w:fill="FFFFFF"/>
        <w:jc w:val="center"/>
        <w:rPr>
          <w:rFonts w:ascii="Roboto" w:eastAsia="Roboto" w:hAnsi="Roboto" w:cs="Roboto"/>
          <w:color w:val="0070C0"/>
          <w:sz w:val="20"/>
          <w:szCs w:val="20"/>
        </w:rPr>
      </w:pPr>
    </w:p>
    <w:p w:rsidR="00D84AFD" w:rsidRDefault="00000000">
      <w:pPr>
        <w:shd w:val="clear" w:color="auto" w:fill="FFFFFF"/>
        <w:rPr>
          <w:rFonts w:ascii="Roboto" w:eastAsia="Roboto" w:hAnsi="Roboto" w:cs="Roboto"/>
          <w:color w:val="0070C0"/>
          <w:sz w:val="20"/>
          <w:szCs w:val="20"/>
        </w:rPr>
      </w:pP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p>
    <w:p w:rsidR="00D84AFD" w:rsidRDefault="00000000">
      <w:pPr>
        <w:shd w:val="clear" w:color="auto" w:fill="FFFFFF"/>
        <w:rPr>
          <w:rFonts w:ascii="Roboto" w:eastAsia="Roboto" w:hAnsi="Roboto" w:cs="Roboto"/>
          <w:color w:val="0070C0"/>
          <w:sz w:val="20"/>
          <w:szCs w:val="20"/>
        </w:rPr>
      </w:pPr>
      <w:r>
        <w:rPr>
          <w:rFonts w:ascii="Roboto" w:eastAsia="Roboto" w:hAnsi="Roboto" w:cs="Roboto"/>
          <w:color w:val="0070C0"/>
          <w:sz w:val="20"/>
          <w:szCs w:val="20"/>
        </w:rPr>
        <w:t xml:space="preserve"> </w:t>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p>
    <w:tbl>
      <w:tblPr>
        <w:tblStyle w:val="aa"/>
        <w:tblpPr w:leftFromText="180" w:rightFromText="180" w:vertAnchor="text" w:tblpY="278"/>
        <w:tblW w:w="8820" w:type="dxa"/>
        <w:tblBorders>
          <w:top w:val="nil"/>
          <w:left w:val="nil"/>
          <w:bottom w:val="nil"/>
          <w:right w:val="nil"/>
          <w:insideH w:val="nil"/>
          <w:insideV w:val="nil"/>
        </w:tblBorders>
        <w:tblLayout w:type="fixed"/>
        <w:tblLook w:val="0400" w:firstRow="0" w:lastRow="0" w:firstColumn="0" w:lastColumn="0" w:noHBand="0" w:noVBand="1"/>
      </w:tblPr>
      <w:tblGrid>
        <w:gridCol w:w="4230"/>
        <w:gridCol w:w="90"/>
        <w:gridCol w:w="4225"/>
        <w:gridCol w:w="275"/>
      </w:tblGrid>
      <w:tr w:rsidR="00D84AFD">
        <w:trPr>
          <w:gridAfter w:val="1"/>
          <w:wAfter w:w="275" w:type="dxa"/>
        </w:trPr>
        <w:tc>
          <w:tcPr>
            <w:tcW w:w="4230" w:type="dxa"/>
          </w:tcPr>
          <w:p w:rsidR="00D84AFD" w:rsidRDefault="00D84AFD">
            <w:pPr>
              <w:spacing w:after="120"/>
              <w:rPr>
                <w:rFonts w:ascii="Arial" w:eastAsia="Arial" w:hAnsi="Arial" w:cs="Arial"/>
                <w:b/>
                <w:sz w:val="20"/>
                <w:szCs w:val="20"/>
              </w:rPr>
            </w:pPr>
          </w:p>
        </w:tc>
        <w:tc>
          <w:tcPr>
            <w:tcW w:w="4315" w:type="dxa"/>
            <w:gridSpan w:val="2"/>
          </w:tcPr>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p w:rsidR="00D84AFD" w:rsidRDefault="00D84AFD">
            <w:pPr>
              <w:jc w:val="center"/>
              <w:rPr>
                <w:rFonts w:ascii="Arial" w:eastAsia="Arial" w:hAnsi="Arial" w:cs="Arial"/>
                <w:b/>
                <w:sz w:val="20"/>
                <w:szCs w:val="20"/>
              </w:rPr>
            </w:pPr>
          </w:p>
        </w:tc>
      </w:tr>
      <w:tr w:rsidR="00D84AFD">
        <w:tc>
          <w:tcPr>
            <w:tcW w:w="4320" w:type="dxa"/>
            <w:gridSpan w:val="2"/>
          </w:tcPr>
          <w:p w:rsidR="00D84AFD" w:rsidRDefault="00000000">
            <w:pPr>
              <w:rPr>
                <w:rFonts w:ascii="Roboto" w:eastAsia="Roboto" w:hAnsi="Roboto" w:cs="Roboto"/>
                <w:b/>
                <w:sz w:val="20"/>
                <w:szCs w:val="20"/>
              </w:rPr>
            </w:pPr>
            <w:r>
              <w:rPr>
                <w:rFonts w:ascii="Roboto" w:eastAsia="Roboto" w:hAnsi="Roboto" w:cs="Roboto"/>
                <w:b/>
                <w:sz w:val="20"/>
                <w:szCs w:val="20"/>
              </w:rPr>
              <w:t xml:space="preserve">Strategic Advocacy for Human Rights (SAHR) </w:t>
            </w:r>
          </w:p>
          <w:p w:rsidR="00D84AFD" w:rsidRDefault="00000000">
            <w:pPr>
              <w:rPr>
                <w:rFonts w:ascii="Roboto" w:eastAsia="Roboto" w:hAnsi="Roboto" w:cs="Roboto"/>
                <w:sz w:val="20"/>
                <w:szCs w:val="20"/>
              </w:rPr>
            </w:pPr>
            <w:r>
              <w:rPr>
                <w:rFonts w:ascii="Roboto" w:eastAsia="Roboto" w:hAnsi="Roboto" w:cs="Roboto"/>
                <w:sz w:val="20"/>
                <w:szCs w:val="20"/>
              </w:rPr>
              <w:t xml:space="preserve">(Jointly with a network of Afghan human rights lawyers in exile) </w:t>
            </w:r>
            <w:r>
              <w:rPr>
                <w:rFonts w:ascii="Roboto" w:eastAsia="Roboto" w:hAnsi="Roboto" w:cs="Roboto"/>
                <w:sz w:val="20"/>
                <w:szCs w:val="20"/>
              </w:rPr>
              <w:br/>
              <w:t xml:space="preserve">Web: </w:t>
            </w:r>
            <w:hyperlink r:id="rId8">
              <w:r>
                <w:rPr>
                  <w:rFonts w:ascii="Roboto" w:eastAsia="Roboto" w:hAnsi="Roboto" w:cs="Roboto"/>
                  <w:color w:val="1155CC"/>
                  <w:sz w:val="20"/>
                  <w:szCs w:val="20"/>
                  <w:u w:val="single"/>
                </w:rPr>
                <w:t>https://www.wearesahr.org/</w:t>
              </w:r>
            </w:hyperlink>
          </w:p>
        </w:tc>
        <w:tc>
          <w:tcPr>
            <w:tcW w:w="4500" w:type="dxa"/>
            <w:gridSpan w:val="2"/>
          </w:tcPr>
          <w:p w:rsidR="00D84AFD" w:rsidRDefault="00000000">
            <w:pPr>
              <w:jc w:val="center"/>
              <w:rPr>
                <w:rFonts w:ascii="Roboto" w:eastAsia="Roboto" w:hAnsi="Roboto" w:cs="Roboto"/>
                <w:b/>
                <w:sz w:val="20"/>
                <w:szCs w:val="20"/>
              </w:rPr>
            </w:pPr>
            <w:r>
              <w:rPr>
                <w:rFonts w:ascii="Roboto" w:eastAsia="Roboto" w:hAnsi="Roboto" w:cs="Roboto"/>
                <w:b/>
                <w:sz w:val="20"/>
                <w:szCs w:val="20"/>
              </w:rPr>
              <w:t>Musawah</w:t>
            </w:r>
          </w:p>
          <w:p w:rsidR="00D84AFD" w:rsidRDefault="00000000">
            <w:pPr>
              <w:jc w:val="center"/>
              <w:rPr>
                <w:rFonts w:ascii="Roboto" w:eastAsia="Roboto" w:hAnsi="Roboto" w:cs="Roboto"/>
                <w:sz w:val="20"/>
                <w:szCs w:val="20"/>
              </w:rPr>
            </w:pPr>
            <w:r>
              <w:rPr>
                <w:rFonts w:ascii="Roboto" w:eastAsia="Roboto" w:hAnsi="Roboto" w:cs="Roboto"/>
                <w:sz w:val="20"/>
                <w:szCs w:val="20"/>
              </w:rPr>
              <w:t xml:space="preserve">Email: </w:t>
            </w:r>
            <w:hyperlink r:id="rId9">
              <w:r>
                <w:rPr>
                  <w:rFonts w:ascii="Roboto" w:eastAsia="Roboto" w:hAnsi="Roboto" w:cs="Roboto"/>
                  <w:b/>
                  <w:color w:val="1155CC"/>
                  <w:sz w:val="20"/>
                  <w:szCs w:val="20"/>
                  <w:u w:val="single"/>
                </w:rPr>
                <w:t>musawah@musawah.org</w:t>
              </w:r>
            </w:hyperlink>
          </w:p>
          <w:p w:rsidR="00D84AFD" w:rsidRDefault="00000000">
            <w:pPr>
              <w:jc w:val="center"/>
              <w:rPr>
                <w:rFonts w:ascii="Arial" w:eastAsia="Arial" w:hAnsi="Arial" w:cs="Arial"/>
                <w:sz w:val="32"/>
                <w:szCs w:val="32"/>
              </w:rPr>
            </w:pPr>
            <w:r>
              <w:rPr>
                <w:rFonts w:ascii="Roboto" w:eastAsia="Roboto" w:hAnsi="Roboto" w:cs="Roboto"/>
                <w:sz w:val="20"/>
                <w:szCs w:val="20"/>
              </w:rPr>
              <w:t xml:space="preserve">Web: </w:t>
            </w:r>
            <w:hyperlink r:id="rId10">
              <w:r>
                <w:rPr>
                  <w:rFonts w:ascii="Roboto" w:eastAsia="Roboto" w:hAnsi="Roboto" w:cs="Roboto"/>
                  <w:b/>
                  <w:color w:val="1155CC"/>
                  <w:sz w:val="20"/>
                  <w:szCs w:val="20"/>
                  <w:u w:val="single"/>
                </w:rPr>
                <w:t>www.musawah.org</w:t>
              </w:r>
            </w:hyperlink>
          </w:p>
        </w:tc>
      </w:tr>
    </w:tbl>
    <w:p w:rsidR="00D84AFD" w:rsidRDefault="00000000">
      <w:pPr>
        <w:shd w:val="clear" w:color="auto" w:fill="FFFFFF"/>
        <w:rPr>
          <w:rFonts w:ascii="Roboto" w:eastAsia="Roboto" w:hAnsi="Roboto" w:cs="Roboto"/>
          <w:b/>
          <w:color w:val="0070C0"/>
          <w:sz w:val="20"/>
          <w:szCs w:val="20"/>
          <w:u w:val="single"/>
        </w:rPr>
        <w:sectPr w:rsidR="00D84AFD">
          <w:headerReference w:type="even" r:id="rId11"/>
          <w:headerReference w:type="default" r:id="rId12"/>
          <w:footerReference w:type="even" r:id="rId13"/>
          <w:footerReference w:type="default" r:id="rId14"/>
          <w:headerReference w:type="first" r:id="rId15"/>
          <w:footerReference w:type="first" r:id="rId16"/>
          <w:pgSz w:w="11900" w:h="16820"/>
          <w:pgMar w:top="1267" w:right="1454" w:bottom="990" w:left="1526" w:header="360" w:footer="360" w:gutter="0"/>
          <w:pgNumType w:start="1"/>
          <w:cols w:space="720"/>
        </w:sectPr>
      </w:pPr>
      <w:r>
        <w:rPr>
          <w:noProof/>
        </w:rPr>
        <w:drawing>
          <wp:anchor distT="114300" distB="114300" distL="114300" distR="114300" simplePos="0" relativeHeight="251658240" behindDoc="0" locked="0" layoutInCell="1" hidden="0" allowOverlap="1">
            <wp:simplePos x="0" y="0"/>
            <wp:positionH relativeFrom="column">
              <wp:posOffset>619125</wp:posOffset>
            </wp:positionH>
            <wp:positionV relativeFrom="paragraph">
              <wp:posOffset>523850</wp:posOffset>
            </wp:positionV>
            <wp:extent cx="1302702" cy="1302702"/>
            <wp:effectExtent l="0" t="0" r="0" b="0"/>
            <wp:wrapSquare wrapText="bothSides" distT="114300" distB="114300" distL="114300" distR="114300"/>
            <wp:docPr id="21442092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1302702" cy="1302702"/>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3048000</wp:posOffset>
            </wp:positionH>
            <wp:positionV relativeFrom="paragraph">
              <wp:posOffset>904850</wp:posOffset>
            </wp:positionV>
            <wp:extent cx="2189449" cy="771841"/>
            <wp:effectExtent l="0" t="0" r="0" b="0"/>
            <wp:wrapSquare wrapText="bothSides" distT="114300" distB="114300" distL="114300" distR="114300"/>
            <wp:docPr id="2144209289" name="image2.png" descr="A logo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with black text&#10;&#10;Description automatically generated"/>
                    <pic:cNvPicPr preferRelativeResize="0"/>
                  </pic:nvPicPr>
                  <pic:blipFill>
                    <a:blip r:embed="rId18"/>
                    <a:srcRect b="13385"/>
                    <a:stretch>
                      <a:fillRect/>
                    </a:stretch>
                  </pic:blipFill>
                  <pic:spPr>
                    <a:xfrm>
                      <a:off x="0" y="0"/>
                      <a:ext cx="2189449" cy="771841"/>
                    </a:xfrm>
                    <a:prstGeom prst="rect">
                      <a:avLst/>
                    </a:prstGeom>
                    <a:ln/>
                  </pic:spPr>
                </pic:pic>
              </a:graphicData>
            </a:graphic>
          </wp:anchor>
        </w:drawing>
      </w:r>
    </w:p>
    <w:p w:rsidR="00D84AFD" w:rsidRDefault="00000000">
      <w:pPr>
        <w:pBdr>
          <w:top w:val="nil"/>
          <w:left w:val="nil"/>
          <w:bottom w:val="nil"/>
          <w:right w:val="nil"/>
          <w:between w:val="nil"/>
        </w:pBdr>
        <w:shd w:val="clear" w:color="auto" w:fill="BD0014"/>
        <w:tabs>
          <w:tab w:val="left" w:pos="270"/>
          <w:tab w:val="left" w:pos="630"/>
        </w:tabs>
        <w:spacing w:before="40" w:after="40"/>
        <w:rPr>
          <w:rFonts w:ascii="Arial" w:eastAsia="Arial" w:hAnsi="Arial" w:cs="Arial"/>
          <w:b/>
          <w:smallCaps/>
          <w:color w:val="FFFFFF"/>
          <w:sz w:val="30"/>
          <w:szCs w:val="30"/>
        </w:rPr>
      </w:pPr>
      <w:bookmarkStart w:id="0" w:name="_heading=h.gjdgxs" w:colFirst="0" w:colLast="0"/>
      <w:bookmarkEnd w:id="0"/>
      <w:r>
        <w:rPr>
          <w:rFonts w:ascii="Arial" w:eastAsia="Arial" w:hAnsi="Arial" w:cs="Arial"/>
          <w:b/>
          <w:smallCaps/>
          <w:color w:val="FFFFFF"/>
          <w:sz w:val="30"/>
          <w:szCs w:val="30"/>
        </w:rPr>
        <w:lastRenderedPageBreak/>
        <w:t>Table of Contents</w:t>
      </w:r>
    </w:p>
    <w:p w:rsidR="00D84AFD" w:rsidRDefault="00D84AFD">
      <w:pPr>
        <w:rPr>
          <w:rFonts w:ascii="Arial" w:eastAsia="Arial" w:hAnsi="Arial" w:cs="Arial"/>
          <w:color w:val="FFFFFF"/>
        </w:rPr>
      </w:pPr>
    </w:p>
    <w:sdt>
      <w:sdtPr>
        <w:rPr>
          <w:rFonts w:ascii="Times New Roman" w:hAnsi="Times New Roman" w:cs="Times New Roman"/>
          <w:b w:val="0"/>
          <w:bCs w:val="0"/>
          <w:i w:val="0"/>
          <w:iCs w:val="0"/>
          <w:szCs w:val="24"/>
        </w:rPr>
        <w:id w:val="-400833542"/>
        <w:docPartObj>
          <w:docPartGallery w:val="Table of Contents"/>
          <w:docPartUnique/>
        </w:docPartObj>
      </w:sdtPr>
      <w:sdtContent>
        <w:p w:rsidR="00CD25F9" w:rsidRDefault="00000000">
          <w:pPr>
            <w:pStyle w:val="TOC1"/>
            <w:rPr>
              <w:rFonts w:eastAsiaTheme="minorEastAsia" w:cstheme="minorBidi"/>
              <w:b w:val="0"/>
              <w:bCs w:val="0"/>
              <w:i w:val="0"/>
              <w:iCs w:val="0"/>
              <w:noProof/>
              <w:kern w:val="2"/>
              <w:szCs w:val="24"/>
              <w:lang w:val="en-PK"/>
              <w14:ligatures w14:val="standardContextual"/>
            </w:rPr>
          </w:pPr>
          <w:r>
            <w:fldChar w:fldCharType="begin"/>
          </w:r>
          <w:r>
            <w:instrText xml:space="preserve"> TOC \h \u \z \t "Heading 1,1,Heading 2,2,Heading 3,3,"</w:instrText>
          </w:r>
          <w:r>
            <w:fldChar w:fldCharType="separate"/>
          </w:r>
          <w:hyperlink w:anchor="_Toc198565716" w:history="1">
            <w:r w:rsidR="00CD25F9" w:rsidRPr="00A9149B">
              <w:rPr>
                <w:rStyle w:val="Hyperlink"/>
                <w:rFonts w:ascii="Arial" w:hAnsi="Arial" w:cs="Arial"/>
                <w:noProof/>
              </w:rPr>
              <w:t>A. INTRODUCTION</w:t>
            </w:r>
            <w:r w:rsidR="00CD25F9">
              <w:rPr>
                <w:noProof/>
                <w:webHidden/>
              </w:rPr>
              <w:tab/>
            </w:r>
            <w:r w:rsidR="00CD25F9">
              <w:rPr>
                <w:noProof/>
                <w:webHidden/>
              </w:rPr>
              <w:fldChar w:fldCharType="begin"/>
            </w:r>
            <w:r w:rsidR="00CD25F9">
              <w:rPr>
                <w:noProof/>
                <w:webHidden/>
              </w:rPr>
              <w:instrText xml:space="preserve"> PAGEREF _Toc198565716 \h </w:instrText>
            </w:r>
            <w:r w:rsidR="00CD25F9">
              <w:rPr>
                <w:noProof/>
                <w:webHidden/>
              </w:rPr>
            </w:r>
            <w:r w:rsidR="00CD25F9">
              <w:rPr>
                <w:noProof/>
                <w:webHidden/>
              </w:rPr>
              <w:fldChar w:fldCharType="separate"/>
            </w:r>
            <w:r w:rsidR="00220653">
              <w:rPr>
                <w:noProof/>
                <w:webHidden/>
              </w:rPr>
              <w:t>3</w:t>
            </w:r>
            <w:r w:rsidR="00CD25F9">
              <w:rPr>
                <w:noProof/>
                <w:webHidden/>
              </w:rPr>
              <w:fldChar w:fldCharType="end"/>
            </w:r>
          </w:hyperlink>
        </w:p>
        <w:p w:rsidR="00CD25F9" w:rsidRDefault="00000000">
          <w:pPr>
            <w:pStyle w:val="TOC1"/>
            <w:rPr>
              <w:rFonts w:eastAsiaTheme="minorEastAsia" w:cstheme="minorBidi"/>
              <w:b w:val="0"/>
              <w:bCs w:val="0"/>
              <w:i w:val="0"/>
              <w:iCs w:val="0"/>
              <w:noProof/>
              <w:kern w:val="2"/>
              <w:szCs w:val="24"/>
              <w:lang w:val="en-PK"/>
              <w14:ligatures w14:val="standardContextual"/>
            </w:rPr>
          </w:pPr>
          <w:hyperlink w:anchor="_Toc198565717" w:history="1">
            <w:r w:rsidR="00CD25F9" w:rsidRPr="00A9149B">
              <w:rPr>
                <w:rStyle w:val="Hyperlink"/>
                <w:rFonts w:ascii="Arial" w:hAnsi="Arial" w:cs="Arial"/>
                <w:noProof/>
              </w:rPr>
              <w:t>B. BACKGROUND, CONTEXT AND KEY CHALLENGES</w:t>
            </w:r>
            <w:r w:rsidR="00CD25F9">
              <w:rPr>
                <w:noProof/>
                <w:webHidden/>
              </w:rPr>
              <w:tab/>
            </w:r>
            <w:r w:rsidR="00CD25F9">
              <w:rPr>
                <w:noProof/>
                <w:webHidden/>
              </w:rPr>
              <w:fldChar w:fldCharType="begin"/>
            </w:r>
            <w:r w:rsidR="00CD25F9">
              <w:rPr>
                <w:noProof/>
                <w:webHidden/>
              </w:rPr>
              <w:instrText xml:space="preserve"> PAGEREF _Toc198565717 \h </w:instrText>
            </w:r>
            <w:r w:rsidR="00CD25F9">
              <w:rPr>
                <w:noProof/>
                <w:webHidden/>
              </w:rPr>
            </w:r>
            <w:r w:rsidR="00CD25F9">
              <w:rPr>
                <w:noProof/>
                <w:webHidden/>
              </w:rPr>
              <w:fldChar w:fldCharType="separate"/>
            </w:r>
            <w:r w:rsidR="00220653">
              <w:rPr>
                <w:noProof/>
                <w:webHidden/>
              </w:rPr>
              <w:t>3</w:t>
            </w:r>
            <w:r w:rsidR="00CD25F9">
              <w:rPr>
                <w:noProof/>
                <w:webHidden/>
              </w:rPr>
              <w:fldChar w:fldCharType="end"/>
            </w:r>
          </w:hyperlink>
        </w:p>
        <w:p w:rsidR="00CD25F9" w:rsidRDefault="00000000">
          <w:pPr>
            <w:pStyle w:val="TOC1"/>
            <w:rPr>
              <w:rFonts w:eastAsiaTheme="minorEastAsia" w:cstheme="minorBidi"/>
              <w:b w:val="0"/>
              <w:bCs w:val="0"/>
              <w:i w:val="0"/>
              <w:iCs w:val="0"/>
              <w:noProof/>
              <w:kern w:val="2"/>
              <w:szCs w:val="24"/>
              <w:lang w:val="en-PK"/>
              <w14:ligatures w14:val="standardContextual"/>
            </w:rPr>
          </w:pPr>
          <w:hyperlink w:anchor="_Toc198565718" w:history="1">
            <w:r w:rsidR="00CD25F9" w:rsidRPr="00A9149B">
              <w:rPr>
                <w:rStyle w:val="Hyperlink"/>
                <w:rFonts w:ascii="Arial" w:hAnsi="Arial" w:cs="Arial"/>
                <w:noProof/>
              </w:rPr>
              <w:t>C. IMPACT ON WOMEN &amp; GIRLS IN AFGHANISTAN</w:t>
            </w:r>
            <w:r w:rsidR="00CD25F9">
              <w:rPr>
                <w:noProof/>
                <w:webHidden/>
              </w:rPr>
              <w:tab/>
            </w:r>
            <w:r w:rsidR="00CD25F9">
              <w:rPr>
                <w:noProof/>
                <w:webHidden/>
              </w:rPr>
              <w:fldChar w:fldCharType="begin"/>
            </w:r>
            <w:r w:rsidR="00CD25F9">
              <w:rPr>
                <w:noProof/>
                <w:webHidden/>
              </w:rPr>
              <w:instrText xml:space="preserve"> PAGEREF _Toc198565718 \h </w:instrText>
            </w:r>
            <w:r w:rsidR="00CD25F9">
              <w:rPr>
                <w:noProof/>
                <w:webHidden/>
              </w:rPr>
            </w:r>
            <w:r w:rsidR="00CD25F9">
              <w:rPr>
                <w:noProof/>
                <w:webHidden/>
              </w:rPr>
              <w:fldChar w:fldCharType="separate"/>
            </w:r>
            <w:r w:rsidR="00220653">
              <w:rPr>
                <w:noProof/>
                <w:webHidden/>
              </w:rPr>
              <w:t>6</w:t>
            </w:r>
            <w:r w:rsidR="00CD25F9">
              <w:rPr>
                <w:noProof/>
                <w:webHidden/>
              </w:rPr>
              <w:fldChar w:fldCharType="end"/>
            </w:r>
          </w:hyperlink>
        </w:p>
        <w:p w:rsidR="00CD25F9" w:rsidRDefault="00000000">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198565719" w:history="1">
            <w:r w:rsidR="00CD25F9" w:rsidRPr="00A9149B">
              <w:rPr>
                <w:rStyle w:val="Hyperlink"/>
                <w:rFonts w:ascii="Arial" w:hAnsi="Arial" w:cs="Arial"/>
                <w:noProof/>
              </w:rPr>
              <w:t>1.</w:t>
            </w:r>
            <w:r w:rsidR="00CD25F9">
              <w:rPr>
                <w:rFonts w:eastAsiaTheme="minorEastAsia" w:cstheme="minorBidi"/>
                <w:b w:val="0"/>
                <w:bCs w:val="0"/>
                <w:noProof/>
                <w:kern w:val="2"/>
                <w:sz w:val="24"/>
                <w:szCs w:val="24"/>
                <w:lang w:val="en-PK"/>
                <w14:ligatures w14:val="standardContextual"/>
              </w:rPr>
              <w:tab/>
            </w:r>
            <w:r w:rsidR="00CD25F9" w:rsidRPr="00A9149B">
              <w:rPr>
                <w:rStyle w:val="Hyperlink"/>
                <w:rFonts w:ascii="Arial" w:hAnsi="Arial" w:cs="Arial"/>
                <w:i/>
                <w:noProof/>
              </w:rPr>
              <w:t>Mahram</w:t>
            </w:r>
            <w:r w:rsidR="00CD25F9" w:rsidRPr="00A9149B">
              <w:rPr>
                <w:rStyle w:val="Hyperlink"/>
                <w:rFonts w:ascii="Arial" w:hAnsi="Arial" w:cs="Arial"/>
                <w:noProof/>
              </w:rPr>
              <w:t>/Guardianship &amp; System of Gender Segregation</w:t>
            </w:r>
            <w:r w:rsidR="00CD25F9">
              <w:rPr>
                <w:noProof/>
                <w:webHidden/>
              </w:rPr>
              <w:tab/>
            </w:r>
            <w:r w:rsidR="00CD25F9">
              <w:rPr>
                <w:noProof/>
                <w:webHidden/>
              </w:rPr>
              <w:fldChar w:fldCharType="begin"/>
            </w:r>
            <w:r w:rsidR="00CD25F9">
              <w:rPr>
                <w:noProof/>
                <w:webHidden/>
              </w:rPr>
              <w:instrText xml:space="preserve"> PAGEREF _Toc198565719 \h </w:instrText>
            </w:r>
            <w:r w:rsidR="00CD25F9">
              <w:rPr>
                <w:noProof/>
                <w:webHidden/>
              </w:rPr>
            </w:r>
            <w:r w:rsidR="00CD25F9">
              <w:rPr>
                <w:noProof/>
                <w:webHidden/>
              </w:rPr>
              <w:fldChar w:fldCharType="separate"/>
            </w:r>
            <w:r w:rsidR="00220653">
              <w:rPr>
                <w:noProof/>
                <w:webHidden/>
              </w:rPr>
              <w:t>6</w:t>
            </w:r>
            <w:r w:rsidR="00CD25F9">
              <w:rPr>
                <w:noProof/>
                <w:webHidden/>
              </w:rPr>
              <w:fldChar w:fldCharType="end"/>
            </w:r>
          </w:hyperlink>
        </w:p>
        <w:p w:rsidR="00CD25F9" w:rsidRDefault="00000000">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198565720" w:history="1">
            <w:r w:rsidR="00CD25F9" w:rsidRPr="00A9149B">
              <w:rPr>
                <w:rStyle w:val="Hyperlink"/>
                <w:rFonts w:ascii="Arial" w:hAnsi="Arial" w:cs="Arial"/>
                <w:noProof/>
              </w:rPr>
              <w:t>2.</w:t>
            </w:r>
            <w:r w:rsidR="00CD25F9">
              <w:rPr>
                <w:rFonts w:eastAsiaTheme="minorEastAsia" w:cstheme="minorBidi"/>
                <w:b w:val="0"/>
                <w:bCs w:val="0"/>
                <w:noProof/>
                <w:kern w:val="2"/>
                <w:sz w:val="24"/>
                <w:szCs w:val="24"/>
                <w:lang w:val="en-PK"/>
                <w14:ligatures w14:val="standardContextual"/>
              </w:rPr>
              <w:tab/>
            </w:r>
            <w:r w:rsidR="00CD25F9" w:rsidRPr="00A9149B">
              <w:rPr>
                <w:rStyle w:val="Hyperlink"/>
                <w:rFonts w:ascii="Arial" w:hAnsi="Arial" w:cs="Arial"/>
                <w:noProof/>
              </w:rPr>
              <w:t>Access to Justice</w:t>
            </w:r>
            <w:r w:rsidR="00CD25F9">
              <w:rPr>
                <w:noProof/>
                <w:webHidden/>
              </w:rPr>
              <w:tab/>
            </w:r>
            <w:r w:rsidR="00CD25F9">
              <w:rPr>
                <w:noProof/>
                <w:webHidden/>
              </w:rPr>
              <w:fldChar w:fldCharType="begin"/>
            </w:r>
            <w:r w:rsidR="00CD25F9">
              <w:rPr>
                <w:noProof/>
                <w:webHidden/>
              </w:rPr>
              <w:instrText xml:space="preserve"> PAGEREF _Toc198565720 \h </w:instrText>
            </w:r>
            <w:r w:rsidR="00CD25F9">
              <w:rPr>
                <w:noProof/>
                <w:webHidden/>
              </w:rPr>
            </w:r>
            <w:r w:rsidR="00CD25F9">
              <w:rPr>
                <w:noProof/>
                <w:webHidden/>
              </w:rPr>
              <w:fldChar w:fldCharType="separate"/>
            </w:r>
            <w:r w:rsidR="00220653">
              <w:rPr>
                <w:noProof/>
                <w:webHidden/>
              </w:rPr>
              <w:t>9</w:t>
            </w:r>
            <w:r w:rsidR="00CD25F9">
              <w:rPr>
                <w:noProof/>
                <w:webHidden/>
              </w:rPr>
              <w:fldChar w:fldCharType="end"/>
            </w:r>
          </w:hyperlink>
        </w:p>
        <w:p w:rsidR="00CD25F9" w:rsidRDefault="00000000">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198565721" w:history="1">
            <w:r w:rsidR="00CD25F9" w:rsidRPr="00A9149B">
              <w:rPr>
                <w:rStyle w:val="Hyperlink"/>
                <w:rFonts w:ascii="Arial" w:hAnsi="Arial" w:cs="Arial"/>
                <w:noProof/>
              </w:rPr>
              <w:t>3.</w:t>
            </w:r>
            <w:r w:rsidR="00CD25F9">
              <w:rPr>
                <w:rFonts w:eastAsiaTheme="minorEastAsia" w:cstheme="minorBidi"/>
                <w:b w:val="0"/>
                <w:bCs w:val="0"/>
                <w:noProof/>
                <w:kern w:val="2"/>
                <w:sz w:val="24"/>
                <w:szCs w:val="24"/>
                <w:lang w:val="en-PK"/>
                <w14:ligatures w14:val="standardContextual"/>
              </w:rPr>
              <w:tab/>
            </w:r>
            <w:r w:rsidR="00CD25F9" w:rsidRPr="00A9149B">
              <w:rPr>
                <w:rStyle w:val="Hyperlink"/>
                <w:rFonts w:ascii="Arial" w:hAnsi="Arial" w:cs="Arial"/>
                <w:noProof/>
              </w:rPr>
              <w:t>Education</w:t>
            </w:r>
            <w:r w:rsidR="00CD25F9">
              <w:rPr>
                <w:noProof/>
                <w:webHidden/>
              </w:rPr>
              <w:tab/>
            </w:r>
            <w:r w:rsidR="00CD25F9">
              <w:rPr>
                <w:noProof/>
                <w:webHidden/>
              </w:rPr>
              <w:fldChar w:fldCharType="begin"/>
            </w:r>
            <w:r w:rsidR="00CD25F9">
              <w:rPr>
                <w:noProof/>
                <w:webHidden/>
              </w:rPr>
              <w:instrText xml:space="preserve"> PAGEREF _Toc198565721 \h </w:instrText>
            </w:r>
            <w:r w:rsidR="00CD25F9">
              <w:rPr>
                <w:noProof/>
                <w:webHidden/>
              </w:rPr>
            </w:r>
            <w:r w:rsidR="00CD25F9">
              <w:rPr>
                <w:noProof/>
                <w:webHidden/>
              </w:rPr>
              <w:fldChar w:fldCharType="separate"/>
            </w:r>
            <w:r w:rsidR="00220653">
              <w:rPr>
                <w:noProof/>
                <w:webHidden/>
              </w:rPr>
              <w:t>13</w:t>
            </w:r>
            <w:r w:rsidR="00CD25F9">
              <w:rPr>
                <w:noProof/>
                <w:webHidden/>
              </w:rPr>
              <w:fldChar w:fldCharType="end"/>
            </w:r>
          </w:hyperlink>
        </w:p>
        <w:p w:rsidR="00D84AFD" w:rsidRDefault="00000000">
          <w:pPr>
            <w:widowControl w:val="0"/>
            <w:tabs>
              <w:tab w:val="right" w:pos="12000"/>
            </w:tabs>
            <w:spacing w:before="60"/>
            <w:ind w:left="360"/>
            <w:rPr>
              <w:rFonts w:ascii="Arial" w:eastAsia="Arial" w:hAnsi="Arial" w:cs="Arial"/>
              <w:color w:val="000000"/>
              <w:sz w:val="22"/>
              <w:szCs w:val="22"/>
            </w:rPr>
          </w:pPr>
          <w:r>
            <w:fldChar w:fldCharType="end"/>
          </w:r>
        </w:p>
      </w:sdtContent>
    </w:sdt>
    <w:p w:rsidR="00D84AFD" w:rsidRDefault="00D84AFD">
      <w:pPr>
        <w:rPr>
          <w:rFonts w:ascii="Arial" w:eastAsia="Arial" w:hAnsi="Arial" w:cs="Arial"/>
          <w:color w:val="FFFFFF"/>
          <w:sz w:val="28"/>
          <w:szCs w:val="28"/>
        </w:rPr>
      </w:pPr>
    </w:p>
    <w:p w:rsidR="00D84AFD" w:rsidRDefault="00D84AFD">
      <w:pPr>
        <w:rPr>
          <w:rFonts w:ascii="Arial" w:eastAsia="Arial" w:hAnsi="Arial" w:cs="Arial"/>
          <w:color w:val="FFFFFF"/>
          <w:sz w:val="28"/>
          <w:szCs w:val="28"/>
        </w:rPr>
      </w:pPr>
    </w:p>
    <w:p w:rsidR="00D84AFD" w:rsidRDefault="00D84AFD">
      <w:pPr>
        <w:rPr>
          <w:rFonts w:ascii="Arial" w:eastAsia="Arial" w:hAnsi="Arial" w:cs="Arial"/>
          <w:b/>
          <w:i/>
          <w:color w:val="0563C1"/>
          <w:sz w:val="18"/>
          <w:szCs w:val="18"/>
          <w:u w:val="single"/>
        </w:rPr>
      </w:pPr>
    </w:p>
    <w:p w:rsidR="00D84AFD" w:rsidRDefault="00D84AFD">
      <w:pPr>
        <w:rPr>
          <w:rFonts w:ascii="Arial" w:eastAsia="Arial" w:hAnsi="Arial" w:cs="Arial"/>
          <w:color w:val="FFFFFF"/>
          <w:sz w:val="28"/>
          <w:szCs w:val="28"/>
        </w:rPr>
      </w:pPr>
    </w:p>
    <w:p w:rsidR="00D84AFD" w:rsidRDefault="00D84AFD">
      <w:pPr>
        <w:rPr>
          <w:rFonts w:ascii="Arial" w:eastAsia="Arial" w:hAnsi="Arial" w:cs="Arial"/>
          <w:color w:val="FFFFFF"/>
          <w:sz w:val="28"/>
          <w:szCs w:val="28"/>
        </w:rPr>
      </w:pPr>
    </w:p>
    <w:p w:rsidR="00D84AFD" w:rsidRDefault="00D84AFD">
      <w:pPr>
        <w:rPr>
          <w:rFonts w:ascii="Arial" w:eastAsia="Arial" w:hAnsi="Arial" w:cs="Arial"/>
          <w:color w:val="FFFFFF"/>
          <w:sz w:val="28"/>
          <w:szCs w:val="28"/>
        </w:rPr>
      </w:pPr>
    </w:p>
    <w:p w:rsidR="00D84AFD" w:rsidRDefault="00D84AFD">
      <w:pPr>
        <w:rPr>
          <w:rFonts w:ascii="Arial" w:eastAsia="Arial" w:hAnsi="Arial" w:cs="Arial"/>
          <w:color w:val="FFFFFF"/>
          <w:sz w:val="28"/>
          <w:szCs w:val="28"/>
        </w:rPr>
      </w:pPr>
    </w:p>
    <w:p w:rsidR="00D84AFD" w:rsidRDefault="00000000">
      <w:pPr>
        <w:rPr>
          <w:rFonts w:ascii="Arial" w:eastAsia="Arial" w:hAnsi="Arial" w:cs="Arial"/>
          <w:b/>
          <w:smallCaps/>
          <w:color w:val="FFFFFF"/>
          <w:sz w:val="28"/>
          <w:szCs w:val="28"/>
        </w:rPr>
      </w:pPr>
      <w:r>
        <w:br w:type="page"/>
      </w:r>
    </w:p>
    <w:p w:rsidR="00D84AFD" w:rsidRDefault="00000000">
      <w:pPr>
        <w:pStyle w:val="Heading1"/>
        <w:spacing w:after="20"/>
        <w:ind w:left="547" w:hanging="547"/>
        <w:rPr>
          <w:rFonts w:ascii="Arial" w:hAnsi="Arial" w:cs="Arial"/>
        </w:rPr>
      </w:pPr>
      <w:bookmarkStart w:id="1" w:name="_Toc198565716"/>
      <w:r>
        <w:rPr>
          <w:rFonts w:ascii="Arial" w:hAnsi="Arial" w:cs="Arial"/>
        </w:rPr>
        <w:lastRenderedPageBreak/>
        <w:t>A. INTRODUCTION</w:t>
      </w:r>
      <w:bookmarkEnd w:id="1"/>
      <w:r>
        <w:rPr>
          <w:rFonts w:ascii="Arial" w:hAnsi="Arial" w:cs="Arial"/>
        </w:rPr>
        <w:tab/>
      </w:r>
    </w:p>
    <w:p w:rsidR="00D84AFD" w:rsidRDefault="00D84AFD">
      <w:pPr>
        <w:pBdr>
          <w:top w:val="nil"/>
          <w:left w:val="nil"/>
          <w:bottom w:val="nil"/>
          <w:right w:val="nil"/>
          <w:between w:val="nil"/>
        </w:pBdr>
        <w:jc w:val="both"/>
        <w:rPr>
          <w:rFonts w:ascii="Arial" w:eastAsia="Arial" w:hAnsi="Arial" w:cs="Arial"/>
          <w:color w:val="000000"/>
          <w:sz w:val="20"/>
          <w:szCs w:val="20"/>
        </w:rPr>
      </w:pPr>
    </w:p>
    <w:p w:rsidR="00D84AFD" w:rsidRDefault="00000000">
      <w:pPr>
        <w:pBdr>
          <w:top w:val="nil"/>
          <w:left w:val="nil"/>
          <w:bottom w:val="nil"/>
          <w:right w:val="nil"/>
          <w:between w:val="nil"/>
        </w:pBdr>
        <w:jc w:val="both"/>
        <w:rPr>
          <w:rFonts w:ascii="Arial" w:eastAsia="Arial" w:hAnsi="Arial" w:cs="Arial"/>
          <w:sz w:val="20"/>
          <w:szCs w:val="20"/>
        </w:rPr>
      </w:pPr>
      <w:r>
        <w:rPr>
          <w:rFonts w:ascii="Arial" w:eastAsia="Arial" w:hAnsi="Arial" w:cs="Arial"/>
          <w:sz w:val="20"/>
          <w:szCs w:val="20"/>
        </w:rPr>
        <w:t>This report is being submitted to the Committee on the Elimination of Discrimination Against Women</w:t>
      </w:r>
    </w:p>
    <w:p w:rsidR="00D84AFD" w:rsidRDefault="00000000">
      <w:pPr>
        <w:pBdr>
          <w:top w:val="nil"/>
          <w:left w:val="nil"/>
          <w:bottom w:val="nil"/>
          <w:right w:val="nil"/>
          <w:between w:val="nil"/>
        </w:pBdr>
        <w:jc w:val="both"/>
        <w:rPr>
          <w:rFonts w:ascii="Arial" w:eastAsia="Arial" w:hAnsi="Arial" w:cs="Arial"/>
          <w:sz w:val="20"/>
          <w:szCs w:val="20"/>
        </w:rPr>
      </w:pPr>
      <w:r>
        <w:rPr>
          <w:rFonts w:ascii="Arial" w:eastAsia="Arial" w:hAnsi="Arial" w:cs="Arial"/>
          <w:sz w:val="20"/>
          <w:szCs w:val="20"/>
        </w:rPr>
        <w:t>(CEDAW) on Afghanistan’s periodic report for the 91st CEDAW Session in June 2025.</w:t>
      </w:r>
    </w:p>
    <w:p w:rsidR="00D84AFD" w:rsidRDefault="00D84AFD">
      <w:pPr>
        <w:pBdr>
          <w:top w:val="nil"/>
          <w:left w:val="nil"/>
          <w:bottom w:val="nil"/>
          <w:right w:val="nil"/>
          <w:between w:val="nil"/>
        </w:pBdr>
        <w:jc w:val="both"/>
        <w:rPr>
          <w:rFonts w:ascii="Arial" w:eastAsia="Arial" w:hAnsi="Arial" w:cs="Arial"/>
          <w:sz w:val="28"/>
          <w:szCs w:val="28"/>
        </w:rPr>
      </w:pPr>
    </w:p>
    <w:p w:rsidR="00D84AFD" w:rsidRDefault="00000000">
      <w:pPr>
        <w:pStyle w:val="Heading1"/>
        <w:spacing w:before="60" w:after="40"/>
        <w:ind w:left="547" w:hanging="547"/>
        <w:rPr>
          <w:rFonts w:ascii="Arial" w:hAnsi="Arial" w:cs="Arial"/>
          <w:sz w:val="26"/>
          <w:szCs w:val="26"/>
        </w:rPr>
      </w:pPr>
      <w:bookmarkStart w:id="2" w:name="_Toc198565717"/>
      <w:r>
        <w:rPr>
          <w:rFonts w:ascii="Arial" w:hAnsi="Arial" w:cs="Arial"/>
        </w:rPr>
        <w:t>B. BACKGROUND, CONTEXT AND KEY CHALLENGES</w:t>
      </w:r>
      <w:bookmarkEnd w:id="2"/>
    </w:p>
    <w:p w:rsidR="00D84AFD" w:rsidRDefault="00D84AFD">
      <w:pPr>
        <w:pBdr>
          <w:top w:val="nil"/>
          <w:left w:val="nil"/>
          <w:bottom w:val="nil"/>
          <w:right w:val="nil"/>
          <w:between w:val="nil"/>
        </w:pBdr>
        <w:rPr>
          <w:rFonts w:ascii="Arial" w:eastAsia="Arial" w:hAnsi="Arial" w:cs="Arial"/>
          <w:sz w:val="20"/>
          <w:szCs w:val="20"/>
        </w:rPr>
      </w:pP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Since the Taliban’s takeover of Afghanistan, they have instituted legal and social policies that have violated the human rights of women and girls, leading to persecution and gender apartheid. The Taliban has passed decrees to restrict women in all areas of political, social, and economic life. The growing state-led </w:t>
      </w:r>
      <w:r w:rsidR="00CD25F9">
        <w:rPr>
          <w:rFonts w:ascii="Arial" w:eastAsia="Arial" w:hAnsi="Arial" w:cs="Arial"/>
          <w:sz w:val="20"/>
          <w:szCs w:val="20"/>
        </w:rPr>
        <w:t>persecution against</w:t>
      </w:r>
      <w:r>
        <w:rPr>
          <w:rFonts w:ascii="Arial" w:eastAsia="Arial" w:hAnsi="Arial" w:cs="Arial"/>
          <w:sz w:val="20"/>
          <w:szCs w:val="20"/>
        </w:rPr>
        <w:t xml:space="preserve"> women has paved the way for increasing gender-based violence and discrimination within families and communities.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The humanitarian crisis in Afghanistan has reached alarming levels, with millions of people, including a significant number of children, in dire need of assistance. The country faces severe challenges, including acute food insecurity affecting millions, widespread malnutrition, and massive internal displacement due to conflict and natural disasters. Food insecurity, poverty, and the closing of schools push</w:t>
      </w:r>
      <w:r w:rsidR="00CD25F9">
        <w:rPr>
          <w:rFonts w:ascii="Arial" w:eastAsia="Arial" w:hAnsi="Arial" w:cs="Arial"/>
          <w:sz w:val="20"/>
          <w:szCs w:val="20"/>
        </w:rPr>
        <w:t>es</w:t>
      </w:r>
      <w:r>
        <w:rPr>
          <w:rFonts w:ascii="Arial" w:eastAsia="Arial" w:hAnsi="Arial" w:cs="Arial"/>
          <w:sz w:val="20"/>
          <w:szCs w:val="20"/>
        </w:rPr>
        <w:t xml:space="preserve"> families into marrying off their daughters at younger ages. This increases the risk of childbirth, the chance of domestic violence, the number of pregnancies by a girl, and harms the general well-being and nutrition status of women and girls.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Despite the urgent need for aid, humanitarian organizations face significant operational restrictions imposed by the Taliban, including bans on Afghan women working in nongovernmental organizations (NGOs) and interference in aid delivery. These restrictions, along with systemic violations of women's rights, have severely impacted women's participation in education, employment, and social life, further entrenching gender inequality. The Taliban's decrees have not only drastically curtailed women's freedoms but also contributed to a climate of fear and repression, with reports of arbitrary detentions and violence against women.</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The magnitude of the crisis has profound implications for women's human rights, significantly impacting their access to essential services and protection. The ongoing restrictions imposed by the Taliban have exacerbated the vulnerabilities of women and girls, increasing their risk of exploitation, violence, and mental health challenges.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Below is an overview of some of the key updated statistics from 2023 and 2024 reflecting the situation.</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 </w:t>
      </w:r>
    </w:p>
    <w:p w:rsidR="00CD25F9" w:rsidRDefault="00000000">
      <w:pPr>
        <w:spacing w:line="276" w:lineRule="auto"/>
        <w:jc w:val="both"/>
        <w:rPr>
          <w:rFonts w:ascii="Arial" w:eastAsia="Arial" w:hAnsi="Arial" w:cs="Arial"/>
          <w:b/>
          <w:i/>
          <w:sz w:val="20"/>
          <w:szCs w:val="20"/>
        </w:rPr>
      </w:pPr>
      <w:r>
        <w:rPr>
          <w:rFonts w:ascii="Arial" w:eastAsia="Arial" w:hAnsi="Arial" w:cs="Arial"/>
          <w:b/>
          <w:i/>
          <w:sz w:val="20"/>
          <w:szCs w:val="20"/>
        </w:rPr>
        <w:t>Humanitarian situation in Afghanistan</w:t>
      </w:r>
    </w:p>
    <w:p w:rsidR="00D84AFD" w:rsidRDefault="00D84AFD">
      <w:pPr>
        <w:spacing w:line="276" w:lineRule="auto"/>
        <w:jc w:val="both"/>
        <w:rPr>
          <w:rFonts w:ascii="Arial" w:eastAsia="Arial" w:hAnsi="Arial" w:cs="Arial"/>
          <w:b/>
          <w:i/>
          <w:sz w:val="20"/>
          <w:szCs w:val="20"/>
        </w:rPr>
      </w:pPr>
    </w:p>
    <w:p w:rsidR="00D84AFD" w:rsidRDefault="00000000">
      <w:pPr>
        <w:numPr>
          <w:ilvl w:val="0"/>
          <w:numId w:val="9"/>
        </w:numPr>
        <w:spacing w:line="276" w:lineRule="auto"/>
        <w:jc w:val="both"/>
        <w:rPr>
          <w:sz w:val="20"/>
          <w:szCs w:val="20"/>
        </w:rPr>
      </w:pPr>
      <w:r>
        <w:rPr>
          <w:rFonts w:ascii="Arial" w:eastAsia="Arial" w:hAnsi="Arial" w:cs="Arial"/>
          <w:sz w:val="20"/>
          <w:szCs w:val="20"/>
        </w:rPr>
        <w:t>23.3 million people, including 12.6 million children, are in need of humanitarian assistance in 2024.</w:t>
      </w:r>
      <w:r>
        <w:rPr>
          <w:rFonts w:ascii="Arial" w:eastAsia="Arial" w:hAnsi="Arial" w:cs="Arial"/>
          <w:sz w:val="20"/>
          <w:szCs w:val="20"/>
          <w:vertAlign w:val="superscript"/>
        </w:rPr>
        <w:footnoteReference w:id="1"/>
      </w:r>
    </w:p>
    <w:p w:rsidR="00D84AFD" w:rsidRDefault="00D84AFD">
      <w:pPr>
        <w:spacing w:line="276" w:lineRule="auto"/>
        <w:ind w:left="720"/>
        <w:jc w:val="both"/>
        <w:rPr>
          <w:rFonts w:ascii="Arial" w:eastAsia="Arial" w:hAnsi="Arial" w:cs="Arial"/>
          <w:sz w:val="20"/>
          <w:szCs w:val="20"/>
          <w:vertAlign w:val="superscript"/>
        </w:rPr>
      </w:pPr>
    </w:p>
    <w:p w:rsidR="00CD25F9" w:rsidRDefault="00000000" w:rsidP="00CD25F9">
      <w:pPr>
        <w:numPr>
          <w:ilvl w:val="0"/>
          <w:numId w:val="9"/>
        </w:numPr>
        <w:spacing w:line="276" w:lineRule="auto"/>
        <w:jc w:val="both"/>
        <w:rPr>
          <w:sz w:val="20"/>
          <w:szCs w:val="20"/>
        </w:rPr>
      </w:pPr>
      <w:r>
        <w:rPr>
          <w:rFonts w:ascii="Arial" w:eastAsia="Arial" w:hAnsi="Arial" w:cs="Arial"/>
          <w:sz w:val="20"/>
          <w:szCs w:val="20"/>
        </w:rPr>
        <w:t>15.8 million people were projected acutely food insecure between November 2023 and March 2024, including 3.6 million people in Integrated Food Security Phase Classification (IPC) Phase 4 (emergency).</w:t>
      </w:r>
      <w:r>
        <w:rPr>
          <w:rFonts w:ascii="Arial" w:eastAsia="Arial" w:hAnsi="Arial" w:cs="Arial"/>
          <w:sz w:val="20"/>
          <w:szCs w:val="20"/>
          <w:vertAlign w:val="superscript"/>
        </w:rPr>
        <w:footnoteReference w:id="2"/>
      </w:r>
    </w:p>
    <w:p w:rsidR="00D84AFD" w:rsidRPr="00CD25F9" w:rsidRDefault="00D84AFD" w:rsidP="00CD25F9">
      <w:pPr>
        <w:spacing w:line="276" w:lineRule="auto"/>
        <w:jc w:val="both"/>
        <w:rPr>
          <w:sz w:val="20"/>
          <w:szCs w:val="20"/>
        </w:rPr>
      </w:pPr>
    </w:p>
    <w:p w:rsidR="00CD25F9" w:rsidRPr="00CD25F9" w:rsidRDefault="00000000">
      <w:pPr>
        <w:numPr>
          <w:ilvl w:val="0"/>
          <w:numId w:val="9"/>
        </w:numPr>
        <w:spacing w:line="276" w:lineRule="auto"/>
        <w:jc w:val="both"/>
        <w:rPr>
          <w:sz w:val="20"/>
          <w:szCs w:val="20"/>
        </w:rPr>
      </w:pPr>
      <w:r>
        <w:rPr>
          <w:rFonts w:ascii="Arial" w:eastAsia="Arial" w:hAnsi="Arial" w:cs="Arial"/>
          <w:sz w:val="20"/>
          <w:szCs w:val="20"/>
        </w:rPr>
        <w:lastRenderedPageBreak/>
        <w:t>Nearly 3.5 million children under the age of 5 years are suffering or projected to suffer acute malnutrition, in addition to 1.2 million pregnant and breastfeeding women between June 2024 and May 2025.</w:t>
      </w:r>
      <w:r>
        <w:rPr>
          <w:rFonts w:ascii="Arial" w:eastAsia="Arial" w:hAnsi="Arial" w:cs="Arial"/>
          <w:sz w:val="20"/>
          <w:szCs w:val="20"/>
          <w:vertAlign w:val="superscript"/>
        </w:rPr>
        <w:footnoteReference w:id="3"/>
      </w:r>
    </w:p>
    <w:p w:rsidR="00D84AFD" w:rsidRDefault="00D84AFD" w:rsidP="00CD25F9">
      <w:pPr>
        <w:spacing w:line="276" w:lineRule="auto"/>
        <w:jc w:val="both"/>
        <w:rPr>
          <w:sz w:val="20"/>
          <w:szCs w:val="20"/>
        </w:rPr>
      </w:pPr>
    </w:p>
    <w:p w:rsidR="00D84AFD" w:rsidRDefault="00000000">
      <w:pPr>
        <w:numPr>
          <w:ilvl w:val="0"/>
          <w:numId w:val="9"/>
        </w:numPr>
        <w:spacing w:line="276" w:lineRule="auto"/>
        <w:jc w:val="both"/>
        <w:rPr>
          <w:sz w:val="20"/>
          <w:szCs w:val="20"/>
        </w:rPr>
      </w:pPr>
      <w:r>
        <w:rPr>
          <w:rFonts w:ascii="Arial" w:eastAsia="Arial" w:hAnsi="Arial" w:cs="Arial"/>
          <w:sz w:val="20"/>
          <w:szCs w:val="20"/>
        </w:rPr>
        <w:t>There were 4.2 million people internally displaced in Afghanistan due to conflict and violence, and an additional 1.5 million were displaced due to disasters at the end of 2023.</w:t>
      </w:r>
      <w:r>
        <w:rPr>
          <w:rFonts w:ascii="Arial" w:eastAsia="Arial" w:hAnsi="Arial" w:cs="Arial"/>
          <w:sz w:val="20"/>
          <w:szCs w:val="20"/>
          <w:vertAlign w:val="superscript"/>
        </w:rPr>
        <w:footnoteReference w:id="4"/>
      </w:r>
      <w:r>
        <w:rPr>
          <w:rFonts w:ascii="Arial" w:eastAsia="Arial" w:hAnsi="Arial" w:cs="Arial"/>
          <w:sz w:val="20"/>
          <w:szCs w:val="20"/>
        </w:rPr>
        <w:t xml:space="preserve"> After Pakistan's October 2023 Illegal Foreigners’ Repatriation Plan mandated that all "illegal foreigners" leave by November 1, 2023, between 600,000 to 1 million Afghans returned to Afghanistan.</w:t>
      </w:r>
      <w:r>
        <w:rPr>
          <w:rFonts w:ascii="Arial" w:eastAsia="Arial" w:hAnsi="Arial" w:cs="Arial"/>
          <w:sz w:val="20"/>
          <w:szCs w:val="20"/>
          <w:vertAlign w:val="superscript"/>
        </w:rPr>
        <w:footnoteReference w:id="5"/>
      </w:r>
      <w:r>
        <w:rPr>
          <w:rFonts w:ascii="Arial" w:eastAsia="Arial" w:hAnsi="Arial" w:cs="Arial"/>
          <w:sz w:val="20"/>
          <w:szCs w:val="20"/>
        </w:rPr>
        <w:t xml:space="preserve"> Large numbers of internally displaced, temporary camps and facilities have been established and many women and girls who are displaced live in unsanitary and unsafe conditions.</w:t>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9"/>
        </w:numPr>
        <w:spacing w:after="200" w:line="276" w:lineRule="auto"/>
        <w:jc w:val="both"/>
        <w:rPr>
          <w:sz w:val="20"/>
          <w:szCs w:val="20"/>
        </w:rPr>
      </w:pPr>
      <w:r>
        <w:rPr>
          <w:rFonts w:ascii="Arial" w:eastAsia="Arial" w:hAnsi="Arial" w:cs="Arial"/>
          <w:sz w:val="20"/>
          <w:szCs w:val="20"/>
        </w:rPr>
        <w:t>9 out of 10 women-headed households in Afghanistan lack access to adequate food.</w:t>
      </w:r>
      <w:r>
        <w:rPr>
          <w:rFonts w:ascii="Arial" w:eastAsia="Arial" w:hAnsi="Arial" w:cs="Arial"/>
          <w:sz w:val="20"/>
          <w:szCs w:val="20"/>
          <w:vertAlign w:val="superscript"/>
        </w:rPr>
        <w:footnoteReference w:id="6"/>
      </w:r>
    </w:p>
    <w:p w:rsidR="00D84AFD" w:rsidRDefault="00000000">
      <w:pPr>
        <w:spacing w:line="276" w:lineRule="auto"/>
        <w:jc w:val="both"/>
        <w:rPr>
          <w:rFonts w:ascii="Arial" w:eastAsia="Arial" w:hAnsi="Arial" w:cs="Arial"/>
          <w:b/>
          <w:sz w:val="20"/>
          <w:szCs w:val="20"/>
        </w:rPr>
      </w:pPr>
      <w:r>
        <w:rPr>
          <w:rFonts w:ascii="Arial" w:eastAsia="Arial" w:hAnsi="Arial" w:cs="Arial"/>
          <w:b/>
          <w:sz w:val="20"/>
          <w:szCs w:val="20"/>
        </w:rPr>
        <w:t xml:space="preserve">Despite the magnitude of the humanitarian crisis, humanitarian organizations cannot operate freely in Afghanistan due to restrictions by the Taliban. </w:t>
      </w:r>
    </w:p>
    <w:p w:rsidR="00D84AFD" w:rsidRDefault="00D84AFD">
      <w:pPr>
        <w:spacing w:line="276" w:lineRule="auto"/>
        <w:jc w:val="both"/>
        <w:rPr>
          <w:rFonts w:ascii="Arial" w:eastAsia="Arial" w:hAnsi="Arial" w:cs="Arial"/>
          <w:sz w:val="20"/>
          <w:szCs w:val="20"/>
        </w:rPr>
      </w:pPr>
    </w:p>
    <w:p w:rsidR="00CD25F9" w:rsidRDefault="00000000" w:rsidP="00CD25F9">
      <w:pPr>
        <w:numPr>
          <w:ilvl w:val="0"/>
          <w:numId w:val="9"/>
        </w:numPr>
        <w:spacing w:line="276" w:lineRule="auto"/>
        <w:jc w:val="both"/>
        <w:rPr>
          <w:rFonts w:ascii="Arial" w:eastAsia="Arial" w:hAnsi="Arial" w:cs="Arial"/>
          <w:sz w:val="20"/>
          <w:szCs w:val="20"/>
          <w:vertAlign w:val="superscript"/>
        </w:rPr>
      </w:pPr>
      <w:r w:rsidRPr="00CD25F9">
        <w:rPr>
          <w:rFonts w:ascii="Arial" w:eastAsia="Arial" w:hAnsi="Arial" w:cs="Arial"/>
          <w:sz w:val="20"/>
          <w:szCs w:val="20"/>
        </w:rPr>
        <w:t>The ban on Afghan women from working in national and international NGOs (</w:t>
      </w:r>
      <w:r w:rsidR="00CD25F9" w:rsidRPr="00CD25F9">
        <w:rPr>
          <w:rFonts w:ascii="Arial" w:eastAsia="Arial" w:hAnsi="Arial" w:cs="Arial"/>
          <w:sz w:val="20"/>
          <w:szCs w:val="20"/>
        </w:rPr>
        <w:t>INGOs) (</w:t>
      </w:r>
      <w:r w:rsidRPr="00CD25F9">
        <w:rPr>
          <w:rFonts w:ascii="Arial" w:eastAsia="Arial" w:hAnsi="Arial" w:cs="Arial"/>
          <w:sz w:val="20"/>
          <w:szCs w:val="20"/>
        </w:rPr>
        <w:t>which was passed in December 2022) remains in operation. As of 2024, only 45% of 127 respondents surveyed across NGOs, INGOs and United Nations agencies can partially operate post-ban, and 27% are fully operating.</w:t>
      </w:r>
      <w:r w:rsidRPr="00CD25F9">
        <w:rPr>
          <w:rFonts w:ascii="Arial" w:eastAsia="Arial" w:hAnsi="Arial" w:cs="Arial"/>
          <w:sz w:val="20"/>
          <w:szCs w:val="20"/>
          <w:vertAlign w:val="superscript"/>
        </w:rPr>
        <w:footnoteReference w:id="7"/>
      </w:r>
    </w:p>
    <w:p w:rsidR="00CD25F9" w:rsidRDefault="00CD25F9" w:rsidP="00CD25F9">
      <w:pPr>
        <w:spacing w:line="276" w:lineRule="auto"/>
        <w:ind w:left="720"/>
        <w:jc w:val="both"/>
        <w:rPr>
          <w:rFonts w:ascii="Arial" w:eastAsia="Arial" w:hAnsi="Arial" w:cs="Arial"/>
          <w:sz w:val="20"/>
          <w:szCs w:val="20"/>
          <w:vertAlign w:val="superscript"/>
        </w:rPr>
      </w:pPr>
    </w:p>
    <w:p w:rsidR="00CD25F9" w:rsidRDefault="00000000" w:rsidP="00CD25F9">
      <w:pPr>
        <w:numPr>
          <w:ilvl w:val="0"/>
          <w:numId w:val="9"/>
        </w:numPr>
        <w:spacing w:line="276" w:lineRule="auto"/>
        <w:jc w:val="both"/>
        <w:rPr>
          <w:rFonts w:ascii="Arial" w:eastAsia="Arial" w:hAnsi="Arial" w:cs="Arial"/>
          <w:sz w:val="20"/>
          <w:szCs w:val="20"/>
          <w:vertAlign w:val="superscript"/>
        </w:rPr>
      </w:pPr>
      <w:r w:rsidRPr="00CD25F9">
        <w:rPr>
          <w:rFonts w:ascii="Arial" w:eastAsia="Arial" w:hAnsi="Arial" w:cs="Arial"/>
          <w:sz w:val="20"/>
          <w:szCs w:val="20"/>
        </w:rPr>
        <w:t>By January 2024, 137 incidents that disrupted humanitarian access were reported, which represent a 30% increase compared to December 2023 but similar to levels in October and November 2023. 22 of these incidents in January 2024 involved female staff who were restricted from delivering aid and participating in assessments.</w:t>
      </w:r>
      <w:r w:rsidRPr="00CD25F9">
        <w:rPr>
          <w:rFonts w:ascii="Arial" w:eastAsia="Arial" w:hAnsi="Arial" w:cs="Arial"/>
          <w:sz w:val="20"/>
          <w:szCs w:val="20"/>
          <w:vertAlign w:val="superscript"/>
        </w:rPr>
        <w:footnoteReference w:id="8"/>
      </w:r>
    </w:p>
    <w:p w:rsidR="00CD25F9" w:rsidRDefault="00CD25F9" w:rsidP="00CD25F9">
      <w:pPr>
        <w:pStyle w:val="ListParagraph"/>
        <w:rPr>
          <w:rFonts w:ascii="Arial" w:eastAsia="Arial" w:hAnsi="Arial" w:cs="Arial"/>
          <w:sz w:val="20"/>
          <w:szCs w:val="20"/>
        </w:rPr>
      </w:pPr>
    </w:p>
    <w:p w:rsidR="00CD25F9" w:rsidRDefault="00000000" w:rsidP="00CD25F9">
      <w:pPr>
        <w:numPr>
          <w:ilvl w:val="0"/>
          <w:numId w:val="9"/>
        </w:numPr>
        <w:spacing w:line="276" w:lineRule="auto"/>
        <w:jc w:val="both"/>
        <w:rPr>
          <w:rFonts w:ascii="Arial" w:eastAsia="Arial" w:hAnsi="Arial" w:cs="Arial"/>
          <w:sz w:val="20"/>
          <w:szCs w:val="20"/>
          <w:vertAlign w:val="superscript"/>
        </w:rPr>
      </w:pPr>
      <w:r w:rsidRPr="00CD25F9">
        <w:rPr>
          <w:rFonts w:ascii="Arial" w:eastAsia="Arial" w:hAnsi="Arial" w:cs="Arial"/>
          <w:sz w:val="20"/>
          <w:szCs w:val="20"/>
        </w:rPr>
        <w:t>Other Taliban restrictions and interference included requests for sensitive information on staff and operations; delays in signing memoranda of understanding, which are required for NGOs to carry out programs in Afghanistan; interference in beneficiary selection; and restrictions on the participation of female aid workers.</w:t>
      </w:r>
      <w:r w:rsidRPr="00CD25F9">
        <w:rPr>
          <w:rFonts w:ascii="Arial" w:eastAsia="Arial" w:hAnsi="Arial" w:cs="Arial"/>
          <w:sz w:val="20"/>
          <w:szCs w:val="20"/>
          <w:vertAlign w:val="superscript"/>
        </w:rPr>
        <w:footnoteReference w:id="9"/>
      </w:r>
    </w:p>
    <w:p w:rsidR="00CD25F9" w:rsidRDefault="00CD25F9" w:rsidP="00CD25F9">
      <w:pPr>
        <w:pStyle w:val="ListParagraph"/>
        <w:rPr>
          <w:rFonts w:ascii="Arial" w:eastAsia="Arial" w:hAnsi="Arial" w:cs="Arial"/>
          <w:sz w:val="20"/>
          <w:szCs w:val="20"/>
        </w:rPr>
      </w:pPr>
    </w:p>
    <w:p w:rsidR="00D84AFD" w:rsidRPr="00CD25F9" w:rsidRDefault="00000000" w:rsidP="00CD25F9">
      <w:pPr>
        <w:numPr>
          <w:ilvl w:val="0"/>
          <w:numId w:val="9"/>
        </w:numPr>
        <w:spacing w:line="276" w:lineRule="auto"/>
        <w:jc w:val="both"/>
        <w:rPr>
          <w:rFonts w:ascii="Arial" w:eastAsia="Arial" w:hAnsi="Arial" w:cs="Arial"/>
          <w:sz w:val="20"/>
          <w:szCs w:val="20"/>
          <w:vertAlign w:val="superscript"/>
        </w:rPr>
      </w:pPr>
      <w:r w:rsidRPr="00CD25F9">
        <w:rPr>
          <w:rFonts w:ascii="Arial" w:eastAsia="Arial" w:hAnsi="Arial" w:cs="Arial"/>
          <w:sz w:val="20"/>
          <w:szCs w:val="20"/>
        </w:rPr>
        <w:t>In August 2024, Zabiullah Mujahid announced that the regime had decided to ban the UN Special Rapporteur (UN SR) on Afghanistan, Richard Bennett, from traveling to Afghanistan. The Taliban's statement criticised the UN SR for allegedly misrepresenting the situation on the ground.</w:t>
      </w:r>
    </w:p>
    <w:p w:rsidR="00D84AFD" w:rsidRDefault="00D84AFD" w:rsidP="00CD25F9">
      <w:pPr>
        <w:spacing w:after="200" w:line="276" w:lineRule="auto"/>
        <w:ind w:left="720" w:hanging="360"/>
        <w:jc w:val="both"/>
        <w:rPr>
          <w:rFonts w:ascii="Arial" w:eastAsia="Arial" w:hAnsi="Arial" w:cs="Arial"/>
          <w:sz w:val="20"/>
          <w:szCs w:val="20"/>
        </w:rPr>
      </w:pPr>
    </w:p>
    <w:p w:rsidR="00D84AFD" w:rsidRDefault="00000000">
      <w:pPr>
        <w:spacing w:after="200" w:line="276" w:lineRule="auto"/>
        <w:jc w:val="both"/>
        <w:rPr>
          <w:rFonts w:ascii="Arial" w:eastAsia="Arial" w:hAnsi="Arial" w:cs="Arial"/>
          <w:b/>
          <w:i/>
          <w:sz w:val="20"/>
          <w:szCs w:val="20"/>
        </w:rPr>
      </w:pPr>
      <w:r>
        <w:rPr>
          <w:rFonts w:ascii="Arial" w:eastAsia="Arial" w:hAnsi="Arial" w:cs="Arial"/>
          <w:b/>
          <w:i/>
          <w:sz w:val="20"/>
          <w:szCs w:val="20"/>
        </w:rPr>
        <w:t>Movement and participation in social cultural and economic life</w:t>
      </w:r>
    </w:p>
    <w:p w:rsidR="00D84AFD" w:rsidRDefault="00000000">
      <w:pPr>
        <w:numPr>
          <w:ilvl w:val="0"/>
          <w:numId w:val="7"/>
        </w:numPr>
        <w:spacing w:line="276" w:lineRule="auto"/>
        <w:jc w:val="both"/>
        <w:rPr>
          <w:sz w:val="20"/>
          <w:szCs w:val="20"/>
        </w:rPr>
      </w:pPr>
      <w:r>
        <w:rPr>
          <w:rFonts w:ascii="Arial" w:eastAsia="Arial" w:hAnsi="Arial" w:cs="Arial"/>
          <w:sz w:val="20"/>
          <w:szCs w:val="20"/>
        </w:rPr>
        <w:t>Restrictions on women’s movement and participation in social, cultural and economic life are ongoing. Women in Afghanistan are required to be accompanied by a male relative (</w:t>
      </w:r>
      <w:r>
        <w:rPr>
          <w:rFonts w:ascii="Arial" w:eastAsia="Arial" w:hAnsi="Arial" w:cs="Arial"/>
          <w:i/>
          <w:sz w:val="20"/>
          <w:szCs w:val="20"/>
        </w:rPr>
        <w:t>mahram</w:t>
      </w:r>
      <w:r>
        <w:rPr>
          <w:rFonts w:ascii="Arial" w:eastAsia="Arial" w:hAnsi="Arial" w:cs="Arial"/>
          <w:sz w:val="20"/>
          <w:szCs w:val="20"/>
        </w:rPr>
        <w:t>) when travelling long distances.</w:t>
      </w:r>
      <w:r>
        <w:rPr>
          <w:rFonts w:ascii="Arial" w:eastAsia="Arial" w:hAnsi="Arial" w:cs="Arial"/>
          <w:sz w:val="20"/>
          <w:szCs w:val="20"/>
          <w:vertAlign w:val="superscript"/>
        </w:rPr>
        <w:footnoteReference w:id="10"/>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7"/>
        </w:numPr>
        <w:spacing w:line="276" w:lineRule="auto"/>
        <w:jc w:val="both"/>
        <w:rPr>
          <w:sz w:val="20"/>
          <w:szCs w:val="20"/>
        </w:rPr>
      </w:pPr>
      <w:r>
        <w:rPr>
          <w:rFonts w:ascii="Arial" w:eastAsia="Arial" w:hAnsi="Arial" w:cs="Arial"/>
          <w:sz w:val="20"/>
          <w:szCs w:val="20"/>
        </w:rPr>
        <w:t xml:space="preserve">Women are also prohibited from certain jobs, going to gyms or hair salons, walking in parks or travelling without a </w:t>
      </w:r>
      <w:r>
        <w:rPr>
          <w:rFonts w:ascii="Arial" w:eastAsia="Arial" w:hAnsi="Arial" w:cs="Arial"/>
          <w:i/>
          <w:sz w:val="20"/>
          <w:szCs w:val="20"/>
        </w:rPr>
        <w:t>mahram</w:t>
      </w:r>
      <w:r>
        <w:rPr>
          <w:rFonts w:ascii="Arial" w:eastAsia="Arial" w:hAnsi="Arial" w:cs="Arial"/>
          <w:sz w:val="20"/>
          <w:szCs w:val="20"/>
        </w:rPr>
        <w:t>.</w:t>
      </w:r>
      <w:r>
        <w:rPr>
          <w:rFonts w:ascii="Arial" w:eastAsia="Arial" w:hAnsi="Arial" w:cs="Arial"/>
          <w:sz w:val="20"/>
          <w:szCs w:val="20"/>
          <w:vertAlign w:val="superscript"/>
        </w:rPr>
        <w:footnoteReference w:id="11"/>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7"/>
        </w:numPr>
        <w:spacing w:after="200" w:line="276" w:lineRule="auto"/>
        <w:jc w:val="both"/>
        <w:rPr>
          <w:sz w:val="20"/>
          <w:szCs w:val="20"/>
        </w:rPr>
      </w:pPr>
      <w:r>
        <w:rPr>
          <w:rFonts w:ascii="Arial" w:eastAsia="Arial" w:hAnsi="Arial" w:cs="Arial"/>
          <w:sz w:val="20"/>
          <w:szCs w:val="20"/>
        </w:rPr>
        <w:t>Women’s employment has significantly decreased, with only 6% of Afghan women employed in 2023, down from 11% in the previous year. The restriction on women working, including 2,500 female academics, has cost the national economy up to US$1 billion.</w:t>
      </w:r>
      <w:r>
        <w:rPr>
          <w:rFonts w:ascii="Arial" w:eastAsia="Arial" w:hAnsi="Arial" w:cs="Arial"/>
          <w:sz w:val="20"/>
          <w:szCs w:val="20"/>
          <w:vertAlign w:val="superscript"/>
        </w:rPr>
        <w:footnoteReference w:id="12"/>
      </w:r>
    </w:p>
    <w:p w:rsidR="00D84AFD" w:rsidRDefault="00000000">
      <w:pPr>
        <w:spacing w:after="200" w:line="276" w:lineRule="auto"/>
        <w:jc w:val="both"/>
        <w:rPr>
          <w:rFonts w:ascii="Arial" w:eastAsia="Arial" w:hAnsi="Arial" w:cs="Arial"/>
          <w:sz w:val="20"/>
          <w:szCs w:val="20"/>
        </w:rPr>
      </w:pPr>
      <w:r>
        <w:rPr>
          <w:rFonts w:ascii="Arial" w:eastAsia="Arial" w:hAnsi="Arial" w:cs="Arial"/>
          <w:sz w:val="20"/>
          <w:szCs w:val="20"/>
        </w:rPr>
        <w:t>The ongoing, systematic violations of women’s and girls’ rights in Afghanistan have heightened their vulnerability to violence and abuse, with serious consequences for both their physical and mental health. These restrictions on women have significantly increased their risk of exploitation, forced and early marriage, domestic violence, and mental health challenges. Women across the country describe their lives as increasingly oppressive—feeling invisible, isolated, and confined in prison-like conditions.</w:t>
      </w:r>
      <w:r>
        <w:rPr>
          <w:rFonts w:ascii="Arial" w:eastAsia="Arial" w:hAnsi="Arial" w:cs="Arial"/>
          <w:sz w:val="20"/>
          <w:szCs w:val="20"/>
          <w:vertAlign w:val="superscript"/>
        </w:rPr>
        <w:footnoteReference w:id="13"/>
      </w:r>
      <w:r>
        <w:rPr>
          <w:rFonts w:ascii="Arial" w:eastAsia="Arial" w:hAnsi="Arial" w:cs="Arial"/>
          <w:sz w:val="20"/>
          <w:szCs w:val="20"/>
        </w:rPr>
        <w:t xml:space="preserve"> Over time, this restriction on educational access will also curtail the flow of new female professionals, such as teachers and healthcare providers, which will in turn limit opportunities for women and girls to receive education and healthcare. This cycle reinforces harmful gender norms and female exclusion. These violations also negatively impact the economy and disrupt the delivery of essential humanitarian services. </w:t>
      </w:r>
    </w:p>
    <w:p w:rsidR="00D84AFD" w:rsidRDefault="00000000">
      <w:pPr>
        <w:spacing w:after="200" w:line="276" w:lineRule="auto"/>
        <w:jc w:val="both"/>
        <w:rPr>
          <w:rFonts w:ascii="Arial" w:eastAsia="Arial" w:hAnsi="Arial" w:cs="Arial"/>
          <w:sz w:val="20"/>
          <w:szCs w:val="20"/>
        </w:rPr>
      </w:pPr>
      <w:r>
        <w:rPr>
          <w:rFonts w:ascii="Arial" w:eastAsia="Arial" w:hAnsi="Arial" w:cs="Arial"/>
          <w:sz w:val="20"/>
          <w:szCs w:val="20"/>
        </w:rPr>
        <w:t>The United Nations has stated that the Taliban’s treatment of women and girls could amount to crimes against humanity due to the deprivation of their rights.</w:t>
      </w:r>
      <w:r>
        <w:rPr>
          <w:rFonts w:ascii="Arial" w:eastAsia="Arial" w:hAnsi="Arial" w:cs="Arial"/>
          <w:sz w:val="20"/>
          <w:szCs w:val="20"/>
          <w:vertAlign w:val="superscript"/>
        </w:rPr>
        <w:footnoteReference w:id="14"/>
      </w:r>
      <w:r>
        <w:rPr>
          <w:rFonts w:ascii="Arial" w:eastAsia="Arial" w:hAnsi="Arial" w:cs="Arial"/>
          <w:sz w:val="20"/>
          <w:szCs w:val="20"/>
        </w:rPr>
        <w:t xml:space="preserve"> </w:t>
      </w:r>
    </w:p>
    <w:p w:rsidR="00D84AFD" w:rsidRDefault="00000000">
      <w:pPr>
        <w:spacing w:after="200" w:line="276" w:lineRule="auto"/>
        <w:jc w:val="both"/>
        <w:rPr>
          <w:rFonts w:ascii="Arial" w:eastAsia="Arial" w:hAnsi="Arial" w:cs="Arial"/>
          <w:b/>
          <w:sz w:val="20"/>
          <w:szCs w:val="20"/>
        </w:rPr>
      </w:pPr>
      <w:r>
        <w:rPr>
          <w:rFonts w:ascii="Arial" w:eastAsia="Arial" w:hAnsi="Arial" w:cs="Arial"/>
          <w:b/>
          <w:sz w:val="20"/>
          <w:szCs w:val="20"/>
        </w:rPr>
        <w:t xml:space="preserve">Ongoing Human Rights Violations Against Women and Lack of Access to Justice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Prior to 2021, justice structures were established to facilitate women’s access to justice. However, after the Taliban captured Afghanistan, most of these structures have been dismantled, minimised, replaced or restructured. </w:t>
      </w:r>
    </w:p>
    <w:p w:rsidR="00D84AFD" w:rsidRDefault="00000000">
      <w:pPr>
        <w:spacing w:line="276" w:lineRule="auto"/>
        <w:jc w:val="both"/>
        <w:rPr>
          <w:rFonts w:ascii="Arial" w:eastAsia="Arial" w:hAnsi="Arial" w:cs="Arial"/>
          <w:color w:val="FF0000"/>
          <w:sz w:val="20"/>
          <w:szCs w:val="20"/>
        </w:rPr>
      </w:pPr>
      <w:r>
        <w:rPr>
          <w:rFonts w:ascii="Arial" w:eastAsia="Arial" w:hAnsi="Arial" w:cs="Arial"/>
          <w:color w:val="FF0000"/>
          <w:sz w:val="20"/>
          <w:szCs w:val="20"/>
        </w:rPr>
        <w:t xml:space="preserve">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The Taliban have issued over 100 decrees directed to infringe on and restrict human rights (the key ones have been mentioned below), and many of these pertain to women's rights. </w:t>
      </w:r>
    </w:p>
    <w:p w:rsidR="00D84AFD" w:rsidRDefault="00D84AFD">
      <w:pPr>
        <w:spacing w:line="276" w:lineRule="auto"/>
        <w:jc w:val="both"/>
        <w:rPr>
          <w:rFonts w:ascii="Arial" w:eastAsia="Arial" w:hAnsi="Arial" w:cs="Arial"/>
          <w:sz w:val="20"/>
          <w:szCs w:val="20"/>
        </w:rPr>
      </w:pP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lastRenderedPageBreak/>
        <w:t>Survivors of gender-based violence have limited access to essential legal and psychosocial support.</w:t>
      </w:r>
      <w:r>
        <w:rPr>
          <w:rFonts w:ascii="Arial" w:eastAsia="Arial" w:hAnsi="Arial" w:cs="Arial"/>
          <w:sz w:val="20"/>
          <w:szCs w:val="20"/>
          <w:vertAlign w:val="superscript"/>
        </w:rPr>
        <w:footnoteReference w:id="15"/>
      </w:r>
      <w:r>
        <w:rPr>
          <w:rFonts w:ascii="Arial" w:eastAsia="Arial" w:hAnsi="Arial" w:cs="Arial"/>
          <w:sz w:val="20"/>
          <w:szCs w:val="20"/>
        </w:rPr>
        <w:t xml:space="preserve"> Furthermore, there have been cases where acts of violence against women are treated as civil rather than criminal offences, leading to inadequate responses from authorities.</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In the absence of proper legal, judicial and due process, families are resorting to community-based justice mechanisms, whilst sexual and gender-based violence against women and girls, committed particularly within families and communities continues to be on the rise, and, occurs with impunity and with minimal support for victims. Additionally, these community-based justice mechanisms lack gender sensitivity. </w:t>
      </w:r>
    </w:p>
    <w:p w:rsidR="00D84AFD" w:rsidRDefault="00000000">
      <w:pPr>
        <w:spacing w:before="240" w:after="240" w:line="276" w:lineRule="auto"/>
        <w:jc w:val="both"/>
        <w:rPr>
          <w:rFonts w:ascii="Arial" w:eastAsia="Arial" w:hAnsi="Arial" w:cs="Arial"/>
          <w:sz w:val="20"/>
          <w:szCs w:val="20"/>
        </w:rPr>
      </w:pPr>
      <w:r>
        <w:rPr>
          <w:rFonts w:ascii="Arial" w:eastAsia="Arial" w:hAnsi="Arial" w:cs="Arial"/>
          <w:b/>
          <w:sz w:val="20"/>
          <w:szCs w:val="20"/>
        </w:rPr>
        <w:t>Arrest of women protestors and women who are not compliant with the dress code:</w:t>
      </w:r>
      <w:r>
        <w:rPr>
          <w:rFonts w:ascii="Arial" w:eastAsia="Arial" w:hAnsi="Arial" w:cs="Arial"/>
          <w:sz w:val="20"/>
          <w:szCs w:val="20"/>
        </w:rPr>
        <w:t xml:space="preserve"> Since early January 2024, women who are seen to be non-compliant with the dress codes imposed by the Taliban have faced arbitrary detention and torture. In his 2024 report to the UN Human Rights Council, the UN SR Richard Bennett highlighted that numerous women, particularly in Hazara-populated areas of western Kabul, have been detained, with similar operations expanding to other regions like Bamyan and Kunduz. These actions have disproportionately affected Hazara women, subjecting them to multiple forms of discrimination.</w:t>
      </w:r>
    </w:p>
    <w:p w:rsidR="00D84AFD" w:rsidRDefault="00000000">
      <w:pPr>
        <w:spacing w:before="240" w:after="240" w:line="276" w:lineRule="auto"/>
        <w:jc w:val="both"/>
        <w:rPr>
          <w:rFonts w:ascii="Arial" w:eastAsia="Arial" w:hAnsi="Arial" w:cs="Arial"/>
          <w:sz w:val="20"/>
          <w:szCs w:val="20"/>
          <w:vertAlign w:val="superscript"/>
        </w:rPr>
      </w:pPr>
      <w:r>
        <w:rPr>
          <w:rFonts w:ascii="Arial" w:eastAsia="Arial" w:hAnsi="Arial" w:cs="Arial"/>
          <w:sz w:val="20"/>
          <w:szCs w:val="20"/>
        </w:rPr>
        <w:t>Arrests typically occur in public spaces, where women are forcibly taken by police and held in overcrowded stations without access to legal representation. Their release often depends on male relatives pledging future compliance with the dress code. Families frequently struggle to locate detained women, with some spending days searching and encountering denials from authorities. The enforcement of the dress code appears inconsistent across the country, indicating localised targeting. Additionally, the Taliban’s public statements regarding the rationale for these arrests have been contradictory, adding to the uncertainty surrounding their motives.</w:t>
      </w:r>
    </w:p>
    <w:p w:rsidR="00D84AFD"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The arbitrary nature of these arrests exemplifies the erosion of the rule of law and has instilled a pervasive climate of fear, deterring women from accessing education, work, and essential services. The Taliban's approach has also included silencing voices advocating for gender equality, further exacerbating the challenges faced by women and girls in Afghanistan.</w:t>
      </w:r>
    </w:p>
    <w:p w:rsidR="00D84AFD" w:rsidRDefault="00D84AFD">
      <w:pPr>
        <w:pBdr>
          <w:top w:val="nil"/>
          <w:left w:val="nil"/>
          <w:bottom w:val="nil"/>
          <w:right w:val="nil"/>
          <w:between w:val="nil"/>
        </w:pBdr>
        <w:spacing w:line="276" w:lineRule="auto"/>
        <w:rPr>
          <w:rFonts w:ascii="Arial" w:eastAsia="Arial" w:hAnsi="Arial" w:cs="Arial"/>
          <w:color w:val="000000"/>
          <w:sz w:val="28"/>
          <w:szCs w:val="28"/>
        </w:rPr>
      </w:pPr>
    </w:p>
    <w:p w:rsidR="00D84AFD" w:rsidRDefault="00000000">
      <w:pPr>
        <w:pStyle w:val="Heading1"/>
        <w:spacing w:before="60" w:after="40" w:line="276" w:lineRule="auto"/>
        <w:ind w:left="547" w:hanging="547"/>
        <w:rPr>
          <w:rFonts w:ascii="Arial" w:hAnsi="Arial" w:cs="Arial"/>
        </w:rPr>
      </w:pPr>
      <w:bookmarkStart w:id="3" w:name="_Toc198565718"/>
      <w:r>
        <w:rPr>
          <w:rFonts w:ascii="Arial" w:hAnsi="Arial" w:cs="Arial"/>
        </w:rPr>
        <w:t>C. IMPACT ON WOMEN &amp; GIRLS IN AFGHANISTAN</w:t>
      </w:r>
      <w:bookmarkEnd w:id="3"/>
    </w:p>
    <w:p w:rsidR="00D84AFD" w:rsidRDefault="00D84AFD">
      <w:pPr>
        <w:spacing w:line="276" w:lineRule="auto"/>
        <w:rPr>
          <w:rFonts w:ascii="Arial" w:eastAsia="Arial" w:hAnsi="Arial" w:cs="Arial"/>
          <w:sz w:val="20"/>
          <w:szCs w:val="20"/>
        </w:rPr>
      </w:pPr>
      <w:bookmarkStart w:id="4" w:name="_heading=h.2et92p0" w:colFirst="0" w:colLast="0"/>
      <w:bookmarkEnd w:id="4"/>
    </w:p>
    <w:p w:rsidR="00D84AFD" w:rsidRDefault="00000000">
      <w:pPr>
        <w:pStyle w:val="Heading2"/>
        <w:numPr>
          <w:ilvl w:val="0"/>
          <w:numId w:val="5"/>
        </w:numPr>
        <w:spacing w:line="276" w:lineRule="auto"/>
        <w:ind w:left="540" w:hanging="540"/>
        <w:rPr>
          <w:rFonts w:ascii="Arial" w:hAnsi="Arial" w:cs="Arial"/>
          <w:i/>
        </w:rPr>
      </w:pPr>
      <w:bookmarkStart w:id="5" w:name="_Toc198565719"/>
      <w:r>
        <w:rPr>
          <w:rFonts w:ascii="Arial" w:hAnsi="Arial" w:cs="Arial"/>
          <w:i/>
        </w:rPr>
        <w:t>Mahram</w:t>
      </w:r>
      <w:r>
        <w:rPr>
          <w:rFonts w:ascii="Arial" w:hAnsi="Arial" w:cs="Arial"/>
        </w:rPr>
        <w:t>/Guardianship &amp; System of Gender Segregation</w:t>
      </w:r>
      <w:bookmarkEnd w:id="5"/>
    </w:p>
    <w:p w:rsidR="00D84AFD" w:rsidRDefault="00D84AFD">
      <w:pPr>
        <w:spacing w:line="276" w:lineRule="auto"/>
        <w:jc w:val="both"/>
        <w:rPr>
          <w:rFonts w:ascii="Arial" w:eastAsia="Arial" w:hAnsi="Arial" w:cs="Arial"/>
          <w:sz w:val="20"/>
          <w:szCs w:val="20"/>
        </w:rPr>
      </w:pPr>
    </w:p>
    <w:p w:rsidR="00D84AFD" w:rsidRDefault="00000000">
      <w:pPr>
        <w:spacing w:line="276" w:lineRule="auto"/>
        <w:jc w:val="both"/>
        <w:rPr>
          <w:rFonts w:ascii="Arial" w:eastAsia="Arial" w:hAnsi="Arial" w:cs="Arial"/>
          <w:b/>
          <w:sz w:val="20"/>
          <w:szCs w:val="20"/>
        </w:rPr>
      </w:pPr>
      <w:r>
        <w:rPr>
          <w:rFonts w:ascii="Arial" w:eastAsia="Arial" w:hAnsi="Arial" w:cs="Arial"/>
          <w:b/>
          <w:sz w:val="20"/>
          <w:szCs w:val="20"/>
        </w:rPr>
        <w:t>Law on the Promotion of Virtue and Prevention of Vice (PVPV Law):</w:t>
      </w:r>
    </w:p>
    <w:p w:rsidR="00D84AFD" w:rsidRDefault="00000000">
      <w:pPr>
        <w:spacing w:before="240" w:after="240" w:line="276" w:lineRule="auto"/>
        <w:jc w:val="both"/>
        <w:rPr>
          <w:rFonts w:ascii="Arial" w:eastAsia="Arial" w:hAnsi="Arial" w:cs="Arial"/>
          <w:color w:val="2C2C2C"/>
          <w:sz w:val="20"/>
          <w:szCs w:val="20"/>
        </w:rPr>
      </w:pPr>
      <w:r>
        <w:rPr>
          <w:rFonts w:ascii="Arial" w:eastAsia="Arial" w:hAnsi="Arial" w:cs="Arial"/>
          <w:sz w:val="20"/>
          <w:szCs w:val="20"/>
        </w:rPr>
        <w:t>In August 2024, the Taliban announced that the new Vice and Virtue law (PVPV Law) has been officially published and signed by Supreme Leader Haibatullah Akhundzada. The 114-page document consists of 35 articles and addresses various aspects of both public and private life. The rules under the new law mandate</w:t>
      </w:r>
      <w:r>
        <w:rPr>
          <w:rFonts w:ascii="Arial" w:eastAsia="Arial" w:hAnsi="Arial" w:cs="Arial"/>
          <w:i/>
          <w:sz w:val="20"/>
          <w:szCs w:val="20"/>
        </w:rPr>
        <w:t xml:space="preserve"> inter alia</w:t>
      </w:r>
      <w:r>
        <w:rPr>
          <w:rFonts w:ascii="Arial" w:eastAsia="Arial" w:hAnsi="Arial" w:cs="Arial"/>
          <w:sz w:val="20"/>
          <w:szCs w:val="20"/>
        </w:rPr>
        <w:t xml:space="preserve"> '</w:t>
      </w:r>
      <w:r>
        <w:rPr>
          <w:rFonts w:ascii="Arial" w:eastAsia="Arial" w:hAnsi="Arial" w:cs="Arial"/>
          <w:i/>
          <w:sz w:val="20"/>
          <w:szCs w:val="20"/>
        </w:rPr>
        <w:t>sharia</w:t>
      </w:r>
      <w:r>
        <w:rPr>
          <w:rFonts w:ascii="Arial" w:eastAsia="Arial" w:hAnsi="Arial" w:cs="Arial"/>
          <w:sz w:val="20"/>
          <w:szCs w:val="20"/>
        </w:rPr>
        <w:t xml:space="preserve"> </w:t>
      </w:r>
      <w:r>
        <w:rPr>
          <w:rFonts w:ascii="Arial" w:eastAsia="Arial" w:hAnsi="Arial" w:cs="Arial"/>
          <w:i/>
          <w:sz w:val="20"/>
          <w:szCs w:val="20"/>
        </w:rPr>
        <w:t xml:space="preserve">hijab' </w:t>
      </w:r>
      <w:r>
        <w:rPr>
          <w:rFonts w:ascii="Arial" w:eastAsia="Arial" w:hAnsi="Arial" w:cs="Arial"/>
          <w:sz w:val="20"/>
          <w:szCs w:val="20"/>
        </w:rPr>
        <w:t xml:space="preserve">covering the entire body and face of women, prohibition on women to speak in public, and strict </w:t>
      </w:r>
      <w:r>
        <w:rPr>
          <w:rFonts w:ascii="Arial" w:eastAsia="Arial" w:hAnsi="Arial" w:cs="Arial"/>
          <w:i/>
          <w:sz w:val="20"/>
          <w:szCs w:val="20"/>
        </w:rPr>
        <w:t xml:space="preserve">mahram </w:t>
      </w:r>
      <w:r>
        <w:rPr>
          <w:rFonts w:ascii="Arial" w:eastAsia="Arial" w:hAnsi="Arial" w:cs="Arial"/>
          <w:sz w:val="20"/>
          <w:szCs w:val="20"/>
        </w:rPr>
        <w:t xml:space="preserve">requirement for women when leaving the house. In addition to the substantive restrictions, the law has created the institution of a </w:t>
      </w:r>
      <w:r>
        <w:rPr>
          <w:rFonts w:ascii="Arial" w:eastAsia="Arial" w:hAnsi="Arial" w:cs="Arial"/>
          <w:i/>
          <w:sz w:val="20"/>
          <w:szCs w:val="20"/>
        </w:rPr>
        <w:t>muhtasib</w:t>
      </w:r>
      <w:r>
        <w:rPr>
          <w:rFonts w:ascii="Arial" w:eastAsia="Arial" w:hAnsi="Arial" w:cs="Arial"/>
          <w:sz w:val="20"/>
          <w:szCs w:val="20"/>
        </w:rPr>
        <w:t xml:space="preserve"> (moral police) to enforce the law, further aggravating the risk of arbitrary detention and arrest by the de-facto authorities (DFA). The law wrongly attributes the provisions to Islamic </w:t>
      </w:r>
      <w:r>
        <w:rPr>
          <w:rFonts w:ascii="Arial" w:eastAsia="Arial" w:hAnsi="Arial" w:cs="Arial"/>
          <w:i/>
          <w:sz w:val="20"/>
          <w:szCs w:val="20"/>
        </w:rPr>
        <w:t>Sharia</w:t>
      </w:r>
      <w:r>
        <w:rPr>
          <w:rFonts w:ascii="Arial" w:eastAsia="Arial" w:hAnsi="Arial" w:cs="Arial"/>
          <w:sz w:val="20"/>
          <w:szCs w:val="20"/>
        </w:rPr>
        <w:t>, leading to misinformation about women's rights in Islam.</w:t>
      </w:r>
    </w:p>
    <w:p w:rsidR="00CD25F9" w:rsidRDefault="00000000" w:rsidP="00CD25F9">
      <w:pPr>
        <w:numPr>
          <w:ilvl w:val="0"/>
          <w:numId w:val="1"/>
        </w:numPr>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lastRenderedPageBreak/>
        <w:t>Article 13 requires women to hide their bodies and faces from non-</w:t>
      </w:r>
      <w:r>
        <w:rPr>
          <w:rFonts w:ascii="Arial" w:eastAsia="Arial" w:hAnsi="Arial" w:cs="Arial"/>
          <w:i/>
          <w:sz w:val="20"/>
          <w:szCs w:val="20"/>
        </w:rPr>
        <w:t>mahram</w:t>
      </w:r>
      <w:r>
        <w:rPr>
          <w:rFonts w:ascii="Arial" w:eastAsia="Arial" w:hAnsi="Arial" w:cs="Arial"/>
          <w:sz w:val="20"/>
          <w:szCs w:val="20"/>
        </w:rPr>
        <w:t xml:space="preserve"> (unrelated) men and non-Muslim women, avoid looking at non-</w:t>
      </w:r>
      <w:r>
        <w:rPr>
          <w:rFonts w:ascii="Arial" w:eastAsia="Arial" w:hAnsi="Arial" w:cs="Arial"/>
          <w:i/>
          <w:sz w:val="20"/>
          <w:szCs w:val="20"/>
        </w:rPr>
        <w:t>mahram</w:t>
      </w:r>
      <w:r>
        <w:rPr>
          <w:rFonts w:ascii="Arial" w:eastAsia="Arial" w:hAnsi="Arial" w:cs="Arial"/>
          <w:sz w:val="20"/>
          <w:szCs w:val="20"/>
        </w:rPr>
        <w:t xml:space="preserve"> men, and outlines the necessity of women leaving their homes only for essential needs.</w:t>
      </w:r>
    </w:p>
    <w:p w:rsidR="00D84AFD" w:rsidRPr="00CD25F9" w:rsidRDefault="00D84AFD" w:rsidP="00CD25F9">
      <w:pPr>
        <w:pBdr>
          <w:top w:val="nil"/>
          <w:left w:val="nil"/>
          <w:bottom w:val="nil"/>
          <w:right w:val="nil"/>
          <w:between w:val="nil"/>
        </w:pBdr>
        <w:spacing w:line="276" w:lineRule="auto"/>
        <w:ind w:left="720"/>
        <w:jc w:val="both"/>
        <w:rPr>
          <w:rFonts w:ascii="Arial" w:eastAsia="Arial" w:hAnsi="Arial" w:cs="Arial"/>
          <w:sz w:val="20"/>
          <w:szCs w:val="20"/>
        </w:rPr>
      </w:pPr>
    </w:p>
    <w:p w:rsidR="00D84AFD" w:rsidRDefault="00000000">
      <w:pPr>
        <w:numPr>
          <w:ilvl w:val="0"/>
          <w:numId w:val="1"/>
        </w:numPr>
        <w:spacing w:after="160" w:line="276" w:lineRule="auto"/>
        <w:jc w:val="both"/>
        <w:rPr>
          <w:rFonts w:ascii="Arial" w:eastAsia="Arial" w:hAnsi="Arial" w:cs="Arial"/>
          <w:sz w:val="20"/>
          <w:szCs w:val="20"/>
        </w:rPr>
      </w:pPr>
      <w:r>
        <w:rPr>
          <w:rFonts w:ascii="Arial" w:eastAsia="Arial" w:hAnsi="Arial" w:cs="Arial"/>
          <w:sz w:val="20"/>
          <w:szCs w:val="20"/>
        </w:rPr>
        <w:t xml:space="preserve">Three out of the six clauses in Article 20 of the PVPV Law specifically relate to women, including the prohibition of transporting unveiled women without a </w:t>
      </w:r>
      <w:r>
        <w:rPr>
          <w:rFonts w:ascii="Arial" w:eastAsia="Arial" w:hAnsi="Arial" w:cs="Arial"/>
          <w:i/>
          <w:sz w:val="20"/>
          <w:szCs w:val="20"/>
        </w:rPr>
        <w:t>mahram</w:t>
      </w:r>
      <w:r>
        <w:rPr>
          <w:rFonts w:ascii="Arial" w:eastAsia="Arial" w:hAnsi="Arial" w:cs="Arial"/>
          <w:sz w:val="20"/>
          <w:szCs w:val="20"/>
        </w:rPr>
        <w:t xml:space="preserve"> and preventing women from sitting and mixing with non-</w:t>
      </w:r>
      <w:r>
        <w:rPr>
          <w:rFonts w:ascii="Arial" w:eastAsia="Arial" w:hAnsi="Arial" w:cs="Arial"/>
          <w:i/>
          <w:sz w:val="20"/>
          <w:szCs w:val="20"/>
        </w:rPr>
        <w:t>mahram</w:t>
      </w:r>
      <w:r>
        <w:rPr>
          <w:rFonts w:ascii="Arial" w:eastAsia="Arial" w:hAnsi="Arial" w:cs="Arial"/>
          <w:sz w:val="20"/>
          <w:szCs w:val="20"/>
        </w:rPr>
        <w:t xml:space="preserve"> men. </w:t>
      </w:r>
    </w:p>
    <w:p w:rsidR="00D84AFD" w:rsidRDefault="00000000">
      <w:pPr>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The PVPV law and its enforcement restricts women’s human rights in numerous ways, as outlined below. The examples given in this section have all been obtained through first-hand reports.</w:t>
      </w:r>
    </w:p>
    <w:p w:rsidR="00D84AFD" w:rsidRDefault="00D84AFD">
      <w:pPr>
        <w:pBdr>
          <w:top w:val="nil"/>
          <w:left w:val="nil"/>
          <w:bottom w:val="nil"/>
          <w:right w:val="nil"/>
          <w:between w:val="nil"/>
        </w:pBdr>
        <w:spacing w:line="276" w:lineRule="auto"/>
        <w:jc w:val="both"/>
        <w:rPr>
          <w:rFonts w:ascii="Arial" w:eastAsia="Arial" w:hAnsi="Arial" w:cs="Arial"/>
          <w:sz w:val="20"/>
          <w:szCs w:val="20"/>
        </w:rPr>
      </w:pPr>
    </w:p>
    <w:p w:rsidR="00D84AFD" w:rsidRDefault="00000000">
      <w:pPr>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 xml:space="preserve">The restrictions on travelling without a </w:t>
      </w:r>
      <w:r>
        <w:rPr>
          <w:rFonts w:ascii="Arial" w:eastAsia="Arial" w:hAnsi="Arial" w:cs="Arial"/>
          <w:i/>
          <w:sz w:val="20"/>
          <w:szCs w:val="20"/>
        </w:rPr>
        <w:t>mahram</w:t>
      </w:r>
      <w:r>
        <w:rPr>
          <w:rFonts w:ascii="Arial" w:eastAsia="Arial" w:hAnsi="Arial" w:cs="Arial"/>
          <w:sz w:val="20"/>
          <w:szCs w:val="20"/>
        </w:rPr>
        <w:t xml:space="preserve"> impacts women’s freedom of movement and their ability to work in both the public and private sectors. For instance, one woman who worked as a beggar on the streets was reprimanded for being without a </w:t>
      </w:r>
      <w:r>
        <w:rPr>
          <w:rFonts w:ascii="Arial" w:eastAsia="Arial" w:hAnsi="Arial" w:cs="Arial"/>
          <w:i/>
          <w:sz w:val="20"/>
          <w:szCs w:val="20"/>
        </w:rPr>
        <w:t xml:space="preserve">mahram. </w:t>
      </w:r>
      <w:r>
        <w:rPr>
          <w:rFonts w:ascii="Arial" w:eastAsia="Arial" w:hAnsi="Arial" w:cs="Arial"/>
          <w:sz w:val="20"/>
          <w:szCs w:val="20"/>
        </w:rPr>
        <w:t xml:space="preserve">She answered back saying that she was a widow, her husband had been martyred and she had to feed her children. The DFA personnel simply told her to “remarry” and get off the streets. </w:t>
      </w:r>
    </w:p>
    <w:p w:rsidR="00D84AFD" w:rsidRDefault="00D84AFD">
      <w:pPr>
        <w:pBdr>
          <w:top w:val="nil"/>
          <w:left w:val="nil"/>
          <w:bottom w:val="nil"/>
          <w:right w:val="nil"/>
          <w:between w:val="nil"/>
        </w:pBdr>
        <w:spacing w:line="276" w:lineRule="auto"/>
        <w:jc w:val="both"/>
        <w:rPr>
          <w:rFonts w:ascii="Arial" w:eastAsia="Arial" w:hAnsi="Arial" w:cs="Arial"/>
          <w:sz w:val="20"/>
          <w:szCs w:val="20"/>
        </w:rPr>
      </w:pP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To enforce the PVPV Law,</w:t>
      </w:r>
      <w:r>
        <w:rPr>
          <w:rFonts w:ascii="Arial" w:eastAsia="Arial" w:hAnsi="Arial" w:cs="Arial"/>
          <w:i/>
          <w:sz w:val="20"/>
          <w:szCs w:val="20"/>
        </w:rPr>
        <w:t xml:space="preserve"> muhtasibs</w:t>
      </w:r>
      <w:r>
        <w:rPr>
          <w:rFonts w:ascii="Arial" w:eastAsia="Arial" w:hAnsi="Arial" w:cs="Arial"/>
          <w:sz w:val="20"/>
          <w:szCs w:val="20"/>
        </w:rPr>
        <w:t xml:space="preserve"> (morality police) are stationed at the police districts and they conduct monitoring visits to institutions such as health clinics. The application of the law varies from province to province and from situation to situation. In places like Kandahar, Parwan and Nangarhar, the imposition of these restrictions is stricter than elsewhere (for instance, in Kabul). Therefore, the enforcement of the law may differ across provinces, depending on the patrolling resources in that particular province. While some women have been able to move without a mahram, that is attributable to the lack of policing in that particular time and place. There have been reports of women going to their workplace accompanied by a </w:t>
      </w:r>
      <w:r>
        <w:rPr>
          <w:rFonts w:ascii="Arial" w:eastAsia="Arial" w:hAnsi="Arial" w:cs="Arial"/>
          <w:i/>
          <w:sz w:val="20"/>
          <w:szCs w:val="20"/>
        </w:rPr>
        <w:t>mahram</w:t>
      </w:r>
      <w:r>
        <w:rPr>
          <w:rFonts w:ascii="Arial" w:eastAsia="Arial" w:hAnsi="Arial" w:cs="Arial"/>
          <w:sz w:val="20"/>
          <w:szCs w:val="20"/>
        </w:rPr>
        <w:t xml:space="preserve"> (including husband, father, son or nephew above 12 years of age).</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 xml:space="preserve">The segregation related laws not only prevent women civilians from participating in civil, economic, social and cultural life, but also impose severe limitations on NGOs and women aid workers who tend to move frequently in order to provide GBV services to women in the community. As such, it is important to note that </w:t>
      </w:r>
      <w:r>
        <w:rPr>
          <w:rFonts w:ascii="Arial" w:eastAsia="Arial" w:hAnsi="Arial" w:cs="Arial"/>
          <w:i/>
          <w:sz w:val="20"/>
          <w:szCs w:val="20"/>
        </w:rPr>
        <w:t xml:space="preserve">mahram </w:t>
      </w:r>
      <w:r>
        <w:rPr>
          <w:rFonts w:ascii="Arial" w:eastAsia="Arial" w:hAnsi="Arial" w:cs="Arial"/>
          <w:sz w:val="20"/>
          <w:szCs w:val="20"/>
        </w:rPr>
        <w:t xml:space="preserve">and </w:t>
      </w:r>
      <w:r>
        <w:rPr>
          <w:rFonts w:ascii="Arial" w:eastAsia="Arial" w:hAnsi="Arial" w:cs="Arial"/>
          <w:i/>
          <w:sz w:val="20"/>
          <w:szCs w:val="20"/>
        </w:rPr>
        <w:t>mandatory hijab</w:t>
      </w:r>
      <w:r>
        <w:rPr>
          <w:rFonts w:ascii="Arial" w:eastAsia="Arial" w:hAnsi="Arial" w:cs="Arial"/>
          <w:sz w:val="20"/>
          <w:szCs w:val="20"/>
        </w:rPr>
        <w:t xml:space="preserve"> requirements function with other circulars which restrict women’s activities, including education, awareness-raising and peacebuilding activities. </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On 29 December 2024, the DFA published a tweet announcing a circular to stop the work of female employees in non-Emirati and foreign institutions.</w:t>
      </w:r>
      <w:r>
        <w:rPr>
          <w:rFonts w:ascii="Arial" w:eastAsia="Arial" w:hAnsi="Arial" w:cs="Arial"/>
          <w:sz w:val="20"/>
          <w:szCs w:val="20"/>
          <w:vertAlign w:val="superscript"/>
        </w:rPr>
        <w:footnoteReference w:id="16"/>
      </w:r>
      <w:r w:rsidRPr="00CD25F9">
        <w:rPr>
          <w:rFonts w:ascii="Arial" w:eastAsia="Arial" w:hAnsi="Arial" w:cs="Arial"/>
          <w:sz w:val="20"/>
          <w:szCs w:val="20"/>
          <w:vertAlign w:val="superscript"/>
        </w:rPr>
        <w:t xml:space="preserve"> </w:t>
      </w:r>
      <w:r>
        <w:rPr>
          <w:rFonts w:ascii="Arial" w:eastAsia="Arial" w:hAnsi="Arial" w:cs="Arial"/>
          <w:sz w:val="20"/>
          <w:szCs w:val="20"/>
        </w:rPr>
        <w:t xml:space="preserve">The tweet further stated that in case of non-cooperation, all activities of the “offending institution” would be suspended and the activity license they received from the Ministry of Economy would stand cancelled. Some NGOs have had to close down their community centers, complicating service delivery and outreach efforts. NGOs with the words ‘women’, ‘justice’ and ‘peace’ have also been requested to change their name or risk losing their licenses, while some NGOs have managed to avert it. </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Women working in the health sector were exempted, but they are barred from participating in government facility meetings, limiting their ability to report on their work, which affects the quality and reach of the services provided.</w:t>
      </w:r>
    </w:p>
    <w:p w:rsidR="00D84AFD" w:rsidRDefault="00D84AFD">
      <w:pPr>
        <w:spacing w:line="276" w:lineRule="auto"/>
        <w:jc w:val="both"/>
        <w:rPr>
          <w:rFonts w:ascii="Arial" w:eastAsia="Arial" w:hAnsi="Arial" w:cs="Arial"/>
          <w:color w:val="980000"/>
          <w:sz w:val="20"/>
          <w:szCs w:val="20"/>
        </w:rPr>
      </w:pP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 xml:space="preserve">Women also face challenges in commuting to work, as local taxis may not stop to pick them up if they are without a </w:t>
      </w:r>
      <w:r>
        <w:rPr>
          <w:rFonts w:ascii="Arial" w:eastAsia="Arial" w:hAnsi="Arial" w:cs="Arial"/>
          <w:i/>
          <w:sz w:val="20"/>
          <w:szCs w:val="20"/>
        </w:rPr>
        <w:t>mahram</w:t>
      </w:r>
      <w:r>
        <w:rPr>
          <w:rFonts w:ascii="Arial" w:eastAsia="Arial" w:hAnsi="Arial" w:cs="Arial"/>
          <w:sz w:val="20"/>
          <w:szCs w:val="20"/>
        </w:rPr>
        <w:t xml:space="preserve">, and in most cases, local taxis do not allow women and girls to use the first seat next to the driver, fearing checks by the DFA. It is difficult to get local shared transport as on some occasions drivers have demanded a greater cab fare in anticipation that men will not share the same transport with women to avoid being questioned at the checkpoints. Women have been stopped at </w:t>
      </w:r>
      <w:r>
        <w:rPr>
          <w:rFonts w:ascii="Arial" w:eastAsia="Arial" w:hAnsi="Arial" w:cs="Arial"/>
          <w:sz w:val="20"/>
          <w:szCs w:val="20"/>
        </w:rPr>
        <w:lastRenderedPageBreak/>
        <w:t xml:space="preserve">many checkpoints where the DFA have questioned them about their </w:t>
      </w:r>
      <w:r>
        <w:rPr>
          <w:rFonts w:ascii="Arial" w:eastAsia="Arial" w:hAnsi="Arial" w:cs="Arial"/>
          <w:i/>
          <w:sz w:val="20"/>
          <w:szCs w:val="20"/>
        </w:rPr>
        <w:t>mahram</w:t>
      </w:r>
      <w:r>
        <w:rPr>
          <w:rFonts w:ascii="Arial" w:eastAsia="Arial" w:hAnsi="Arial" w:cs="Arial"/>
          <w:sz w:val="20"/>
          <w:szCs w:val="20"/>
        </w:rPr>
        <w:t xml:space="preserve"> and hijab, and even insulted the women for not covering their faces. </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 xml:space="preserve">The </w:t>
      </w:r>
      <w:r>
        <w:rPr>
          <w:rFonts w:ascii="Arial" w:eastAsia="Arial" w:hAnsi="Arial" w:cs="Arial"/>
          <w:i/>
          <w:sz w:val="20"/>
          <w:szCs w:val="20"/>
        </w:rPr>
        <w:t>muhtasib</w:t>
      </w:r>
      <w:r>
        <w:rPr>
          <w:rFonts w:ascii="Arial" w:eastAsia="Arial" w:hAnsi="Arial" w:cs="Arial"/>
          <w:sz w:val="20"/>
          <w:szCs w:val="20"/>
        </w:rPr>
        <w:t xml:space="preserve"> have also reprimanded women at their workplaces, asking them to cover their faces while working and to refrain from wearing light and attractive colors​. </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 xml:space="preserve">On some occasions, DFA personnel working in clinics prohibited women from entering the clinics to obtain treatment because the mandatory Hijab was not observed. </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 xml:space="preserve">In another case, one lawyer who persisted to help her client had to, at times, bring her </w:t>
      </w:r>
      <w:r w:rsidR="00CD25F9">
        <w:rPr>
          <w:rFonts w:ascii="Arial" w:eastAsia="Arial" w:hAnsi="Arial" w:cs="Arial"/>
          <w:sz w:val="20"/>
          <w:szCs w:val="20"/>
        </w:rPr>
        <w:t>12-year-old</w:t>
      </w:r>
      <w:r>
        <w:rPr>
          <w:rFonts w:ascii="Arial" w:eastAsia="Arial" w:hAnsi="Arial" w:cs="Arial"/>
          <w:sz w:val="20"/>
          <w:szCs w:val="20"/>
        </w:rPr>
        <w:t xml:space="preserve"> brother to the court, to avoid being stopped. In another case, an NGO personnel who commutes to work </w:t>
      </w:r>
      <w:r w:rsidR="00CD25F9">
        <w:rPr>
          <w:rFonts w:ascii="Arial" w:eastAsia="Arial" w:hAnsi="Arial" w:cs="Arial"/>
          <w:sz w:val="20"/>
          <w:szCs w:val="20"/>
        </w:rPr>
        <w:t>every day</w:t>
      </w:r>
      <w:r>
        <w:rPr>
          <w:rFonts w:ascii="Arial" w:eastAsia="Arial" w:hAnsi="Arial" w:cs="Arial"/>
          <w:sz w:val="20"/>
          <w:szCs w:val="20"/>
        </w:rPr>
        <w:t xml:space="preserve"> without a </w:t>
      </w:r>
      <w:r>
        <w:rPr>
          <w:rFonts w:ascii="Arial" w:eastAsia="Arial" w:hAnsi="Arial" w:cs="Arial"/>
          <w:i/>
          <w:sz w:val="20"/>
          <w:szCs w:val="20"/>
        </w:rPr>
        <w:t>mahram</w:t>
      </w:r>
      <w:r>
        <w:rPr>
          <w:rFonts w:ascii="Arial" w:eastAsia="Arial" w:hAnsi="Arial" w:cs="Arial"/>
          <w:sz w:val="20"/>
          <w:szCs w:val="20"/>
        </w:rPr>
        <w:t xml:space="preserve"> shared how insecure she feels when travelling, and that she is always hyper-alert and fearful. </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In another reported incident, about 10 personnel of the DFA and the General Directorate of Intelligence (GDI) entered the offices of an NGO providing legal aid and mediation services in Kabul and arrested 3 female counsellors and mediators who were working alongside their male colleagues in the same room (without their</w:t>
      </w:r>
      <w:r>
        <w:rPr>
          <w:rFonts w:ascii="Arial" w:eastAsia="Arial" w:hAnsi="Arial" w:cs="Arial"/>
          <w:i/>
          <w:sz w:val="20"/>
          <w:szCs w:val="20"/>
        </w:rPr>
        <w:t xml:space="preserve"> mahram</w:t>
      </w:r>
      <w:r>
        <w:rPr>
          <w:rFonts w:ascii="Arial" w:eastAsia="Arial" w:hAnsi="Arial" w:cs="Arial"/>
          <w:sz w:val="20"/>
          <w:szCs w:val="20"/>
        </w:rPr>
        <w:t xml:space="preserve">). Along with the NGO staff, the DFA also arrested a client who visited the legal aid centre to follow up on her case and detained them for half a day at the police station. They were transferred to the police station using official vehicles. At the time of detention, the police separated the mediators for questioning. They were humiliated using harsh words implying their lack of morality and moral “looseness” as they were without their </w:t>
      </w:r>
      <w:r>
        <w:rPr>
          <w:rFonts w:ascii="Arial" w:eastAsia="Arial" w:hAnsi="Arial" w:cs="Arial"/>
          <w:i/>
          <w:sz w:val="20"/>
          <w:szCs w:val="20"/>
        </w:rPr>
        <w:t>mahram.</w:t>
      </w:r>
      <w:r>
        <w:rPr>
          <w:rFonts w:ascii="Arial" w:eastAsia="Arial" w:hAnsi="Arial" w:cs="Arial"/>
          <w:sz w:val="20"/>
          <w:szCs w:val="20"/>
        </w:rPr>
        <w:t xml:space="preserve"> The NGO staff said that they felt extremely ashamed by those allegations as Muslim women. Further, it was the month of Ramadan, and the police stated that they were lucky that it was Ramadan and that they were not beaten. A female officer conducted a body search of the female NGO staff and confiscated their cell phones. The detainees were subsequently released based on a letter of guarantee. One of the counselors shared that after she was released, she was afraid her family would find out that they would doubt her integrity and stop her from working. All of them sought psychosocial counselling after the incident, and the mediation center was subsequently shut down. </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 xml:space="preserve">The detention of women lawyers for not observing gender segregation rules at the workplace and interacting with male colleagues (who are not </w:t>
      </w:r>
      <w:r>
        <w:rPr>
          <w:rFonts w:ascii="Arial" w:eastAsia="Arial" w:hAnsi="Arial" w:cs="Arial"/>
          <w:i/>
          <w:sz w:val="20"/>
          <w:szCs w:val="20"/>
        </w:rPr>
        <w:t>mahram</w:t>
      </w:r>
      <w:r>
        <w:rPr>
          <w:rFonts w:ascii="Arial" w:eastAsia="Arial" w:hAnsi="Arial" w:cs="Arial"/>
          <w:sz w:val="20"/>
          <w:szCs w:val="20"/>
        </w:rPr>
        <w:t xml:space="preserve">) have adverse consequences for access to justice for GBV survivors. This is for the reason that women lawyers need to work with male lawyers so that they can brief them to represent GBV survivors in court, given the restrictions on women lawyers to legally represent clients in court (as explained above). </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 xml:space="preserve">The </w:t>
      </w:r>
      <w:r>
        <w:rPr>
          <w:rFonts w:ascii="Arial" w:eastAsia="Arial" w:hAnsi="Arial" w:cs="Arial"/>
          <w:i/>
          <w:sz w:val="20"/>
          <w:szCs w:val="20"/>
        </w:rPr>
        <w:t xml:space="preserve">muhtasib </w:t>
      </w:r>
      <w:r>
        <w:rPr>
          <w:rFonts w:ascii="Arial" w:eastAsia="Arial" w:hAnsi="Arial" w:cs="Arial"/>
          <w:sz w:val="20"/>
          <w:szCs w:val="20"/>
        </w:rPr>
        <w:t xml:space="preserve">also enter shops, super-markets, offices and restaurants to enquire about the presence of women, and their </w:t>
      </w:r>
      <w:r>
        <w:rPr>
          <w:rFonts w:ascii="Arial" w:eastAsia="Arial" w:hAnsi="Arial" w:cs="Arial"/>
          <w:i/>
          <w:sz w:val="20"/>
          <w:szCs w:val="20"/>
        </w:rPr>
        <w:t xml:space="preserve">hijab </w:t>
      </w:r>
      <w:r>
        <w:rPr>
          <w:rFonts w:ascii="Arial" w:eastAsia="Arial" w:hAnsi="Arial" w:cs="Arial"/>
          <w:sz w:val="20"/>
          <w:szCs w:val="20"/>
        </w:rPr>
        <w:t xml:space="preserve">and </w:t>
      </w:r>
      <w:r>
        <w:rPr>
          <w:rFonts w:ascii="Arial" w:eastAsia="Arial" w:hAnsi="Arial" w:cs="Arial"/>
          <w:i/>
          <w:sz w:val="20"/>
          <w:szCs w:val="20"/>
        </w:rPr>
        <w:t>mahram</w:t>
      </w:r>
      <w:r>
        <w:rPr>
          <w:rFonts w:ascii="Arial" w:eastAsia="Arial" w:hAnsi="Arial" w:cs="Arial"/>
          <w:sz w:val="20"/>
          <w:szCs w:val="20"/>
        </w:rPr>
        <w:t>. In the past, there were “family restaurants” but these are also less frequented as even male family members feel unsafe bringing their female family members out. The</w:t>
      </w:r>
      <w:r>
        <w:rPr>
          <w:rFonts w:ascii="Arial" w:eastAsia="Arial" w:hAnsi="Arial" w:cs="Arial"/>
          <w:i/>
          <w:sz w:val="20"/>
          <w:szCs w:val="20"/>
        </w:rPr>
        <w:t xml:space="preserve"> muhtasib</w:t>
      </w:r>
      <w:r>
        <w:rPr>
          <w:rFonts w:ascii="Arial" w:eastAsia="Arial" w:hAnsi="Arial" w:cs="Arial"/>
          <w:sz w:val="20"/>
          <w:szCs w:val="20"/>
        </w:rPr>
        <w:t xml:space="preserve"> have instructed shops, clinics, government offices, markets, and taxi drivers to deny services to women who are unaccompanied by a</w:t>
      </w:r>
      <w:r>
        <w:rPr>
          <w:rFonts w:ascii="Arial" w:eastAsia="Arial" w:hAnsi="Arial" w:cs="Arial"/>
          <w:i/>
          <w:sz w:val="20"/>
          <w:szCs w:val="20"/>
        </w:rPr>
        <w:t xml:space="preserve"> mahram</w:t>
      </w:r>
      <w:r>
        <w:t xml:space="preserve">. </w:t>
      </w:r>
      <w:r>
        <w:rPr>
          <w:rFonts w:ascii="Arial" w:eastAsia="Arial" w:hAnsi="Arial" w:cs="Arial"/>
          <w:sz w:val="20"/>
          <w:szCs w:val="20"/>
        </w:rPr>
        <w:t xml:space="preserve">Women without </w:t>
      </w:r>
      <w:r>
        <w:rPr>
          <w:rFonts w:ascii="Arial" w:eastAsia="Arial" w:hAnsi="Arial" w:cs="Arial"/>
          <w:i/>
          <w:sz w:val="20"/>
          <w:szCs w:val="20"/>
        </w:rPr>
        <w:t xml:space="preserve">mahram </w:t>
      </w:r>
      <w:r>
        <w:rPr>
          <w:rFonts w:ascii="Arial" w:eastAsia="Arial" w:hAnsi="Arial" w:cs="Arial"/>
          <w:sz w:val="20"/>
          <w:szCs w:val="20"/>
        </w:rPr>
        <w:t xml:space="preserve">are also unable to access basic public services such as withdrawing money from the bank. Women seeking healthcare services are also impacted if the clinic is far, requiring travel with a </w:t>
      </w:r>
      <w:r>
        <w:rPr>
          <w:rFonts w:ascii="Arial" w:eastAsia="Arial" w:hAnsi="Arial" w:cs="Arial"/>
          <w:i/>
          <w:sz w:val="20"/>
          <w:szCs w:val="20"/>
        </w:rPr>
        <w:t>mahram</w:t>
      </w:r>
      <w:r>
        <w:rPr>
          <w:rFonts w:ascii="Arial" w:eastAsia="Arial" w:hAnsi="Arial" w:cs="Arial"/>
          <w:sz w:val="20"/>
          <w:szCs w:val="20"/>
        </w:rPr>
        <w:t xml:space="preserve">, when women often do not have a </w:t>
      </w:r>
      <w:r>
        <w:rPr>
          <w:rFonts w:ascii="Arial" w:eastAsia="Arial" w:hAnsi="Arial" w:cs="Arial"/>
          <w:i/>
          <w:sz w:val="20"/>
          <w:szCs w:val="20"/>
        </w:rPr>
        <w:t xml:space="preserve">mahram </w:t>
      </w:r>
      <w:r>
        <w:rPr>
          <w:rFonts w:ascii="Arial" w:eastAsia="Arial" w:hAnsi="Arial" w:cs="Arial"/>
          <w:sz w:val="20"/>
          <w:szCs w:val="20"/>
        </w:rPr>
        <w:t>to take them to the clinic.</w:t>
      </w:r>
    </w:p>
    <w:p w:rsidR="00D84AFD" w:rsidRDefault="00000000">
      <w:pPr>
        <w:spacing w:after="160" w:line="276" w:lineRule="auto"/>
        <w:jc w:val="both"/>
        <w:rPr>
          <w:rFonts w:ascii="Arial" w:eastAsia="Arial" w:hAnsi="Arial" w:cs="Arial"/>
          <w:sz w:val="20"/>
          <w:szCs w:val="20"/>
        </w:rPr>
      </w:pPr>
      <w:r>
        <w:rPr>
          <w:rFonts w:ascii="Arial" w:eastAsia="Arial" w:hAnsi="Arial" w:cs="Arial"/>
          <w:sz w:val="20"/>
          <w:szCs w:val="20"/>
        </w:rPr>
        <w:t xml:space="preserve">There is also concern that the </w:t>
      </w:r>
      <w:r>
        <w:rPr>
          <w:rFonts w:ascii="Arial" w:eastAsia="Arial" w:hAnsi="Arial" w:cs="Arial"/>
          <w:i/>
          <w:sz w:val="20"/>
          <w:szCs w:val="20"/>
        </w:rPr>
        <w:t xml:space="preserve">mahram </w:t>
      </w:r>
      <w:r>
        <w:rPr>
          <w:rFonts w:ascii="Arial" w:eastAsia="Arial" w:hAnsi="Arial" w:cs="Arial"/>
          <w:sz w:val="20"/>
          <w:szCs w:val="20"/>
        </w:rPr>
        <w:t xml:space="preserve">may themselves be perpetrators of violence and therefore prohibit women victims from seeking help. Further, it must also be noted that as a result of the war, many </w:t>
      </w:r>
      <w:r>
        <w:rPr>
          <w:rFonts w:ascii="Arial" w:eastAsia="Arial" w:hAnsi="Arial" w:cs="Arial"/>
          <w:i/>
          <w:sz w:val="20"/>
          <w:szCs w:val="20"/>
        </w:rPr>
        <w:t>mahram</w:t>
      </w:r>
      <w:r>
        <w:rPr>
          <w:rFonts w:ascii="Arial" w:eastAsia="Arial" w:hAnsi="Arial" w:cs="Arial"/>
          <w:sz w:val="20"/>
          <w:szCs w:val="20"/>
        </w:rPr>
        <w:t xml:space="preserve"> (fathers, brothers, husbands) have died or disappeared. Others are also disabled, unemployed, or drug-addicted. This complicates women’s reliance on them for mobility. </w:t>
      </w:r>
    </w:p>
    <w:p w:rsidR="00D84AFD" w:rsidRDefault="00D84AFD">
      <w:pPr>
        <w:pBdr>
          <w:top w:val="nil"/>
          <w:left w:val="nil"/>
          <w:bottom w:val="nil"/>
          <w:right w:val="nil"/>
          <w:between w:val="nil"/>
        </w:pBdr>
        <w:spacing w:line="276" w:lineRule="auto"/>
        <w:jc w:val="both"/>
      </w:pPr>
    </w:p>
    <w:tbl>
      <w:tblPr>
        <w:tblStyle w:val="ab"/>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D84AFD">
        <w:trPr>
          <w:trHeight w:val="803"/>
        </w:trPr>
        <w:tc>
          <w:tcPr>
            <w:tcW w:w="8903" w:type="dxa"/>
            <w:shd w:val="clear" w:color="auto" w:fill="D9D9D9"/>
            <w:tcMar>
              <w:top w:w="100" w:type="dxa"/>
              <w:left w:w="100" w:type="dxa"/>
              <w:bottom w:w="100" w:type="dxa"/>
              <w:right w:w="100" w:type="dxa"/>
            </w:tcMar>
          </w:tcPr>
          <w:p w:rsidR="00D84AFD" w:rsidRDefault="00000000">
            <w:pPr>
              <w:widowControl w:val="0"/>
              <w:spacing w:before="120" w:after="120" w:line="276" w:lineRule="auto"/>
              <w:jc w:val="both"/>
              <w:rPr>
                <w:rFonts w:ascii="Arial" w:eastAsia="Arial" w:hAnsi="Arial" w:cs="Arial"/>
                <w:b/>
                <w:sz w:val="20"/>
                <w:szCs w:val="20"/>
                <w:u w:val="single"/>
              </w:rPr>
            </w:pPr>
            <w:r>
              <w:rPr>
                <w:rFonts w:ascii="Arial" w:eastAsia="Arial" w:hAnsi="Arial" w:cs="Arial"/>
                <w:b/>
                <w:sz w:val="20"/>
                <w:szCs w:val="20"/>
                <w:u w:val="single"/>
              </w:rPr>
              <w:t>RECOMMENDATIONS</w:t>
            </w:r>
          </w:p>
          <w:p w:rsidR="00D84AFD" w:rsidRDefault="00000000">
            <w:pPr>
              <w:spacing w:line="276" w:lineRule="auto"/>
              <w:jc w:val="both"/>
              <w:rPr>
                <w:rFonts w:ascii="Arial" w:eastAsia="Arial" w:hAnsi="Arial" w:cs="Arial"/>
                <w:sz w:val="20"/>
                <w:szCs w:val="20"/>
              </w:rPr>
            </w:pPr>
            <w:r>
              <w:rPr>
                <w:rFonts w:ascii="Arial" w:eastAsia="Arial" w:hAnsi="Arial" w:cs="Arial"/>
                <w:b/>
                <w:sz w:val="20"/>
                <w:szCs w:val="20"/>
              </w:rPr>
              <w:t>We recommend that the CEDAW Committee urge member states to:</w:t>
            </w:r>
          </w:p>
          <w:p w:rsidR="00D84AFD" w:rsidRDefault="00D84AFD">
            <w:pPr>
              <w:pBdr>
                <w:top w:val="nil"/>
                <w:left w:val="nil"/>
                <w:bottom w:val="nil"/>
                <w:right w:val="nil"/>
                <w:between w:val="nil"/>
              </w:pBdr>
              <w:spacing w:line="276" w:lineRule="auto"/>
              <w:ind w:left="720"/>
              <w:jc w:val="both"/>
              <w:rPr>
                <w:rFonts w:ascii="Arial" w:eastAsia="Arial" w:hAnsi="Arial" w:cs="Arial"/>
                <w:color w:val="000000"/>
                <w:sz w:val="20"/>
                <w:szCs w:val="20"/>
              </w:rPr>
            </w:pPr>
          </w:p>
          <w:p w:rsidR="00D84AFD" w:rsidRDefault="00000000">
            <w:pPr>
              <w:numPr>
                <w:ilvl w:val="0"/>
                <w:numId w:val="6"/>
              </w:numPr>
              <w:spacing w:after="120" w:line="276" w:lineRule="auto"/>
              <w:jc w:val="both"/>
              <w:rPr>
                <w:rFonts w:ascii="Arial" w:eastAsia="Arial" w:hAnsi="Arial" w:cs="Arial"/>
                <w:sz w:val="20"/>
                <w:szCs w:val="20"/>
              </w:rPr>
            </w:pPr>
            <w:r>
              <w:rPr>
                <w:rFonts w:ascii="Arial" w:eastAsia="Arial" w:hAnsi="Arial" w:cs="Arial"/>
                <w:sz w:val="20"/>
                <w:szCs w:val="20"/>
              </w:rPr>
              <w:lastRenderedPageBreak/>
              <w:t>Support global and local advocacy efforts to:</w:t>
            </w:r>
          </w:p>
          <w:p w:rsidR="00D84AFD" w:rsidRDefault="00000000">
            <w:pPr>
              <w:spacing w:after="120" w:line="276" w:lineRule="auto"/>
              <w:ind w:left="720"/>
              <w:jc w:val="both"/>
              <w:rPr>
                <w:rFonts w:ascii="Arial" w:eastAsia="Arial" w:hAnsi="Arial" w:cs="Arial"/>
                <w:sz w:val="20"/>
                <w:szCs w:val="20"/>
              </w:rPr>
            </w:pPr>
            <w:r>
              <w:rPr>
                <w:rFonts w:ascii="Arial" w:eastAsia="Arial" w:hAnsi="Arial" w:cs="Arial"/>
                <w:sz w:val="20"/>
                <w:szCs w:val="20"/>
              </w:rPr>
              <w:t xml:space="preserve">o Recognize the linkage between the mahram requirement with denial or restriction of women’s economic, health, social and cultural rights. </w:t>
            </w:r>
          </w:p>
          <w:p w:rsidR="00D84AFD" w:rsidRDefault="00000000">
            <w:pPr>
              <w:spacing w:after="120" w:line="276" w:lineRule="auto"/>
              <w:ind w:left="720"/>
              <w:jc w:val="both"/>
              <w:rPr>
                <w:rFonts w:ascii="Arial" w:eastAsia="Arial" w:hAnsi="Arial" w:cs="Arial"/>
                <w:sz w:val="20"/>
                <w:szCs w:val="20"/>
              </w:rPr>
            </w:pPr>
            <w:r>
              <w:rPr>
                <w:rFonts w:ascii="Arial" w:eastAsia="Arial" w:hAnsi="Arial" w:cs="Arial"/>
                <w:sz w:val="20"/>
                <w:szCs w:val="20"/>
              </w:rPr>
              <w:t xml:space="preserve">o Recognise that the mahram requirement can have adverse and negative impacts on the ability of women aid and civil society workers to provide essential services to marginalised and vulnerable women populations. </w:t>
            </w:r>
          </w:p>
          <w:p w:rsidR="00D84AFD" w:rsidRDefault="00000000">
            <w:pPr>
              <w:spacing w:after="120" w:line="276" w:lineRule="auto"/>
              <w:ind w:left="720"/>
              <w:jc w:val="both"/>
              <w:rPr>
                <w:rFonts w:ascii="Arial" w:eastAsia="Arial" w:hAnsi="Arial" w:cs="Arial"/>
                <w:sz w:val="20"/>
                <w:szCs w:val="20"/>
              </w:rPr>
            </w:pPr>
            <w:r>
              <w:rPr>
                <w:rFonts w:ascii="Arial" w:eastAsia="Arial" w:hAnsi="Arial" w:cs="Arial"/>
                <w:sz w:val="20"/>
                <w:szCs w:val="20"/>
              </w:rPr>
              <w:t xml:space="preserve">o Recognise that the mahram requirement results in serious physical and psychological safety concerns for those women seeking to access their rights (to justice, employment, movement, health) if they are without a mahram and stopped by a member of public or DFA personnel. </w:t>
            </w:r>
          </w:p>
          <w:p w:rsidR="00D84AFD" w:rsidRDefault="00000000">
            <w:pPr>
              <w:spacing w:after="120" w:line="276" w:lineRule="auto"/>
              <w:ind w:left="720"/>
              <w:jc w:val="both"/>
              <w:rPr>
                <w:rFonts w:ascii="Arial" w:eastAsia="Arial" w:hAnsi="Arial" w:cs="Arial"/>
                <w:sz w:val="20"/>
                <w:szCs w:val="20"/>
              </w:rPr>
            </w:pPr>
            <w:r>
              <w:rPr>
                <w:rFonts w:ascii="Arial" w:eastAsia="Arial" w:hAnsi="Arial" w:cs="Arial"/>
                <w:sz w:val="20"/>
                <w:szCs w:val="20"/>
              </w:rPr>
              <w:t xml:space="preserve">o Recognise that women’s lack of mobility has serious implications to their access to all their rights and thus, it is a means and a function of a system predicated on gender apartheid. </w:t>
            </w:r>
          </w:p>
          <w:p w:rsidR="00D84AFD" w:rsidRDefault="00CD25F9">
            <w:pPr>
              <w:spacing w:after="120" w:line="276" w:lineRule="auto"/>
              <w:ind w:left="720"/>
              <w:jc w:val="both"/>
              <w:rPr>
                <w:rFonts w:ascii="Arial" w:eastAsia="Arial" w:hAnsi="Arial" w:cs="Arial"/>
                <w:sz w:val="20"/>
                <w:szCs w:val="20"/>
              </w:rPr>
            </w:pPr>
            <w:r>
              <w:rPr>
                <w:rFonts w:ascii="Arial" w:eastAsia="Arial" w:hAnsi="Arial" w:cs="Arial"/>
                <w:sz w:val="20"/>
                <w:szCs w:val="20"/>
              </w:rPr>
              <w:t xml:space="preserve">o Publicly condemn the violations of the rights of women and girls in Afghanistan by the Taliban, and for the Organization of Islamic Cooperation (OIC) member states in particular to take this firm stance. In particular, for the OIC to clarify that the objective of </w:t>
            </w:r>
            <w:r>
              <w:rPr>
                <w:rFonts w:ascii="Arial" w:eastAsia="Arial" w:hAnsi="Arial" w:cs="Arial"/>
                <w:i/>
                <w:sz w:val="20"/>
                <w:szCs w:val="20"/>
              </w:rPr>
              <w:t>mahram</w:t>
            </w:r>
            <w:r>
              <w:rPr>
                <w:rFonts w:ascii="Arial" w:eastAsia="Arial" w:hAnsi="Arial" w:cs="Arial"/>
                <w:sz w:val="20"/>
                <w:szCs w:val="20"/>
              </w:rPr>
              <w:t xml:space="preserve"> under Islamic jurisprudence is to enable women’s movement and participation in society, and, when its use has the opposite effects as explained in this submission, the objectives are effectively frustrated. </w:t>
            </w:r>
          </w:p>
          <w:p w:rsidR="00D84AFD" w:rsidRDefault="00000000">
            <w:pPr>
              <w:spacing w:after="120" w:line="276" w:lineRule="auto"/>
              <w:ind w:left="720"/>
              <w:jc w:val="both"/>
              <w:rPr>
                <w:rFonts w:ascii="Arial" w:eastAsia="Arial" w:hAnsi="Arial" w:cs="Arial"/>
                <w:sz w:val="20"/>
                <w:szCs w:val="20"/>
              </w:rPr>
            </w:pPr>
            <w:r>
              <w:rPr>
                <w:rFonts w:ascii="Arial" w:eastAsia="Arial" w:hAnsi="Arial" w:cs="Arial"/>
                <w:sz w:val="20"/>
                <w:szCs w:val="20"/>
              </w:rPr>
              <w:t>o Initiate proceedings before the International Court of Justice (ICJ) to adjudicate the severe violations of CEDAW by Afghanistan and cooperate with national courts and existing international judicial bodies like the International Criminal Court (ICC) to investigate international law violations in Afghanistan including gender-based discrimination and crimes against women as a form of gender-</w:t>
            </w:r>
            <w:r w:rsidR="00CD25F9">
              <w:rPr>
                <w:rFonts w:ascii="Arial" w:eastAsia="Arial" w:hAnsi="Arial" w:cs="Arial"/>
                <w:sz w:val="20"/>
                <w:szCs w:val="20"/>
              </w:rPr>
              <w:t>apartheid</w:t>
            </w:r>
            <w:r>
              <w:rPr>
                <w:rFonts w:ascii="Arial" w:eastAsia="Arial" w:hAnsi="Arial" w:cs="Arial"/>
                <w:sz w:val="20"/>
                <w:szCs w:val="20"/>
              </w:rPr>
              <w:t>.</w:t>
            </w:r>
          </w:p>
        </w:tc>
      </w:tr>
    </w:tbl>
    <w:p w:rsidR="00D84AFD" w:rsidRDefault="00D84AFD">
      <w:pPr>
        <w:spacing w:line="276" w:lineRule="auto"/>
        <w:rPr>
          <w:rFonts w:ascii="Arial" w:eastAsia="Arial" w:hAnsi="Arial" w:cs="Arial"/>
        </w:rPr>
      </w:pPr>
    </w:p>
    <w:p w:rsidR="00D84AFD" w:rsidRDefault="00000000">
      <w:pPr>
        <w:pStyle w:val="Heading2"/>
        <w:numPr>
          <w:ilvl w:val="0"/>
          <w:numId w:val="5"/>
        </w:numPr>
        <w:spacing w:line="276" w:lineRule="auto"/>
        <w:ind w:left="540" w:hanging="540"/>
        <w:rPr>
          <w:rFonts w:ascii="Arial" w:hAnsi="Arial" w:cs="Arial"/>
        </w:rPr>
      </w:pPr>
      <w:bookmarkStart w:id="6" w:name="_Toc198565720"/>
      <w:r>
        <w:rPr>
          <w:rFonts w:ascii="Arial" w:hAnsi="Arial" w:cs="Arial"/>
        </w:rPr>
        <w:t>Access to Justice</w:t>
      </w:r>
      <w:bookmarkEnd w:id="6"/>
      <w:r>
        <w:rPr>
          <w:rFonts w:ascii="Arial" w:hAnsi="Arial" w:cs="Arial"/>
        </w:rPr>
        <w:t xml:space="preserve"> </w:t>
      </w:r>
      <w:r>
        <w:rPr>
          <w:rFonts w:ascii="Arial" w:hAnsi="Arial" w:cs="Arial"/>
        </w:rPr>
        <w:tab/>
        <w:t xml:space="preserve">          </w:t>
      </w:r>
      <w:r>
        <w:rPr>
          <w:rFonts w:ascii="Arial" w:hAnsi="Arial" w:cs="Arial"/>
        </w:rPr>
        <w:tab/>
      </w:r>
    </w:p>
    <w:p w:rsidR="00D84AFD" w:rsidRDefault="00D84AFD">
      <w:pPr>
        <w:widowControl w:val="0"/>
        <w:pBdr>
          <w:top w:val="nil"/>
          <w:left w:val="nil"/>
          <w:bottom w:val="nil"/>
          <w:right w:val="nil"/>
          <w:between w:val="nil"/>
        </w:pBdr>
        <w:spacing w:line="276" w:lineRule="auto"/>
        <w:rPr>
          <w:rFonts w:ascii="Arial" w:eastAsia="Arial" w:hAnsi="Arial" w:cs="Arial"/>
          <w:color w:val="000000"/>
          <w:sz w:val="20"/>
          <w:szCs w:val="20"/>
        </w:rPr>
      </w:pPr>
    </w:p>
    <w:p w:rsidR="00D84AFD" w:rsidRDefault="00000000">
      <w:pPr>
        <w:widowControl w:val="0"/>
        <w:spacing w:line="276" w:lineRule="auto"/>
        <w:jc w:val="both"/>
        <w:rPr>
          <w:rFonts w:ascii="Arial" w:eastAsia="Arial" w:hAnsi="Arial" w:cs="Arial"/>
          <w:b/>
          <w:color w:val="222222"/>
          <w:sz w:val="20"/>
          <w:szCs w:val="20"/>
          <w:highlight w:val="white"/>
        </w:rPr>
      </w:pPr>
      <w:r>
        <w:rPr>
          <w:rFonts w:ascii="Arial" w:eastAsia="Arial" w:hAnsi="Arial" w:cs="Arial"/>
          <w:b/>
          <w:color w:val="222222"/>
          <w:sz w:val="20"/>
          <w:szCs w:val="20"/>
          <w:highlight w:val="white"/>
        </w:rPr>
        <w:t>Lack of Institutional Support for Survivors of Domestic Violence:</w:t>
      </w:r>
    </w:p>
    <w:p w:rsidR="00D84AFD" w:rsidRDefault="00D84AFD">
      <w:pPr>
        <w:widowControl w:val="0"/>
        <w:spacing w:line="276" w:lineRule="auto"/>
        <w:jc w:val="both"/>
        <w:rPr>
          <w:rFonts w:ascii="Arial" w:eastAsia="Arial" w:hAnsi="Arial" w:cs="Arial"/>
          <w:b/>
          <w:color w:val="222222"/>
          <w:sz w:val="20"/>
          <w:szCs w:val="20"/>
          <w:highlight w:val="white"/>
        </w:rPr>
      </w:pPr>
    </w:p>
    <w:p w:rsidR="00D84AFD" w:rsidRDefault="00000000">
      <w:pPr>
        <w:widowControl w:val="0"/>
        <w:spacing w:line="276" w:lineRule="auto"/>
        <w:jc w:val="both"/>
        <w:rPr>
          <w:rFonts w:ascii="Arial" w:eastAsia="Arial" w:hAnsi="Arial" w:cs="Arial"/>
          <w:sz w:val="20"/>
          <w:szCs w:val="20"/>
          <w:highlight w:val="white"/>
        </w:rPr>
      </w:pPr>
      <w:r>
        <w:rPr>
          <w:rFonts w:ascii="Arial" w:eastAsia="Arial" w:hAnsi="Arial" w:cs="Arial"/>
          <w:sz w:val="20"/>
          <w:szCs w:val="20"/>
          <w:highlight w:val="white"/>
        </w:rPr>
        <w:t xml:space="preserve">Institutions such as the Afghanistan Independent Human Rights Commission and the Elimination for Violence Against Women Court, which were responsible for the prevention and protection of women from violence, are no longer functioning. The Ministry of Women’s Affairs has been dissolved and replaced with the Ministry for the Prevention of Vice and Propagation of Virtue. </w:t>
      </w:r>
    </w:p>
    <w:p w:rsidR="00D84AFD" w:rsidRDefault="00D84AFD">
      <w:pPr>
        <w:widowControl w:val="0"/>
        <w:spacing w:line="276" w:lineRule="auto"/>
        <w:jc w:val="both"/>
        <w:rPr>
          <w:rFonts w:ascii="Arial" w:eastAsia="Arial" w:hAnsi="Arial" w:cs="Arial"/>
          <w:sz w:val="20"/>
          <w:szCs w:val="20"/>
          <w:highlight w:val="white"/>
        </w:rPr>
      </w:pPr>
    </w:p>
    <w:p w:rsidR="00D84AFD" w:rsidRDefault="00000000">
      <w:pPr>
        <w:widowControl w:val="0"/>
        <w:spacing w:line="276" w:lineRule="auto"/>
        <w:jc w:val="both"/>
        <w:rPr>
          <w:rFonts w:ascii="Arial" w:eastAsia="Arial" w:hAnsi="Arial" w:cs="Arial"/>
          <w:sz w:val="20"/>
          <w:szCs w:val="20"/>
          <w:highlight w:val="white"/>
        </w:rPr>
      </w:pPr>
      <w:r>
        <w:rPr>
          <w:rFonts w:ascii="Arial" w:eastAsia="Arial" w:hAnsi="Arial" w:cs="Arial"/>
          <w:sz w:val="20"/>
          <w:szCs w:val="20"/>
          <w:highlight w:val="white"/>
        </w:rPr>
        <w:t>The formal judicial system is largely inaccessible to women, with 79% reporting no contact with legal services in the past year.</w:t>
      </w:r>
      <w:r>
        <w:rPr>
          <w:rFonts w:ascii="Arial" w:eastAsia="Arial" w:hAnsi="Arial" w:cs="Arial"/>
          <w:sz w:val="20"/>
          <w:szCs w:val="20"/>
          <w:highlight w:val="white"/>
          <w:vertAlign w:val="superscript"/>
        </w:rPr>
        <w:footnoteReference w:id="17"/>
      </w:r>
      <w:r>
        <w:rPr>
          <w:rFonts w:ascii="Arial" w:eastAsia="Arial" w:hAnsi="Arial" w:cs="Arial"/>
          <w:sz w:val="20"/>
          <w:szCs w:val="20"/>
          <w:highlight w:val="white"/>
        </w:rPr>
        <w:t xml:space="preserve"> Afghanistan lacks a constitution and clearly defined laws. Instead, the </w:t>
      </w:r>
      <w:r>
        <w:rPr>
          <w:rFonts w:ascii="Arial" w:eastAsia="Arial" w:hAnsi="Arial" w:cs="Arial"/>
          <w:sz w:val="20"/>
          <w:szCs w:val="20"/>
        </w:rPr>
        <w:t xml:space="preserve">Taliban judiciary relies on the </w:t>
      </w:r>
      <w:r>
        <w:rPr>
          <w:rFonts w:ascii="Arial" w:eastAsia="Arial" w:hAnsi="Arial" w:cs="Arial"/>
          <w:i/>
          <w:sz w:val="20"/>
          <w:szCs w:val="20"/>
        </w:rPr>
        <w:t>Majjalah</w:t>
      </w:r>
      <w:r>
        <w:rPr>
          <w:rFonts w:ascii="Arial" w:eastAsia="Arial" w:hAnsi="Arial" w:cs="Arial"/>
          <w:sz w:val="20"/>
          <w:szCs w:val="20"/>
        </w:rPr>
        <w:t>, which is a code-like compendium of Hanafi jurisprudence of Islam compiled by Hanafi jurists during the Ottoman Empire.</w:t>
      </w:r>
      <w:r>
        <w:rPr>
          <w:rFonts w:ascii="Arial" w:eastAsia="Arial" w:hAnsi="Arial" w:cs="Arial"/>
          <w:sz w:val="20"/>
          <w:szCs w:val="20"/>
          <w:vertAlign w:val="superscript"/>
        </w:rPr>
        <w:footnoteReference w:id="18"/>
      </w:r>
      <w:r>
        <w:rPr>
          <w:rFonts w:ascii="Arial" w:eastAsia="Arial" w:hAnsi="Arial" w:cs="Arial"/>
          <w:sz w:val="20"/>
          <w:szCs w:val="20"/>
        </w:rPr>
        <w:t xml:space="preserve"> </w:t>
      </w:r>
    </w:p>
    <w:p w:rsidR="00D84AFD" w:rsidRDefault="00D84AFD">
      <w:pPr>
        <w:widowControl w:val="0"/>
        <w:spacing w:line="276" w:lineRule="auto"/>
        <w:jc w:val="both"/>
        <w:rPr>
          <w:rFonts w:ascii="Arial" w:eastAsia="Arial" w:hAnsi="Arial" w:cs="Arial"/>
          <w:sz w:val="20"/>
          <w:szCs w:val="20"/>
          <w:highlight w:val="white"/>
        </w:rPr>
      </w:pPr>
    </w:p>
    <w:p w:rsidR="00D84AFD" w:rsidRDefault="00000000">
      <w:pPr>
        <w:widowControl w:val="0"/>
        <w:spacing w:line="276" w:lineRule="auto"/>
        <w:jc w:val="both"/>
        <w:rPr>
          <w:rFonts w:ascii="Arial" w:eastAsia="Arial" w:hAnsi="Arial" w:cs="Arial"/>
          <w:sz w:val="20"/>
          <w:szCs w:val="20"/>
          <w:highlight w:val="white"/>
        </w:rPr>
      </w:pPr>
      <w:r>
        <w:rPr>
          <w:rFonts w:ascii="Arial" w:eastAsia="Arial" w:hAnsi="Arial" w:cs="Arial"/>
          <w:sz w:val="20"/>
          <w:szCs w:val="20"/>
          <w:highlight w:val="white"/>
        </w:rPr>
        <w:t>Women face a host of legal issues either as survivors of gender-based discrimination and violence, and legal disputes within the family, or as defendants in conflict with the law.</w:t>
      </w:r>
      <w:r>
        <w:rPr>
          <w:rFonts w:ascii="Arial" w:eastAsia="Arial" w:hAnsi="Arial" w:cs="Arial"/>
          <w:sz w:val="20"/>
          <w:szCs w:val="20"/>
        </w:rPr>
        <w:t xml:space="preserve"> Common access to justice issues are withdrawal from engagement, forced and child marriage, economic abuse, psychological </w:t>
      </w:r>
      <w:r>
        <w:rPr>
          <w:rFonts w:ascii="Arial" w:eastAsia="Arial" w:hAnsi="Arial" w:cs="Arial"/>
          <w:sz w:val="20"/>
          <w:szCs w:val="20"/>
        </w:rPr>
        <w:lastRenderedPageBreak/>
        <w:t xml:space="preserve">abuse, family violence, separation, divorce, non-payment of </w:t>
      </w:r>
      <w:r>
        <w:rPr>
          <w:rFonts w:ascii="Arial" w:eastAsia="Arial" w:hAnsi="Arial" w:cs="Arial"/>
          <w:i/>
          <w:sz w:val="20"/>
          <w:szCs w:val="20"/>
        </w:rPr>
        <w:t>mahr (dower)</w:t>
      </w:r>
      <w:r>
        <w:rPr>
          <w:rFonts w:ascii="Arial" w:eastAsia="Arial" w:hAnsi="Arial" w:cs="Arial"/>
          <w:sz w:val="20"/>
          <w:szCs w:val="20"/>
        </w:rPr>
        <w:t xml:space="preserve">, non-payment of alimony, long-term absence of husband (or disappearance), extra-marital affairs by husband, husband’s addiction to drugs or alcohol, lack of custody to children, violation of the right to inheritance, forced prostitution by husband and in-laws, pressure to use drugs, not being allowed to visit parents and family, false accusations (of theft and adultery), defamation, polygamy and undisclosed previous marriage by husband. </w:t>
      </w:r>
      <w:r>
        <w:rPr>
          <w:rFonts w:ascii="Arial" w:eastAsia="Arial" w:hAnsi="Arial" w:cs="Arial"/>
          <w:sz w:val="20"/>
          <w:szCs w:val="20"/>
          <w:highlight w:val="white"/>
        </w:rPr>
        <w:t>Some women are habitually subjected to torture, violence and GBV within their family, including rape, assault, sexual exploitation, and/or forcible confinement. Women have reported being subjected to sexual violence in their marital home, with some women being forced by their in-laws and husbands into sex trade and forced physical labour. Physical beatings have also led to miscarriage. Some women were driven almost to the point of suicide due to severe violence perpetrated by their in-laws. Unfortunately, even in such cases, the woman’s parents seldom intervene in her marital affairs, leaving her to fend for herself. Women cannot escape domestic violence and seek help for fear of arrest. Further, women fear that if their family members and in-laws learn that they are talking about their family problems to outsiders, they will be accused of bringing dishonour to the family. Women, therefore, have to be discreet when seeking external help.</w:t>
      </w:r>
    </w:p>
    <w:p w:rsidR="00D84AFD" w:rsidRDefault="00D84AFD">
      <w:pPr>
        <w:widowControl w:val="0"/>
        <w:spacing w:line="276" w:lineRule="auto"/>
        <w:jc w:val="both"/>
        <w:rPr>
          <w:rFonts w:ascii="Arial" w:eastAsia="Arial" w:hAnsi="Arial" w:cs="Arial"/>
          <w:sz w:val="20"/>
          <w:szCs w:val="20"/>
          <w:highlight w:val="white"/>
        </w:rPr>
      </w:pPr>
    </w:p>
    <w:p w:rsidR="00D84AFD" w:rsidRDefault="00000000">
      <w:pPr>
        <w:widowControl w:val="0"/>
        <w:spacing w:line="276" w:lineRule="auto"/>
        <w:jc w:val="both"/>
        <w:rPr>
          <w:rFonts w:ascii="Arial" w:eastAsia="Arial" w:hAnsi="Arial" w:cs="Arial"/>
          <w:sz w:val="20"/>
          <w:szCs w:val="20"/>
          <w:highlight w:val="white"/>
        </w:rPr>
      </w:pPr>
      <w:r>
        <w:rPr>
          <w:rFonts w:ascii="Arial" w:eastAsia="Arial" w:hAnsi="Arial" w:cs="Arial"/>
          <w:sz w:val="20"/>
          <w:szCs w:val="20"/>
          <w:highlight w:val="white"/>
        </w:rPr>
        <w:t xml:space="preserve">When women have approached the court for help, the court does not address cases in a fair manner resulting in injustice, especially to women, and judgments which are not rooted in legal reasoning. There have also been instances when the Taliban refuse to admit women to courts without a male guardian, and even when admitted, their cases are frequently dismissed or ignored. Judges are also extremely insulting and degrading to women. For cases which proceed, radical and patriarchal interpretations of Islamic jurisprudence is used and interpreted from a position that women are the inferior sex and are subservient to their husbands. Based on a first-hand report, a GBV survivor who suffered violence at the hands of her husband and her husband's family, recounted, </w:t>
      </w:r>
      <w:r>
        <w:rPr>
          <w:rFonts w:ascii="Arial" w:eastAsia="Arial" w:hAnsi="Arial" w:cs="Arial"/>
          <w:i/>
          <w:sz w:val="20"/>
          <w:szCs w:val="20"/>
          <w:highlight w:val="white"/>
        </w:rPr>
        <w:t xml:space="preserve">“When I went to the Taliban court to have them investigate my case, a Taliban judge told me to live with my husband under any circumstance. He said that my husband has the right to do whatever he wants with me. Further, the judge said, “You are a woman, and women obey their husbands”. </w:t>
      </w:r>
      <w:r>
        <w:rPr>
          <w:rFonts w:ascii="Arial" w:eastAsia="Arial" w:hAnsi="Arial" w:cs="Arial"/>
          <w:sz w:val="20"/>
          <w:szCs w:val="20"/>
          <w:highlight w:val="white"/>
        </w:rPr>
        <w:t>Women face immense pressure to maintain family unity at all costs. Seeking divorce is often seen as bringing shame to the family, and women who do so may face ostracism, further abuse and loss of custody over their children. The Taliban's stance on divorce, coupled with the broader restrictions on women's rights, has created a crisis where many Afghan women feel trapped and hopeless in the face of domestic abuse.</w:t>
      </w:r>
      <w:r>
        <w:rPr>
          <w:rFonts w:ascii="Arial" w:eastAsia="Arial" w:hAnsi="Arial" w:cs="Arial"/>
          <w:sz w:val="20"/>
          <w:szCs w:val="20"/>
          <w:highlight w:val="white"/>
          <w:vertAlign w:val="superscript"/>
        </w:rPr>
        <w:footnoteReference w:id="19"/>
      </w:r>
      <w:r>
        <w:rPr>
          <w:rFonts w:ascii="Arial" w:eastAsia="Arial" w:hAnsi="Arial" w:cs="Arial"/>
          <w:sz w:val="20"/>
          <w:szCs w:val="20"/>
          <w:highlight w:val="white"/>
        </w:rPr>
        <w:t xml:space="preserve"> In this challenging environment, some women have resorted to desperate measures, with reports of attempted suicides due to the inability to escape abusive marriages.</w:t>
      </w:r>
      <w:r>
        <w:rPr>
          <w:rFonts w:ascii="Arial" w:eastAsia="Arial" w:hAnsi="Arial" w:cs="Arial"/>
          <w:sz w:val="20"/>
          <w:szCs w:val="20"/>
          <w:highlight w:val="white"/>
          <w:vertAlign w:val="superscript"/>
        </w:rPr>
        <w:footnoteReference w:id="20"/>
      </w:r>
      <w:r>
        <w:rPr>
          <w:rFonts w:ascii="Arial" w:eastAsia="Arial" w:hAnsi="Arial" w:cs="Arial"/>
          <w:sz w:val="20"/>
          <w:szCs w:val="20"/>
          <w:highlight w:val="white"/>
        </w:rPr>
        <w:t xml:space="preserve"> Widows are forced to beg after being kicked out of their marital homes by their in-laws. </w:t>
      </w:r>
    </w:p>
    <w:p w:rsidR="00D84AFD" w:rsidRDefault="00D84AFD">
      <w:pPr>
        <w:widowControl w:val="0"/>
        <w:spacing w:line="276" w:lineRule="auto"/>
        <w:jc w:val="both"/>
        <w:rPr>
          <w:rFonts w:ascii="Arial" w:eastAsia="Arial" w:hAnsi="Arial" w:cs="Arial"/>
          <w:sz w:val="20"/>
          <w:szCs w:val="20"/>
          <w:highlight w:val="white"/>
        </w:rPr>
      </w:pPr>
    </w:p>
    <w:p w:rsidR="00D84AFD" w:rsidRDefault="00000000">
      <w:pPr>
        <w:widowControl w:val="0"/>
        <w:spacing w:line="276" w:lineRule="auto"/>
        <w:jc w:val="both"/>
        <w:rPr>
          <w:rFonts w:ascii="Arial" w:eastAsia="Arial" w:hAnsi="Arial" w:cs="Arial"/>
          <w:sz w:val="20"/>
          <w:szCs w:val="20"/>
        </w:rPr>
      </w:pPr>
      <w:r>
        <w:rPr>
          <w:rFonts w:ascii="Arial" w:eastAsia="Arial" w:hAnsi="Arial" w:cs="Arial"/>
          <w:sz w:val="20"/>
          <w:szCs w:val="20"/>
          <w:highlight w:val="white"/>
        </w:rPr>
        <w:t xml:space="preserve">Further, with the closure of most women's rights organizations, there is a severe lack of institutional support for women obtaining legal recourse. Legal aid serves an important purpose at a time when the infrastructure of justice has collapsed. </w:t>
      </w:r>
      <w:r>
        <w:rPr>
          <w:rFonts w:ascii="Arial" w:eastAsia="Arial" w:hAnsi="Arial" w:cs="Arial"/>
          <w:sz w:val="20"/>
          <w:szCs w:val="20"/>
        </w:rPr>
        <w:t xml:space="preserve">However, the state of the justice system is exacerbated by the fact that women lawyers in Afghanistan are unable to represent clients in courts due to restrictions on women’s ability to study law in higher educational institutes, sit for Bar Admissions and/or obtain or renew their license to practice. Women have been excluded as sitting judges, including in family courts. Further, there is no independent bar association for lawyers to represent their interests. </w:t>
      </w:r>
    </w:p>
    <w:p w:rsidR="00D84AFD" w:rsidRDefault="00000000">
      <w:pPr>
        <w:spacing w:before="240" w:after="240" w:line="276" w:lineRule="auto"/>
        <w:jc w:val="both"/>
        <w:rPr>
          <w:rFonts w:ascii="Arial" w:eastAsia="Arial" w:hAnsi="Arial" w:cs="Arial"/>
          <w:sz w:val="20"/>
          <w:szCs w:val="20"/>
          <w:highlight w:val="white"/>
        </w:rPr>
      </w:pPr>
      <w:r>
        <w:rPr>
          <w:rFonts w:ascii="Arial" w:eastAsia="Arial" w:hAnsi="Arial" w:cs="Arial"/>
          <w:sz w:val="20"/>
          <w:szCs w:val="20"/>
        </w:rPr>
        <w:t xml:space="preserve">The restriction on women lawyers from representing clients in courts differs from place to place. In nine provinces female lawyers have obtained permission to represent both criminal and civil cases before judicial associations. A few lawyers have been permitted to legally represent clients in courts. However, this right is not uniformly recognized across all provinces of Afghanistan. In order to work around the issue, some women lawyers accompany clients to courts as companions, based on a </w:t>
      </w:r>
      <w:r>
        <w:rPr>
          <w:rFonts w:ascii="Arial" w:eastAsia="Arial" w:hAnsi="Arial" w:cs="Arial"/>
          <w:sz w:val="20"/>
          <w:szCs w:val="20"/>
        </w:rPr>
        <w:lastRenderedPageBreak/>
        <w:t xml:space="preserve">formal process called </w:t>
      </w:r>
      <w:r>
        <w:rPr>
          <w:rFonts w:ascii="Arial" w:eastAsia="Arial" w:hAnsi="Arial" w:cs="Arial"/>
          <w:i/>
          <w:sz w:val="20"/>
          <w:szCs w:val="20"/>
        </w:rPr>
        <w:t>Wasiqa Khat</w:t>
      </w:r>
      <w:r>
        <w:rPr>
          <w:rFonts w:ascii="Arial" w:eastAsia="Arial" w:hAnsi="Arial" w:cs="Arial"/>
          <w:sz w:val="20"/>
          <w:szCs w:val="20"/>
        </w:rPr>
        <w:t xml:space="preserve">. However, accompanying clients based on </w:t>
      </w:r>
      <w:r>
        <w:rPr>
          <w:rFonts w:ascii="Arial" w:eastAsia="Arial" w:hAnsi="Arial" w:cs="Arial"/>
          <w:i/>
          <w:sz w:val="20"/>
          <w:szCs w:val="20"/>
        </w:rPr>
        <w:t>Wasiqa Khat</w:t>
      </w:r>
      <w:r>
        <w:rPr>
          <w:rFonts w:ascii="Arial" w:eastAsia="Arial" w:hAnsi="Arial" w:cs="Arial"/>
          <w:sz w:val="20"/>
          <w:szCs w:val="20"/>
        </w:rPr>
        <w:t xml:space="preserve"> is different from legal presentation or </w:t>
      </w:r>
      <w:r>
        <w:rPr>
          <w:rFonts w:ascii="Arial" w:eastAsia="Arial" w:hAnsi="Arial" w:cs="Arial"/>
          <w:i/>
          <w:sz w:val="20"/>
          <w:szCs w:val="20"/>
        </w:rPr>
        <w:t>Wakalat Khat</w:t>
      </w:r>
      <w:r>
        <w:rPr>
          <w:rFonts w:ascii="Arial" w:eastAsia="Arial" w:hAnsi="Arial" w:cs="Arial"/>
          <w:sz w:val="20"/>
          <w:szCs w:val="20"/>
        </w:rPr>
        <w:t xml:space="preserve"> (power of attorney). Without being recognised as lawyers, women lawyers representing (or supporting) women litigants do not have the same rights of audience before a judge, right to be present at trial, and right to access their client’s case files, amongst other rights. To </w:t>
      </w:r>
      <w:r w:rsidR="00CD25F9">
        <w:rPr>
          <w:rFonts w:ascii="Arial" w:eastAsia="Arial" w:hAnsi="Arial" w:cs="Arial"/>
          <w:sz w:val="20"/>
          <w:szCs w:val="20"/>
        </w:rPr>
        <w:t>work around</w:t>
      </w:r>
      <w:r>
        <w:rPr>
          <w:rFonts w:ascii="Arial" w:eastAsia="Arial" w:hAnsi="Arial" w:cs="Arial"/>
          <w:sz w:val="20"/>
          <w:szCs w:val="20"/>
        </w:rPr>
        <w:t xml:space="preserve"> this restriction, some lawyers who are in exile and those still working inside Afghanistan do the back-end preparation of the legal documents and work with </w:t>
      </w:r>
      <w:r w:rsidR="00CD25F9">
        <w:rPr>
          <w:rFonts w:ascii="Arial" w:eastAsia="Arial" w:hAnsi="Arial" w:cs="Arial"/>
          <w:sz w:val="20"/>
          <w:szCs w:val="20"/>
        </w:rPr>
        <w:t>their male</w:t>
      </w:r>
      <w:r>
        <w:rPr>
          <w:rFonts w:ascii="Arial" w:eastAsia="Arial" w:hAnsi="Arial" w:cs="Arial"/>
          <w:sz w:val="20"/>
          <w:szCs w:val="20"/>
        </w:rPr>
        <w:t xml:space="preserve"> counterparts to submit the case to court and follow up with the case. Whilst technically male lawyers can represent women, there have been a few occasions where women were insulted for being represented by a male lawyer in the absence of a </w:t>
      </w:r>
      <w:r>
        <w:rPr>
          <w:rFonts w:ascii="Arial" w:eastAsia="Arial" w:hAnsi="Arial" w:cs="Arial"/>
          <w:i/>
          <w:sz w:val="20"/>
          <w:szCs w:val="20"/>
        </w:rPr>
        <w:t>mahram.</w:t>
      </w:r>
      <w:r>
        <w:rPr>
          <w:rFonts w:ascii="Arial" w:eastAsia="Arial" w:hAnsi="Arial" w:cs="Arial"/>
          <w:sz w:val="20"/>
          <w:szCs w:val="20"/>
        </w:rPr>
        <w:t xml:space="preserve"> Further, the use of male lawyers will not be able to fulfil the justice gap. Most women survivors will not confide in a man especially in cases where women may experience shame due to being raped and subjected to other forms of sexual violence. Further, many male private lawyers are not mission-driven to safeguard the rights of women, and some charge high fees to women.</w:t>
      </w:r>
    </w:p>
    <w:p w:rsidR="00D84AFD" w:rsidRDefault="00000000">
      <w:pPr>
        <w:widowControl w:val="0"/>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Due to the general inaccessibility, uncertainty and hostility of the judicial system, the majority of the cases are resolved through family mediation in the community which could be very risky if the mediators are not well-trained or when mediation is conducted in serious cases such as rape, enforced prostitution, publicising the identity of a victim, burning, or the use of chemical substances.</w:t>
      </w:r>
    </w:p>
    <w:p w:rsidR="00D84AFD" w:rsidRDefault="00D84AFD">
      <w:pPr>
        <w:widowControl w:val="0"/>
        <w:pBdr>
          <w:top w:val="nil"/>
          <w:left w:val="nil"/>
          <w:bottom w:val="nil"/>
          <w:right w:val="nil"/>
          <w:between w:val="nil"/>
        </w:pBdr>
        <w:spacing w:line="276" w:lineRule="auto"/>
        <w:jc w:val="both"/>
        <w:rPr>
          <w:rFonts w:ascii="Arial" w:eastAsia="Arial" w:hAnsi="Arial" w:cs="Arial"/>
          <w:sz w:val="20"/>
          <w:szCs w:val="20"/>
          <w:highlight w:val="white"/>
        </w:rPr>
      </w:pPr>
    </w:p>
    <w:p w:rsidR="00D84AFD" w:rsidRDefault="00000000">
      <w:pPr>
        <w:widowControl w:val="0"/>
        <w:pBdr>
          <w:top w:val="nil"/>
          <w:left w:val="nil"/>
          <w:bottom w:val="nil"/>
          <w:right w:val="nil"/>
          <w:between w:val="nil"/>
        </w:pBdr>
        <w:spacing w:line="276" w:lineRule="auto"/>
        <w:jc w:val="both"/>
        <w:rPr>
          <w:rFonts w:ascii="Arial" w:eastAsia="Arial" w:hAnsi="Arial" w:cs="Arial"/>
          <w:sz w:val="20"/>
          <w:szCs w:val="20"/>
          <w:highlight w:val="white"/>
        </w:rPr>
      </w:pPr>
      <w:r>
        <w:rPr>
          <w:rFonts w:ascii="Arial" w:eastAsia="Arial" w:hAnsi="Arial" w:cs="Arial"/>
          <w:sz w:val="20"/>
          <w:szCs w:val="20"/>
          <w:highlight w:val="white"/>
        </w:rPr>
        <w:t xml:space="preserve">Women lawyers in Afghanistan are trying to find solutions to women’s legal problems by participating or conducting family mediation and de-escalate ongoing violence. For example, mediation is being increasingly used to raise family’s awareness of women’s rights, and help them manage their emotions to de-escalate potentially violent situations in the future. In some cases, women lawyers have also been able to reach a fair resolution for their clients based on justifications in </w:t>
      </w:r>
      <w:r>
        <w:rPr>
          <w:rFonts w:ascii="Arial" w:eastAsia="Arial" w:hAnsi="Arial" w:cs="Arial"/>
          <w:i/>
          <w:sz w:val="20"/>
          <w:szCs w:val="20"/>
          <w:highlight w:val="white"/>
        </w:rPr>
        <w:t>Shariah</w:t>
      </w:r>
      <w:r>
        <w:rPr>
          <w:rFonts w:ascii="Arial" w:eastAsia="Arial" w:hAnsi="Arial" w:cs="Arial"/>
          <w:sz w:val="20"/>
          <w:szCs w:val="20"/>
          <w:highlight w:val="white"/>
        </w:rPr>
        <w:t xml:space="preserve">. Using gender equity arguments under </w:t>
      </w:r>
      <w:r>
        <w:rPr>
          <w:rFonts w:ascii="Arial" w:eastAsia="Arial" w:hAnsi="Arial" w:cs="Arial"/>
          <w:i/>
          <w:sz w:val="20"/>
          <w:szCs w:val="20"/>
          <w:highlight w:val="white"/>
        </w:rPr>
        <w:t>Shariah</w:t>
      </w:r>
      <w:r>
        <w:rPr>
          <w:rFonts w:ascii="Arial" w:eastAsia="Arial" w:hAnsi="Arial" w:cs="Arial"/>
          <w:sz w:val="20"/>
          <w:szCs w:val="20"/>
          <w:highlight w:val="white"/>
        </w:rPr>
        <w:t xml:space="preserve"> may ultimately prove to be a more sustainable method towards gradually strengthening women’s rights in the long-term.</w:t>
      </w:r>
    </w:p>
    <w:p w:rsidR="00D84AFD" w:rsidRDefault="00D84AFD">
      <w:pPr>
        <w:widowControl w:val="0"/>
        <w:spacing w:line="276" w:lineRule="auto"/>
        <w:jc w:val="both"/>
        <w:rPr>
          <w:rFonts w:ascii="Arial" w:eastAsia="Arial" w:hAnsi="Arial" w:cs="Arial"/>
          <w:sz w:val="20"/>
          <w:szCs w:val="20"/>
        </w:rPr>
      </w:pPr>
    </w:p>
    <w:p w:rsidR="00D84AFD" w:rsidRDefault="00000000">
      <w:pPr>
        <w:widowControl w:val="0"/>
        <w:spacing w:line="276" w:lineRule="auto"/>
        <w:jc w:val="both"/>
        <w:rPr>
          <w:rFonts w:ascii="Arial" w:eastAsia="Arial" w:hAnsi="Arial" w:cs="Arial"/>
          <w:sz w:val="20"/>
          <w:szCs w:val="20"/>
        </w:rPr>
      </w:pPr>
      <w:r>
        <w:rPr>
          <w:rFonts w:ascii="Arial" w:eastAsia="Arial" w:hAnsi="Arial" w:cs="Arial"/>
          <w:sz w:val="20"/>
          <w:szCs w:val="20"/>
          <w:highlight w:val="white"/>
        </w:rPr>
        <w:t>Through three case studies, we highlight how the restrictions have adversely impacted access to justice for survivors of gender-based violence. Information on these case studies has been collected through interviews with female lawyers and advocates in Afghanistan, and the names have been changed to protect the identity of the individuals.</w:t>
      </w:r>
    </w:p>
    <w:p w:rsidR="00D84AFD" w:rsidRDefault="00D84AFD">
      <w:pPr>
        <w:widowControl w:val="0"/>
        <w:spacing w:line="276" w:lineRule="auto"/>
        <w:jc w:val="both"/>
        <w:rPr>
          <w:rFonts w:ascii="Arial" w:eastAsia="Arial" w:hAnsi="Arial" w:cs="Arial"/>
          <w:sz w:val="20"/>
          <w:szCs w:val="20"/>
          <w:highlight w:val="white"/>
        </w:rPr>
      </w:pPr>
    </w:p>
    <w:p w:rsidR="00D84AFD" w:rsidRDefault="00000000">
      <w:pPr>
        <w:widowControl w:val="0"/>
        <w:numPr>
          <w:ilvl w:val="0"/>
          <w:numId w:val="8"/>
        </w:numPr>
        <w:spacing w:line="276" w:lineRule="auto"/>
        <w:jc w:val="both"/>
        <w:rPr>
          <w:rFonts w:ascii="Arial" w:eastAsia="Arial" w:hAnsi="Arial" w:cs="Arial"/>
          <w:i/>
          <w:sz w:val="20"/>
          <w:szCs w:val="20"/>
          <w:highlight w:val="white"/>
        </w:rPr>
      </w:pPr>
      <w:r>
        <w:rPr>
          <w:rFonts w:ascii="Arial" w:eastAsia="Arial" w:hAnsi="Arial" w:cs="Arial"/>
          <w:i/>
          <w:sz w:val="20"/>
          <w:szCs w:val="20"/>
          <w:highlight w:val="white"/>
        </w:rPr>
        <w:t>Case of NA:</w:t>
      </w:r>
    </w:p>
    <w:p w:rsidR="00D84AFD" w:rsidRDefault="00D84AFD">
      <w:pPr>
        <w:widowControl w:val="0"/>
        <w:spacing w:line="276" w:lineRule="auto"/>
        <w:jc w:val="both"/>
        <w:rPr>
          <w:rFonts w:ascii="Arial" w:eastAsia="Arial" w:hAnsi="Arial" w:cs="Arial"/>
          <w:i/>
          <w:sz w:val="20"/>
          <w:szCs w:val="20"/>
          <w:highlight w:val="white"/>
        </w:rPr>
      </w:pPr>
    </w:p>
    <w:p w:rsidR="00D84AFD" w:rsidRDefault="00000000">
      <w:pPr>
        <w:widowControl w:val="0"/>
        <w:spacing w:line="276" w:lineRule="auto"/>
        <w:jc w:val="both"/>
        <w:rPr>
          <w:rFonts w:ascii="Arial" w:eastAsia="Arial" w:hAnsi="Arial" w:cs="Arial"/>
          <w:sz w:val="20"/>
          <w:szCs w:val="20"/>
          <w:highlight w:val="white"/>
        </w:rPr>
      </w:pPr>
      <w:r>
        <w:rPr>
          <w:rFonts w:ascii="Arial" w:eastAsia="Arial" w:hAnsi="Arial" w:cs="Arial"/>
          <w:sz w:val="20"/>
          <w:szCs w:val="20"/>
          <w:highlight w:val="white"/>
        </w:rPr>
        <w:t xml:space="preserve">NA was raped in her house by an acquaintance who intimidated her by telling her that if she were to ever report the rape, she would face disgrace in the community. NA made a petition against him to the Ministry of Interior of the Taliban to arrest and punish him. However, during legal proceedings, videos of her participating in women protest activities emerged. She was beaten by the judge's bodyguard and the judges. She was eventually charged with illicit relationship and moral corruption and punished to caning. The perpetrator was sentenced to a few months in prison owing to his connections with the Taliban. Her sentence was later reduced to no caning upon intervention of women lawyers. </w:t>
      </w:r>
    </w:p>
    <w:p w:rsidR="00D84AFD" w:rsidRDefault="00D84AFD">
      <w:pPr>
        <w:widowControl w:val="0"/>
        <w:spacing w:line="276" w:lineRule="auto"/>
        <w:jc w:val="both"/>
        <w:rPr>
          <w:rFonts w:ascii="Arial" w:eastAsia="Arial" w:hAnsi="Arial" w:cs="Arial"/>
          <w:sz w:val="20"/>
          <w:szCs w:val="20"/>
          <w:highlight w:val="white"/>
        </w:rPr>
      </w:pPr>
    </w:p>
    <w:p w:rsidR="00D84AFD" w:rsidRDefault="00000000">
      <w:pPr>
        <w:widowControl w:val="0"/>
        <w:numPr>
          <w:ilvl w:val="0"/>
          <w:numId w:val="8"/>
        </w:numPr>
        <w:spacing w:line="276" w:lineRule="auto"/>
        <w:jc w:val="both"/>
        <w:rPr>
          <w:rFonts w:ascii="Arial" w:eastAsia="Arial" w:hAnsi="Arial" w:cs="Arial"/>
          <w:i/>
          <w:sz w:val="20"/>
          <w:szCs w:val="20"/>
          <w:highlight w:val="white"/>
        </w:rPr>
      </w:pPr>
      <w:r>
        <w:rPr>
          <w:rFonts w:ascii="Arial" w:eastAsia="Arial" w:hAnsi="Arial" w:cs="Arial"/>
          <w:i/>
          <w:sz w:val="20"/>
          <w:szCs w:val="20"/>
          <w:highlight w:val="white"/>
        </w:rPr>
        <w:t>Case of HS:</w:t>
      </w:r>
    </w:p>
    <w:p w:rsidR="00D84AFD" w:rsidRDefault="00D84AFD">
      <w:pPr>
        <w:widowControl w:val="0"/>
        <w:spacing w:line="276" w:lineRule="auto"/>
        <w:jc w:val="both"/>
        <w:rPr>
          <w:rFonts w:ascii="Arial" w:eastAsia="Arial" w:hAnsi="Arial" w:cs="Arial"/>
          <w:sz w:val="20"/>
          <w:szCs w:val="20"/>
          <w:highlight w:val="white"/>
        </w:rPr>
      </w:pPr>
    </w:p>
    <w:p w:rsidR="00D84AFD" w:rsidRDefault="00000000">
      <w:pPr>
        <w:widowControl w:val="0"/>
        <w:spacing w:line="276" w:lineRule="auto"/>
        <w:jc w:val="both"/>
        <w:rPr>
          <w:rFonts w:ascii="Arial" w:eastAsia="Arial" w:hAnsi="Arial" w:cs="Arial"/>
          <w:sz w:val="20"/>
          <w:szCs w:val="20"/>
          <w:highlight w:val="white"/>
        </w:rPr>
      </w:pPr>
      <w:r>
        <w:rPr>
          <w:rFonts w:ascii="Arial" w:eastAsia="Arial" w:hAnsi="Arial" w:cs="Arial"/>
          <w:sz w:val="20"/>
          <w:szCs w:val="20"/>
          <w:highlight w:val="white"/>
        </w:rPr>
        <w:t xml:space="preserve">HS and a male friend were detained by the Taliban Intelligence authorities and charged with adultery. HS was initially represented by a male lawyer. During legal proceedings, the judge refused to let the lawyer speak or defend his client. The judge also tore up the petition, expelled her lawyer, and insulted him by saying, </w:t>
      </w:r>
      <w:r>
        <w:rPr>
          <w:rFonts w:ascii="Arial" w:eastAsia="Arial" w:hAnsi="Arial" w:cs="Arial"/>
          <w:i/>
          <w:sz w:val="20"/>
          <w:szCs w:val="20"/>
          <w:highlight w:val="white"/>
        </w:rPr>
        <w:t>“You are beghairat (without honour) for representing a woman like her.”</w:t>
      </w:r>
      <w:r>
        <w:rPr>
          <w:rFonts w:ascii="Arial" w:eastAsia="Arial" w:hAnsi="Arial" w:cs="Arial"/>
          <w:sz w:val="20"/>
          <w:szCs w:val="20"/>
          <w:highlight w:val="white"/>
        </w:rPr>
        <w:t xml:space="preserve"> The judge also beat HS and the co-defendant until her parents could hear her screaming from outside the courtroom. They were forced to confess under duress that they had committed adultery and had engaged in four counts of anal and sexual intercourse. HS was sentenced to 10 years of imprisonment and 35 cane lashes which was later reduced on appeal after women lawyers intervened. </w:t>
      </w:r>
    </w:p>
    <w:p w:rsidR="00D84AFD" w:rsidRDefault="00D84AFD">
      <w:pPr>
        <w:widowControl w:val="0"/>
        <w:spacing w:line="276" w:lineRule="auto"/>
        <w:jc w:val="both"/>
        <w:rPr>
          <w:rFonts w:ascii="Arial" w:eastAsia="Arial" w:hAnsi="Arial" w:cs="Arial"/>
          <w:sz w:val="20"/>
          <w:szCs w:val="20"/>
          <w:highlight w:val="white"/>
        </w:rPr>
      </w:pPr>
    </w:p>
    <w:p w:rsidR="00D84AFD" w:rsidRDefault="00000000">
      <w:pPr>
        <w:numPr>
          <w:ilvl w:val="0"/>
          <w:numId w:val="8"/>
        </w:numPr>
        <w:spacing w:line="276" w:lineRule="auto"/>
        <w:rPr>
          <w:rFonts w:ascii="Arial" w:eastAsia="Arial" w:hAnsi="Arial" w:cs="Arial"/>
          <w:i/>
          <w:sz w:val="20"/>
          <w:szCs w:val="20"/>
          <w:highlight w:val="white"/>
        </w:rPr>
      </w:pPr>
      <w:r>
        <w:rPr>
          <w:rFonts w:ascii="Arial" w:eastAsia="Arial" w:hAnsi="Arial" w:cs="Arial"/>
          <w:i/>
          <w:sz w:val="20"/>
          <w:szCs w:val="20"/>
          <w:highlight w:val="white"/>
        </w:rPr>
        <w:lastRenderedPageBreak/>
        <w:t>Case of X</w:t>
      </w:r>
    </w:p>
    <w:p w:rsidR="00D84AFD" w:rsidRDefault="00D84AFD">
      <w:pPr>
        <w:spacing w:line="276" w:lineRule="auto"/>
        <w:rPr>
          <w:rFonts w:ascii="Arial" w:eastAsia="Arial" w:hAnsi="Arial" w:cs="Arial"/>
          <w:sz w:val="20"/>
          <w:szCs w:val="20"/>
          <w:highlight w:val="white"/>
        </w:rPr>
      </w:pPr>
    </w:p>
    <w:p w:rsidR="00D84AFD" w:rsidRDefault="00000000">
      <w:pPr>
        <w:spacing w:line="276" w:lineRule="auto"/>
        <w:jc w:val="both"/>
        <w:rPr>
          <w:rFonts w:ascii="Arial" w:eastAsia="Arial" w:hAnsi="Arial" w:cs="Arial"/>
          <w:sz w:val="20"/>
          <w:szCs w:val="20"/>
          <w:highlight w:val="white"/>
        </w:rPr>
      </w:pPr>
      <w:r>
        <w:rPr>
          <w:rFonts w:ascii="Arial" w:eastAsia="Arial" w:hAnsi="Arial" w:cs="Arial"/>
          <w:sz w:val="20"/>
          <w:szCs w:val="20"/>
          <w:highlight w:val="white"/>
        </w:rPr>
        <w:t>X submitted a petition to court on a family issue. As she was without a lawyer, she took her sister to accompany her to the court. During the proceeding, the judge attempted to take advantage of her: “the judge suggested that if I gave my sister to him, he would proceed with my case in my favour. My sister was very troubled when she heard these words and no longer wanted to accompany me. We were also afraid. I was left confused, not knowing what would happen, as there was no one to support me, and the judge’s behavior toward me became more rude.” This case is an example of how restrictions on women NGO activities, and the prohibition on women’s lawyers' right to represent women in court - severely affects access to justice for survivors of GBV.</w:t>
      </w:r>
    </w:p>
    <w:p w:rsidR="00D84AFD" w:rsidRDefault="00D84AFD">
      <w:pPr>
        <w:widowControl w:val="0"/>
        <w:pBdr>
          <w:top w:val="nil"/>
          <w:left w:val="nil"/>
          <w:bottom w:val="nil"/>
          <w:right w:val="nil"/>
          <w:between w:val="nil"/>
        </w:pBdr>
        <w:spacing w:line="276" w:lineRule="auto"/>
        <w:jc w:val="both"/>
        <w:rPr>
          <w:rFonts w:ascii="Arial" w:eastAsia="Arial" w:hAnsi="Arial" w:cs="Arial"/>
          <w:sz w:val="20"/>
          <w:szCs w:val="20"/>
          <w:highlight w:val="white"/>
        </w:rPr>
      </w:pPr>
    </w:p>
    <w:p w:rsidR="00D84AFD" w:rsidRDefault="00000000">
      <w:pPr>
        <w:widowControl w:val="0"/>
        <w:pBdr>
          <w:top w:val="nil"/>
          <w:left w:val="nil"/>
          <w:bottom w:val="nil"/>
          <w:right w:val="nil"/>
          <w:between w:val="nil"/>
        </w:pBdr>
        <w:spacing w:line="276" w:lineRule="auto"/>
        <w:jc w:val="both"/>
        <w:rPr>
          <w:rFonts w:ascii="Arial" w:eastAsia="Arial" w:hAnsi="Arial" w:cs="Arial"/>
          <w:b/>
          <w:sz w:val="20"/>
          <w:szCs w:val="20"/>
          <w:highlight w:val="white"/>
        </w:rPr>
      </w:pPr>
      <w:r>
        <w:rPr>
          <w:rFonts w:ascii="Arial" w:eastAsia="Arial" w:hAnsi="Arial" w:cs="Arial"/>
          <w:b/>
          <w:sz w:val="20"/>
          <w:szCs w:val="20"/>
          <w:highlight w:val="white"/>
        </w:rPr>
        <w:t>At the same time, there are successful cases where the representation of women’s lawyers ensured justice. These cases highlight the pivotal role of women legal professionals in navigating complex legal, cultural, and religious frameworks to achieve positive outcomes.</w:t>
      </w:r>
    </w:p>
    <w:p w:rsidR="00D84AFD" w:rsidRDefault="00D84AFD">
      <w:pPr>
        <w:widowControl w:val="0"/>
        <w:pBdr>
          <w:top w:val="nil"/>
          <w:left w:val="nil"/>
          <w:bottom w:val="nil"/>
          <w:right w:val="nil"/>
          <w:between w:val="nil"/>
        </w:pBdr>
        <w:spacing w:line="276" w:lineRule="auto"/>
        <w:jc w:val="both"/>
        <w:rPr>
          <w:rFonts w:ascii="Arial" w:eastAsia="Arial" w:hAnsi="Arial" w:cs="Arial"/>
          <w:sz w:val="20"/>
          <w:szCs w:val="20"/>
          <w:highlight w:val="white"/>
        </w:rPr>
      </w:pPr>
    </w:p>
    <w:p w:rsidR="00D84AFD" w:rsidRDefault="00000000">
      <w:pPr>
        <w:widowControl w:val="0"/>
        <w:pBdr>
          <w:top w:val="none" w:sz="0" w:space="0" w:color="E5E7EB"/>
          <w:left w:val="none" w:sz="0" w:space="0" w:color="E5E7EB"/>
          <w:bottom w:val="none" w:sz="0" w:space="0" w:color="E5E7EB"/>
          <w:right w:val="none" w:sz="0" w:space="0" w:color="E5E7EB"/>
          <w:between w:val="none" w:sz="0" w:space="0" w:color="E5E7EB"/>
        </w:pBdr>
        <w:spacing w:before="120" w:after="120" w:line="276" w:lineRule="auto"/>
        <w:jc w:val="both"/>
        <w:rPr>
          <w:rFonts w:ascii="Arial" w:eastAsia="Arial" w:hAnsi="Arial" w:cs="Arial"/>
          <w:sz w:val="20"/>
          <w:szCs w:val="20"/>
          <w:highlight w:val="white"/>
        </w:rPr>
      </w:pPr>
      <w:r>
        <w:rPr>
          <w:rFonts w:ascii="Arial" w:eastAsia="Arial" w:hAnsi="Arial" w:cs="Arial"/>
          <w:sz w:val="20"/>
          <w:szCs w:val="20"/>
          <w:highlight w:val="white"/>
        </w:rPr>
        <w:t xml:space="preserve">There was a case of a client who suffered 17 years of severe physical, psychological, and economic abuse by her husband, including forced eviction, denial of medical care, and threats. The lawyer used gender-equitable arguments in Islamic Sharia and Hanafi jurisprudence, referencing key legal principles such as the prohibition of harm in Islam and the evidentiary value of witness testimony in proving harm for the purposes of a separation. The court, after hearing witness testimonies and legal arguments, granted the client an absentee divorce on grounds of harm. The case demonstrated how a woman lawyer’s expertise in both civil and religious law, coupled with psychosocial support, enabled a survivor to access justice in a hostile environment. </w:t>
      </w:r>
    </w:p>
    <w:p w:rsidR="00D84AFD" w:rsidRDefault="00000000">
      <w:pPr>
        <w:widowControl w:val="0"/>
        <w:pBdr>
          <w:top w:val="none" w:sz="0" w:space="0" w:color="E5E7EB"/>
          <w:left w:val="none" w:sz="0" w:space="0" w:color="E5E7EB"/>
          <w:bottom w:val="none" w:sz="0" w:space="0" w:color="E5E7EB"/>
          <w:right w:val="none" w:sz="0" w:space="0" w:color="E5E7EB"/>
          <w:between w:val="none" w:sz="0" w:space="0" w:color="E5E7EB"/>
        </w:pBdr>
        <w:spacing w:line="276" w:lineRule="auto"/>
        <w:jc w:val="both"/>
        <w:rPr>
          <w:rFonts w:ascii="Arial" w:eastAsia="Arial" w:hAnsi="Arial" w:cs="Arial"/>
          <w:sz w:val="20"/>
          <w:szCs w:val="20"/>
          <w:highlight w:val="white"/>
        </w:rPr>
      </w:pPr>
      <w:r>
        <w:rPr>
          <w:rFonts w:ascii="Arial" w:eastAsia="Arial" w:hAnsi="Arial" w:cs="Arial"/>
          <w:sz w:val="20"/>
          <w:szCs w:val="20"/>
          <w:highlight w:val="white"/>
        </w:rPr>
        <w:t xml:space="preserve">In another case, there was a client who endured years of abuse, abduction, and sexual exploitation by her husband and father-in-law. She was expelled from her home, denied financial support, and separated from her children. After repeated rejections of her claim by the court, women lawyers revised her petition, referred the client to psychosocial counseling, and represented her in court and mediation. The legal team cited Qur’anic and hadith sources on the rights of women and the responsibilities of husbands, which persuaded the court to accept her claim. Through facilitated mediation, a mutual divorce agreement was reached and registered with the court. The client also secured her dowry, alimony during the waiting period, and partial child custody. The court also ordered monthly child support payments. The intervention of women lawyers and mediators was critical in overcoming judicial bias and ensuring clients’ legal and financial rights were secured. </w:t>
      </w:r>
    </w:p>
    <w:p w:rsidR="00D84AFD" w:rsidRDefault="00000000">
      <w:pPr>
        <w:widowControl w:val="0"/>
        <w:pBdr>
          <w:top w:val="none" w:sz="0" w:space="0" w:color="E5E7EB"/>
          <w:left w:val="none" w:sz="0" w:space="0" w:color="E5E7EB"/>
          <w:bottom w:val="none" w:sz="0" w:space="0" w:color="E5E7EB"/>
          <w:right w:val="none" w:sz="0" w:space="0" w:color="E5E7EB"/>
          <w:between w:val="none" w:sz="0" w:space="0" w:color="E5E7EB"/>
        </w:pBdr>
        <w:spacing w:before="120" w:after="120" w:line="276" w:lineRule="auto"/>
        <w:jc w:val="both"/>
        <w:rPr>
          <w:rFonts w:ascii="Arial" w:eastAsia="Arial" w:hAnsi="Arial" w:cs="Arial"/>
          <w:sz w:val="20"/>
          <w:szCs w:val="20"/>
        </w:rPr>
      </w:pPr>
      <w:r>
        <w:rPr>
          <w:rFonts w:ascii="Arial" w:eastAsia="Arial" w:hAnsi="Arial" w:cs="Arial"/>
          <w:sz w:val="20"/>
          <w:szCs w:val="20"/>
          <w:highlight w:val="white"/>
        </w:rPr>
        <w:t xml:space="preserve">Women lawyers are essential in navigating both legal and religious frameworks to secure justice for survivors of domestic violence and forced marriage. </w:t>
      </w:r>
    </w:p>
    <w:p w:rsidR="00D84AFD" w:rsidRDefault="00D84AFD">
      <w:pPr>
        <w:spacing w:line="276" w:lineRule="auto"/>
        <w:jc w:val="both"/>
        <w:rPr>
          <w:rFonts w:ascii="Arial" w:eastAsia="Arial" w:hAnsi="Arial" w:cs="Arial"/>
          <w:sz w:val="20"/>
          <w:szCs w:val="20"/>
        </w:rPr>
      </w:pPr>
    </w:p>
    <w:tbl>
      <w:tblPr>
        <w:tblStyle w:val="ac"/>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D84AFD">
        <w:trPr>
          <w:trHeight w:val="803"/>
        </w:trPr>
        <w:tc>
          <w:tcPr>
            <w:tcW w:w="8903" w:type="dxa"/>
            <w:shd w:val="clear" w:color="auto" w:fill="D9D9D9"/>
            <w:tcMar>
              <w:top w:w="100" w:type="dxa"/>
              <w:left w:w="100" w:type="dxa"/>
              <w:bottom w:w="100" w:type="dxa"/>
              <w:right w:w="100" w:type="dxa"/>
            </w:tcMar>
          </w:tcPr>
          <w:p w:rsidR="00D84AFD" w:rsidRDefault="00000000">
            <w:pPr>
              <w:widowControl w:val="0"/>
              <w:spacing w:before="120" w:after="240" w:line="276" w:lineRule="auto"/>
              <w:jc w:val="both"/>
              <w:rPr>
                <w:rFonts w:ascii="Arial" w:eastAsia="Arial" w:hAnsi="Arial" w:cs="Arial"/>
                <w:b/>
                <w:sz w:val="20"/>
                <w:szCs w:val="20"/>
                <w:u w:val="single"/>
              </w:rPr>
            </w:pPr>
            <w:r>
              <w:rPr>
                <w:rFonts w:ascii="Arial" w:eastAsia="Arial" w:hAnsi="Arial" w:cs="Arial"/>
                <w:b/>
                <w:sz w:val="20"/>
                <w:szCs w:val="20"/>
                <w:u w:val="single"/>
              </w:rPr>
              <w:t>RECOMMENDATIONS</w:t>
            </w:r>
          </w:p>
          <w:p w:rsidR="00D84AFD" w:rsidRDefault="00000000">
            <w:pPr>
              <w:numPr>
                <w:ilvl w:val="0"/>
                <w:numId w:val="10"/>
              </w:numPr>
              <w:spacing w:line="276" w:lineRule="auto"/>
              <w:jc w:val="both"/>
              <w:rPr>
                <w:rFonts w:ascii="Arial" w:eastAsia="Arial" w:hAnsi="Arial" w:cs="Arial"/>
                <w:b/>
                <w:sz w:val="20"/>
                <w:szCs w:val="20"/>
              </w:rPr>
            </w:pPr>
            <w:r>
              <w:rPr>
                <w:rFonts w:ascii="Arial" w:eastAsia="Arial" w:hAnsi="Arial" w:cs="Arial"/>
                <w:b/>
                <w:sz w:val="20"/>
                <w:szCs w:val="20"/>
              </w:rPr>
              <w:t>We recommend that the CEDAW Committee urge the State party to:</w:t>
            </w:r>
          </w:p>
          <w:p w:rsidR="00D84AFD" w:rsidRDefault="00D84AFD">
            <w:pPr>
              <w:pBdr>
                <w:top w:val="nil"/>
                <w:left w:val="nil"/>
                <w:bottom w:val="nil"/>
                <w:right w:val="nil"/>
                <w:between w:val="nil"/>
              </w:pBdr>
              <w:spacing w:line="276" w:lineRule="auto"/>
              <w:ind w:left="720"/>
              <w:jc w:val="both"/>
              <w:rPr>
                <w:rFonts w:ascii="Arial" w:eastAsia="Arial" w:hAnsi="Arial" w:cs="Arial"/>
                <w:color w:val="000000"/>
                <w:sz w:val="20"/>
                <w:szCs w:val="20"/>
              </w:rPr>
            </w:pPr>
          </w:p>
          <w:p w:rsidR="00D84AFD" w:rsidRDefault="00000000">
            <w:pPr>
              <w:numPr>
                <w:ilvl w:val="0"/>
                <w:numId w:val="6"/>
              </w:numPr>
              <w:spacing w:line="276" w:lineRule="auto"/>
              <w:jc w:val="both"/>
              <w:rPr>
                <w:rFonts w:ascii="Arial" w:eastAsia="Arial" w:hAnsi="Arial" w:cs="Arial"/>
                <w:sz w:val="20"/>
                <w:szCs w:val="20"/>
              </w:rPr>
            </w:pPr>
            <w:r>
              <w:rPr>
                <w:rFonts w:ascii="Arial" w:eastAsia="Arial" w:hAnsi="Arial" w:cs="Arial"/>
                <w:sz w:val="20"/>
                <w:szCs w:val="20"/>
              </w:rPr>
              <w:t>Align Afghanistan’s national laws and practice with the CEDAW Convention and UN’s Basic Principles on the role of lawyers, specifically Principles 1, 2, 10, 13, 16 and 19 as they relate to ‘access to lawyers and legal services’, ‘qualifications and training’ and ‘duties and responsibilities’ of lawyers, and ‘guarantees for the functioning of lawyers.</w:t>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6"/>
              </w:numPr>
              <w:spacing w:line="276" w:lineRule="auto"/>
              <w:jc w:val="both"/>
              <w:rPr>
                <w:rFonts w:ascii="Arial" w:eastAsia="Arial" w:hAnsi="Arial" w:cs="Arial"/>
                <w:sz w:val="20"/>
                <w:szCs w:val="20"/>
              </w:rPr>
            </w:pPr>
            <w:r>
              <w:rPr>
                <w:rFonts w:ascii="Arial" w:eastAsia="Arial" w:hAnsi="Arial" w:cs="Arial"/>
                <w:sz w:val="20"/>
                <w:szCs w:val="20"/>
              </w:rPr>
              <w:t xml:space="preserve">Allow women to study and sit for the bar examinations, qualify as lawyers, obtain and renew their </w:t>
            </w:r>
            <w:r w:rsidR="00CD25F9">
              <w:rPr>
                <w:rFonts w:ascii="Arial" w:eastAsia="Arial" w:hAnsi="Arial" w:cs="Arial"/>
                <w:sz w:val="20"/>
                <w:szCs w:val="20"/>
              </w:rPr>
              <w:t>licenses</w:t>
            </w:r>
            <w:r>
              <w:rPr>
                <w:rFonts w:ascii="Arial" w:eastAsia="Arial" w:hAnsi="Arial" w:cs="Arial"/>
                <w:sz w:val="20"/>
                <w:szCs w:val="20"/>
              </w:rPr>
              <w:t>, and represent cases without undue interference, in accordance with Basic Principle 10.</w:t>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6"/>
              </w:numPr>
              <w:spacing w:line="276" w:lineRule="auto"/>
              <w:jc w:val="both"/>
              <w:rPr>
                <w:rFonts w:ascii="Arial" w:eastAsia="Arial" w:hAnsi="Arial" w:cs="Arial"/>
                <w:sz w:val="20"/>
                <w:szCs w:val="20"/>
              </w:rPr>
            </w:pPr>
            <w:r>
              <w:rPr>
                <w:rFonts w:ascii="Arial" w:eastAsia="Arial" w:hAnsi="Arial" w:cs="Arial"/>
                <w:sz w:val="20"/>
                <w:szCs w:val="20"/>
              </w:rPr>
              <w:lastRenderedPageBreak/>
              <w:t>Safeguard the protection needs and well-being of women lawyers so that they can perform their work independently, without intimidation or retaliation. This also aligns with Basic Principle 17 which requires that authorities safeguard the security of lawyers.</w:t>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6"/>
              </w:numPr>
              <w:spacing w:line="276" w:lineRule="auto"/>
              <w:jc w:val="both"/>
              <w:rPr>
                <w:rFonts w:ascii="Arial" w:eastAsia="Arial" w:hAnsi="Arial" w:cs="Arial"/>
                <w:sz w:val="20"/>
                <w:szCs w:val="20"/>
              </w:rPr>
            </w:pPr>
            <w:r>
              <w:rPr>
                <w:rFonts w:ascii="Arial" w:eastAsia="Arial" w:hAnsi="Arial" w:cs="Arial"/>
                <w:sz w:val="20"/>
                <w:szCs w:val="20"/>
              </w:rPr>
              <w:t>Address the shortage of qualified women lawyers in Afghanistan, support women’s legal education especially their opportunity to develop practical and advanced legal and mediation skills. This is also codified in international law as Basic Principle 9 requires governments to ‘ensure that lawyers have appropriate education and training’.</w:t>
            </w:r>
          </w:p>
          <w:p w:rsidR="00D84AFD" w:rsidRDefault="00D84AFD">
            <w:pPr>
              <w:spacing w:line="276" w:lineRule="auto"/>
              <w:jc w:val="both"/>
              <w:rPr>
                <w:rFonts w:ascii="Arial" w:eastAsia="Arial" w:hAnsi="Arial" w:cs="Arial"/>
                <w:sz w:val="20"/>
                <w:szCs w:val="20"/>
              </w:rPr>
            </w:pPr>
          </w:p>
          <w:p w:rsidR="00D84AFD" w:rsidRDefault="00000000">
            <w:pPr>
              <w:numPr>
                <w:ilvl w:val="0"/>
                <w:numId w:val="4"/>
              </w:numPr>
              <w:spacing w:after="160" w:line="301" w:lineRule="auto"/>
              <w:jc w:val="both"/>
              <w:rPr>
                <w:rFonts w:ascii="Arial" w:eastAsia="Arial" w:hAnsi="Arial" w:cs="Arial"/>
                <w:sz w:val="20"/>
                <w:szCs w:val="20"/>
              </w:rPr>
            </w:pPr>
            <w:r>
              <w:rPr>
                <w:rFonts w:ascii="Arial" w:eastAsia="Arial" w:hAnsi="Arial" w:cs="Arial"/>
                <w:sz w:val="20"/>
                <w:szCs w:val="20"/>
              </w:rPr>
              <w:t>Support community-centered approaches to justice through family mediation, peer support groups, psychosocial services and social services. These services are conducted through a low-profile approach. This is important given the sensitive nature of the disputes often involving interpersonal conflicts, family violence and misunderstandings between family/community members.</w:t>
            </w:r>
          </w:p>
          <w:p w:rsidR="00D84AFD" w:rsidRDefault="00D84AFD">
            <w:pPr>
              <w:spacing w:after="160" w:line="301" w:lineRule="auto"/>
              <w:ind w:left="720"/>
              <w:jc w:val="both"/>
              <w:rPr>
                <w:rFonts w:ascii="Arial" w:eastAsia="Arial" w:hAnsi="Arial" w:cs="Arial"/>
                <w:sz w:val="20"/>
                <w:szCs w:val="20"/>
              </w:rPr>
            </w:pPr>
          </w:p>
          <w:p w:rsidR="00D84AFD" w:rsidRDefault="00000000">
            <w:pPr>
              <w:numPr>
                <w:ilvl w:val="0"/>
                <w:numId w:val="10"/>
              </w:numPr>
              <w:spacing w:line="276" w:lineRule="auto"/>
              <w:jc w:val="both"/>
              <w:rPr>
                <w:rFonts w:ascii="Arial" w:eastAsia="Arial" w:hAnsi="Arial" w:cs="Arial"/>
                <w:b/>
                <w:sz w:val="20"/>
                <w:szCs w:val="20"/>
              </w:rPr>
            </w:pPr>
            <w:r>
              <w:rPr>
                <w:rFonts w:ascii="Arial" w:eastAsia="Arial" w:hAnsi="Arial" w:cs="Arial"/>
                <w:b/>
                <w:sz w:val="20"/>
                <w:szCs w:val="20"/>
              </w:rPr>
              <w:t>We recommend that the CEDAW Committee urge member states to:</w:t>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2"/>
              </w:numPr>
              <w:spacing w:line="276" w:lineRule="auto"/>
              <w:jc w:val="both"/>
              <w:rPr>
                <w:rFonts w:ascii="Arial" w:eastAsia="Arial" w:hAnsi="Arial" w:cs="Arial"/>
                <w:sz w:val="20"/>
                <w:szCs w:val="20"/>
              </w:rPr>
            </w:pPr>
            <w:r>
              <w:rPr>
                <w:rFonts w:ascii="Arial" w:eastAsia="Arial" w:hAnsi="Arial" w:cs="Arial"/>
                <w:sz w:val="20"/>
                <w:szCs w:val="20"/>
              </w:rPr>
              <w:t>Support the real needs of women survivors of violence in Afghanistan. Access to public services such as healthcare, education and dispute resolution is in itself a means to social justice, which is recognized and protected under CEDAW. To this end, Member States should continue to support and preserve civil society spaces to meet these needs.</w:t>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2"/>
              </w:numPr>
              <w:spacing w:line="276" w:lineRule="auto"/>
              <w:jc w:val="both"/>
              <w:rPr>
                <w:rFonts w:ascii="Arial" w:eastAsia="Arial" w:hAnsi="Arial" w:cs="Arial"/>
                <w:sz w:val="20"/>
                <w:szCs w:val="20"/>
              </w:rPr>
            </w:pPr>
            <w:r>
              <w:rPr>
                <w:rFonts w:ascii="Arial" w:eastAsia="Arial" w:hAnsi="Arial" w:cs="Arial"/>
                <w:sz w:val="20"/>
                <w:szCs w:val="20"/>
              </w:rPr>
              <w:t>Support the Afghan diaspora to build their own organizations and initiatives from wherever they are located as they will give back to Afghanistan by establishing enterprises and non-profits, educating children, promoting a culture of peace and human rights, and overall participating in the sustainable development of Afghanistan.</w:t>
            </w:r>
          </w:p>
          <w:p w:rsidR="00D84AFD" w:rsidRDefault="00D84AFD">
            <w:pPr>
              <w:spacing w:line="276" w:lineRule="auto"/>
              <w:ind w:left="720"/>
              <w:jc w:val="both"/>
              <w:rPr>
                <w:rFonts w:ascii="Arial" w:eastAsia="Arial" w:hAnsi="Arial" w:cs="Arial"/>
                <w:sz w:val="20"/>
                <w:szCs w:val="20"/>
              </w:rPr>
            </w:pPr>
          </w:p>
          <w:p w:rsidR="00D84AFD" w:rsidRDefault="00000000">
            <w:pPr>
              <w:numPr>
                <w:ilvl w:val="0"/>
                <w:numId w:val="2"/>
              </w:numPr>
              <w:spacing w:line="276" w:lineRule="auto"/>
              <w:jc w:val="both"/>
              <w:rPr>
                <w:rFonts w:ascii="Arial" w:eastAsia="Arial" w:hAnsi="Arial" w:cs="Arial"/>
                <w:sz w:val="20"/>
                <w:szCs w:val="20"/>
              </w:rPr>
            </w:pPr>
            <w:r>
              <w:rPr>
                <w:rFonts w:ascii="Arial" w:eastAsia="Arial" w:hAnsi="Arial" w:cs="Arial"/>
                <w:sz w:val="20"/>
                <w:szCs w:val="20"/>
              </w:rPr>
              <w:t>Strengthen access to NGOs and INGOs to mobilize resources for empowering women and providing holistic support to GBV survivors in areas of health, food, employment, financial aid, and safety.</w:t>
            </w:r>
          </w:p>
          <w:p w:rsidR="00D84AFD" w:rsidRDefault="00D84AFD">
            <w:pPr>
              <w:spacing w:line="276" w:lineRule="auto"/>
              <w:ind w:left="720"/>
              <w:jc w:val="both"/>
              <w:rPr>
                <w:rFonts w:ascii="Arial" w:eastAsia="Arial" w:hAnsi="Arial" w:cs="Arial"/>
                <w:b/>
                <w:sz w:val="20"/>
                <w:szCs w:val="20"/>
              </w:rPr>
            </w:pPr>
          </w:p>
        </w:tc>
      </w:tr>
    </w:tbl>
    <w:p w:rsidR="00D84AFD" w:rsidRDefault="00D84AFD">
      <w:pPr>
        <w:spacing w:line="276" w:lineRule="auto"/>
        <w:rPr>
          <w:rFonts w:ascii="Arial" w:eastAsia="Arial" w:hAnsi="Arial" w:cs="Arial"/>
        </w:rPr>
      </w:pPr>
    </w:p>
    <w:p w:rsidR="00D84AFD" w:rsidRDefault="00D84AFD">
      <w:pPr>
        <w:spacing w:line="276" w:lineRule="auto"/>
        <w:rPr>
          <w:rFonts w:ascii="Arial" w:eastAsia="Arial" w:hAnsi="Arial" w:cs="Arial"/>
        </w:rPr>
      </w:pPr>
    </w:p>
    <w:p w:rsidR="00D84AFD" w:rsidRDefault="00000000">
      <w:pPr>
        <w:pStyle w:val="Heading2"/>
        <w:numPr>
          <w:ilvl w:val="0"/>
          <w:numId w:val="5"/>
        </w:numPr>
        <w:spacing w:line="276" w:lineRule="auto"/>
        <w:ind w:left="540" w:hanging="540"/>
        <w:rPr>
          <w:rFonts w:ascii="Arial" w:hAnsi="Arial" w:cs="Arial"/>
        </w:rPr>
      </w:pPr>
      <w:bookmarkStart w:id="7" w:name="_Toc198565721"/>
      <w:r>
        <w:rPr>
          <w:rFonts w:ascii="Arial" w:hAnsi="Arial" w:cs="Arial"/>
        </w:rPr>
        <w:t>Education</w:t>
      </w:r>
      <w:bookmarkEnd w:id="7"/>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84AFD" w:rsidRDefault="00D84AFD">
      <w:pPr>
        <w:spacing w:after="200" w:line="276" w:lineRule="auto"/>
        <w:jc w:val="both"/>
        <w:rPr>
          <w:rFonts w:ascii="Arial" w:eastAsia="Arial" w:hAnsi="Arial" w:cs="Arial"/>
          <w:sz w:val="20"/>
          <w:szCs w:val="20"/>
        </w:rPr>
      </w:pPr>
    </w:p>
    <w:p w:rsidR="00D84AFD" w:rsidRDefault="00000000">
      <w:pPr>
        <w:spacing w:after="200" w:line="276" w:lineRule="auto"/>
        <w:jc w:val="both"/>
        <w:rPr>
          <w:rFonts w:ascii="Arial" w:eastAsia="Arial" w:hAnsi="Arial" w:cs="Arial"/>
          <w:sz w:val="20"/>
          <w:szCs w:val="20"/>
          <w:vertAlign w:val="superscript"/>
        </w:rPr>
      </w:pPr>
      <w:r>
        <w:rPr>
          <w:rFonts w:ascii="Arial" w:eastAsia="Arial" w:hAnsi="Arial" w:cs="Arial"/>
          <w:sz w:val="20"/>
          <w:szCs w:val="20"/>
        </w:rPr>
        <w:t>As of 2023, nearly 30% girls in Afghanistan have not entered primary education due to prevailing sociocultural norms and access issues.</w:t>
      </w:r>
      <w:r>
        <w:rPr>
          <w:rFonts w:ascii="Arial" w:eastAsia="Arial" w:hAnsi="Arial" w:cs="Arial"/>
          <w:sz w:val="20"/>
          <w:szCs w:val="20"/>
          <w:vertAlign w:val="superscript"/>
        </w:rPr>
        <w:footnoteReference w:id="21"/>
      </w:r>
      <w:r>
        <w:rPr>
          <w:rFonts w:ascii="Arial" w:eastAsia="Arial" w:hAnsi="Arial" w:cs="Arial"/>
          <w:sz w:val="20"/>
          <w:szCs w:val="20"/>
          <w:vertAlign w:val="superscript"/>
        </w:rPr>
        <w:t xml:space="preserve"> </w:t>
      </w:r>
      <w:r>
        <w:rPr>
          <w:rFonts w:ascii="Arial" w:eastAsia="Arial" w:hAnsi="Arial" w:cs="Arial"/>
          <w:sz w:val="20"/>
          <w:szCs w:val="20"/>
        </w:rPr>
        <w:t xml:space="preserve">As of March 2023, merely 3% of girls at the national level were attending secondary schools, a stark decline from attendance rates before the Taliban takeover. None of the 84,234 high school graduates who conducted the university entrance exams in 2023 were </w:t>
      </w:r>
      <w:r>
        <w:rPr>
          <w:rFonts w:ascii="Arial" w:eastAsia="Arial" w:hAnsi="Arial" w:cs="Arial"/>
          <w:sz w:val="20"/>
          <w:szCs w:val="20"/>
        </w:rPr>
        <w:lastRenderedPageBreak/>
        <w:t>women or girls.</w:t>
      </w:r>
      <w:r>
        <w:rPr>
          <w:rFonts w:ascii="Arial" w:eastAsia="Arial" w:hAnsi="Arial" w:cs="Arial"/>
          <w:sz w:val="20"/>
          <w:szCs w:val="20"/>
          <w:vertAlign w:val="superscript"/>
        </w:rPr>
        <w:footnoteReference w:id="22"/>
      </w:r>
      <w:r>
        <w:rPr>
          <w:rFonts w:ascii="Arial" w:eastAsia="Arial" w:hAnsi="Arial" w:cs="Arial"/>
          <w:sz w:val="20"/>
          <w:szCs w:val="20"/>
          <w:vertAlign w:val="superscript"/>
        </w:rPr>
        <w:t xml:space="preserve"> </w:t>
      </w:r>
      <w:r>
        <w:rPr>
          <w:rFonts w:ascii="Arial" w:eastAsia="Arial" w:hAnsi="Arial" w:cs="Arial"/>
          <w:sz w:val="20"/>
          <w:szCs w:val="20"/>
        </w:rPr>
        <w:t>About 1.4 million girls have been banned from accessing any education beyond the age of 12 since the Taliban returned to power in Afghanistan in 2021.</w:t>
      </w:r>
      <w:r>
        <w:rPr>
          <w:rFonts w:ascii="Arial" w:eastAsia="Arial" w:hAnsi="Arial" w:cs="Arial"/>
          <w:sz w:val="20"/>
          <w:szCs w:val="20"/>
          <w:vertAlign w:val="superscript"/>
        </w:rPr>
        <w:footnoteReference w:id="23"/>
      </w:r>
      <w:r>
        <w:rPr>
          <w:rFonts w:ascii="Arial" w:eastAsia="Arial" w:hAnsi="Arial" w:cs="Arial"/>
          <w:sz w:val="20"/>
          <w:szCs w:val="20"/>
          <w:vertAlign w:val="superscript"/>
        </w:rPr>
        <w:t xml:space="preserve"> </w:t>
      </w:r>
    </w:p>
    <w:p w:rsidR="00D84AFD" w:rsidRDefault="00000000">
      <w:pPr>
        <w:spacing w:after="200" w:line="276" w:lineRule="auto"/>
        <w:jc w:val="both"/>
        <w:rPr>
          <w:rFonts w:ascii="Arial" w:eastAsia="Arial" w:hAnsi="Arial" w:cs="Arial"/>
          <w:sz w:val="20"/>
          <w:szCs w:val="20"/>
        </w:rPr>
      </w:pPr>
      <w:r>
        <w:rPr>
          <w:rFonts w:ascii="Arial" w:eastAsia="Arial" w:hAnsi="Arial" w:cs="Arial"/>
          <w:sz w:val="20"/>
          <w:szCs w:val="20"/>
        </w:rPr>
        <w:t>After the Taliban decided in March 2022 to prohibit girls from attending school past the sixth grade (ages 11-12), and then extended this ban to higher education for women in December 2022, about 80% of school-aged girls and young women in Afghanistan now lack access to education. Afghanistan stands as the sole country globally to enforce such a ban on girls' education.</w:t>
      </w:r>
      <w:r>
        <w:rPr>
          <w:rFonts w:ascii="Arial" w:eastAsia="Arial" w:hAnsi="Arial" w:cs="Arial"/>
          <w:sz w:val="20"/>
          <w:szCs w:val="20"/>
          <w:vertAlign w:val="superscript"/>
        </w:rPr>
        <w:footnoteReference w:id="24"/>
      </w:r>
    </w:p>
    <w:p w:rsidR="00D84AFD" w:rsidRDefault="00000000">
      <w:pPr>
        <w:spacing w:after="200" w:line="276" w:lineRule="auto"/>
        <w:jc w:val="both"/>
        <w:rPr>
          <w:rFonts w:ascii="Arial" w:eastAsia="Arial" w:hAnsi="Arial" w:cs="Arial"/>
          <w:sz w:val="20"/>
          <w:szCs w:val="20"/>
        </w:rPr>
      </w:pPr>
      <w:r>
        <w:rPr>
          <w:rFonts w:ascii="Arial" w:eastAsia="Arial" w:hAnsi="Arial" w:cs="Arial"/>
          <w:sz w:val="20"/>
          <w:szCs w:val="20"/>
        </w:rPr>
        <w:t>There has been a surge in early and forced marriages fueled by the Taliban’s decrees (including the restrictions on the education of girls and women), putting young girls at greater risk of bodily and psychological harm. Due to restrictions on education and most forms of employment, women are increasingly dependent on their husbands economically; this increases the likelihood that a woman who is facing domestic violence will be compelled to remain in an abusive marriage without any means of support.</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Concurrently, the ban on university education has impacted more than 100,000 women and girls enrolled in both public and private institutions.</w:t>
      </w:r>
      <w:r>
        <w:rPr>
          <w:rFonts w:ascii="Arial" w:eastAsia="Arial" w:hAnsi="Arial" w:cs="Arial"/>
          <w:sz w:val="20"/>
          <w:szCs w:val="20"/>
          <w:vertAlign w:val="superscript"/>
        </w:rPr>
        <w:footnoteReference w:id="25"/>
      </w:r>
      <w:r>
        <w:rPr>
          <w:rFonts w:ascii="Arial" w:eastAsia="Arial" w:hAnsi="Arial" w:cs="Arial"/>
          <w:sz w:val="20"/>
          <w:szCs w:val="20"/>
        </w:rPr>
        <w:t xml:space="preserve"> These bans not only infringe on the rights and livelihoods of female humanitarian workers but also create significant obstacles in providing support to women, girls, and marginalized populations. For instance, the shortage of trained female professionals and lack of specialized knowledge and skills among legal professionals significantly affects the quality and availability of services to GBV survivors. Additionally, the fall of the </w:t>
      </w:r>
      <w:r w:rsidR="00CD25F9">
        <w:rPr>
          <w:rFonts w:ascii="Arial" w:eastAsia="Arial" w:hAnsi="Arial" w:cs="Arial"/>
          <w:sz w:val="20"/>
          <w:szCs w:val="20"/>
        </w:rPr>
        <w:t>former government</w:t>
      </w:r>
      <w:r>
        <w:rPr>
          <w:rFonts w:ascii="Arial" w:eastAsia="Arial" w:hAnsi="Arial" w:cs="Arial"/>
          <w:sz w:val="20"/>
          <w:szCs w:val="20"/>
        </w:rPr>
        <w:t xml:space="preserve"> in Afghanistan has led to a severe brain drain among qualified women lawyers and technical professionals, prompting outward migration that persists to this day. This exodus of skilled professionals has created a significant void in the expertise vital for the country's stability and development. The needs of GBV survivors to access essential legal services remain unmet due </w:t>
      </w:r>
      <w:r>
        <w:rPr>
          <w:rFonts w:ascii="Arial" w:eastAsia="Arial" w:hAnsi="Arial" w:cs="Arial"/>
          <w:i/>
          <w:sz w:val="20"/>
          <w:szCs w:val="20"/>
        </w:rPr>
        <w:t>inter alia</w:t>
      </w:r>
      <w:r>
        <w:rPr>
          <w:rFonts w:ascii="Arial" w:eastAsia="Arial" w:hAnsi="Arial" w:cs="Arial"/>
          <w:sz w:val="20"/>
          <w:szCs w:val="20"/>
        </w:rPr>
        <w:t xml:space="preserve"> to the lack of skilled legal professionals, leading to a serious service gap. </w:t>
      </w:r>
    </w:p>
    <w:p w:rsidR="00D84AFD" w:rsidRDefault="00D84AFD">
      <w:pPr>
        <w:pBdr>
          <w:top w:val="nil"/>
          <w:left w:val="nil"/>
          <w:bottom w:val="nil"/>
          <w:right w:val="nil"/>
          <w:between w:val="nil"/>
        </w:pBdr>
        <w:spacing w:line="276" w:lineRule="auto"/>
        <w:jc w:val="both"/>
        <w:rPr>
          <w:rFonts w:ascii="Arial" w:eastAsia="Arial" w:hAnsi="Arial" w:cs="Arial"/>
          <w:sz w:val="20"/>
          <w:szCs w:val="20"/>
        </w:rPr>
      </w:pPr>
    </w:p>
    <w:p w:rsidR="00D84AFD" w:rsidRDefault="00000000">
      <w:pPr>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 xml:space="preserve">The Taliban have given several reasons for the restrictions imposed on the education of women and girls. Firstly, the Taliban have claimed that the ban on girls’ education is justified as it will </w:t>
      </w:r>
      <w:r w:rsidR="00CD25F9">
        <w:rPr>
          <w:rFonts w:ascii="Arial" w:eastAsia="Arial" w:hAnsi="Arial" w:cs="Arial"/>
          <w:sz w:val="20"/>
          <w:szCs w:val="20"/>
        </w:rPr>
        <w:t>prevent intermingling</w:t>
      </w:r>
      <w:r>
        <w:rPr>
          <w:rFonts w:ascii="Arial" w:eastAsia="Arial" w:hAnsi="Arial" w:cs="Arial"/>
          <w:sz w:val="20"/>
          <w:szCs w:val="20"/>
        </w:rPr>
        <w:t xml:space="preserve"> of opposite genders. They also believe that certain subjects taught in school violate the principles of Islam.</w:t>
      </w:r>
    </w:p>
    <w:p w:rsidR="00D84AFD" w:rsidRDefault="00D84AFD">
      <w:pPr>
        <w:pBdr>
          <w:top w:val="nil"/>
          <w:left w:val="nil"/>
          <w:bottom w:val="nil"/>
          <w:right w:val="nil"/>
          <w:between w:val="nil"/>
        </w:pBdr>
        <w:spacing w:line="276" w:lineRule="auto"/>
        <w:jc w:val="both"/>
        <w:rPr>
          <w:rFonts w:ascii="Arial" w:eastAsia="Arial" w:hAnsi="Arial" w:cs="Arial"/>
          <w:sz w:val="20"/>
          <w:szCs w:val="20"/>
        </w:rPr>
      </w:pPr>
    </w:p>
    <w:p w:rsidR="00D84AFD" w:rsidRDefault="00000000">
      <w:pPr>
        <w:shd w:val="clear" w:color="auto" w:fill="FFFFFF"/>
        <w:spacing w:after="360" w:line="276" w:lineRule="auto"/>
        <w:jc w:val="both"/>
        <w:rPr>
          <w:rFonts w:ascii="Arial" w:eastAsia="Arial" w:hAnsi="Arial" w:cs="Arial"/>
          <w:sz w:val="20"/>
          <w:szCs w:val="20"/>
        </w:rPr>
      </w:pPr>
      <w:r>
        <w:rPr>
          <w:rFonts w:ascii="Arial" w:eastAsia="Arial" w:hAnsi="Arial" w:cs="Arial"/>
          <w:sz w:val="20"/>
          <w:szCs w:val="20"/>
        </w:rPr>
        <w:t>The Taliban asserts that they would include school subjects into madrasa curricula, to address their leader and fighters’ perception of "</w:t>
      </w:r>
      <w:r>
        <w:rPr>
          <w:rFonts w:ascii="Arial" w:eastAsia="Arial" w:hAnsi="Arial" w:cs="Arial"/>
          <w:i/>
          <w:sz w:val="20"/>
          <w:szCs w:val="20"/>
        </w:rPr>
        <w:t>school"</w:t>
      </w:r>
      <w:r>
        <w:rPr>
          <w:rFonts w:ascii="Arial" w:eastAsia="Arial" w:hAnsi="Arial" w:cs="Arial"/>
          <w:sz w:val="20"/>
          <w:szCs w:val="20"/>
        </w:rPr>
        <w:t xml:space="preserve"> as a Western imposition. The Taliban also stated that the so-called traditional/conservative Afghans favour </w:t>
      </w:r>
      <w:r>
        <w:rPr>
          <w:rFonts w:ascii="Arial" w:eastAsia="Arial" w:hAnsi="Arial" w:cs="Arial"/>
          <w:i/>
          <w:sz w:val="20"/>
          <w:szCs w:val="20"/>
        </w:rPr>
        <w:t>madrasa</w:t>
      </w:r>
      <w:r>
        <w:rPr>
          <w:rFonts w:ascii="Arial" w:eastAsia="Arial" w:hAnsi="Arial" w:cs="Arial"/>
          <w:sz w:val="20"/>
          <w:szCs w:val="20"/>
        </w:rPr>
        <w:t>/religious-only education over schools, ostensibly to address the education of girls. We assert that Islam recognizes the right to education as fundamental, and throughout Muslim history, women were among scholars and leaders in various fields, exemplifying that there is no religious basis for banning women’s education.</w:t>
      </w: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All human rights violations against women are interlinked with each other. For example, restrictions on education and employment impact women’s autonomy, making them more vulnerable to gender-based discrimination within their family and community, leading to severe psychological impact. </w:t>
      </w:r>
    </w:p>
    <w:p w:rsidR="00D84AFD" w:rsidRDefault="00D84AFD">
      <w:pPr>
        <w:spacing w:line="276" w:lineRule="auto"/>
        <w:jc w:val="both"/>
        <w:rPr>
          <w:rFonts w:ascii="Arial" w:eastAsia="Arial" w:hAnsi="Arial" w:cs="Arial"/>
          <w:sz w:val="20"/>
          <w:szCs w:val="20"/>
        </w:rPr>
      </w:pPr>
    </w:p>
    <w:p w:rsidR="00D84AFD" w:rsidRDefault="00000000">
      <w:pPr>
        <w:spacing w:line="276" w:lineRule="auto"/>
        <w:jc w:val="both"/>
        <w:rPr>
          <w:rFonts w:ascii="Arial" w:eastAsia="Arial" w:hAnsi="Arial" w:cs="Arial"/>
          <w:sz w:val="20"/>
          <w:szCs w:val="20"/>
        </w:rPr>
      </w:pPr>
      <w:r>
        <w:rPr>
          <w:rFonts w:ascii="Arial" w:eastAsia="Arial" w:hAnsi="Arial" w:cs="Arial"/>
          <w:sz w:val="20"/>
          <w:szCs w:val="20"/>
        </w:rPr>
        <w:lastRenderedPageBreak/>
        <w:t xml:space="preserve">Afghanistan is the only nation in the world to deny women and girls their right to education. </w:t>
      </w:r>
    </w:p>
    <w:p w:rsidR="00D84AFD" w:rsidRDefault="00D84AFD">
      <w:pPr>
        <w:spacing w:line="276" w:lineRule="auto"/>
        <w:rPr>
          <w:rFonts w:ascii="Arial" w:eastAsia="Arial" w:hAnsi="Arial" w:cs="Arial"/>
          <w:b/>
        </w:rPr>
      </w:pPr>
    </w:p>
    <w:tbl>
      <w:tblPr>
        <w:tblStyle w:val="ad"/>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D84AFD">
        <w:trPr>
          <w:trHeight w:val="721"/>
        </w:trPr>
        <w:tc>
          <w:tcPr>
            <w:tcW w:w="8903" w:type="dxa"/>
            <w:shd w:val="clear" w:color="auto" w:fill="D9D9D9"/>
            <w:tcMar>
              <w:top w:w="100" w:type="dxa"/>
              <w:left w:w="100" w:type="dxa"/>
              <w:bottom w:w="100" w:type="dxa"/>
              <w:right w:w="100" w:type="dxa"/>
            </w:tcMar>
          </w:tcPr>
          <w:p w:rsidR="00D84AFD" w:rsidRDefault="00000000">
            <w:pPr>
              <w:widowControl w:val="0"/>
              <w:spacing w:before="120" w:after="240" w:line="276" w:lineRule="auto"/>
              <w:jc w:val="both"/>
              <w:rPr>
                <w:rFonts w:ascii="Arial" w:eastAsia="Arial" w:hAnsi="Arial" w:cs="Arial"/>
                <w:b/>
                <w:sz w:val="20"/>
                <w:szCs w:val="20"/>
                <w:u w:val="single"/>
              </w:rPr>
            </w:pPr>
            <w:r>
              <w:rPr>
                <w:rFonts w:ascii="Arial" w:eastAsia="Arial" w:hAnsi="Arial" w:cs="Arial"/>
                <w:b/>
                <w:sz w:val="20"/>
                <w:szCs w:val="20"/>
                <w:u w:val="single"/>
              </w:rPr>
              <w:t>RECOMMENDATIONS</w:t>
            </w:r>
          </w:p>
          <w:p w:rsidR="00D84AFD" w:rsidRDefault="00000000">
            <w:pPr>
              <w:spacing w:line="276" w:lineRule="auto"/>
              <w:jc w:val="both"/>
              <w:rPr>
                <w:rFonts w:ascii="Arial" w:eastAsia="Arial" w:hAnsi="Arial" w:cs="Arial"/>
                <w:sz w:val="20"/>
                <w:szCs w:val="20"/>
              </w:rPr>
            </w:pPr>
            <w:r>
              <w:rPr>
                <w:rFonts w:ascii="Arial" w:eastAsia="Arial" w:hAnsi="Arial" w:cs="Arial"/>
                <w:b/>
                <w:sz w:val="20"/>
                <w:szCs w:val="20"/>
              </w:rPr>
              <w:t>We recommend that the CEDAW Committee urge the State party to:</w:t>
            </w:r>
          </w:p>
          <w:p w:rsidR="00D84AFD" w:rsidRDefault="00D84AFD">
            <w:pPr>
              <w:spacing w:line="276" w:lineRule="auto"/>
              <w:jc w:val="both"/>
              <w:rPr>
                <w:rFonts w:ascii="Arial" w:eastAsia="Arial" w:hAnsi="Arial" w:cs="Arial"/>
                <w:sz w:val="20"/>
                <w:szCs w:val="20"/>
              </w:rPr>
            </w:pPr>
          </w:p>
          <w:p w:rsidR="00D84AFD" w:rsidRDefault="00000000">
            <w:pPr>
              <w:numPr>
                <w:ilvl w:val="0"/>
                <w:numId w:val="6"/>
              </w:numPr>
              <w:spacing w:line="276" w:lineRule="auto"/>
              <w:jc w:val="both"/>
            </w:pPr>
            <w:r>
              <w:rPr>
                <w:rFonts w:ascii="Arial" w:eastAsia="Arial" w:hAnsi="Arial" w:cs="Arial"/>
                <w:sz w:val="20"/>
                <w:szCs w:val="20"/>
              </w:rPr>
              <w:t>Invest in education and support the empowerment of women, as it is key to sustainable economic development and political security in Afghanistan and throughout the world</w:t>
            </w:r>
            <w:r>
              <w:rPr>
                <w:rFonts w:ascii="Arial" w:eastAsia="Arial" w:hAnsi="Arial" w:cs="Arial"/>
                <w:sz w:val="16"/>
                <w:szCs w:val="16"/>
              </w:rPr>
              <w:t>.</w:t>
            </w:r>
          </w:p>
          <w:p w:rsidR="00D84AFD" w:rsidRDefault="00D84AFD">
            <w:pPr>
              <w:spacing w:line="276" w:lineRule="auto"/>
              <w:jc w:val="both"/>
              <w:rPr>
                <w:rFonts w:ascii="Arial" w:eastAsia="Arial" w:hAnsi="Arial" w:cs="Arial"/>
                <w:sz w:val="16"/>
                <w:szCs w:val="16"/>
              </w:rPr>
            </w:pPr>
          </w:p>
          <w:p w:rsidR="00D84AFD" w:rsidRDefault="00000000">
            <w:pPr>
              <w:pBdr>
                <w:top w:val="none" w:sz="0" w:space="0" w:color="E5E7EB"/>
                <w:left w:val="none" w:sz="0" w:space="0" w:color="E5E7EB"/>
                <w:bottom w:val="none" w:sz="0" w:space="0" w:color="E5E7EB"/>
                <w:right w:val="none" w:sz="0" w:space="0" w:color="E5E7EB"/>
                <w:between w:val="none" w:sz="0" w:space="0" w:color="E5E7EB"/>
              </w:pBdr>
              <w:spacing w:line="276" w:lineRule="auto"/>
              <w:jc w:val="both"/>
              <w:rPr>
                <w:rFonts w:ascii="Arial" w:eastAsia="Arial" w:hAnsi="Arial" w:cs="Arial"/>
                <w:b/>
                <w:sz w:val="20"/>
                <w:szCs w:val="20"/>
              </w:rPr>
            </w:pPr>
            <w:r>
              <w:rPr>
                <w:rFonts w:ascii="Arial" w:eastAsia="Arial" w:hAnsi="Arial" w:cs="Arial"/>
                <w:b/>
                <w:sz w:val="20"/>
                <w:szCs w:val="20"/>
              </w:rPr>
              <w:t>We also recommend the CEDAW Committee to:</w:t>
            </w:r>
          </w:p>
          <w:p w:rsidR="00D84AFD" w:rsidRDefault="00D84AFD">
            <w:pPr>
              <w:pBdr>
                <w:top w:val="none" w:sz="0" w:space="0" w:color="E5E7EB"/>
                <w:left w:val="none" w:sz="0" w:space="0" w:color="E5E7EB"/>
                <w:bottom w:val="none" w:sz="0" w:space="0" w:color="E5E7EB"/>
                <w:right w:val="none" w:sz="0" w:space="0" w:color="E5E7EB"/>
                <w:between w:val="none" w:sz="0" w:space="0" w:color="E5E7EB"/>
              </w:pBdr>
              <w:spacing w:line="276" w:lineRule="auto"/>
              <w:jc w:val="both"/>
              <w:rPr>
                <w:rFonts w:ascii="Arial" w:eastAsia="Arial" w:hAnsi="Arial" w:cs="Arial"/>
                <w:sz w:val="20"/>
                <w:szCs w:val="20"/>
              </w:rPr>
            </w:pPr>
          </w:p>
          <w:p w:rsidR="00D84AFD" w:rsidRDefault="00000000">
            <w:pPr>
              <w:numPr>
                <w:ilvl w:val="0"/>
                <w:numId w:val="3"/>
              </w:numPr>
              <w:pBdr>
                <w:top w:val="none" w:sz="0" w:space="0" w:color="E5E7EB"/>
                <w:left w:val="none" w:sz="0" w:space="0" w:color="E5E7EB"/>
                <w:bottom w:val="none" w:sz="0" w:space="0" w:color="E5E7EB"/>
                <w:right w:val="none" w:sz="0" w:space="0" w:color="E5E7EB"/>
                <w:between w:val="none" w:sz="0" w:space="0" w:color="E5E7EB"/>
              </w:pBdr>
              <w:spacing w:line="276" w:lineRule="auto"/>
              <w:jc w:val="both"/>
              <w:rPr>
                <w:rFonts w:ascii="Arial" w:eastAsia="Arial" w:hAnsi="Arial" w:cs="Arial"/>
                <w:sz w:val="20"/>
                <w:szCs w:val="20"/>
              </w:rPr>
            </w:pPr>
            <w:r>
              <w:rPr>
                <w:rFonts w:ascii="Arial" w:eastAsia="Arial" w:hAnsi="Arial" w:cs="Arial"/>
                <w:sz w:val="20"/>
                <w:szCs w:val="20"/>
              </w:rPr>
              <w:t>Urge the establishment and international support of safe, confidential, and accessible services for survivors of gender-based violence including financial aid, crisis centers, shelters, hotlines, and medical, psychosocial, and legal counseling services.</w:t>
            </w:r>
          </w:p>
          <w:p w:rsidR="00D84AFD" w:rsidRDefault="00000000">
            <w:pPr>
              <w:numPr>
                <w:ilvl w:val="0"/>
                <w:numId w:val="3"/>
              </w:numPr>
              <w:pBdr>
                <w:top w:val="none" w:sz="0" w:space="0" w:color="E5E7EB"/>
                <w:left w:val="none" w:sz="0" w:space="0" w:color="E5E7EB"/>
                <w:bottom w:val="none" w:sz="0" w:space="0" w:color="E5E7EB"/>
                <w:right w:val="none" w:sz="0" w:space="0" w:color="E5E7EB"/>
                <w:between w:val="none" w:sz="0" w:space="0" w:color="E5E7EB"/>
              </w:pBdr>
              <w:spacing w:line="276" w:lineRule="auto"/>
              <w:jc w:val="both"/>
              <w:rPr>
                <w:rFonts w:ascii="Arial" w:eastAsia="Arial" w:hAnsi="Arial" w:cs="Arial"/>
                <w:sz w:val="20"/>
                <w:szCs w:val="20"/>
              </w:rPr>
            </w:pPr>
            <w:r>
              <w:rPr>
                <w:rFonts w:ascii="Arial" w:eastAsia="Arial" w:hAnsi="Arial" w:cs="Arial"/>
                <w:sz w:val="20"/>
                <w:szCs w:val="20"/>
              </w:rPr>
              <w:t>Recommend targeted funding and logistical support for Afghan women-led organizations and humanitarian actors working to sustain responses and provide direct services, both inside and outside Afghanistan.</w:t>
            </w:r>
          </w:p>
          <w:p w:rsidR="00D84AFD" w:rsidRDefault="00000000">
            <w:pPr>
              <w:numPr>
                <w:ilvl w:val="0"/>
                <w:numId w:val="3"/>
              </w:numPr>
              <w:pBdr>
                <w:top w:val="none" w:sz="0" w:space="0" w:color="E5E7EB"/>
                <w:left w:val="none" w:sz="0" w:space="0" w:color="E5E7EB"/>
                <w:bottom w:val="none" w:sz="0" w:space="0" w:color="E5E7EB"/>
                <w:right w:val="none" w:sz="0" w:space="0" w:color="E5E7EB"/>
                <w:between w:val="none" w:sz="0" w:space="0" w:color="E5E7EB"/>
              </w:pBdr>
              <w:spacing w:line="276" w:lineRule="auto"/>
              <w:jc w:val="both"/>
              <w:rPr>
                <w:rFonts w:ascii="Arial" w:eastAsia="Arial" w:hAnsi="Arial" w:cs="Arial"/>
                <w:sz w:val="20"/>
                <w:szCs w:val="20"/>
              </w:rPr>
            </w:pPr>
            <w:r>
              <w:rPr>
                <w:rFonts w:ascii="Arial" w:eastAsia="Arial" w:hAnsi="Arial" w:cs="Arial"/>
                <w:sz w:val="20"/>
                <w:szCs w:val="20"/>
              </w:rPr>
              <w:t>Issue a strong, public condemnation of the Taliban’s decrees banning girls’ and women’s education, restricting employment, and fueling early and forced marriages, emphasizing that these actions constitute grave violations of Afghanistan’s binding international obligations under CEDAW and other human rights treaties</w:t>
            </w:r>
          </w:p>
          <w:p w:rsidR="00D84AFD" w:rsidRDefault="00000000">
            <w:pPr>
              <w:numPr>
                <w:ilvl w:val="0"/>
                <w:numId w:val="3"/>
              </w:numPr>
              <w:pBdr>
                <w:top w:val="none" w:sz="0" w:space="0" w:color="E5E7EB"/>
                <w:left w:val="none" w:sz="0" w:space="0" w:color="E5E7EB"/>
                <w:bottom w:val="none" w:sz="0" w:space="0" w:color="E5E7EB"/>
                <w:right w:val="none" w:sz="0" w:space="0" w:color="E5E7EB"/>
                <w:between w:val="none" w:sz="0" w:space="0" w:color="E5E7EB"/>
              </w:pBdr>
              <w:spacing w:line="276" w:lineRule="auto"/>
              <w:jc w:val="both"/>
              <w:rPr>
                <w:rFonts w:ascii="Arial" w:eastAsia="Arial" w:hAnsi="Arial" w:cs="Arial"/>
                <w:sz w:val="20"/>
                <w:szCs w:val="20"/>
              </w:rPr>
            </w:pPr>
            <w:r>
              <w:rPr>
                <w:rFonts w:ascii="Arial" w:eastAsia="Arial" w:hAnsi="Arial" w:cs="Arial"/>
                <w:sz w:val="20"/>
                <w:szCs w:val="20"/>
              </w:rPr>
              <w:t xml:space="preserve">Explicitly recognize restrictions and prohibition of education for women and girls as one of </w:t>
            </w:r>
            <w:r>
              <w:rPr>
                <w:rFonts w:ascii="Arial" w:eastAsia="Arial" w:hAnsi="Arial" w:cs="Arial"/>
                <w:i/>
                <w:sz w:val="20"/>
                <w:szCs w:val="20"/>
              </w:rPr>
              <w:t>systematic, institutionalized gender apartheid</w:t>
            </w:r>
            <w:r>
              <w:rPr>
                <w:rFonts w:ascii="Arial" w:eastAsia="Arial" w:hAnsi="Arial" w:cs="Arial"/>
                <w:sz w:val="20"/>
                <w:szCs w:val="20"/>
              </w:rPr>
              <w:t xml:space="preserve">, noting the interconnectedness of restrictions on education on all other basic rights, including the right to be free from enforced poverty. </w:t>
            </w:r>
          </w:p>
        </w:tc>
      </w:tr>
    </w:tbl>
    <w:p w:rsidR="00D84AFD" w:rsidRDefault="00D84AFD">
      <w:pPr>
        <w:spacing w:line="276" w:lineRule="auto"/>
        <w:rPr>
          <w:rFonts w:ascii="Arial" w:eastAsia="Arial" w:hAnsi="Arial" w:cs="Arial"/>
        </w:rPr>
      </w:pPr>
    </w:p>
    <w:p w:rsidR="00D84AFD" w:rsidRDefault="00D84AFD">
      <w:pPr>
        <w:spacing w:after="120" w:line="276" w:lineRule="auto"/>
        <w:jc w:val="both"/>
        <w:rPr>
          <w:rFonts w:ascii="Arial" w:eastAsia="Arial" w:hAnsi="Arial" w:cs="Arial"/>
          <w:sz w:val="20"/>
          <w:szCs w:val="20"/>
        </w:rPr>
      </w:pPr>
    </w:p>
    <w:sectPr w:rsidR="00D84AFD">
      <w:footerReference w:type="even" r:id="rId19"/>
      <w:footerReference w:type="default" r:id="rId20"/>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2277" w:rsidRDefault="009C2277">
      <w:r>
        <w:separator/>
      </w:r>
    </w:p>
  </w:endnote>
  <w:endnote w:type="continuationSeparator" w:id="0">
    <w:p w:rsidR="009C2277" w:rsidRDefault="009C2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AFD" w:rsidRDefault="00D84AFD">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AFD" w:rsidRDefault="00D84AFD">
    <w:pPr>
      <w:pBdr>
        <w:top w:val="nil"/>
        <w:left w:val="nil"/>
        <w:bottom w:val="nil"/>
        <w:right w:val="nil"/>
        <w:between w:val="nil"/>
      </w:pBd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AFD" w:rsidRDefault="00D84AFD">
    <w:pPr>
      <w:pBdr>
        <w:top w:val="nil"/>
        <w:left w:val="nil"/>
        <w:bottom w:val="nil"/>
        <w:right w:val="nil"/>
        <w:between w:val="nil"/>
      </w:pBd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AFD"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rsidR="00D84AFD" w:rsidRDefault="00D84AFD">
    <w:pPr>
      <w:pBdr>
        <w:top w:val="nil"/>
        <w:left w:val="nil"/>
        <w:bottom w:val="nil"/>
        <w:right w:val="nil"/>
        <w:between w:val="nil"/>
      </w:pBdr>
      <w:ind w:right="360"/>
      <w:jc w:val="right"/>
      <w:rPr>
        <w:rFonts w:ascii="Corbel" w:eastAsia="Corbel" w:hAnsi="Corbel" w:cs="Corbel"/>
        <w:color w:val="000000"/>
        <w:sz w:val="22"/>
        <w:szCs w:val="22"/>
      </w:rPr>
    </w:pPr>
  </w:p>
  <w:p w:rsidR="00D84AFD" w:rsidRDefault="00D84AFD">
    <w:pPr>
      <w:pBdr>
        <w:top w:val="nil"/>
        <w:left w:val="nil"/>
        <w:bottom w:val="nil"/>
        <w:right w:val="nil"/>
        <w:between w:val="nil"/>
      </w:pBdr>
      <w:spacing w:after="720"/>
      <w:ind w:right="360"/>
      <w:rPr>
        <w:rFonts w:ascii="Corbel" w:eastAsia="Corbel" w:hAnsi="Corbel" w:cs="Corbel"/>
        <w:color w:val="000000"/>
        <w:sz w:val="22"/>
        <w:szCs w:val="22"/>
      </w:rPr>
    </w:pPr>
  </w:p>
  <w:p w:rsidR="00D84AFD" w:rsidRDefault="00D84AFD">
    <w:pPr>
      <w:pBdr>
        <w:top w:val="nil"/>
        <w:left w:val="nil"/>
        <w:bottom w:val="nil"/>
        <w:right w:val="nil"/>
        <w:between w:val="nil"/>
      </w:pBdr>
      <w:spacing w:before="120" w:after="200" w:line="264" w:lineRule="auto"/>
      <w:rPr>
        <w:rFonts w:ascii="Corbel" w:eastAsia="Corbel" w:hAnsi="Corbel" w:cs="Corbel"/>
        <w:color w:val="000000"/>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AFD" w:rsidRDefault="00D84AFD">
    <w:pPr>
      <w:tabs>
        <w:tab w:val="center" w:pos="4320"/>
        <w:tab w:val="right" w:pos="8640"/>
      </w:tabs>
      <w:spacing w:after="160"/>
      <w:jc w:val="both"/>
      <w:rPr>
        <w:rFonts w:ascii="Arial" w:eastAsia="Arial" w:hAnsi="Arial" w:cs="Arial"/>
        <w:sz w:val="16"/>
        <w:szCs w:val="16"/>
      </w:rPr>
    </w:pPr>
  </w:p>
  <w:p w:rsidR="00D84AFD"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CD25F9">
      <w:rPr>
        <w:noProof/>
        <w:color w:val="000000"/>
      </w:rPr>
      <w:t>2</w:t>
    </w:r>
    <w:r>
      <w:rPr>
        <w:color w:val="000000"/>
      </w:rPr>
      <w:fldChar w:fldCharType="end"/>
    </w:r>
  </w:p>
  <w:p w:rsidR="00D84AFD" w:rsidRDefault="00D84AFD">
    <w:pPr>
      <w:pBdr>
        <w:top w:val="nil"/>
        <w:left w:val="nil"/>
        <w:bottom w:val="nil"/>
        <w:right w:val="nil"/>
        <w:between w:val="nil"/>
      </w:pBdr>
      <w:ind w:right="360"/>
      <w:rPr>
        <w:rFonts w:ascii="Corbel" w:eastAsia="Corbel" w:hAnsi="Corbel" w:cs="Corbel"/>
        <w:color w:val="000000"/>
        <w:sz w:val="22"/>
        <w:szCs w:val="22"/>
      </w:rPr>
    </w:pPr>
  </w:p>
  <w:p w:rsidR="00D84AFD" w:rsidRDefault="00D84AFD">
    <w:pPr>
      <w:pBdr>
        <w:top w:val="nil"/>
        <w:left w:val="nil"/>
        <w:bottom w:val="nil"/>
        <w:right w:val="nil"/>
        <w:between w:val="nil"/>
      </w:pBdr>
      <w:jc w:val="right"/>
      <w:rPr>
        <w:rFonts w:ascii="Arial" w:eastAsia="Arial" w:hAnsi="Arial" w:cs="Arial"/>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2277" w:rsidRDefault="009C2277">
      <w:r>
        <w:separator/>
      </w:r>
    </w:p>
  </w:footnote>
  <w:footnote w:type="continuationSeparator" w:id="0">
    <w:p w:rsidR="009C2277" w:rsidRDefault="009C2277">
      <w:r>
        <w:continuationSeparator/>
      </w:r>
    </w:p>
  </w:footnote>
  <w:footnote w:id="1">
    <w:p w:rsidR="00D84AFD" w:rsidRPr="00CD25F9" w:rsidRDefault="00000000">
      <w:pPr>
        <w:rPr>
          <w:rFonts w:asciiTheme="minorBidi"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 xml:space="preserve">UNICEF Humanitarian Action for Children Report 2024, URL: </w:t>
      </w:r>
      <w:hyperlink r:id="rId1">
        <w:r w:rsidRPr="00CD25F9">
          <w:rPr>
            <w:rFonts w:asciiTheme="minorBidi" w:eastAsia="Arial" w:hAnsiTheme="minorBidi" w:cstheme="minorBidi"/>
            <w:color w:val="0563C1"/>
            <w:sz w:val="18"/>
            <w:szCs w:val="18"/>
            <w:u w:val="single"/>
          </w:rPr>
          <w:t>https://www.unicef.org/media/149911/file/2024-HAC-Afghanistan.pdf</w:t>
        </w:r>
      </w:hyperlink>
    </w:p>
  </w:footnote>
  <w:footnote w:id="2">
    <w:p w:rsidR="00D84AFD" w:rsidRPr="00CD25F9" w:rsidRDefault="00000000">
      <w:pPr>
        <w:rPr>
          <w:rFonts w:asciiTheme="minorBidi"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IPC Afghanistan Acute Food Insecurity Report Oct 2023-Mar 2024, URL:</w:t>
      </w:r>
      <w:hyperlink r:id="rId2">
        <w:r w:rsidRPr="00CD25F9">
          <w:rPr>
            <w:rFonts w:asciiTheme="minorBidi" w:eastAsia="Arial" w:hAnsiTheme="minorBidi" w:cstheme="minorBidi"/>
            <w:sz w:val="18"/>
            <w:szCs w:val="18"/>
          </w:rPr>
          <w:t xml:space="preserve"> </w:t>
        </w:r>
      </w:hyperlink>
      <w:hyperlink r:id="rId3">
        <w:r w:rsidRPr="00CD25F9">
          <w:rPr>
            <w:rFonts w:asciiTheme="minorBidi" w:eastAsia="Arial" w:hAnsiTheme="minorBidi" w:cstheme="minorBidi"/>
            <w:color w:val="0563C1"/>
            <w:sz w:val="18"/>
            <w:szCs w:val="18"/>
            <w:u w:val="single"/>
          </w:rPr>
          <w:t>https://www.ipcinfo.org/ipc-country-analysis/details-map/en/c/1156740/</w:t>
        </w:r>
      </w:hyperlink>
    </w:p>
  </w:footnote>
  <w:footnote w:id="3">
    <w:p w:rsidR="00D84AFD" w:rsidRPr="00CD25F9" w:rsidRDefault="00000000">
      <w:pPr>
        <w:rPr>
          <w:rFonts w:asciiTheme="minorBidi" w:eastAsia="Arial" w:hAnsiTheme="minorBidi" w:cstheme="minorBidi"/>
          <w:sz w:val="18"/>
          <w:szCs w:val="18"/>
          <w:lang w:val="fr-FR"/>
        </w:rPr>
      </w:pPr>
      <w:r w:rsidRPr="00CD25F9">
        <w:rPr>
          <w:rStyle w:val="FootnoteReference"/>
          <w:vertAlign w:val="superscript"/>
        </w:rPr>
        <w:footnoteRef/>
      </w:r>
      <w:r w:rsidRPr="00CD25F9">
        <w:rPr>
          <w:rFonts w:asciiTheme="minorBidi" w:eastAsia="Arial" w:hAnsiTheme="minorBidi" w:cstheme="minorBidi"/>
          <w:sz w:val="18"/>
          <w:szCs w:val="18"/>
          <w:lang w:val="fr-FR"/>
        </w:rPr>
        <w:t xml:space="preserve"> IPC Acute Malnutrition Situation Report, URL :</w:t>
      </w:r>
      <w:r>
        <w:fldChar w:fldCharType="begin"/>
      </w:r>
      <w:r w:rsidRPr="00220653">
        <w:rPr>
          <w:lang w:val="fr-FR"/>
        </w:rPr>
        <w:instrText>HYPERLINK "https://www.ipcinfo.org/ipc-country-analysis/details-map/en/c/1159436/?iso3=AFG" \h</w:instrText>
      </w:r>
      <w:r>
        <w:fldChar w:fldCharType="separate"/>
      </w:r>
      <w:r w:rsidRPr="00CD25F9">
        <w:rPr>
          <w:rFonts w:asciiTheme="minorBidi" w:eastAsia="Arial" w:hAnsiTheme="minorBidi" w:cstheme="minorBidi"/>
          <w:sz w:val="18"/>
          <w:szCs w:val="18"/>
          <w:lang w:val="fr-FR"/>
        </w:rPr>
        <w:t xml:space="preserve"> </w:t>
      </w:r>
      <w:r>
        <w:rPr>
          <w:rFonts w:asciiTheme="minorBidi" w:eastAsia="Arial" w:hAnsiTheme="minorBidi" w:cstheme="minorBidi"/>
          <w:sz w:val="18"/>
          <w:szCs w:val="18"/>
          <w:lang w:val="fr-FR"/>
        </w:rPr>
        <w:fldChar w:fldCharType="end"/>
      </w:r>
      <w:hyperlink r:id="rId4">
        <w:r w:rsidRPr="00CD25F9">
          <w:rPr>
            <w:rFonts w:asciiTheme="minorBidi" w:eastAsia="Arial" w:hAnsiTheme="minorBidi" w:cstheme="minorBidi"/>
            <w:color w:val="0563C1"/>
            <w:sz w:val="18"/>
            <w:szCs w:val="18"/>
            <w:u w:val="single"/>
            <w:lang w:val="fr-FR"/>
          </w:rPr>
          <w:t>https://www.ipcinfo.org/ipc-country-analysis/details-map/en/c/1159436/?iso3=AFG</w:t>
        </w:r>
      </w:hyperlink>
    </w:p>
  </w:footnote>
  <w:footnote w:id="4">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United Nations Office for the Coordination of Humanitarian Affairs. (2024, June). Afghanistan Humanitarian Update June 2024. URL: </w:t>
      </w:r>
      <w:hyperlink r:id="rId5">
        <w:r w:rsidRPr="00CD25F9">
          <w:rPr>
            <w:rFonts w:asciiTheme="minorBidi" w:eastAsia="Arial" w:hAnsiTheme="minorBidi" w:cstheme="minorBidi"/>
            <w:color w:val="1155CC"/>
            <w:sz w:val="18"/>
            <w:szCs w:val="18"/>
            <w:u w:val="single"/>
          </w:rPr>
          <w:t>https://www.unocha.org/publications/report/afghanistan/afghanistan-humanitarian-update-june-2024</w:t>
        </w:r>
      </w:hyperlink>
    </w:p>
  </w:footnote>
  <w:footnote w:id="5">
    <w:p w:rsidR="00D84AFD" w:rsidRPr="00CD25F9" w:rsidRDefault="00000000">
      <w:pPr>
        <w:rPr>
          <w:rFonts w:asciiTheme="minorBidi"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UNHCR Pakistan-Afghanistan Returns Emergency Response (2025, May). URL:</w:t>
      </w:r>
      <w:hyperlink r:id="rId6">
        <w:r w:rsidRPr="00CD25F9">
          <w:rPr>
            <w:rFonts w:asciiTheme="minorBidi" w:eastAsia="Arial" w:hAnsiTheme="minorBidi" w:cstheme="minorBidi"/>
            <w:sz w:val="18"/>
            <w:szCs w:val="18"/>
          </w:rPr>
          <w:t xml:space="preserve"> </w:t>
        </w:r>
      </w:hyperlink>
      <w:hyperlink r:id="rId7">
        <w:r w:rsidRPr="00CD25F9">
          <w:rPr>
            <w:rFonts w:asciiTheme="minorBidi" w:eastAsia="Arial" w:hAnsiTheme="minorBidi" w:cstheme="minorBidi"/>
            <w:color w:val="0563C1"/>
            <w:sz w:val="18"/>
            <w:szCs w:val="18"/>
            <w:u w:val="single"/>
          </w:rPr>
          <w:t>https://data.unhcr.org/en/documents/download/116196</w:t>
        </w:r>
      </w:hyperlink>
    </w:p>
  </w:footnote>
  <w:footnote w:id="6">
    <w:p w:rsidR="00D84AFD" w:rsidRPr="00CD25F9" w:rsidRDefault="00000000">
      <w:pPr>
        <w:rPr>
          <w:rFonts w:asciiTheme="minorBidi"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 xml:space="preserve"> Q&amp;A: Nine Out of 10 Afghan Households Lack ‘Adequate’ Food, WFP Top Official Says’ VOA News, 2024 URL: </w:t>
      </w:r>
      <w:hyperlink r:id="rId8">
        <w:r w:rsidRPr="00CD25F9">
          <w:rPr>
            <w:rFonts w:asciiTheme="minorBidi" w:eastAsia="Arial" w:hAnsiTheme="minorBidi" w:cstheme="minorBidi"/>
            <w:color w:val="1155CC"/>
            <w:sz w:val="18"/>
            <w:szCs w:val="18"/>
            <w:u w:val="single"/>
          </w:rPr>
          <w:t>https://www.voanews.com/a/q-a-nine-out-of-10-afghan-households-lack-adequate-food-wfp-top-official-says/7168563.html</w:t>
        </w:r>
      </w:hyperlink>
    </w:p>
  </w:footnote>
  <w:footnote w:id="7">
    <w:p w:rsidR="00D84AFD" w:rsidRPr="00CD25F9" w:rsidRDefault="00000000">
      <w:pPr>
        <w:rPr>
          <w:rFonts w:asciiTheme="minorBidi"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 xml:space="preserve">'Tracking Impact Report on the Ban on Women Working with NGOs, INGOs and UN in Afghanistan - Eighth Snapshot (March 2024)' Gender in Humanitarian Action (GiHA) Working Group and the Humanitarian Access Group (HAG), 2024 URL: </w:t>
      </w:r>
      <w:hyperlink r:id="rId9">
        <w:r w:rsidRPr="00CD25F9">
          <w:rPr>
            <w:rFonts w:asciiTheme="minorBidi" w:eastAsia="Arial" w:hAnsiTheme="minorBidi" w:cstheme="minorBidi"/>
            <w:color w:val="1155CC"/>
            <w:sz w:val="18"/>
            <w:szCs w:val="18"/>
            <w:u w:val="single"/>
          </w:rPr>
          <w:t>https://reliefweb.int/report/afghanistan/tracking-impact-report-ban-women-working-ngos-ingos-and-un-afghanistan-eighth-snapshot-march-2024</w:t>
        </w:r>
      </w:hyperlink>
    </w:p>
  </w:footnote>
  <w:footnote w:id="8">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UN OCHA Afghanistan: Humanitarian Access Snapshot (2024, Jan), URL: </w:t>
      </w:r>
      <w:hyperlink r:id="rId10">
        <w:r w:rsidRPr="00CD25F9">
          <w:rPr>
            <w:rFonts w:asciiTheme="minorBidi" w:eastAsia="Arial" w:hAnsiTheme="minorBidi" w:cstheme="minorBidi"/>
            <w:color w:val="1155CC"/>
            <w:sz w:val="18"/>
            <w:szCs w:val="18"/>
            <w:u w:val="single"/>
          </w:rPr>
          <w:t>https://reliefweb.int/report/afghanistan/afghanistan-humanitarian-access-snapshot-january-2024?_gl=1*lb4y6h*_ga*MTcxNTU2NzM3LjE3NDczOTEzNDc.*_ga_E60ZNX2F68*czE3NDczOTM2NzQkbzIkZzEkdDE3NDczOTc1ODckajYwJGwwJGgw</w:t>
        </w:r>
      </w:hyperlink>
    </w:p>
  </w:footnote>
  <w:footnote w:id="9">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UNHCR Protection Cluster, Protection Analysis Update (2025, Jan), URL: </w:t>
      </w:r>
      <w:hyperlink r:id="rId11">
        <w:r w:rsidRPr="00CD25F9">
          <w:rPr>
            <w:rFonts w:asciiTheme="minorBidi" w:eastAsia="Arial" w:hAnsiTheme="minorBidi" w:cstheme="minorBidi"/>
            <w:color w:val="1155CC"/>
            <w:sz w:val="18"/>
            <w:szCs w:val="18"/>
            <w:u w:val="single"/>
          </w:rPr>
          <w:t>https://globalprotectioncluster.org/sites/default/files/2025-02/afghanistan_pau_dec_2024_final.pdf</w:t>
        </w:r>
      </w:hyperlink>
    </w:p>
  </w:footnote>
  <w:footnote w:id="10">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'Afghanistan Gender Country Profile 2024: Executive Summary' (Report, UN Women, 2024) URL: </w:t>
      </w:r>
      <w:hyperlink r:id="rId12">
        <w:r w:rsidRPr="00CD25F9">
          <w:rPr>
            <w:rFonts w:asciiTheme="minorBidi" w:eastAsia="Arial" w:hAnsiTheme="minorBidi" w:cstheme="minorBidi"/>
            <w:color w:val="1155CC"/>
            <w:sz w:val="18"/>
            <w:szCs w:val="18"/>
            <w:u w:val="single"/>
          </w:rPr>
          <w:t>https://www.unwomen.org/sites/default/files/2024-06/Gender-country-profile-Afghanistan-Executive-summary-en.pdf</w:t>
        </w:r>
      </w:hyperlink>
      <w:r w:rsidRPr="00CD25F9">
        <w:rPr>
          <w:rFonts w:asciiTheme="minorBidi" w:eastAsia="Arial" w:hAnsiTheme="minorBidi" w:cstheme="minorBidi"/>
          <w:sz w:val="18"/>
          <w:szCs w:val="18"/>
        </w:rPr>
        <w:t xml:space="preserve"> </w:t>
      </w:r>
    </w:p>
  </w:footnote>
  <w:footnote w:id="11">
    <w:p w:rsidR="00D84AFD" w:rsidRPr="00CD25F9" w:rsidRDefault="00000000">
      <w:pPr>
        <w:rPr>
          <w:rFonts w:asciiTheme="minorBidi" w:eastAsia="Arial" w:hAnsiTheme="minorBidi" w:cstheme="minorBidi"/>
          <w: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w:t>
      </w:r>
      <w:r w:rsidRPr="00CD25F9">
        <w:rPr>
          <w:rFonts w:asciiTheme="minorBidi" w:eastAsia="Arial" w:hAnsiTheme="minorBidi" w:cstheme="minorBidi"/>
          <w:i/>
          <w:sz w:val="18"/>
          <w:szCs w:val="18"/>
        </w:rPr>
        <w:t>Ibid.</w:t>
      </w:r>
    </w:p>
  </w:footnote>
  <w:footnote w:id="12">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The Taliban said women could study — three years on they still can't' Nature (2024) URL: </w:t>
      </w:r>
      <w:hyperlink r:id="rId13">
        <w:r w:rsidRPr="00CD25F9">
          <w:rPr>
            <w:rFonts w:asciiTheme="minorBidi" w:eastAsia="Arial" w:hAnsiTheme="minorBidi" w:cstheme="minorBidi"/>
            <w:color w:val="1155CC"/>
            <w:sz w:val="18"/>
            <w:szCs w:val="18"/>
            <w:u w:val="single"/>
          </w:rPr>
          <w:t>https://www.nature.com/articles/d41586-024-02626-9</w:t>
        </w:r>
      </w:hyperlink>
    </w:p>
  </w:footnote>
  <w:footnote w:id="13">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UN, 2023. Afghanistan: UN experts say 20 years of progress for women and girls’ rights erased since Taliban takeover. URL: </w:t>
      </w:r>
      <w:hyperlink r:id="rId14" w:anchor=":~:text=Today%2C%20Afghanistan's%20women%20and%20girls,living%20in%20prison%20like%20conditions">
        <w:r w:rsidRPr="00CD25F9">
          <w:rPr>
            <w:rFonts w:asciiTheme="minorBidi" w:eastAsia="Arial" w:hAnsiTheme="minorBidi" w:cstheme="minorBidi"/>
            <w:color w:val="1155CC"/>
            <w:sz w:val="18"/>
            <w:szCs w:val="18"/>
            <w:u w:val="single"/>
          </w:rPr>
          <w:t>https://www.ohchr.org/en/press-releases/2023/03/afghanistan-un-experts-say-20-years-progress-women-and-girls-rights-erased#:~:text=Today%2C%20Afghanistan's%20women%20and%20girls,living%20in%20prison%20like%20conditions</w:t>
        </w:r>
      </w:hyperlink>
    </w:p>
  </w:footnote>
  <w:footnote w:id="14">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Security Council Emphasizes That Punitive Restrictions on Women’s Rights, Escalating Hunger, Insecurity Taking Devastating Toll in Afghanistan, (2023, March), URL: </w:t>
      </w:r>
      <w:hyperlink r:id="rId15">
        <w:r w:rsidRPr="00CD25F9">
          <w:rPr>
            <w:rFonts w:asciiTheme="minorBidi" w:eastAsia="Arial" w:hAnsiTheme="minorBidi" w:cstheme="minorBidi"/>
            <w:color w:val="1155CC"/>
            <w:sz w:val="18"/>
            <w:szCs w:val="18"/>
            <w:u w:val="single"/>
          </w:rPr>
          <w:t>https://press.un.org/en/2023/sc15222.doc.htm</w:t>
        </w:r>
      </w:hyperlink>
      <w:r w:rsidRPr="00CD25F9">
        <w:rPr>
          <w:rFonts w:asciiTheme="minorBidi" w:eastAsia="Arial" w:hAnsiTheme="minorBidi" w:cstheme="minorBidi"/>
          <w:sz w:val="18"/>
          <w:szCs w:val="18"/>
        </w:rPr>
        <w:t xml:space="preserve">; </w:t>
      </w:r>
      <w:r w:rsidRPr="00CD25F9">
        <w:rPr>
          <w:rFonts w:asciiTheme="minorBidi" w:eastAsia="Arial" w:hAnsiTheme="minorBidi" w:cstheme="minorBidi"/>
          <w:sz w:val="18"/>
          <w:szCs w:val="18"/>
        </w:rPr>
        <w:br/>
        <w:t xml:space="preserve">HRC Hears that the Severity of Violations against Women and Girls in Afghanistan Might Amount to Crimes against Humanity, (2024, June), URL: </w:t>
      </w:r>
      <w:hyperlink r:id="rId16">
        <w:r w:rsidRPr="00CD25F9">
          <w:rPr>
            <w:rFonts w:asciiTheme="minorBidi" w:eastAsia="Arial" w:hAnsiTheme="minorBidi" w:cstheme="minorBidi"/>
            <w:color w:val="1155CC"/>
            <w:sz w:val="18"/>
            <w:szCs w:val="18"/>
            <w:u w:val="single"/>
          </w:rPr>
          <w:t>https://www.ohchr.org/en/meeting-summaries/2024/06/human-rights-council-hears-severity-violations-against-women-and-girls</w:t>
        </w:r>
      </w:hyperlink>
      <w:hyperlink r:id="rId17">
        <w:r w:rsidRPr="00CD25F9">
          <w:rPr>
            <w:rFonts w:asciiTheme="minorBidi" w:eastAsia="Arial" w:hAnsiTheme="minorBidi" w:cstheme="minorBidi"/>
            <w:sz w:val="18"/>
            <w:szCs w:val="18"/>
          </w:rPr>
          <w:t xml:space="preserve">; </w:t>
        </w:r>
      </w:hyperlink>
      <w:r w:rsidRPr="00CD25F9">
        <w:rPr>
          <w:rFonts w:asciiTheme="minorBidi" w:eastAsia="Arial" w:hAnsiTheme="minorBidi" w:cstheme="minorBidi"/>
          <w:sz w:val="18"/>
          <w:szCs w:val="18"/>
        </w:rPr>
        <w:t xml:space="preserve">UN Special Procedures. (2024) Gender apartheid must be recognised as a crime against humanity, UN experts say. URL:  </w:t>
      </w:r>
      <w:hyperlink r:id="rId18">
        <w:r w:rsidRPr="00CD25F9">
          <w:rPr>
            <w:rFonts w:asciiTheme="minorBidi" w:eastAsia="Arial" w:hAnsiTheme="minorBidi" w:cstheme="minorBidi"/>
            <w:color w:val="1155CC"/>
            <w:sz w:val="18"/>
            <w:szCs w:val="18"/>
            <w:u w:val="single"/>
          </w:rPr>
          <w:t>https://www.ohchr.org/en/press-releases/2024/02/gender-apartheid-must-be-recognised-crime-against-humanity-un-experts-say</w:t>
        </w:r>
      </w:hyperlink>
    </w:p>
    <w:p w:rsidR="00D84AFD" w:rsidRPr="00CD25F9" w:rsidRDefault="00D84AFD">
      <w:pPr>
        <w:rPr>
          <w:rFonts w:asciiTheme="minorBidi" w:eastAsia="Arial" w:hAnsiTheme="minorBidi" w:cstheme="minorBidi"/>
          <w:sz w:val="18"/>
          <w:szCs w:val="18"/>
        </w:rPr>
      </w:pPr>
    </w:p>
  </w:footnote>
  <w:footnote w:id="15">
    <w:p w:rsidR="00D84AFD" w:rsidRPr="00CD25F9" w:rsidRDefault="00000000">
      <w:pPr>
        <w:rPr>
          <w:rFonts w:asciiTheme="minorBidi" w:eastAsia="Arial" w:hAnsiTheme="minorBidi" w:cstheme="minorBidi"/>
          <w: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Human Rights Council. (2024). Situation of human rights in Afghanistan: Report of the Special Rapporteur on the situation of human rights in Afghanistan. A/HRC/55/80. URL: </w:t>
      </w:r>
      <w:hyperlink r:id="rId19">
        <w:r w:rsidRPr="00CD25F9">
          <w:rPr>
            <w:rFonts w:asciiTheme="minorBidi" w:eastAsia="Arial" w:hAnsiTheme="minorBidi" w:cstheme="minorBidi"/>
            <w:color w:val="1155CC"/>
            <w:sz w:val="18"/>
            <w:szCs w:val="18"/>
            <w:u w:val="single"/>
          </w:rPr>
          <w:t>https://www.ohchr.org/en/documents/country-reports/ahrc5580-situation-human-rights-afghanistan-report-special-rapporteur</w:t>
        </w:r>
      </w:hyperlink>
    </w:p>
  </w:footnote>
  <w:footnote w:id="16">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Afghanistan’s Taliban rulers say will close all NGOs employing women (2024, Dec), URL: </w:t>
      </w:r>
      <w:hyperlink r:id="rId20">
        <w:r w:rsidRPr="00CD25F9">
          <w:rPr>
            <w:rFonts w:asciiTheme="minorBidi" w:eastAsia="Arial" w:hAnsiTheme="minorBidi" w:cstheme="minorBidi"/>
            <w:color w:val="1155CC"/>
            <w:sz w:val="18"/>
            <w:szCs w:val="18"/>
            <w:u w:val="single"/>
          </w:rPr>
          <w:t>https://www.aljazeera.com/news/2024/12/30/afghanistans-taliban-rulers-say-will-close-all-ngos-employing-women</w:t>
        </w:r>
      </w:hyperlink>
    </w:p>
  </w:footnote>
  <w:footnote w:id="17">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Kabul Now.  “UN Report: Taliban Severely Limits Women’s Access to Justice, Leaving Them Vulnerable.” News. 31 </w:t>
      </w:r>
      <w:r w:rsidR="00177AE2" w:rsidRPr="00CD25F9">
        <w:rPr>
          <w:rFonts w:asciiTheme="minorBidi" w:eastAsia="Arial" w:hAnsiTheme="minorBidi" w:cstheme="minorBidi"/>
          <w:sz w:val="18"/>
          <w:szCs w:val="18"/>
        </w:rPr>
        <w:t>October 2024</w:t>
      </w:r>
      <w:r w:rsidRPr="00CD25F9">
        <w:rPr>
          <w:rFonts w:asciiTheme="minorBidi" w:eastAsia="Arial" w:hAnsiTheme="minorBidi" w:cstheme="minorBidi"/>
          <w:sz w:val="18"/>
          <w:szCs w:val="18"/>
        </w:rPr>
        <w:t xml:space="preserve">. URL: </w:t>
      </w:r>
      <w:hyperlink r:id="rId21">
        <w:r w:rsidRPr="00CD25F9">
          <w:rPr>
            <w:rFonts w:asciiTheme="minorBidi" w:eastAsia="Arial" w:hAnsiTheme="minorBidi" w:cstheme="minorBidi"/>
            <w:color w:val="1155CC"/>
            <w:sz w:val="18"/>
            <w:szCs w:val="18"/>
            <w:u w:val="single"/>
          </w:rPr>
          <w:t>https://kabulnow.com/2024/10/un-report-womens-access-to-justice-under-taliban-sharply-worsens-leaving-them-excluded-and-vulnerable/</w:t>
        </w:r>
      </w:hyperlink>
    </w:p>
  </w:footnote>
  <w:footnote w:id="18">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Institute of South Asian Studies. Remaking of Afghanistan: How the Taliban are Changing Afghanistan’s Laws and Legal Institutions. 26 July 2022. URL: </w:t>
      </w:r>
      <w:hyperlink r:id="rId22">
        <w:r w:rsidRPr="00CD25F9">
          <w:rPr>
            <w:rFonts w:asciiTheme="minorBidi" w:eastAsia="Arial" w:hAnsiTheme="minorBidi" w:cstheme="minorBidi"/>
            <w:color w:val="1155CC"/>
            <w:sz w:val="18"/>
            <w:szCs w:val="18"/>
            <w:u w:val="single"/>
          </w:rPr>
          <w:t>https://www.isas.nus.edu.sg/papers/remaking-of-afghanistan-how-the-taliban-are-changing-afghanistans-laws-and-legal-institutions/</w:t>
        </w:r>
      </w:hyperlink>
    </w:p>
    <w:p w:rsidR="00D84AFD" w:rsidRPr="00CD25F9" w:rsidRDefault="00D84AFD">
      <w:pPr>
        <w:rPr>
          <w:rFonts w:asciiTheme="minorBidi" w:eastAsia="Arial" w:hAnsiTheme="minorBidi" w:cstheme="minorBidi"/>
          <w:sz w:val="18"/>
          <w:szCs w:val="18"/>
        </w:rPr>
      </w:pPr>
    </w:p>
  </w:footnote>
  <w:footnote w:id="19">
    <w:p w:rsidR="00D84AFD" w:rsidRPr="00CD25F9" w:rsidRDefault="00000000">
      <w:pPr>
        <w:rPr>
          <w:rFonts w:asciiTheme="minorBidi" w:eastAsia="Arial" w:hAnsiTheme="minorBidi" w:cstheme="minorBidi"/>
          <w:b/>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VOA. “</w:t>
      </w:r>
      <w:r w:rsidRPr="00CD25F9">
        <w:rPr>
          <w:rFonts w:asciiTheme="minorBidi" w:eastAsia="Arial" w:hAnsiTheme="minorBidi" w:cstheme="minorBidi"/>
          <w:color w:val="222F3A"/>
          <w:sz w:val="18"/>
          <w:szCs w:val="18"/>
        </w:rPr>
        <w:t xml:space="preserve">Taliban Send Victims of Domestic Violence to Prison.” News. 8 March 2024. </w:t>
      </w:r>
      <w:hyperlink r:id="rId23">
        <w:r w:rsidRPr="00CD25F9">
          <w:rPr>
            <w:rFonts w:asciiTheme="minorBidi" w:eastAsia="Arial" w:hAnsiTheme="minorBidi" w:cstheme="minorBidi"/>
            <w:color w:val="1155CC"/>
            <w:sz w:val="18"/>
            <w:szCs w:val="18"/>
            <w:u w:val="single"/>
          </w:rPr>
          <w:t>https://www.voanews.com/a/taliban-send-victims-of-domestic-violence-to-prison-/7520432.html</w:t>
        </w:r>
      </w:hyperlink>
    </w:p>
  </w:footnote>
  <w:footnote w:id="20">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Zan Times. “</w:t>
      </w:r>
      <w:r w:rsidRPr="00CD25F9">
        <w:rPr>
          <w:rFonts w:asciiTheme="minorBidi" w:eastAsia="Arial" w:hAnsiTheme="minorBidi" w:cstheme="minorBidi"/>
          <w:color w:val="212529"/>
          <w:sz w:val="18"/>
          <w:szCs w:val="18"/>
        </w:rPr>
        <w:t xml:space="preserve">Locked in suffering: Taliban’s stance on divorce leaves Afghan women in despair.” News. 3 September 2024. URL: </w:t>
      </w:r>
      <w:hyperlink r:id="rId24">
        <w:r w:rsidRPr="00CD25F9">
          <w:rPr>
            <w:rFonts w:asciiTheme="minorBidi" w:eastAsia="Arial" w:hAnsiTheme="minorBidi" w:cstheme="minorBidi"/>
            <w:color w:val="1155CC"/>
            <w:sz w:val="18"/>
            <w:szCs w:val="18"/>
            <w:u w:val="single"/>
          </w:rPr>
          <w:t>https://zantimes.com/2024/09/03/locked-in-suffering-talibans-stance-on-divorce-leaves-afghan-women-in-despair/</w:t>
        </w:r>
      </w:hyperlink>
    </w:p>
  </w:footnote>
  <w:footnote w:id="21">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 xml:space="preserve">UNESCO. 2023. "Let girls and women in Afghanistan learn!" URL: </w:t>
      </w:r>
      <w:hyperlink r:id="rId25">
        <w:r w:rsidRPr="00CD25F9">
          <w:rPr>
            <w:rFonts w:asciiTheme="minorBidi" w:eastAsia="Arial" w:hAnsiTheme="minorBidi" w:cstheme="minorBidi"/>
            <w:color w:val="1155CC"/>
            <w:sz w:val="18"/>
            <w:szCs w:val="18"/>
            <w:u w:val="single"/>
          </w:rPr>
          <w:t>https://www.unesco.org/en/articles/let-girls-and-women-afghanistan-learn</w:t>
        </w:r>
      </w:hyperlink>
    </w:p>
  </w:footnote>
  <w:footnote w:id="22">
    <w:p w:rsidR="00D84AFD" w:rsidRPr="00CD25F9" w:rsidRDefault="00000000">
      <w:pPr>
        <w:rPr>
          <w:rFonts w:asciiTheme="minorBidi"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 xml:space="preserve">United Nations Human Rights Council, 'Situation of Human Rights in Afghanistan - Report of the Special Rapporteur on the Situation of Human Rights in Afghanistan (Advance Edited Version)' (A/HRC/55/80, 29 February 2024) </w:t>
      </w:r>
      <w:hyperlink r:id="rId26">
        <w:r w:rsidRPr="00CD25F9">
          <w:rPr>
            <w:rFonts w:asciiTheme="minorBidi" w:eastAsia="Arial" w:hAnsiTheme="minorBidi" w:cstheme="minorBidi"/>
            <w:color w:val="1155CC"/>
            <w:sz w:val="18"/>
            <w:szCs w:val="18"/>
            <w:u w:val="single"/>
          </w:rPr>
          <w:t>https://reliefweb.int/report/afghanistan/situation-human-rights-afghanistan-report-special-rapporteur-situation-human-rights-afghanistan-advance-edited-version-ahrc5580</w:t>
        </w:r>
      </w:hyperlink>
    </w:p>
  </w:footnote>
  <w:footnote w:id="23">
    <w:p w:rsidR="00D84AFD" w:rsidRPr="00CD25F9" w:rsidRDefault="00000000">
      <w:pPr>
        <w:rPr>
          <w:rFonts w:asciiTheme="minorBidi"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 xml:space="preserve">'A nightmare: 1.4 million girls in Afghanistan have been denied their right to education since 2021' Women's Agenda (2024) URL: </w:t>
      </w:r>
      <w:hyperlink r:id="rId27">
        <w:r w:rsidRPr="00CD25F9">
          <w:rPr>
            <w:rFonts w:asciiTheme="minorBidi" w:eastAsia="Arial" w:hAnsiTheme="minorBidi" w:cstheme="minorBidi"/>
            <w:color w:val="1155CC"/>
            <w:sz w:val="18"/>
            <w:szCs w:val="18"/>
            <w:u w:val="single"/>
          </w:rPr>
          <w:t>https://womensagenda.com.au/latest/a-nightmare-1-4-million-girls-in-afghanistan-have-been-denied-their-right-to-education-since-2021/</w:t>
        </w:r>
      </w:hyperlink>
    </w:p>
  </w:footnote>
  <w:footnote w:id="24">
    <w:p w:rsidR="00D84AFD" w:rsidRPr="00CD25F9" w:rsidRDefault="00000000">
      <w:pPr>
        <w:rPr>
          <w:rFonts w:asciiTheme="minorBidi" w:hAnsiTheme="minorBidi" w:cstheme="minorBidi"/>
          <w:sz w:val="18"/>
          <w:szCs w:val="18"/>
        </w:rPr>
      </w:pPr>
      <w:r w:rsidRPr="00CD25F9">
        <w:rPr>
          <w:rStyle w:val="FootnoteReference"/>
          <w:vertAlign w:val="superscript"/>
        </w:rPr>
        <w:footnoteRef/>
      </w:r>
      <w:r w:rsidRPr="00CD25F9">
        <w:rPr>
          <w:rFonts w:asciiTheme="minorBidi" w:hAnsiTheme="minorBidi" w:cstheme="minorBidi"/>
          <w:sz w:val="18"/>
          <w:szCs w:val="18"/>
        </w:rPr>
        <w:t xml:space="preserve"> </w:t>
      </w:r>
      <w:r w:rsidRPr="00CD25F9">
        <w:rPr>
          <w:rFonts w:asciiTheme="minorBidi" w:eastAsia="Arial" w:hAnsiTheme="minorBidi" w:cstheme="minorBidi"/>
          <w:sz w:val="18"/>
          <w:szCs w:val="18"/>
        </w:rPr>
        <w:t xml:space="preserve">‘The Erasure of Women’ Afghan Witness (2024) URL: </w:t>
      </w:r>
      <w:hyperlink r:id="rId28">
        <w:r w:rsidRPr="00CD25F9">
          <w:rPr>
            <w:rFonts w:asciiTheme="minorBidi" w:eastAsia="Arial" w:hAnsiTheme="minorBidi" w:cstheme="minorBidi"/>
            <w:color w:val="1155CC"/>
            <w:sz w:val="18"/>
            <w:szCs w:val="18"/>
            <w:u w:val="single"/>
          </w:rPr>
          <w:t>https://www.afghanwitness.org/reports/the-erasure-of-women</w:t>
        </w:r>
      </w:hyperlink>
    </w:p>
  </w:footnote>
  <w:footnote w:id="25">
    <w:p w:rsidR="00D84AFD" w:rsidRPr="00CD25F9" w:rsidRDefault="00000000">
      <w:pPr>
        <w:rPr>
          <w:rFonts w:asciiTheme="minorBidi" w:eastAsia="Arial" w:hAnsiTheme="minorBidi" w:cstheme="minorBidi"/>
          <w:sz w:val="18"/>
          <w:szCs w:val="18"/>
        </w:rPr>
      </w:pPr>
      <w:r w:rsidRPr="00CD25F9">
        <w:rPr>
          <w:rStyle w:val="FootnoteReference"/>
          <w:vertAlign w:val="superscript"/>
        </w:rPr>
        <w:footnoteRef/>
      </w:r>
      <w:r w:rsidRPr="00CD25F9">
        <w:rPr>
          <w:rFonts w:asciiTheme="minorBidi" w:eastAsia="Arial" w:hAnsiTheme="minorBidi" w:cstheme="minorBidi"/>
          <w:sz w:val="18"/>
          <w:szCs w:val="18"/>
        </w:rPr>
        <w:t xml:space="preserve"> UNESCO: Protecting the Right to Education for all Afghans, URL: </w:t>
      </w:r>
      <w:hyperlink r:id="rId29" w:anchor=":~:text=Education%20in%20Afghanistan&amp;text=Since%2020%20December%202022%2C%20women,what's%20at%20stake%20in%20Afghanistan%3F">
        <w:r w:rsidRPr="00CD25F9">
          <w:rPr>
            <w:rFonts w:asciiTheme="minorBidi" w:eastAsia="Arial" w:hAnsiTheme="minorBidi" w:cstheme="minorBidi"/>
            <w:color w:val="1155CC"/>
            <w:sz w:val="18"/>
            <w:szCs w:val="18"/>
            <w:u w:val="single"/>
          </w:rPr>
          <w:t>https://www.unesco.org/en/emergencies/education/afghanistan#:~:text=Education%20in%20Afghanistan&amp;text=Since%2020%20December%202022%2C%20women,what's%20at%20stake%20in%20Afghanistan%3F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AFD" w:rsidRDefault="00D84AFD">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AFD" w:rsidRDefault="00D84AFD">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AFD" w:rsidRDefault="00D84AFD">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66AFB"/>
    <w:multiLevelType w:val="multilevel"/>
    <w:tmpl w:val="BC50FB5C"/>
    <w:lvl w:ilvl="0">
      <w:start w:val="1"/>
      <w:numFmt w:val="bullet"/>
      <w:pStyle w:val="NoSpacing"/>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0169C3"/>
    <w:multiLevelType w:val="multilevel"/>
    <w:tmpl w:val="4D180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312532"/>
    <w:multiLevelType w:val="multilevel"/>
    <w:tmpl w:val="53AEBE08"/>
    <w:lvl w:ilvl="0">
      <w:start w:val="1"/>
      <w:numFmt w:val="bullet"/>
      <w:pStyle w:val="Heading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E9293D"/>
    <w:multiLevelType w:val="hybridMultilevel"/>
    <w:tmpl w:val="9DA2EC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6F3E48"/>
    <w:multiLevelType w:val="multilevel"/>
    <w:tmpl w:val="103884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9CB32FF"/>
    <w:multiLevelType w:val="multilevel"/>
    <w:tmpl w:val="43C085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BE2734B"/>
    <w:multiLevelType w:val="hybridMultilevel"/>
    <w:tmpl w:val="95F6859C"/>
    <w:lvl w:ilvl="0" w:tplc="08090001">
      <w:start w:val="1"/>
      <w:numFmt w:val="bullet"/>
      <w:lvlText w:val=""/>
      <w:lvlJc w:val="left"/>
      <w:pPr>
        <w:ind w:left="720" w:hanging="360"/>
      </w:pPr>
      <w:rPr>
        <w:rFonts w:ascii="Symbol" w:hAnsi="Symbol" w:hint="default"/>
      </w:rPr>
    </w:lvl>
    <w:lvl w:ilvl="1" w:tplc="1BA84F8A">
      <w:start w:val="1"/>
      <w:numFmt w:val="bullet"/>
      <w:lvlText w:val="o"/>
      <w:lvlJc w:val="left"/>
      <w:pPr>
        <w:ind w:left="1440" w:hanging="360"/>
      </w:pPr>
      <w:rPr>
        <w:rFonts w:ascii="Courier New" w:hAnsi="Courier New" w:cs="Courier New" w:hint="default"/>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8445A4"/>
    <w:multiLevelType w:val="multilevel"/>
    <w:tmpl w:val="C2048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66251E"/>
    <w:multiLevelType w:val="multilevel"/>
    <w:tmpl w:val="743C8F8C"/>
    <w:lvl w:ilvl="0">
      <w:start w:val="1"/>
      <w:numFmt w:val="decimal"/>
      <w:lvlText w:val="%1."/>
      <w:lvlJc w:val="left"/>
      <w:pPr>
        <w:ind w:left="720" w:hanging="720"/>
      </w:pPr>
      <w:rPr>
        <w:i w:val="0"/>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 w15:restartNumberingAfterBreak="0">
    <w:nsid w:val="67614E8A"/>
    <w:multiLevelType w:val="multilevel"/>
    <w:tmpl w:val="1A5E099A"/>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D952F5"/>
    <w:multiLevelType w:val="hybridMultilevel"/>
    <w:tmpl w:val="A4B0A6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1A6CFC"/>
    <w:multiLevelType w:val="multilevel"/>
    <w:tmpl w:val="AA60A3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7D741D5"/>
    <w:multiLevelType w:val="multilevel"/>
    <w:tmpl w:val="AC42F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4106892">
    <w:abstractNumId w:val="7"/>
  </w:num>
  <w:num w:numId="2" w16cid:durableId="1496073618">
    <w:abstractNumId w:val="12"/>
  </w:num>
  <w:num w:numId="3" w16cid:durableId="178282475">
    <w:abstractNumId w:val="0"/>
  </w:num>
  <w:num w:numId="4" w16cid:durableId="315107835">
    <w:abstractNumId w:val="2"/>
  </w:num>
  <w:num w:numId="5" w16cid:durableId="903686138">
    <w:abstractNumId w:val="8"/>
  </w:num>
  <w:num w:numId="6" w16cid:durableId="1734348924">
    <w:abstractNumId w:val="11"/>
  </w:num>
  <w:num w:numId="7" w16cid:durableId="917714028">
    <w:abstractNumId w:val="1"/>
  </w:num>
  <w:num w:numId="8" w16cid:durableId="2037273047">
    <w:abstractNumId w:val="5"/>
  </w:num>
  <w:num w:numId="9" w16cid:durableId="558394946">
    <w:abstractNumId w:val="9"/>
  </w:num>
  <w:num w:numId="10" w16cid:durableId="591742280">
    <w:abstractNumId w:val="4"/>
  </w:num>
  <w:num w:numId="11" w16cid:durableId="1305551374">
    <w:abstractNumId w:val="3"/>
  </w:num>
  <w:num w:numId="12" w16cid:durableId="1205674952">
    <w:abstractNumId w:val="10"/>
  </w:num>
  <w:num w:numId="13" w16cid:durableId="14028667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AFD"/>
    <w:rsid w:val="00177AE2"/>
    <w:rsid w:val="00220653"/>
    <w:rsid w:val="00341C20"/>
    <w:rsid w:val="009C2277"/>
    <w:rsid w:val="00CD25F9"/>
    <w:rsid w:val="00D84AFD"/>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5:docId w15:val="{BC69CC0F-2CF5-1A40-8918-C1E5B43B5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F5D"/>
  </w:style>
  <w:style w:type="paragraph" w:styleId="Heading1">
    <w:name w:val="heading 1"/>
    <w:basedOn w:val="Normal1"/>
    <w:next w:val="Normal1"/>
    <w:link w:val="Heading1Char"/>
    <w:uiPriority w:val="9"/>
    <w:qFormat/>
    <w:rsid w:val="00892FA5"/>
    <w:pPr>
      <w:shd w:val="clear" w:color="auto" w:fill="BD0014"/>
      <w:tabs>
        <w:tab w:val="left" w:pos="270"/>
        <w:tab w:val="left" w:pos="630"/>
      </w:tabs>
      <w:spacing w:after="0" w:line="240" w:lineRule="auto"/>
      <w:ind w:left="540" w:hanging="540"/>
      <w:outlineLvl w:val="0"/>
    </w:pPr>
    <w:rPr>
      <w:rFonts w:asciiTheme="minorBidi" w:eastAsia="Arial" w:hAnsiTheme="minorBidi" w:cstheme="minorBidi"/>
      <w:b/>
      <w:smallCaps/>
      <w:color w:val="FFFFFF"/>
      <w:sz w:val="28"/>
      <w:szCs w:val="28"/>
    </w:rPr>
  </w:style>
  <w:style w:type="paragraph" w:styleId="Heading2">
    <w:name w:val="heading 2"/>
    <w:basedOn w:val="Normal1"/>
    <w:next w:val="Normal1"/>
    <w:link w:val="Heading2Char"/>
    <w:uiPriority w:val="9"/>
    <w:unhideWhenUsed/>
    <w:qFormat/>
    <w:rsid w:val="00892FA5"/>
    <w:pPr>
      <w:numPr>
        <w:numId w:val="4"/>
      </w:numPr>
      <w:shd w:val="clear" w:color="auto" w:fill="FCB040"/>
      <w:spacing w:before="40" w:after="40" w:line="240" w:lineRule="auto"/>
      <w:ind w:left="270" w:hanging="270"/>
      <w:outlineLvl w:val="1"/>
    </w:pPr>
    <w:rPr>
      <w:rFonts w:asciiTheme="minorBidi" w:eastAsia="Arial" w:hAnsiTheme="minorBidi" w:cstheme="minorBidi"/>
      <w:b/>
      <w:smallCaps/>
      <w:sz w:val="24"/>
      <w:szCs w:val="24"/>
    </w:rPr>
  </w:style>
  <w:style w:type="paragraph" w:styleId="Heading3">
    <w:name w:val="heading 3"/>
    <w:basedOn w:val="Normal1"/>
    <w:next w:val="Normal1"/>
    <w:link w:val="Heading3Char"/>
    <w:uiPriority w:val="9"/>
    <w:semiHidden/>
    <w:unhideWhenUsed/>
    <w:qFormat/>
    <w:rsid w:val="00E26F24"/>
    <w:pPr>
      <w:spacing w:line="240" w:lineRule="auto"/>
      <w:outlineLvl w:val="2"/>
    </w:pPr>
    <w:rPr>
      <w:rFonts w:ascii="Arial" w:eastAsia="Arial" w:hAnsi="Arial" w:cs="Arial"/>
      <w:b/>
    </w:rPr>
  </w:style>
  <w:style w:type="paragraph" w:styleId="Heading4">
    <w:name w:val="heading 4"/>
    <w:basedOn w:val="Normal1"/>
    <w:next w:val="Normal1"/>
    <w:link w:val="Heading4Char"/>
    <w:uiPriority w:val="9"/>
    <w:semiHidden/>
    <w:unhideWhenUsed/>
    <w:qFormat/>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uiPriority w:val="9"/>
    <w:semiHidden/>
    <w:unhideWhenUsed/>
    <w:qFormat/>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uiPriority w:val="9"/>
    <w:semiHidden/>
    <w:unhideWhenUsed/>
    <w:qFormat/>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link w:val="TitleChar"/>
    <w:uiPriority w:val="10"/>
    <w:qFormat/>
    <w:rsid w:val="00E26F24"/>
    <w:pPr>
      <w:spacing w:before="0" w:after="0"/>
    </w:pPr>
    <w:rPr>
      <w:smallCaps/>
      <w:color w:val="0673A5"/>
      <w:sz w:val="52"/>
      <w:szCs w:val="52"/>
    </w:rPr>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
    <w:next w:val="Normal"/>
    <w:link w:val="SubtitleChar"/>
    <w:uiPriority w:val="11"/>
    <w:qFormat/>
    <w:pPr>
      <w:pBdr>
        <w:top w:val="nil"/>
        <w:left w:val="nil"/>
        <w:bottom w:val="nil"/>
        <w:right w:val="nil"/>
        <w:between w:val="nil"/>
      </w:pBdr>
      <w:spacing w:before="120" w:after="160" w:line="264" w:lineRule="auto"/>
    </w:pPr>
    <w:rPr>
      <w:rFonts w:ascii="Corbel" w:eastAsia="Corbel" w:hAnsi="Corbel" w:cs="Corbel"/>
      <w:color w:val="404040"/>
      <w:sz w:val="22"/>
      <w:szCs w:val="22"/>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unhideWhenUsed/>
    <w:rsid w:val="00E26F24"/>
  </w:style>
  <w:style w:type="character" w:customStyle="1" w:styleId="CommentTextChar">
    <w:name w:val="Comment Text Char"/>
    <w:basedOn w:val="DefaultParagraphFont"/>
    <w:link w:val="CommentText"/>
    <w:uiPriority w:val="99"/>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505165"/>
    <w:pPr>
      <w:tabs>
        <w:tab w:val="center" w:pos="4320"/>
        <w:tab w:val="right" w:pos="8640"/>
      </w:tabs>
    </w:pPr>
    <w:rPr>
      <w:rFonts w:ascii="Arial" w:hAnsi="Arial"/>
      <w:sz w:val="16"/>
    </w:rPr>
  </w:style>
  <w:style w:type="character" w:customStyle="1" w:styleId="FooterChar">
    <w:name w:val="Footer Char"/>
    <w:basedOn w:val="DefaultParagraphFont"/>
    <w:link w:val="Footer"/>
    <w:uiPriority w:val="99"/>
    <w:rsid w:val="00505165"/>
    <w:rPr>
      <w:rFonts w:ascii="Arial" w:hAnsi="Arial"/>
      <w:sz w:val="16"/>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8C1050"/>
    <w:pPr>
      <w:tabs>
        <w:tab w:val="right" w:leader="dot" w:pos="8910"/>
      </w:tabs>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customStyle="1" w:styleId="FootnoteText1">
    <w:name w:val="Footnote Text1"/>
    <w:basedOn w:val="Normal"/>
    <w:next w:val="Footnote"/>
    <w:autoRedefine/>
    <w:qFormat/>
    <w:rsid w:val="00CD25F9"/>
    <w:rPr>
      <w:rFonts w:ascii="Arial" w:hAnsi="Arial" w:cs="Arial"/>
      <w:sz w:val="18"/>
    </w:rPr>
  </w:style>
  <w:style w:type="character" w:styleId="FootnoteReference">
    <w:name w:val="footnote reference"/>
    <w:uiPriority w:val="99"/>
    <w:unhideWhenUsed/>
    <w:rsid w:val="00CD25F9"/>
    <w:rPr>
      <w:rFonts w:asciiTheme="minorBidi" w:hAnsiTheme="minorBidi" w:cstheme="minorBidi"/>
      <w:sz w:val="18"/>
      <w:szCs w:val="18"/>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1"/>
    <w:uiPriority w:val="99"/>
    <w:unhideWhenUsed/>
    <w:rsid w:val="00D829C6"/>
    <w:pPr>
      <w:spacing w:line="240" w:lineRule="auto"/>
    </w:pPr>
    <w:rPr>
      <w:rFonts w:ascii="Arial" w:eastAsia="Arial" w:hAnsi="Arial" w:cs="Arial"/>
      <w:color w:val="2C2C2C"/>
    </w:rPr>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 w:type="paragraph" w:customStyle="1" w:styleId="Default">
    <w:name w:val="Default"/>
    <w:rsid w:val="007C55CD"/>
    <w:pPr>
      <w:autoSpaceDE w:val="0"/>
      <w:autoSpaceDN w:val="0"/>
      <w:adjustRightInd w:val="0"/>
    </w:pPr>
    <w:rPr>
      <w:rFonts w:ascii="Arial" w:eastAsia="Arial" w:hAnsi="Arial" w:cs="Arial"/>
      <w:color w:val="000000"/>
      <w:lang w:val="en-GB"/>
    </w:rPr>
  </w:style>
  <w:style w:type="character" w:styleId="PageNumber">
    <w:name w:val="page number"/>
    <w:basedOn w:val="DefaultParagraphFont"/>
    <w:uiPriority w:val="99"/>
    <w:semiHidden/>
    <w:unhideWhenUsed/>
    <w:rsid w:val="00F97BAE"/>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customStyle="1" w:styleId="None">
    <w:name w:val="None"/>
    <w:rsid w:val="003B19C8"/>
  </w:style>
  <w:style w:type="table" w:styleId="TableGrid">
    <w:name w:val="Table Grid"/>
    <w:basedOn w:val="TableNormal"/>
    <w:uiPriority w:val="39"/>
    <w:rsid w:val="00D77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1500"/>
    <w:pPr>
      <w:spacing w:after="200"/>
    </w:pPr>
    <w:rPr>
      <w:i/>
      <w:iCs/>
      <w:color w:val="44546A" w:themeColor="text2"/>
      <w:sz w:val="18"/>
      <w:szCs w:val="18"/>
    </w:rPr>
  </w:style>
  <w:style w:type="paragraph" w:customStyle="1" w:styleId="Style1">
    <w:name w:val="Style1"/>
    <w:basedOn w:val="Normal"/>
    <w:autoRedefine/>
    <w:qFormat/>
    <w:rsid w:val="00947DFA"/>
    <w:rPr>
      <w:rFonts w:ascii="Arial" w:hAnsi="Arial" w:cs="Arial"/>
      <w:sz w:val="18"/>
      <w:szCs w:val="16"/>
    </w:rPr>
  </w:style>
  <w:style w:type="paragraph" w:customStyle="1" w:styleId="Footnote">
    <w:name w:val="Footnote"/>
    <w:basedOn w:val="Normal"/>
    <w:autoRedefine/>
    <w:qFormat/>
    <w:rsid w:val="00CD25F9"/>
    <w:rPr>
      <w:rFonts w:asciiTheme="minorBidi" w:hAnsiTheme="minorBidi"/>
      <w:sz w:val="18"/>
      <w:szCs w:val="16"/>
      <w:vertAlign w:val="superscript"/>
    </w:rPr>
  </w:style>
  <w:style w:type="paragraph" w:styleId="FootnoteText">
    <w:name w:val="footnote text"/>
    <w:basedOn w:val="Normal"/>
    <w:link w:val="FootnoteTextChar"/>
    <w:uiPriority w:val="99"/>
    <w:semiHidden/>
    <w:unhideWhenUsed/>
    <w:qFormat/>
    <w:rsid w:val="00C41BCD"/>
    <w:rPr>
      <w:sz w:val="20"/>
      <w:szCs w:val="20"/>
    </w:rPr>
  </w:style>
  <w:style w:type="character" w:customStyle="1" w:styleId="FootnoteTextChar">
    <w:name w:val="Footnote Text Char"/>
    <w:basedOn w:val="DefaultParagraphFont"/>
    <w:link w:val="FootnoteText"/>
    <w:uiPriority w:val="99"/>
    <w:semiHidden/>
    <w:rsid w:val="00C41BCD"/>
    <w:rPr>
      <w:sz w:val="20"/>
      <w:szCs w:val="20"/>
    </w:r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wearesahr.or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usawah.or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musawah@musawah.org" TargetMode="External"/><Relationship Id="rId14" Type="http://schemas.openxmlformats.org/officeDocument/2006/relationships/footer" Target="footer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voanews.com/a/q-a-nine-out-of-10-afghan-households-lack-adequate-food-wfp-top-official-says/7168563.html" TargetMode="External"/><Relationship Id="rId13" Type="http://schemas.openxmlformats.org/officeDocument/2006/relationships/hyperlink" Target="https://www.nature.com/articles/d41586-024-02626-9" TargetMode="External"/><Relationship Id="rId18" Type="http://schemas.openxmlformats.org/officeDocument/2006/relationships/hyperlink" Target="https://www.ohchr.org/en/press-releases/2024/02/gender-apartheid-must-be-recognised-crime-against-humanity-un-experts-say" TargetMode="External"/><Relationship Id="rId26" Type="http://schemas.openxmlformats.org/officeDocument/2006/relationships/hyperlink" Target="https://reliefweb.int/report/afghanistan/situation-human-rights-afghanistan-report-special-rapporteur-situation-human-rights-afghanistan-advance-edited-version-ahrc5580" TargetMode="External"/><Relationship Id="rId3" Type="http://schemas.openxmlformats.org/officeDocument/2006/relationships/hyperlink" Target="https://www.ipcinfo.org/ipc-country-analysis/details-map/en/c/1156740/" TargetMode="External"/><Relationship Id="rId21" Type="http://schemas.openxmlformats.org/officeDocument/2006/relationships/hyperlink" Target="https://kabulnow.com/2024/10/un-report-womens-access-to-justice-under-taliban-sharply-worsens-leaving-them-excluded-and-vulnerable/" TargetMode="External"/><Relationship Id="rId7" Type="http://schemas.openxmlformats.org/officeDocument/2006/relationships/hyperlink" Target="https://data.unhcr.org/en/documents/download/116196" TargetMode="External"/><Relationship Id="rId12" Type="http://schemas.openxmlformats.org/officeDocument/2006/relationships/hyperlink" Target="https://www.unwomen.org/sites/default/files/2024-06/Gender-country-profile-Afghanistan-Executive-summary-en.pdf" TargetMode="External"/><Relationship Id="rId17" Type="http://schemas.openxmlformats.org/officeDocument/2006/relationships/hyperlink" Target="https://www.ohchr.org/en/meeting-summaries/2024/06/human-rights-council-hears-severity-violations-against-women-and-girls" TargetMode="External"/><Relationship Id="rId25" Type="http://schemas.openxmlformats.org/officeDocument/2006/relationships/hyperlink" Target="https://www.unesco.org/en/articles/let-girls-and-women-afghanistan-learn" TargetMode="External"/><Relationship Id="rId2" Type="http://schemas.openxmlformats.org/officeDocument/2006/relationships/hyperlink" Target="https://www.ipcinfo.org/ipc-country-analysis/details-map/en/c/1156740/" TargetMode="External"/><Relationship Id="rId16" Type="http://schemas.openxmlformats.org/officeDocument/2006/relationships/hyperlink" Target="https://www.ohchr.org/en/meeting-summaries/2024/06/human-rights-council-hears-severity-violations-against-women-and-girls" TargetMode="External"/><Relationship Id="rId20" Type="http://schemas.openxmlformats.org/officeDocument/2006/relationships/hyperlink" Target="https://www.aljazeera.com/news/2024/12/30/afghanistans-taliban-rulers-say-will-close-all-ngos-employing-women" TargetMode="External"/><Relationship Id="rId29" Type="http://schemas.openxmlformats.org/officeDocument/2006/relationships/hyperlink" Target="https://www.unesco.org/en/emergencies/education/afghanistan" TargetMode="External"/><Relationship Id="rId1" Type="http://schemas.openxmlformats.org/officeDocument/2006/relationships/hyperlink" Target="https://www.unicef.org/media/149911/file/2024-HAC-Afghanistan.pdf" TargetMode="External"/><Relationship Id="rId6" Type="http://schemas.openxmlformats.org/officeDocument/2006/relationships/hyperlink" Target="https://data.unhcr.org/en/documents/download/116196" TargetMode="External"/><Relationship Id="rId11" Type="http://schemas.openxmlformats.org/officeDocument/2006/relationships/hyperlink" Target="https://globalprotectioncluster.org/sites/default/files/2025-02/afghanistan_pau_dec_2024_final.pdf" TargetMode="External"/><Relationship Id="rId24" Type="http://schemas.openxmlformats.org/officeDocument/2006/relationships/hyperlink" Target="https://zantimes.com/2024/09/03/locked-in-suffering-talibans-stance-on-divorce-leaves-afghan-women-in-despair/" TargetMode="External"/><Relationship Id="rId5" Type="http://schemas.openxmlformats.org/officeDocument/2006/relationships/hyperlink" Target="https://www.unocha.org/publications/report/afghanistan/afghanistan-humanitarian-update-june-2024" TargetMode="External"/><Relationship Id="rId15" Type="http://schemas.openxmlformats.org/officeDocument/2006/relationships/hyperlink" Target="https://press.un.org/en/2023/sc15222.doc.htm" TargetMode="External"/><Relationship Id="rId23" Type="http://schemas.openxmlformats.org/officeDocument/2006/relationships/hyperlink" Target="https://www.voanews.com/a/taliban-send-victims-of-domestic-violence-to-prison-/7520432.html" TargetMode="External"/><Relationship Id="rId28" Type="http://schemas.openxmlformats.org/officeDocument/2006/relationships/hyperlink" Target="https://www.afghanwitness.org/reports/the-erasure-of-women" TargetMode="External"/><Relationship Id="rId10" Type="http://schemas.openxmlformats.org/officeDocument/2006/relationships/hyperlink" Target="https://reliefweb.int/report/afghanistan/afghanistan-humanitarian-access-snapshot-january-2024?_gl=1*lb4y6h*_ga*MTcxNTU2NzM3LjE3NDczOTEzNDc.*_ga_E60ZNX2F68*czE3NDczOTM2NzQkbzIkZzEkdDE3NDczOTc1ODckajYwJGwwJGgw" TargetMode="External"/><Relationship Id="rId19" Type="http://schemas.openxmlformats.org/officeDocument/2006/relationships/hyperlink" Target="https://www.ohchr.org/en/documents/country-reports/ahrc5580-situation-human-rights-afghanistan-report-special-rapporteur" TargetMode="External"/><Relationship Id="rId4" Type="http://schemas.openxmlformats.org/officeDocument/2006/relationships/hyperlink" Target="https://www.ipcinfo.org/ipc-country-analysis/details-map/en/c/1159436/?iso3=AFG" TargetMode="External"/><Relationship Id="rId9" Type="http://schemas.openxmlformats.org/officeDocument/2006/relationships/hyperlink" Target="https://reliefweb.int/report/afghanistan/tracking-impact-report-ban-women-working-ngos-ingos-and-un-afghanistan-eighth-snapshot-march-2024" TargetMode="External"/><Relationship Id="rId14" Type="http://schemas.openxmlformats.org/officeDocument/2006/relationships/hyperlink" Target="https://www.ohchr.org/en/press-releases/2023/03/afghanistan-un-experts-say-20-years-progress-women-and-girls-rights-erased" TargetMode="External"/><Relationship Id="rId22" Type="http://schemas.openxmlformats.org/officeDocument/2006/relationships/hyperlink" Target="https://www.isas.nus.edu.sg/papers/remaking-of-afghanistan-how-the-taliban-are-changing-afghanistans-laws-and-legal-institutions/" TargetMode="External"/><Relationship Id="rId27" Type="http://schemas.openxmlformats.org/officeDocument/2006/relationships/hyperlink" Target="https://womensagenda.com.au/latest/a-nightmare-1-4-million-girls-in-afghanistan-have-been-denied-their-right-to-education-since-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MQcAXPoeCgGF+YTYX5QQuUQBtg==">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6386</Words>
  <Characters>35062</Characters>
  <Application>Microsoft Office Word</Application>
  <DocSecurity>0</DocSecurity>
  <Lines>604</Lines>
  <Paragraphs>156</Paragraphs>
  <ScaleCrop>false</ScaleCrop>
  <Company/>
  <LinksUpToDate>false</LinksUpToDate>
  <CharactersWithSpaces>41292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Waheedi, Salma</dc:creator>
  <cp:lastModifiedBy>Ansari, Fer Ghanaa-HLSCLINICS</cp:lastModifiedBy>
  <cp:revision>4</cp:revision>
  <dcterms:created xsi:type="dcterms:W3CDTF">2024-04-13T04:00:00Z</dcterms:created>
  <dcterms:modified xsi:type="dcterms:W3CDTF">2025-05-19T12:04:00Z</dcterms:modified>
</cp:coreProperties>
</file>