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6D4" w:rsidRPr="0007351E" w:rsidRDefault="004136D4" w:rsidP="004136D4">
      <w:pPr>
        <w:jc w:val="center"/>
        <w:rPr>
          <w:b/>
          <w:sz w:val="28"/>
        </w:rPr>
      </w:pPr>
      <w:r w:rsidRPr="0007351E">
        <w:rPr>
          <w:b/>
          <w:bCs/>
          <w:sz w:val="28"/>
        </w:rPr>
        <w:t>Comité des droits économiques, sociaux et culturels (CESCR)</w:t>
      </w:r>
    </w:p>
    <w:p w:rsidR="004136D4" w:rsidRPr="0007351E" w:rsidRDefault="00571106" w:rsidP="004136D4">
      <w:pPr>
        <w:jc w:val="center"/>
        <w:rPr>
          <w:b/>
          <w:sz w:val="28"/>
        </w:rPr>
      </w:pPr>
      <w:r>
        <w:rPr>
          <w:b/>
          <w:sz w:val="28"/>
        </w:rPr>
        <w:t>Examen du Luxembourg (6-</w:t>
      </w:r>
      <w:r w:rsidR="004136D4" w:rsidRPr="0007351E">
        <w:rPr>
          <w:b/>
          <w:sz w:val="28"/>
        </w:rPr>
        <w:t>7 octobre 2022)</w:t>
      </w:r>
    </w:p>
    <w:p w:rsidR="004136D4" w:rsidRPr="0007351E" w:rsidRDefault="004136D4" w:rsidP="004136D4">
      <w:pPr>
        <w:jc w:val="center"/>
        <w:rPr>
          <w:i/>
          <w:sz w:val="24"/>
          <w:u w:val="single"/>
        </w:rPr>
      </w:pPr>
      <w:r w:rsidRPr="0007351E">
        <w:rPr>
          <w:i/>
          <w:sz w:val="24"/>
          <w:u w:val="single"/>
        </w:rPr>
        <w:t>Informations supplémentaires</w:t>
      </w:r>
    </w:p>
    <w:p w:rsidR="00D80456" w:rsidRPr="00D80456" w:rsidRDefault="00D80456" w:rsidP="00D80456">
      <w:pPr>
        <w:pStyle w:val="TOC1"/>
      </w:pPr>
      <w:r w:rsidRPr="00D80456">
        <w:t>Table des Matières</w:t>
      </w:r>
    </w:p>
    <w:p w:rsidR="0043603E" w:rsidRDefault="00D80456">
      <w:pPr>
        <w:pStyle w:val="TOC1"/>
        <w:tabs>
          <w:tab w:val="right" w:pos="9016"/>
        </w:tabs>
        <w:rPr>
          <w:rFonts w:eastAsiaTheme="minorEastAsia" w:cstheme="minorBidi"/>
          <w:b w:val="0"/>
          <w:bCs w:val="0"/>
          <w:caps w:val="0"/>
          <w:noProof/>
          <w:sz w:val="22"/>
          <w:szCs w:val="22"/>
          <w:lang w:val="en-US"/>
        </w:rPr>
      </w:pPr>
      <w:r>
        <w:rPr>
          <w:b w:val="0"/>
          <w:bCs w:val="0"/>
          <w:caps w:val="0"/>
          <w:highlight w:val="yellow"/>
        </w:rPr>
        <w:fldChar w:fldCharType="begin"/>
      </w:r>
      <w:r>
        <w:rPr>
          <w:b w:val="0"/>
          <w:bCs w:val="0"/>
          <w:caps w:val="0"/>
          <w:highlight w:val="yellow"/>
        </w:rPr>
        <w:instrText xml:space="preserve"> TOC \o "1-5" \h \z \u </w:instrText>
      </w:r>
      <w:r>
        <w:rPr>
          <w:b w:val="0"/>
          <w:bCs w:val="0"/>
          <w:caps w:val="0"/>
          <w:highlight w:val="yellow"/>
        </w:rPr>
        <w:fldChar w:fldCharType="separate"/>
      </w:r>
      <w:hyperlink w:anchor="_Toc116401301" w:history="1">
        <w:r w:rsidR="0043603E" w:rsidRPr="00B4129A">
          <w:rPr>
            <w:rStyle w:val="Hyperlink"/>
            <w:noProof/>
          </w:rPr>
          <w:t>CLUSTER 1</w:t>
        </w:r>
        <w:r w:rsidR="0043603E">
          <w:rPr>
            <w:noProof/>
            <w:webHidden/>
          </w:rPr>
          <w:tab/>
        </w:r>
        <w:r w:rsidR="0043603E">
          <w:rPr>
            <w:noProof/>
            <w:webHidden/>
          </w:rPr>
          <w:fldChar w:fldCharType="begin"/>
        </w:r>
        <w:r w:rsidR="0043603E">
          <w:rPr>
            <w:noProof/>
            <w:webHidden/>
          </w:rPr>
          <w:instrText xml:space="preserve"> PAGEREF _Toc116401301 \h </w:instrText>
        </w:r>
        <w:r w:rsidR="0043603E">
          <w:rPr>
            <w:noProof/>
            <w:webHidden/>
          </w:rPr>
        </w:r>
        <w:r w:rsidR="0043603E">
          <w:rPr>
            <w:noProof/>
            <w:webHidden/>
          </w:rPr>
          <w:fldChar w:fldCharType="separate"/>
        </w:r>
        <w:r w:rsidR="0043603E">
          <w:rPr>
            <w:noProof/>
            <w:webHidden/>
          </w:rPr>
          <w:t>3</w:t>
        </w:r>
        <w:r w:rsidR="0043603E">
          <w:rPr>
            <w:noProof/>
            <w:webHidden/>
          </w:rPr>
          <w:fldChar w:fldCharType="end"/>
        </w:r>
      </w:hyperlink>
    </w:p>
    <w:p w:rsidR="0043603E" w:rsidRDefault="005960D7">
      <w:pPr>
        <w:pStyle w:val="TOC2"/>
        <w:tabs>
          <w:tab w:val="right" w:pos="9016"/>
        </w:tabs>
        <w:rPr>
          <w:rFonts w:eastAsiaTheme="minorEastAsia" w:cstheme="minorBidi"/>
          <w:smallCaps w:val="0"/>
          <w:noProof/>
          <w:sz w:val="22"/>
          <w:szCs w:val="22"/>
          <w:lang w:val="en-US"/>
        </w:rPr>
      </w:pPr>
      <w:hyperlink w:anchor="_Toc116401302" w:history="1">
        <w:r w:rsidR="0043603E" w:rsidRPr="00B4129A">
          <w:rPr>
            <w:rStyle w:val="Hyperlink"/>
            <w:noProof/>
          </w:rPr>
          <w:t>Renseignements d’ordre général</w:t>
        </w:r>
        <w:r w:rsidR="0043603E">
          <w:rPr>
            <w:noProof/>
            <w:webHidden/>
          </w:rPr>
          <w:tab/>
        </w:r>
        <w:r w:rsidR="0043603E">
          <w:rPr>
            <w:noProof/>
            <w:webHidden/>
          </w:rPr>
          <w:fldChar w:fldCharType="begin"/>
        </w:r>
        <w:r w:rsidR="0043603E">
          <w:rPr>
            <w:noProof/>
            <w:webHidden/>
          </w:rPr>
          <w:instrText xml:space="preserve"> PAGEREF _Toc116401302 \h </w:instrText>
        </w:r>
        <w:r w:rsidR="0043603E">
          <w:rPr>
            <w:noProof/>
            <w:webHidden/>
          </w:rPr>
        </w:r>
        <w:r w:rsidR="0043603E">
          <w:rPr>
            <w:noProof/>
            <w:webHidden/>
          </w:rPr>
          <w:fldChar w:fldCharType="separate"/>
        </w:r>
        <w:r w:rsidR="0043603E">
          <w:rPr>
            <w:noProof/>
            <w:webHidden/>
          </w:rPr>
          <w:t>3</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03" w:history="1">
        <w:r w:rsidR="0043603E" w:rsidRPr="00B4129A">
          <w:rPr>
            <w:rStyle w:val="Hyperlink"/>
            <w:noProof/>
          </w:rPr>
          <w:t>Primauté du droit international sur les normes internes au Grand-Duché du Luxembourg</w:t>
        </w:r>
        <w:r w:rsidR="0043603E">
          <w:rPr>
            <w:noProof/>
            <w:webHidden/>
          </w:rPr>
          <w:tab/>
        </w:r>
        <w:r w:rsidR="0043603E">
          <w:rPr>
            <w:noProof/>
            <w:webHidden/>
          </w:rPr>
          <w:fldChar w:fldCharType="begin"/>
        </w:r>
        <w:r w:rsidR="0043603E">
          <w:rPr>
            <w:noProof/>
            <w:webHidden/>
          </w:rPr>
          <w:instrText xml:space="preserve"> PAGEREF _Toc116401303 \h </w:instrText>
        </w:r>
        <w:r w:rsidR="0043603E">
          <w:rPr>
            <w:noProof/>
            <w:webHidden/>
          </w:rPr>
        </w:r>
        <w:r w:rsidR="0043603E">
          <w:rPr>
            <w:noProof/>
            <w:webHidden/>
          </w:rPr>
          <w:fldChar w:fldCharType="separate"/>
        </w:r>
        <w:r w:rsidR="0043603E">
          <w:rPr>
            <w:noProof/>
            <w:webHidden/>
          </w:rPr>
          <w:t>3</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04" w:history="1">
        <w:r w:rsidR="0043603E" w:rsidRPr="00B4129A">
          <w:rPr>
            <w:rStyle w:val="Hyperlink"/>
            <w:noProof/>
          </w:rPr>
          <w:t>Réforme constitutionnelle – Prise en compte des avis de la Commission de Venise</w:t>
        </w:r>
        <w:r w:rsidR="0043603E">
          <w:rPr>
            <w:noProof/>
            <w:webHidden/>
          </w:rPr>
          <w:tab/>
        </w:r>
        <w:r w:rsidR="0043603E">
          <w:rPr>
            <w:noProof/>
            <w:webHidden/>
          </w:rPr>
          <w:fldChar w:fldCharType="begin"/>
        </w:r>
        <w:r w:rsidR="0043603E">
          <w:rPr>
            <w:noProof/>
            <w:webHidden/>
          </w:rPr>
          <w:instrText xml:space="preserve"> PAGEREF _Toc116401304 \h </w:instrText>
        </w:r>
        <w:r w:rsidR="0043603E">
          <w:rPr>
            <w:noProof/>
            <w:webHidden/>
          </w:rPr>
        </w:r>
        <w:r w:rsidR="0043603E">
          <w:rPr>
            <w:noProof/>
            <w:webHidden/>
          </w:rPr>
          <w:fldChar w:fldCharType="separate"/>
        </w:r>
        <w:r w:rsidR="0043603E">
          <w:rPr>
            <w:noProof/>
            <w:webHidden/>
          </w:rPr>
          <w:t>3</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05" w:history="1">
        <w:r w:rsidR="0043603E" w:rsidRPr="00B4129A">
          <w:rPr>
            <w:rStyle w:val="Hyperlink"/>
            <w:noProof/>
          </w:rPr>
          <w:t>Assistance judiciaire</w:t>
        </w:r>
        <w:r w:rsidR="0043603E">
          <w:rPr>
            <w:noProof/>
            <w:webHidden/>
          </w:rPr>
          <w:tab/>
        </w:r>
        <w:r w:rsidR="0043603E">
          <w:rPr>
            <w:noProof/>
            <w:webHidden/>
          </w:rPr>
          <w:fldChar w:fldCharType="begin"/>
        </w:r>
        <w:r w:rsidR="0043603E">
          <w:rPr>
            <w:noProof/>
            <w:webHidden/>
          </w:rPr>
          <w:instrText xml:space="preserve"> PAGEREF _Toc116401305 \h </w:instrText>
        </w:r>
        <w:r w:rsidR="0043603E">
          <w:rPr>
            <w:noProof/>
            <w:webHidden/>
          </w:rPr>
        </w:r>
        <w:r w:rsidR="0043603E">
          <w:rPr>
            <w:noProof/>
            <w:webHidden/>
          </w:rPr>
          <w:fldChar w:fldCharType="separate"/>
        </w:r>
        <w:r w:rsidR="0043603E">
          <w:rPr>
            <w:noProof/>
            <w:webHidden/>
          </w:rPr>
          <w:t>4</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06" w:history="1">
        <w:r w:rsidR="0043603E" w:rsidRPr="00B4129A">
          <w:rPr>
            <w:rStyle w:val="Hyperlink"/>
            <w:noProof/>
          </w:rPr>
          <w:t>Changement climatique – Actions des acteurs publics et privés pour évaluer l’impact de leurs politiques sur le climat</w:t>
        </w:r>
        <w:r w:rsidR="0043603E">
          <w:rPr>
            <w:noProof/>
            <w:webHidden/>
          </w:rPr>
          <w:tab/>
        </w:r>
        <w:r w:rsidR="0043603E">
          <w:rPr>
            <w:noProof/>
            <w:webHidden/>
          </w:rPr>
          <w:fldChar w:fldCharType="begin"/>
        </w:r>
        <w:r w:rsidR="0043603E">
          <w:rPr>
            <w:noProof/>
            <w:webHidden/>
          </w:rPr>
          <w:instrText xml:space="preserve"> PAGEREF _Toc116401306 \h </w:instrText>
        </w:r>
        <w:r w:rsidR="0043603E">
          <w:rPr>
            <w:noProof/>
            <w:webHidden/>
          </w:rPr>
        </w:r>
        <w:r w:rsidR="0043603E">
          <w:rPr>
            <w:noProof/>
            <w:webHidden/>
          </w:rPr>
          <w:fldChar w:fldCharType="separate"/>
        </w:r>
        <w:r w:rsidR="0043603E">
          <w:rPr>
            <w:noProof/>
            <w:webHidden/>
          </w:rPr>
          <w:t>5</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07"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Plan national intégré en matière d’énergie et de climat (PNEC)</w:t>
        </w:r>
        <w:r w:rsidR="0043603E">
          <w:rPr>
            <w:noProof/>
            <w:webHidden/>
          </w:rPr>
          <w:tab/>
        </w:r>
        <w:r w:rsidR="0043603E">
          <w:rPr>
            <w:noProof/>
            <w:webHidden/>
          </w:rPr>
          <w:fldChar w:fldCharType="begin"/>
        </w:r>
        <w:r w:rsidR="0043603E">
          <w:rPr>
            <w:noProof/>
            <w:webHidden/>
          </w:rPr>
          <w:instrText xml:space="preserve"> PAGEREF _Toc116401307 \h </w:instrText>
        </w:r>
        <w:r w:rsidR="0043603E">
          <w:rPr>
            <w:noProof/>
            <w:webHidden/>
          </w:rPr>
        </w:r>
        <w:r w:rsidR="0043603E">
          <w:rPr>
            <w:noProof/>
            <w:webHidden/>
          </w:rPr>
          <w:fldChar w:fldCharType="separate"/>
        </w:r>
        <w:r w:rsidR="0043603E">
          <w:rPr>
            <w:noProof/>
            <w:webHidden/>
          </w:rPr>
          <w:t>5</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08"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Etat des lieux de la politique climatique et énergétique au Luxembourg</w:t>
        </w:r>
        <w:r w:rsidR="0043603E">
          <w:rPr>
            <w:noProof/>
            <w:webHidden/>
          </w:rPr>
          <w:tab/>
        </w:r>
        <w:r w:rsidR="0043603E">
          <w:rPr>
            <w:noProof/>
            <w:webHidden/>
          </w:rPr>
          <w:fldChar w:fldCharType="begin"/>
        </w:r>
        <w:r w:rsidR="0043603E">
          <w:rPr>
            <w:noProof/>
            <w:webHidden/>
          </w:rPr>
          <w:instrText xml:space="preserve"> PAGEREF _Toc116401308 \h </w:instrText>
        </w:r>
        <w:r w:rsidR="0043603E">
          <w:rPr>
            <w:noProof/>
            <w:webHidden/>
          </w:rPr>
        </w:r>
        <w:r w:rsidR="0043603E">
          <w:rPr>
            <w:noProof/>
            <w:webHidden/>
          </w:rPr>
          <w:fldChar w:fldCharType="separate"/>
        </w:r>
        <w:r w:rsidR="0043603E">
          <w:rPr>
            <w:noProof/>
            <w:webHidden/>
          </w:rPr>
          <w:t>5</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09"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Observatoire de la politique climatique (OPC)</w:t>
        </w:r>
        <w:r w:rsidR="0043603E">
          <w:rPr>
            <w:noProof/>
            <w:webHidden/>
          </w:rPr>
          <w:tab/>
        </w:r>
        <w:r w:rsidR="0043603E">
          <w:rPr>
            <w:noProof/>
            <w:webHidden/>
          </w:rPr>
          <w:fldChar w:fldCharType="begin"/>
        </w:r>
        <w:r w:rsidR="0043603E">
          <w:rPr>
            <w:noProof/>
            <w:webHidden/>
          </w:rPr>
          <w:instrText xml:space="preserve"> PAGEREF _Toc116401309 \h </w:instrText>
        </w:r>
        <w:r w:rsidR="0043603E">
          <w:rPr>
            <w:noProof/>
            <w:webHidden/>
          </w:rPr>
        </w:r>
        <w:r w:rsidR="0043603E">
          <w:rPr>
            <w:noProof/>
            <w:webHidden/>
          </w:rPr>
          <w:fldChar w:fldCharType="separate"/>
        </w:r>
        <w:r w:rsidR="0043603E">
          <w:rPr>
            <w:noProof/>
            <w:webHidden/>
          </w:rPr>
          <w:t>6</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10"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Association de la plateforme pour l’action climat et la transition énergétique dans l’élaboration de l’avant-projet de loi pour la mise à jour du PNEC</w:t>
        </w:r>
        <w:r w:rsidR="0043603E">
          <w:rPr>
            <w:noProof/>
            <w:webHidden/>
          </w:rPr>
          <w:tab/>
        </w:r>
        <w:r w:rsidR="0043603E">
          <w:rPr>
            <w:noProof/>
            <w:webHidden/>
          </w:rPr>
          <w:fldChar w:fldCharType="begin"/>
        </w:r>
        <w:r w:rsidR="0043603E">
          <w:rPr>
            <w:noProof/>
            <w:webHidden/>
          </w:rPr>
          <w:instrText xml:space="preserve"> PAGEREF _Toc116401310 \h </w:instrText>
        </w:r>
        <w:r w:rsidR="0043603E">
          <w:rPr>
            <w:noProof/>
            <w:webHidden/>
          </w:rPr>
        </w:r>
        <w:r w:rsidR="0043603E">
          <w:rPr>
            <w:noProof/>
            <w:webHidden/>
          </w:rPr>
          <w:fldChar w:fldCharType="separate"/>
        </w:r>
        <w:r w:rsidR="0043603E">
          <w:rPr>
            <w:noProof/>
            <w:webHidden/>
          </w:rPr>
          <w:t>7</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11"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Stratégie pour l’attribution des fonds luxembourgeois pour le financement climatique international (FCI)</w:t>
        </w:r>
        <w:r w:rsidR="0043603E">
          <w:rPr>
            <w:noProof/>
            <w:webHidden/>
          </w:rPr>
          <w:tab/>
        </w:r>
        <w:r w:rsidR="0043603E">
          <w:rPr>
            <w:noProof/>
            <w:webHidden/>
          </w:rPr>
          <w:fldChar w:fldCharType="begin"/>
        </w:r>
        <w:r w:rsidR="0043603E">
          <w:rPr>
            <w:noProof/>
            <w:webHidden/>
          </w:rPr>
          <w:instrText xml:space="preserve"> PAGEREF _Toc116401311 \h </w:instrText>
        </w:r>
        <w:r w:rsidR="0043603E">
          <w:rPr>
            <w:noProof/>
            <w:webHidden/>
          </w:rPr>
        </w:r>
        <w:r w:rsidR="0043603E">
          <w:rPr>
            <w:noProof/>
            <w:webHidden/>
          </w:rPr>
          <w:fldChar w:fldCharType="separate"/>
        </w:r>
        <w:r w:rsidR="0043603E">
          <w:rPr>
            <w:noProof/>
            <w:webHidden/>
          </w:rPr>
          <w:t>8</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12" w:history="1">
        <w:r w:rsidR="0043603E" w:rsidRPr="00B4129A">
          <w:rPr>
            <w:rStyle w:val="Hyperlink"/>
            <w:noProof/>
          </w:rPr>
          <w:t>Réorientation de la politique fiscale du Luxembourg</w:t>
        </w:r>
        <w:r w:rsidR="0043603E">
          <w:rPr>
            <w:noProof/>
            <w:webHidden/>
          </w:rPr>
          <w:tab/>
        </w:r>
        <w:r w:rsidR="0043603E">
          <w:rPr>
            <w:noProof/>
            <w:webHidden/>
          </w:rPr>
          <w:fldChar w:fldCharType="begin"/>
        </w:r>
        <w:r w:rsidR="0043603E">
          <w:rPr>
            <w:noProof/>
            <w:webHidden/>
          </w:rPr>
          <w:instrText xml:space="preserve"> PAGEREF _Toc116401312 \h </w:instrText>
        </w:r>
        <w:r w:rsidR="0043603E">
          <w:rPr>
            <w:noProof/>
            <w:webHidden/>
          </w:rPr>
        </w:r>
        <w:r w:rsidR="0043603E">
          <w:rPr>
            <w:noProof/>
            <w:webHidden/>
          </w:rPr>
          <w:fldChar w:fldCharType="separate"/>
        </w:r>
        <w:r w:rsidR="0043603E">
          <w:rPr>
            <w:noProof/>
            <w:webHidden/>
          </w:rPr>
          <w:t>9</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13" w:history="1">
        <w:r w:rsidR="0043603E" w:rsidRPr="00B4129A">
          <w:rPr>
            <w:rStyle w:val="Hyperlink"/>
            <w:noProof/>
          </w:rPr>
          <w:t>Lutte contre l’évasion fiscale et la planification agressive de l’impôt</w:t>
        </w:r>
        <w:r w:rsidR="0043603E">
          <w:rPr>
            <w:noProof/>
            <w:webHidden/>
          </w:rPr>
          <w:tab/>
        </w:r>
        <w:r w:rsidR="0043603E">
          <w:rPr>
            <w:noProof/>
            <w:webHidden/>
          </w:rPr>
          <w:fldChar w:fldCharType="begin"/>
        </w:r>
        <w:r w:rsidR="0043603E">
          <w:rPr>
            <w:noProof/>
            <w:webHidden/>
          </w:rPr>
          <w:instrText xml:space="preserve"> PAGEREF _Toc116401313 \h </w:instrText>
        </w:r>
        <w:r w:rsidR="0043603E">
          <w:rPr>
            <w:noProof/>
            <w:webHidden/>
          </w:rPr>
        </w:r>
        <w:r w:rsidR="0043603E">
          <w:rPr>
            <w:noProof/>
            <w:webHidden/>
          </w:rPr>
          <w:fldChar w:fldCharType="separate"/>
        </w:r>
        <w:r w:rsidR="0043603E">
          <w:rPr>
            <w:noProof/>
            <w:webHidden/>
          </w:rPr>
          <w:t>9</w:t>
        </w:r>
        <w:r w:rsidR="0043603E">
          <w:rPr>
            <w:noProof/>
            <w:webHidden/>
          </w:rPr>
          <w:fldChar w:fldCharType="end"/>
        </w:r>
      </w:hyperlink>
    </w:p>
    <w:p w:rsidR="0043603E" w:rsidRDefault="005960D7">
      <w:pPr>
        <w:pStyle w:val="TOC5"/>
        <w:tabs>
          <w:tab w:val="right" w:pos="9016"/>
        </w:tabs>
        <w:rPr>
          <w:rFonts w:eastAsiaTheme="minorEastAsia" w:cstheme="minorBidi"/>
          <w:noProof/>
          <w:sz w:val="22"/>
          <w:szCs w:val="22"/>
          <w:lang w:val="en-US"/>
        </w:rPr>
      </w:pPr>
      <w:hyperlink w:anchor="_Toc116401314" w:history="1">
        <w:r w:rsidR="0043603E" w:rsidRPr="00B4129A">
          <w:rPr>
            <w:rStyle w:val="Hyperlink"/>
            <w:noProof/>
          </w:rPr>
          <w:t>Annexe 1 – Openlux – Déclaration du gouvernement luxembourgeois sur les récents articles de presse publiés sur le Luxembourg</w:t>
        </w:r>
        <w:r w:rsidR="0043603E">
          <w:rPr>
            <w:noProof/>
            <w:webHidden/>
          </w:rPr>
          <w:tab/>
        </w:r>
        <w:r w:rsidR="0043603E">
          <w:rPr>
            <w:noProof/>
            <w:webHidden/>
          </w:rPr>
          <w:fldChar w:fldCharType="begin"/>
        </w:r>
        <w:r w:rsidR="0043603E">
          <w:rPr>
            <w:noProof/>
            <w:webHidden/>
          </w:rPr>
          <w:instrText xml:space="preserve"> PAGEREF _Toc116401314 \h </w:instrText>
        </w:r>
        <w:r w:rsidR="0043603E">
          <w:rPr>
            <w:noProof/>
            <w:webHidden/>
          </w:rPr>
        </w:r>
        <w:r w:rsidR="0043603E">
          <w:rPr>
            <w:noProof/>
            <w:webHidden/>
          </w:rPr>
          <w:fldChar w:fldCharType="separate"/>
        </w:r>
        <w:r w:rsidR="0043603E">
          <w:rPr>
            <w:noProof/>
            <w:webHidden/>
          </w:rPr>
          <w:t>10</w:t>
        </w:r>
        <w:r w:rsidR="0043603E">
          <w:rPr>
            <w:noProof/>
            <w:webHidden/>
          </w:rPr>
          <w:fldChar w:fldCharType="end"/>
        </w:r>
      </w:hyperlink>
    </w:p>
    <w:p w:rsidR="0043603E" w:rsidRDefault="005960D7">
      <w:pPr>
        <w:pStyle w:val="TOC5"/>
        <w:tabs>
          <w:tab w:val="right" w:pos="9016"/>
        </w:tabs>
        <w:rPr>
          <w:rFonts w:eastAsiaTheme="minorEastAsia" w:cstheme="minorBidi"/>
          <w:noProof/>
          <w:sz w:val="22"/>
          <w:szCs w:val="22"/>
          <w:lang w:val="en-US"/>
        </w:rPr>
      </w:pPr>
      <w:hyperlink w:anchor="_Toc116401315" w:history="1">
        <w:r w:rsidR="0043603E" w:rsidRPr="00B4129A">
          <w:rPr>
            <w:rStyle w:val="Hyperlink"/>
            <w:noProof/>
          </w:rPr>
          <w:t>Annexe 2 – Openlux – FAQ : Les efforts du Luxembourg en matière de transparence fiscale</w:t>
        </w:r>
        <w:r w:rsidR="0043603E">
          <w:rPr>
            <w:noProof/>
            <w:webHidden/>
          </w:rPr>
          <w:tab/>
        </w:r>
        <w:r w:rsidR="0043603E">
          <w:rPr>
            <w:noProof/>
            <w:webHidden/>
          </w:rPr>
          <w:fldChar w:fldCharType="begin"/>
        </w:r>
        <w:r w:rsidR="0043603E">
          <w:rPr>
            <w:noProof/>
            <w:webHidden/>
          </w:rPr>
          <w:instrText xml:space="preserve"> PAGEREF _Toc116401315 \h </w:instrText>
        </w:r>
        <w:r w:rsidR="0043603E">
          <w:rPr>
            <w:noProof/>
            <w:webHidden/>
          </w:rPr>
        </w:r>
        <w:r w:rsidR="0043603E">
          <w:rPr>
            <w:noProof/>
            <w:webHidden/>
          </w:rPr>
          <w:fldChar w:fldCharType="separate"/>
        </w:r>
        <w:r w:rsidR="0043603E">
          <w:rPr>
            <w:noProof/>
            <w:webHidden/>
          </w:rPr>
          <w:t>10</w:t>
        </w:r>
        <w:r w:rsidR="0043603E">
          <w:rPr>
            <w:noProof/>
            <w:webHidden/>
          </w:rPr>
          <w:fldChar w:fldCharType="end"/>
        </w:r>
      </w:hyperlink>
    </w:p>
    <w:p w:rsidR="0043603E" w:rsidRDefault="005960D7">
      <w:pPr>
        <w:pStyle w:val="TOC5"/>
        <w:tabs>
          <w:tab w:val="right" w:pos="9016"/>
        </w:tabs>
        <w:rPr>
          <w:rFonts w:eastAsiaTheme="minorEastAsia" w:cstheme="minorBidi"/>
          <w:noProof/>
          <w:sz w:val="22"/>
          <w:szCs w:val="22"/>
          <w:lang w:val="en-US"/>
        </w:rPr>
      </w:pPr>
      <w:hyperlink w:anchor="_Toc116401316" w:history="1">
        <w:r w:rsidR="0043603E" w:rsidRPr="00B4129A">
          <w:rPr>
            <w:rStyle w:val="Hyperlink"/>
            <w:noProof/>
          </w:rPr>
          <w:t>Annexe 3 – Openlux – Le Luxembourg et les 15 Actions du Plan BEPS</w:t>
        </w:r>
        <w:r w:rsidR="0043603E">
          <w:rPr>
            <w:noProof/>
            <w:webHidden/>
          </w:rPr>
          <w:tab/>
        </w:r>
        <w:r w:rsidR="0043603E">
          <w:rPr>
            <w:noProof/>
            <w:webHidden/>
          </w:rPr>
          <w:fldChar w:fldCharType="begin"/>
        </w:r>
        <w:r w:rsidR="0043603E">
          <w:rPr>
            <w:noProof/>
            <w:webHidden/>
          </w:rPr>
          <w:instrText xml:space="preserve"> PAGEREF _Toc116401316 \h </w:instrText>
        </w:r>
        <w:r w:rsidR="0043603E">
          <w:rPr>
            <w:noProof/>
            <w:webHidden/>
          </w:rPr>
        </w:r>
        <w:r w:rsidR="0043603E">
          <w:rPr>
            <w:noProof/>
            <w:webHidden/>
          </w:rPr>
          <w:fldChar w:fldCharType="separate"/>
        </w:r>
        <w:r w:rsidR="0043603E">
          <w:rPr>
            <w:noProof/>
            <w:webHidden/>
          </w:rPr>
          <w:t>10</w:t>
        </w:r>
        <w:r w:rsidR="0043603E">
          <w:rPr>
            <w:noProof/>
            <w:webHidden/>
          </w:rPr>
          <w:fldChar w:fldCharType="end"/>
        </w:r>
      </w:hyperlink>
    </w:p>
    <w:p w:rsidR="0043603E" w:rsidRDefault="005960D7">
      <w:pPr>
        <w:pStyle w:val="TOC5"/>
        <w:tabs>
          <w:tab w:val="right" w:pos="9016"/>
        </w:tabs>
        <w:rPr>
          <w:rFonts w:eastAsiaTheme="minorEastAsia" w:cstheme="minorBidi"/>
          <w:noProof/>
          <w:sz w:val="22"/>
          <w:szCs w:val="22"/>
          <w:lang w:val="en-US"/>
        </w:rPr>
      </w:pPr>
      <w:hyperlink w:anchor="_Toc116401317" w:history="1">
        <w:r w:rsidR="0043603E" w:rsidRPr="00B4129A">
          <w:rPr>
            <w:rStyle w:val="Hyperlink"/>
            <w:noProof/>
          </w:rPr>
          <w:t>Annexe 4 – Récapitulatif des Mesures pour lutter contre la fraude fiscale</w:t>
        </w:r>
        <w:r w:rsidR="0043603E">
          <w:rPr>
            <w:noProof/>
            <w:webHidden/>
          </w:rPr>
          <w:tab/>
        </w:r>
        <w:r w:rsidR="0043603E">
          <w:rPr>
            <w:noProof/>
            <w:webHidden/>
          </w:rPr>
          <w:fldChar w:fldCharType="begin"/>
        </w:r>
        <w:r w:rsidR="0043603E">
          <w:rPr>
            <w:noProof/>
            <w:webHidden/>
          </w:rPr>
          <w:instrText xml:space="preserve"> PAGEREF _Toc116401317 \h </w:instrText>
        </w:r>
        <w:r w:rsidR="0043603E">
          <w:rPr>
            <w:noProof/>
            <w:webHidden/>
          </w:rPr>
        </w:r>
        <w:r w:rsidR="0043603E">
          <w:rPr>
            <w:noProof/>
            <w:webHidden/>
          </w:rPr>
          <w:fldChar w:fldCharType="separate"/>
        </w:r>
        <w:r w:rsidR="0043603E">
          <w:rPr>
            <w:noProof/>
            <w:webHidden/>
          </w:rPr>
          <w:t>10</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18" w:history="1">
        <w:r w:rsidR="0043603E" w:rsidRPr="00B4129A">
          <w:rPr>
            <w:rStyle w:val="Hyperlink"/>
            <w:noProof/>
          </w:rPr>
          <w:t>Position du Luxembourg sur une taxe digitale</w:t>
        </w:r>
        <w:r w:rsidR="0043603E">
          <w:rPr>
            <w:noProof/>
            <w:webHidden/>
          </w:rPr>
          <w:tab/>
        </w:r>
        <w:r w:rsidR="0043603E">
          <w:rPr>
            <w:noProof/>
            <w:webHidden/>
          </w:rPr>
          <w:fldChar w:fldCharType="begin"/>
        </w:r>
        <w:r w:rsidR="0043603E">
          <w:rPr>
            <w:noProof/>
            <w:webHidden/>
          </w:rPr>
          <w:instrText xml:space="preserve"> PAGEREF _Toc116401318 \h </w:instrText>
        </w:r>
        <w:r w:rsidR="0043603E">
          <w:rPr>
            <w:noProof/>
            <w:webHidden/>
          </w:rPr>
        </w:r>
        <w:r w:rsidR="0043603E">
          <w:rPr>
            <w:noProof/>
            <w:webHidden/>
          </w:rPr>
          <w:fldChar w:fldCharType="separate"/>
        </w:r>
        <w:r w:rsidR="0043603E">
          <w:rPr>
            <w:noProof/>
            <w:webHidden/>
          </w:rPr>
          <w:t>10</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19" w:history="1">
        <w:r w:rsidR="0043603E" w:rsidRPr="00B4129A">
          <w:rPr>
            <w:rStyle w:val="Hyperlink"/>
            <w:noProof/>
          </w:rPr>
          <w:t>Etude sur le racisme au Luxembourg – Nombre peu élevé de plaintes déposées par les victimes</w:t>
        </w:r>
        <w:r w:rsidR="0043603E">
          <w:rPr>
            <w:noProof/>
            <w:webHidden/>
          </w:rPr>
          <w:tab/>
        </w:r>
        <w:r w:rsidR="0043603E">
          <w:rPr>
            <w:noProof/>
            <w:webHidden/>
          </w:rPr>
          <w:fldChar w:fldCharType="begin"/>
        </w:r>
        <w:r w:rsidR="0043603E">
          <w:rPr>
            <w:noProof/>
            <w:webHidden/>
          </w:rPr>
          <w:instrText xml:space="preserve"> PAGEREF _Toc116401319 \h </w:instrText>
        </w:r>
        <w:r w:rsidR="0043603E">
          <w:rPr>
            <w:noProof/>
            <w:webHidden/>
          </w:rPr>
        </w:r>
        <w:r w:rsidR="0043603E">
          <w:rPr>
            <w:noProof/>
            <w:webHidden/>
          </w:rPr>
          <w:fldChar w:fldCharType="separate"/>
        </w:r>
        <w:r w:rsidR="0043603E">
          <w:rPr>
            <w:noProof/>
            <w:webHidden/>
          </w:rPr>
          <w:t>10</w:t>
        </w:r>
        <w:r w:rsidR="0043603E">
          <w:rPr>
            <w:noProof/>
            <w:webHidden/>
          </w:rPr>
          <w:fldChar w:fldCharType="end"/>
        </w:r>
      </w:hyperlink>
    </w:p>
    <w:p w:rsidR="0043603E" w:rsidRDefault="005960D7">
      <w:pPr>
        <w:pStyle w:val="TOC2"/>
        <w:tabs>
          <w:tab w:val="right" w:pos="9016"/>
        </w:tabs>
        <w:rPr>
          <w:rFonts w:eastAsiaTheme="minorEastAsia" w:cstheme="minorBidi"/>
          <w:smallCaps w:val="0"/>
          <w:noProof/>
          <w:sz w:val="22"/>
          <w:szCs w:val="22"/>
          <w:lang w:val="en-US"/>
        </w:rPr>
      </w:pPr>
      <w:hyperlink w:anchor="_Toc116401320" w:history="1">
        <w:r w:rsidR="0043603E" w:rsidRPr="00B4129A">
          <w:rPr>
            <w:rStyle w:val="Hyperlink"/>
            <w:noProof/>
          </w:rPr>
          <w:t>Egalité des droits entre les hommes et les femmes (article 3)</w:t>
        </w:r>
        <w:r w:rsidR="0043603E">
          <w:rPr>
            <w:noProof/>
            <w:webHidden/>
          </w:rPr>
          <w:tab/>
        </w:r>
        <w:r w:rsidR="0043603E">
          <w:rPr>
            <w:noProof/>
            <w:webHidden/>
          </w:rPr>
          <w:fldChar w:fldCharType="begin"/>
        </w:r>
        <w:r w:rsidR="0043603E">
          <w:rPr>
            <w:noProof/>
            <w:webHidden/>
          </w:rPr>
          <w:instrText xml:space="preserve"> PAGEREF _Toc116401320 \h </w:instrText>
        </w:r>
        <w:r w:rsidR="0043603E">
          <w:rPr>
            <w:noProof/>
            <w:webHidden/>
          </w:rPr>
        </w:r>
        <w:r w:rsidR="0043603E">
          <w:rPr>
            <w:noProof/>
            <w:webHidden/>
          </w:rPr>
          <w:fldChar w:fldCharType="separate"/>
        </w:r>
        <w:r w:rsidR="0043603E">
          <w:rPr>
            <w:noProof/>
            <w:webHidden/>
          </w:rPr>
          <w:t>11</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21" w:history="1">
        <w:r w:rsidR="0043603E" w:rsidRPr="00B4129A">
          <w:rPr>
            <w:rStyle w:val="Hyperlink"/>
            <w:noProof/>
          </w:rPr>
          <w:t>Ségrégation professionnelle horizontale et verticale</w:t>
        </w:r>
        <w:r w:rsidR="0043603E">
          <w:rPr>
            <w:noProof/>
            <w:webHidden/>
          </w:rPr>
          <w:tab/>
        </w:r>
        <w:r w:rsidR="0043603E">
          <w:rPr>
            <w:noProof/>
            <w:webHidden/>
          </w:rPr>
          <w:fldChar w:fldCharType="begin"/>
        </w:r>
        <w:r w:rsidR="0043603E">
          <w:rPr>
            <w:noProof/>
            <w:webHidden/>
          </w:rPr>
          <w:instrText xml:space="preserve"> PAGEREF _Toc116401321 \h </w:instrText>
        </w:r>
        <w:r w:rsidR="0043603E">
          <w:rPr>
            <w:noProof/>
            <w:webHidden/>
          </w:rPr>
        </w:r>
        <w:r w:rsidR="0043603E">
          <w:rPr>
            <w:noProof/>
            <w:webHidden/>
          </w:rPr>
          <w:fldChar w:fldCharType="separate"/>
        </w:r>
        <w:r w:rsidR="0043603E">
          <w:rPr>
            <w:noProof/>
            <w:webHidden/>
          </w:rPr>
          <w:t>11</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22" w:history="1">
        <w:r w:rsidR="0043603E" w:rsidRPr="00B4129A">
          <w:rPr>
            <w:rStyle w:val="Hyperlink"/>
            <w:noProof/>
          </w:rPr>
          <w:t>Mesures pour lutter contre les écarts de rémunérations</w:t>
        </w:r>
        <w:r w:rsidR="0043603E">
          <w:rPr>
            <w:noProof/>
            <w:webHidden/>
          </w:rPr>
          <w:tab/>
        </w:r>
        <w:r w:rsidR="0043603E">
          <w:rPr>
            <w:noProof/>
            <w:webHidden/>
          </w:rPr>
          <w:fldChar w:fldCharType="begin"/>
        </w:r>
        <w:r w:rsidR="0043603E">
          <w:rPr>
            <w:noProof/>
            <w:webHidden/>
          </w:rPr>
          <w:instrText xml:space="preserve"> PAGEREF _Toc116401322 \h </w:instrText>
        </w:r>
        <w:r w:rsidR="0043603E">
          <w:rPr>
            <w:noProof/>
            <w:webHidden/>
          </w:rPr>
        </w:r>
        <w:r w:rsidR="0043603E">
          <w:rPr>
            <w:noProof/>
            <w:webHidden/>
          </w:rPr>
          <w:fldChar w:fldCharType="separate"/>
        </w:r>
        <w:r w:rsidR="0043603E">
          <w:rPr>
            <w:noProof/>
            <w:webHidden/>
          </w:rPr>
          <w:t>15</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23" w:history="1">
        <w:r w:rsidR="0043603E" w:rsidRPr="00B4129A">
          <w:rPr>
            <w:rStyle w:val="Hyperlink"/>
            <w:noProof/>
          </w:rPr>
          <w:t>Mesures visant à garantir l’égalité de rémunération, non seulement pour un travail égal, mais aussi pour un travail d’égale valeur</w:t>
        </w:r>
        <w:r w:rsidR="0043603E">
          <w:rPr>
            <w:noProof/>
            <w:webHidden/>
          </w:rPr>
          <w:tab/>
        </w:r>
        <w:r w:rsidR="0043603E">
          <w:rPr>
            <w:noProof/>
            <w:webHidden/>
          </w:rPr>
          <w:fldChar w:fldCharType="begin"/>
        </w:r>
        <w:r w:rsidR="0043603E">
          <w:rPr>
            <w:noProof/>
            <w:webHidden/>
          </w:rPr>
          <w:instrText xml:space="preserve"> PAGEREF _Toc116401323 \h </w:instrText>
        </w:r>
        <w:r w:rsidR="0043603E">
          <w:rPr>
            <w:noProof/>
            <w:webHidden/>
          </w:rPr>
        </w:r>
        <w:r w:rsidR="0043603E">
          <w:rPr>
            <w:noProof/>
            <w:webHidden/>
          </w:rPr>
          <w:fldChar w:fldCharType="separate"/>
        </w:r>
        <w:r w:rsidR="0043603E">
          <w:rPr>
            <w:noProof/>
            <w:webHidden/>
          </w:rPr>
          <w:t>17</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24"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Echanges de bonnes pratiques</w:t>
        </w:r>
        <w:r w:rsidR="0043603E">
          <w:rPr>
            <w:noProof/>
            <w:webHidden/>
          </w:rPr>
          <w:tab/>
        </w:r>
        <w:r w:rsidR="0043603E">
          <w:rPr>
            <w:noProof/>
            <w:webHidden/>
          </w:rPr>
          <w:fldChar w:fldCharType="begin"/>
        </w:r>
        <w:r w:rsidR="0043603E">
          <w:rPr>
            <w:noProof/>
            <w:webHidden/>
          </w:rPr>
          <w:instrText xml:space="preserve"> PAGEREF _Toc116401324 \h </w:instrText>
        </w:r>
        <w:r w:rsidR="0043603E">
          <w:rPr>
            <w:noProof/>
            <w:webHidden/>
          </w:rPr>
        </w:r>
        <w:r w:rsidR="0043603E">
          <w:rPr>
            <w:noProof/>
            <w:webHidden/>
          </w:rPr>
          <w:fldChar w:fldCharType="separate"/>
        </w:r>
        <w:r w:rsidR="0043603E">
          <w:rPr>
            <w:noProof/>
            <w:webHidden/>
          </w:rPr>
          <w:t>18</w:t>
        </w:r>
        <w:r w:rsidR="0043603E">
          <w:rPr>
            <w:noProof/>
            <w:webHidden/>
          </w:rPr>
          <w:fldChar w:fldCharType="end"/>
        </w:r>
      </w:hyperlink>
    </w:p>
    <w:p w:rsidR="0043603E" w:rsidRDefault="005960D7">
      <w:pPr>
        <w:pStyle w:val="TOC5"/>
        <w:tabs>
          <w:tab w:val="right" w:pos="9016"/>
        </w:tabs>
        <w:rPr>
          <w:rFonts w:eastAsiaTheme="minorEastAsia" w:cstheme="minorBidi"/>
          <w:noProof/>
          <w:sz w:val="22"/>
          <w:szCs w:val="22"/>
          <w:lang w:val="en-US"/>
        </w:rPr>
      </w:pPr>
      <w:hyperlink w:anchor="_Toc116401325" w:history="1">
        <w:r w:rsidR="0043603E" w:rsidRPr="00B4129A">
          <w:rPr>
            <w:rStyle w:val="Hyperlink"/>
            <w:noProof/>
          </w:rPr>
          <w:t>Annexe 5 – STATEC – Etude sur les inégalités hommes-femmes</w:t>
        </w:r>
        <w:r w:rsidR="0043603E">
          <w:rPr>
            <w:noProof/>
            <w:webHidden/>
          </w:rPr>
          <w:tab/>
        </w:r>
        <w:r w:rsidR="0043603E">
          <w:rPr>
            <w:noProof/>
            <w:webHidden/>
          </w:rPr>
          <w:fldChar w:fldCharType="begin"/>
        </w:r>
        <w:r w:rsidR="0043603E">
          <w:rPr>
            <w:noProof/>
            <w:webHidden/>
          </w:rPr>
          <w:instrText xml:space="preserve"> PAGEREF _Toc116401325 \h </w:instrText>
        </w:r>
        <w:r w:rsidR="0043603E">
          <w:rPr>
            <w:noProof/>
            <w:webHidden/>
          </w:rPr>
        </w:r>
        <w:r w:rsidR="0043603E">
          <w:rPr>
            <w:noProof/>
            <w:webHidden/>
          </w:rPr>
          <w:fldChar w:fldCharType="separate"/>
        </w:r>
        <w:r w:rsidR="0043603E">
          <w:rPr>
            <w:noProof/>
            <w:webHidden/>
          </w:rPr>
          <w:t>18</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26" w:history="1">
        <w:r w:rsidR="0043603E" w:rsidRPr="00B4129A">
          <w:rPr>
            <w:rStyle w:val="Hyperlink"/>
            <w:noProof/>
          </w:rPr>
          <w:t>Mesures de sensibilisation contre les stéréotypes et les préjugés</w:t>
        </w:r>
        <w:r w:rsidR="0043603E">
          <w:rPr>
            <w:noProof/>
            <w:webHidden/>
          </w:rPr>
          <w:tab/>
        </w:r>
        <w:r w:rsidR="0043603E">
          <w:rPr>
            <w:noProof/>
            <w:webHidden/>
          </w:rPr>
          <w:fldChar w:fldCharType="begin"/>
        </w:r>
        <w:r w:rsidR="0043603E">
          <w:rPr>
            <w:noProof/>
            <w:webHidden/>
          </w:rPr>
          <w:instrText xml:space="preserve"> PAGEREF _Toc116401326 \h </w:instrText>
        </w:r>
        <w:r w:rsidR="0043603E">
          <w:rPr>
            <w:noProof/>
            <w:webHidden/>
          </w:rPr>
        </w:r>
        <w:r w:rsidR="0043603E">
          <w:rPr>
            <w:noProof/>
            <w:webHidden/>
          </w:rPr>
          <w:fldChar w:fldCharType="separate"/>
        </w:r>
        <w:r w:rsidR="0043603E">
          <w:rPr>
            <w:noProof/>
            <w:webHidden/>
          </w:rPr>
          <w:t>18</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27" w:history="1">
        <w:r w:rsidR="0043603E" w:rsidRPr="00B4129A">
          <w:rPr>
            <w:rStyle w:val="Hyperlink"/>
            <w:noProof/>
          </w:rPr>
          <w:t>Projet MADAK – Les hommes dans l’éducation non-formelle des enfants</w:t>
        </w:r>
        <w:r w:rsidR="0043603E">
          <w:rPr>
            <w:noProof/>
            <w:webHidden/>
          </w:rPr>
          <w:tab/>
        </w:r>
        <w:r w:rsidR="0043603E">
          <w:rPr>
            <w:noProof/>
            <w:webHidden/>
          </w:rPr>
          <w:fldChar w:fldCharType="begin"/>
        </w:r>
        <w:r w:rsidR="0043603E">
          <w:rPr>
            <w:noProof/>
            <w:webHidden/>
          </w:rPr>
          <w:instrText xml:space="preserve"> PAGEREF _Toc116401327 \h </w:instrText>
        </w:r>
        <w:r w:rsidR="0043603E">
          <w:rPr>
            <w:noProof/>
            <w:webHidden/>
          </w:rPr>
        </w:r>
        <w:r w:rsidR="0043603E">
          <w:rPr>
            <w:noProof/>
            <w:webHidden/>
          </w:rPr>
          <w:fldChar w:fldCharType="separate"/>
        </w:r>
        <w:r w:rsidR="0043603E">
          <w:rPr>
            <w:noProof/>
            <w:webHidden/>
          </w:rPr>
          <w:t>19</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28" w:history="1">
        <w:r w:rsidR="0043603E" w:rsidRPr="00B4129A">
          <w:rPr>
            <w:rStyle w:val="Hyperlink"/>
            <w:noProof/>
          </w:rPr>
          <w:t>Pandémie de COVID-19 – Mesures pour limiter l’impact de la pandémie sur les femmes</w:t>
        </w:r>
        <w:r w:rsidR="0043603E">
          <w:rPr>
            <w:noProof/>
            <w:webHidden/>
          </w:rPr>
          <w:tab/>
        </w:r>
        <w:r w:rsidR="0043603E">
          <w:rPr>
            <w:noProof/>
            <w:webHidden/>
          </w:rPr>
          <w:fldChar w:fldCharType="begin"/>
        </w:r>
        <w:r w:rsidR="0043603E">
          <w:rPr>
            <w:noProof/>
            <w:webHidden/>
          </w:rPr>
          <w:instrText xml:space="preserve"> PAGEREF _Toc116401328 \h </w:instrText>
        </w:r>
        <w:r w:rsidR="0043603E">
          <w:rPr>
            <w:noProof/>
            <w:webHidden/>
          </w:rPr>
        </w:r>
        <w:r w:rsidR="0043603E">
          <w:rPr>
            <w:noProof/>
            <w:webHidden/>
          </w:rPr>
          <w:fldChar w:fldCharType="separate"/>
        </w:r>
        <w:r w:rsidR="0043603E">
          <w:rPr>
            <w:noProof/>
            <w:webHidden/>
          </w:rPr>
          <w:t>19</w:t>
        </w:r>
        <w:r w:rsidR="0043603E">
          <w:rPr>
            <w:noProof/>
            <w:webHidden/>
          </w:rPr>
          <w:fldChar w:fldCharType="end"/>
        </w:r>
      </w:hyperlink>
    </w:p>
    <w:p w:rsidR="0043603E" w:rsidRDefault="005960D7">
      <w:pPr>
        <w:pStyle w:val="TOC1"/>
        <w:tabs>
          <w:tab w:val="right" w:pos="9016"/>
        </w:tabs>
        <w:rPr>
          <w:rFonts w:eastAsiaTheme="minorEastAsia" w:cstheme="minorBidi"/>
          <w:b w:val="0"/>
          <w:bCs w:val="0"/>
          <w:caps w:val="0"/>
          <w:noProof/>
          <w:sz w:val="22"/>
          <w:szCs w:val="22"/>
          <w:lang w:val="en-US"/>
        </w:rPr>
      </w:pPr>
      <w:hyperlink w:anchor="_Toc116401329" w:history="1">
        <w:r w:rsidR="0043603E" w:rsidRPr="00B4129A">
          <w:rPr>
            <w:rStyle w:val="Hyperlink"/>
            <w:noProof/>
          </w:rPr>
          <w:t>CLUSTER 2</w:t>
        </w:r>
        <w:r w:rsidR="0043603E">
          <w:rPr>
            <w:noProof/>
            <w:webHidden/>
          </w:rPr>
          <w:tab/>
        </w:r>
        <w:r w:rsidR="0043603E">
          <w:rPr>
            <w:noProof/>
            <w:webHidden/>
          </w:rPr>
          <w:fldChar w:fldCharType="begin"/>
        </w:r>
        <w:r w:rsidR="0043603E">
          <w:rPr>
            <w:noProof/>
            <w:webHidden/>
          </w:rPr>
          <w:instrText xml:space="preserve"> PAGEREF _Toc116401329 \h </w:instrText>
        </w:r>
        <w:r w:rsidR="0043603E">
          <w:rPr>
            <w:noProof/>
            <w:webHidden/>
          </w:rPr>
        </w:r>
        <w:r w:rsidR="0043603E">
          <w:rPr>
            <w:noProof/>
            <w:webHidden/>
          </w:rPr>
          <w:fldChar w:fldCharType="separate"/>
        </w:r>
        <w:r w:rsidR="0043603E">
          <w:rPr>
            <w:noProof/>
            <w:webHidden/>
          </w:rPr>
          <w:t>20</w:t>
        </w:r>
        <w:r w:rsidR="0043603E">
          <w:rPr>
            <w:noProof/>
            <w:webHidden/>
          </w:rPr>
          <w:fldChar w:fldCharType="end"/>
        </w:r>
      </w:hyperlink>
    </w:p>
    <w:p w:rsidR="0043603E" w:rsidRDefault="005960D7">
      <w:pPr>
        <w:pStyle w:val="TOC2"/>
        <w:tabs>
          <w:tab w:val="right" w:pos="9016"/>
        </w:tabs>
        <w:rPr>
          <w:rFonts w:eastAsiaTheme="minorEastAsia" w:cstheme="minorBidi"/>
          <w:smallCaps w:val="0"/>
          <w:noProof/>
          <w:sz w:val="22"/>
          <w:szCs w:val="22"/>
          <w:lang w:val="en-US"/>
        </w:rPr>
      </w:pPr>
      <w:hyperlink w:anchor="_Toc116401330" w:history="1">
        <w:r w:rsidR="0043603E" w:rsidRPr="00B4129A">
          <w:rPr>
            <w:rStyle w:val="Hyperlink"/>
            <w:noProof/>
          </w:rPr>
          <w:t>Droit au travail (article 6)</w:t>
        </w:r>
        <w:r w:rsidR="0043603E">
          <w:rPr>
            <w:noProof/>
            <w:webHidden/>
          </w:rPr>
          <w:tab/>
        </w:r>
        <w:r w:rsidR="0043603E">
          <w:rPr>
            <w:noProof/>
            <w:webHidden/>
          </w:rPr>
          <w:fldChar w:fldCharType="begin"/>
        </w:r>
        <w:r w:rsidR="0043603E">
          <w:rPr>
            <w:noProof/>
            <w:webHidden/>
          </w:rPr>
          <w:instrText xml:space="preserve"> PAGEREF _Toc116401330 \h </w:instrText>
        </w:r>
        <w:r w:rsidR="0043603E">
          <w:rPr>
            <w:noProof/>
            <w:webHidden/>
          </w:rPr>
        </w:r>
        <w:r w:rsidR="0043603E">
          <w:rPr>
            <w:noProof/>
            <w:webHidden/>
          </w:rPr>
          <w:fldChar w:fldCharType="separate"/>
        </w:r>
        <w:r w:rsidR="0043603E">
          <w:rPr>
            <w:noProof/>
            <w:webHidden/>
          </w:rPr>
          <w:t>20</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31" w:history="1">
        <w:r w:rsidR="0043603E" w:rsidRPr="00B4129A">
          <w:rPr>
            <w:rStyle w:val="Hyperlink"/>
            <w:noProof/>
          </w:rPr>
          <w:t>Chômage de longue durée</w:t>
        </w:r>
        <w:r w:rsidR="0043603E">
          <w:rPr>
            <w:noProof/>
            <w:webHidden/>
          </w:rPr>
          <w:tab/>
        </w:r>
        <w:r w:rsidR="0043603E">
          <w:rPr>
            <w:noProof/>
            <w:webHidden/>
          </w:rPr>
          <w:fldChar w:fldCharType="begin"/>
        </w:r>
        <w:r w:rsidR="0043603E">
          <w:rPr>
            <w:noProof/>
            <w:webHidden/>
          </w:rPr>
          <w:instrText xml:space="preserve"> PAGEREF _Toc116401331 \h </w:instrText>
        </w:r>
        <w:r w:rsidR="0043603E">
          <w:rPr>
            <w:noProof/>
            <w:webHidden/>
          </w:rPr>
        </w:r>
        <w:r w:rsidR="0043603E">
          <w:rPr>
            <w:noProof/>
            <w:webHidden/>
          </w:rPr>
          <w:fldChar w:fldCharType="separate"/>
        </w:r>
        <w:r w:rsidR="0043603E">
          <w:rPr>
            <w:noProof/>
            <w:webHidden/>
          </w:rPr>
          <w:t>20</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32"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Aide à l’embauche de chômeurs âgés</w:t>
        </w:r>
        <w:r w:rsidR="0043603E">
          <w:rPr>
            <w:noProof/>
            <w:webHidden/>
          </w:rPr>
          <w:tab/>
        </w:r>
        <w:r w:rsidR="0043603E">
          <w:rPr>
            <w:noProof/>
            <w:webHidden/>
          </w:rPr>
          <w:fldChar w:fldCharType="begin"/>
        </w:r>
        <w:r w:rsidR="0043603E">
          <w:rPr>
            <w:noProof/>
            <w:webHidden/>
          </w:rPr>
          <w:instrText xml:space="preserve"> PAGEREF _Toc116401332 \h </w:instrText>
        </w:r>
        <w:r w:rsidR="0043603E">
          <w:rPr>
            <w:noProof/>
            <w:webHidden/>
          </w:rPr>
        </w:r>
        <w:r w:rsidR="0043603E">
          <w:rPr>
            <w:noProof/>
            <w:webHidden/>
          </w:rPr>
          <w:fldChar w:fldCharType="separate"/>
        </w:r>
        <w:r w:rsidR="0043603E">
          <w:rPr>
            <w:noProof/>
            <w:webHidden/>
          </w:rPr>
          <w:t>20</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33"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Créations d’un emploi pour chômeur de longue durée</w:t>
        </w:r>
        <w:r w:rsidR="0043603E">
          <w:rPr>
            <w:noProof/>
            <w:webHidden/>
          </w:rPr>
          <w:tab/>
        </w:r>
        <w:r w:rsidR="0043603E">
          <w:rPr>
            <w:noProof/>
            <w:webHidden/>
          </w:rPr>
          <w:fldChar w:fldCharType="begin"/>
        </w:r>
        <w:r w:rsidR="0043603E">
          <w:rPr>
            <w:noProof/>
            <w:webHidden/>
          </w:rPr>
          <w:instrText xml:space="preserve"> PAGEREF _Toc116401333 \h </w:instrText>
        </w:r>
        <w:r w:rsidR="0043603E">
          <w:rPr>
            <w:noProof/>
            <w:webHidden/>
          </w:rPr>
        </w:r>
        <w:r w:rsidR="0043603E">
          <w:rPr>
            <w:noProof/>
            <w:webHidden/>
          </w:rPr>
          <w:fldChar w:fldCharType="separate"/>
        </w:r>
        <w:r w:rsidR="0043603E">
          <w:rPr>
            <w:noProof/>
            <w:webHidden/>
          </w:rPr>
          <w:t>21</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34" w:history="1">
        <w:r w:rsidR="0043603E" w:rsidRPr="00B4129A">
          <w:rPr>
            <w:rStyle w:val="Hyperlink"/>
            <w:rFonts w:ascii="Symbol" w:hAnsi="Symbol"/>
            <w:noProof/>
            <w:lang w:val="en-US"/>
          </w:rPr>
          <w:t></w:t>
        </w:r>
        <w:r w:rsidR="0043603E">
          <w:rPr>
            <w:rFonts w:eastAsiaTheme="minorEastAsia" w:cstheme="minorBidi"/>
            <w:noProof/>
            <w:sz w:val="22"/>
            <w:szCs w:val="22"/>
            <w:lang w:val="en-US"/>
          </w:rPr>
          <w:tab/>
        </w:r>
        <w:r w:rsidR="0043603E" w:rsidRPr="00B4129A">
          <w:rPr>
            <w:rStyle w:val="Hyperlink"/>
            <w:noProof/>
            <w:lang w:val="en-US"/>
          </w:rPr>
          <w:t>Conditions</w:t>
        </w:r>
        <w:r w:rsidR="0043603E">
          <w:rPr>
            <w:noProof/>
            <w:webHidden/>
          </w:rPr>
          <w:tab/>
        </w:r>
        <w:r w:rsidR="0043603E">
          <w:rPr>
            <w:noProof/>
            <w:webHidden/>
          </w:rPr>
          <w:fldChar w:fldCharType="begin"/>
        </w:r>
        <w:r w:rsidR="0043603E">
          <w:rPr>
            <w:noProof/>
            <w:webHidden/>
          </w:rPr>
          <w:instrText xml:space="preserve"> PAGEREF _Toc116401334 \h </w:instrText>
        </w:r>
        <w:r w:rsidR="0043603E">
          <w:rPr>
            <w:noProof/>
            <w:webHidden/>
          </w:rPr>
        </w:r>
        <w:r w:rsidR="0043603E">
          <w:rPr>
            <w:noProof/>
            <w:webHidden/>
          </w:rPr>
          <w:fldChar w:fldCharType="separate"/>
        </w:r>
        <w:r w:rsidR="0043603E">
          <w:rPr>
            <w:noProof/>
            <w:webHidden/>
          </w:rPr>
          <w:t>21</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35"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Montants de l’aide étatique</w:t>
        </w:r>
        <w:r w:rsidR="0043603E">
          <w:rPr>
            <w:noProof/>
            <w:webHidden/>
          </w:rPr>
          <w:tab/>
        </w:r>
        <w:r w:rsidR="0043603E">
          <w:rPr>
            <w:noProof/>
            <w:webHidden/>
          </w:rPr>
          <w:fldChar w:fldCharType="begin"/>
        </w:r>
        <w:r w:rsidR="0043603E">
          <w:rPr>
            <w:noProof/>
            <w:webHidden/>
          </w:rPr>
          <w:instrText xml:space="preserve"> PAGEREF _Toc116401335 \h </w:instrText>
        </w:r>
        <w:r w:rsidR="0043603E">
          <w:rPr>
            <w:noProof/>
            <w:webHidden/>
          </w:rPr>
        </w:r>
        <w:r w:rsidR="0043603E">
          <w:rPr>
            <w:noProof/>
            <w:webHidden/>
          </w:rPr>
          <w:fldChar w:fldCharType="separate"/>
        </w:r>
        <w:r w:rsidR="0043603E">
          <w:rPr>
            <w:noProof/>
            <w:webHidden/>
          </w:rPr>
          <w:t>21</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36"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Pour les chômeurs âgés de 50 ans accomplis, le Fonds pour l’emploi rembourse 100% des frais salariaux plafonnés jusqu’au jour de l’attribution au salarié d’une pension de vieillesse.</w:t>
        </w:r>
        <w:r w:rsidR="0043603E">
          <w:rPr>
            <w:noProof/>
            <w:webHidden/>
          </w:rPr>
          <w:tab/>
        </w:r>
        <w:r w:rsidR="0043603E">
          <w:rPr>
            <w:noProof/>
            <w:webHidden/>
          </w:rPr>
          <w:fldChar w:fldCharType="begin"/>
        </w:r>
        <w:r w:rsidR="0043603E">
          <w:rPr>
            <w:noProof/>
            <w:webHidden/>
          </w:rPr>
          <w:instrText xml:space="preserve"> PAGEREF _Toc116401336 \h </w:instrText>
        </w:r>
        <w:r w:rsidR="0043603E">
          <w:rPr>
            <w:noProof/>
            <w:webHidden/>
          </w:rPr>
        </w:r>
        <w:r w:rsidR="0043603E">
          <w:rPr>
            <w:noProof/>
            <w:webHidden/>
          </w:rPr>
          <w:fldChar w:fldCharType="separate"/>
        </w:r>
        <w:r w:rsidR="0043603E">
          <w:rPr>
            <w:noProof/>
            <w:webHidden/>
          </w:rPr>
          <w:t>22</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37" w:history="1">
        <w:r w:rsidR="0043603E" w:rsidRPr="00B4129A">
          <w:rPr>
            <w:rStyle w:val="Hyperlink"/>
            <w:noProof/>
          </w:rPr>
          <w:t>Mesures en faveur de l’emploi des personnes handicapées</w:t>
        </w:r>
        <w:r w:rsidR="0043603E">
          <w:rPr>
            <w:noProof/>
            <w:webHidden/>
          </w:rPr>
          <w:tab/>
        </w:r>
        <w:r w:rsidR="0043603E">
          <w:rPr>
            <w:noProof/>
            <w:webHidden/>
          </w:rPr>
          <w:fldChar w:fldCharType="begin"/>
        </w:r>
        <w:r w:rsidR="0043603E">
          <w:rPr>
            <w:noProof/>
            <w:webHidden/>
          </w:rPr>
          <w:instrText xml:space="preserve"> PAGEREF _Toc116401337 \h </w:instrText>
        </w:r>
        <w:r w:rsidR="0043603E">
          <w:rPr>
            <w:noProof/>
            <w:webHidden/>
          </w:rPr>
        </w:r>
        <w:r w:rsidR="0043603E">
          <w:rPr>
            <w:noProof/>
            <w:webHidden/>
          </w:rPr>
          <w:fldChar w:fldCharType="separate"/>
        </w:r>
        <w:r w:rsidR="0043603E">
          <w:rPr>
            <w:noProof/>
            <w:webHidden/>
          </w:rPr>
          <w:t>22</w:t>
        </w:r>
        <w:r w:rsidR="0043603E">
          <w:rPr>
            <w:noProof/>
            <w:webHidden/>
          </w:rPr>
          <w:fldChar w:fldCharType="end"/>
        </w:r>
      </w:hyperlink>
    </w:p>
    <w:p w:rsidR="0043603E" w:rsidRDefault="005960D7">
      <w:pPr>
        <w:pStyle w:val="TOC1"/>
        <w:tabs>
          <w:tab w:val="right" w:pos="9016"/>
        </w:tabs>
        <w:rPr>
          <w:rFonts w:eastAsiaTheme="minorEastAsia" w:cstheme="minorBidi"/>
          <w:b w:val="0"/>
          <w:bCs w:val="0"/>
          <w:caps w:val="0"/>
          <w:noProof/>
          <w:sz w:val="22"/>
          <w:szCs w:val="22"/>
          <w:lang w:val="en-US"/>
        </w:rPr>
      </w:pPr>
      <w:hyperlink w:anchor="_Toc116401338" w:history="1">
        <w:r w:rsidR="0043603E" w:rsidRPr="00B4129A">
          <w:rPr>
            <w:rStyle w:val="Hyperlink"/>
            <w:noProof/>
          </w:rPr>
          <w:t>CLUSTER 3</w:t>
        </w:r>
        <w:r w:rsidR="0043603E">
          <w:rPr>
            <w:noProof/>
            <w:webHidden/>
          </w:rPr>
          <w:tab/>
        </w:r>
        <w:r w:rsidR="0043603E">
          <w:rPr>
            <w:noProof/>
            <w:webHidden/>
          </w:rPr>
          <w:fldChar w:fldCharType="begin"/>
        </w:r>
        <w:r w:rsidR="0043603E">
          <w:rPr>
            <w:noProof/>
            <w:webHidden/>
          </w:rPr>
          <w:instrText xml:space="preserve"> PAGEREF _Toc116401338 \h </w:instrText>
        </w:r>
        <w:r w:rsidR="0043603E">
          <w:rPr>
            <w:noProof/>
            <w:webHidden/>
          </w:rPr>
        </w:r>
        <w:r w:rsidR="0043603E">
          <w:rPr>
            <w:noProof/>
            <w:webHidden/>
          </w:rPr>
          <w:fldChar w:fldCharType="separate"/>
        </w:r>
        <w:r w:rsidR="0043603E">
          <w:rPr>
            <w:noProof/>
            <w:webHidden/>
          </w:rPr>
          <w:t>23</w:t>
        </w:r>
        <w:r w:rsidR="0043603E">
          <w:rPr>
            <w:noProof/>
            <w:webHidden/>
          </w:rPr>
          <w:fldChar w:fldCharType="end"/>
        </w:r>
      </w:hyperlink>
    </w:p>
    <w:p w:rsidR="0043603E" w:rsidRDefault="005960D7">
      <w:pPr>
        <w:pStyle w:val="TOC2"/>
        <w:tabs>
          <w:tab w:val="right" w:pos="9016"/>
        </w:tabs>
        <w:rPr>
          <w:rFonts w:eastAsiaTheme="minorEastAsia" w:cstheme="minorBidi"/>
          <w:smallCaps w:val="0"/>
          <w:noProof/>
          <w:sz w:val="22"/>
          <w:szCs w:val="22"/>
          <w:lang w:val="en-US"/>
        </w:rPr>
      </w:pPr>
      <w:hyperlink w:anchor="_Toc116401339" w:history="1">
        <w:r w:rsidR="0043603E" w:rsidRPr="00B4129A">
          <w:rPr>
            <w:rStyle w:val="Hyperlink"/>
            <w:noProof/>
          </w:rPr>
          <w:t>Droits syndicaux (article 8)</w:t>
        </w:r>
        <w:r w:rsidR="0043603E">
          <w:rPr>
            <w:noProof/>
            <w:webHidden/>
          </w:rPr>
          <w:tab/>
        </w:r>
        <w:r w:rsidR="0043603E">
          <w:rPr>
            <w:noProof/>
            <w:webHidden/>
          </w:rPr>
          <w:fldChar w:fldCharType="begin"/>
        </w:r>
        <w:r w:rsidR="0043603E">
          <w:rPr>
            <w:noProof/>
            <w:webHidden/>
          </w:rPr>
          <w:instrText xml:space="preserve"> PAGEREF _Toc116401339 \h </w:instrText>
        </w:r>
        <w:r w:rsidR="0043603E">
          <w:rPr>
            <w:noProof/>
            <w:webHidden/>
          </w:rPr>
        </w:r>
        <w:r w:rsidR="0043603E">
          <w:rPr>
            <w:noProof/>
            <w:webHidden/>
          </w:rPr>
          <w:fldChar w:fldCharType="separate"/>
        </w:r>
        <w:r w:rsidR="0043603E">
          <w:rPr>
            <w:noProof/>
            <w:webHidden/>
          </w:rPr>
          <w:t>23</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40" w:history="1">
        <w:r w:rsidR="0043603E" w:rsidRPr="00B4129A">
          <w:rPr>
            <w:rStyle w:val="Hyperlink"/>
            <w:noProof/>
          </w:rPr>
          <w:t>Constitution et dissolution des syndicats</w:t>
        </w:r>
        <w:r w:rsidR="0043603E">
          <w:rPr>
            <w:noProof/>
            <w:webHidden/>
          </w:rPr>
          <w:tab/>
        </w:r>
        <w:r w:rsidR="0043603E">
          <w:rPr>
            <w:noProof/>
            <w:webHidden/>
          </w:rPr>
          <w:fldChar w:fldCharType="begin"/>
        </w:r>
        <w:r w:rsidR="0043603E">
          <w:rPr>
            <w:noProof/>
            <w:webHidden/>
          </w:rPr>
          <w:instrText xml:space="preserve"> PAGEREF _Toc116401340 \h </w:instrText>
        </w:r>
        <w:r w:rsidR="0043603E">
          <w:rPr>
            <w:noProof/>
            <w:webHidden/>
          </w:rPr>
        </w:r>
        <w:r w:rsidR="0043603E">
          <w:rPr>
            <w:noProof/>
            <w:webHidden/>
          </w:rPr>
          <w:fldChar w:fldCharType="separate"/>
        </w:r>
        <w:r w:rsidR="0043603E">
          <w:rPr>
            <w:noProof/>
            <w:webHidden/>
          </w:rPr>
          <w:t>23</w:t>
        </w:r>
        <w:r w:rsidR="0043603E">
          <w:rPr>
            <w:noProof/>
            <w:webHidden/>
          </w:rPr>
          <w:fldChar w:fldCharType="end"/>
        </w:r>
      </w:hyperlink>
    </w:p>
    <w:p w:rsidR="0043603E" w:rsidRDefault="005960D7">
      <w:pPr>
        <w:pStyle w:val="TOC2"/>
        <w:tabs>
          <w:tab w:val="right" w:pos="9016"/>
        </w:tabs>
        <w:rPr>
          <w:rFonts w:eastAsiaTheme="minorEastAsia" w:cstheme="minorBidi"/>
          <w:smallCaps w:val="0"/>
          <w:noProof/>
          <w:sz w:val="22"/>
          <w:szCs w:val="22"/>
          <w:lang w:val="en-US"/>
        </w:rPr>
      </w:pPr>
      <w:hyperlink w:anchor="_Toc116401341" w:history="1">
        <w:r w:rsidR="0043603E" w:rsidRPr="00B4129A">
          <w:rPr>
            <w:rStyle w:val="Hyperlink"/>
            <w:noProof/>
          </w:rPr>
          <w:t>Protection de la famille et de l’enfant (article 10)</w:t>
        </w:r>
        <w:r w:rsidR="0043603E">
          <w:rPr>
            <w:noProof/>
            <w:webHidden/>
          </w:rPr>
          <w:tab/>
        </w:r>
        <w:r w:rsidR="0043603E">
          <w:rPr>
            <w:noProof/>
            <w:webHidden/>
          </w:rPr>
          <w:fldChar w:fldCharType="begin"/>
        </w:r>
        <w:r w:rsidR="0043603E">
          <w:rPr>
            <w:noProof/>
            <w:webHidden/>
          </w:rPr>
          <w:instrText xml:space="preserve"> PAGEREF _Toc116401341 \h </w:instrText>
        </w:r>
        <w:r w:rsidR="0043603E">
          <w:rPr>
            <w:noProof/>
            <w:webHidden/>
          </w:rPr>
        </w:r>
        <w:r w:rsidR="0043603E">
          <w:rPr>
            <w:noProof/>
            <w:webHidden/>
          </w:rPr>
          <w:fldChar w:fldCharType="separate"/>
        </w:r>
        <w:r w:rsidR="0043603E">
          <w:rPr>
            <w:noProof/>
            <w:webHidden/>
          </w:rPr>
          <w:t>24</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42" w:history="1">
        <w:r w:rsidR="0043603E" w:rsidRPr="00B4129A">
          <w:rPr>
            <w:rStyle w:val="Hyperlink"/>
            <w:noProof/>
          </w:rPr>
          <w:t>Mesures dans le cadre de la traite des êtres humains</w:t>
        </w:r>
        <w:r w:rsidR="0043603E">
          <w:rPr>
            <w:noProof/>
            <w:webHidden/>
          </w:rPr>
          <w:tab/>
        </w:r>
        <w:r w:rsidR="0043603E">
          <w:rPr>
            <w:noProof/>
            <w:webHidden/>
          </w:rPr>
          <w:fldChar w:fldCharType="begin"/>
        </w:r>
        <w:r w:rsidR="0043603E">
          <w:rPr>
            <w:noProof/>
            <w:webHidden/>
          </w:rPr>
          <w:instrText xml:space="preserve"> PAGEREF _Toc116401342 \h </w:instrText>
        </w:r>
        <w:r w:rsidR="0043603E">
          <w:rPr>
            <w:noProof/>
            <w:webHidden/>
          </w:rPr>
        </w:r>
        <w:r w:rsidR="0043603E">
          <w:rPr>
            <w:noProof/>
            <w:webHidden/>
          </w:rPr>
          <w:fldChar w:fldCharType="separate"/>
        </w:r>
        <w:r w:rsidR="0043603E">
          <w:rPr>
            <w:noProof/>
            <w:webHidden/>
          </w:rPr>
          <w:t>24</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43"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Législation en matière de traite des êtres humains</w:t>
        </w:r>
        <w:r w:rsidR="0043603E">
          <w:rPr>
            <w:noProof/>
            <w:webHidden/>
          </w:rPr>
          <w:tab/>
        </w:r>
        <w:r w:rsidR="0043603E">
          <w:rPr>
            <w:noProof/>
            <w:webHidden/>
          </w:rPr>
          <w:fldChar w:fldCharType="begin"/>
        </w:r>
        <w:r w:rsidR="0043603E">
          <w:rPr>
            <w:noProof/>
            <w:webHidden/>
          </w:rPr>
          <w:instrText xml:space="preserve"> PAGEREF _Toc116401343 \h </w:instrText>
        </w:r>
        <w:r w:rsidR="0043603E">
          <w:rPr>
            <w:noProof/>
            <w:webHidden/>
          </w:rPr>
        </w:r>
        <w:r w:rsidR="0043603E">
          <w:rPr>
            <w:noProof/>
            <w:webHidden/>
          </w:rPr>
          <w:fldChar w:fldCharType="separate"/>
        </w:r>
        <w:r w:rsidR="0043603E">
          <w:rPr>
            <w:noProof/>
            <w:webHidden/>
          </w:rPr>
          <w:t>24</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44"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Mise en place d'un "Comité de suivi de la lutte contre la traite des êtres humains"</w:t>
        </w:r>
        <w:r w:rsidR="0043603E">
          <w:rPr>
            <w:noProof/>
            <w:webHidden/>
          </w:rPr>
          <w:tab/>
        </w:r>
        <w:r w:rsidR="0043603E">
          <w:rPr>
            <w:noProof/>
            <w:webHidden/>
          </w:rPr>
          <w:fldChar w:fldCharType="begin"/>
        </w:r>
        <w:r w:rsidR="0043603E">
          <w:rPr>
            <w:noProof/>
            <w:webHidden/>
          </w:rPr>
          <w:instrText xml:space="preserve"> PAGEREF _Toc116401344 \h </w:instrText>
        </w:r>
        <w:r w:rsidR="0043603E">
          <w:rPr>
            <w:noProof/>
            <w:webHidden/>
          </w:rPr>
        </w:r>
        <w:r w:rsidR="0043603E">
          <w:rPr>
            <w:noProof/>
            <w:webHidden/>
          </w:rPr>
          <w:fldChar w:fldCharType="separate"/>
        </w:r>
        <w:r w:rsidR="0043603E">
          <w:rPr>
            <w:noProof/>
            <w:webHidden/>
          </w:rPr>
          <w:t>25</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45"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Reconnaissance de la politique de lutte contre la traite des êtres humains du Luxembourg par des évaluateurs internationaux</w:t>
        </w:r>
        <w:r w:rsidR="0043603E">
          <w:rPr>
            <w:noProof/>
            <w:webHidden/>
          </w:rPr>
          <w:tab/>
        </w:r>
        <w:r w:rsidR="0043603E">
          <w:rPr>
            <w:noProof/>
            <w:webHidden/>
          </w:rPr>
          <w:fldChar w:fldCharType="begin"/>
        </w:r>
        <w:r w:rsidR="0043603E">
          <w:rPr>
            <w:noProof/>
            <w:webHidden/>
          </w:rPr>
          <w:instrText xml:space="preserve"> PAGEREF _Toc116401345 \h </w:instrText>
        </w:r>
        <w:r w:rsidR="0043603E">
          <w:rPr>
            <w:noProof/>
            <w:webHidden/>
          </w:rPr>
        </w:r>
        <w:r w:rsidR="0043603E">
          <w:rPr>
            <w:noProof/>
            <w:webHidden/>
          </w:rPr>
          <w:fldChar w:fldCharType="separate"/>
        </w:r>
        <w:r w:rsidR="0043603E">
          <w:rPr>
            <w:noProof/>
            <w:webHidden/>
          </w:rPr>
          <w:t>26</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46" w:history="1">
        <w:r w:rsidR="0043603E" w:rsidRPr="00B4129A">
          <w:rPr>
            <w:rStyle w:val="Hyperlink"/>
            <w:noProof/>
            <w:lang w:val="fr-LU"/>
          </w:rPr>
          <w:t>Mesures prises pour éviter que les enfants ne soient victimes de la traite ou de la pédopornographie</w:t>
        </w:r>
        <w:r w:rsidR="0043603E">
          <w:rPr>
            <w:noProof/>
            <w:webHidden/>
          </w:rPr>
          <w:tab/>
        </w:r>
        <w:r w:rsidR="0043603E">
          <w:rPr>
            <w:noProof/>
            <w:webHidden/>
          </w:rPr>
          <w:fldChar w:fldCharType="begin"/>
        </w:r>
        <w:r w:rsidR="0043603E">
          <w:rPr>
            <w:noProof/>
            <w:webHidden/>
          </w:rPr>
          <w:instrText xml:space="preserve"> PAGEREF _Toc116401346 \h </w:instrText>
        </w:r>
        <w:r w:rsidR="0043603E">
          <w:rPr>
            <w:noProof/>
            <w:webHidden/>
          </w:rPr>
        </w:r>
        <w:r w:rsidR="0043603E">
          <w:rPr>
            <w:noProof/>
            <w:webHidden/>
          </w:rPr>
          <w:fldChar w:fldCharType="separate"/>
        </w:r>
        <w:r w:rsidR="0043603E">
          <w:rPr>
            <w:noProof/>
            <w:webHidden/>
          </w:rPr>
          <w:t>26</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47" w:history="1">
        <w:r w:rsidR="0043603E" w:rsidRPr="00B4129A">
          <w:rPr>
            <w:rStyle w:val="Hyperlink"/>
            <w:rFonts w:ascii="Symbol" w:hAnsi="Symbol"/>
            <w:noProof/>
            <w:lang w:val="fr-LU"/>
          </w:rPr>
          <w:t></w:t>
        </w:r>
        <w:r w:rsidR="0043603E">
          <w:rPr>
            <w:rFonts w:eastAsiaTheme="minorEastAsia" w:cstheme="minorBidi"/>
            <w:noProof/>
            <w:sz w:val="22"/>
            <w:szCs w:val="22"/>
            <w:lang w:val="en-US"/>
          </w:rPr>
          <w:tab/>
        </w:r>
        <w:r w:rsidR="0043603E" w:rsidRPr="00B4129A">
          <w:rPr>
            <w:rStyle w:val="Hyperlink"/>
            <w:noProof/>
            <w:lang w:val="fr-LU"/>
          </w:rPr>
          <w:t>Mesures dans le cadre de la traite des enfants</w:t>
        </w:r>
        <w:r w:rsidR="0043603E">
          <w:rPr>
            <w:noProof/>
            <w:webHidden/>
          </w:rPr>
          <w:tab/>
        </w:r>
        <w:r w:rsidR="0043603E">
          <w:rPr>
            <w:noProof/>
            <w:webHidden/>
          </w:rPr>
          <w:fldChar w:fldCharType="begin"/>
        </w:r>
        <w:r w:rsidR="0043603E">
          <w:rPr>
            <w:noProof/>
            <w:webHidden/>
          </w:rPr>
          <w:instrText xml:space="preserve"> PAGEREF _Toc116401347 \h </w:instrText>
        </w:r>
        <w:r w:rsidR="0043603E">
          <w:rPr>
            <w:noProof/>
            <w:webHidden/>
          </w:rPr>
        </w:r>
        <w:r w:rsidR="0043603E">
          <w:rPr>
            <w:noProof/>
            <w:webHidden/>
          </w:rPr>
          <w:fldChar w:fldCharType="separate"/>
        </w:r>
        <w:r w:rsidR="0043603E">
          <w:rPr>
            <w:noProof/>
            <w:webHidden/>
          </w:rPr>
          <w:t>26</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48" w:history="1">
        <w:r w:rsidR="0043603E" w:rsidRPr="00B4129A">
          <w:rPr>
            <w:rStyle w:val="Hyperlink"/>
            <w:rFonts w:ascii="Symbol" w:hAnsi="Symbol"/>
            <w:noProof/>
            <w:lang w:val="fr-LU"/>
          </w:rPr>
          <w:t></w:t>
        </w:r>
        <w:r w:rsidR="0043603E">
          <w:rPr>
            <w:rFonts w:eastAsiaTheme="minorEastAsia" w:cstheme="minorBidi"/>
            <w:noProof/>
            <w:sz w:val="22"/>
            <w:szCs w:val="22"/>
            <w:lang w:val="en-US"/>
          </w:rPr>
          <w:tab/>
        </w:r>
        <w:r w:rsidR="0043603E" w:rsidRPr="00B4129A">
          <w:rPr>
            <w:rStyle w:val="Hyperlink"/>
            <w:noProof/>
            <w:lang w:val="fr-LU"/>
          </w:rPr>
          <w:t>Pornographie</w:t>
        </w:r>
        <w:r w:rsidR="0043603E">
          <w:rPr>
            <w:noProof/>
            <w:webHidden/>
          </w:rPr>
          <w:tab/>
        </w:r>
        <w:r w:rsidR="0043603E">
          <w:rPr>
            <w:noProof/>
            <w:webHidden/>
          </w:rPr>
          <w:fldChar w:fldCharType="begin"/>
        </w:r>
        <w:r w:rsidR="0043603E">
          <w:rPr>
            <w:noProof/>
            <w:webHidden/>
          </w:rPr>
          <w:instrText xml:space="preserve"> PAGEREF _Toc116401348 \h </w:instrText>
        </w:r>
        <w:r w:rsidR="0043603E">
          <w:rPr>
            <w:noProof/>
            <w:webHidden/>
          </w:rPr>
        </w:r>
        <w:r w:rsidR="0043603E">
          <w:rPr>
            <w:noProof/>
            <w:webHidden/>
          </w:rPr>
          <w:fldChar w:fldCharType="separate"/>
        </w:r>
        <w:r w:rsidR="0043603E">
          <w:rPr>
            <w:noProof/>
            <w:webHidden/>
          </w:rPr>
          <w:t>26</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49" w:history="1">
        <w:r w:rsidR="0043603E" w:rsidRPr="00B4129A">
          <w:rPr>
            <w:rStyle w:val="Hyperlink"/>
            <w:noProof/>
            <w:lang w:val="fr-LU"/>
          </w:rPr>
          <w:t>Lutte contre le tourisme pédophile à l’étranger</w:t>
        </w:r>
        <w:r w:rsidR="0043603E">
          <w:rPr>
            <w:noProof/>
            <w:webHidden/>
          </w:rPr>
          <w:tab/>
        </w:r>
        <w:r w:rsidR="0043603E">
          <w:rPr>
            <w:noProof/>
            <w:webHidden/>
          </w:rPr>
          <w:fldChar w:fldCharType="begin"/>
        </w:r>
        <w:r w:rsidR="0043603E">
          <w:rPr>
            <w:noProof/>
            <w:webHidden/>
          </w:rPr>
          <w:instrText xml:space="preserve"> PAGEREF _Toc116401349 \h </w:instrText>
        </w:r>
        <w:r w:rsidR="0043603E">
          <w:rPr>
            <w:noProof/>
            <w:webHidden/>
          </w:rPr>
        </w:r>
        <w:r w:rsidR="0043603E">
          <w:rPr>
            <w:noProof/>
            <w:webHidden/>
          </w:rPr>
          <w:fldChar w:fldCharType="separate"/>
        </w:r>
        <w:r w:rsidR="0043603E">
          <w:rPr>
            <w:noProof/>
            <w:webHidden/>
          </w:rPr>
          <w:t>27</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50" w:history="1">
        <w:r w:rsidR="0043603E" w:rsidRPr="00B4129A">
          <w:rPr>
            <w:rStyle w:val="Hyperlink"/>
            <w:noProof/>
          </w:rPr>
          <w:t>Législation sur le changement de sexe à l’état civil</w:t>
        </w:r>
        <w:r w:rsidR="0043603E">
          <w:rPr>
            <w:noProof/>
            <w:webHidden/>
          </w:rPr>
          <w:tab/>
        </w:r>
        <w:r w:rsidR="0043603E">
          <w:rPr>
            <w:noProof/>
            <w:webHidden/>
          </w:rPr>
          <w:fldChar w:fldCharType="begin"/>
        </w:r>
        <w:r w:rsidR="0043603E">
          <w:rPr>
            <w:noProof/>
            <w:webHidden/>
          </w:rPr>
          <w:instrText xml:space="preserve"> PAGEREF _Toc116401350 \h </w:instrText>
        </w:r>
        <w:r w:rsidR="0043603E">
          <w:rPr>
            <w:noProof/>
            <w:webHidden/>
          </w:rPr>
        </w:r>
        <w:r w:rsidR="0043603E">
          <w:rPr>
            <w:noProof/>
            <w:webHidden/>
          </w:rPr>
          <w:fldChar w:fldCharType="separate"/>
        </w:r>
        <w:r w:rsidR="0043603E">
          <w:rPr>
            <w:noProof/>
            <w:webHidden/>
          </w:rPr>
          <w:t>28</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51" w:history="1">
        <w:r w:rsidR="0043603E" w:rsidRPr="00B4129A">
          <w:rPr>
            <w:rStyle w:val="Hyperlink"/>
            <w:noProof/>
          </w:rPr>
          <w:t>Mesures dans le cadre des opérations chirurgicales sur les enfants intersexués</w:t>
        </w:r>
        <w:r w:rsidR="0043603E">
          <w:rPr>
            <w:noProof/>
            <w:webHidden/>
          </w:rPr>
          <w:tab/>
        </w:r>
        <w:r w:rsidR="0043603E">
          <w:rPr>
            <w:noProof/>
            <w:webHidden/>
          </w:rPr>
          <w:fldChar w:fldCharType="begin"/>
        </w:r>
        <w:r w:rsidR="0043603E">
          <w:rPr>
            <w:noProof/>
            <w:webHidden/>
          </w:rPr>
          <w:instrText xml:space="preserve"> PAGEREF _Toc116401351 \h </w:instrText>
        </w:r>
        <w:r w:rsidR="0043603E">
          <w:rPr>
            <w:noProof/>
            <w:webHidden/>
          </w:rPr>
        </w:r>
        <w:r w:rsidR="0043603E">
          <w:rPr>
            <w:noProof/>
            <w:webHidden/>
          </w:rPr>
          <w:fldChar w:fldCharType="separate"/>
        </w:r>
        <w:r w:rsidR="0043603E">
          <w:rPr>
            <w:noProof/>
            <w:webHidden/>
          </w:rPr>
          <w:t>28</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52" w:history="1">
        <w:r w:rsidR="0043603E" w:rsidRPr="00B4129A">
          <w:rPr>
            <w:rStyle w:val="Hyperlink"/>
            <w:noProof/>
          </w:rPr>
          <w:t>Réforme de la législation sur la filiation</w:t>
        </w:r>
        <w:r w:rsidR="0043603E">
          <w:rPr>
            <w:noProof/>
            <w:webHidden/>
          </w:rPr>
          <w:tab/>
        </w:r>
        <w:r w:rsidR="0043603E">
          <w:rPr>
            <w:noProof/>
            <w:webHidden/>
          </w:rPr>
          <w:fldChar w:fldCharType="begin"/>
        </w:r>
        <w:r w:rsidR="0043603E">
          <w:rPr>
            <w:noProof/>
            <w:webHidden/>
          </w:rPr>
          <w:instrText xml:space="preserve"> PAGEREF _Toc116401352 \h </w:instrText>
        </w:r>
        <w:r w:rsidR="0043603E">
          <w:rPr>
            <w:noProof/>
            <w:webHidden/>
          </w:rPr>
        </w:r>
        <w:r w:rsidR="0043603E">
          <w:rPr>
            <w:noProof/>
            <w:webHidden/>
          </w:rPr>
          <w:fldChar w:fldCharType="separate"/>
        </w:r>
        <w:r w:rsidR="0043603E">
          <w:rPr>
            <w:noProof/>
            <w:webHidden/>
          </w:rPr>
          <w:t>28</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53" w:history="1">
        <w:r w:rsidR="0043603E" w:rsidRPr="00B4129A">
          <w:rPr>
            <w:rStyle w:val="Hyperlink"/>
            <w:noProof/>
          </w:rPr>
          <w:t>Réforme de la protection de la jeunesse</w:t>
        </w:r>
        <w:r w:rsidR="0043603E">
          <w:rPr>
            <w:noProof/>
            <w:webHidden/>
          </w:rPr>
          <w:tab/>
        </w:r>
        <w:r w:rsidR="0043603E">
          <w:rPr>
            <w:noProof/>
            <w:webHidden/>
          </w:rPr>
          <w:fldChar w:fldCharType="begin"/>
        </w:r>
        <w:r w:rsidR="0043603E">
          <w:rPr>
            <w:noProof/>
            <w:webHidden/>
          </w:rPr>
          <w:instrText xml:space="preserve"> PAGEREF _Toc116401353 \h </w:instrText>
        </w:r>
        <w:r w:rsidR="0043603E">
          <w:rPr>
            <w:noProof/>
            <w:webHidden/>
          </w:rPr>
        </w:r>
        <w:r w:rsidR="0043603E">
          <w:rPr>
            <w:noProof/>
            <w:webHidden/>
          </w:rPr>
          <w:fldChar w:fldCharType="separate"/>
        </w:r>
        <w:r w:rsidR="0043603E">
          <w:rPr>
            <w:noProof/>
            <w:webHidden/>
          </w:rPr>
          <w:t>28</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54" w:history="1">
        <w:r w:rsidR="0043603E" w:rsidRPr="00B4129A">
          <w:rPr>
            <w:rStyle w:val="Hyperlink"/>
            <w:noProof/>
          </w:rPr>
          <w:t>Mariages forcés précoces</w:t>
        </w:r>
        <w:r w:rsidR="0043603E">
          <w:rPr>
            <w:noProof/>
            <w:webHidden/>
          </w:rPr>
          <w:tab/>
        </w:r>
        <w:r w:rsidR="0043603E">
          <w:rPr>
            <w:noProof/>
            <w:webHidden/>
          </w:rPr>
          <w:fldChar w:fldCharType="begin"/>
        </w:r>
        <w:r w:rsidR="0043603E">
          <w:rPr>
            <w:noProof/>
            <w:webHidden/>
          </w:rPr>
          <w:instrText xml:space="preserve"> PAGEREF _Toc116401354 \h </w:instrText>
        </w:r>
        <w:r w:rsidR="0043603E">
          <w:rPr>
            <w:noProof/>
            <w:webHidden/>
          </w:rPr>
        </w:r>
        <w:r w:rsidR="0043603E">
          <w:rPr>
            <w:noProof/>
            <w:webHidden/>
          </w:rPr>
          <w:fldChar w:fldCharType="separate"/>
        </w:r>
        <w:r w:rsidR="0043603E">
          <w:rPr>
            <w:noProof/>
            <w:webHidden/>
          </w:rPr>
          <w:t>30</w:t>
        </w:r>
        <w:r w:rsidR="0043603E">
          <w:rPr>
            <w:noProof/>
            <w:webHidden/>
          </w:rPr>
          <w:fldChar w:fldCharType="end"/>
        </w:r>
      </w:hyperlink>
    </w:p>
    <w:p w:rsidR="0043603E" w:rsidRDefault="005960D7">
      <w:pPr>
        <w:pStyle w:val="TOC2"/>
        <w:tabs>
          <w:tab w:val="right" w:pos="9016"/>
        </w:tabs>
        <w:rPr>
          <w:rFonts w:eastAsiaTheme="minorEastAsia" w:cstheme="minorBidi"/>
          <w:smallCaps w:val="0"/>
          <w:noProof/>
          <w:sz w:val="22"/>
          <w:szCs w:val="22"/>
          <w:lang w:val="en-US"/>
        </w:rPr>
      </w:pPr>
      <w:hyperlink w:anchor="_Toc116401355" w:history="1">
        <w:r w:rsidR="0043603E" w:rsidRPr="00B4129A">
          <w:rPr>
            <w:rStyle w:val="Hyperlink"/>
            <w:noProof/>
          </w:rPr>
          <w:t>Droit à un niveau de vie suffisant (article 11)</w:t>
        </w:r>
        <w:r w:rsidR="0043603E">
          <w:rPr>
            <w:noProof/>
            <w:webHidden/>
          </w:rPr>
          <w:tab/>
        </w:r>
        <w:r w:rsidR="0043603E">
          <w:rPr>
            <w:noProof/>
            <w:webHidden/>
          </w:rPr>
          <w:fldChar w:fldCharType="begin"/>
        </w:r>
        <w:r w:rsidR="0043603E">
          <w:rPr>
            <w:noProof/>
            <w:webHidden/>
          </w:rPr>
          <w:instrText xml:space="preserve"> PAGEREF _Toc116401355 \h </w:instrText>
        </w:r>
        <w:r w:rsidR="0043603E">
          <w:rPr>
            <w:noProof/>
            <w:webHidden/>
          </w:rPr>
        </w:r>
        <w:r w:rsidR="0043603E">
          <w:rPr>
            <w:noProof/>
            <w:webHidden/>
          </w:rPr>
          <w:fldChar w:fldCharType="separate"/>
        </w:r>
        <w:r w:rsidR="0043603E">
          <w:rPr>
            <w:noProof/>
            <w:webHidden/>
          </w:rPr>
          <w:t>30</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56" w:history="1">
        <w:r w:rsidR="0043603E" w:rsidRPr="00B4129A">
          <w:rPr>
            <w:rStyle w:val="Hyperlink"/>
            <w:noProof/>
          </w:rPr>
          <w:t>Aides pour demandeurs de protection internationale (DPI)</w:t>
        </w:r>
        <w:r w:rsidR="0043603E">
          <w:rPr>
            <w:noProof/>
            <w:webHidden/>
          </w:rPr>
          <w:tab/>
        </w:r>
        <w:r w:rsidR="0043603E">
          <w:rPr>
            <w:noProof/>
            <w:webHidden/>
          </w:rPr>
          <w:fldChar w:fldCharType="begin"/>
        </w:r>
        <w:r w:rsidR="0043603E">
          <w:rPr>
            <w:noProof/>
            <w:webHidden/>
          </w:rPr>
          <w:instrText xml:space="preserve"> PAGEREF _Toc116401356 \h </w:instrText>
        </w:r>
        <w:r w:rsidR="0043603E">
          <w:rPr>
            <w:noProof/>
            <w:webHidden/>
          </w:rPr>
        </w:r>
        <w:r w:rsidR="0043603E">
          <w:rPr>
            <w:noProof/>
            <w:webHidden/>
          </w:rPr>
          <w:fldChar w:fldCharType="separate"/>
        </w:r>
        <w:r w:rsidR="0043603E">
          <w:rPr>
            <w:noProof/>
            <w:webHidden/>
          </w:rPr>
          <w:t>30</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57"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Aides sociales</w:t>
        </w:r>
        <w:r w:rsidR="0043603E">
          <w:rPr>
            <w:noProof/>
            <w:webHidden/>
          </w:rPr>
          <w:tab/>
        </w:r>
        <w:r w:rsidR="0043603E">
          <w:rPr>
            <w:noProof/>
            <w:webHidden/>
          </w:rPr>
          <w:fldChar w:fldCharType="begin"/>
        </w:r>
        <w:r w:rsidR="0043603E">
          <w:rPr>
            <w:noProof/>
            <w:webHidden/>
          </w:rPr>
          <w:instrText xml:space="preserve"> PAGEREF _Toc116401357 \h </w:instrText>
        </w:r>
        <w:r w:rsidR="0043603E">
          <w:rPr>
            <w:noProof/>
            <w:webHidden/>
          </w:rPr>
        </w:r>
        <w:r w:rsidR="0043603E">
          <w:rPr>
            <w:noProof/>
            <w:webHidden/>
          </w:rPr>
          <w:fldChar w:fldCharType="separate"/>
        </w:r>
        <w:r w:rsidR="0043603E">
          <w:rPr>
            <w:noProof/>
            <w:webHidden/>
          </w:rPr>
          <w:t>30</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58"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Autres aides</w:t>
        </w:r>
        <w:r w:rsidR="0043603E">
          <w:rPr>
            <w:noProof/>
            <w:webHidden/>
          </w:rPr>
          <w:tab/>
        </w:r>
        <w:r w:rsidR="0043603E">
          <w:rPr>
            <w:noProof/>
            <w:webHidden/>
          </w:rPr>
          <w:fldChar w:fldCharType="begin"/>
        </w:r>
        <w:r w:rsidR="0043603E">
          <w:rPr>
            <w:noProof/>
            <w:webHidden/>
          </w:rPr>
          <w:instrText xml:space="preserve"> PAGEREF _Toc116401358 \h </w:instrText>
        </w:r>
        <w:r w:rsidR="0043603E">
          <w:rPr>
            <w:noProof/>
            <w:webHidden/>
          </w:rPr>
        </w:r>
        <w:r w:rsidR="0043603E">
          <w:rPr>
            <w:noProof/>
            <w:webHidden/>
          </w:rPr>
          <w:fldChar w:fldCharType="separate"/>
        </w:r>
        <w:r w:rsidR="0043603E">
          <w:rPr>
            <w:noProof/>
            <w:webHidden/>
          </w:rPr>
          <w:t>31</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59" w:history="1">
        <w:r w:rsidR="0043603E" w:rsidRPr="00B4129A">
          <w:rPr>
            <w:rStyle w:val="Hyperlink"/>
            <w:noProof/>
          </w:rPr>
          <w:t>Aides aux migrants en séjour irrégulier</w:t>
        </w:r>
        <w:r w:rsidR="0043603E">
          <w:rPr>
            <w:noProof/>
            <w:webHidden/>
          </w:rPr>
          <w:tab/>
        </w:r>
        <w:r w:rsidR="0043603E">
          <w:rPr>
            <w:noProof/>
            <w:webHidden/>
          </w:rPr>
          <w:fldChar w:fldCharType="begin"/>
        </w:r>
        <w:r w:rsidR="0043603E">
          <w:rPr>
            <w:noProof/>
            <w:webHidden/>
          </w:rPr>
          <w:instrText xml:space="preserve"> PAGEREF _Toc116401359 \h </w:instrText>
        </w:r>
        <w:r w:rsidR="0043603E">
          <w:rPr>
            <w:noProof/>
            <w:webHidden/>
          </w:rPr>
        </w:r>
        <w:r w:rsidR="0043603E">
          <w:rPr>
            <w:noProof/>
            <w:webHidden/>
          </w:rPr>
          <w:fldChar w:fldCharType="separate"/>
        </w:r>
        <w:r w:rsidR="0043603E">
          <w:rPr>
            <w:noProof/>
            <w:webHidden/>
          </w:rPr>
          <w:t>31</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60" w:history="1">
        <w:r w:rsidR="0043603E" w:rsidRPr="00B4129A">
          <w:rPr>
            <w:rStyle w:val="Hyperlink"/>
            <w:noProof/>
          </w:rPr>
          <w:t>Hébergement des Demandeurs de Protection Internationale (DPI)</w:t>
        </w:r>
        <w:r w:rsidR="0043603E">
          <w:rPr>
            <w:noProof/>
            <w:webHidden/>
          </w:rPr>
          <w:tab/>
        </w:r>
        <w:r w:rsidR="0043603E">
          <w:rPr>
            <w:noProof/>
            <w:webHidden/>
          </w:rPr>
          <w:fldChar w:fldCharType="begin"/>
        </w:r>
        <w:r w:rsidR="0043603E">
          <w:rPr>
            <w:noProof/>
            <w:webHidden/>
          </w:rPr>
          <w:instrText xml:space="preserve"> PAGEREF _Toc116401360 \h </w:instrText>
        </w:r>
        <w:r w:rsidR="0043603E">
          <w:rPr>
            <w:noProof/>
            <w:webHidden/>
          </w:rPr>
        </w:r>
        <w:r w:rsidR="0043603E">
          <w:rPr>
            <w:noProof/>
            <w:webHidden/>
          </w:rPr>
          <w:fldChar w:fldCharType="separate"/>
        </w:r>
        <w:r w:rsidR="0043603E">
          <w:rPr>
            <w:noProof/>
            <w:webHidden/>
          </w:rPr>
          <w:t>32</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61" w:history="1">
        <w:r w:rsidR="0043603E" w:rsidRPr="00B4129A">
          <w:rPr>
            <w:rStyle w:val="Hyperlink"/>
            <w:noProof/>
          </w:rPr>
          <w:t>Aides au logement – Statistiques</w:t>
        </w:r>
        <w:r w:rsidR="0043603E">
          <w:rPr>
            <w:noProof/>
            <w:webHidden/>
          </w:rPr>
          <w:tab/>
        </w:r>
        <w:r w:rsidR="0043603E">
          <w:rPr>
            <w:noProof/>
            <w:webHidden/>
          </w:rPr>
          <w:fldChar w:fldCharType="begin"/>
        </w:r>
        <w:r w:rsidR="0043603E">
          <w:rPr>
            <w:noProof/>
            <w:webHidden/>
          </w:rPr>
          <w:instrText xml:space="preserve"> PAGEREF _Toc116401361 \h </w:instrText>
        </w:r>
        <w:r w:rsidR="0043603E">
          <w:rPr>
            <w:noProof/>
            <w:webHidden/>
          </w:rPr>
        </w:r>
        <w:r w:rsidR="0043603E">
          <w:rPr>
            <w:noProof/>
            <w:webHidden/>
          </w:rPr>
          <w:fldChar w:fldCharType="separate"/>
        </w:r>
        <w:r w:rsidR="0043603E">
          <w:rPr>
            <w:noProof/>
            <w:webHidden/>
          </w:rPr>
          <w:t>32</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62"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Récapitulatif de l’ensemble des aides individuelles accordées par nature de l’aide individuelle</w:t>
        </w:r>
        <w:r w:rsidR="0043603E">
          <w:rPr>
            <w:noProof/>
            <w:webHidden/>
          </w:rPr>
          <w:tab/>
        </w:r>
        <w:r w:rsidR="0043603E">
          <w:rPr>
            <w:noProof/>
            <w:webHidden/>
          </w:rPr>
          <w:fldChar w:fldCharType="begin"/>
        </w:r>
        <w:r w:rsidR="0043603E">
          <w:rPr>
            <w:noProof/>
            <w:webHidden/>
          </w:rPr>
          <w:instrText xml:space="preserve"> PAGEREF _Toc116401362 \h </w:instrText>
        </w:r>
        <w:r w:rsidR="0043603E">
          <w:rPr>
            <w:noProof/>
            <w:webHidden/>
          </w:rPr>
        </w:r>
        <w:r w:rsidR="0043603E">
          <w:rPr>
            <w:noProof/>
            <w:webHidden/>
          </w:rPr>
          <w:fldChar w:fldCharType="separate"/>
        </w:r>
        <w:r w:rsidR="0043603E">
          <w:rPr>
            <w:noProof/>
            <w:webHidden/>
          </w:rPr>
          <w:t>32</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63"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Récapitulatif du nombre de bénéficiaires d’aides au logement pour l’année 2021</w:t>
        </w:r>
        <w:r w:rsidR="0043603E">
          <w:rPr>
            <w:noProof/>
            <w:webHidden/>
          </w:rPr>
          <w:tab/>
        </w:r>
        <w:r w:rsidR="0043603E">
          <w:rPr>
            <w:noProof/>
            <w:webHidden/>
          </w:rPr>
          <w:fldChar w:fldCharType="begin"/>
        </w:r>
        <w:r w:rsidR="0043603E">
          <w:rPr>
            <w:noProof/>
            <w:webHidden/>
          </w:rPr>
          <w:instrText xml:space="preserve"> PAGEREF _Toc116401363 \h </w:instrText>
        </w:r>
        <w:r w:rsidR="0043603E">
          <w:rPr>
            <w:noProof/>
            <w:webHidden/>
          </w:rPr>
        </w:r>
        <w:r w:rsidR="0043603E">
          <w:rPr>
            <w:noProof/>
            <w:webHidden/>
          </w:rPr>
          <w:fldChar w:fldCharType="separate"/>
        </w:r>
        <w:r w:rsidR="0043603E">
          <w:rPr>
            <w:noProof/>
            <w:webHidden/>
          </w:rPr>
          <w:t>33</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64" w:history="1">
        <w:r w:rsidR="0043603E" w:rsidRPr="00B4129A">
          <w:rPr>
            <w:rStyle w:val="Hyperlink"/>
            <w:noProof/>
          </w:rPr>
          <w:t>Statistiques – taux de risque de pauvreté</w:t>
        </w:r>
        <w:r w:rsidR="0043603E">
          <w:rPr>
            <w:noProof/>
            <w:webHidden/>
          </w:rPr>
          <w:tab/>
        </w:r>
        <w:r w:rsidR="0043603E">
          <w:rPr>
            <w:noProof/>
            <w:webHidden/>
          </w:rPr>
          <w:fldChar w:fldCharType="begin"/>
        </w:r>
        <w:r w:rsidR="0043603E">
          <w:rPr>
            <w:noProof/>
            <w:webHidden/>
          </w:rPr>
          <w:instrText xml:space="preserve"> PAGEREF _Toc116401364 \h </w:instrText>
        </w:r>
        <w:r w:rsidR="0043603E">
          <w:rPr>
            <w:noProof/>
            <w:webHidden/>
          </w:rPr>
        </w:r>
        <w:r w:rsidR="0043603E">
          <w:rPr>
            <w:noProof/>
            <w:webHidden/>
          </w:rPr>
          <w:fldChar w:fldCharType="separate"/>
        </w:r>
        <w:r w:rsidR="0043603E">
          <w:rPr>
            <w:noProof/>
            <w:webHidden/>
          </w:rPr>
          <w:t>33</w:t>
        </w:r>
        <w:r w:rsidR="0043603E">
          <w:rPr>
            <w:noProof/>
            <w:webHidden/>
          </w:rPr>
          <w:fldChar w:fldCharType="end"/>
        </w:r>
      </w:hyperlink>
    </w:p>
    <w:p w:rsidR="0043603E" w:rsidRDefault="005960D7">
      <w:pPr>
        <w:pStyle w:val="TOC2"/>
        <w:tabs>
          <w:tab w:val="right" w:pos="9016"/>
        </w:tabs>
        <w:rPr>
          <w:rFonts w:eastAsiaTheme="minorEastAsia" w:cstheme="minorBidi"/>
          <w:smallCaps w:val="0"/>
          <w:noProof/>
          <w:sz w:val="22"/>
          <w:szCs w:val="22"/>
          <w:lang w:val="en-US"/>
        </w:rPr>
      </w:pPr>
      <w:hyperlink w:anchor="_Toc116401365" w:history="1">
        <w:r w:rsidR="0043603E" w:rsidRPr="00B4129A">
          <w:rPr>
            <w:rStyle w:val="Hyperlink"/>
            <w:noProof/>
          </w:rPr>
          <w:t>Droit à la santé physique et mentale (article 12)</w:t>
        </w:r>
        <w:r w:rsidR="0043603E">
          <w:rPr>
            <w:noProof/>
            <w:webHidden/>
          </w:rPr>
          <w:tab/>
        </w:r>
        <w:r w:rsidR="0043603E">
          <w:rPr>
            <w:noProof/>
            <w:webHidden/>
          </w:rPr>
          <w:fldChar w:fldCharType="begin"/>
        </w:r>
        <w:r w:rsidR="0043603E">
          <w:rPr>
            <w:noProof/>
            <w:webHidden/>
          </w:rPr>
          <w:instrText xml:space="preserve"> PAGEREF _Toc116401365 \h </w:instrText>
        </w:r>
        <w:r w:rsidR="0043603E">
          <w:rPr>
            <w:noProof/>
            <w:webHidden/>
          </w:rPr>
        </w:r>
        <w:r w:rsidR="0043603E">
          <w:rPr>
            <w:noProof/>
            <w:webHidden/>
          </w:rPr>
          <w:fldChar w:fldCharType="separate"/>
        </w:r>
        <w:r w:rsidR="0043603E">
          <w:rPr>
            <w:noProof/>
            <w:webHidden/>
          </w:rPr>
          <w:t>34</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66" w:history="1">
        <w:r w:rsidR="0043603E" w:rsidRPr="00B4129A">
          <w:rPr>
            <w:rStyle w:val="Hyperlink"/>
            <w:noProof/>
          </w:rPr>
          <w:t>Accès aux soins de santé pour les demandeurs de protection internationale (DPI), bénéficiaire de protection internationale (BPI) et bénéficiaires de protection temporaire (BPT)</w:t>
        </w:r>
        <w:r w:rsidR="0043603E">
          <w:rPr>
            <w:noProof/>
            <w:webHidden/>
          </w:rPr>
          <w:tab/>
        </w:r>
        <w:r w:rsidR="0043603E">
          <w:rPr>
            <w:noProof/>
            <w:webHidden/>
          </w:rPr>
          <w:fldChar w:fldCharType="begin"/>
        </w:r>
        <w:r w:rsidR="0043603E">
          <w:rPr>
            <w:noProof/>
            <w:webHidden/>
          </w:rPr>
          <w:instrText xml:space="preserve"> PAGEREF _Toc116401366 \h </w:instrText>
        </w:r>
        <w:r w:rsidR="0043603E">
          <w:rPr>
            <w:noProof/>
            <w:webHidden/>
          </w:rPr>
        </w:r>
        <w:r w:rsidR="0043603E">
          <w:rPr>
            <w:noProof/>
            <w:webHidden/>
          </w:rPr>
          <w:fldChar w:fldCharType="separate"/>
        </w:r>
        <w:r w:rsidR="0043603E">
          <w:rPr>
            <w:noProof/>
            <w:webHidden/>
          </w:rPr>
          <w:t>34</w:t>
        </w:r>
        <w:r w:rsidR="0043603E">
          <w:rPr>
            <w:noProof/>
            <w:webHidden/>
          </w:rPr>
          <w:fldChar w:fldCharType="end"/>
        </w:r>
      </w:hyperlink>
    </w:p>
    <w:p w:rsidR="0043603E" w:rsidRDefault="005960D7">
      <w:pPr>
        <w:pStyle w:val="TOC1"/>
        <w:tabs>
          <w:tab w:val="right" w:pos="9016"/>
        </w:tabs>
        <w:rPr>
          <w:rFonts w:eastAsiaTheme="minorEastAsia" w:cstheme="minorBidi"/>
          <w:b w:val="0"/>
          <w:bCs w:val="0"/>
          <w:caps w:val="0"/>
          <w:noProof/>
          <w:sz w:val="22"/>
          <w:szCs w:val="22"/>
          <w:lang w:val="en-US"/>
        </w:rPr>
      </w:pPr>
      <w:hyperlink w:anchor="_Toc116401367" w:history="1">
        <w:r w:rsidR="0043603E" w:rsidRPr="00B4129A">
          <w:rPr>
            <w:rStyle w:val="Hyperlink"/>
            <w:noProof/>
          </w:rPr>
          <w:t>CLUSTER 4</w:t>
        </w:r>
        <w:r w:rsidR="0043603E">
          <w:rPr>
            <w:noProof/>
            <w:webHidden/>
          </w:rPr>
          <w:tab/>
        </w:r>
        <w:r w:rsidR="0043603E">
          <w:rPr>
            <w:noProof/>
            <w:webHidden/>
          </w:rPr>
          <w:fldChar w:fldCharType="begin"/>
        </w:r>
        <w:r w:rsidR="0043603E">
          <w:rPr>
            <w:noProof/>
            <w:webHidden/>
          </w:rPr>
          <w:instrText xml:space="preserve"> PAGEREF _Toc116401367 \h </w:instrText>
        </w:r>
        <w:r w:rsidR="0043603E">
          <w:rPr>
            <w:noProof/>
            <w:webHidden/>
          </w:rPr>
        </w:r>
        <w:r w:rsidR="0043603E">
          <w:rPr>
            <w:noProof/>
            <w:webHidden/>
          </w:rPr>
          <w:fldChar w:fldCharType="separate"/>
        </w:r>
        <w:r w:rsidR="0043603E">
          <w:rPr>
            <w:noProof/>
            <w:webHidden/>
          </w:rPr>
          <w:t>34</w:t>
        </w:r>
        <w:r w:rsidR="0043603E">
          <w:rPr>
            <w:noProof/>
            <w:webHidden/>
          </w:rPr>
          <w:fldChar w:fldCharType="end"/>
        </w:r>
      </w:hyperlink>
    </w:p>
    <w:p w:rsidR="0043603E" w:rsidRDefault="005960D7">
      <w:pPr>
        <w:pStyle w:val="TOC2"/>
        <w:tabs>
          <w:tab w:val="right" w:pos="9016"/>
        </w:tabs>
        <w:rPr>
          <w:rFonts w:eastAsiaTheme="minorEastAsia" w:cstheme="minorBidi"/>
          <w:smallCaps w:val="0"/>
          <w:noProof/>
          <w:sz w:val="22"/>
          <w:szCs w:val="22"/>
          <w:lang w:val="en-US"/>
        </w:rPr>
      </w:pPr>
      <w:hyperlink w:anchor="_Toc116401368" w:history="1">
        <w:r w:rsidR="0043603E" w:rsidRPr="00B4129A">
          <w:rPr>
            <w:rStyle w:val="Hyperlink"/>
            <w:noProof/>
          </w:rPr>
          <w:t>Droit à l’éducation (articles 13 et 14)</w:t>
        </w:r>
        <w:r w:rsidR="0043603E">
          <w:rPr>
            <w:noProof/>
            <w:webHidden/>
          </w:rPr>
          <w:tab/>
        </w:r>
        <w:r w:rsidR="0043603E">
          <w:rPr>
            <w:noProof/>
            <w:webHidden/>
          </w:rPr>
          <w:fldChar w:fldCharType="begin"/>
        </w:r>
        <w:r w:rsidR="0043603E">
          <w:rPr>
            <w:noProof/>
            <w:webHidden/>
          </w:rPr>
          <w:instrText xml:space="preserve"> PAGEREF _Toc116401368 \h </w:instrText>
        </w:r>
        <w:r w:rsidR="0043603E">
          <w:rPr>
            <w:noProof/>
            <w:webHidden/>
          </w:rPr>
        </w:r>
        <w:r w:rsidR="0043603E">
          <w:rPr>
            <w:noProof/>
            <w:webHidden/>
          </w:rPr>
          <w:fldChar w:fldCharType="separate"/>
        </w:r>
        <w:r w:rsidR="0043603E">
          <w:rPr>
            <w:noProof/>
            <w:webHidden/>
          </w:rPr>
          <w:t>34</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69" w:history="1">
        <w:r w:rsidR="0043603E" w:rsidRPr="00B4129A">
          <w:rPr>
            <w:rStyle w:val="Hyperlink"/>
            <w:noProof/>
          </w:rPr>
          <w:t>Taux de scolarisation</w:t>
        </w:r>
        <w:r w:rsidR="0043603E">
          <w:rPr>
            <w:noProof/>
            <w:webHidden/>
          </w:rPr>
          <w:tab/>
        </w:r>
        <w:r w:rsidR="0043603E">
          <w:rPr>
            <w:noProof/>
            <w:webHidden/>
          </w:rPr>
          <w:fldChar w:fldCharType="begin"/>
        </w:r>
        <w:r w:rsidR="0043603E">
          <w:rPr>
            <w:noProof/>
            <w:webHidden/>
          </w:rPr>
          <w:instrText xml:space="preserve"> PAGEREF _Toc116401369 \h </w:instrText>
        </w:r>
        <w:r w:rsidR="0043603E">
          <w:rPr>
            <w:noProof/>
            <w:webHidden/>
          </w:rPr>
        </w:r>
        <w:r w:rsidR="0043603E">
          <w:rPr>
            <w:noProof/>
            <w:webHidden/>
          </w:rPr>
          <w:fldChar w:fldCharType="separate"/>
        </w:r>
        <w:r w:rsidR="0043603E">
          <w:rPr>
            <w:noProof/>
            <w:webHidden/>
          </w:rPr>
          <w:t>34</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70"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Enseignement fondamental et secondaire</w:t>
        </w:r>
        <w:r w:rsidR="0043603E">
          <w:rPr>
            <w:noProof/>
            <w:webHidden/>
          </w:rPr>
          <w:tab/>
        </w:r>
        <w:r w:rsidR="0043603E">
          <w:rPr>
            <w:noProof/>
            <w:webHidden/>
          </w:rPr>
          <w:fldChar w:fldCharType="begin"/>
        </w:r>
        <w:r w:rsidR="0043603E">
          <w:rPr>
            <w:noProof/>
            <w:webHidden/>
          </w:rPr>
          <w:instrText xml:space="preserve"> PAGEREF _Toc116401370 \h </w:instrText>
        </w:r>
        <w:r w:rsidR="0043603E">
          <w:rPr>
            <w:noProof/>
            <w:webHidden/>
          </w:rPr>
        </w:r>
        <w:r w:rsidR="0043603E">
          <w:rPr>
            <w:noProof/>
            <w:webHidden/>
          </w:rPr>
          <w:fldChar w:fldCharType="separate"/>
        </w:r>
        <w:r w:rsidR="0043603E">
          <w:rPr>
            <w:noProof/>
            <w:webHidden/>
          </w:rPr>
          <w:t>34</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71" w:history="1">
        <w:r w:rsidR="0043603E" w:rsidRPr="00B4129A">
          <w:rPr>
            <w:rStyle w:val="Hyperlink"/>
            <w:noProof/>
          </w:rPr>
          <w:t>Scolarisation des enfants DPI</w:t>
        </w:r>
        <w:r w:rsidR="0043603E">
          <w:rPr>
            <w:noProof/>
            <w:webHidden/>
          </w:rPr>
          <w:tab/>
        </w:r>
        <w:r w:rsidR="0043603E">
          <w:rPr>
            <w:noProof/>
            <w:webHidden/>
          </w:rPr>
          <w:fldChar w:fldCharType="begin"/>
        </w:r>
        <w:r w:rsidR="0043603E">
          <w:rPr>
            <w:noProof/>
            <w:webHidden/>
          </w:rPr>
          <w:instrText xml:space="preserve"> PAGEREF _Toc116401371 \h </w:instrText>
        </w:r>
        <w:r w:rsidR="0043603E">
          <w:rPr>
            <w:noProof/>
            <w:webHidden/>
          </w:rPr>
        </w:r>
        <w:r w:rsidR="0043603E">
          <w:rPr>
            <w:noProof/>
            <w:webHidden/>
          </w:rPr>
          <w:fldChar w:fldCharType="separate"/>
        </w:r>
        <w:r w:rsidR="0043603E">
          <w:rPr>
            <w:noProof/>
            <w:webHidden/>
          </w:rPr>
          <w:t>39</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72" w:history="1">
        <w:r w:rsidR="0043603E" w:rsidRPr="00B4129A">
          <w:rPr>
            <w:rStyle w:val="Hyperlink"/>
            <w:noProof/>
          </w:rPr>
          <w:t>Educations tertiaire</w:t>
        </w:r>
        <w:r w:rsidR="0043603E">
          <w:rPr>
            <w:noProof/>
            <w:webHidden/>
          </w:rPr>
          <w:tab/>
        </w:r>
        <w:r w:rsidR="0043603E">
          <w:rPr>
            <w:noProof/>
            <w:webHidden/>
          </w:rPr>
          <w:fldChar w:fldCharType="begin"/>
        </w:r>
        <w:r w:rsidR="0043603E">
          <w:rPr>
            <w:noProof/>
            <w:webHidden/>
          </w:rPr>
          <w:instrText xml:space="preserve"> PAGEREF _Toc116401372 \h </w:instrText>
        </w:r>
        <w:r w:rsidR="0043603E">
          <w:rPr>
            <w:noProof/>
            <w:webHidden/>
          </w:rPr>
        </w:r>
        <w:r w:rsidR="0043603E">
          <w:rPr>
            <w:noProof/>
            <w:webHidden/>
          </w:rPr>
          <w:fldChar w:fldCharType="separate"/>
        </w:r>
        <w:r w:rsidR="0043603E">
          <w:rPr>
            <w:noProof/>
            <w:webHidden/>
          </w:rPr>
          <w:t>39</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73"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Statistiques désagrégées</w:t>
        </w:r>
        <w:r w:rsidR="0043603E">
          <w:rPr>
            <w:noProof/>
            <w:webHidden/>
          </w:rPr>
          <w:tab/>
        </w:r>
        <w:r w:rsidR="0043603E">
          <w:rPr>
            <w:noProof/>
            <w:webHidden/>
          </w:rPr>
          <w:fldChar w:fldCharType="begin"/>
        </w:r>
        <w:r w:rsidR="0043603E">
          <w:rPr>
            <w:noProof/>
            <w:webHidden/>
          </w:rPr>
          <w:instrText xml:space="preserve"> PAGEREF _Toc116401373 \h </w:instrText>
        </w:r>
        <w:r w:rsidR="0043603E">
          <w:rPr>
            <w:noProof/>
            <w:webHidden/>
          </w:rPr>
        </w:r>
        <w:r w:rsidR="0043603E">
          <w:rPr>
            <w:noProof/>
            <w:webHidden/>
          </w:rPr>
          <w:fldChar w:fldCharType="separate"/>
        </w:r>
        <w:r w:rsidR="0043603E">
          <w:rPr>
            <w:noProof/>
            <w:webHidden/>
          </w:rPr>
          <w:t>39</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74"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Aide financières</w:t>
        </w:r>
        <w:r w:rsidR="0043603E">
          <w:rPr>
            <w:noProof/>
            <w:webHidden/>
          </w:rPr>
          <w:tab/>
        </w:r>
        <w:r w:rsidR="0043603E">
          <w:rPr>
            <w:noProof/>
            <w:webHidden/>
          </w:rPr>
          <w:fldChar w:fldCharType="begin"/>
        </w:r>
        <w:r w:rsidR="0043603E">
          <w:rPr>
            <w:noProof/>
            <w:webHidden/>
          </w:rPr>
          <w:instrText xml:space="preserve"> PAGEREF _Toc116401374 \h </w:instrText>
        </w:r>
        <w:r w:rsidR="0043603E">
          <w:rPr>
            <w:noProof/>
            <w:webHidden/>
          </w:rPr>
        </w:r>
        <w:r w:rsidR="0043603E">
          <w:rPr>
            <w:noProof/>
            <w:webHidden/>
          </w:rPr>
          <w:fldChar w:fldCharType="separate"/>
        </w:r>
        <w:r w:rsidR="0043603E">
          <w:rPr>
            <w:noProof/>
            <w:webHidden/>
          </w:rPr>
          <w:t>40</w:t>
        </w:r>
        <w:r w:rsidR="0043603E">
          <w:rPr>
            <w:noProof/>
            <w:webHidden/>
          </w:rPr>
          <w:fldChar w:fldCharType="end"/>
        </w:r>
      </w:hyperlink>
    </w:p>
    <w:p w:rsidR="0043603E" w:rsidRDefault="005960D7">
      <w:pPr>
        <w:pStyle w:val="TOC2"/>
        <w:tabs>
          <w:tab w:val="right" w:pos="9016"/>
        </w:tabs>
        <w:rPr>
          <w:rFonts w:eastAsiaTheme="minorEastAsia" w:cstheme="minorBidi"/>
          <w:smallCaps w:val="0"/>
          <w:noProof/>
          <w:sz w:val="22"/>
          <w:szCs w:val="22"/>
          <w:lang w:val="en-US"/>
        </w:rPr>
      </w:pPr>
      <w:hyperlink w:anchor="_Toc116401375" w:history="1">
        <w:r w:rsidR="0043603E" w:rsidRPr="00B4129A">
          <w:rPr>
            <w:rStyle w:val="Hyperlink"/>
            <w:noProof/>
          </w:rPr>
          <w:t>Droits culturels (article 15)</w:t>
        </w:r>
        <w:r w:rsidR="0043603E">
          <w:rPr>
            <w:noProof/>
            <w:webHidden/>
          </w:rPr>
          <w:tab/>
        </w:r>
        <w:r w:rsidR="0043603E">
          <w:rPr>
            <w:noProof/>
            <w:webHidden/>
          </w:rPr>
          <w:fldChar w:fldCharType="begin"/>
        </w:r>
        <w:r w:rsidR="0043603E">
          <w:rPr>
            <w:noProof/>
            <w:webHidden/>
          </w:rPr>
          <w:instrText xml:space="preserve"> PAGEREF _Toc116401375 \h </w:instrText>
        </w:r>
        <w:r w:rsidR="0043603E">
          <w:rPr>
            <w:noProof/>
            <w:webHidden/>
          </w:rPr>
        </w:r>
        <w:r w:rsidR="0043603E">
          <w:rPr>
            <w:noProof/>
            <w:webHidden/>
          </w:rPr>
          <w:fldChar w:fldCharType="separate"/>
        </w:r>
        <w:r w:rsidR="0043603E">
          <w:rPr>
            <w:noProof/>
            <w:webHidden/>
          </w:rPr>
          <w:t>40</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76" w:history="1">
        <w:r w:rsidR="0043603E" w:rsidRPr="00B4129A">
          <w:rPr>
            <w:rStyle w:val="Hyperlink"/>
            <w:noProof/>
          </w:rPr>
          <w:t>Diversité culturelle et linguistique</w:t>
        </w:r>
        <w:r w:rsidR="0043603E">
          <w:rPr>
            <w:noProof/>
            <w:webHidden/>
          </w:rPr>
          <w:tab/>
        </w:r>
        <w:r w:rsidR="0043603E">
          <w:rPr>
            <w:noProof/>
            <w:webHidden/>
          </w:rPr>
          <w:fldChar w:fldCharType="begin"/>
        </w:r>
        <w:r w:rsidR="0043603E">
          <w:rPr>
            <w:noProof/>
            <w:webHidden/>
          </w:rPr>
          <w:instrText xml:space="preserve"> PAGEREF _Toc116401376 \h </w:instrText>
        </w:r>
        <w:r w:rsidR="0043603E">
          <w:rPr>
            <w:noProof/>
            <w:webHidden/>
          </w:rPr>
        </w:r>
        <w:r w:rsidR="0043603E">
          <w:rPr>
            <w:noProof/>
            <w:webHidden/>
          </w:rPr>
          <w:fldChar w:fldCharType="separate"/>
        </w:r>
        <w:r w:rsidR="0043603E">
          <w:rPr>
            <w:noProof/>
            <w:webHidden/>
          </w:rPr>
          <w:t>40</w:t>
        </w:r>
        <w:r w:rsidR="0043603E">
          <w:rPr>
            <w:noProof/>
            <w:webHidden/>
          </w:rPr>
          <w:fldChar w:fldCharType="end"/>
        </w:r>
      </w:hyperlink>
    </w:p>
    <w:p w:rsidR="0043603E" w:rsidRDefault="005960D7">
      <w:pPr>
        <w:pStyle w:val="TOC3"/>
        <w:tabs>
          <w:tab w:val="right" w:pos="9016"/>
        </w:tabs>
        <w:rPr>
          <w:rFonts w:eastAsiaTheme="minorEastAsia" w:cstheme="minorBidi"/>
          <w:i w:val="0"/>
          <w:iCs w:val="0"/>
          <w:noProof/>
          <w:sz w:val="22"/>
          <w:szCs w:val="22"/>
          <w:lang w:val="en-US"/>
        </w:rPr>
      </w:pPr>
      <w:hyperlink w:anchor="_Toc116401377" w:history="1">
        <w:r w:rsidR="0043603E" w:rsidRPr="00B4129A">
          <w:rPr>
            <w:rStyle w:val="Hyperlink"/>
            <w:noProof/>
          </w:rPr>
          <w:t>Accès à la culture et Inclusion numérique</w:t>
        </w:r>
        <w:r w:rsidR="0043603E">
          <w:rPr>
            <w:noProof/>
            <w:webHidden/>
          </w:rPr>
          <w:tab/>
        </w:r>
        <w:r w:rsidR="0043603E">
          <w:rPr>
            <w:noProof/>
            <w:webHidden/>
          </w:rPr>
          <w:fldChar w:fldCharType="begin"/>
        </w:r>
        <w:r w:rsidR="0043603E">
          <w:rPr>
            <w:noProof/>
            <w:webHidden/>
          </w:rPr>
          <w:instrText xml:space="preserve"> PAGEREF _Toc116401377 \h </w:instrText>
        </w:r>
        <w:r w:rsidR="0043603E">
          <w:rPr>
            <w:noProof/>
            <w:webHidden/>
          </w:rPr>
        </w:r>
        <w:r w:rsidR="0043603E">
          <w:rPr>
            <w:noProof/>
            <w:webHidden/>
          </w:rPr>
          <w:fldChar w:fldCharType="separate"/>
        </w:r>
        <w:r w:rsidR="0043603E">
          <w:rPr>
            <w:noProof/>
            <w:webHidden/>
          </w:rPr>
          <w:t>43</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78"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Accès à la culture</w:t>
        </w:r>
        <w:r w:rsidR="0043603E">
          <w:rPr>
            <w:noProof/>
            <w:webHidden/>
          </w:rPr>
          <w:tab/>
        </w:r>
        <w:r w:rsidR="0043603E">
          <w:rPr>
            <w:noProof/>
            <w:webHidden/>
          </w:rPr>
          <w:fldChar w:fldCharType="begin"/>
        </w:r>
        <w:r w:rsidR="0043603E">
          <w:rPr>
            <w:noProof/>
            <w:webHidden/>
          </w:rPr>
          <w:instrText xml:space="preserve"> PAGEREF _Toc116401378 \h </w:instrText>
        </w:r>
        <w:r w:rsidR="0043603E">
          <w:rPr>
            <w:noProof/>
            <w:webHidden/>
          </w:rPr>
        </w:r>
        <w:r w:rsidR="0043603E">
          <w:rPr>
            <w:noProof/>
            <w:webHidden/>
          </w:rPr>
          <w:fldChar w:fldCharType="separate"/>
        </w:r>
        <w:r w:rsidR="0043603E">
          <w:rPr>
            <w:noProof/>
            <w:webHidden/>
          </w:rPr>
          <w:t>43</w:t>
        </w:r>
        <w:r w:rsidR="0043603E">
          <w:rPr>
            <w:noProof/>
            <w:webHidden/>
          </w:rPr>
          <w:fldChar w:fldCharType="end"/>
        </w:r>
      </w:hyperlink>
    </w:p>
    <w:p w:rsidR="0043603E" w:rsidRDefault="005960D7">
      <w:pPr>
        <w:pStyle w:val="TOC4"/>
        <w:tabs>
          <w:tab w:val="left" w:pos="1100"/>
          <w:tab w:val="right" w:pos="9016"/>
        </w:tabs>
        <w:rPr>
          <w:rFonts w:eastAsiaTheme="minorEastAsia" w:cstheme="minorBidi"/>
          <w:noProof/>
          <w:sz w:val="22"/>
          <w:szCs w:val="22"/>
          <w:lang w:val="en-US"/>
        </w:rPr>
      </w:pPr>
      <w:hyperlink w:anchor="_Toc116401379" w:history="1">
        <w:r w:rsidR="0043603E" w:rsidRPr="00B4129A">
          <w:rPr>
            <w:rStyle w:val="Hyperlink"/>
            <w:rFonts w:ascii="Symbol" w:hAnsi="Symbol"/>
            <w:noProof/>
          </w:rPr>
          <w:t></w:t>
        </w:r>
        <w:r w:rsidR="0043603E">
          <w:rPr>
            <w:rFonts w:eastAsiaTheme="minorEastAsia" w:cstheme="minorBidi"/>
            <w:noProof/>
            <w:sz w:val="22"/>
            <w:szCs w:val="22"/>
            <w:lang w:val="en-US"/>
          </w:rPr>
          <w:tab/>
        </w:r>
        <w:r w:rsidR="0043603E" w:rsidRPr="00B4129A">
          <w:rPr>
            <w:rStyle w:val="Hyperlink"/>
            <w:noProof/>
          </w:rPr>
          <w:t>Mesures dans le domaine de l’inclusion numérique</w:t>
        </w:r>
        <w:r w:rsidR="0043603E">
          <w:rPr>
            <w:noProof/>
            <w:webHidden/>
          </w:rPr>
          <w:tab/>
        </w:r>
        <w:r w:rsidR="0043603E">
          <w:rPr>
            <w:noProof/>
            <w:webHidden/>
          </w:rPr>
          <w:fldChar w:fldCharType="begin"/>
        </w:r>
        <w:r w:rsidR="0043603E">
          <w:rPr>
            <w:noProof/>
            <w:webHidden/>
          </w:rPr>
          <w:instrText xml:space="preserve"> PAGEREF _Toc116401379 \h </w:instrText>
        </w:r>
        <w:r w:rsidR="0043603E">
          <w:rPr>
            <w:noProof/>
            <w:webHidden/>
          </w:rPr>
        </w:r>
        <w:r w:rsidR="0043603E">
          <w:rPr>
            <w:noProof/>
            <w:webHidden/>
          </w:rPr>
          <w:fldChar w:fldCharType="separate"/>
        </w:r>
        <w:r w:rsidR="0043603E">
          <w:rPr>
            <w:noProof/>
            <w:webHidden/>
          </w:rPr>
          <w:t>43</w:t>
        </w:r>
        <w:r w:rsidR="0043603E">
          <w:rPr>
            <w:noProof/>
            <w:webHidden/>
          </w:rPr>
          <w:fldChar w:fldCharType="end"/>
        </w:r>
      </w:hyperlink>
    </w:p>
    <w:p w:rsidR="004136D4" w:rsidRDefault="00D80456" w:rsidP="00B37982">
      <w:pPr>
        <w:rPr>
          <w:highlight w:val="yellow"/>
        </w:rPr>
      </w:pPr>
      <w:r>
        <w:rPr>
          <w:rFonts w:cstheme="minorHAnsi"/>
          <w:b/>
          <w:bCs/>
          <w:caps/>
          <w:sz w:val="20"/>
          <w:szCs w:val="20"/>
          <w:highlight w:val="yellow"/>
        </w:rPr>
        <w:fldChar w:fldCharType="end"/>
      </w:r>
    </w:p>
    <w:p w:rsidR="004136D4" w:rsidRPr="00AF5A10" w:rsidRDefault="00975412" w:rsidP="00AF5A10">
      <w:pPr>
        <w:pStyle w:val="Heading1"/>
      </w:pPr>
      <w:bookmarkStart w:id="0" w:name="_Toc116401301"/>
      <w:r w:rsidRPr="00AF5A10">
        <w:lastRenderedPageBreak/>
        <w:t>CLUSTER 1</w:t>
      </w:r>
      <w:bookmarkEnd w:id="0"/>
    </w:p>
    <w:p w:rsidR="006C383F" w:rsidRPr="00AF5A10" w:rsidRDefault="006C383F" w:rsidP="00AF5A10">
      <w:pPr>
        <w:pStyle w:val="Heading2"/>
      </w:pPr>
      <w:bookmarkStart w:id="1" w:name="_Toc116401302"/>
      <w:r w:rsidRPr="00AF5A10">
        <w:t>Renseignements d’ordre général</w:t>
      </w:r>
      <w:bookmarkEnd w:id="1"/>
    </w:p>
    <w:p w:rsidR="000732EF" w:rsidRPr="00AF5A10" w:rsidRDefault="000732EF" w:rsidP="00AF5A10">
      <w:pPr>
        <w:pStyle w:val="Heading3"/>
      </w:pPr>
      <w:bookmarkStart w:id="2" w:name="_Toc116401303"/>
      <w:r w:rsidRPr="00AF5A10">
        <w:t>Primauté du droit international sur les normes internes au Grand-Duché du Luxembourg</w:t>
      </w:r>
      <w:bookmarkEnd w:id="2"/>
    </w:p>
    <w:p w:rsidR="000732EF" w:rsidRPr="000732EF" w:rsidRDefault="000732EF" w:rsidP="000732EF">
      <w:r w:rsidRPr="000732EF">
        <w:t xml:space="preserve">Pour une bonne visibilité des normes internationales, les normes internationales sont très souvent </w:t>
      </w:r>
      <w:r w:rsidR="00533CAA">
        <w:t xml:space="preserve">intégrées dans le droit interne. À </w:t>
      </w:r>
      <w:r w:rsidRPr="000732EF">
        <w:t>titre d’exemple peut être cité l’article 382-1 du Code pénal, une disposition repris</w:t>
      </w:r>
      <w:r w:rsidR="00533CAA">
        <w:t>e</w:t>
      </w:r>
      <w:bookmarkStart w:id="3" w:name="_GoBack"/>
      <w:bookmarkEnd w:id="3"/>
      <w:r w:rsidRPr="000732EF">
        <w:t xml:space="preserve"> de plusieurs conventions internationales. Elle introduit l’incrimination spécifique de la traite des êtres humains (y compris vente d’enfant et esclavage) et prévoit un catalogue de sanctions.</w:t>
      </w:r>
    </w:p>
    <w:p w:rsidR="000732EF" w:rsidRPr="000732EF" w:rsidRDefault="000732EF" w:rsidP="000732EF">
      <w:r w:rsidRPr="000732EF">
        <w:t>La primauté du droit international sur le droit interne a été reconnu par la voie jurisprudentielle au Luxembourg dès 1950. Les normes internationales ratifiées s’imposent aux règles de droit interne, y compris les normes postérieures aux traités et les normes à valeur constitutionnelle. Toute norme interne peut être censuré ou écarté si elle n’est pas conforme aux règles de droit international qui lui sont opposables.</w:t>
      </w:r>
    </w:p>
    <w:p w:rsidR="000732EF" w:rsidRPr="00652868" w:rsidRDefault="000732EF" w:rsidP="000732EF">
      <w:pPr>
        <w:rPr>
          <w:b/>
          <w:u w:val="single"/>
        </w:rPr>
      </w:pPr>
      <w:r w:rsidRPr="00652868">
        <w:rPr>
          <w:b/>
          <w:u w:val="single"/>
        </w:rPr>
        <w:t>Applications jurisprudentielles :</w:t>
      </w:r>
    </w:p>
    <w:p w:rsidR="000732EF" w:rsidRPr="000732EF" w:rsidRDefault="000732EF" w:rsidP="007F607F">
      <w:pPr>
        <w:pStyle w:val="ListParagraph"/>
        <w:numPr>
          <w:ilvl w:val="0"/>
          <w:numId w:val="28"/>
        </w:numPr>
        <w:ind w:left="714" w:hanging="357"/>
        <w:contextualSpacing w:val="0"/>
      </w:pPr>
      <w:r w:rsidRPr="000732EF">
        <w:t>Cour de cassation, arrêts des 8 juin 1950 (</w:t>
      </w:r>
      <w:proofErr w:type="spellStart"/>
      <w:r w:rsidRPr="000732EF">
        <w:t>Pasicrisie</w:t>
      </w:r>
      <w:proofErr w:type="spellEnd"/>
      <w:r w:rsidRPr="000732EF">
        <w:t xml:space="preserve"> lux. 15, p. 41) et 14 juillet 1954 (</w:t>
      </w:r>
      <w:proofErr w:type="spellStart"/>
      <w:r w:rsidRPr="000732EF">
        <w:t>Pasicrisie</w:t>
      </w:r>
      <w:proofErr w:type="spellEnd"/>
      <w:r w:rsidRPr="000732EF">
        <w:t xml:space="preserve"> lux. 16, p. 151); Conseil d’État (Comité du contentieux), arrêt du 28 juillet 1951, Dieudonné c/ Administration des contributions (</w:t>
      </w:r>
      <w:proofErr w:type="spellStart"/>
      <w:r w:rsidRPr="000732EF">
        <w:t>Pasicrisie</w:t>
      </w:r>
      <w:proofErr w:type="spellEnd"/>
      <w:r w:rsidRPr="000732EF">
        <w:t xml:space="preserve"> lux. 15, p. 263): </w:t>
      </w:r>
      <w:r w:rsidRPr="000732EF">
        <w:rPr>
          <w:b/>
        </w:rPr>
        <w:t>contrôle respectif par le juge judiciaire et le juge administratif de la compatibilité des lois luxembourgeoises, même postérieures, aux traités internationaux.</w:t>
      </w:r>
    </w:p>
    <w:p w:rsidR="000732EF" w:rsidRPr="000732EF" w:rsidRDefault="000732EF" w:rsidP="007F607F">
      <w:pPr>
        <w:pStyle w:val="ListParagraph"/>
        <w:numPr>
          <w:ilvl w:val="0"/>
          <w:numId w:val="28"/>
        </w:numPr>
        <w:ind w:left="714" w:hanging="357"/>
        <w:contextualSpacing w:val="0"/>
      </w:pPr>
      <w:r w:rsidRPr="000732EF">
        <w:t>Conseil d’</w:t>
      </w:r>
      <w:proofErr w:type="spellStart"/>
      <w:r w:rsidRPr="000732EF">
        <w:t>Etat</w:t>
      </w:r>
      <w:proofErr w:type="spellEnd"/>
      <w:r w:rsidRPr="000732EF">
        <w:t xml:space="preserve"> (Comité du contentieux), 21 novembre 1984 (</w:t>
      </w:r>
      <w:proofErr w:type="spellStart"/>
      <w:r w:rsidRPr="000732EF">
        <w:t>Pasicrisie</w:t>
      </w:r>
      <w:proofErr w:type="spellEnd"/>
      <w:r w:rsidRPr="000732EF">
        <w:t xml:space="preserve"> lux. 26, p. 174) : </w:t>
      </w:r>
      <w:r w:rsidRPr="000732EF">
        <w:rPr>
          <w:b/>
        </w:rPr>
        <w:t>Article 49</w:t>
      </w:r>
      <w:r w:rsidRPr="000732EF">
        <w:rPr>
          <w:b/>
          <w:i/>
        </w:rPr>
        <w:t>bis</w:t>
      </w:r>
      <w:r w:rsidRPr="000732EF">
        <w:rPr>
          <w:b/>
        </w:rPr>
        <w:t xml:space="preserve"> Constitution - En cas de conflit entre une norme de droit interne et une norme de droit international ayant des effets directs dans l’ordre juridique interne, la règle établie par le Traité doit prévaloir.</w:t>
      </w:r>
    </w:p>
    <w:p w:rsidR="000732EF" w:rsidRPr="000732EF" w:rsidRDefault="000732EF" w:rsidP="007F607F">
      <w:pPr>
        <w:pStyle w:val="ListParagraph"/>
        <w:numPr>
          <w:ilvl w:val="0"/>
          <w:numId w:val="28"/>
        </w:numPr>
        <w:ind w:left="714" w:hanging="357"/>
        <w:contextualSpacing w:val="0"/>
      </w:pPr>
      <w:r w:rsidRPr="000732EF">
        <w:t xml:space="preserve">Cour d’appel, arrêt du 13 novembre 2001, n° 396/01 V (Annales du droit luxembourgeois, 2002, éd. </w:t>
      </w:r>
      <w:proofErr w:type="spellStart"/>
      <w:r w:rsidRPr="000732EF">
        <w:t>Bruylant</w:t>
      </w:r>
      <w:proofErr w:type="spellEnd"/>
      <w:r w:rsidRPr="000732EF">
        <w:t xml:space="preserve">, p. 456): </w:t>
      </w:r>
      <w:r w:rsidRPr="000732EF">
        <w:rPr>
          <w:b/>
        </w:rPr>
        <w:t>impossibilité d’invoquer les dispositions du droit interne pour justifier la non-exécution d’un traité.</w:t>
      </w:r>
    </w:p>
    <w:p w:rsidR="000732EF" w:rsidRPr="007F607F" w:rsidRDefault="000732EF" w:rsidP="007F607F">
      <w:pPr>
        <w:pStyle w:val="ListParagraph"/>
        <w:numPr>
          <w:ilvl w:val="0"/>
          <w:numId w:val="28"/>
        </w:numPr>
        <w:ind w:left="714" w:hanging="357"/>
        <w:contextualSpacing w:val="0"/>
      </w:pPr>
      <w:r w:rsidRPr="000732EF">
        <w:t xml:space="preserve">Cour sup. de justice (assemblée générale), arrêt du 5 décembre 2002, n°337/02 (Annales du droit luxembourgeois, 2003, éd. </w:t>
      </w:r>
      <w:proofErr w:type="spellStart"/>
      <w:r w:rsidRPr="000732EF">
        <w:t>Bruylant</w:t>
      </w:r>
      <w:proofErr w:type="spellEnd"/>
      <w:r w:rsidRPr="000732EF">
        <w:t xml:space="preserve">, p. 683): </w:t>
      </w:r>
      <w:r w:rsidRPr="000732EF">
        <w:rPr>
          <w:b/>
        </w:rPr>
        <w:t>dans l’ordre interne, les engagements internationaux prévalent sur toutes les normes nationales, y compris les textes constitutionnels.</w:t>
      </w:r>
    </w:p>
    <w:p w:rsidR="007F607F" w:rsidRPr="007F607F" w:rsidRDefault="007F607F" w:rsidP="00AF5A10">
      <w:pPr>
        <w:pStyle w:val="Heading3"/>
      </w:pPr>
      <w:bookmarkStart w:id="4" w:name="_Toc116401304"/>
      <w:r w:rsidRPr="007F607F">
        <w:t>Réforme constitutionnelle – Prise en compte des avis de la Commission de Venise</w:t>
      </w:r>
      <w:bookmarkEnd w:id="4"/>
    </w:p>
    <w:p w:rsidR="007F607F" w:rsidRPr="007F607F" w:rsidRDefault="007F607F" w:rsidP="007F607F">
      <w:pPr>
        <w:rPr>
          <w:iCs/>
        </w:rPr>
      </w:pPr>
      <w:r w:rsidRPr="007F607F">
        <w:rPr>
          <w:iCs/>
        </w:rPr>
        <w:t>Dans le contexte de l’élaboration de la nouvelle Constitution pour le Luxembourg, la Commission de Venise (Commission européenne pour la démocratie par le Droit) a émis deux avis, à savoir le 14 décembre 2009 un avis intérimaire formulant des recommandations et le 27 février 2019 une proposition de révision en tant que telle.</w:t>
      </w:r>
    </w:p>
    <w:p w:rsidR="000732EF" w:rsidRDefault="007F607F" w:rsidP="000732EF">
      <w:pPr>
        <w:rPr>
          <w:iCs/>
        </w:rPr>
      </w:pPr>
      <w:r w:rsidRPr="007F607F">
        <w:rPr>
          <w:iCs/>
        </w:rPr>
        <w:t>Les avis de la Commission de Venise ont largement contribué au débat politique et juridique et ont été une source d’inspiration importante, et ce tant pour les travaux du Conseil d’</w:t>
      </w:r>
      <w:proofErr w:type="spellStart"/>
      <w:r w:rsidRPr="007F607F">
        <w:rPr>
          <w:iCs/>
        </w:rPr>
        <w:t>Etat</w:t>
      </w:r>
      <w:proofErr w:type="spellEnd"/>
      <w:r w:rsidRPr="007F607F">
        <w:rPr>
          <w:iCs/>
        </w:rPr>
        <w:t xml:space="preserve"> que pour les </w:t>
      </w:r>
      <w:r w:rsidRPr="007F607F">
        <w:rPr>
          <w:iCs/>
        </w:rPr>
        <w:lastRenderedPageBreak/>
        <w:t>discussions menées au sein du Parlement (en l’occurrence de commission parlementaire « Commission des Institutions et de la Révision »</w:t>
      </w:r>
      <w:r>
        <w:rPr>
          <w:iCs/>
        </w:rPr>
        <w:t>).</w:t>
      </w:r>
    </w:p>
    <w:p w:rsidR="00F72B47" w:rsidRPr="00383ABB" w:rsidRDefault="00F72B47" w:rsidP="00AF5A10">
      <w:pPr>
        <w:pStyle w:val="Heading3"/>
      </w:pPr>
      <w:bookmarkStart w:id="5" w:name="_Toc116401305"/>
      <w:r w:rsidRPr="00383ABB">
        <w:t>Assistance judiciaire</w:t>
      </w:r>
      <w:bookmarkEnd w:id="5"/>
      <w:r w:rsidRPr="00383ABB">
        <w:t xml:space="preserve"> </w:t>
      </w:r>
    </w:p>
    <w:p w:rsidR="00F72B47" w:rsidRPr="00383ABB" w:rsidRDefault="00F72B47" w:rsidP="00F72B47">
      <w:pPr>
        <w:rPr>
          <w:shd w:val="clear" w:color="auto" w:fill="FFFFFF"/>
        </w:rPr>
      </w:pPr>
      <w:r w:rsidRPr="00383ABB">
        <w:rPr>
          <w:shd w:val="clear" w:color="auto" w:fill="FFFFFF"/>
        </w:rPr>
        <w:t>Pour garantir l'accès à la justice des personnes qui ne disposent pas de revenus suffisants, l’</w:t>
      </w:r>
      <w:proofErr w:type="spellStart"/>
      <w:r w:rsidRPr="00383ABB">
        <w:rPr>
          <w:shd w:val="clear" w:color="auto" w:fill="FFFFFF"/>
        </w:rPr>
        <w:t>Etat</w:t>
      </w:r>
      <w:proofErr w:type="spellEnd"/>
      <w:r w:rsidRPr="00383ABB">
        <w:rPr>
          <w:shd w:val="clear" w:color="auto" w:fill="FFFFFF"/>
        </w:rPr>
        <w:t xml:space="preserve"> luxembourgeois met à leur disposition une </w:t>
      </w:r>
      <w:r w:rsidRPr="00383ABB">
        <w:rPr>
          <w:b/>
          <w:shd w:val="clear" w:color="auto" w:fill="FFFFFF"/>
        </w:rPr>
        <w:t>assistance judiciaire gratuite et totale</w:t>
      </w:r>
      <w:r w:rsidRPr="00383ABB">
        <w:rPr>
          <w:shd w:val="clear" w:color="auto" w:fill="FFFFFF"/>
        </w:rPr>
        <w:t xml:space="preserve"> pour la défense de leurs intérêts. Cette aide e donne droit à l’assistance d’un avocat et de tout autre officier ministériel (notaire, huissier, etc.) dont la cause requiert le concours.</w:t>
      </w:r>
    </w:p>
    <w:p w:rsidR="00F72B47" w:rsidRPr="00383ABB" w:rsidRDefault="00F72B47" w:rsidP="00F72B47">
      <w:pPr>
        <w:rPr>
          <w:shd w:val="clear" w:color="auto" w:fill="FFFFFF"/>
        </w:rPr>
      </w:pPr>
      <w:r w:rsidRPr="00383ABB">
        <w:rPr>
          <w:shd w:val="clear" w:color="auto" w:fill="FFFFFF"/>
        </w:rPr>
        <w:t xml:space="preserve">L'assistance judiciaire est accordée aussi bien en matière judiciaire qu'extrajudiciaire, gracieuse ou contentieuse, en demande ou en défense. Elle s’applique à toute instance portée devant une juridiction de l’ordre judiciaire ou de l’ordre administratif. </w:t>
      </w:r>
    </w:p>
    <w:p w:rsidR="00F72B47" w:rsidRPr="00383ABB" w:rsidRDefault="00F72B47" w:rsidP="00F72B47">
      <w:pPr>
        <w:rPr>
          <w:shd w:val="clear" w:color="auto" w:fill="FFFFFF"/>
        </w:rPr>
      </w:pPr>
      <w:r w:rsidRPr="00383ABB">
        <w:rPr>
          <w:shd w:val="clear" w:color="auto" w:fill="FFFFFF"/>
        </w:rPr>
        <w:t>L'assistance juridique peut être demandée au cours de l’instance pour laquelle elle est sollicitée, avec, en cas d’admission, effet rétroactif au jour de l’introduction de l’instance. Elle s’étend à tous les frais relatifs aux instances, procédures ou actes pour lesquelles elle a été accordée.</w:t>
      </w:r>
    </w:p>
    <w:p w:rsidR="00F72B47" w:rsidRPr="00383ABB" w:rsidRDefault="00F72B47" w:rsidP="00F72B47">
      <w:pPr>
        <w:rPr>
          <w:shd w:val="clear" w:color="auto" w:fill="FFFFFF"/>
        </w:rPr>
      </w:pPr>
      <w:r w:rsidRPr="00383ABB">
        <w:rPr>
          <w:shd w:val="clear" w:color="auto" w:fill="FFFFFF"/>
        </w:rPr>
        <w:t xml:space="preserve">Sont </w:t>
      </w:r>
      <w:r w:rsidRPr="00383ABB">
        <w:rPr>
          <w:b/>
          <w:shd w:val="clear" w:color="auto" w:fill="FFFFFF"/>
        </w:rPr>
        <w:t>admis à bénéficier de l’assistance judiciaire</w:t>
      </w:r>
      <w:r w:rsidRPr="00383ABB">
        <w:rPr>
          <w:shd w:val="clear" w:color="auto" w:fill="FFFFFF"/>
        </w:rPr>
        <w:t xml:space="preserve"> : les ressortissants luxembourgeois ; les ressortissants étrangers autorisés à s’établir au Luxembourg ; les ressortissants d’un </w:t>
      </w:r>
      <w:proofErr w:type="spellStart"/>
      <w:r w:rsidRPr="00383ABB">
        <w:rPr>
          <w:shd w:val="clear" w:color="auto" w:fill="FFFFFF"/>
        </w:rPr>
        <w:t>Etat</w:t>
      </w:r>
      <w:proofErr w:type="spellEnd"/>
      <w:r w:rsidRPr="00383ABB">
        <w:rPr>
          <w:shd w:val="clear" w:color="auto" w:fill="FFFFFF"/>
        </w:rPr>
        <w:t xml:space="preserve"> membre de l’Union européenne (UE) ; les ressortissants étrangers assimilés aux ressortissants luxembourgeois en matière d’assistance judiciaire en vertu d’un traité international et les de ressortissants de pays tiers en séjour irrégulier en vue du recouvrement des rémunérations dues en application du Code du travail.</w:t>
      </w:r>
    </w:p>
    <w:p w:rsidR="00F72B47" w:rsidRPr="00383ABB" w:rsidRDefault="00F72B47" w:rsidP="00F72B47">
      <w:pPr>
        <w:rPr>
          <w:shd w:val="clear" w:color="auto" w:fill="FFFFFF"/>
        </w:rPr>
      </w:pPr>
      <w:proofErr w:type="spellStart"/>
      <w:r w:rsidRPr="00383ABB">
        <w:rPr>
          <w:shd w:val="clear" w:color="auto" w:fill="FFFFFF"/>
        </w:rPr>
        <w:t>A</w:t>
      </w:r>
      <w:proofErr w:type="spellEnd"/>
      <w:r w:rsidRPr="00383ABB">
        <w:rPr>
          <w:shd w:val="clear" w:color="auto" w:fill="FFFFFF"/>
        </w:rPr>
        <w:t xml:space="preserve"> noter que l’assistance judiciaire peut être accordée aussi bien aux adultes qu’aux mineurs d’âge. </w:t>
      </w:r>
    </w:p>
    <w:p w:rsidR="00F72B47" w:rsidRPr="00383ABB" w:rsidRDefault="00F72B47" w:rsidP="00F72B47">
      <w:pPr>
        <w:rPr>
          <w:shd w:val="clear" w:color="auto" w:fill="FFFFFF"/>
        </w:rPr>
      </w:pPr>
      <w:r w:rsidRPr="00383ABB">
        <w:rPr>
          <w:b/>
          <w:shd w:val="clear" w:color="auto" w:fill="FFFFFF"/>
        </w:rPr>
        <w:t>Dans les litiges transfrontaliers</w:t>
      </w:r>
      <w:r w:rsidRPr="00383ABB">
        <w:rPr>
          <w:shd w:val="clear" w:color="auto" w:fill="FFFFFF"/>
        </w:rPr>
        <w:t xml:space="preserve">, la personne qui a son domicile ou sa résidence habituelle au Luxembourg peut bénéficier de l’assistance judiciaire aux fins d’obtention de conseils juridiques, y compris la préparation du dossier concernant une demande d’aide judiciaire destinée à être présentée dans un autre </w:t>
      </w:r>
      <w:r w:rsidR="00571106">
        <w:rPr>
          <w:shd w:val="clear" w:color="auto" w:fill="FFFFFF"/>
        </w:rPr>
        <w:t>É</w:t>
      </w:r>
      <w:r w:rsidRPr="00383ABB">
        <w:rPr>
          <w:shd w:val="clear" w:color="auto" w:fill="FFFFFF"/>
        </w:rPr>
        <w:t xml:space="preserve">tat membre de l’UE. </w:t>
      </w:r>
    </w:p>
    <w:p w:rsidR="00F72B47" w:rsidRPr="00383ABB" w:rsidRDefault="00F72B47" w:rsidP="00F72B47">
      <w:pPr>
        <w:rPr>
          <w:shd w:val="clear" w:color="auto" w:fill="FFFFFF"/>
        </w:rPr>
      </w:pPr>
      <w:r w:rsidRPr="00383ABB">
        <w:rPr>
          <w:shd w:val="clear" w:color="auto" w:fill="FFFFFF"/>
        </w:rPr>
        <w:t xml:space="preserve">De même, le ressortissant étranger qui a son domicile ou sa résidence dans un autre </w:t>
      </w:r>
      <w:r w:rsidR="00571106">
        <w:rPr>
          <w:shd w:val="clear" w:color="auto" w:fill="FFFFFF"/>
        </w:rPr>
        <w:t>É</w:t>
      </w:r>
      <w:r w:rsidRPr="00383ABB">
        <w:rPr>
          <w:shd w:val="clear" w:color="auto" w:fill="FFFFFF"/>
        </w:rPr>
        <w:t>tat membre de l’UE, à l’exception du Danemark, peut également bénéficier de l’assistance judiciaire au Grand-Duché, pour les litiges transfrontaliers. Il doit cependant en faire la demande à l'autorité compétente de son pays, qui transmettra les informations au ministère luxembourgeois de la Justice.</w:t>
      </w:r>
    </w:p>
    <w:p w:rsidR="00F72B47" w:rsidRPr="00383ABB" w:rsidRDefault="00F72B47" w:rsidP="00F72B47">
      <w:pPr>
        <w:rPr>
          <w:shd w:val="clear" w:color="auto" w:fill="FFFFFF"/>
        </w:rPr>
      </w:pPr>
      <w:r w:rsidRPr="00383ABB">
        <w:rPr>
          <w:shd w:val="clear" w:color="auto" w:fill="FFFFFF"/>
        </w:rPr>
        <w:t>L’assistance judiciaire peut aussi être accordée à tout ressortissant étranger dont les ressources sont insuffisantes pour les procédures en matière de droit d’asile, d’accès au territoire, de séjour, d’établissement et d’éloignement des étrangers.</w:t>
      </w:r>
    </w:p>
    <w:p w:rsidR="00F72B47" w:rsidRPr="00383ABB" w:rsidRDefault="00F72B47" w:rsidP="00F72B47">
      <w:pPr>
        <w:rPr>
          <w:shd w:val="clear" w:color="auto" w:fill="FFFFFF"/>
        </w:rPr>
      </w:pPr>
      <w:r w:rsidRPr="00383ABB">
        <w:rPr>
          <w:shd w:val="clear" w:color="auto" w:fill="FFFFFF"/>
        </w:rPr>
        <w:t>La condition d’admission, à savoir l’insuffisance des ressources des personnes demandant à bénéficier de l’assistance judiciaire, s’apprécie par rapport au revenu brut intégral et à la fortune du requérant ainsi que des personnes qui vivent avec lui en communauté domestique (ne sont pris en considération que les membres adultes).</w:t>
      </w:r>
    </w:p>
    <w:p w:rsidR="00F72B47" w:rsidRDefault="00F72B47" w:rsidP="00F72B47">
      <w:pPr>
        <w:rPr>
          <w:shd w:val="clear" w:color="auto" w:fill="FFFFFF"/>
        </w:rPr>
      </w:pPr>
      <w:r w:rsidRPr="00383ABB">
        <w:rPr>
          <w:shd w:val="clear" w:color="auto" w:fill="FFFFFF"/>
        </w:rPr>
        <w:t>Conformément à l’accord de coalition pour cette législature (2018-2023), un projet de loi est en préparation. Il vise à introduire l’assistance judiciaire partielle pour les personnes dont le revenu dépasse le seuil fixé pour l’assistance judiciaire totale mais demeure néanmoins limité.</w:t>
      </w:r>
    </w:p>
    <w:p w:rsidR="00EC3F93" w:rsidRPr="00383ABB" w:rsidRDefault="00EC3F93" w:rsidP="00F72B47">
      <w:pPr>
        <w:rPr>
          <w:shd w:val="clear" w:color="auto" w:fill="FFFFFF"/>
        </w:rPr>
      </w:pPr>
    </w:p>
    <w:p w:rsidR="00F72B47" w:rsidRDefault="00F72B47" w:rsidP="00AF5A10">
      <w:pPr>
        <w:pStyle w:val="Heading3"/>
      </w:pPr>
      <w:bookmarkStart w:id="6" w:name="_Toc116401306"/>
      <w:r>
        <w:t>Changement climatique – Actions des acteurs publics et privés pour évaluer l’impact de leurs politiques sur le climat</w:t>
      </w:r>
      <w:bookmarkEnd w:id="6"/>
      <w:r>
        <w:t xml:space="preserve"> </w:t>
      </w:r>
    </w:p>
    <w:p w:rsidR="00F72B47" w:rsidRPr="00AF5A10" w:rsidRDefault="00F72B47" w:rsidP="00AF5A10">
      <w:pPr>
        <w:pStyle w:val="Heading4"/>
      </w:pPr>
      <w:bookmarkStart w:id="7" w:name="_Toc116401307"/>
      <w:r w:rsidRPr="00AF5A10">
        <w:t>Plan national intégré en matière d’énergie et de climat (PNEC)</w:t>
      </w:r>
      <w:bookmarkEnd w:id="7"/>
    </w:p>
    <w:p w:rsidR="00F72B47" w:rsidRPr="00F72B47" w:rsidRDefault="00F72B47" w:rsidP="00F72B47">
      <w:r w:rsidRPr="00F72B47">
        <w:t xml:space="preserve">Depuis le 20 mai 2020, les obligations internationales et européennes du Luxembourg en matière de lutte contre le changement climatique sont inscrites dans le Plan national intégré en matière d’énergie et de climat (PNEC), au préalable discuté avec la société civile, les jeunes, les entreprises, les partenaires sociaux et des membres du Parlement. Fort de 200 mesures, ce plan vise d’ici 2030 à réduire d’au moins 55% les émissions de CO2 du pays par rapport à l’année 2005, à augmenter la part des énergies renouvelables à 25% et à améliorer l’efficacité énergétique de 40 à 44%. Ce plan prévoit également la mise en place d’un prix minimum pour la tonne de carbone, de 25 euros la tonne en 2022 à 30 euros en 2023. </w:t>
      </w:r>
    </w:p>
    <w:p w:rsidR="00F72B47" w:rsidRPr="00F72B47" w:rsidRDefault="00F72B47" w:rsidP="00F72B47">
      <w:r w:rsidRPr="00F72B47">
        <w:t>La loi-cadre « Climat » donne une base légale nationale à ce plan et vise la neutralité carbone d’ici 2050. Cette loi crée également deux outils, un Observatoire du Climat et une plateforme, afin d’accompagner scientifiquement et de manière participative l’atteinte de ces objectifs. Un objectif de réduction quantifié a été fixé dans cinq grands domaines : Agriculture (-20%), Industrie (-45%), Transports (-5</w:t>
      </w:r>
      <w:r>
        <w:t>7%), Bâtiments (-64%), Déchets et</w:t>
      </w:r>
      <w:r w:rsidRPr="00F72B47">
        <w:t xml:space="preserve"> traitement des eaux (-40%). Un Comité interministériel pour l’action climat coordonne le processus au niveau gouvernemental.</w:t>
      </w:r>
    </w:p>
    <w:p w:rsidR="00F72B47" w:rsidRPr="00F72B47" w:rsidRDefault="00F72B47" w:rsidP="00F72B47">
      <w:r w:rsidRPr="00F72B47">
        <w:t xml:space="preserve">Afin de renforcer l’adhésion aux mesures du PNEC dans la population mais aussi de les approfondir, un </w:t>
      </w:r>
      <w:proofErr w:type="spellStart"/>
      <w:r w:rsidRPr="00F72B47">
        <w:rPr>
          <w:i/>
        </w:rPr>
        <w:t>Klima-Biergerrot</w:t>
      </w:r>
      <w:proofErr w:type="spellEnd"/>
      <w:r w:rsidRPr="00F72B47">
        <w:t xml:space="preserve"> (conseil climat de citoyens) composé de 100 citoyens reflétant la diversité de la société luxembourgeoise. Ce comité de citoyens a remis ses recommandations au gouvernement en septembre 2022. Elles ont également été présentées à la Chambre des députés. </w:t>
      </w:r>
      <w:r>
        <w:t>Elles serviront entre autres</w:t>
      </w:r>
      <w:r w:rsidRPr="00F72B47">
        <w:t xml:space="preserve"> aussi à l’élaboration du prochain Plan national intégré en matière d’énergie et de climat (PNEC). Pour plus d’informations voir</w:t>
      </w:r>
      <w:r>
        <w:t> :</w:t>
      </w:r>
      <w:r w:rsidRPr="00F72B47">
        <w:t xml:space="preserve"> </w:t>
      </w:r>
      <w:hyperlink r:id="rId8" w:history="1">
        <w:proofErr w:type="spellStart"/>
        <w:r w:rsidRPr="00F72B47">
          <w:rPr>
            <w:color w:val="0000FF"/>
            <w:u w:val="single"/>
          </w:rPr>
          <w:t>Startsäit</w:t>
        </w:r>
        <w:proofErr w:type="spellEnd"/>
        <w:r w:rsidRPr="00F72B47">
          <w:rPr>
            <w:color w:val="0000FF"/>
            <w:u w:val="single"/>
          </w:rPr>
          <w:t xml:space="preserve"> | </w:t>
        </w:r>
        <w:proofErr w:type="spellStart"/>
        <w:r w:rsidRPr="00F72B47">
          <w:rPr>
            <w:color w:val="0000FF"/>
            <w:u w:val="single"/>
          </w:rPr>
          <w:t>Klima-Biergerrot</w:t>
        </w:r>
        <w:proofErr w:type="spellEnd"/>
        <w:r w:rsidRPr="00F72B47">
          <w:rPr>
            <w:color w:val="0000FF"/>
            <w:u w:val="single"/>
          </w:rPr>
          <w:t xml:space="preserve"> | </w:t>
        </w:r>
        <w:proofErr w:type="spellStart"/>
        <w:r w:rsidRPr="00F72B47">
          <w:rPr>
            <w:color w:val="0000FF"/>
            <w:u w:val="single"/>
          </w:rPr>
          <w:t>Lëtzebuerg</w:t>
        </w:r>
        <w:proofErr w:type="spellEnd"/>
      </w:hyperlink>
      <w:r>
        <w:rPr>
          <w:color w:val="0000FF"/>
          <w:u w:val="single"/>
          <w:lang w:val="en-US"/>
        </w:rPr>
        <w:t xml:space="preserve">. </w:t>
      </w:r>
    </w:p>
    <w:p w:rsidR="00F72B47" w:rsidRPr="00F72B47" w:rsidRDefault="00571106" w:rsidP="00AF5A10">
      <w:pPr>
        <w:pStyle w:val="Heading4"/>
      </w:pPr>
      <w:bookmarkStart w:id="8" w:name="_Toc116401308"/>
      <w:r>
        <w:t>É</w:t>
      </w:r>
      <w:r w:rsidR="00F72B47" w:rsidRPr="00F72B47">
        <w:t>tat des lieux de la politique climatique et énergétique au Luxembourg</w:t>
      </w:r>
      <w:bookmarkEnd w:id="8"/>
    </w:p>
    <w:p w:rsidR="00F72B47" w:rsidRPr="00F72B47" w:rsidRDefault="00F72B47" w:rsidP="00B04948">
      <w:r w:rsidRPr="00F72B47">
        <w:t xml:space="preserve">Le 7 octobre 2022, la ministre de l’Environnement, du Climat et du Développement Durable, Joëlle </w:t>
      </w:r>
      <w:proofErr w:type="spellStart"/>
      <w:r w:rsidRPr="00F72B47">
        <w:t>Welfring</w:t>
      </w:r>
      <w:proofErr w:type="spellEnd"/>
      <w:r w:rsidRPr="00F72B47">
        <w:t>, et le ministre de l’Énergie, Claude Turmes, ont présenté l’état des lieux de la politique climatique et énergétique du Luxembourg. L’objectif général de réduction de CO2 pour l’année 2021 est atteint. Ainsi en 2021, les émissions de gaz à effet de serre attribuées au Luxembourg (hors système communautaire d’échange de quotas d’émission) se situent à 8,08 millions de tonnes de CO2-équivalent, soit une baisse de 20% par rapport à l’année de référence 2005. Les objectifs sectoriels des secteurs des transports, de l'agriculture et sylviculture et des traitements des déchets et des eaux usées ont été respectés.</w:t>
      </w:r>
    </w:p>
    <w:p w:rsidR="00F72B47" w:rsidRPr="00F72B47" w:rsidRDefault="00F72B47" w:rsidP="00B04948">
      <w:r w:rsidRPr="00F72B47">
        <w:t xml:space="preserve">Le transport public ainsi que la mobilité douce ont été développés de façon conséquente par la mise en œuvre du plan </w:t>
      </w:r>
      <w:proofErr w:type="spellStart"/>
      <w:r w:rsidRPr="00F72B47">
        <w:t>Modu</w:t>
      </w:r>
      <w:proofErr w:type="spellEnd"/>
      <w:r w:rsidRPr="00F72B47">
        <w:t xml:space="preserve"> 2.0. L’électrification du transport individuel et public a été accélérée par les aides financières ciblées et très attractives pou</w:t>
      </w:r>
      <w:r w:rsidR="00B04948">
        <w:t xml:space="preserve">r les véhicules à émission zéro. </w:t>
      </w:r>
    </w:p>
    <w:p w:rsidR="00F72B47" w:rsidRPr="00F72B47" w:rsidRDefault="00F72B47" w:rsidP="00B04948">
      <w:r w:rsidRPr="00F72B47">
        <w:t xml:space="preserve">L’expansion et la promotion de l’infrastructure de charge, l’électrification du réseau RGTR ainsi que la mise en place des aides financières pour l’installation de bornes de charge pour les entreprises sont actuellement en réalisation. Une réforme de l’avantage en nature pour les voitures de fonction </w:t>
      </w:r>
      <w:r w:rsidRPr="00F72B47">
        <w:lastRenderedPageBreak/>
        <w:t xml:space="preserve">(leasing) a été mise en place. Une feuille de route pour la </w:t>
      </w:r>
      <w:proofErr w:type="spellStart"/>
      <w:r w:rsidRPr="00F72B47">
        <w:t>décarbonisation</w:t>
      </w:r>
      <w:proofErr w:type="spellEnd"/>
      <w:r w:rsidRPr="00F72B47">
        <w:t xml:space="preserve"> du secteur logistiqu</w:t>
      </w:r>
      <w:r w:rsidR="00B04948">
        <w:t>e est en train d’être élaborée.</w:t>
      </w:r>
    </w:p>
    <w:p w:rsidR="00F72B47" w:rsidRPr="00F72B47" w:rsidRDefault="00F72B47" w:rsidP="00B04948">
      <w:pPr>
        <w:spacing w:before="0" w:line="259" w:lineRule="auto"/>
      </w:pPr>
      <w:r w:rsidRPr="00F72B47">
        <w:t xml:space="preserve">Alors que la gestion forestière durable est soutenue par la mise en place d’une aide financière intitulée « </w:t>
      </w:r>
      <w:proofErr w:type="spellStart"/>
      <w:r w:rsidRPr="00F72B47">
        <w:rPr>
          <w:i/>
        </w:rPr>
        <w:t>Klimabonus</w:t>
      </w:r>
      <w:proofErr w:type="spellEnd"/>
      <w:r w:rsidRPr="00F72B47">
        <w:rPr>
          <w:i/>
        </w:rPr>
        <w:t xml:space="preserve"> </w:t>
      </w:r>
      <w:proofErr w:type="spellStart"/>
      <w:r w:rsidRPr="00F72B47">
        <w:rPr>
          <w:i/>
        </w:rPr>
        <w:t>Bësch</w:t>
      </w:r>
      <w:proofErr w:type="spellEnd"/>
      <w:r w:rsidRPr="00F72B47">
        <w:t xml:space="preserve"> », l’initiative « </w:t>
      </w:r>
      <w:proofErr w:type="spellStart"/>
      <w:r w:rsidRPr="00F72B47">
        <w:rPr>
          <w:i/>
        </w:rPr>
        <w:t>Eist</w:t>
      </w:r>
      <w:proofErr w:type="spellEnd"/>
      <w:r w:rsidRPr="00F72B47">
        <w:rPr>
          <w:i/>
        </w:rPr>
        <w:t xml:space="preserve"> Holz</w:t>
      </w:r>
      <w:r w:rsidRPr="00F72B47">
        <w:t xml:space="preserve"> » vise à établir le lien entre la gestion durable de nos forêts et le développement d'activités économiques reposant sur les princ</w:t>
      </w:r>
      <w:r w:rsidR="00B04948">
        <w:t xml:space="preserve">ipes d'une économie circulaire. </w:t>
      </w:r>
    </w:p>
    <w:p w:rsidR="00F72B47" w:rsidRPr="00F72B47" w:rsidRDefault="00F72B47" w:rsidP="00B04948">
      <w:pPr>
        <w:spacing w:before="0" w:line="259" w:lineRule="auto"/>
      </w:pPr>
      <w:r w:rsidRPr="00F72B47">
        <w:t xml:space="preserve">Finalement, restent à mentionner dans ce résumé non exhaustif des mesures, l’élaboration des stratégies de l’économie circulaire et « </w:t>
      </w:r>
      <w:proofErr w:type="spellStart"/>
      <w:r w:rsidRPr="00F72B47">
        <w:rPr>
          <w:i/>
        </w:rPr>
        <w:t>Null</w:t>
      </w:r>
      <w:proofErr w:type="spellEnd"/>
      <w:r w:rsidRPr="00F72B47">
        <w:rPr>
          <w:i/>
        </w:rPr>
        <w:t xml:space="preserve"> </w:t>
      </w:r>
      <w:proofErr w:type="spellStart"/>
      <w:r w:rsidRPr="00F72B47">
        <w:rPr>
          <w:i/>
        </w:rPr>
        <w:t>Offall</w:t>
      </w:r>
      <w:proofErr w:type="spellEnd"/>
      <w:r w:rsidRPr="00F72B47">
        <w:rPr>
          <w:i/>
        </w:rPr>
        <w:t xml:space="preserve"> </w:t>
      </w:r>
      <w:proofErr w:type="spellStart"/>
      <w:r w:rsidRPr="00F72B47">
        <w:rPr>
          <w:i/>
        </w:rPr>
        <w:t>Lëtzebuerg</w:t>
      </w:r>
      <w:proofErr w:type="spellEnd"/>
      <w:r w:rsidRPr="00F72B47">
        <w:t xml:space="preserve"> », inextricablement liées aux objectifs climatiques, et visant à réduire considérablement la consommation des ressources planétaires et la production de déchets.</w:t>
      </w:r>
    </w:p>
    <w:p w:rsidR="00F72B47" w:rsidRPr="00F72B47" w:rsidRDefault="00F72B47" w:rsidP="00B04948">
      <w:r w:rsidRPr="00F72B47">
        <w:t>Dans les secteurs des industries de l’énergie et manufacturières, de la construction et des bâtiments résidentiels et tertiaires, des efforts restent à faire.</w:t>
      </w:r>
    </w:p>
    <w:p w:rsidR="00F72B47" w:rsidRPr="00F72B47" w:rsidRDefault="00F72B47" w:rsidP="00B04948">
      <w:r w:rsidRPr="00F72B47">
        <w:t>Il y a plusieurs explications pour le manquement aux objectifs :</w:t>
      </w:r>
    </w:p>
    <w:p w:rsidR="00F72B47" w:rsidRPr="00F72B47" w:rsidRDefault="00F72B47" w:rsidP="00886B5A">
      <w:pPr>
        <w:pStyle w:val="ListParagraph"/>
        <w:numPr>
          <w:ilvl w:val="0"/>
          <w:numId w:val="31"/>
        </w:numPr>
        <w:ind w:left="714" w:hanging="357"/>
        <w:contextualSpacing w:val="0"/>
      </w:pPr>
      <w:r w:rsidRPr="00F72B47">
        <w:t>L’effet de relance économique accru suite aux confinements da</w:t>
      </w:r>
      <w:r w:rsidR="00B04948">
        <w:t xml:space="preserve">ns le cadre de la crise Covid-19 </w:t>
      </w:r>
      <w:r w:rsidRPr="00F72B47">
        <w:t>;</w:t>
      </w:r>
    </w:p>
    <w:p w:rsidR="00F72B47" w:rsidRPr="00F72B47" w:rsidRDefault="00F72B47" w:rsidP="00886B5A">
      <w:pPr>
        <w:pStyle w:val="ListParagraph"/>
        <w:numPr>
          <w:ilvl w:val="0"/>
          <w:numId w:val="31"/>
        </w:numPr>
        <w:ind w:left="714" w:hanging="357"/>
        <w:contextualSpacing w:val="0"/>
      </w:pPr>
      <w:r w:rsidRPr="00F72B47">
        <w:t>Le défi de la rénovation de bâtiments existants.</w:t>
      </w:r>
    </w:p>
    <w:p w:rsidR="00F72B47" w:rsidRPr="00F72B47" w:rsidRDefault="00F72B47" w:rsidP="00B04948">
      <w:r w:rsidRPr="00F72B47">
        <w:t>Afin d’adresser ces déficits, le gouvernement a déjà amplifié ses efforts dans ces deux domaines:</w:t>
      </w:r>
    </w:p>
    <w:p w:rsidR="00F72B47" w:rsidRPr="00F72B47" w:rsidRDefault="00F72B47" w:rsidP="00886B5A">
      <w:pPr>
        <w:pStyle w:val="ListParagraph"/>
        <w:numPr>
          <w:ilvl w:val="0"/>
          <w:numId w:val="32"/>
        </w:numPr>
        <w:ind w:left="714" w:hanging="357"/>
        <w:contextualSpacing w:val="0"/>
      </w:pPr>
      <w:proofErr w:type="gramStart"/>
      <w:r w:rsidRPr="00F72B47">
        <w:t>des</w:t>
      </w:r>
      <w:proofErr w:type="gramEnd"/>
      <w:r w:rsidRPr="00F72B47">
        <w:t xml:space="preserve"> mesures d’efficacité énergétique dans l’industrie;</w:t>
      </w:r>
    </w:p>
    <w:p w:rsidR="00F72B47" w:rsidRPr="00F72B47" w:rsidRDefault="00F72B47" w:rsidP="00886B5A">
      <w:pPr>
        <w:pStyle w:val="ListParagraph"/>
        <w:numPr>
          <w:ilvl w:val="0"/>
          <w:numId w:val="32"/>
        </w:numPr>
        <w:ind w:left="714" w:hanging="357"/>
        <w:contextualSpacing w:val="0"/>
      </w:pPr>
      <w:proofErr w:type="gramStart"/>
      <w:r w:rsidRPr="00F72B47">
        <w:t>le</w:t>
      </w:r>
      <w:proofErr w:type="gramEnd"/>
      <w:r w:rsidRPr="00F72B47">
        <w:t xml:space="preserve"> développement des énergies renouvelables a été accéléré: la production d’électricité issue de sources renouvelables a été plus que doublée pendant les 6 dernières années ;</w:t>
      </w:r>
    </w:p>
    <w:p w:rsidR="00F72B47" w:rsidRPr="00F72B47" w:rsidRDefault="00F72B47" w:rsidP="00886B5A">
      <w:pPr>
        <w:pStyle w:val="ListParagraph"/>
        <w:numPr>
          <w:ilvl w:val="0"/>
          <w:numId w:val="32"/>
        </w:numPr>
        <w:ind w:left="714" w:hanging="357"/>
        <w:contextualSpacing w:val="0"/>
      </w:pPr>
      <w:proofErr w:type="gramStart"/>
      <w:r w:rsidRPr="00F72B47">
        <w:t>un</w:t>
      </w:r>
      <w:proofErr w:type="gramEnd"/>
      <w:r w:rsidRPr="00F72B47">
        <w:t xml:space="preserve"> Pacte climat pour les petites et moyennes entreprises, ainsi qu’une feuille de route pour la </w:t>
      </w:r>
      <w:proofErr w:type="spellStart"/>
      <w:r w:rsidRPr="00F72B47">
        <w:t>décarbonisation</w:t>
      </w:r>
      <w:proofErr w:type="spellEnd"/>
      <w:r w:rsidRPr="00F72B47">
        <w:t xml:space="preserve"> du secteur de l’industrie vont être présentés prochainement ;</w:t>
      </w:r>
    </w:p>
    <w:p w:rsidR="00F72B47" w:rsidRPr="00F72B47" w:rsidRDefault="00F72B47" w:rsidP="00886B5A">
      <w:pPr>
        <w:pStyle w:val="ListParagraph"/>
        <w:numPr>
          <w:ilvl w:val="0"/>
          <w:numId w:val="32"/>
        </w:numPr>
        <w:ind w:left="714" w:hanging="357"/>
        <w:contextualSpacing w:val="0"/>
      </w:pPr>
      <w:proofErr w:type="gramStart"/>
      <w:r w:rsidRPr="00F72B47">
        <w:t>le</w:t>
      </w:r>
      <w:proofErr w:type="gramEnd"/>
      <w:r w:rsidRPr="00F72B47">
        <w:t xml:space="preserve"> gouvernement a mis en place une nouvelle législation en matière de performance énergétique des nouveaux bâtiments et une stratégie de rénovation ambitieuse ;</w:t>
      </w:r>
    </w:p>
    <w:p w:rsidR="00F72B47" w:rsidRPr="00F72B47" w:rsidRDefault="00F72B47" w:rsidP="00886B5A">
      <w:pPr>
        <w:pStyle w:val="ListParagraph"/>
        <w:numPr>
          <w:ilvl w:val="0"/>
          <w:numId w:val="32"/>
        </w:numPr>
        <w:ind w:left="714" w:hanging="357"/>
        <w:contextualSpacing w:val="0"/>
      </w:pPr>
      <w:proofErr w:type="gramStart"/>
      <w:r w:rsidRPr="00F72B47">
        <w:t>les</w:t>
      </w:r>
      <w:proofErr w:type="gramEnd"/>
      <w:r w:rsidRPr="00F72B47">
        <w:t xml:space="preserve"> aides financières pour la rénovation énergétique et les énergies renouvelables ont été augmentées et renforcées lors de la tripartite.</w:t>
      </w:r>
    </w:p>
    <w:p w:rsidR="00F72B47" w:rsidRPr="00F72B47" w:rsidRDefault="00F72B47" w:rsidP="00AF5A10">
      <w:pPr>
        <w:pStyle w:val="Heading4"/>
      </w:pPr>
      <w:bookmarkStart w:id="9" w:name="_Toc116401309"/>
      <w:r w:rsidRPr="00F72B47">
        <w:t>Observatoire de la politique climatique (OPC)</w:t>
      </w:r>
      <w:bookmarkEnd w:id="9"/>
      <w:r w:rsidRPr="00F72B47">
        <w:t xml:space="preserve"> </w:t>
      </w:r>
    </w:p>
    <w:p w:rsidR="00F72B47" w:rsidRPr="00F72B47" w:rsidRDefault="00F72B47" w:rsidP="00B04948">
      <w:r w:rsidRPr="00F72B47">
        <w:t>L</w:t>
      </w:r>
      <w:proofErr w:type="gramStart"/>
      <w:r w:rsidRPr="00F72B47">
        <w:t>'«</w:t>
      </w:r>
      <w:proofErr w:type="gramEnd"/>
      <w:r w:rsidRPr="00F72B47">
        <w:t xml:space="preserve"> Observatoire de la politique climatique » (OPC) a été créé dans le cadre de la loi Climat. Le Conseil scientifique consultatif sur la politique climatique luxembourgeoise a publié le 7 octobre son premier rapport annuel.</w:t>
      </w:r>
    </w:p>
    <w:p w:rsidR="00F72B47" w:rsidRPr="00F72B47" w:rsidRDefault="00F72B47" w:rsidP="00B04948">
      <w:r w:rsidRPr="00F72B47">
        <w:t>Dans son premier rapport annuel, l'OPC définit des lignes directrices pour une transition rapide et équitable vers une société durable et sans émissions et donne de manière sélective des premières recommandations concrètes sur la nécessité d'agir. Le rapport salue bon nombre des politiques et mesures existantes du gouvernement luxembourgeois, mais souligne également qu'elles doivent être considérablement renforcées.</w:t>
      </w:r>
    </w:p>
    <w:p w:rsidR="00F72B47" w:rsidRPr="00B04948" w:rsidRDefault="00F72B47" w:rsidP="00B04948">
      <w:pPr>
        <w:rPr>
          <w:u w:val="single"/>
        </w:rPr>
      </w:pPr>
      <w:r w:rsidRPr="00B04948">
        <w:rPr>
          <w:u w:val="single"/>
        </w:rPr>
        <w:t>1. Réduire la dépendance aux énergies fossiles</w:t>
      </w:r>
    </w:p>
    <w:p w:rsidR="00F72B47" w:rsidRPr="00F72B47" w:rsidRDefault="00F72B47" w:rsidP="00B04948">
      <w:r w:rsidRPr="00F72B47">
        <w:lastRenderedPageBreak/>
        <w:t>La politique climatique crée des incitations au changement technologique. En outre, des changements de comportement et des changements structurels profonds dans les processus politiques, économiques et sociaux sont nécessaires. En particulier, une bonne coopération entre les différents acteurs est nécessaire, car les défis sont systémiques.</w:t>
      </w:r>
    </w:p>
    <w:p w:rsidR="00F72B47" w:rsidRPr="00F72B47" w:rsidRDefault="00F72B47" w:rsidP="00B04948">
      <w:r w:rsidRPr="00F72B47">
        <w:t>L'OPC regroupe les mesures nécessaires en trois piliers :</w:t>
      </w:r>
    </w:p>
    <w:p w:rsidR="00F72B47" w:rsidRPr="00F72B47" w:rsidRDefault="00F72B47" w:rsidP="00886B5A">
      <w:pPr>
        <w:pStyle w:val="ListParagraph"/>
        <w:numPr>
          <w:ilvl w:val="0"/>
          <w:numId w:val="33"/>
        </w:numPr>
        <w:ind w:left="714" w:hanging="357"/>
        <w:contextualSpacing w:val="0"/>
      </w:pPr>
      <w:r w:rsidRPr="00F72B47">
        <w:t>Suffisance : les politiques et les mesures encouragent-elles les économies d'énergie ?</w:t>
      </w:r>
    </w:p>
    <w:p w:rsidR="00F72B47" w:rsidRPr="00F72B47" w:rsidRDefault="00F72B47" w:rsidP="00886B5A">
      <w:pPr>
        <w:pStyle w:val="ListParagraph"/>
        <w:numPr>
          <w:ilvl w:val="0"/>
          <w:numId w:val="33"/>
        </w:numPr>
        <w:ind w:left="714" w:hanging="357"/>
        <w:contextualSpacing w:val="0"/>
      </w:pPr>
      <w:r w:rsidRPr="00F72B47">
        <w:t>Efficacité : l'utilisation de l'énergie est-elle optimisée par rapport à des objectifs spécifiques ?</w:t>
      </w:r>
    </w:p>
    <w:p w:rsidR="00F72B47" w:rsidRPr="00F72B47" w:rsidRDefault="00F72B47" w:rsidP="00886B5A">
      <w:pPr>
        <w:pStyle w:val="ListParagraph"/>
        <w:numPr>
          <w:ilvl w:val="0"/>
          <w:numId w:val="33"/>
        </w:numPr>
        <w:ind w:left="714" w:hanging="357"/>
        <w:contextualSpacing w:val="0"/>
      </w:pPr>
      <w:r w:rsidRPr="00F72B47">
        <w:t>Utilisation des énergies renouvelables et régénération : L'énergie nécessaire est-elle obtenue à partir de sources renouvelables et neutres en CO2 ?</w:t>
      </w:r>
    </w:p>
    <w:p w:rsidR="00F72B47" w:rsidRPr="00B04948" w:rsidRDefault="00F72B47" w:rsidP="00B04948">
      <w:pPr>
        <w:rPr>
          <w:u w:val="single"/>
        </w:rPr>
      </w:pPr>
      <w:r w:rsidRPr="00B04948">
        <w:rPr>
          <w:u w:val="single"/>
        </w:rPr>
        <w:t>2. Transition juste vers un développement résilient au changement climatique</w:t>
      </w:r>
    </w:p>
    <w:p w:rsidR="00F72B47" w:rsidRPr="00F72B47" w:rsidRDefault="00F72B47" w:rsidP="00B04948">
      <w:r w:rsidRPr="00F72B47">
        <w:t>Le principe de justice distributive est pertinent pour toutes les politiques et mesures. Les questions directrices importantes pour la conception et la mise en œuvre sont donc : Quels coûts, bénéfices et risques sont associés à une politique ? Comment les coûts, les bénéfices et les risques sont-ils répartis entre les personnes et les parties prenantes spécifiques ?</w:t>
      </w:r>
    </w:p>
    <w:p w:rsidR="00F72B47" w:rsidRPr="00F72B47" w:rsidRDefault="00F72B47" w:rsidP="00F72B47">
      <w:pPr>
        <w:spacing w:before="0" w:line="259" w:lineRule="auto"/>
        <w:jc w:val="left"/>
        <w:rPr>
          <w:u w:val="single"/>
        </w:rPr>
      </w:pPr>
      <w:r w:rsidRPr="00F72B47">
        <w:rPr>
          <w:u w:val="single"/>
        </w:rPr>
        <w:t>3. Gouvernance nouvelle et transformatrice</w:t>
      </w:r>
    </w:p>
    <w:p w:rsidR="00F72B47" w:rsidRPr="00F72B47" w:rsidRDefault="00F72B47" w:rsidP="00B04948">
      <w:r w:rsidRPr="00F72B47">
        <w:t>Le changement nécessaire nécessite une gouvernance nouvelle et transformatrice : cela signifie que non seulement la combinaison d'instruments politiques mais aussi les processus et structures de gouvernance existants doivent être modifiés. Il s'agit, par exemple, d'approches participatives telles que des réunions municipales ou des projets de science citoyenne.</w:t>
      </w:r>
    </w:p>
    <w:p w:rsidR="00F72B47" w:rsidRPr="00F72B47" w:rsidRDefault="00F72B47" w:rsidP="00B04948">
      <w:r w:rsidRPr="00F72B47">
        <w:t>Dans le cadre de la crise énergétique actuelle, l'OPC formule deux recommandations fondamentales : Premièrement, les subventions aux combustibles fossiles doivent être évitées par principe, car elles contrecarrent la nécessaire réduction de la demande énergétique. Deuxièmement, dans un souci de justice distributive, les subventions ne devraient être utilisées que de manière ciblée, par exemple pour les ménages à faible revenu ou les petites et moyennes entreprises.</w:t>
      </w:r>
    </w:p>
    <w:p w:rsidR="00F72B47" w:rsidRPr="00F72B47" w:rsidRDefault="00F72B47" w:rsidP="00B04948">
      <w:r w:rsidRPr="00F72B47">
        <w:t xml:space="preserve">Pour plus d’informations, voir </w:t>
      </w:r>
      <w:hyperlink r:id="rId9" w:history="1">
        <w:r w:rsidRPr="00F72B47">
          <w:rPr>
            <w:color w:val="0000FF"/>
            <w:u w:val="single"/>
          </w:rPr>
          <w:t xml:space="preserve">Observatoire de la Politique Climatique - </w:t>
        </w:r>
        <w:proofErr w:type="spellStart"/>
        <w:r w:rsidRPr="00F72B47">
          <w:rPr>
            <w:color w:val="0000FF"/>
            <w:u w:val="single"/>
          </w:rPr>
          <w:t>Klima</w:t>
        </w:r>
        <w:proofErr w:type="spellEnd"/>
        <w:r w:rsidRPr="00F72B47">
          <w:rPr>
            <w:color w:val="0000FF"/>
            <w:u w:val="single"/>
          </w:rPr>
          <w:t xml:space="preserve"> an </w:t>
        </w:r>
        <w:proofErr w:type="spellStart"/>
        <w:r w:rsidRPr="00F72B47">
          <w:rPr>
            <w:color w:val="0000FF"/>
            <w:u w:val="single"/>
          </w:rPr>
          <w:t>Energie</w:t>
        </w:r>
        <w:proofErr w:type="spellEnd"/>
        <w:r w:rsidRPr="00F72B47">
          <w:rPr>
            <w:color w:val="0000FF"/>
            <w:u w:val="single"/>
          </w:rPr>
          <w:t xml:space="preserve"> - Portail de l'environnement - emwelt.lu - Luxembourg (public.lu)</w:t>
        </w:r>
      </w:hyperlink>
    </w:p>
    <w:p w:rsidR="00F72B47" w:rsidRPr="00B04948" w:rsidRDefault="00B04948" w:rsidP="00AF5A10">
      <w:pPr>
        <w:pStyle w:val="Heading4"/>
      </w:pPr>
      <w:bookmarkStart w:id="10" w:name="_Toc116401310"/>
      <w:r>
        <w:t xml:space="preserve">Association de la </w:t>
      </w:r>
      <w:r w:rsidRPr="00B04948">
        <w:t>plateforme pour l’action climat et la transition énergétique</w:t>
      </w:r>
      <w:r>
        <w:t xml:space="preserve"> dans l’élaboration de l’a</w:t>
      </w:r>
      <w:r w:rsidRPr="00B04948">
        <w:t>vant-projet de loi pour la mise à jour du PNEC</w:t>
      </w:r>
      <w:bookmarkEnd w:id="10"/>
    </w:p>
    <w:p w:rsidR="00F72B47" w:rsidRPr="00F72B47" w:rsidRDefault="00F72B47" w:rsidP="00F72B47">
      <w:pPr>
        <w:spacing w:before="0" w:line="259" w:lineRule="auto"/>
        <w:jc w:val="left"/>
      </w:pPr>
      <w:r w:rsidRPr="00F72B47">
        <w:t>Tel que prévu par la loi 15 décembre 2020 relative au climat, la plateforme pour l’action climat et la transition énergétique sera associée à l’élaboration de l’avant-projet de la mise à jour du PNEC</w:t>
      </w:r>
      <w:r w:rsidRPr="00F72B47">
        <w:rPr>
          <w:vertAlign w:val="superscript"/>
        </w:rPr>
        <w:footnoteReference w:id="1"/>
      </w:r>
      <w:r w:rsidRPr="00F72B47">
        <w:t xml:space="preserve">. </w:t>
      </w:r>
    </w:p>
    <w:p w:rsidR="00B04948" w:rsidRDefault="00B04948" w:rsidP="00B04948">
      <w:r w:rsidRPr="000012F3">
        <w:lastRenderedPageBreak/>
        <w:t>Dans le but d’enrichir le débat et de garantir un processus de mise à jour empreint de transparence et d’échange professionnel, la plateforme réunira toutes les parties prenantes de l’action climat et la transition énergétique à l’échelle nationale – à savoir les organisations et chambres professionnelles patronales, les investisseurs, les organisations de la société civile, la jeunesse, les organisations salariales, les représentants communaux et gouvernementaux ainsi que toute une série d’observateurs issus d’organisations et d’institutions liées. La plateforme sera ainsi composée de 32 memb</w:t>
      </w:r>
      <w:r>
        <w:t xml:space="preserve">res dont 5 observateurs. </w:t>
      </w:r>
    </w:p>
    <w:p w:rsidR="00B04948" w:rsidRPr="00B04948" w:rsidRDefault="00B04948" w:rsidP="00AF5A10">
      <w:pPr>
        <w:pStyle w:val="Heading4"/>
      </w:pPr>
      <w:bookmarkStart w:id="11" w:name="_Toc116401311"/>
      <w:r w:rsidRPr="00B04948">
        <w:t>Stratégie pour l’attribution des fonds luxembourgeois pour le financement climatique international (FCI)</w:t>
      </w:r>
      <w:bookmarkEnd w:id="11"/>
    </w:p>
    <w:p w:rsidR="00B04948" w:rsidRPr="00B04948" w:rsidRDefault="00B04948" w:rsidP="00B04948">
      <w:r w:rsidRPr="00B04948">
        <w:t xml:space="preserve">Le Luxembourg dispose d’une stratégie pour l’attribution des fonds luxembourgeois pour le financement climatique international (FCI) pour la période 2021-2025, qui rassemble la méthodologie d’attribution du FCI public et analyse de quelle manière de nouveaux modèles de partenariat, en particulier avec le secteur privé, peuvent mobiliser des moyens supplémentaires. </w:t>
      </w:r>
    </w:p>
    <w:p w:rsidR="00B04948" w:rsidRPr="00B04948" w:rsidRDefault="00B04948" w:rsidP="00B04948">
      <w:r w:rsidRPr="00B04948">
        <w:t>Avec une enveloppe de MEUR 200 dédiée au FCI (et additionnelle à l’ADP) le Luxembourg mène une double approche pour l’attribution de son FCI : d’une part, le soutien aux activités des fonds multilatéraux avec en particulier le Fonds Vert pour le Climat, pour lequel une contribution de MEUR 40 est accordée, et d’autre part le financement de projets bilatéraux, avec en particulier une enveloppe de MEUR 25 pour des projets d’</w:t>
      </w:r>
      <w:proofErr w:type="spellStart"/>
      <w:r w:rsidRPr="00B04948">
        <w:t>ONGs</w:t>
      </w:r>
      <w:proofErr w:type="spellEnd"/>
      <w:r w:rsidRPr="00B04948">
        <w:t xml:space="preserve"> luxembourgeoises.</w:t>
      </w:r>
    </w:p>
    <w:p w:rsidR="00B04948" w:rsidRPr="00B04948" w:rsidRDefault="00B04948" w:rsidP="00B04948">
      <w:pPr>
        <w:rPr>
          <w:u w:val="single"/>
        </w:rPr>
      </w:pPr>
      <w:r w:rsidRPr="00B04948">
        <w:rPr>
          <w:u w:val="single"/>
        </w:rPr>
        <w:t>Adaptation au et atténuation du changement climatique</w:t>
      </w:r>
    </w:p>
    <w:p w:rsidR="00B04948" w:rsidRPr="00B04948" w:rsidRDefault="00B04948" w:rsidP="00B04948">
      <w:r w:rsidRPr="00B04948">
        <w:t xml:space="preserve">La stratégie FCI tient compte des développements récents au niveau des négociations sur le changement climatique, notamment du « Paris </w:t>
      </w:r>
      <w:proofErr w:type="spellStart"/>
      <w:r w:rsidRPr="00B04948">
        <w:t>Rulebook</w:t>
      </w:r>
      <w:proofErr w:type="spellEnd"/>
      <w:r w:rsidRPr="00B04948">
        <w:t xml:space="preserve"> » (manuel d’implémentation de l’Accord de Paris) et est alignée avec la loi modifiée du 15 décembre 2020 relative au climat. Elle est également complémentaire aux mesures prises pour favoriser la transition écologique au niveau national, entre autres le Plan national intégré en matière d’énergie et de climat (PNEC) pour la période 2021-2030, le 3ème Plan national de Développement durable (PNDD), ainsi que la stratégie nationale en matière de finance durable adoptée en début d’année.</w:t>
      </w:r>
    </w:p>
    <w:p w:rsidR="00B04948" w:rsidRPr="00B04948" w:rsidRDefault="00B04948" w:rsidP="00B04948">
      <w:r w:rsidRPr="00B04948">
        <w:t>La stratégie FCI vise une répartition équilibrée entre les activités d’adaptation au et d’atténuation du changement climatique et favorisera des actions intégrées pour le climat et la réduction de la pollution dans les pays en développement. Les projets seront répartis autour de thèmes prioritaires, comme le capital naturel et la biodiversité, la gestion efficace des ressources, la finance durable et la résilience au niveau des communautés.</w:t>
      </w:r>
    </w:p>
    <w:p w:rsidR="00B04948" w:rsidRPr="00B04948" w:rsidRDefault="00B04948" w:rsidP="00B04948">
      <w:pPr>
        <w:rPr>
          <w:u w:val="single"/>
        </w:rPr>
      </w:pPr>
      <w:r w:rsidRPr="00B04948">
        <w:rPr>
          <w:u w:val="single"/>
        </w:rPr>
        <w:t>Mobilisation du capital privé</w:t>
      </w:r>
    </w:p>
    <w:p w:rsidR="00B04948" w:rsidRPr="00B04948" w:rsidRDefault="00B04948" w:rsidP="00B04948">
      <w:r w:rsidRPr="00B04948">
        <w:t xml:space="preserve">L’accent est mis sur la mobilisation de capital privé pour la protection du climat, pour lequel différents types de financement seront désormais possibles. Des instruments publics-privées (« </w:t>
      </w:r>
      <w:proofErr w:type="spellStart"/>
      <w:r w:rsidRPr="00B04948">
        <w:t>blended</w:t>
      </w:r>
      <w:proofErr w:type="spellEnd"/>
      <w:r w:rsidRPr="00B04948">
        <w:t xml:space="preserve"> ») au-</w:t>
      </w:r>
      <w:r w:rsidRPr="00B04948">
        <w:lastRenderedPageBreak/>
        <w:t>delà de subventions directes pourront être explorés davantage, comme investissements indirects par intermédiaires, des investissements directs ou encore des garanties.</w:t>
      </w:r>
    </w:p>
    <w:p w:rsidR="00B04948" w:rsidRPr="00B04948" w:rsidRDefault="00B04948" w:rsidP="00B04948">
      <w:r w:rsidRPr="00B04948">
        <w:t>Une attention particulière est par ailleurs accordée aux thèmes du genre et des droits de l’homme, de même qu’à la migration climatique. La stratégie apporte aussi des clarifications en matière de sauvegardes environnementales et sociales et inclut une liste d’exclusion.</w:t>
      </w:r>
    </w:p>
    <w:p w:rsidR="00B04948" w:rsidRPr="00494673" w:rsidRDefault="00494673" w:rsidP="00AF5A10">
      <w:pPr>
        <w:pStyle w:val="Heading3"/>
      </w:pPr>
      <w:bookmarkStart w:id="12" w:name="_Toc116401312"/>
      <w:r w:rsidRPr="00494673">
        <w:t>Réorientation de la politique fiscale du Luxembourg</w:t>
      </w:r>
      <w:bookmarkEnd w:id="12"/>
    </w:p>
    <w:p w:rsidR="00494673" w:rsidRDefault="00494673" w:rsidP="00494673">
      <w:r>
        <w:t>Au cours des dernières années, la politique fiscale du Luxembourg a été réorientée de manière conséquente sur la lutte contre l’évasion fiscale, en ligne avec les développements au niveau international. Le Luxembourg a résolument adopté la transparence fiscale.</w:t>
      </w:r>
    </w:p>
    <w:p w:rsidR="00494673" w:rsidRDefault="00494673" w:rsidP="00494673">
      <w:r>
        <w:t>Le pays est conforme à toutes les normes et directives de l’OCDE et de l’Union européenne en matière de transparence fiscale, et plus spécifiquement dans le domaine de l’échange d’informations et de la coopération administrative. Ainsi, il applique pleinement les règles et recommandations émises par l’OCDE et les institutions de l’UE en la matière. Ces efforts ont été reconnus par le Forum mondial de l’OCDE et l’Union européenne.</w:t>
      </w:r>
    </w:p>
    <w:p w:rsidR="00494673" w:rsidRDefault="00494673" w:rsidP="00494673">
      <w:r>
        <w:t>Le pays n’a mis en place aucune incitation fiscale pour attirer des multinationales et plus particulièrement des GAFA sur son territoire. Les sociétés multinationales, dont les sociétés du numérique, sont sujettes aux règles normales de la fiscalité luxembourgeoise, européenne et internationale sans distinction.</w:t>
      </w:r>
    </w:p>
    <w:p w:rsidR="00494673" w:rsidRDefault="00494673" w:rsidP="00494673">
      <w:r>
        <w:t>Son taux d’imposition nominal (environ 25% à Luxembourg-Ville) est bien supérieur à la moyenne européenne (19,12 %) et à celle de l’Union européenne (20,94 %).</w:t>
      </w:r>
    </w:p>
    <w:p w:rsidR="00494673" w:rsidRPr="00494673" w:rsidRDefault="00494673" w:rsidP="00AF5A10">
      <w:pPr>
        <w:pStyle w:val="Heading3"/>
      </w:pPr>
      <w:bookmarkStart w:id="13" w:name="_Toc116401313"/>
      <w:r w:rsidRPr="00494673">
        <w:t>Lutte contre l’évasion fiscale et la planification agressive de l’impôt</w:t>
      </w:r>
      <w:bookmarkEnd w:id="13"/>
      <w:r w:rsidRPr="00494673">
        <w:t xml:space="preserve"> </w:t>
      </w:r>
    </w:p>
    <w:p w:rsidR="00494673" w:rsidRDefault="00494673" w:rsidP="00494673">
      <w:r>
        <w:t>Au niveau européen et international, le Luxembourg est un partenaire constructif et fiable en matière de coopération administrative. Il a soutenu toutes les avancées majeures au niveau européen dans le domaine de l’échange d’informations et de coopération administrative.</w:t>
      </w:r>
    </w:p>
    <w:p w:rsidR="00494673" w:rsidRDefault="00494673" w:rsidP="00494673">
      <w:r>
        <w:t>En ce qui concerne la fiscalité des multinationales, le Luxembourg a participé activement au projet BEPS de l’OCDE depuis son lancement. Aussi toutes les réponses européennes qui traitent de cette question ont été mises en œuvre par le Luxembourg.</w:t>
      </w:r>
    </w:p>
    <w:p w:rsidR="00494673" w:rsidRDefault="00494673" w:rsidP="00494673">
      <w:r>
        <w:t>En effet, toutes les initiatives européennes qui traitent directement ou indirectement de cette question ont été mises en œuvre par le Luxembourg, comme par exemple la règle des sociétés étrangères contrôlées (action 3 du plan d’action BEPS) ou le test de l’objet principal inséré dans les conventions fiscales du Luxembourg à la suite de l</w:t>
      </w:r>
      <w:proofErr w:type="gramStart"/>
      <w:r>
        <w:t>’«</w:t>
      </w:r>
      <w:proofErr w:type="gramEnd"/>
      <w:r>
        <w:t xml:space="preserve"> instrument multilatéral » de l’OCDE (MLI - action 15 du Plan d’action BEPS).</w:t>
      </w:r>
    </w:p>
    <w:p w:rsidR="00494673" w:rsidRDefault="00494673" w:rsidP="00494673">
      <w:r>
        <w:t>Il faut souligner que le Luxembourg était l’un des premiers pays signataires de cette Convention multilatérale pour la mise en œuvre des mesures relatives aux conventions fiscales pour prévenir le BEPS, qui couvre déjà 95 juridictions.</w:t>
      </w:r>
    </w:p>
    <w:p w:rsidR="00494673" w:rsidRDefault="00494673" w:rsidP="00494673">
      <w:r>
        <w:t>Aussi, le nouveau régime fiscal en faveur de la propriété intellectuelle, instauré en 2018, tient-il pleinement compte du rapport final de l’OCDE sur l’Action 5 du Plan d’action BEPS qui détaille l’approche du lien modifiée pour les régimes de propriété intellectuelle.</w:t>
      </w:r>
    </w:p>
    <w:p w:rsidR="00494673" w:rsidRDefault="00494673" w:rsidP="00494673">
      <w:r>
        <w:lastRenderedPageBreak/>
        <w:t>Le nouveau régime a été validé aussi bien par les instances compétentes de l’UE que par celles de l’OCDE, et contient notamment des conditions extensives en matière de s</w:t>
      </w:r>
      <w:r w:rsidR="00E5220F">
        <w:t>ubstance. Plus de détails : cf.</w:t>
      </w:r>
      <w:r>
        <w:t xml:space="preserve"> Loi du 17 avril 2018 - </w:t>
      </w:r>
      <w:proofErr w:type="spellStart"/>
      <w:r>
        <w:t>Legilux</w:t>
      </w:r>
      <w:proofErr w:type="spellEnd"/>
      <w:r>
        <w:t xml:space="preserve"> (public.lu)</w:t>
      </w:r>
    </w:p>
    <w:p w:rsidR="00494673" w:rsidRDefault="00494673" w:rsidP="00494673">
      <w:r>
        <w:t>En complément, la loi visant à limiter la déductibilité fiscale des paiements sortants vers les juridictions figurant sur la liste de l’UE des juridictions non coopératives entrera en vigueur le 1er mars 2021. Cette disposition contribue à lutter contre certaines structures de planification fiscale agressive qui aboutissent à ce que les paiements sortants d’intérêts et de redevances effectués par des entreprises situées au Luxembourg vers de telles juridictions échappent à l’impôt ou ne soient que peu imposés. Pour plus de détails, ici : chambre des Députés du Grand-Duché de Luxembourg.</w:t>
      </w:r>
    </w:p>
    <w:p w:rsidR="000F1D94" w:rsidRPr="00E5220F" w:rsidRDefault="000F1D94" w:rsidP="000F1D94">
      <w:pPr>
        <w:rPr>
          <w:b/>
          <w:iCs/>
          <w:u w:val="single"/>
        </w:rPr>
      </w:pPr>
      <w:r w:rsidRPr="00E5220F">
        <w:rPr>
          <w:b/>
          <w:iCs/>
          <w:u w:val="single"/>
        </w:rPr>
        <w:t xml:space="preserve">Voir aussi : </w:t>
      </w:r>
    </w:p>
    <w:p w:rsidR="000F1D94" w:rsidRPr="002471FF" w:rsidRDefault="000F1D94" w:rsidP="002471FF">
      <w:pPr>
        <w:pStyle w:val="Heading5"/>
      </w:pPr>
      <w:bookmarkStart w:id="14" w:name="_Toc116401314"/>
      <w:r w:rsidRPr="002471FF">
        <w:t xml:space="preserve">Annexe 1 – </w:t>
      </w:r>
      <w:proofErr w:type="spellStart"/>
      <w:r w:rsidRPr="002471FF">
        <w:t>Openlux</w:t>
      </w:r>
      <w:proofErr w:type="spellEnd"/>
      <w:r w:rsidRPr="002471FF">
        <w:t xml:space="preserve"> – Déclaration du gouvernement luxembourgeois sur les récents articles de presse publiés sur le Luxembourg</w:t>
      </w:r>
      <w:bookmarkEnd w:id="14"/>
    </w:p>
    <w:p w:rsidR="000F1D94" w:rsidRPr="00E5220F" w:rsidRDefault="000F1D94" w:rsidP="002471FF">
      <w:pPr>
        <w:pStyle w:val="Heading5"/>
      </w:pPr>
      <w:bookmarkStart w:id="15" w:name="_Toc116401315"/>
      <w:r w:rsidRPr="00E5220F">
        <w:t xml:space="preserve">Annexe 2 – </w:t>
      </w:r>
      <w:proofErr w:type="spellStart"/>
      <w:r w:rsidRPr="00E5220F">
        <w:t>Open</w:t>
      </w:r>
      <w:r>
        <w:t>l</w:t>
      </w:r>
      <w:r w:rsidRPr="00E5220F">
        <w:t>ux</w:t>
      </w:r>
      <w:proofErr w:type="spellEnd"/>
      <w:r w:rsidRPr="00E5220F">
        <w:t xml:space="preserve"> </w:t>
      </w:r>
      <w:r>
        <w:t>–</w:t>
      </w:r>
      <w:r w:rsidRPr="00E5220F">
        <w:t xml:space="preserve"> FAQ</w:t>
      </w:r>
      <w:r>
        <w:t xml:space="preserve"> </w:t>
      </w:r>
      <w:r w:rsidRPr="00E5220F">
        <w:t>: Les efforts du Luxembourg en matière de transparence fiscale</w:t>
      </w:r>
      <w:bookmarkEnd w:id="15"/>
    </w:p>
    <w:p w:rsidR="000F1D94" w:rsidRPr="000F1D94" w:rsidRDefault="000F1D94" w:rsidP="002471FF">
      <w:pPr>
        <w:pStyle w:val="Heading5"/>
      </w:pPr>
      <w:bookmarkStart w:id="16" w:name="_Toc116401316"/>
      <w:r w:rsidRPr="000F1D94">
        <w:t xml:space="preserve">Annexe 3 – </w:t>
      </w:r>
      <w:proofErr w:type="spellStart"/>
      <w:r w:rsidRPr="000F1D94">
        <w:t>Openlux</w:t>
      </w:r>
      <w:proofErr w:type="spellEnd"/>
      <w:r w:rsidRPr="000F1D94">
        <w:t xml:space="preserve"> – Le Luxembourg et les 15 Actions du Plan BEPS</w:t>
      </w:r>
      <w:bookmarkEnd w:id="16"/>
      <w:r w:rsidRPr="000F1D94">
        <w:t xml:space="preserve"> </w:t>
      </w:r>
    </w:p>
    <w:p w:rsidR="000F1D94" w:rsidRPr="000F1D94" w:rsidRDefault="000F1D94" w:rsidP="002471FF">
      <w:pPr>
        <w:pStyle w:val="Heading5"/>
      </w:pPr>
      <w:bookmarkStart w:id="17" w:name="_Toc116401317"/>
      <w:r w:rsidRPr="000F1D94">
        <w:t>Annexe 4 – Récapitulatif des Mesures pour lutter contre la fraude fiscale</w:t>
      </w:r>
      <w:bookmarkEnd w:id="17"/>
    </w:p>
    <w:p w:rsidR="00494673" w:rsidRPr="00494673" w:rsidRDefault="00494673" w:rsidP="00AF5A10">
      <w:pPr>
        <w:pStyle w:val="Heading3"/>
      </w:pPr>
      <w:bookmarkStart w:id="18" w:name="_Toc116401318"/>
      <w:r w:rsidRPr="00494673">
        <w:t>Position du Luxembourg sur une taxe digitale</w:t>
      </w:r>
      <w:bookmarkEnd w:id="18"/>
    </w:p>
    <w:p w:rsidR="00494673" w:rsidRPr="00494673" w:rsidRDefault="00494673" w:rsidP="00494673">
      <w:r>
        <w:t>L</w:t>
      </w:r>
      <w:r w:rsidRPr="00494673">
        <w:t xml:space="preserve">e Luxembourg plaide pour une solution globale incluant les </w:t>
      </w:r>
      <w:proofErr w:type="spellStart"/>
      <w:r w:rsidRPr="00494673">
        <w:t>Etats-Unis</w:t>
      </w:r>
      <w:proofErr w:type="spellEnd"/>
      <w:r w:rsidRPr="00494673">
        <w:t>, garantissant des règles de jeu équitables au niveau mondial. Le Luxembourg ne s’était pour autant pas opposé à une solution européenne provisoire.</w:t>
      </w:r>
    </w:p>
    <w:p w:rsidR="00494673" w:rsidRPr="00494673" w:rsidRDefault="00494673" w:rsidP="00494673">
      <w:r w:rsidRPr="00494673">
        <w:t>Preuve à l’appui, le Grand-Duché a soutenu en 2018 la proposition européenne d’établir une taxe provisoire pour les recettes tirées des services numériques.</w:t>
      </w:r>
    </w:p>
    <w:p w:rsidR="00494673" w:rsidRPr="00494673" w:rsidRDefault="00494673" w:rsidP="00494673">
      <w:r w:rsidRPr="00494673">
        <w:t>Le pays participe activement aux groupes de travail de l’OCDE sur une modernisation de la fiscalité internationale des entreprises. Le pays est d’avis que le cadre de la fiscalité internationale doit être adapté aux modèles d’entreprises du 21</w:t>
      </w:r>
      <w:r w:rsidRPr="00494673">
        <w:rPr>
          <w:vertAlign w:val="superscript"/>
        </w:rPr>
        <w:t>e</w:t>
      </w:r>
      <w:r w:rsidRPr="00494673">
        <w:t xml:space="preserve"> siècle, afin de refléter la numérisation de l’économie.</w:t>
      </w:r>
    </w:p>
    <w:p w:rsidR="00946DA3" w:rsidRPr="00946DA3" w:rsidRDefault="00946DA3" w:rsidP="002471FF">
      <w:pPr>
        <w:pStyle w:val="Heading3"/>
      </w:pPr>
      <w:bookmarkStart w:id="19" w:name="_Toc116401319"/>
      <w:proofErr w:type="spellStart"/>
      <w:r w:rsidRPr="00946DA3">
        <w:t>Etude</w:t>
      </w:r>
      <w:proofErr w:type="spellEnd"/>
      <w:r w:rsidRPr="00946DA3">
        <w:t xml:space="preserve"> sur le racisme au Luxembourg – </w:t>
      </w:r>
      <w:r w:rsidR="006A3443">
        <w:t xml:space="preserve">Nombre </w:t>
      </w:r>
      <w:r w:rsidR="006A1F7D">
        <w:t xml:space="preserve">peu élevé </w:t>
      </w:r>
      <w:r w:rsidR="006A3443">
        <w:t>de plaintes déposées par les victimes</w:t>
      </w:r>
      <w:bookmarkEnd w:id="19"/>
      <w:r w:rsidR="006A3443">
        <w:t xml:space="preserve"> </w:t>
      </w:r>
    </w:p>
    <w:p w:rsidR="00946DA3" w:rsidRDefault="00946DA3" w:rsidP="00946DA3">
      <w:r>
        <w:t>La sociologie des victimes d’insultes à caractère raciste et de comportements discriminatoires a notamment tendance à montrer que ces personnes :</w:t>
      </w:r>
    </w:p>
    <w:p w:rsidR="00946DA3" w:rsidRDefault="00946DA3" w:rsidP="00886B5A">
      <w:pPr>
        <w:pStyle w:val="ListParagraph"/>
        <w:numPr>
          <w:ilvl w:val="0"/>
          <w:numId w:val="35"/>
        </w:numPr>
        <w:ind w:left="714" w:hanging="357"/>
        <w:contextualSpacing w:val="0"/>
      </w:pPr>
      <w:proofErr w:type="gramStart"/>
      <w:r>
        <w:t>considèrent</w:t>
      </w:r>
      <w:proofErr w:type="gramEnd"/>
      <w:r>
        <w:t xml:space="preserve"> le dépôt de plainte comme une perte de temps ;</w:t>
      </w:r>
    </w:p>
    <w:p w:rsidR="00946DA3" w:rsidRDefault="00946DA3" w:rsidP="00886B5A">
      <w:pPr>
        <w:pStyle w:val="ListParagraph"/>
        <w:numPr>
          <w:ilvl w:val="0"/>
          <w:numId w:val="35"/>
        </w:numPr>
        <w:ind w:left="714" w:hanging="357"/>
        <w:contextualSpacing w:val="0"/>
      </w:pPr>
      <w:proofErr w:type="gramStart"/>
      <w:r>
        <w:t>considèrent</w:t>
      </w:r>
      <w:proofErr w:type="gramEnd"/>
      <w:r>
        <w:t xml:space="preserve"> que le cas n’est pas assez grave pour déposer plainte ;</w:t>
      </w:r>
    </w:p>
    <w:p w:rsidR="00946DA3" w:rsidRDefault="00946DA3" w:rsidP="00886B5A">
      <w:pPr>
        <w:pStyle w:val="ListParagraph"/>
        <w:numPr>
          <w:ilvl w:val="0"/>
          <w:numId w:val="35"/>
        </w:numPr>
        <w:ind w:left="714" w:hanging="357"/>
        <w:contextualSpacing w:val="0"/>
      </w:pPr>
      <w:proofErr w:type="gramStart"/>
      <w:r>
        <w:t>ont</w:t>
      </w:r>
      <w:proofErr w:type="gramEnd"/>
      <w:r>
        <w:t xml:space="preserve"> parfois peur de créer des troubles en déposant plainte ;</w:t>
      </w:r>
    </w:p>
    <w:p w:rsidR="00946DA3" w:rsidRDefault="00946DA3" w:rsidP="00886B5A">
      <w:pPr>
        <w:pStyle w:val="ListParagraph"/>
        <w:numPr>
          <w:ilvl w:val="0"/>
          <w:numId w:val="35"/>
        </w:numPr>
        <w:ind w:left="714" w:hanging="357"/>
        <w:contextualSpacing w:val="0"/>
      </w:pPr>
      <w:proofErr w:type="gramStart"/>
      <w:r>
        <w:t>craignent</w:t>
      </w:r>
      <w:proofErr w:type="gramEnd"/>
      <w:r>
        <w:t xml:space="preserve"> parfois des représailles si elles déposent plainte, surtout dans le cadre d’une discrimination à l’emploi.</w:t>
      </w:r>
    </w:p>
    <w:p w:rsidR="00946DA3" w:rsidRDefault="00946DA3" w:rsidP="00946DA3">
      <w:r>
        <w:t>Par conséquent, elles en parlent spontanément à leur entourage proche – et non à un avocat – et interpellent l’auteur en essayant de trouver une solution amiable par le dialogue, voire relativisent la situation en considérant finalement que ce n’était pas si grave.</w:t>
      </w:r>
    </w:p>
    <w:p w:rsidR="00946DA3" w:rsidRDefault="00946DA3" w:rsidP="00946DA3">
      <w:pPr>
        <w:rPr>
          <w:lang w:val="fr-CH"/>
        </w:rPr>
      </w:pPr>
      <w:r>
        <w:lastRenderedPageBreak/>
        <w:t xml:space="preserve">Tout se passe comme si les victimes avaient intériorisé la problématique de la preuve en matière de discrimination. En effet, </w:t>
      </w:r>
      <w:r>
        <w:rPr>
          <w:lang w:val="fr-CH"/>
        </w:rPr>
        <w:t>la loi sur l’égalité de traitement instaure un partage de la charge de la preuve au niveau des juridictions civiles et administratives. C’est à la victime d’apporter des faits permettant de présumer la discrimination (directe ou indirecte) ; puis à la partie défenderesse de prouver qu’il n’y a pas eu de discrimination. Autrement dit, la victime présumée ne peut pas se contenter de simples affirmations. Elle doit d’abord apporter des éléments montrant l’existence d’une inégalité de traitement avec des personnes se trouvant dans une situation comparable ; puis doit produire des éléments permettant de supposer l’existence d’un lien de causalité entre cette inégalité de traitement et le motif de discrimination prohibé.</w:t>
      </w:r>
    </w:p>
    <w:p w:rsidR="00946DA3" w:rsidRDefault="00946DA3" w:rsidP="00946DA3">
      <w:pPr>
        <w:rPr>
          <w:lang w:val="fr-CH"/>
        </w:rPr>
      </w:pPr>
      <w:r>
        <w:rPr>
          <w:lang w:val="fr-CH"/>
        </w:rPr>
        <w:t>La difficulté de la preuve s’explique souvent par le fait que l’infraction est rarement exprimée de manière « explicite » et davantage à travers des formes « voilées » de racisme et de discrimination développées par les auteurs qui dissimulent leur attitude raciste. Il existe donc une réticence générale à porter plainte, d’autant que cette plainte semble être la dernière solution envisagée par la victime quand elle est au bout du rouleau, quand elle n’a plus rien à perdre. Ainsi, des voies non-contentieuses comme la médiation semblent parfo</w:t>
      </w:r>
      <w:r w:rsidR="006A3443">
        <w:rPr>
          <w:lang w:val="fr-CH"/>
        </w:rPr>
        <w:t>is plus adaptées et correspondent</w:t>
      </w:r>
      <w:r>
        <w:rPr>
          <w:lang w:val="fr-CH"/>
        </w:rPr>
        <w:t xml:space="preserve"> plus facilement à l’intérêt de la personne, </w:t>
      </w:r>
      <w:r w:rsidRPr="006A3443">
        <w:rPr>
          <w:i/>
          <w:lang w:val="fr-CH"/>
        </w:rPr>
        <w:t>a fortiori</w:t>
      </w:r>
      <w:r>
        <w:rPr>
          <w:lang w:val="fr-CH"/>
        </w:rPr>
        <w:t xml:space="preserve"> quand elle ne connaît pas le fonctionnement de la Justice et qu’elle ne dispose d’aucune preuve tangible.</w:t>
      </w:r>
    </w:p>
    <w:p w:rsidR="00946DA3" w:rsidRDefault="00946DA3" w:rsidP="004136D4">
      <w:pPr>
        <w:rPr>
          <w:rFonts w:cstheme="minorHAnsi"/>
          <w:b/>
          <w:color w:val="FF5050"/>
        </w:rPr>
      </w:pPr>
    </w:p>
    <w:p w:rsidR="004136D4" w:rsidRPr="0007351E" w:rsidRDefault="00571106" w:rsidP="002471FF">
      <w:pPr>
        <w:pStyle w:val="Heading2"/>
        <w:rPr>
          <w:color w:val="5B9BD5" w:themeColor="accent1"/>
        </w:rPr>
      </w:pPr>
      <w:bookmarkStart w:id="20" w:name="_Toc116401320"/>
      <w:r>
        <w:t>É</w:t>
      </w:r>
      <w:r w:rsidR="006C383F" w:rsidRPr="00494673">
        <w:t>galité des droits entre les hommes et les femmes (article 3)</w:t>
      </w:r>
      <w:bookmarkEnd w:id="20"/>
      <w:r w:rsidR="006C383F" w:rsidRPr="00494673">
        <w:t xml:space="preserve"> </w:t>
      </w:r>
    </w:p>
    <w:p w:rsidR="00513EBA" w:rsidRPr="00513EBA" w:rsidRDefault="00513EBA" w:rsidP="002471FF">
      <w:pPr>
        <w:pStyle w:val="Heading3"/>
      </w:pPr>
      <w:bookmarkStart w:id="21" w:name="_Toc116401321"/>
      <w:r w:rsidRPr="00513EBA">
        <w:t>Ségrégation professionnelle horizontale et verticale</w:t>
      </w:r>
      <w:bookmarkEnd w:id="21"/>
    </w:p>
    <w:p w:rsidR="00513EBA" w:rsidRPr="00513EBA" w:rsidRDefault="00513EBA" w:rsidP="00513EBA">
      <w:r w:rsidRPr="00513EBA">
        <w:t>Le Luxembourg n’effectue pas d’enquête sur la ségrégation professionnelle horizontale et verticale entre les sexes, au sens stricte, pour l’instant., Par contre tous les quatre ans des études (enquêtes) sur la structure des salaires sont réalisées sur base du règlement cadre européen (CE) N° 530/1999 du Conseil du 9 mars 1999</w:t>
      </w:r>
      <w:r w:rsidRPr="00513EBA">
        <w:rPr>
          <w:vertAlign w:val="superscript"/>
        </w:rPr>
        <w:footnoteReference w:id="2"/>
      </w:r>
      <w:r w:rsidRPr="00513EBA">
        <w:t xml:space="preserve"> relatif aux statistiques structurelles sur les salaires et le coût de la main-d’œuvre. </w:t>
      </w:r>
    </w:p>
    <w:p w:rsidR="00513EBA" w:rsidRPr="00513EBA" w:rsidRDefault="00513EBA" w:rsidP="00513EBA">
      <w:r w:rsidRPr="00513EBA">
        <w:t xml:space="preserve">L’enquête sur la structure des salaires (ESS) est une enquête par sondage couvrant les entreprises au Luxembourg. Depuis 2010, elle couvre l’ensemble des activités économiques à l’exception du secteur de l’agriculture. Cette enquête fournit des informations sur les salaires dans les différents secteurs d’activité. Elle permet d’étudier les salaires individuels en fonction des profils des salariés, des caractéristiques de leurs occupations et des profils de leurs employeurs. Sont aussi disponibles dans les données de l’enquête : la ségrégation professionnelle par branche d’activité et celle par type de profession. </w:t>
      </w:r>
    </w:p>
    <w:p w:rsidR="00513EBA" w:rsidRPr="00513EBA" w:rsidRDefault="00513EBA" w:rsidP="00513EBA">
      <w:r w:rsidRPr="00513EBA">
        <w:t>Dans un futur proche l’observatoire de l’égalité</w:t>
      </w:r>
      <w:r w:rsidRPr="00513EBA">
        <w:rPr>
          <w:vertAlign w:val="superscript"/>
        </w:rPr>
        <w:footnoteReference w:id="3"/>
      </w:r>
      <w:r w:rsidRPr="00513EBA">
        <w:t xml:space="preserve"> servira de base pour  renseigner sur la ségrégation professionnelle horizontale et verticale  ;  en combinant les différentes études et les outils disponibles sur place.</w:t>
      </w:r>
    </w:p>
    <w:p w:rsidR="00513EBA" w:rsidRPr="00513EBA" w:rsidRDefault="00513EBA" w:rsidP="00513EBA">
      <w:r w:rsidRPr="00513EBA">
        <w:lastRenderedPageBreak/>
        <w:t xml:space="preserve">L’Observatoire centralise des données de différentes administrations et organisations. La structure est inspirée du Gender </w:t>
      </w:r>
      <w:proofErr w:type="spellStart"/>
      <w:r w:rsidRPr="00513EBA">
        <w:t>Equality</w:t>
      </w:r>
      <w:proofErr w:type="spellEnd"/>
      <w:r w:rsidRPr="00513EBA">
        <w:t xml:space="preserve"> Index de l’Institut européen pour l’égalité entre les femmes et les hommes et repose sur une banque de données mise en place par le ministère de l’Égalité entre les femmes et les hommes (MEGA).</w:t>
      </w:r>
    </w:p>
    <w:p w:rsidR="00513EBA" w:rsidRPr="00513EBA" w:rsidRDefault="00513EBA" w:rsidP="00513EBA">
      <w:r w:rsidRPr="00513EBA">
        <w:t>Sur base du constat qu’une réelle égalité entre les sexes nécessite un engagement de la part de l’ensemble des acteurs/-</w:t>
      </w:r>
      <w:proofErr w:type="spellStart"/>
      <w:r w:rsidRPr="00513EBA">
        <w:t>trices</w:t>
      </w:r>
      <w:proofErr w:type="spellEnd"/>
      <w:r w:rsidRPr="00513EBA">
        <w:t xml:space="preserve"> de la société, une multitude d’entre eux/elles ont été impliqué-e-s dans l’élaboration d‘un plan d’action par le biais d’une large consultation écrite et d’échanges de vues, savoir :</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La Chambre des Députés où a eu lieu un débat de consultation le 28 mars 2019,</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Les Chambres professionnelles,</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Le Comité interministériel à l’égalité des femmes et des hommes,</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Le Comité du travail féminin,</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Le Syndicat des Villes et Communes Luxembourgeoises (SYVICOL),</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Le réseau des services communaux à l’égalité (REGA),</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Les gestionnaires du secteur social conventionnées avec le MEGA,</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La Conférence Générale de la Jeunesse du Luxembourg (CGJL),</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Le Parlement des Jeunes (PJ),</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Le Conseil national des Femmes (CNFL),</w:t>
      </w:r>
    </w:p>
    <w:p w:rsidR="00513EBA" w:rsidRPr="00513EBA" w:rsidRDefault="00513EBA" w:rsidP="00886B5A">
      <w:pPr>
        <w:pStyle w:val="ListParagraph"/>
        <w:numPr>
          <w:ilvl w:val="1"/>
          <w:numId w:val="41"/>
        </w:numPr>
        <w:spacing w:before="0" w:line="259" w:lineRule="auto"/>
        <w:ind w:left="1434" w:hanging="357"/>
        <w:contextualSpacing w:val="0"/>
        <w:jc w:val="left"/>
      </w:pPr>
      <w:r w:rsidRPr="00513EBA">
        <w:t>La Commission consultative des Droits de l’Homme (CCDH).</w:t>
      </w:r>
    </w:p>
    <w:p w:rsidR="00513EBA" w:rsidRDefault="00513EBA" w:rsidP="00513EBA">
      <w:r w:rsidRPr="00513EBA">
        <w:t xml:space="preserve">Finalement, et afin de permettre aux particuliers de donner leur avis sur des questions d’égalité entre les femmes et les hommes, le MEGA avait lancé une consultation publique moyennant un questionnaire en ligne pendant trois semaines. Les quelque 1800 réponses qui témoignent de l’intérêt de la population pour un équilibre entre les sexes, ont également alimenté ce plan d’action </w:t>
      </w:r>
      <w:r w:rsidRPr="00513EBA">
        <w:rPr>
          <w:vertAlign w:val="superscript"/>
        </w:rPr>
        <w:footnoteReference w:id="4"/>
      </w:r>
      <w:r w:rsidRPr="00513EBA">
        <w:t xml:space="preserve">dont ressortent quelques 48 mesures/engagements répartis en 7 priorités. </w:t>
      </w:r>
    </w:p>
    <w:p w:rsidR="00513EBA" w:rsidRPr="00513EBA" w:rsidRDefault="00513EBA" w:rsidP="00513EBA">
      <w:r w:rsidRPr="00513EBA">
        <w:t>C’est la 4</w:t>
      </w:r>
      <w:r w:rsidRPr="00513EBA">
        <w:rPr>
          <w:vertAlign w:val="superscript"/>
        </w:rPr>
        <w:t>ème</w:t>
      </w:r>
      <w:r w:rsidRPr="00513EBA">
        <w:t xml:space="preserve"> priorité qui s’adresse principalement au domaine de l’emploi afin de faire progresser l’égalité professionnelle à travers : </w:t>
      </w:r>
    </w:p>
    <w:p w:rsidR="00513EBA" w:rsidRPr="00513EBA" w:rsidRDefault="00513EBA" w:rsidP="00886B5A">
      <w:pPr>
        <w:pStyle w:val="ListParagraph"/>
        <w:numPr>
          <w:ilvl w:val="0"/>
          <w:numId w:val="42"/>
        </w:numPr>
      </w:pPr>
      <w:r w:rsidRPr="00513EBA">
        <w:t>Le renforcement de l’engagement politique en faveur de l’égalité salariale</w:t>
      </w:r>
    </w:p>
    <w:p w:rsidR="00513EBA" w:rsidRPr="00513EBA" w:rsidRDefault="00513EBA" w:rsidP="00513EBA">
      <w:r w:rsidRPr="00513EBA">
        <w:t>Réaffirmation par le gouvernement de sa ferme détermination politique en adhérant à la Coalition Internationale pour l’</w:t>
      </w:r>
      <w:proofErr w:type="spellStart"/>
      <w:r w:rsidRPr="00513EBA">
        <w:t>Egalité</w:t>
      </w:r>
      <w:proofErr w:type="spellEnd"/>
      <w:r w:rsidRPr="00513EBA">
        <w:t xml:space="preserve"> Salariale (EPIC). P</w:t>
      </w:r>
      <w:r w:rsidR="00571106">
        <w:t>ilotée par l’Organisation Inter</w:t>
      </w:r>
      <w:r w:rsidRPr="00513EBA">
        <w:t xml:space="preserve">nationale du Travail (OIT), ONU Femmes et l’OCDE, ce partenariat multipartite assiste les </w:t>
      </w:r>
      <w:proofErr w:type="spellStart"/>
      <w:r w:rsidRPr="00513EBA">
        <w:t>Etats</w:t>
      </w:r>
      <w:proofErr w:type="spellEnd"/>
      <w:r w:rsidRPr="00513EBA">
        <w:t xml:space="preserve"> membres de l’ONU à atteindre </w:t>
      </w:r>
      <w:r w:rsidRPr="00513EBA">
        <w:lastRenderedPageBreak/>
        <w:t>une égalité de rémunération entre les femmes et les hommes pour un travail de valeur égale d’ici 2030</w:t>
      </w:r>
      <w:r w:rsidRPr="00513EBA">
        <w:rPr>
          <w:vertAlign w:val="superscript"/>
        </w:rPr>
        <w:footnoteReference w:id="5"/>
      </w:r>
      <w:r w:rsidRPr="00513EBA">
        <w:t> ;</w:t>
      </w:r>
    </w:p>
    <w:p w:rsidR="00513EBA" w:rsidRPr="00513EBA" w:rsidRDefault="00513EBA" w:rsidP="00513EBA">
      <w:r w:rsidRPr="00513EBA">
        <w:t>Déceler au niveau national plus précisément dans quels secteurs et à quel niveau les différences persistent.</w:t>
      </w:r>
    </w:p>
    <w:p w:rsidR="00513EBA" w:rsidRPr="00513EBA" w:rsidRDefault="00513EBA" w:rsidP="00886B5A">
      <w:pPr>
        <w:pStyle w:val="ListParagraph"/>
        <w:numPr>
          <w:ilvl w:val="0"/>
          <w:numId w:val="42"/>
        </w:numPr>
        <w:contextualSpacing w:val="0"/>
      </w:pPr>
      <w:proofErr w:type="gramStart"/>
      <w:r w:rsidRPr="00513EBA">
        <w:t>L’ information</w:t>
      </w:r>
      <w:proofErr w:type="gramEnd"/>
      <w:r w:rsidRPr="00513EBA">
        <w:t xml:space="preserve"> et la sensibilisation sur l’égalité salariale</w:t>
      </w:r>
    </w:p>
    <w:p w:rsidR="00513EBA" w:rsidRPr="00513EBA" w:rsidRDefault="00513EBA" w:rsidP="00886B5A">
      <w:pPr>
        <w:pStyle w:val="ListParagraph"/>
        <w:numPr>
          <w:ilvl w:val="0"/>
          <w:numId w:val="43"/>
        </w:numPr>
        <w:contextualSpacing w:val="0"/>
      </w:pPr>
      <w:r w:rsidRPr="00513EBA">
        <w:t>Rééditer la brochure détaillée renseignant sur les droits et devoirs en la matière, élaborée par le MEGA et le ministère du travail, de l’emploi et de l’économie sociale et solidaire (MTEESS), et la distribuer à large échelle ;</w:t>
      </w:r>
    </w:p>
    <w:p w:rsidR="00513EBA" w:rsidRPr="00513EBA" w:rsidRDefault="00513EBA" w:rsidP="00886B5A">
      <w:pPr>
        <w:pStyle w:val="ListParagraph"/>
        <w:numPr>
          <w:ilvl w:val="0"/>
          <w:numId w:val="43"/>
        </w:numPr>
        <w:contextualSpacing w:val="0"/>
      </w:pPr>
      <w:r w:rsidRPr="00513EBA">
        <w:t>Rappeler aux partenaires sociaux leur responsabilité particulière et leur rôle important dans la diffusion d’informations et l’assistance en cas de doutes ou de problèmes ;</w:t>
      </w:r>
    </w:p>
    <w:p w:rsidR="00513EBA" w:rsidRPr="00513EBA" w:rsidRDefault="00513EBA" w:rsidP="00886B5A">
      <w:pPr>
        <w:pStyle w:val="ListParagraph"/>
        <w:numPr>
          <w:ilvl w:val="0"/>
          <w:numId w:val="43"/>
        </w:numPr>
        <w:contextualSpacing w:val="0"/>
      </w:pPr>
      <w:r w:rsidRPr="00513EBA">
        <w:t>Responsabiliser les délégué-e-s à l’égalité qui ont pour mission de défendre l’égalité de traitement entre femmes et hommes au travail et qui peuvent, entre autres, « proposer à l’employeur un plan de mesures (...), présenter à l’employeur toute réclamation individuelle ou collective (...), prévenir et aplanir les différends individuels ou collectifs   pouvant surgir entre l’employeur et le personnel salarié (...) et saisir, à défaut d’un règlement des différends susmentionnés, l’Inspection du travail de toute plainte ou observation en matière d’égalité de traitement entre hommes et femmes » ;</w:t>
      </w:r>
    </w:p>
    <w:p w:rsidR="00513EBA" w:rsidRPr="00513EBA" w:rsidRDefault="00513EBA" w:rsidP="00886B5A">
      <w:pPr>
        <w:pStyle w:val="ListParagraph"/>
        <w:numPr>
          <w:ilvl w:val="0"/>
          <w:numId w:val="43"/>
        </w:numPr>
        <w:contextualSpacing w:val="0"/>
      </w:pPr>
      <w:r w:rsidRPr="00513EBA">
        <w:t>Les instances publiques comme l’ITM, l’</w:t>
      </w:r>
      <w:proofErr w:type="spellStart"/>
      <w:r w:rsidRPr="00513EBA">
        <w:t>Ecole</w:t>
      </w:r>
      <w:proofErr w:type="spellEnd"/>
      <w:r w:rsidRPr="00513EBA">
        <w:t xml:space="preserve"> supérieure du Travail ainsi que le MEGA sont à l’écoute de besoins éventuels, du côté des salarié-e-s et des employeurs, en matériel de support, en instruments de travail ou en formations supplémentaires.</w:t>
      </w:r>
    </w:p>
    <w:p w:rsidR="00513EBA" w:rsidRPr="00513EBA" w:rsidRDefault="00513EBA" w:rsidP="00886B5A">
      <w:pPr>
        <w:pStyle w:val="ListParagraph"/>
        <w:numPr>
          <w:ilvl w:val="0"/>
          <w:numId w:val="42"/>
        </w:numPr>
        <w:contextualSpacing w:val="0"/>
      </w:pPr>
      <w:r w:rsidRPr="00513EBA">
        <w:t>La discussion sur la transparence des salaires</w:t>
      </w:r>
    </w:p>
    <w:p w:rsidR="00513EBA" w:rsidRPr="00513EBA" w:rsidRDefault="00513EBA" w:rsidP="00886B5A">
      <w:pPr>
        <w:numPr>
          <w:ilvl w:val="1"/>
          <w:numId w:val="39"/>
        </w:numPr>
        <w:spacing w:before="0" w:line="259" w:lineRule="auto"/>
        <w:jc w:val="left"/>
      </w:pPr>
      <w:r w:rsidRPr="00513EBA">
        <w:t>Suivi des discussions menées au niveau communautaire par le MTEESS et le MEGA ;</w:t>
      </w:r>
    </w:p>
    <w:p w:rsidR="00513EBA" w:rsidRPr="00513EBA" w:rsidRDefault="00513EBA" w:rsidP="00886B5A">
      <w:pPr>
        <w:numPr>
          <w:ilvl w:val="1"/>
          <w:numId w:val="39"/>
        </w:numPr>
        <w:spacing w:before="0" w:line="259" w:lineRule="auto"/>
        <w:jc w:val="left"/>
      </w:pPr>
      <w:r w:rsidRPr="00513EBA">
        <w:t>Lancer le débat sur la transparence des salaires au Luxembourg.</w:t>
      </w:r>
    </w:p>
    <w:p w:rsidR="00513EBA" w:rsidRPr="00513EBA" w:rsidRDefault="00513EBA" w:rsidP="00886B5A">
      <w:pPr>
        <w:pStyle w:val="ListParagraph"/>
        <w:numPr>
          <w:ilvl w:val="0"/>
          <w:numId w:val="42"/>
        </w:numPr>
        <w:contextualSpacing w:val="0"/>
      </w:pPr>
      <w:r w:rsidRPr="00513EBA">
        <w:t>La promotion de l’autocontrôle des salaires</w:t>
      </w:r>
    </w:p>
    <w:p w:rsidR="00513EBA" w:rsidRPr="00513EBA" w:rsidRDefault="00513EBA" w:rsidP="00886B5A">
      <w:pPr>
        <w:numPr>
          <w:ilvl w:val="1"/>
          <w:numId w:val="39"/>
        </w:numPr>
        <w:spacing w:before="0" w:line="259" w:lineRule="auto"/>
        <w:jc w:val="left"/>
      </w:pPr>
      <w:r w:rsidRPr="00513EBA">
        <w:t>Offrir une alternative aux entreprises se situant en-dessous de 50 salariés ;</w:t>
      </w:r>
    </w:p>
    <w:p w:rsidR="00513EBA" w:rsidRPr="00513EBA" w:rsidRDefault="00513EBA" w:rsidP="00886B5A">
      <w:pPr>
        <w:numPr>
          <w:ilvl w:val="1"/>
          <w:numId w:val="39"/>
        </w:numPr>
        <w:spacing w:before="0" w:line="259" w:lineRule="auto"/>
        <w:jc w:val="left"/>
      </w:pPr>
      <w:r w:rsidRPr="00513EBA">
        <w:t>Perfectionner le logiciel de mesure.</w:t>
      </w:r>
    </w:p>
    <w:p w:rsidR="00513EBA" w:rsidRPr="00513EBA" w:rsidRDefault="00513EBA" w:rsidP="00886B5A">
      <w:pPr>
        <w:pStyle w:val="ListParagraph"/>
        <w:numPr>
          <w:ilvl w:val="0"/>
          <w:numId w:val="42"/>
        </w:numPr>
        <w:contextualSpacing w:val="0"/>
      </w:pPr>
      <w:r w:rsidRPr="00513EBA">
        <w:t>Le recentrage du programme des Actions Positives</w:t>
      </w:r>
      <w:r w:rsidRPr="00513EBA">
        <w:rPr>
          <w:vertAlign w:val="superscript"/>
        </w:rPr>
        <w:footnoteReference w:id="6"/>
      </w:r>
    </w:p>
    <w:p w:rsidR="00513EBA" w:rsidRPr="00513EBA" w:rsidRDefault="00513EBA" w:rsidP="00886B5A">
      <w:pPr>
        <w:numPr>
          <w:ilvl w:val="1"/>
          <w:numId w:val="39"/>
        </w:numPr>
        <w:spacing w:before="0" w:line="259" w:lineRule="auto"/>
        <w:jc w:val="left"/>
      </w:pPr>
      <w:r w:rsidRPr="00513EBA">
        <w:t>Élaboration d’une nouvelle formule du Programme des actions positives ;</w:t>
      </w:r>
    </w:p>
    <w:p w:rsidR="00513EBA" w:rsidRPr="00513EBA" w:rsidRDefault="00513EBA" w:rsidP="00886B5A">
      <w:pPr>
        <w:numPr>
          <w:ilvl w:val="1"/>
          <w:numId w:val="39"/>
        </w:numPr>
        <w:spacing w:before="0" w:line="259" w:lineRule="auto"/>
        <w:jc w:val="left"/>
      </w:pPr>
      <w:r w:rsidRPr="00513EBA">
        <w:t>Mise à disposition des entreprises des conseiller-ère-s en égalité des</w:t>
      </w:r>
      <w:r w:rsidR="00EC3F93">
        <w:t xml:space="preserve"> sexes</w:t>
      </w:r>
      <w:r w:rsidRPr="00513EBA">
        <w:t xml:space="preserve"> («</w:t>
      </w:r>
      <w:r w:rsidR="00EC3F93">
        <w:t> </w:t>
      </w:r>
      <w:proofErr w:type="spellStart"/>
      <w:r w:rsidR="00EC3F93">
        <w:t>Genderberater</w:t>
      </w:r>
      <w:proofErr w:type="spellEnd"/>
      <w:r w:rsidR="00EC3F93">
        <w:t> </w:t>
      </w:r>
      <w:r w:rsidRPr="00513EBA">
        <w:t>»)</w:t>
      </w:r>
    </w:p>
    <w:p w:rsidR="00513EBA" w:rsidRPr="00513EBA" w:rsidRDefault="00513EBA" w:rsidP="00886B5A">
      <w:pPr>
        <w:pStyle w:val="ListParagraph"/>
        <w:numPr>
          <w:ilvl w:val="0"/>
          <w:numId w:val="42"/>
        </w:numPr>
        <w:contextualSpacing w:val="0"/>
      </w:pPr>
      <w:r w:rsidRPr="00513EBA">
        <w:t>La lutte contre les ségrégations professionnelles</w:t>
      </w:r>
    </w:p>
    <w:p w:rsidR="00513EBA" w:rsidRPr="00513EBA" w:rsidRDefault="00513EBA" w:rsidP="00886B5A">
      <w:pPr>
        <w:numPr>
          <w:ilvl w:val="1"/>
          <w:numId w:val="39"/>
        </w:numPr>
        <w:spacing w:before="0" w:line="259" w:lineRule="auto"/>
        <w:jc w:val="left"/>
      </w:pPr>
      <w:r w:rsidRPr="00513EBA">
        <w:lastRenderedPageBreak/>
        <w:t>Déconstruire l’idée de professions féminines et de professions masculines ;</w:t>
      </w:r>
    </w:p>
    <w:p w:rsidR="00513EBA" w:rsidRPr="00513EBA" w:rsidRDefault="00513EBA" w:rsidP="00886B5A">
      <w:pPr>
        <w:numPr>
          <w:ilvl w:val="1"/>
          <w:numId w:val="39"/>
        </w:numPr>
        <w:spacing w:before="0" w:line="259" w:lineRule="auto"/>
        <w:jc w:val="left"/>
      </w:pPr>
      <w:r w:rsidRPr="00513EBA">
        <w:t>Projet MADAK</w:t>
      </w:r>
      <w:r w:rsidRPr="00513EBA">
        <w:rPr>
          <w:vertAlign w:val="superscript"/>
        </w:rPr>
        <w:footnoteReference w:id="7"/>
      </w:r>
      <w:r w:rsidRPr="00513EBA">
        <w:t xml:space="preserve"> (« les hommes dans l’éducation non formelle des enfants »)</w:t>
      </w:r>
    </w:p>
    <w:p w:rsidR="00513EBA" w:rsidRPr="00513EBA" w:rsidRDefault="00513EBA" w:rsidP="00886B5A">
      <w:pPr>
        <w:numPr>
          <w:ilvl w:val="1"/>
          <w:numId w:val="39"/>
        </w:numPr>
        <w:spacing w:before="0" w:line="259" w:lineRule="auto"/>
        <w:jc w:val="left"/>
      </w:pPr>
      <w:r w:rsidRPr="00513EBA">
        <w:t xml:space="preserve">Soutien de projets et initiatives tendant à intéresser les filles aux métiers STEM : « Girls in Tech », « Girls </w:t>
      </w:r>
      <w:proofErr w:type="spellStart"/>
      <w:r w:rsidRPr="00513EBA">
        <w:t>exploring</w:t>
      </w:r>
      <w:proofErr w:type="spellEnd"/>
      <w:r w:rsidRPr="00513EBA">
        <w:t xml:space="preserve"> Math », « </w:t>
      </w:r>
      <w:proofErr w:type="spellStart"/>
      <w:r w:rsidRPr="00513EBA">
        <w:t>Women</w:t>
      </w:r>
      <w:proofErr w:type="spellEnd"/>
      <w:r w:rsidRPr="00513EBA">
        <w:t xml:space="preserve"> in digital </w:t>
      </w:r>
      <w:proofErr w:type="spellStart"/>
      <w:r w:rsidRPr="00513EBA">
        <w:t>empowerment</w:t>
      </w:r>
      <w:proofErr w:type="spellEnd"/>
      <w:r w:rsidRPr="00513EBA">
        <w:t xml:space="preserve"> </w:t>
      </w:r>
      <w:r w:rsidRPr="00513EBA">
        <w:rPr>
          <w:vertAlign w:val="superscript"/>
        </w:rPr>
        <w:footnoteReference w:id="8"/>
      </w:r>
      <w:r w:rsidRPr="00513EBA">
        <w:t>»</w:t>
      </w:r>
    </w:p>
    <w:p w:rsidR="00513EBA" w:rsidRPr="00513EBA" w:rsidRDefault="00513EBA" w:rsidP="00886B5A">
      <w:pPr>
        <w:numPr>
          <w:ilvl w:val="1"/>
          <w:numId w:val="39"/>
        </w:numPr>
        <w:spacing w:before="0" w:line="259" w:lineRule="auto"/>
        <w:jc w:val="left"/>
      </w:pPr>
      <w:r w:rsidRPr="00513EBA">
        <w:t>Réfléchir sur une stratégie de recrutement visant davantage de mixité dans la Fonction publique.</w:t>
      </w:r>
    </w:p>
    <w:p w:rsidR="00513EBA" w:rsidRPr="00513EBA" w:rsidRDefault="00513EBA" w:rsidP="00886B5A">
      <w:pPr>
        <w:pStyle w:val="ListParagraph"/>
        <w:numPr>
          <w:ilvl w:val="0"/>
          <w:numId w:val="42"/>
        </w:numPr>
        <w:contextualSpacing w:val="0"/>
      </w:pPr>
      <w:r w:rsidRPr="00513EBA">
        <w:t>La facilitation de la conciliation entre vie professionnelle et vie privée pour les sexes</w:t>
      </w:r>
    </w:p>
    <w:p w:rsidR="00513EBA" w:rsidRPr="00513EBA" w:rsidRDefault="00513EBA" w:rsidP="00886B5A">
      <w:pPr>
        <w:numPr>
          <w:ilvl w:val="1"/>
          <w:numId w:val="39"/>
        </w:numPr>
        <w:spacing w:before="0" w:line="259" w:lineRule="auto"/>
        <w:jc w:val="left"/>
      </w:pPr>
      <w:r w:rsidRPr="00513EBA">
        <w:t>Négociations entre le gouvernement et les partenaires sociaux sur de nouvelles pistes pour améliorer l’équilibre entre travail et vie privée.</w:t>
      </w:r>
    </w:p>
    <w:p w:rsidR="00513EBA" w:rsidRPr="00513EBA" w:rsidRDefault="00513EBA" w:rsidP="00886B5A">
      <w:pPr>
        <w:pStyle w:val="ListParagraph"/>
        <w:numPr>
          <w:ilvl w:val="0"/>
          <w:numId w:val="42"/>
        </w:numPr>
        <w:contextualSpacing w:val="0"/>
      </w:pPr>
      <w:r w:rsidRPr="00513EBA">
        <w:t>L’individualisation de la fiscalité</w:t>
      </w:r>
    </w:p>
    <w:p w:rsidR="00513EBA" w:rsidRPr="00513EBA" w:rsidRDefault="00513EBA" w:rsidP="00886B5A">
      <w:pPr>
        <w:numPr>
          <w:ilvl w:val="1"/>
          <w:numId w:val="39"/>
        </w:numPr>
        <w:spacing w:before="0" w:line="259" w:lineRule="auto"/>
        <w:jc w:val="left"/>
      </w:pPr>
      <w:r w:rsidRPr="00513EBA">
        <w:t>Introduction de l’individualisation des droits fiscaux : dans le cadre de la future réforme fiscale, une refonte du système fiscal actuel est envisagée afin de passer d’un système de classes d’impôt vers un nouveau barème d’impôt unique.</w:t>
      </w:r>
    </w:p>
    <w:p w:rsidR="00513EBA" w:rsidRPr="00513EBA" w:rsidRDefault="00513EBA" w:rsidP="00886B5A">
      <w:pPr>
        <w:pStyle w:val="ListParagraph"/>
        <w:numPr>
          <w:ilvl w:val="0"/>
          <w:numId w:val="42"/>
        </w:numPr>
        <w:contextualSpacing w:val="0"/>
      </w:pPr>
      <w:r w:rsidRPr="00513EBA">
        <w:t>Le maintien de l’objectif d’au moins 40% de membres de chaque sexe dans les conseils d’administration</w:t>
      </w:r>
    </w:p>
    <w:p w:rsidR="00513EBA" w:rsidRPr="00513EBA" w:rsidRDefault="00513EBA" w:rsidP="00886B5A">
      <w:pPr>
        <w:numPr>
          <w:ilvl w:val="1"/>
          <w:numId w:val="39"/>
        </w:numPr>
        <w:spacing w:before="0" w:line="259" w:lineRule="auto"/>
        <w:jc w:val="left"/>
      </w:pPr>
      <w:r w:rsidRPr="00513EBA">
        <w:t>Suivi régulier de l’évolution par le Conseil de gouvernement</w:t>
      </w:r>
    </w:p>
    <w:p w:rsidR="00513EBA" w:rsidRPr="00513EBA" w:rsidRDefault="00513EBA" w:rsidP="00886B5A">
      <w:pPr>
        <w:numPr>
          <w:ilvl w:val="1"/>
          <w:numId w:val="39"/>
        </w:numPr>
        <w:spacing w:before="0" w:line="259" w:lineRule="auto"/>
        <w:jc w:val="left"/>
      </w:pPr>
      <w:r w:rsidRPr="00513EBA">
        <w:t>Épauler l’initiative « </w:t>
      </w:r>
      <w:proofErr w:type="spellStart"/>
      <w:r w:rsidRPr="00513EBA">
        <w:t>female</w:t>
      </w:r>
      <w:proofErr w:type="spellEnd"/>
      <w:r w:rsidRPr="00513EBA">
        <w:t xml:space="preserve"> </w:t>
      </w:r>
      <w:proofErr w:type="spellStart"/>
      <w:r w:rsidRPr="00513EBA">
        <w:t>board</w:t>
      </w:r>
      <w:proofErr w:type="spellEnd"/>
      <w:r w:rsidRPr="00513EBA">
        <w:t xml:space="preserve"> pool </w:t>
      </w:r>
      <w:r w:rsidRPr="00513EBA">
        <w:rPr>
          <w:vertAlign w:val="superscript"/>
        </w:rPr>
        <w:footnoteReference w:id="9"/>
      </w:r>
      <w:r w:rsidRPr="00513EBA">
        <w:t>» dans ces activités</w:t>
      </w:r>
    </w:p>
    <w:p w:rsidR="00513EBA" w:rsidRPr="00513EBA" w:rsidRDefault="00513EBA" w:rsidP="00886B5A">
      <w:pPr>
        <w:pStyle w:val="ListParagraph"/>
        <w:numPr>
          <w:ilvl w:val="0"/>
          <w:numId w:val="42"/>
        </w:numPr>
        <w:contextualSpacing w:val="0"/>
      </w:pPr>
      <w:r w:rsidRPr="00513EBA">
        <w:t>L’encouragement des entreprises privées à favoriser l’égalité dans la prise de décision</w:t>
      </w:r>
    </w:p>
    <w:p w:rsidR="00513EBA" w:rsidRPr="00513EBA" w:rsidRDefault="00513EBA" w:rsidP="00886B5A">
      <w:pPr>
        <w:numPr>
          <w:ilvl w:val="1"/>
          <w:numId w:val="39"/>
        </w:numPr>
        <w:spacing w:before="0" w:line="259" w:lineRule="auto"/>
        <w:jc w:val="left"/>
      </w:pPr>
      <w:r w:rsidRPr="00513EBA">
        <w:t>Sensibiliser les entreprises aux avantages de la mixité dans les fonctions dirigeantes ;</w:t>
      </w:r>
    </w:p>
    <w:p w:rsidR="00513EBA" w:rsidRPr="00513EBA" w:rsidRDefault="00513EBA" w:rsidP="00886B5A">
      <w:pPr>
        <w:numPr>
          <w:ilvl w:val="1"/>
          <w:numId w:val="39"/>
        </w:numPr>
        <w:spacing w:before="0" w:line="259" w:lineRule="auto"/>
        <w:jc w:val="left"/>
      </w:pPr>
      <w:r w:rsidRPr="00513EBA">
        <w:t xml:space="preserve">Accompagner les entreprises dans leurs démarches, notamment par la mise à disposition de conseiller-ère-s en égalité des sexes (« </w:t>
      </w:r>
      <w:proofErr w:type="spellStart"/>
      <w:r w:rsidRPr="00513EBA">
        <w:t>Gleichstellungsberater</w:t>
      </w:r>
      <w:proofErr w:type="spellEnd"/>
      <w:r w:rsidRPr="00513EBA">
        <w:t xml:space="preserve"> »).</w:t>
      </w:r>
    </w:p>
    <w:p w:rsidR="00513EBA" w:rsidRPr="00513EBA" w:rsidRDefault="00513EBA" w:rsidP="00886B5A">
      <w:pPr>
        <w:pStyle w:val="ListParagraph"/>
        <w:numPr>
          <w:ilvl w:val="0"/>
          <w:numId w:val="42"/>
        </w:numPr>
        <w:contextualSpacing w:val="0"/>
      </w:pPr>
      <w:r w:rsidRPr="00513EBA">
        <w:t>Une meilleure visibilité des compétences des femmes dans la prise de décision</w:t>
      </w:r>
    </w:p>
    <w:p w:rsidR="00513EBA" w:rsidRPr="00513EBA" w:rsidRDefault="00513EBA" w:rsidP="00886B5A">
      <w:pPr>
        <w:numPr>
          <w:ilvl w:val="1"/>
          <w:numId w:val="39"/>
        </w:numPr>
        <w:spacing w:before="0" w:line="259" w:lineRule="auto"/>
        <w:jc w:val="left"/>
      </w:pPr>
      <w:r w:rsidRPr="00513EBA">
        <w:t>Intensifier les efforts d’information et de sensibilisation auprès des demandeurs/demanderesses potentiel-le-s, à savoir les dirigeants d’entreprises et d’associations ;</w:t>
      </w:r>
    </w:p>
    <w:p w:rsidR="00513EBA" w:rsidRPr="00513EBA" w:rsidRDefault="00513EBA" w:rsidP="00886B5A">
      <w:pPr>
        <w:numPr>
          <w:ilvl w:val="1"/>
          <w:numId w:val="39"/>
        </w:numPr>
        <w:spacing w:before="0" w:line="259" w:lineRule="auto"/>
        <w:jc w:val="left"/>
      </w:pPr>
      <w:r w:rsidRPr="00513EBA">
        <w:t>Continuer les efforts pour déconstruire l’image du style de direction « masculin » basant sur des caractéristiques, comportements et compétences typiquement attribués aux seuls hommes ;</w:t>
      </w:r>
    </w:p>
    <w:p w:rsidR="00513EBA" w:rsidRPr="00513EBA" w:rsidRDefault="00513EBA" w:rsidP="00886B5A">
      <w:pPr>
        <w:numPr>
          <w:ilvl w:val="1"/>
          <w:numId w:val="39"/>
        </w:numPr>
        <w:spacing w:before="0" w:line="259" w:lineRule="auto"/>
        <w:jc w:val="left"/>
      </w:pPr>
      <w:r w:rsidRPr="00513EBA">
        <w:t>Montrer aux jeunes filles des rôles-modèles féminins en matière de prise de décision.</w:t>
      </w:r>
    </w:p>
    <w:p w:rsidR="00513EBA" w:rsidRPr="00513EBA" w:rsidRDefault="00513EBA" w:rsidP="00513EBA">
      <w:pPr>
        <w:spacing w:before="0" w:line="259" w:lineRule="auto"/>
      </w:pPr>
      <w:r w:rsidRPr="00513EBA">
        <w:lastRenderedPageBreak/>
        <w:t>La combinaison de ces mesures peut sans doute avoir un effet positif sur la représentation des femmes dans des postes de décision et de direction dans le secteur public comme dans le secteur privé.</w:t>
      </w:r>
    </w:p>
    <w:p w:rsidR="00513EBA" w:rsidRPr="00513EBA" w:rsidRDefault="00513EBA" w:rsidP="00886B5A">
      <w:pPr>
        <w:pStyle w:val="ListParagraph"/>
        <w:numPr>
          <w:ilvl w:val="0"/>
          <w:numId w:val="40"/>
        </w:numPr>
        <w:rPr>
          <w:b/>
        </w:rPr>
      </w:pPr>
      <w:r w:rsidRPr="00513EBA">
        <w:rPr>
          <w:b/>
        </w:rPr>
        <w:t>Statistiques pour ségrégation professionnelle par branche d’activité et par type de profession</w:t>
      </w:r>
    </w:p>
    <w:p w:rsidR="00BF19A4" w:rsidRDefault="00513EBA" w:rsidP="002471FF">
      <w:pPr>
        <w:jc w:val="center"/>
        <w:rPr>
          <w:b/>
          <w:color w:val="5B9BD5" w:themeColor="accent1"/>
        </w:rPr>
      </w:pPr>
      <w:r>
        <w:rPr>
          <w:noProof/>
          <w:color w:val="1F497D"/>
          <w:lang w:eastAsia="fr-FR"/>
        </w:rPr>
        <w:drawing>
          <wp:inline distT="0" distB="0" distL="0" distR="0">
            <wp:extent cx="5566759" cy="3051544"/>
            <wp:effectExtent l="0" t="0" r="0" b="0"/>
            <wp:docPr id="1" name="Picture 1" descr="cid:image006.png@01D8DD5D.B2A95B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6.png@01D8DD5D.B2A95B1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568666" cy="3052589"/>
                    </a:xfrm>
                    <a:prstGeom prst="rect">
                      <a:avLst/>
                    </a:prstGeom>
                    <a:noFill/>
                    <a:ln>
                      <a:noFill/>
                    </a:ln>
                  </pic:spPr>
                </pic:pic>
              </a:graphicData>
            </a:graphic>
          </wp:inline>
        </w:drawing>
      </w:r>
    </w:p>
    <w:p w:rsidR="00513EBA" w:rsidRDefault="00513EBA" w:rsidP="002471FF">
      <w:pPr>
        <w:jc w:val="center"/>
        <w:rPr>
          <w:b/>
          <w:color w:val="5B9BD5" w:themeColor="accent1"/>
        </w:rPr>
      </w:pPr>
      <w:r>
        <w:rPr>
          <w:noProof/>
          <w:color w:val="1F497D"/>
          <w:lang w:eastAsia="fr-FR"/>
        </w:rPr>
        <w:drawing>
          <wp:inline distT="0" distB="0" distL="0" distR="0">
            <wp:extent cx="5566410" cy="3239389"/>
            <wp:effectExtent l="0" t="0" r="0" b="0"/>
            <wp:docPr id="2" name="Picture 2" descr="cid:image007.png@01D8DD5D.B2A95B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7.png@01D8DD5D.B2A95B1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573408" cy="3243461"/>
                    </a:xfrm>
                    <a:prstGeom prst="rect">
                      <a:avLst/>
                    </a:prstGeom>
                    <a:noFill/>
                    <a:ln>
                      <a:noFill/>
                    </a:ln>
                  </pic:spPr>
                </pic:pic>
              </a:graphicData>
            </a:graphic>
          </wp:inline>
        </w:drawing>
      </w:r>
    </w:p>
    <w:p w:rsidR="00513EBA" w:rsidRDefault="00513EBA" w:rsidP="002471FF">
      <w:pPr>
        <w:pStyle w:val="Heading3"/>
      </w:pPr>
      <w:bookmarkStart w:id="22" w:name="_Toc116401322"/>
      <w:r>
        <w:t>Mesures pour lutter contre les écarts de rémunérations</w:t>
      </w:r>
      <w:bookmarkEnd w:id="22"/>
      <w:r>
        <w:t xml:space="preserve"> </w:t>
      </w:r>
    </w:p>
    <w:p w:rsidR="00886B5A" w:rsidRPr="00886B5A" w:rsidRDefault="00886B5A" w:rsidP="00886B5A">
      <w:r w:rsidRPr="00886B5A">
        <w:t xml:space="preserve">En 2016, le Luxembourg s’est doté d’une loi pour inscrire l’égalité de salaire entre femmes et hommes dans le Code du travail. Les inégalités ont été élevées au rang d’une infraction rendant les auteurs passibles d’une amende. Cela signifie qu’à partir du moment où une différence de salaire ne peut pas </w:t>
      </w:r>
      <w:r w:rsidRPr="00886B5A">
        <w:lastRenderedPageBreak/>
        <w:t xml:space="preserve">être justifiée par des raisons objectives et qu’elle est fondée sur des considérations de genre, l’employeur se voit infliger une amende entre 251 et 25.000 euros. </w:t>
      </w:r>
    </w:p>
    <w:p w:rsidR="00886B5A" w:rsidRPr="00886B5A" w:rsidRDefault="00886B5A" w:rsidP="00886B5A">
      <w:r w:rsidRPr="00886B5A">
        <w:t>En parallèle l’</w:t>
      </w:r>
      <w:proofErr w:type="spellStart"/>
      <w:r w:rsidRPr="00886B5A">
        <w:t>Etat</w:t>
      </w:r>
      <w:proofErr w:type="spellEnd"/>
      <w:r w:rsidRPr="00886B5A">
        <w:t xml:space="preserve"> propose le programme des Actions Positives, ainsi que le logiciel LOGIB pour permettre aux entreprises de </w:t>
      </w:r>
      <w:proofErr w:type="gramStart"/>
      <w:r w:rsidRPr="00886B5A">
        <w:t>détecter  d’éventuels</w:t>
      </w:r>
      <w:proofErr w:type="gramEnd"/>
      <w:r w:rsidRPr="00886B5A">
        <w:t xml:space="preserve"> écarts de rémunérations et d’y remédier ; partant de l’hypothèse  que la majorité des inégalités se révèlent systémiques et non volontaires. </w:t>
      </w:r>
      <w:proofErr w:type="spellStart"/>
      <w:r w:rsidRPr="00886B5A">
        <w:t>A</w:t>
      </w:r>
      <w:proofErr w:type="spellEnd"/>
      <w:r w:rsidRPr="00886B5A">
        <w:t xml:space="preserve"> l’heure actuelle les mesures prises ne s’adressent qu’à la rémunération et non aux retraites ; quitte à ce que l’on puisse dire que cet outil de contrôle permet </w:t>
      </w:r>
      <w:proofErr w:type="gramStart"/>
      <w:r w:rsidRPr="00886B5A">
        <w:t>d’influencer  l’état</w:t>
      </w:r>
      <w:proofErr w:type="gramEnd"/>
      <w:r w:rsidRPr="00886B5A">
        <w:t xml:space="preserve"> des retraites futures.   </w:t>
      </w:r>
    </w:p>
    <w:p w:rsidR="00886B5A" w:rsidRPr="00886B5A" w:rsidRDefault="00886B5A" w:rsidP="00886B5A">
      <w:r w:rsidRPr="00886B5A">
        <w:t xml:space="preserve">Le partage équitable des responsabilités familiales et des conditions favorisant un équilibre entre le travail et la vie privée se poursuit à </w:t>
      </w:r>
      <w:proofErr w:type="gramStart"/>
      <w:r w:rsidRPr="00886B5A">
        <w:t>travers  plusieurs</w:t>
      </w:r>
      <w:proofErr w:type="gramEnd"/>
      <w:r w:rsidRPr="00886B5A">
        <w:t xml:space="preserve"> volets, dont : </w:t>
      </w:r>
    </w:p>
    <w:p w:rsidR="00886B5A" w:rsidRPr="00886B5A" w:rsidRDefault="00886B5A" w:rsidP="00886B5A">
      <w:pPr>
        <w:pStyle w:val="ListParagraph"/>
        <w:numPr>
          <w:ilvl w:val="0"/>
          <w:numId w:val="42"/>
        </w:numPr>
        <w:contextualSpacing w:val="0"/>
      </w:pPr>
      <w:r w:rsidRPr="00886B5A">
        <w:t>La lutte contre les stéréotypes et le sexisme</w:t>
      </w:r>
    </w:p>
    <w:p w:rsidR="00886B5A" w:rsidRPr="00886B5A" w:rsidRDefault="00886B5A" w:rsidP="00886B5A">
      <w:pPr>
        <w:pStyle w:val="ListParagraph"/>
        <w:numPr>
          <w:ilvl w:val="0"/>
          <w:numId w:val="44"/>
        </w:numPr>
        <w:contextualSpacing w:val="0"/>
      </w:pPr>
      <w:r w:rsidRPr="00886B5A">
        <w:t>Analyser les stéréotypes liés aux sexes ;</w:t>
      </w:r>
    </w:p>
    <w:p w:rsidR="00886B5A" w:rsidRPr="00886B5A" w:rsidRDefault="00886B5A" w:rsidP="00886B5A">
      <w:pPr>
        <w:pStyle w:val="ListParagraph"/>
        <w:numPr>
          <w:ilvl w:val="0"/>
          <w:numId w:val="44"/>
        </w:numPr>
        <w:contextualSpacing w:val="0"/>
      </w:pPr>
      <w:r w:rsidRPr="00886B5A">
        <w:t>Sensibiliser les jeunes ;</w:t>
      </w:r>
    </w:p>
    <w:p w:rsidR="00886B5A" w:rsidRPr="00886B5A" w:rsidRDefault="00886B5A" w:rsidP="00886B5A">
      <w:pPr>
        <w:pStyle w:val="ListParagraph"/>
        <w:numPr>
          <w:ilvl w:val="0"/>
          <w:numId w:val="44"/>
        </w:numPr>
        <w:contextualSpacing w:val="0"/>
      </w:pPr>
      <w:r w:rsidRPr="00886B5A">
        <w:t>Lutter contre les publicités sexistes ;</w:t>
      </w:r>
    </w:p>
    <w:p w:rsidR="00886B5A" w:rsidRPr="00886B5A" w:rsidRDefault="00886B5A" w:rsidP="00886B5A">
      <w:pPr>
        <w:pStyle w:val="ListParagraph"/>
        <w:numPr>
          <w:ilvl w:val="0"/>
          <w:numId w:val="44"/>
        </w:numPr>
        <w:contextualSpacing w:val="0"/>
      </w:pPr>
      <w:r w:rsidRPr="00886B5A">
        <w:t>Travailler, en collaboration avec les professionnels, sur la représentation des sexes dans les médias ;</w:t>
      </w:r>
    </w:p>
    <w:p w:rsidR="00886B5A" w:rsidRPr="00886B5A" w:rsidRDefault="00886B5A" w:rsidP="00886B5A">
      <w:pPr>
        <w:pStyle w:val="ListParagraph"/>
        <w:numPr>
          <w:ilvl w:val="0"/>
          <w:numId w:val="44"/>
        </w:numPr>
        <w:contextualSpacing w:val="0"/>
      </w:pPr>
      <w:r w:rsidRPr="00886B5A">
        <w:t>Thématiser les pratiques de marketing sexué ;</w:t>
      </w:r>
    </w:p>
    <w:p w:rsidR="00886B5A" w:rsidRPr="00886B5A" w:rsidRDefault="00886B5A" w:rsidP="00886B5A">
      <w:pPr>
        <w:pStyle w:val="ListParagraph"/>
        <w:numPr>
          <w:ilvl w:val="0"/>
          <w:numId w:val="44"/>
        </w:numPr>
        <w:contextualSpacing w:val="0"/>
      </w:pPr>
      <w:r w:rsidRPr="00886B5A">
        <w:t>L’abolition des termes de « mademoiselle » et « nom de jeune fille » ;</w:t>
      </w:r>
    </w:p>
    <w:p w:rsidR="00886B5A" w:rsidRPr="00886B5A" w:rsidRDefault="00886B5A" w:rsidP="00886B5A">
      <w:pPr>
        <w:pStyle w:val="ListParagraph"/>
        <w:numPr>
          <w:ilvl w:val="0"/>
          <w:numId w:val="44"/>
        </w:numPr>
        <w:contextualSpacing w:val="0"/>
      </w:pPr>
      <w:r w:rsidRPr="00886B5A">
        <w:t>Aborder le sujet d’un langage neutre en termes de genre.</w:t>
      </w:r>
    </w:p>
    <w:p w:rsidR="00886B5A" w:rsidRPr="00886B5A" w:rsidRDefault="00886B5A" w:rsidP="00886B5A">
      <w:pPr>
        <w:pStyle w:val="ListParagraph"/>
        <w:numPr>
          <w:ilvl w:val="0"/>
          <w:numId w:val="42"/>
        </w:numPr>
        <w:contextualSpacing w:val="0"/>
      </w:pPr>
      <w:r w:rsidRPr="00886B5A">
        <w:t>La promotion de l’égalité dans l’éducation</w:t>
      </w:r>
    </w:p>
    <w:p w:rsidR="00886B5A" w:rsidRPr="00886B5A" w:rsidRDefault="00886B5A" w:rsidP="00886B5A">
      <w:pPr>
        <w:pStyle w:val="ListParagraph"/>
        <w:numPr>
          <w:ilvl w:val="0"/>
          <w:numId w:val="45"/>
        </w:numPr>
        <w:contextualSpacing w:val="0"/>
      </w:pPr>
      <w:r w:rsidRPr="00886B5A">
        <w:t>Veiller à ce que chaque jeune acquerra des compétences de base en matière de codage ;</w:t>
      </w:r>
    </w:p>
    <w:p w:rsidR="00886B5A" w:rsidRPr="00886B5A" w:rsidRDefault="00886B5A" w:rsidP="00886B5A">
      <w:pPr>
        <w:pStyle w:val="ListParagraph"/>
        <w:numPr>
          <w:ilvl w:val="0"/>
          <w:numId w:val="45"/>
        </w:numPr>
        <w:contextualSpacing w:val="0"/>
      </w:pPr>
      <w:r w:rsidRPr="00886B5A">
        <w:t>Motiver les élèves à lire et essayer de leur faire connaître des stratégies de lecture en vue d’influencer de manière positive les compétences en lecture ;</w:t>
      </w:r>
    </w:p>
    <w:p w:rsidR="00886B5A" w:rsidRPr="00886B5A" w:rsidRDefault="00886B5A" w:rsidP="00886B5A">
      <w:pPr>
        <w:pStyle w:val="ListParagraph"/>
        <w:numPr>
          <w:ilvl w:val="0"/>
          <w:numId w:val="45"/>
        </w:numPr>
        <w:contextualSpacing w:val="0"/>
      </w:pPr>
      <w:r w:rsidRPr="00886B5A">
        <w:t>Sensibiliser le personnel enseignant à l’égalité ;</w:t>
      </w:r>
    </w:p>
    <w:p w:rsidR="00886B5A" w:rsidRPr="00886B5A" w:rsidRDefault="00886B5A" w:rsidP="00886B5A">
      <w:pPr>
        <w:pStyle w:val="ListParagraph"/>
        <w:numPr>
          <w:ilvl w:val="0"/>
          <w:numId w:val="45"/>
        </w:numPr>
        <w:contextualSpacing w:val="0"/>
      </w:pPr>
      <w:r w:rsidRPr="00886B5A">
        <w:t>Promouvoir l’égalité sans discrimination à travers l’approche pédagogique générale du cadre de référence national sur l’éducation non-formelle des enfants et des jeunes ;</w:t>
      </w:r>
    </w:p>
    <w:p w:rsidR="00886B5A" w:rsidRPr="00886B5A" w:rsidRDefault="00886B5A" w:rsidP="00886B5A">
      <w:pPr>
        <w:pStyle w:val="ListParagraph"/>
        <w:numPr>
          <w:ilvl w:val="0"/>
          <w:numId w:val="45"/>
        </w:numPr>
        <w:contextualSpacing w:val="0"/>
      </w:pPr>
      <w:r w:rsidRPr="00886B5A">
        <w:t>Susciter davantage l’intérêt des garçons aux professions socio-éducatives ;</w:t>
      </w:r>
    </w:p>
    <w:p w:rsidR="00886B5A" w:rsidRPr="00886B5A" w:rsidRDefault="00886B5A" w:rsidP="00886B5A">
      <w:pPr>
        <w:pStyle w:val="ListParagraph"/>
        <w:numPr>
          <w:ilvl w:val="0"/>
          <w:numId w:val="45"/>
        </w:numPr>
        <w:contextualSpacing w:val="0"/>
      </w:pPr>
      <w:r w:rsidRPr="00886B5A">
        <w:t>Promouvoir la santé et le bien-être des filles et des garçons ;</w:t>
      </w:r>
    </w:p>
    <w:p w:rsidR="00886B5A" w:rsidRPr="00886B5A" w:rsidRDefault="00886B5A" w:rsidP="00886B5A">
      <w:pPr>
        <w:pStyle w:val="ListParagraph"/>
        <w:numPr>
          <w:ilvl w:val="0"/>
          <w:numId w:val="45"/>
        </w:numPr>
        <w:contextualSpacing w:val="0"/>
      </w:pPr>
      <w:r w:rsidRPr="00886B5A">
        <w:t>Améliorer l’équilibre des sexes au niveau de la gouvernance dans l’éducation ;</w:t>
      </w:r>
    </w:p>
    <w:p w:rsidR="00886B5A" w:rsidRPr="00886B5A" w:rsidRDefault="00886B5A" w:rsidP="00886B5A">
      <w:pPr>
        <w:pStyle w:val="ListParagraph"/>
        <w:numPr>
          <w:ilvl w:val="0"/>
          <w:numId w:val="45"/>
        </w:numPr>
        <w:contextualSpacing w:val="0"/>
      </w:pPr>
      <w:r w:rsidRPr="00886B5A">
        <w:t>Impliquer davantage les parents dans l’éducation des enfants ;</w:t>
      </w:r>
    </w:p>
    <w:p w:rsidR="00886B5A" w:rsidRPr="00886B5A" w:rsidRDefault="00886B5A" w:rsidP="00886B5A">
      <w:pPr>
        <w:pStyle w:val="ListParagraph"/>
        <w:numPr>
          <w:ilvl w:val="0"/>
          <w:numId w:val="45"/>
        </w:numPr>
        <w:contextualSpacing w:val="0"/>
      </w:pPr>
      <w:r w:rsidRPr="00886B5A">
        <w:t>Aborder la thématique de la représentation stéréotypée des jouets.</w:t>
      </w:r>
    </w:p>
    <w:p w:rsidR="00886B5A" w:rsidRPr="00886B5A" w:rsidRDefault="00886B5A" w:rsidP="00886B5A">
      <w:pPr>
        <w:pStyle w:val="ListParagraph"/>
        <w:numPr>
          <w:ilvl w:val="0"/>
          <w:numId w:val="42"/>
        </w:numPr>
        <w:contextualSpacing w:val="0"/>
      </w:pPr>
      <w:r w:rsidRPr="00886B5A">
        <w:t>La progression de l’égalité professionnelle</w:t>
      </w:r>
    </w:p>
    <w:p w:rsidR="00886B5A" w:rsidRPr="00886B5A" w:rsidRDefault="00886B5A" w:rsidP="00886B5A">
      <w:pPr>
        <w:pStyle w:val="ListParagraph"/>
        <w:numPr>
          <w:ilvl w:val="0"/>
          <w:numId w:val="42"/>
        </w:numPr>
        <w:contextualSpacing w:val="0"/>
      </w:pPr>
      <w:r w:rsidRPr="00886B5A">
        <w:t>La promotion de l’égalité au niveau local (dans les communes)</w:t>
      </w:r>
    </w:p>
    <w:p w:rsidR="00886B5A" w:rsidRPr="00886B5A" w:rsidRDefault="00886B5A" w:rsidP="00886B5A">
      <w:pPr>
        <w:pStyle w:val="ListParagraph"/>
        <w:numPr>
          <w:ilvl w:val="0"/>
          <w:numId w:val="46"/>
        </w:numPr>
        <w:contextualSpacing w:val="0"/>
      </w:pPr>
      <w:proofErr w:type="spellStart"/>
      <w:r w:rsidRPr="00886B5A">
        <w:lastRenderedPageBreak/>
        <w:t>Etablir</w:t>
      </w:r>
      <w:proofErr w:type="spellEnd"/>
      <w:r w:rsidRPr="00886B5A">
        <w:t xml:space="preserve"> un état des lieux ;</w:t>
      </w:r>
    </w:p>
    <w:p w:rsidR="00886B5A" w:rsidRPr="00886B5A" w:rsidRDefault="00886B5A" w:rsidP="00886B5A">
      <w:pPr>
        <w:pStyle w:val="ListParagraph"/>
        <w:numPr>
          <w:ilvl w:val="0"/>
          <w:numId w:val="46"/>
        </w:numPr>
        <w:contextualSpacing w:val="0"/>
      </w:pPr>
      <w:r w:rsidRPr="00886B5A">
        <w:t>Mettre en place une plateforme unique de conseil et d’accompagnement des communes ;</w:t>
      </w:r>
    </w:p>
    <w:p w:rsidR="00886B5A" w:rsidRPr="00886B5A" w:rsidRDefault="00886B5A" w:rsidP="00886B5A">
      <w:pPr>
        <w:pStyle w:val="ListParagraph"/>
        <w:numPr>
          <w:ilvl w:val="0"/>
          <w:numId w:val="46"/>
        </w:numPr>
        <w:contextualSpacing w:val="0"/>
      </w:pPr>
      <w:r w:rsidRPr="00886B5A">
        <w:t>Multiplier les plans d’action locaux pour l’égalité entre femmes et hommes ;</w:t>
      </w:r>
    </w:p>
    <w:p w:rsidR="00886B5A" w:rsidRPr="00886B5A" w:rsidRDefault="00886B5A" w:rsidP="00886B5A">
      <w:pPr>
        <w:pStyle w:val="ListParagraph"/>
        <w:numPr>
          <w:ilvl w:val="0"/>
          <w:numId w:val="46"/>
        </w:numPr>
        <w:contextualSpacing w:val="0"/>
      </w:pPr>
      <w:r w:rsidRPr="00886B5A">
        <w:t>Valoriser les acteurs/-</w:t>
      </w:r>
      <w:proofErr w:type="spellStart"/>
      <w:r w:rsidRPr="00886B5A">
        <w:t>trices</w:t>
      </w:r>
      <w:proofErr w:type="spellEnd"/>
      <w:r w:rsidRPr="00886B5A">
        <w:t xml:space="preserve"> locaux responsables en matière d’égalité entre femmes et hommes ;</w:t>
      </w:r>
    </w:p>
    <w:p w:rsidR="00886B5A" w:rsidRPr="00886B5A" w:rsidRDefault="00886B5A" w:rsidP="00886B5A">
      <w:pPr>
        <w:pStyle w:val="ListParagraph"/>
        <w:numPr>
          <w:ilvl w:val="0"/>
          <w:numId w:val="46"/>
        </w:numPr>
        <w:contextualSpacing w:val="0"/>
      </w:pPr>
      <w:r w:rsidRPr="00886B5A">
        <w:t>Augmenter le pourcentage de femmes en politique communale.</w:t>
      </w:r>
    </w:p>
    <w:p w:rsidR="00886B5A" w:rsidRPr="00886B5A" w:rsidRDefault="00886B5A" w:rsidP="00886B5A">
      <w:pPr>
        <w:pStyle w:val="ListParagraph"/>
        <w:numPr>
          <w:ilvl w:val="0"/>
          <w:numId w:val="42"/>
        </w:numPr>
        <w:contextualSpacing w:val="0"/>
      </w:pPr>
      <w:r w:rsidRPr="00886B5A">
        <w:t>La lutte contre les violences domestiques</w:t>
      </w:r>
    </w:p>
    <w:p w:rsidR="00886B5A" w:rsidRPr="00886B5A" w:rsidRDefault="00886B5A" w:rsidP="00886B5A">
      <w:pPr>
        <w:pStyle w:val="ListParagraph"/>
        <w:numPr>
          <w:ilvl w:val="0"/>
          <w:numId w:val="47"/>
        </w:numPr>
        <w:contextualSpacing w:val="0"/>
      </w:pPr>
      <w:r w:rsidRPr="00886B5A">
        <w:t>Analyser la législation actuelle sur la violence domestique et sa mise en œuvre ;</w:t>
      </w:r>
    </w:p>
    <w:p w:rsidR="00886B5A" w:rsidRPr="00886B5A" w:rsidRDefault="00886B5A" w:rsidP="00886B5A">
      <w:pPr>
        <w:pStyle w:val="ListParagraph"/>
        <w:numPr>
          <w:ilvl w:val="0"/>
          <w:numId w:val="47"/>
        </w:numPr>
        <w:contextualSpacing w:val="0"/>
      </w:pPr>
      <w:r w:rsidRPr="00886B5A">
        <w:t>Investir dans les politiques de prévention ;</w:t>
      </w:r>
    </w:p>
    <w:p w:rsidR="00886B5A" w:rsidRPr="00886B5A" w:rsidRDefault="00886B5A" w:rsidP="00886B5A">
      <w:pPr>
        <w:pStyle w:val="ListParagraph"/>
        <w:numPr>
          <w:ilvl w:val="0"/>
          <w:numId w:val="47"/>
        </w:numPr>
        <w:contextualSpacing w:val="0"/>
      </w:pPr>
      <w:r w:rsidRPr="00886B5A">
        <w:t>Améliorer le recueil et le traitement de données statistiques relatives à la violence domestique et les violences fondées sur le sexe ;</w:t>
      </w:r>
    </w:p>
    <w:p w:rsidR="00886B5A" w:rsidRPr="00886B5A" w:rsidRDefault="00886B5A" w:rsidP="00886B5A">
      <w:pPr>
        <w:pStyle w:val="ListParagraph"/>
        <w:numPr>
          <w:ilvl w:val="0"/>
          <w:numId w:val="47"/>
        </w:numPr>
        <w:contextualSpacing w:val="0"/>
      </w:pPr>
      <w:r w:rsidRPr="00886B5A">
        <w:t>Suivre de près la prise en charge des victimes ;</w:t>
      </w:r>
    </w:p>
    <w:p w:rsidR="00886B5A" w:rsidRPr="00886B5A" w:rsidRDefault="00886B5A" w:rsidP="00886B5A">
      <w:pPr>
        <w:pStyle w:val="ListParagraph"/>
        <w:numPr>
          <w:ilvl w:val="0"/>
          <w:numId w:val="47"/>
        </w:numPr>
        <w:contextualSpacing w:val="0"/>
      </w:pPr>
      <w:r w:rsidRPr="00886B5A">
        <w:t>Mieux coordonner l’encadrement des victimes de la traite des êtres humains ;</w:t>
      </w:r>
    </w:p>
    <w:p w:rsidR="00886B5A" w:rsidRPr="00886B5A" w:rsidRDefault="00886B5A" w:rsidP="00886B5A">
      <w:pPr>
        <w:pStyle w:val="ListParagraph"/>
        <w:numPr>
          <w:ilvl w:val="0"/>
          <w:numId w:val="47"/>
        </w:numPr>
        <w:contextualSpacing w:val="0"/>
      </w:pPr>
      <w:r w:rsidRPr="00886B5A">
        <w:t>Dresser un bilan de la Stratégie en matière d’encadrement de la prostitution.</w:t>
      </w:r>
    </w:p>
    <w:p w:rsidR="00886B5A" w:rsidRPr="00886B5A" w:rsidRDefault="00886B5A" w:rsidP="00886B5A">
      <w:pPr>
        <w:pStyle w:val="ListParagraph"/>
        <w:numPr>
          <w:ilvl w:val="0"/>
          <w:numId w:val="42"/>
        </w:numPr>
        <w:contextualSpacing w:val="0"/>
      </w:pPr>
      <w:r w:rsidRPr="00886B5A">
        <w:t>L’encouragement du développement d’une société plus égalitaire</w:t>
      </w:r>
    </w:p>
    <w:p w:rsidR="00886B5A" w:rsidRPr="00886B5A" w:rsidRDefault="00886B5A" w:rsidP="00886B5A">
      <w:pPr>
        <w:pStyle w:val="ListParagraph"/>
        <w:numPr>
          <w:ilvl w:val="0"/>
          <w:numId w:val="48"/>
        </w:numPr>
        <w:contextualSpacing w:val="0"/>
      </w:pPr>
      <w:r w:rsidRPr="00886B5A">
        <w:t>Mettre en place un Observatoire de l’égalité entre femmes et hommes ;</w:t>
      </w:r>
    </w:p>
    <w:p w:rsidR="00886B5A" w:rsidRPr="00886B5A" w:rsidRDefault="00886B5A" w:rsidP="00886B5A">
      <w:pPr>
        <w:pStyle w:val="ListParagraph"/>
        <w:numPr>
          <w:ilvl w:val="0"/>
          <w:numId w:val="48"/>
        </w:numPr>
        <w:contextualSpacing w:val="0"/>
      </w:pPr>
      <w:r w:rsidRPr="00886B5A">
        <w:t>Analyser l’état de crise sous l’angle de l’égalité entre les sexes ;</w:t>
      </w:r>
    </w:p>
    <w:p w:rsidR="00886B5A" w:rsidRPr="00886B5A" w:rsidRDefault="00886B5A" w:rsidP="00886B5A">
      <w:pPr>
        <w:pStyle w:val="ListParagraph"/>
        <w:numPr>
          <w:ilvl w:val="0"/>
          <w:numId w:val="48"/>
        </w:numPr>
        <w:contextualSpacing w:val="0"/>
      </w:pPr>
      <w:r w:rsidRPr="00886B5A">
        <w:t>Informer les citoyen-ne-s sur leurs droits et obligations ;</w:t>
      </w:r>
    </w:p>
    <w:p w:rsidR="00886B5A" w:rsidRPr="00886B5A" w:rsidRDefault="00886B5A" w:rsidP="00886B5A">
      <w:pPr>
        <w:pStyle w:val="ListParagraph"/>
        <w:numPr>
          <w:ilvl w:val="0"/>
          <w:numId w:val="48"/>
        </w:numPr>
        <w:contextualSpacing w:val="0"/>
      </w:pPr>
      <w:r w:rsidRPr="00886B5A">
        <w:t>Rechercher une représentation équilibrée des femmes et des hommes en politique nationale ;</w:t>
      </w:r>
    </w:p>
    <w:p w:rsidR="00886B5A" w:rsidRPr="00886B5A" w:rsidRDefault="00886B5A" w:rsidP="00886B5A">
      <w:pPr>
        <w:pStyle w:val="ListParagraph"/>
        <w:numPr>
          <w:ilvl w:val="0"/>
          <w:numId w:val="48"/>
        </w:numPr>
        <w:contextualSpacing w:val="0"/>
      </w:pPr>
      <w:r w:rsidRPr="00886B5A">
        <w:t>Appuyer les politiques d’égalité par des formations ;</w:t>
      </w:r>
    </w:p>
    <w:p w:rsidR="00886B5A" w:rsidRDefault="00886B5A" w:rsidP="00886B5A">
      <w:pPr>
        <w:pStyle w:val="ListParagraph"/>
        <w:numPr>
          <w:ilvl w:val="0"/>
          <w:numId w:val="48"/>
        </w:numPr>
        <w:contextualSpacing w:val="0"/>
      </w:pPr>
      <w:r w:rsidRPr="00886B5A">
        <w:t>Promouvoir l’égalité des sexes dans le sport.</w:t>
      </w:r>
    </w:p>
    <w:p w:rsidR="00886B5A" w:rsidRDefault="00886B5A" w:rsidP="002471FF">
      <w:pPr>
        <w:pStyle w:val="Heading3"/>
      </w:pPr>
      <w:bookmarkStart w:id="23" w:name="_Toc116401323"/>
      <w:r>
        <w:t>M</w:t>
      </w:r>
      <w:r w:rsidRPr="00886B5A">
        <w:t>esures visant à garantir l’égalité de rémunération, non seulement pour un travail égal, mais aussi pour un travail d’égale valeur</w:t>
      </w:r>
      <w:bookmarkEnd w:id="23"/>
    </w:p>
    <w:p w:rsidR="00886B5A" w:rsidRPr="00886B5A" w:rsidRDefault="00886B5A" w:rsidP="00886B5A">
      <w:r w:rsidRPr="00886B5A">
        <w:t>En 2016, le Luxembourg s’est doté d’une loi pour inscrire l’égalité de salaire entre femmes et hommes dans le Code du travail. Les inégalités ont été élevées au rang d’une infraction rendant les auteurs passibles d’une amende. Cela signifie qu’à partir du moment où une différence de salaire ne peut pas être justifiée par des raisons objectives et qu’elle est fondée sur des considérations de genre, l’employeur se voit infliger une amende entre 251 et 25.000 euros.</w:t>
      </w:r>
    </w:p>
    <w:p w:rsidR="00886B5A" w:rsidRPr="00886B5A" w:rsidRDefault="00886B5A" w:rsidP="00886B5A">
      <w:r w:rsidRPr="00886B5A">
        <w:t xml:space="preserve">Un employeur ne peut donc pas se fonder sur d’autres critères que les connaissances, l’expérience et les responsabilités pour déterminer la rémunération du / de la </w:t>
      </w:r>
      <w:proofErr w:type="spellStart"/>
      <w:r w:rsidRPr="00886B5A">
        <w:t>salarié-e</w:t>
      </w:r>
      <w:proofErr w:type="spellEnd"/>
      <w:r w:rsidRPr="00886B5A">
        <w:t>.</w:t>
      </w:r>
    </w:p>
    <w:p w:rsidR="00886B5A" w:rsidRPr="00886B5A" w:rsidRDefault="00886B5A" w:rsidP="00886B5A">
      <w:r w:rsidRPr="00886B5A">
        <w:t>Pour être considérés de valeur égale, les travaux effectués par les salariés doivent exiger d’eux un ensemble comparable, savoir:</w:t>
      </w:r>
    </w:p>
    <w:p w:rsidR="00886B5A" w:rsidRPr="00886B5A" w:rsidRDefault="00886B5A" w:rsidP="00886B5A">
      <w:pPr>
        <w:pStyle w:val="ListParagraph"/>
        <w:numPr>
          <w:ilvl w:val="0"/>
          <w:numId w:val="49"/>
        </w:numPr>
        <w:ind w:left="714" w:hanging="357"/>
        <w:contextualSpacing w:val="0"/>
      </w:pPr>
      <w:r w:rsidRPr="00886B5A">
        <w:lastRenderedPageBreak/>
        <w:t>Des connaissances professionnelles consacrées par un titre, un diplôme ou une pratique professionnelle,</w:t>
      </w:r>
    </w:p>
    <w:p w:rsidR="00886B5A" w:rsidRPr="00886B5A" w:rsidRDefault="00886B5A" w:rsidP="00886B5A">
      <w:pPr>
        <w:pStyle w:val="ListParagraph"/>
        <w:numPr>
          <w:ilvl w:val="0"/>
          <w:numId w:val="49"/>
        </w:numPr>
        <w:ind w:left="714" w:hanging="357"/>
        <w:contextualSpacing w:val="0"/>
      </w:pPr>
      <w:r w:rsidRPr="00886B5A">
        <w:t>Des capacités découlant de l’expérience acquise,</w:t>
      </w:r>
    </w:p>
    <w:p w:rsidR="00886B5A" w:rsidRPr="00886B5A" w:rsidRDefault="00886B5A" w:rsidP="00886B5A">
      <w:pPr>
        <w:pStyle w:val="ListParagraph"/>
        <w:numPr>
          <w:ilvl w:val="0"/>
          <w:numId w:val="49"/>
        </w:numPr>
        <w:ind w:left="714" w:hanging="357"/>
        <w:contextualSpacing w:val="0"/>
      </w:pPr>
      <w:r w:rsidRPr="00886B5A">
        <w:t>Des responsabilités et de charge physique ou nerveuse.</w:t>
      </w:r>
    </w:p>
    <w:p w:rsidR="00886B5A" w:rsidRPr="00886B5A" w:rsidRDefault="00886B5A" w:rsidP="00886B5A">
      <w:r w:rsidRPr="00886B5A">
        <w:t>Il est dès lors interdit à tout employeur de se fonder sur d’autres critères que ceux des connaissances, de l’expérience et des responsabilités pour déterminer la rémunération d’un salarié.</w:t>
      </w:r>
    </w:p>
    <w:p w:rsidR="00886B5A" w:rsidRPr="00886B5A" w:rsidRDefault="00886B5A" w:rsidP="00886B5A">
      <w:r w:rsidRPr="00886B5A">
        <w:t xml:space="preserve">De manière générale, le MEGA propose d’accompagner les entreprises sur une base volontaire pour établir un plan d’actions, notamment en matière d’égalité de traitement. Un outil pour mesurer d’éventuels écarts de salaire est également mis à disposition de toutes les entreprises pour réaliser une analyse. En </w:t>
      </w:r>
      <w:proofErr w:type="gramStart"/>
      <w:r w:rsidRPr="00886B5A">
        <w:t>outre ,</w:t>
      </w:r>
      <w:proofErr w:type="gramEnd"/>
      <w:r w:rsidRPr="00886B5A">
        <w:t xml:space="preserve"> le ministère propose des formations pour les délégué-e-s  dans le but de faire vivre l’égalité au quotidien.</w:t>
      </w:r>
    </w:p>
    <w:p w:rsidR="00886B5A" w:rsidRPr="00886B5A" w:rsidRDefault="00886B5A" w:rsidP="00886B5A">
      <w:r w:rsidRPr="00886B5A">
        <w:t>Si une personne se sent lésée concernant l’égalité salariale, elle peut contacter les services de l’Inspection du Travail et des Mines avec une info-ligne accessible tous les jours ouvrables.</w:t>
      </w:r>
    </w:p>
    <w:p w:rsidR="00513EBA" w:rsidRPr="00513EBA" w:rsidRDefault="00513EBA" w:rsidP="002471FF">
      <w:pPr>
        <w:pStyle w:val="Heading4"/>
      </w:pPr>
      <w:bookmarkStart w:id="24" w:name="_Toc116401324"/>
      <w:proofErr w:type="spellStart"/>
      <w:r w:rsidRPr="00513EBA">
        <w:t>Echanges</w:t>
      </w:r>
      <w:proofErr w:type="spellEnd"/>
      <w:r w:rsidRPr="00513EBA">
        <w:t xml:space="preserve"> de bonnes pratiques</w:t>
      </w:r>
      <w:bookmarkEnd w:id="24"/>
      <w:r w:rsidRPr="00513EBA">
        <w:t xml:space="preserve"> </w:t>
      </w:r>
    </w:p>
    <w:p w:rsidR="00513EBA" w:rsidRDefault="00513EBA" w:rsidP="00513EBA">
      <w:r>
        <w:t xml:space="preserve">Afin d’échanger et de recevoir des informations en matière de bonnes pratiques pour garantir l’égalité entre les femmes et les hommes en matière de rémunérations, le Luxembourg a rejoint la </w:t>
      </w:r>
      <w:hyperlink r:id="rId14" w:history="1">
        <w:r w:rsidRPr="00BF19A4">
          <w:rPr>
            <w:rStyle w:val="Hyperlink"/>
          </w:rPr>
          <w:t>Coalition internationale pour l’égalité salariale (EPIC)</w:t>
        </w:r>
      </w:hyperlink>
      <w:r>
        <w:t xml:space="preserve">.  </w:t>
      </w:r>
    </w:p>
    <w:p w:rsidR="00513EBA" w:rsidRPr="00513EBA" w:rsidRDefault="00513EBA" w:rsidP="00513EBA">
      <w:pPr>
        <w:rPr>
          <w:b/>
          <w:u w:val="single"/>
        </w:rPr>
      </w:pPr>
      <w:r w:rsidRPr="00513EBA">
        <w:rPr>
          <w:b/>
          <w:u w:val="single"/>
        </w:rPr>
        <w:t>Pour plus d’informations</w:t>
      </w:r>
      <w:r>
        <w:rPr>
          <w:b/>
          <w:u w:val="single"/>
        </w:rPr>
        <w:t xml:space="preserve"> sur la situation de l’égalité entre les hommes et les femmes au Luxembourg</w:t>
      </w:r>
      <w:r w:rsidRPr="00513EBA">
        <w:rPr>
          <w:b/>
          <w:u w:val="single"/>
        </w:rPr>
        <w:t xml:space="preserve">, voir aussi : </w:t>
      </w:r>
    </w:p>
    <w:p w:rsidR="00513EBA" w:rsidRDefault="00513EBA" w:rsidP="002471FF">
      <w:pPr>
        <w:pStyle w:val="Heading5"/>
      </w:pPr>
      <w:bookmarkStart w:id="25" w:name="_Toc116401325"/>
      <w:r w:rsidRPr="006A3443">
        <w:t xml:space="preserve">Annexe 5 – STATEC – </w:t>
      </w:r>
      <w:proofErr w:type="spellStart"/>
      <w:r w:rsidRPr="006A3443">
        <w:t>Etude</w:t>
      </w:r>
      <w:proofErr w:type="spellEnd"/>
      <w:r w:rsidRPr="006A3443">
        <w:t xml:space="preserve"> sur les inégalités hommes-femmes</w:t>
      </w:r>
      <w:bookmarkEnd w:id="25"/>
    </w:p>
    <w:p w:rsidR="006A3443" w:rsidRPr="006A3443" w:rsidRDefault="006A3443" w:rsidP="002471FF">
      <w:pPr>
        <w:pStyle w:val="Heading3"/>
      </w:pPr>
      <w:bookmarkStart w:id="26" w:name="_Toc116401326"/>
      <w:r>
        <w:t>Mesures de sensibilisation contre les stéréotypes et les préjugés</w:t>
      </w:r>
      <w:bookmarkEnd w:id="26"/>
      <w:r>
        <w:t xml:space="preserve"> </w:t>
      </w:r>
    </w:p>
    <w:p w:rsidR="006A3443" w:rsidRPr="006A3443" w:rsidRDefault="006A3443" w:rsidP="006A3443">
      <w:r w:rsidRPr="006A3443">
        <w:t xml:space="preserve">Dans la vie quotidienne, les jeunes peuvent être touchés par des inégalités qui subsistent à différents niveaux. Ce sont surtout les préjugés et les stéréotypes de genre qui empêchent l’égalité de devenir une réalité quotidienne. Ces rôles attribués au sexe influencent aussi de manière inconsciente. Ils déterminent ce que nous pensons et ce que nous associons aux filles et aux garçons, comment nous percevons notre propre place dans la société et comment nous agissons. C’est pourquoi il est important de déjouer et de surmonter ces stéréotypes. </w:t>
      </w:r>
    </w:p>
    <w:p w:rsidR="006A3443" w:rsidRPr="006A3443" w:rsidRDefault="006A3443" w:rsidP="006A3443">
      <w:r w:rsidRPr="006A3443">
        <w:t xml:space="preserve">L’éducation à l’égalité entre les sexes étant une des priorités du ministère, l’année 2021 était, malgré la crise sanitaire, marquée par une </w:t>
      </w:r>
      <w:r w:rsidRPr="006A3443">
        <w:rPr>
          <w:u w:val="single"/>
        </w:rPr>
        <w:t>panoplie d’actions ciblant les enfants et les jeunes</w:t>
      </w:r>
      <w:r w:rsidRPr="006A3443">
        <w:t xml:space="preserve"> :</w:t>
      </w:r>
    </w:p>
    <w:p w:rsidR="006A3443" w:rsidRPr="006A3443" w:rsidRDefault="006A3443" w:rsidP="00886B5A">
      <w:pPr>
        <w:pStyle w:val="ListParagraph"/>
        <w:numPr>
          <w:ilvl w:val="0"/>
          <w:numId w:val="36"/>
        </w:numPr>
        <w:ind w:left="714" w:hanging="357"/>
        <w:contextualSpacing w:val="0"/>
      </w:pPr>
      <w:r w:rsidRPr="006A3443">
        <w:t xml:space="preserve">Au courant du mois de mai, le MEGA a suivi l’invitation du Service de l’égalité des chances et de l’inclusion sociale de la commune de Mamer et a organisé toute une semaine d’ateliers (22) et d’activités dans les écoles fondamentales de Capellen et Mamer ainsi qu’au Lycée Josy </w:t>
      </w:r>
      <w:proofErr w:type="spellStart"/>
      <w:r w:rsidRPr="006A3443">
        <w:t>Barthel</w:t>
      </w:r>
      <w:proofErr w:type="spellEnd"/>
      <w:r w:rsidRPr="006A3443">
        <w:t xml:space="preserve"> Mamer.</w:t>
      </w:r>
    </w:p>
    <w:p w:rsidR="006A3443" w:rsidRPr="006A3443" w:rsidRDefault="006A3443" w:rsidP="00886B5A">
      <w:pPr>
        <w:pStyle w:val="ListParagraph"/>
        <w:numPr>
          <w:ilvl w:val="0"/>
          <w:numId w:val="36"/>
        </w:numPr>
        <w:ind w:left="714" w:hanging="357"/>
        <w:contextualSpacing w:val="0"/>
      </w:pPr>
      <w:r w:rsidRPr="006A3443">
        <w:t xml:space="preserve">L’événement phare du groupe « éducation » du MEGA était le festival « Rock de Rack ». En date du 28 octobre 2021, plus de 200 lycéen(ne)s provenant de neuf écoles ont participé à des workshops pédagogiques et au débat interactif « Rock de </w:t>
      </w:r>
      <w:proofErr w:type="spellStart"/>
      <w:r w:rsidRPr="006A3443">
        <w:t>Krees</w:t>
      </w:r>
      <w:proofErr w:type="spellEnd"/>
      <w:r w:rsidRPr="006A3443">
        <w:t xml:space="preserve"> ». Le programme de cette journée de sensibilisation avait mis le focus sur l’égalité dans les médias, les films et le théâtre.</w:t>
      </w:r>
    </w:p>
    <w:p w:rsidR="006A3443" w:rsidRPr="006A3443" w:rsidRDefault="006A3443" w:rsidP="00886B5A">
      <w:pPr>
        <w:pStyle w:val="ListParagraph"/>
        <w:numPr>
          <w:ilvl w:val="0"/>
          <w:numId w:val="36"/>
        </w:numPr>
        <w:ind w:left="714" w:hanging="357"/>
        <w:contextualSpacing w:val="0"/>
      </w:pPr>
      <w:r>
        <w:lastRenderedPageBreak/>
        <w:t>L</w:t>
      </w:r>
      <w:r w:rsidRPr="006A3443">
        <w:t xml:space="preserve">e groupe « éducation » du MEGA a également proposé une formation spécialement conçue pour futurs éducateurs et éducatrices à 10 classes de terminale du Lycée Technique pour Professions </w:t>
      </w:r>
      <w:proofErr w:type="spellStart"/>
      <w:r w:rsidRPr="006A3443">
        <w:t>Educatives</w:t>
      </w:r>
      <w:proofErr w:type="spellEnd"/>
      <w:r w:rsidRPr="006A3443">
        <w:t xml:space="preserve"> et Sociales. Cette action à vocation annuelle a renforcé les liens avec ce lycée multiplicateur pour l’égalité entre les femmes et les hommes.</w:t>
      </w:r>
    </w:p>
    <w:p w:rsidR="006A3443" w:rsidRDefault="006A3443" w:rsidP="00886B5A">
      <w:pPr>
        <w:pStyle w:val="ListParagraph"/>
        <w:numPr>
          <w:ilvl w:val="0"/>
          <w:numId w:val="36"/>
        </w:numPr>
        <w:ind w:left="714" w:hanging="357"/>
        <w:contextualSpacing w:val="0"/>
      </w:pPr>
      <w:r w:rsidRPr="006A3443">
        <w:t xml:space="preserve">En plus de ces actions phares, beaucoup d’écoles, lycées et maison relais ont contacté le MEGA directement avec une demande de leur offrir des ateliers spécifiques. La camionnette du MEGA, le « </w:t>
      </w:r>
      <w:proofErr w:type="spellStart"/>
      <w:r w:rsidRPr="006A3443">
        <w:t>Megajumper</w:t>
      </w:r>
      <w:proofErr w:type="spellEnd"/>
      <w:r w:rsidRPr="006A3443">
        <w:t xml:space="preserve"> », a ainsi visité de nombreuses écoles où une équipe a réalisé des ateliers pédagogiques (2</w:t>
      </w:r>
      <w:r>
        <w:t xml:space="preserve">4) autour du sujet de l’égalité. </w:t>
      </w:r>
    </w:p>
    <w:p w:rsidR="006A3443" w:rsidRPr="006A3443" w:rsidRDefault="006A3443" w:rsidP="006A3443">
      <w:pPr>
        <w:rPr>
          <w:u w:val="single"/>
        </w:rPr>
      </w:pPr>
      <w:r w:rsidRPr="006A3443">
        <w:rPr>
          <w:u w:val="single"/>
        </w:rPr>
        <w:t>P</w:t>
      </w:r>
      <w:r w:rsidR="006A1F7D">
        <w:rPr>
          <w:u w:val="single"/>
        </w:rPr>
        <w:t>rogramme des Actions Positives </w:t>
      </w:r>
      <w:r w:rsidRPr="006A3443">
        <w:rPr>
          <w:u w:val="single"/>
        </w:rPr>
        <w:t>dans le secteur privé de l’économie</w:t>
      </w:r>
    </w:p>
    <w:p w:rsidR="006A3443" w:rsidRDefault="006A3443" w:rsidP="006A3443">
      <w:r w:rsidRPr="006A3443">
        <w:t>Le programme des Actions Positives permet aux entreprises soucieuses de créer une égalité de fait au sein de leur structure, de souscrire à la transposition de l’égalité femmes/hommes dans trois domaines prioritaires, à savoir :</w:t>
      </w:r>
    </w:p>
    <w:p w:rsidR="006A3443" w:rsidRPr="006A3443" w:rsidRDefault="006A3443" w:rsidP="00886B5A">
      <w:pPr>
        <w:pStyle w:val="ListParagraph"/>
        <w:numPr>
          <w:ilvl w:val="0"/>
          <w:numId w:val="37"/>
        </w:numPr>
        <w:ind w:left="714" w:hanging="357"/>
        <w:contextualSpacing w:val="0"/>
      </w:pPr>
      <w:r w:rsidRPr="006A3443">
        <w:t>Égalité de traitement,</w:t>
      </w:r>
    </w:p>
    <w:p w:rsidR="006A3443" w:rsidRPr="006A3443" w:rsidRDefault="006A3443" w:rsidP="00886B5A">
      <w:pPr>
        <w:pStyle w:val="ListParagraph"/>
        <w:numPr>
          <w:ilvl w:val="0"/>
          <w:numId w:val="37"/>
        </w:numPr>
        <w:ind w:left="714" w:hanging="357"/>
        <w:contextualSpacing w:val="0"/>
      </w:pPr>
      <w:r w:rsidRPr="006A3443">
        <w:t>Égalité dans la prise de décision,</w:t>
      </w:r>
    </w:p>
    <w:p w:rsidR="006A3443" w:rsidRDefault="006A3443" w:rsidP="00886B5A">
      <w:pPr>
        <w:pStyle w:val="ListParagraph"/>
        <w:numPr>
          <w:ilvl w:val="0"/>
          <w:numId w:val="37"/>
        </w:numPr>
        <w:ind w:left="714" w:hanging="357"/>
        <w:contextualSpacing w:val="0"/>
      </w:pPr>
      <w:r w:rsidRPr="006A3443">
        <w:t>Égalité dans la conciliation de la vie professionnelle et de la vie privée.</w:t>
      </w:r>
    </w:p>
    <w:p w:rsidR="006A1F7D" w:rsidRPr="006A1F7D" w:rsidRDefault="006A1F7D" w:rsidP="002471FF">
      <w:pPr>
        <w:pStyle w:val="Heading3"/>
      </w:pPr>
      <w:bookmarkStart w:id="27" w:name="_Toc116401327"/>
      <w:r w:rsidRPr="006A1F7D">
        <w:t>Projet MADAK – Les hommes dans l’éducation non-formelle des enfants</w:t>
      </w:r>
      <w:bookmarkEnd w:id="27"/>
    </w:p>
    <w:p w:rsidR="006A1F7D" w:rsidRDefault="006A1F7D" w:rsidP="006A1F7D">
      <w:r>
        <w:t xml:space="preserve">Le projet </w:t>
      </w:r>
      <w:hyperlink r:id="rId15" w:history="1">
        <w:r w:rsidRPr="006A1F7D">
          <w:rPr>
            <w:rStyle w:val="Hyperlink"/>
          </w:rPr>
          <w:t xml:space="preserve">MADAK – </w:t>
        </w:r>
        <w:proofErr w:type="spellStart"/>
        <w:r w:rsidRPr="006A1F7D">
          <w:rPr>
            <w:rStyle w:val="Hyperlink"/>
          </w:rPr>
          <w:t>Méi</w:t>
        </w:r>
        <w:proofErr w:type="spellEnd"/>
        <w:r w:rsidRPr="006A1F7D">
          <w:rPr>
            <w:rStyle w:val="Hyperlink"/>
          </w:rPr>
          <w:t xml:space="preserve"> </w:t>
        </w:r>
        <w:proofErr w:type="spellStart"/>
        <w:r w:rsidRPr="006A1F7D">
          <w:rPr>
            <w:rStyle w:val="Hyperlink"/>
          </w:rPr>
          <w:t>Männer</w:t>
        </w:r>
        <w:proofErr w:type="spellEnd"/>
        <w:r w:rsidRPr="006A1F7D">
          <w:rPr>
            <w:rStyle w:val="Hyperlink"/>
          </w:rPr>
          <w:t xml:space="preserve"> an der </w:t>
        </w:r>
        <w:proofErr w:type="spellStart"/>
        <w:r w:rsidRPr="006A1F7D">
          <w:rPr>
            <w:rStyle w:val="Hyperlink"/>
          </w:rPr>
          <w:t>ausserschoulescher</w:t>
        </w:r>
        <w:proofErr w:type="spellEnd"/>
        <w:r w:rsidRPr="006A1F7D">
          <w:rPr>
            <w:rStyle w:val="Hyperlink"/>
          </w:rPr>
          <w:t xml:space="preserve"> </w:t>
        </w:r>
        <w:proofErr w:type="spellStart"/>
        <w:r w:rsidRPr="006A1F7D">
          <w:rPr>
            <w:rStyle w:val="Hyperlink"/>
          </w:rPr>
          <w:t>Kannerbetreiung</w:t>
        </w:r>
        <w:proofErr w:type="spellEnd"/>
      </w:hyperlink>
      <w:r>
        <w:t xml:space="preserve"> a été lancé en 2018 et a été clôturé en 2021 dans le cadre d’une conférence au Forum </w:t>
      </w:r>
      <w:proofErr w:type="spellStart"/>
      <w:r>
        <w:t>Geesseknäppchen</w:t>
      </w:r>
      <w:proofErr w:type="spellEnd"/>
      <w:r>
        <w:t xml:space="preserve">. Le projet a été une coopération entre le ministère, le bureau de consultation pour hommes </w:t>
      </w:r>
      <w:hyperlink r:id="rId16" w:history="1">
        <w:r w:rsidRPr="006A1F7D">
          <w:rPr>
            <w:rStyle w:val="Hyperlink"/>
          </w:rPr>
          <w:t>INFOMANN</w:t>
        </w:r>
      </w:hyperlink>
      <w:r w:rsidRPr="006A1F7D">
        <w:rPr>
          <w:color w:val="0000FF"/>
        </w:rPr>
        <w:t xml:space="preserve"> </w:t>
      </w:r>
      <w:r>
        <w:t>et l’</w:t>
      </w:r>
      <w:hyperlink r:id="rId17" w:history="1">
        <w:r w:rsidRPr="006A1F7D">
          <w:rPr>
            <w:rStyle w:val="Hyperlink"/>
          </w:rPr>
          <w:t xml:space="preserve">Institut </w:t>
        </w:r>
        <w:proofErr w:type="spellStart"/>
        <w:r w:rsidRPr="006A1F7D">
          <w:rPr>
            <w:rStyle w:val="Hyperlink"/>
          </w:rPr>
          <w:t>für</w:t>
        </w:r>
        <w:proofErr w:type="spellEnd"/>
        <w:r w:rsidRPr="006A1F7D">
          <w:rPr>
            <w:rStyle w:val="Hyperlink"/>
          </w:rPr>
          <w:t xml:space="preserve"> Gender </w:t>
        </w:r>
        <w:proofErr w:type="spellStart"/>
        <w:r w:rsidRPr="006A1F7D">
          <w:rPr>
            <w:rStyle w:val="Hyperlink"/>
          </w:rPr>
          <w:t>und</w:t>
        </w:r>
        <w:proofErr w:type="spellEnd"/>
        <w:r w:rsidRPr="006A1F7D">
          <w:rPr>
            <w:rStyle w:val="Hyperlink"/>
          </w:rPr>
          <w:t xml:space="preserve"> </w:t>
        </w:r>
        <w:proofErr w:type="spellStart"/>
        <w:r w:rsidRPr="006A1F7D">
          <w:rPr>
            <w:rStyle w:val="Hyperlink"/>
          </w:rPr>
          <w:t>Diversity</w:t>
        </w:r>
        <w:proofErr w:type="spellEnd"/>
      </w:hyperlink>
      <w:r>
        <w:t xml:space="preserve"> à Berlin. Le but du projet a été de créer une plus grande mixité de genre dans les professions sociales, et dans la profession de l’éducateur/</w:t>
      </w:r>
      <w:proofErr w:type="spellStart"/>
      <w:r>
        <w:t>trice</w:t>
      </w:r>
      <w:proofErr w:type="spellEnd"/>
      <w:r>
        <w:t xml:space="preserve"> en particulier. Sur base d’un premier état des lieux réalisé en 2018 évaluant le ratio entre femmes et hommes dans la profession de l’éducateur dans un certain nombre d’établissements dans l’éducation non-formelle publique, les responsables ont initié dans cette deuxième phase six projets-pilote entre autres avec </w:t>
      </w:r>
      <w:hyperlink r:id="rId18" w:history="1">
        <w:r w:rsidRPr="006A1F7D">
          <w:rPr>
            <w:rStyle w:val="Hyperlink"/>
          </w:rPr>
          <w:t>Caritas Jeunes et Famille</w:t>
        </w:r>
      </w:hyperlink>
      <w:r>
        <w:t xml:space="preserve">, la </w:t>
      </w:r>
      <w:hyperlink r:id="rId19" w:history="1">
        <w:r w:rsidRPr="006A1F7D">
          <w:rPr>
            <w:rStyle w:val="Hyperlink"/>
          </w:rPr>
          <w:t>Croix-Rouge Luxembourgeoise</w:t>
        </w:r>
      </w:hyperlink>
      <w:r>
        <w:t xml:space="preserve">, le </w:t>
      </w:r>
      <w:hyperlink r:id="rId20" w:history="1">
        <w:r w:rsidRPr="006A1F7D">
          <w:rPr>
            <w:rStyle w:val="Hyperlink"/>
          </w:rPr>
          <w:t>Lycée Technique pour professions éducatives et sociales</w:t>
        </w:r>
      </w:hyperlink>
      <w:r>
        <w:t xml:space="preserve"> ou encore l’Université du Luxembourg. Leur objectif commun est de rompre avec le stéréotype que la profession de l’éducateur/</w:t>
      </w:r>
      <w:proofErr w:type="spellStart"/>
      <w:r>
        <w:t>trice</w:t>
      </w:r>
      <w:proofErr w:type="spellEnd"/>
      <w:r>
        <w:t xml:space="preserve"> est une profession féminisée et de promouvoir la mixité entre femmes et hommes dans cette profession. Le projet a été un bon exemple pour montrer que les stéréotypes ont une grande influence dans le monde professionnel lorsqu’il s’agit de faire des choix au niveau des formations. </w:t>
      </w:r>
    </w:p>
    <w:p w:rsidR="006A1F7D" w:rsidRPr="006A1F7D" w:rsidRDefault="006A1F7D" w:rsidP="006A1F7D">
      <w:r>
        <w:t xml:space="preserve">Afin de pérenniser le projet, le MEGA est actuellement en train de mettre sur pied le projet « Social Boys » ensemble avec le service INFOMANN, le Lycée technique pour professions éducatives et sociales (LTPES) et le </w:t>
      </w:r>
      <w:proofErr w:type="spellStart"/>
      <w:r w:rsidRPr="006A1F7D">
        <w:rPr>
          <w:i/>
        </w:rPr>
        <w:t>Daachverband</w:t>
      </w:r>
      <w:proofErr w:type="spellEnd"/>
      <w:r w:rsidRPr="006A1F7D">
        <w:rPr>
          <w:i/>
        </w:rPr>
        <w:t xml:space="preserve"> </w:t>
      </w:r>
      <w:proofErr w:type="spellStart"/>
      <w:r w:rsidRPr="006A1F7D">
        <w:rPr>
          <w:i/>
        </w:rPr>
        <w:t>vun</w:t>
      </w:r>
      <w:proofErr w:type="spellEnd"/>
      <w:r w:rsidRPr="006A1F7D">
        <w:rPr>
          <w:i/>
        </w:rPr>
        <w:t xml:space="preserve"> de </w:t>
      </w:r>
      <w:proofErr w:type="spellStart"/>
      <w:r w:rsidRPr="006A1F7D">
        <w:rPr>
          <w:i/>
        </w:rPr>
        <w:t>Lëtzebuerger</w:t>
      </w:r>
      <w:proofErr w:type="spellEnd"/>
      <w:r w:rsidRPr="006A1F7D">
        <w:rPr>
          <w:i/>
        </w:rPr>
        <w:t xml:space="preserve"> </w:t>
      </w:r>
      <w:proofErr w:type="spellStart"/>
      <w:r w:rsidRPr="006A1F7D">
        <w:rPr>
          <w:i/>
        </w:rPr>
        <w:t>Jugendstrukturen</w:t>
      </w:r>
      <w:proofErr w:type="spellEnd"/>
      <w:r>
        <w:t xml:space="preserve"> (DLJ).  Ce projet enchaîne en effet avec le projet MADAK et a pour objectif de donner la possibilité aux jeunes masculins de se familiariser avec le quotidien d’</w:t>
      </w:r>
      <w:proofErr w:type="spellStart"/>
      <w:r>
        <w:t>un·e</w:t>
      </w:r>
      <w:proofErr w:type="spellEnd"/>
      <w:r>
        <w:t xml:space="preserve"> travailleur/travailleuse sociale dans une structure sociale. Le projet a été lancé en décembre 2021. </w:t>
      </w:r>
    </w:p>
    <w:p w:rsidR="006A3443" w:rsidRPr="006A1F7D" w:rsidRDefault="006A1F7D" w:rsidP="002471FF">
      <w:pPr>
        <w:pStyle w:val="Heading3"/>
      </w:pPr>
      <w:bookmarkStart w:id="28" w:name="_Toc116401328"/>
      <w:r w:rsidRPr="006A1F7D">
        <w:t>Pandémie de COVID-19 – Mesures pour limiter l’impact de la pandémie sur les femmes</w:t>
      </w:r>
      <w:bookmarkEnd w:id="28"/>
      <w:r w:rsidRPr="006A1F7D">
        <w:t xml:space="preserve"> </w:t>
      </w:r>
    </w:p>
    <w:p w:rsidR="006A1F7D" w:rsidRDefault="006A1F7D" w:rsidP="006A1F7D">
      <w:r>
        <w:lastRenderedPageBreak/>
        <w:t>Afin d’éviter une augmentation et une aggravation substantielle des cas de violence domestique, le Luxembourg a mis en place dès mars 2020 un dispositif de gestion de crise. Il prévoit notamment :</w:t>
      </w:r>
    </w:p>
    <w:p w:rsidR="006A1F7D" w:rsidRDefault="006A1F7D" w:rsidP="00886B5A">
      <w:pPr>
        <w:pStyle w:val="ListParagraph"/>
        <w:numPr>
          <w:ilvl w:val="0"/>
          <w:numId w:val="38"/>
        </w:numPr>
        <w:ind w:left="714" w:hanging="357"/>
        <w:contextualSpacing w:val="0"/>
      </w:pPr>
      <w:proofErr w:type="gramStart"/>
      <w:r>
        <w:t>un</w:t>
      </w:r>
      <w:proofErr w:type="gramEnd"/>
      <w:r>
        <w:t xml:space="preserve"> monitoring hebdomadaire sur l'évolution de la violence domestique,</w:t>
      </w:r>
    </w:p>
    <w:p w:rsidR="006A1F7D" w:rsidRDefault="006A1F7D" w:rsidP="00886B5A">
      <w:pPr>
        <w:pStyle w:val="ListParagraph"/>
        <w:numPr>
          <w:ilvl w:val="0"/>
          <w:numId w:val="38"/>
        </w:numPr>
        <w:ind w:left="714" w:hanging="357"/>
        <w:contextualSpacing w:val="0"/>
      </w:pPr>
      <w:proofErr w:type="gramStart"/>
      <w:r>
        <w:t>la</w:t>
      </w:r>
      <w:proofErr w:type="gramEnd"/>
      <w:r>
        <w:t xml:space="preserve"> continuité des procédures légales et règlementaires en place,</w:t>
      </w:r>
    </w:p>
    <w:p w:rsidR="006A1F7D" w:rsidRDefault="006A1F7D" w:rsidP="00886B5A">
      <w:pPr>
        <w:pStyle w:val="ListParagraph"/>
        <w:numPr>
          <w:ilvl w:val="0"/>
          <w:numId w:val="38"/>
        </w:numPr>
        <w:ind w:left="714" w:hanging="357"/>
        <w:contextualSpacing w:val="0"/>
      </w:pPr>
      <w:proofErr w:type="gramStart"/>
      <w:r>
        <w:t>des</w:t>
      </w:r>
      <w:proofErr w:type="gramEnd"/>
      <w:r>
        <w:t xml:space="preserve"> alternatives de logement en cas de surpopulation des structures d’accueil d’urgence,</w:t>
      </w:r>
    </w:p>
    <w:p w:rsidR="006A1F7D" w:rsidRDefault="006A1F7D" w:rsidP="00886B5A">
      <w:pPr>
        <w:pStyle w:val="ListParagraph"/>
        <w:numPr>
          <w:ilvl w:val="0"/>
          <w:numId w:val="38"/>
        </w:numPr>
        <w:ind w:left="714" w:hanging="357"/>
        <w:contextualSpacing w:val="0"/>
      </w:pPr>
      <w:proofErr w:type="gramStart"/>
      <w:r>
        <w:t>le</w:t>
      </w:r>
      <w:proofErr w:type="gramEnd"/>
      <w:r>
        <w:t xml:space="preserve"> développement du site d'information violence.lu,</w:t>
      </w:r>
    </w:p>
    <w:p w:rsidR="006A1F7D" w:rsidRDefault="006A1F7D" w:rsidP="00886B5A">
      <w:pPr>
        <w:pStyle w:val="ListParagraph"/>
        <w:numPr>
          <w:ilvl w:val="0"/>
          <w:numId w:val="38"/>
        </w:numPr>
        <w:ind w:left="714" w:hanging="357"/>
        <w:contextualSpacing w:val="0"/>
      </w:pPr>
      <w:proofErr w:type="gramStart"/>
      <w:r>
        <w:t>la</w:t>
      </w:r>
      <w:proofErr w:type="gramEnd"/>
      <w:r>
        <w:t xml:space="preserve"> mise en place d'une </w:t>
      </w:r>
      <w:proofErr w:type="spellStart"/>
      <w:r>
        <w:t>helpline</w:t>
      </w:r>
      <w:proofErr w:type="spellEnd"/>
      <w:r>
        <w:t xml:space="preserve"> s’adressant aux victimes de violence domestique: 2060 1060,</w:t>
      </w:r>
    </w:p>
    <w:p w:rsidR="006A1F7D" w:rsidRDefault="006A1F7D" w:rsidP="00886B5A">
      <w:pPr>
        <w:pStyle w:val="ListParagraph"/>
        <w:numPr>
          <w:ilvl w:val="0"/>
          <w:numId w:val="38"/>
        </w:numPr>
        <w:ind w:left="714" w:hanging="357"/>
        <w:contextualSpacing w:val="0"/>
      </w:pPr>
      <w:proofErr w:type="gramStart"/>
      <w:r>
        <w:t>la</w:t>
      </w:r>
      <w:proofErr w:type="gramEnd"/>
      <w:r>
        <w:t xml:space="preserve"> pérennité du soutien financier par l’État,</w:t>
      </w:r>
    </w:p>
    <w:p w:rsidR="006A1F7D" w:rsidRDefault="006A1F7D" w:rsidP="006A1F7D">
      <w:pPr>
        <w:pStyle w:val="ListParagraph"/>
        <w:numPr>
          <w:ilvl w:val="0"/>
          <w:numId w:val="38"/>
        </w:numPr>
        <w:ind w:left="714" w:hanging="357"/>
        <w:contextualSpacing w:val="0"/>
      </w:pPr>
      <w:proofErr w:type="gramStart"/>
      <w:r>
        <w:t>la</w:t>
      </w:r>
      <w:proofErr w:type="gramEnd"/>
      <w:r>
        <w:t xml:space="preserve"> mise en œuvre de campagnes de prévention et d’information sur les réseaux sociaux et  dans les médias nationaux.</w:t>
      </w:r>
    </w:p>
    <w:p w:rsidR="006A1F7D" w:rsidRDefault="006A1F7D" w:rsidP="006A1F7D">
      <w:r>
        <w:t>Les mesures précitées ont assuré le fonctionnement continu de l’aide et ont permis aux associations conventionnées avec le Ministère de l’</w:t>
      </w:r>
      <w:proofErr w:type="spellStart"/>
      <w:r>
        <w:t>Egalité</w:t>
      </w:r>
      <w:proofErr w:type="spellEnd"/>
      <w:r>
        <w:t xml:space="preserve"> de maintenir une prise en charge effective et efficace des victimes et auteur-e-s de violence et de violence domestique ainsi que de toutes les personnes prises dans le cycle de la violence.</w:t>
      </w:r>
    </w:p>
    <w:p w:rsidR="006A1F7D" w:rsidRDefault="006A1F7D" w:rsidP="006A1F7D">
      <w:r>
        <w:t xml:space="preserve">Par ces mesures une augmentation exponentielle des cas de violence domestique a pu être évité. </w:t>
      </w:r>
    </w:p>
    <w:p w:rsidR="006A3443" w:rsidRPr="0007351E" w:rsidRDefault="006A3443" w:rsidP="004136D4">
      <w:pPr>
        <w:rPr>
          <w:rFonts w:cstheme="minorHAnsi"/>
          <w:b/>
          <w:color w:val="FF5050"/>
        </w:rPr>
      </w:pPr>
    </w:p>
    <w:p w:rsidR="004136D4" w:rsidRPr="00975412" w:rsidRDefault="00975412" w:rsidP="002471FF">
      <w:pPr>
        <w:pStyle w:val="Heading1"/>
      </w:pPr>
      <w:bookmarkStart w:id="29" w:name="_Toc116401329"/>
      <w:r w:rsidRPr="00975412">
        <w:t>CLUSTER</w:t>
      </w:r>
      <w:r w:rsidR="004136D4" w:rsidRPr="00975412">
        <w:t xml:space="preserve"> 2</w:t>
      </w:r>
      <w:bookmarkEnd w:id="29"/>
    </w:p>
    <w:p w:rsidR="006C383F" w:rsidRPr="0007351E" w:rsidRDefault="006C383F" w:rsidP="002471FF">
      <w:pPr>
        <w:pStyle w:val="Heading2"/>
      </w:pPr>
      <w:bookmarkStart w:id="30" w:name="_Toc116401330"/>
      <w:r w:rsidRPr="0007351E">
        <w:t>Droit au travail (article 6)</w:t>
      </w:r>
      <w:bookmarkEnd w:id="30"/>
    </w:p>
    <w:p w:rsidR="003D3B57" w:rsidRPr="003D3B57" w:rsidRDefault="003D3B57" w:rsidP="002471FF">
      <w:pPr>
        <w:pStyle w:val="Heading3"/>
      </w:pPr>
      <w:bookmarkStart w:id="31" w:name="_Toc116401331"/>
      <w:r w:rsidRPr="003D3B57">
        <w:t>Chômage de longue durée</w:t>
      </w:r>
      <w:bookmarkEnd w:id="31"/>
      <w:r w:rsidRPr="003D3B57">
        <w:t xml:space="preserve"> </w:t>
      </w:r>
    </w:p>
    <w:p w:rsidR="003D3B57" w:rsidRPr="003D3B57" w:rsidRDefault="003D3B57" w:rsidP="003D3B57">
      <w:r w:rsidRPr="003D3B57">
        <w:t xml:space="preserve">Au Luxembourg est considéré un demandeur comme chômeur de « longue durée » si sa recherche pour un travail dépasse les 12 mois. Passée cette période au chômage, L’Agence pour le développement de l’Emploi (ADEM) parle de demandeurs d’emploi de « longue durée ». Une catégorie qui rencontre plus de difficultés que les autres à retrouver un emploi. En date du 31/08/2022 4614 résidents disponibles étaient enregistrés comme demandeur d’emploi de douze mois et plus sur un total de 14.153 résidents disponibles prenant en considération toutes les catégories de demandeurs d’emploi. Le profil de ces demandeurs d’emploi de longue durée est très varié. Il s’agit souvent de personnes de plus de 45 ans qui ne sont plus en mesure d’exercer leur profession </w:t>
      </w:r>
      <w:proofErr w:type="spellStart"/>
      <w:r w:rsidRPr="003D3B57">
        <w:t>traditionelle</w:t>
      </w:r>
      <w:proofErr w:type="spellEnd"/>
      <w:r w:rsidRPr="003D3B57">
        <w:t xml:space="preserve"> pour des raisons de santé. Dans la plupart des cas, il s’agit de personnes peu qualifiées qui ont dû effectuer des travaux physiques lourds dans le cadre de leur emploi, comme par exemple les ouvriers de bâtiment. Pour ce groupe de personnes l’</w:t>
      </w:r>
      <w:proofErr w:type="spellStart"/>
      <w:r w:rsidRPr="003D3B57">
        <w:t>Etat</w:t>
      </w:r>
      <w:proofErr w:type="spellEnd"/>
      <w:r w:rsidRPr="003D3B57">
        <w:t xml:space="preserve"> luxembourgeois proposent des Aides : </w:t>
      </w:r>
    </w:p>
    <w:p w:rsidR="003D3B57" w:rsidRPr="003D3B57" w:rsidRDefault="003D3B57" w:rsidP="002471FF">
      <w:pPr>
        <w:pStyle w:val="Heading4"/>
      </w:pPr>
      <w:bookmarkStart w:id="32" w:name="_Toc116401332"/>
      <w:r w:rsidRPr="003D3B57">
        <w:t>Aide</w:t>
      </w:r>
      <w:r w:rsidR="002471FF">
        <w:t xml:space="preserve"> à l’embauche de chômeurs âgés</w:t>
      </w:r>
      <w:bookmarkEnd w:id="32"/>
    </w:p>
    <w:p w:rsidR="003D3B57" w:rsidRPr="003D3B57" w:rsidRDefault="003D3B57" w:rsidP="003D3B57">
      <w:r w:rsidRPr="003D3B57">
        <w:t>L’employeur qui </w:t>
      </w:r>
      <w:r w:rsidRPr="003D3B57">
        <w:rPr>
          <w:b/>
          <w:bCs/>
        </w:rPr>
        <w:t>embauche des chômeurs âgés</w:t>
      </w:r>
      <w:r w:rsidRPr="003D3B57">
        <w:t xml:space="preserve"> peut, sous certaines conditions, </w:t>
      </w:r>
      <w:r w:rsidRPr="003D3B57">
        <w:rPr>
          <w:b/>
          <w:bCs/>
        </w:rPr>
        <w:t>récupérer</w:t>
      </w:r>
      <w:r w:rsidRPr="003D3B57">
        <w:t> pendant un certain temps les </w:t>
      </w:r>
      <w:r w:rsidRPr="003D3B57">
        <w:rPr>
          <w:b/>
          <w:bCs/>
        </w:rPr>
        <w:t>cotisations de sécurité sociale versées</w:t>
      </w:r>
      <w:r w:rsidRPr="003D3B57">
        <w:t> (part employeur uniquement).</w:t>
      </w:r>
    </w:p>
    <w:p w:rsidR="003D3B57" w:rsidRPr="003D3B57" w:rsidRDefault="003D3B57" w:rsidP="003D3B57">
      <w:r w:rsidRPr="003D3B57">
        <w:rPr>
          <w:b/>
          <w:bCs/>
          <w:u w:val="single"/>
        </w:rPr>
        <w:lastRenderedPageBreak/>
        <w:t>Remarque</w:t>
      </w:r>
      <w:r w:rsidRPr="003D3B57">
        <w:rPr>
          <w:u w:val="single"/>
        </w:rPr>
        <w:t> :</w:t>
      </w:r>
      <w:r w:rsidRPr="003D3B57">
        <w:t xml:space="preserve"> jusqu’au </w:t>
      </w:r>
      <w:r w:rsidRPr="003D3B57">
        <w:rPr>
          <w:b/>
          <w:bCs/>
        </w:rPr>
        <w:t>30 juin 2022 inclus</w:t>
      </w:r>
      <w:r w:rsidRPr="003D3B57">
        <w:t>, tout employeur du secteur privé établi légalement au Luxembourg a droit au </w:t>
      </w:r>
      <w:r w:rsidRPr="003D3B57">
        <w:rPr>
          <w:b/>
          <w:bCs/>
        </w:rPr>
        <w:t>remboursement de la part patronale des cotisations de sécurité sociale</w:t>
      </w:r>
      <w:r w:rsidRPr="003D3B57">
        <w:t> en cas d’embauche de chômeurs :</w:t>
      </w:r>
    </w:p>
    <w:p w:rsidR="003D3B57" w:rsidRPr="003D3B57" w:rsidRDefault="003D3B57" w:rsidP="007F607F">
      <w:pPr>
        <w:numPr>
          <w:ilvl w:val="0"/>
          <w:numId w:val="18"/>
        </w:numPr>
        <w:tabs>
          <w:tab w:val="num" w:pos="1276"/>
        </w:tabs>
        <w:rPr>
          <w:lang w:val="en-US"/>
        </w:rPr>
      </w:pPr>
      <w:proofErr w:type="spellStart"/>
      <w:r w:rsidRPr="003D3B57">
        <w:rPr>
          <w:lang w:val="en-US"/>
        </w:rPr>
        <w:t>âgés</w:t>
      </w:r>
      <w:proofErr w:type="spellEnd"/>
      <w:r w:rsidRPr="003D3B57">
        <w:rPr>
          <w:lang w:val="en-US"/>
        </w:rPr>
        <w:t xml:space="preserve"> de </w:t>
      </w:r>
      <w:r w:rsidRPr="003D3B57">
        <w:rPr>
          <w:b/>
          <w:bCs/>
          <w:lang w:val="en-US"/>
        </w:rPr>
        <w:t xml:space="preserve">30 </w:t>
      </w:r>
      <w:proofErr w:type="spellStart"/>
      <w:r w:rsidRPr="003D3B57">
        <w:rPr>
          <w:b/>
          <w:bCs/>
          <w:lang w:val="en-US"/>
        </w:rPr>
        <w:t>ans</w:t>
      </w:r>
      <w:proofErr w:type="spellEnd"/>
      <w:r w:rsidRPr="003D3B57">
        <w:rPr>
          <w:lang w:val="en-US"/>
        </w:rPr>
        <w:t> </w:t>
      </w:r>
      <w:proofErr w:type="spellStart"/>
      <w:r w:rsidRPr="003D3B57">
        <w:rPr>
          <w:lang w:val="en-US"/>
        </w:rPr>
        <w:t>accomplis</w:t>
      </w:r>
      <w:proofErr w:type="spellEnd"/>
      <w:r w:rsidRPr="003D3B57">
        <w:rPr>
          <w:lang w:val="en-US"/>
        </w:rPr>
        <w:t xml:space="preserve"> ;</w:t>
      </w:r>
    </w:p>
    <w:p w:rsidR="003D3B57" w:rsidRPr="003D3B57" w:rsidRDefault="003D3B57" w:rsidP="007F607F">
      <w:pPr>
        <w:numPr>
          <w:ilvl w:val="0"/>
          <w:numId w:val="18"/>
        </w:numPr>
        <w:tabs>
          <w:tab w:val="num" w:pos="1276"/>
        </w:tabs>
      </w:pPr>
      <w:proofErr w:type="gramStart"/>
      <w:r w:rsidRPr="003D3B57">
        <w:t>inscrits</w:t>
      </w:r>
      <w:proofErr w:type="gramEnd"/>
      <w:r w:rsidRPr="003D3B57">
        <w:t xml:space="preserve"> comme demandeurs d’emploi sans emploi à l’Agence pour le développement de l'emploi (ADEM) depuis au moins un mois.</w:t>
      </w:r>
    </w:p>
    <w:p w:rsidR="003D3B57" w:rsidRPr="003D3B57" w:rsidRDefault="003D3B57" w:rsidP="003D3B57">
      <w:r w:rsidRPr="003D3B57">
        <w:t>Cette aide est accessible à </w:t>
      </w:r>
      <w:r w:rsidRPr="003D3B57">
        <w:rPr>
          <w:b/>
          <w:bCs/>
        </w:rPr>
        <w:t>tout employeur du secteur privé établi légalement au Luxembourg</w:t>
      </w:r>
      <w:r w:rsidRPr="003D3B57">
        <w:t> pour l’embauche d’un chômeur âgé de </w:t>
      </w:r>
      <w:r w:rsidRPr="003D3B57">
        <w:rPr>
          <w:b/>
          <w:bCs/>
        </w:rPr>
        <w:t>45 ans</w:t>
      </w:r>
      <w:r w:rsidRPr="003D3B57">
        <w:t> </w:t>
      </w:r>
      <w:r w:rsidRPr="003D3B57">
        <w:rPr>
          <w:b/>
          <w:bCs/>
        </w:rPr>
        <w:t>au moins</w:t>
      </w:r>
      <w:r w:rsidRPr="003D3B57">
        <w:t> et </w:t>
      </w:r>
      <w:r w:rsidRPr="003D3B57">
        <w:rPr>
          <w:b/>
          <w:bCs/>
        </w:rPr>
        <w:t>inscrit comme demandeur d’emploi</w:t>
      </w:r>
      <w:r w:rsidRPr="003D3B57">
        <w:t> sans emploi auprès de l’ADEM depuis </w:t>
      </w:r>
      <w:r w:rsidRPr="003D3B57">
        <w:rPr>
          <w:b/>
          <w:bCs/>
        </w:rPr>
        <w:t>1 mois</w:t>
      </w:r>
      <w:r w:rsidRPr="003D3B57">
        <w:t> </w:t>
      </w:r>
      <w:r w:rsidRPr="003D3B57">
        <w:rPr>
          <w:b/>
          <w:bCs/>
        </w:rPr>
        <w:t>minimum</w:t>
      </w:r>
      <w:r w:rsidRPr="003D3B57">
        <w:t>.</w:t>
      </w:r>
    </w:p>
    <w:p w:rsidR="003D3B57" w:rsidRPr="003D3B57" w:rsidRDefault="003D3B57" w:rsidP="002471FF">
      <w:pPr>
        <w:pStyle w:val="Heading4"/>
      </w:pPr>
      <w:bookmarkStart w:id="33" w:name="_Toc116401333"/>
      <w:r w:rsidRPr="003D3B57">
        <w:t>Créations d’un emplo</w:t>
      </w:r>
      <w:r w:rsidR="002471FF">
        <w:t>i pour chômeur de longue durée</w:t>
      </w:r>
      <w:bookmarkEnd w:id="33"/>
    </w:p>
    <w:p w:rsidR="003D3B57" w:rsidRPr="003D3B57" w:rsidRDefault="003D3B57" w:rsidP="003D3B57">
      <w:r w:rsidRPr="003D3B57">
        <w:t>Souvent, les migrants, surtout quand ils sont plus âgés, ont de sérieux problèmes à trouver un emploi. Dans ce cas, les communes peuvent aider en créant des emplois d’insertion. D’un autre côté, les demandeurs d’emploi d’un certain âge ont généralement une grande expérience de vie et de travail. Les communes qui décident de développer autour de l’administration communale un réseau de bénévoles, prêts à soutenir la commune dans le développement et la transposition d’initiatives et d’activités sociales, socio- et interculturelles, sportives, artistiques ou autres, peuvent créer un emploi d’insertion pour une personne qui sera chargée de la coordination de ce bénévolat, de sa dynamisation et du développement des activités.</w:t>
      </w:r>
    </w:p>
    <w:p w:rsidR="003D3B57" w:rsidRPr="003D3B57" w:rsidRDefault="003D3B57" w:rsidP="003D3B57">
      <w:r w:rsidRPr="003D3B57">
        <w:t>Les emplois d’insertion peuvent être créés par :</w:t>
      </w:r>
    </w:p>
    <w:p w:rsidR="003D3B57" w:rsidRPr="003D3B57" w:rsidRDefault="003D3B57" w:rsidP="007F607F">
      <w:pPr>
        <w:numPr>
          <w:ilvl w:val="0"/>
          <w:numId w:val="19"/>
        </w:numPr>
        <w:rPr>
          <w:lang w:val="en-US"/>
        </w:rPr>
      </w:pPr>
      <w:proofErr w:type="spellStart"/>
      <w:r w:rsidRPr="003D3B57">
        <w:rPr>
          <w:lang w:val="en-US"/>
        </w:rPr>
        <w:t>l’État</w:t>
      </w:r>
      <w:proofErr w:type="spellEnd"/>
    </w:p>
    <w:p w:rsidR="003D3B57" w:rsidRPr="003D3B57" w:rsidRDefault="003D3B57" w:rsidP="007F607F">
      <w:pPr>
        <w:numPr>
          <w:ilvl w:val="0"/>
          <w:numId w:val="19"/>
        </w:numPr>
      </w:pPr>
      <w:proofErr w:type="gramStart"/>
      <w:r w:rsidRPr="003D3B57">
        <w:t>les</w:t>
      </w:r>
      <w:proofErr w:type="gramEnd"/>
      <w:r w:rsidRPr="003D3B57">
        <w:t xml:space="preserve"> communes et les syndicats communaux</w:t>
      </w:r>
    </w:p>
    <w:p w:rsidR="003D3B57" w:rsidRPr="003D3B57" w:rsidRDefault="003D3B57" w:rsidP="007F607F">
      <w:pPr>
        <w:numPr>
          <w:ilvl w:val="0"/>
          <w:numId w:val="19"/>
        </w:numPr>
        <w:rPr>
          <w:lang w:val="en-US"/>
        </w:rPr>
      </w:pPr>
      <w:r w:rsidRPr="003D3B57">
        <w:rPr>
          <w:lang w:val="en-US"/>
        </w:rPr>
        <w:t xml:space="preserve">les </w:t>
      </w:r>
      <w:proofErr w:type="spellStart"/>
      <w:r w:rsidRPr="003D3B57">
        <w:rPr>
          <w:lang w:val="en-US"/>
        </w:rPr>
        <w:t>établissements</w:t>
      </w:r>
      <w:proofErr w:type="spellEnd"/>
      <w:r w:rsidRPr="003D3B57">
        <w:rPr>
          <w:lang w:val="en-US"/>
        </w:rPr>
        <w:t xml:space="preserve"> publics</w:t>
      </w:r>
    </w:p>
    <w:p w:rsidR="003D3B57" w:rsidRPr="003D3B57" w:rsidRDefault="003D3B57" w:rsidP="007F607F">
      <w:pPr>
        <w:numPr>
          <w:ilvl w:val="0"/>
          <w:numId w:val="19"/>
        </w:numPr>
      </w:pPr>
      <w:proofErr w:type="gramStart"/>
      <w:r w:rsidRPr="003D3B57">
        <w:t>les</w:t>
      </w:r>
      <w:proofErr w:type="gramEnd"/>
      <w:r w:rsidRPr="003D3B57">
        <w:t xml:space="preserve"> sociétés d’impact sociétal dont le capital social est composé de 100% de parts d’impact</w:t>
      </w:r>
    </w:p>
    <w:p w:rsidR="003D3B57" w:rsidRPr="003D3B57" w:rsidRDefault="003D3B57" w:rsidP="007F607F">
      <w:pPr>
        <w:numPr>
          <w:ilvl w:val="0"/>
          <w:numId w:val="19"/>
        </w:numPr>
      </w:pPr>
      <w:proofErr w:type="gramStart"/>
      <w:r w:rsidRPr="003D3B57">
        <w:t>les</w:t>
      </w:r>
      <w:proofErr w:type="gramEnd"/>
      <w:r w:rsidRPr="003D3B57">
        <w:t xml:space="preserve"> associations sans but lucratif (</w:t>
      </w:r>
      <w:proofErr w:type="spellStart"/>
      <w:r w:rsidRPr="003D3B57">
        <w:t>asbl</w:t>
      </w:r>
      <w:proofErr w:type="spellEnd"/>
      <w:r w:rsidRPr="003D3B57">
        <w:t>)</w:t>
      </w:r>
    </w:p>
    <w:p w:rsidR="003D3B57" w:rsidRPr="00BD7E30" w:rsidRDefault="003D3B57" w:rsidP="007F607F">
      <w:pPr>
        <w:numPr>
          <w:ilvl w:val="0"/>
          <w:numId w:val="19"/>
        </w:numPr>
        <w:rPr>
          <w:lang w:val="en-US"/>
        </w:rPr>
      </w:pPr>
      <w:r w:rsidRPr="00BD7E30">
        <w:rPr>
          <w:lang w:val="en-US"/>
        </w:rPr>
        <w:t xml:space="preserve">les </w:t>
      </w:r>
      <w:proofErr w:type="spellStart"/>
      <w:r w:rsidRPr="00BD7E30">
        <w:rPr>
          <w:lang w:val="en-US"/>
        </w:rPr>
        <w:t>fondations</w:t>
      </w:r>
      <w:proofErr w:type="spellEnd"/>
      <w:r w:rsidRPr="00BD7E30">
        <w:rPr>
          <w:lang w:val="en-US"/>
        </w:rPr>
        <w:t> </w:t>
      </w:r>
    </w:p>
    <w:p w:rsidR="003D3B57" w:rsidRPr="003D3B57" w:rsidRDefault="003D3B57" w:rsidP="002471FF">
      <w:pPr>
        <w:pStyle w:val="Heading4"/>
        <w:rPr>
          <w:lang w:val="en-US"/>
        </w:rPr>
      </w:pPr>
      <w:bookmarkStart w:id="34" w:name="_Toc116401334"/>
      <w:r w:rsidRPr="003D3B57">
        <w:rPr>
          <w:lang w:val="en-US"/>
        </w:rPr>
        <w:t>Conditions</w:t>
      </w:r>
      <w:bookmarkEnd w:id="34"/>
    </w:p>
    <w:p w:rsidR="003D3B57" w:rsidRPr="003D3B57" w:rsidRDefault="003D3B57" w:rsidP="007F607F">
      <w:pPr>
        <w:numPr>
          <w:ilvl w:val="0"/>
          <w:numId w:val="16"/>
        </w:numPr>
      </w:pPr>
      <w:r w:rsidRPr="003D3B57">
        <w:t>Les demandeurs d’emploi éligibles pour les emplois d’insertion doivent être âgés de 30 ans au moins, être inscrits à l’ADEM et être sans emploi depuis au moins 12 mois.</w:t>
      </w:r>
    </w:p>
    <w:p w:rsidR="003D3B57" w:rsidRPr="003D3B57" w:rsidRDefault="003D3B57" w:rsidP="007F607F">
      <w:pPr>
        <w:numPr>
          <w:ilvl w:val="0"/>
          <w:numId w:val="16"/>
        </w:numPr>
      </w:pPr>
      <w:r w:rsidRPr="003D3B57">
        <w:t>Le contrat de travail à durée indéterminée (CDI) doit être conclu pour un poste nouveau et non pas pour un poste existant devenu vacant et pour lequel une possibilité de remplacement par la voie normale de recrutement existe.</w:t>
      </w:r>
    </w:p>
    <w:p w:rsidR="003D3B57" w:rsidRPr="003D3B57" w:rsidRDefault="003D3B57" w:rsidP="007F607F">
      <w:pPr>
        <w:numPr>
          <w:ilvl w:val="0"/>
          <w:numId w:val="16"/>
        </w:numPr>
      </w:pPr>
      <w:r w:rsidRPr="003D3B57">
        <w:t>L’employeur doit demander l’avis de la délégation du personnel sur la création d’un nouvel emploi d’insertion. </w:t>
      </w:r>
    </w:p>
    <w:p w:rsidR="003D3B57" w:rsidRPr="003D3B57" w:rsidRDefault="003D3B57" w:rsidP="002471FF">
      <w:pPr>
        <w:pStyle w:val="Heading4"/>
      </w:pPr>
      <w:bookmarkStart w:id="35" w:name="_Toc116401335"/>
      <w:r w:rsidRPr="003D3B57">
        <w:t>Montants de l’aide étatique</w:t>
      </w:r>
      <w:bookmarkEnd w:id="35"/>
    </w:p>
    <w:p w:rsidR="003D3B57" w:rsidRPr="003D3B57" w:rsidRDefault="003D3B57" w:rsidP="003D3B57">
      <w:r w:rsidRPr="003D3B57">
        <w:lastRenderedPageBreak/>
        <w:t xml:space="preserve">L’aide est accordée par le ministre sur avis de l’Agence pour le développement de l’emploi (ADEM) et est modulée en fonction de l’âge de la personne embauchée. Pour déterminer le montant du remboursement, les frais salariaux exposés pris en considération sont </w:t>
      </w:r>
      <w:r w:rsidRPr="003D3B57">
        <w:rPr>
          <w:b/>
          <w:bCs/>
        </w:rPr>
        <w:t>plafonnés à 150% du salaire social minimum pour salariés non-qualifiés</w:t>
      </w:r>
      <w:r w:rsidRPr="003D3B57">
        <w:t>.</w:t>
      </w:r>
    </w:p>
    <w:p w:rsidR="003D3B57" w:rsidRPr="003D3B57" w:rsidRDefault="003D3B57" w:rsidP="003D3B57">
      <w:r w:rsidRPr="003D3B57">
        <w:t xml:space="preserve">L’aide à l’embauche des </w:t>
      </w:r>
      <w:r w:rsidRPr="003D3B57">
        <w:rPr>
          <w:b/>
          <w:bCs/>
        </w:rPr>
        <w:t>chômeurs de longue durée âgés de 30 à 49 ans</w:t>
      </w:r>
      <w:r w:rsidRPr="003D3B57">
        <w:t xml:space="preserve"> est accordée à l’employeur pendant les trois premières années consécutives à l’embauche, suite à la conclusion d’un contrat de travail à durée indéterminée (CDI).</w:t>
      </w:r>
    </w:p>
    <w:p w:rsidR="003D3B57" w:rsidRPr="003D3B57" w:rsidRDefault="003D3B57" w:rsidP="003D3B57">
      <w:r w:rsidRPr="003D3B57">
        <w:t>Le Fonds pour l’emploi rembourse à l’employeur les frais salariaux réellement exposés :</w:t>
      </w:r>
    </w:p>
    <w:p w:rsidR="003D3B57" w:rsidRPr="003D3B57" w:rsidRDefault="003D3B57" w:rsidP="007F607F">
      <w:pPr>
        <w:numPr>
          <w:ilvl w:val="0"/>
          <w:numId w:val="20"/>
        </w:numPr>
      </w:pPr>
      <w:r w:rsidRPr="003D3B57">
        <w:t>100% des frais salariaux plafonnés pour la première année</w:t>
      </w:r>
    </w:p>
    <w:p w:rsidR="003D3B57" w:rsidRPr="003D3B57" w:rsidRDefault="003D3B57" w:rsidP="007F607F">
      <w:pPr>
        <w:numPr>
          <w:ilvl w:val="0"/>
          <w:numId w:val="20"/>
        </w:numPr>
      </w:pPr>
      <w:r w:rsidRPr="003D3B57">
        <w:t>80% des frais salariaux plafonnés pour la deuxième année</w:t>
      </w:r>
    </w:p>
    <w:p w:rsidR="003D3B57" w:rsidRPr="003D3B57" w:rsidRDefault="003D3B57" w:rsidP="007F607F">
      <w:pPr>
        <w:numPr>
          <w:ilvl w:val="0"/>
          <w:numId w:val="20"/>
        </w:numPr>
      </w:pPr>
      <w:r w:rsidRPr="003D3B57">
        <w:t>60% des frais salariaux plafonnés pour la troisième année.</w:t>
      </w:r>
    </w:p>
    <w:p w:rsidR="003D3B57" w:rsidRPr="003D3B57" w:rsidRDefault="003D3B57" w:rsidP="002471FF">
      <w:pPr>
        <w:pStyle w:val="Heading4"/>
      </w:pPr>
      <w:bookmarkStart w:id="36" w:name="_Toc116401336"/>
      <w:r w:rsidRPr="003D3B57">
        <w:t>Pour les chômeurs âgés de 50 ans accomplis, le Fonds pour l’emploi rembourse 100% des frais salariaux plafonnés jusqu’au jour de l’attribution au salarié d’une pension de vieillesse.</w:t>
      </w:r>
      <w:bookmarkEnd w:id="36"/>
    </w:p>
    <w:p w:rsidR="003D3B57" w:rsidRPr="003D3B57" w:rsidRDefault="003D3B57" w:rsidP="003D3B57">
      <w:r w:rsidRPr="003D3B57">
        <w:t>En cas de résiliation du contrat de travail à durée indéterminée à l’initiative de l’employeur avant la fin de la sixième année du contrat, pour des raisons non inhérentes à la personne, l’employeur est tenu de restituer au Fonds pour l’emploi 75% des remboursements perçus.</w:t>
      </w:r>
    </w:p>
    <w:p w:rsidR="003D3B57" w:rsidRPr="003D3B57" w:rsidRDefault="003D3B57" w:rsidP="003D3B57">
      <w:r w:rsidRPr="003D3B57">
        <w:t>Si une des parties met unilatéralement fin au contrat de travail pendant la période d’essai, aucune obligation de remboursement ne peut être opposée à l’employeur.</w:t>
      </w:r>
    </w:p>
    <w:p w:rsidR="005809D0" w:rsidRPr="005809D0" w:rsidRDefault="005809D0" w:rsidP="002471FF">
      <w:pPr>
        <w:pStyle w:val="Heading3"/>
      </w:pPr>
      <w:bookmarkStart w:id="37" w:name="_Toc116401337"/>
      <w:r>
        <w:t>Mesures en faveur de l’e</w:t>
      </w:r>
      <w:r w:rsidRPr="005809D0">
        <w:t xml:space="preserve">mploi des personnes </w:t>
      </w:r>
      <w:r>
        <w:t>handicapées</w:t>
      </w:r>
      <w:bookmarkEnd w:id="37"/>
    </w:p>
    <w:p w:rsidR="005809D0" w:rsidRPr="005809D0" w:rsidRDefault="005809D0" w:rsidP="005809D0">
      <w:pPr>
        <w:rPr>
          <w:rFonts w:cstheme="minorHAnsi"/>
        </w:rPr>
      </w:pPr>
      <w:r w:rsidRPr="005809D0">
        <w:rPr>
          <w:rFonts w:cstheme="minorHAnsi"/>
        </w:rPr>
        <w:t xml:space="preserve">L’État a mis en place plusieurs mesures pour encourager les entreprises à respecter les quotas : </w:t>
      </w:r>
    </w:p>
    <w:p w:rsidR="005809D0" w:rsidRPr="005809D0" w:rsidRDefault="005809D0" w:rsidP="007F607F">
      <w:pPr>
        <w:pStyle w:val="ListParagraph"/>
        <w:numPr>
          <w:ilvl w:val="0"/>
          <w:numId w:val="21"/>
        </w:numPr>
        <w:spacing w:before="0" w:after="120" w:line="312" w:lineRule="auto"/>
        <w:rPr>
          <w:rFonts w:cstheme="minorHAnsi"/>
        </w:rPr>
      </w:pPr>
      <w:proofErr w:type="gramStart"/>
      <w:r w:rsidRPr="005809D0">
        <w:rPr>
          <w:rFonts w:cstheme="minorHAnsi"/>
        </w:rPr>
        <w:t>participation</w:t>
      </w:r>
      <w:proofErr w:type="gramEnd"/>
      <w:r w:rsidRPr="005809D0">
        <w:rPr>
          <w:rFonts w:cstheme="minorHAnsi"/>
        </w:rPr>
        <w:t xml:space="preserve"> de l’État aux salaires, </w:t>
      </w:r>
    </w:p>
    <w:p w:rsidR="005809D0" w:rsidRPr="005809D0" w:rsidRDefault="005809D0" w:rsidP="007F607F">
      <w:pPr>
        <w:pStyle w:val="ListParagraph"/>
        <w:numPr>
          <w:ilvl w:val="0"/>
          <w:numId w:val="21"/>
        </w:numPr>
        <w:spacing w:before="0" w:after="120" w:line="312" w:lineRule="auto"/>
        <w:rPr>
          <w:rFonts w:cstheme="minorHAnsi"/>
        </w:rPr>
      </w:pPr>
      <w:proofErr w:type="gramStart"/>
      <w:r w:rsidRPr="005809D0">
        <w:rPr>
          <w:rFonts w:cstheme="minorHAnsi"/>
        </w:rPr>
        <w:t>participation</w:t>
      </w:r>
      <w:proofErr w:type="gramEnd"/>
      <w:r w:rsidRPr="005809D0">
        <w:rPr>
          <w:rFonts w:cstheme="minorHAnsi"/>
        </w:rPr>
        <w:t xml:space="preserve"> à l’aménagement du poste de travail, </w:t>
      </w:r>
    </w:p>
    <w:p w:rsidR="005809D0" w:rsidRPr="005809D0" w:rsidRDefault="005809D0" w:rsidP="007F607F">
      <w:pPr>
        <w:pStyle w:val="ListParagraph"/>
        <w:numPr>
          <w:ilvl w:val="0"/>
          <w:numId w:val="21"/>
        </w:numPr>
        <w:spacing w:before="0" w:after="120" w:line="312" w:lineRule="auto"/>
        <w:rPr>
          <w:rFonts w:cstheme="minorHAnsi"/>
        </w:rPr>
      </w:pPr>
      <w:proofErr w:type="gramStart"/>
      <w:r w:rsidRPr="005809D0">
        <w:rPr>
          <w:rFonts w:cstheme="minorHAnsi"/>
        </w:rPr>
        <w:t>prise</w:t>
      </w:r>
      <w:proofErr w:type="gramEnd"/>
      <w:r w:rsidRPr="005809D0">
        <w:rPr>
          <w:rFonts w:cstheme="minorHAnsi"/>
        </w:rPr>
        <w:t xml:space="preserve"> en charge des frais de formation, </w:t>
      </w:r>
    </w:p>
    <w:p w:rsidR="005809D0" w:rsidRPr="005809D0" w:rsidRDefault="005809D0" w:rsidP="007F607F">
      <w:pPr>
        <w:pStyle w:val="ListParagraph"/>
        <w:numPr>
          <w:ilvl w:val="0"/>
          <w:numId w:val="21"/>
        </w:numPr>
        <w:spacing w:before="0" w:after="120" w:line="312" w:lineRule="auto"/>
        <w:rPr>
          <w:rFonts w:cstheme="minorHAnsi"/>
        </w:rPr>
      </w:pPr>
      <w:proofErr w:type="gramStart"/>
      <w:r w:rsidRPr="005809D0">
        <w:rPr>
          <w:rFonts w:cstheme="minorHAnsi"/>
        </w:rPr>
        <w:t>sensibilisation</w:t>
      </w:r>
      <w:proofErr w:type="gramEnd"/>
      <w:r w:rsidRPr="005809D0">
        <w:rPr>
          <w:rFonts w:cstheme="minorHAnsi"/>
        </w:rPr>
        <w:t xml:space="preserve"> des entreprises, </w:t>
      </w:r>
    </w:p>
    <w:p w:rsidR="005809D0" w:rsidRPr="005809D0" w:rsidRDefault="005809D0" w:rsidP="007F607F">
      <w:pPr>
        <w:pStyle w:val="ListParagraph"/>
        <w:numPr>
          <w:ilvl w:val="0"/>
          <w:numId w:val="21"/>
        </w:numPr>
        <w:spacing w:before="0" w:after="120" w:line="312" w:lineRule="auto"/>
        <w:rPr>
          <w:rFonts w:cstheme="minorHAnsi"/>
        </w:rPr>
      </w:pPr>
      <w:proofErr w:type="gramStart"/>
      <w:r w:rsidRPr="005809D0">
        <w:rPr>
          <w:rFonts w:cstheme="minorHAnsi"/>
        </w:rPr>
        <w:t>possibilité</w:t>
      </w:r>
      <w:proofErr w:type="gramEnd"/>
      <w:r w:rsidRPr="005809D0">
        <w:rPr>
          <w:rFonts w:cstheme="minorHAnsi"/>
        </w:rPr>
        <w:t xml:space="preserve"> d’obtenir des aides financières prévues dans le cadre du Fonds social européen.</w:t>
      </w:r>
    </w:p>
    <w:p w:rsidR="005809D0" w:rsidRPr="005809D0" w:rsidRDefault="005809D0" w:rsidP="005809D0">
      <w:pPr>
        <w:rPr>
          <w:rFonts w:cstheme="minorHAnsi"/>
        </w:rPr>
      </w:pPr>
      <w:r w:rsidRPr="005809D0">
        <w:rPr>
          <w:rFonts w:cstheme="minorHAnsi"/>
        </w:rPr>
        <w:t>Depuis 2015, l’organisme IMS Luxembourg (</w:t>
      </w:r>
      <w:proofErr w:type="spellStart"/>
      <w:r w:rsidRPr="005809D0">
        <w:rPr>
          <w:rFonts w:cstheme="minorHAnsi"/>
        </w:rPr>
        <w:t>Inspiring</w:t>
      </w:r>
      <w:proofErr w:type="spellEnd"/>
      <w:r w:rsidRPr="005809D0">
        <w:rPr>
          <w:rFonts w:cstheme="minorHAnsi"/>
        </w:rPr>
        <w:t xml:space="preserve"> More </w:t>
      </w:r>
      <w:proofErr w:type="spellStart"/>
      <w:r w:rsidRPr="005809D0">
        <w:rPr>
          <w:rFonts w:cstheme="minorHAnsi"/>
        </w:rPr>
        <w:t>Sustainability</w:t>
      </w:r>
      <w:proofErr w:type="spellEnd"/>
      <w:r w:rsidRPr="005809D0">
        <w:rPr>
          <w:rFonts w:cstheme="minorHAnsi"/>
        </w:rPr>
        <w:t xml:space="preserve">) sensibilise, prioritairement ses entreprises membres et les signataires de la Charte de la Diversité </w:t>
      </w:r>
      <w:proofErr w:type="spellStart"/>
      <w:r w:rsidRPr="005809D0">
        <w:rPr>
          <w:rFonts w:cstheme="minorHAnsi"/>
        </w:rPr>
        <w:t>Lëtzebuerg</w:t>
      </w:r>
      <w:proofErr w:type="spellEnd"/>
      <w:r w:rsidRPr="005809D0">
        <w:rPr>
          <w:rFonts w:cstheme="minorHAnsi"/>
        </w:rPr>
        <w:t>, et, plus largement, tous les employeurs à la thématique du handicap en entreprise. Il a pour mission, entre autres, de gérer les projets en lien avec la Charte de la Diversité, tel que (</w:t>
      </w:r>
      <w:proofErr w:type="spellStart"/>
      <w:r w:rsidRPr="005809D0">
        <w:rPr>
          <w:rFonts w:cstheme="minorHAnsi"/>
        </w:rPr>
        <w:t>Handi</w:t>
      </w:r>
      <w:proofErr w:type="spellEnd"/>
      <w:r w:rsidRPr="005809D0">
        <w:rPr>
          <w:rFonts w:cstheme="minorHAnsi"/>
        </w:rPr>
        <w:t>)Cap’ Emploi et (</w:t>
      </w:r>
      <w:proofErr w:type="spellStart"/>
      <w:r w:rsidRPr="005809D0">
        <w:rPr>
          <w:rFonts w:cstheme="minorHAnsi"/>
        </w:rPr>
        <w:t>Handi</w:t>
      </w:r>
      <w:proofErr w:type="spellEnd"/>
      <w:r w:rsidRPr="005809D0">
        <w:rPr>
          <w:rFonts w:cstheme="minorHAnsi"/>
        </w:rPr>
        <w:t>)</w:t>
      </w:r>
      <w:proofErr w:type="spellStart"/>
      <w:r w:rsidRPr="005809D0">
        <w:rPr>
          <w:rFonts w:cstheme="minorHAnsi"/>
        </w:rPr>
        <w:t>Diag</w:t>
      </w:r>
      <w:proofErr w:type="spellEnd"/>
      <w:r w:rsidRPr="005809D0">
        <w:rPr>
          <w:rFonts w:cstheme="minorHAnsi"/>
        </w:rPr>
        <w:t xml:space="preserve">, lesquels reposent sur les deux Plans d’action nationaux de mise en œuvre de la Convention relative aux droits des personnes handicapées de 2012-2017 et 2019-2024. </w:t>
      </w:r>
    </w:p>
    <w:p w:rsidR="005809D0" w:rsidRPr="005809D0" w:rsidRDefault="005809D0" w:rsidP="005809D0">
      <w:pPr>
        <w:rPr>
          <w:rFonts w:cstheme="minorHAnsi"/>
          <w:b/>
        </w:rPr>
      </w:pPr>
      <w:r w:rsidRPr="005809D0">
        <w:rPr>
          <w:rFonts w:cstheme="minorHAnsi"/>
          <w:b/>
        </w:rPr>
        <w:t>Par ailleurs, la mise en œuvre de la loi votée en 2019 relative à l’assistant à l’inclusion, constitue un autre outil important dans la promotion de l’embauche des salariés handicapés au marché du travail ordinaire. En même temps, cette nouvelle loi permet de faciliter les passerelles entre le marché protégé et le marché ordinaire.</w:t>
      </w:r>
    </w:p>
    <w:p w:rsidR="005809D0" w:rsidRPr="005809D0" w:rsidRDefault="005809D0" w:rsidP="005809D0">
      <w:pPr>
        <w:rPr>
          <w:rFonts w:cstheme="minorHAnsi"/>
        </w:rPr>
      </w:pPr>
      <w:r w:rsidRPr="005809D0">
        <w:rPr>
          <w:rFonts w:cstheme="minorHAnsi"/>
        </w:rPr>
        <w:lastRenderedPageBreak/>
        <w:t xml:space="preserve">Tous ces projets liés à l’inclusion des personnes en situation de handicap et à la mise à disposition de l’outillage nécessaire pour accompagner les entreprises dans ce processus se font en collaboration entre le Ministère du Travail, de l’Emploi et de l’Économie Sociale et Solidaire et le Ministère de la Famille, de l’Intégration et de la Grande Région dans le cadre du Fonds social européen (FSE). </w:t>
      </w:r>
    </w:p>
    <w:p w:rsidR="005809D0" w:rsidRPr="005809D0" w:rsidRDefault="005809D0" w:rsidP="005809D0">
      <w:pPr>
        <w:rPr>
          <w:rFonts w:cstheme="minorHAnsi"/>
          <w:b/>
        </w:rPr>
      </w:pPr>
      <w:r w:rsidRPr="005809D0">
        <w:rPr>
          <w:rFonts w:cstheme="minorHAnsi"/>
          <w:b/>
        </w:rPr>
        <w:t xml:space="preserve">Enfin, en vue d’une adaptation éventuelle des modalités liées à l’application des quotas (organisme de suivi etc.), il est prévu d’évaluer le dispositif relatif à l’embauche des salariés handicapés dans le cadre du plan d’action 2019-2024. </w:t>
      </w:r>
    </w:p>
    <w:p w:rsidR="005809D0" w:rsidRPr="005809D0" w:rsidRDefault="005809D0" w:rsidP="005809D0">
      <w:pPr>
        <w:rPr>
          <w:rFonts w:cstheme="minorHAnsi"/>
          <w:b/>
        </w:rPr>
      </w:pPr>
      <w:r w:rsidRPr="005809D0">
        <w:rPr>
          <w:rFonts w:cstheme="minorHAnsi"/>
          <w:b/>
        </w:rPr>
        <w:t xml:space="preserve">Le suivi de l’apport des aménagements raisonnables pour postes de travail est mis en œuvre par l’Agence pour le développement de l’emploi. </w:t>
      </w:r>
    </w:p>
    <w:p w:rsidR="005809D0" w:rsidRDefault="005809D0" w:rsidP="005809D0">
      <w:pPr>
        <w:rPr>
          <w:rFonts w:cstheme="minorHAnsi"/>
        </w:rPr>
      </w:pPr>
      <w:r w:rsidRPr="005809D0">
        <w:rPr>
          <w:rFonts w:cstheme="minorHAnsi"/>
          <w:b/>
        </w:rPr>
        <w:t>L’ensemble de ces</w:t>
      </w:r>
      <w:r w:rsidRPr="005809D0">
        <w:rPr>
          <w:rFonts w:cstheme="minorHAnsi"/>
        </w:rPr>
        <w:t xml:space="preserve"> aides constituent un levier auprès des entreprises qui souhaitent embaucher des personnes en situation de handicap.</w:t>
      </w:r>
      <w:r>
        <w:rPr>
          <w:rFonts w:cstheme="minorHAnsi"/>
        </w:rPr>
        <w:t xml:space="preserve"> </w:t>
      </w:r>
    </w:p>
    <w:p w:rsidR="006C383F" w:rsidRPr="0007351E" w:rsidRDefault="006C383F" w:rsidP="004136D4">
      <w:pPr>
        <w:rPr>
          <w:rFonts w:cstheme="minorHAnsi"/>
        </w:rPr>
      </w:pPr>
    </w:p>
    <w:p w:rsidR="004136D4" w:rsidRPr="000510EE" w:rsidRDefault="000510EE" w:rsidP="002471FF">
      <w:pPr>
        <w:pStyle w:val="Heading1"/>
      </w:pPr>
      <w:bookmarkStart w:id="38" w:name="_Toc116401338"/>
      <w:r w:rsidRPr="000510EE">
        <w:t>CLUSTER</w:t>
      </w:r>
      <w:r w:rsidR="004136D4" w:rsidRPr="000510EE">
        <w:t xml:space="preserve"> 3</w:t>
      </w:r>
      <w:bookmarkEnd w:id="38"/>
    </w:p>
    <w:p w:rsidR="00DB25F6" w:rsidRPr="0007351E" w:rsidRDefault="00DB25F6" w:rsidP="002471FF">
      <w:pPr>
        <w:pStyle w:val="Heading2"/>
      </w:pPr>
      <w:bookmarkStart w:id="39" w:name="_Toc116401339"/>
      <w:r w:rsidRPr="0007351E">
        <w:t>Droits syndicaux (article 8)</w:t>
      </w:r>
      <w:bookmarkEnd w:id="39"/>
    </w:p>
    <w:p w:rsidR="003D3B57" w:rsidRPr="003D3B57" w:rsidRDefault="003D3B57" w:rsidP="002471FF">
      <w:pPr>
        <w:pStyle w:val="Heading3"/>
      </w:pPr>
      <w:bookmarkStart w:id="40" w:name="_Toc116401340"/>
      <w:r w:rsidRPr="003D3B57">
        <w:t>Constitution et dissolution des syndicats</w:t>
      </w:r>
      <w:bookmarkEnd w:id="40"/>
    </w:p>
    <w:p w:rsidR="003D3B57" w:rsidRPr="003D3B57" w:rsidRDefault="003D3B57" w:rsidP="003D3B57">
      <w:pPr>
        <w:rPr>
          <w:lang w:val="fr-CH"/>
        </w:rPr>
      </w:pPr>
      <w:r w:rsidRPr="003D3B57">
        <w:t>I</w:t>
      </w:r>
      <w:r w:rsidRPr="003D3B57">
        <w:rPr>
          <w:lang w:val="fr-CH"/>
        </w:rPr>
        <w:t xml:space="preserve">l existe des organisations syndicales </w:t>
      </w:r>
      <w:r w:rsidRPr="003D3B57">
        <w:rPr>
          <w:b/>
          <w:lang w:val="fr-CH"/>
        </w:rPr>
        <w:t>sous formes d’Asbl</w:t>
      </w:r>
      <w:r w:rsidRPr="003D3B57">
        <w:rPr>
          <w:lang w:val="fr-CH"/>
        </w:rPr>
        <w:t xml:space="preserve"> et </w:t>
      </w:r>
      <w:r w:rsidRPr="003D3B57">
        <w:rPr>
          <w:b/>
          <w:lang w:val="fr-CH"/>
        </w:rPr>
        <w:t>sous forme d’association de fait</w:t>
      </w:r>
      <w:r w:rsidRPr="003D3B57">
        <w:rPr>
          <w:lang w:val="fr-CH"/>
        </w:rPr>
        <w:t>. (</w:t>
      </w:r>
      <w:proofErr w:type="spellStart"/>
      <w:proofErr w:type="gramStart"/>
      <w:r w:rsidRPr="003D3B57">
        <w:rPr>
          <w:lang w:val="fr-CH"/>
        </w:rPr>
        <w:t>cf</w:t>
      </w:r>
      <w:proofErr w:type="spellEnd"/>
      <w:proofErr w:type="gramEnd"/>
      <w:r w:rsidRPr="003D3B57">
        <w:rPr>
          <w:lang w:val="fr-CH"/>
        </w:rPr>
        <w:t xml:space="preserve"> aussi définition du Code du travail : </w:t>
      </w:r>
      <w:r w:rsidRPr="003D3B57">
        <w:t>« </w:t>
      </w:r>
      <w:r w:rsidRPr="003D3B57">
        <w:rPr>
          <w:b/>
        </w:rPr>
        <w:t>Article L. 161-3.</w:t>
      </w:r>
      <w:r w:rsidRPr="003D3B57">
        <w:t xml:space="preserve"> (1) Constituent un syndicat de salariés au sens du présent titre, les groupements professionnels des salariés dotés d’une organisation structurée interne et ayant pour objet la défense des intérêts professionnels et la représentation collective de leurs membres ainsi que l’amélioration de leurs conditions de vie et de travail. »)</w:t>
      </w:r>
    </w:p>
    <w:p w:rsidR="003D3B57" w:rsidRPr="003D3B57" w:rsidRDefault="003D3B57" w:rsidP="003D3B57">
      <w:pPr>
        <w:rPr>
          <w:lang w:val="fr-CH"/>
        </w:rPr>
      </w:pPr>
      <w:r w:rsidRPr="003D3B57">
        <w:rPr>
          <w:b/>
          <w:lang w:val="fr-CH"/>
        </w:rPr>
        <w:t>Pour les syndicats qui sont constitués en association de fait</w:t>
      </w:r>
      <w:r w:rsidRPr="003D3B57">
        <w:rPr>
          <w:lang w:val="fr-CH"/>
        </w:rPr>
        <w:t>, ils n’ont besoin d’aucune autorisation pour se constituer et en cas de dissolution seuls les membres sont compétents pour la prononcer.</w:t>
      </w:r>
    </w:p>
    <w:p w:rsidR="003D3B57" w:rsidRPr="003D3B57" w:rsidRDefault="003D3B57" w:rsidP="003D3B57">
      <w:pPr>
        <w:rPr>
          <w:lang w:val="fr-CH"/>
        </w:rPr>
      </w:pPr>
      <w:r w:rsidRPr="003D3B57">
        <w:rPr>
          <w:b/>
          <w:lang w:val="fr-CH"/>
        </w:rPr>
        <w:t>Pour les syndicats constitués en Asbl</w:t>
      </w:r>
      <w:r w:rsidRPr="003D3B57">
        <w:rPr>
          <w:lang w:val="fr-CH"/>
        </w:rPr>
        <w:t xml:space="preserve">, c’est la loi sur les </w:t>
      </w:r>
      <w:proofErr w:type="spellStart"/>
      <w:r w:rsidRPr="003D3B57">
        <w:rPr>
          <w:lang w:val="fr-CH"/>
        </w:rPr>
        <w:t>asbl</w:t>
      </w:r>
      <w:proofErr w:type="spellEnd"/>
      <w:r w:rsidRPr="003D3B57">
        <w:rPr>
          <w:lang w:val="fr-CH"/>
        </w:rPr>
        <w:t xml:space="preserve"> (</w:t>
      </w:r>
      <w:r w:rsidRPr="003D3B57">
        <w:t>loi modifiée du 21 avril 1928 su0r les associations et les fondations sans but lucratif)</w:t>
      </w:r>
      <w:r w:rsidRPr="003D3B57">
        <w:rPr>
          <w:lang w:val="fr-CH"/>
        </w:rPr>
        <w:t xml:space="preserve"> qu’il faut prendre en compte pour leur constitution (inscription à un registre officiel, notamment et publication annuelle des comptes) et en cas de dissolution une dissolution judiciaire est toujours possible selon les conditions légales posées notamment par la loi modifiée de 1924 précitée. </w:t>
      </w:r>
    </w:p>
    <w:p w:rsidR="003D3B57" w:rsidRPr="003D3B57" w:rsidRDefault="003D3B57" w:rsidP="003D3B57">
      <w:r w:rsidRPr="003D3B57">
        <w:rPr>
          <w:lang w:val="fr-CH"/>
        </w:rPr>
        <w:t xml:space="preserve">Dans ce contexte il y a lieu de souligner qu’une modification de ce texte est en cours. Le projet de loi 6054 en question prévoit notamment l’introduction d’une </w:t>
      </w:r>
      <w:r w:rsidRPr="003D3B57">
        <w:rPr>
          <w:b/>
          <w:bCs/>
        </w:rPr>
        <w:t>procédure de dissolution</w:t>
      </w:r>
      <w:r w:rsidRPr="003D3B57">
        <w:t xml:space="preserve"> administrative sans liquidation avec deux critères objectifs cumulatifs qui enclenchent cette procédure: l'absence de mise à jour des données dans un délai de six mois et l'absence de tout dépôt dans le dossier auprès du RCS depuis au moins cinq ans. En l'absence de réponses dans les délais, la procédure de dissolution administrative sans liquidation est déclenchée.</w:t>
      </w:r>
    </w:p>
    <w:p w:rsidR="003D3B57" w:rsidRDefault="003D3B57" w:rsidP="003D3B57"/>
    <w:p w:rsidR="0043603E" w:rsidRDefault="0043603E" w:rsidP="003D3B57"/>
    <w:p w:rsidR="0043603E" w:rsidRPr="0007351E" w:rsidRDefault="0043603E" w:rsidP="003D3B57"/>
    <w:p w:rsidR="000732EF" w:rsidRPr="002471FF" w:rsidRDefault="006C383F" w:rsidP="002471FF">
      <w:pPr>
        <w:pStyle w:val="Heading2"/>
      </w:pPr>
      <w:bookmarkStart w:id="41" w:name="_Toc116401341"/>
      <w:r w:rsidRPr="0007351E">
        <w:lastRenderedPageBreak/>
        <w:t>Protection de la famille et de l’enfant (article 10)</w:t>
      </w:r>
      <w:bookmarkEnd w:id="41"/>
    </w:p>
    <w:p w:rsidR="0069538E" w:rsidRPr="0069538E" w:rsidRDefault="0069538E" w:rsidP="002471FF">
      <w:pPr>
        <w:pStyle w:val="Heading3"/>
      </w:pPr>
      <w:bookmarkStart w:id="42" w:name="_Toc116401342"/>
      <w:r w:rsidRPr="0069538E">
        <w:t>Mesures dans le cadre de la traite des êtres humains</w:t>
      </w:r>
      <w:bookmarkEnd w:id="42"/>
      <w:r w:rsidRPr="0069538E">
        <w:t xml:space="preserve"> </w:t>
      </w:r>
    </w:p>
    <w:p w:rsidR="0069538E" w:rsidRPr="0069538E" w:rsidRDefault="0069538E" w:rsidP="0069538E">
      <w:r w:rsidRPr="0069538E">
        <w:t>N’étant pas à l’abri du phénomène de la traite des êtres humains, le Luxembourg s’est doté assez tôt d’un arsenal de lois et mesures afin de prévenir et combattre ce fléau des temps modernes. L’approche est pluridisciplinaire telle que recommandée par les organisations internationales et régionales (UNO, EU, OSCE, CONSEIL DE L'EUROPE, BENELUX).</w:t>
      </w:r>
    </w:p>
    <w:p w:rsidR="0069538E" w:rsidRPr="000732EF" w:rsidRDefault="0069538E" w:rsidP="002471FF">
      <w:pPr>
        <w:pStyle w:val="Heading4"/>
      </w:pPr>
      <w:bookmarkStart w:id="43" w:name="_Toc116401343"/>
      <w:r w:rsidRPr="0069538E">
        <w:t>Législation en matière de traite des êtres humains</w:t>
      </w:r>
      <w:bookmarkEnd w:id="43"/>
    </w:p>
    <w:p w:rsidR="0069538E" w:rsidRPr="0069538E" w:rsidRDefault="0069538E" w:rsidP="0069538E">
      <w:pPr>
        <w:rPr>
          <w:color w:val="333333"/>
        </w:rPr>
      </w:pPr>
      <w:r w:rsidRPr="0069538E">
        <w:t>En plus de la ratification des multiples conventions internationales en matière de traite des êtres humains et du cadre légal contraignant par lequel le Luxembourg est lié en tant qu’État membre, le Luxembourg a introduit une incrimination spécifique (article 382-1</w:t>
      </w:r>
      <w:r w:rsidRPr="0069538E">
        <w:rPr>
          <w:color w:val="333333"/>
        </w:rPr>
        <w:t xml:space="preserve"> du Code pénal</w:t>
      </w:r>
      <w:r w:rsidRPr="0069538E">
        <w:t xml:space="preserve">). Cette disposition distingue entre </w:t>
      </w:r>
      <w:r w:rsidRPr="0069538E">
        <w:rPr>
          <w:color w:val="333333"/>
        </w:rPr>
        <w:t xml:space="preserve">la traite des êtres humains du trafic illicite de migrants, qui est fondé sur le transport des victimes concernées, alors que la traite est basée sur l'exploitation de la victime. </w:t>
      </w:r>
    </w:p>
    <w:p w:rsidR="0069538E" w:rsidRPr="0069538E" w:rsidRDefault="0069538E" w:rsidP="0069538E">
      <w:pPr>
        <w:rPr>
          <w:color w:val="333333"/>
        </w:rPr>
      </w:pPr>
      <w:r w:rsidRPr="0069538E">
        <w:rPr>
          <w:color w:val="333333"/>
        </w:rPr>
        <w:t xml:space="preserve">Le champ d'application de l'infraction de la traite des êtres humains est très vaste et couvre également </w:t>
      </w:r>
      <w:r w:rsidRPr="0069538E">
        <w:rPr>
          <w:b/>
          <w:color w:val="333333"/>
        </w:rPr>
        <w:t>l’esclavage et la vente d’enfants.</w:t>
      </w:r>
      <w:r w:rsidRPr="0069538E">
        <w:rPr>
          <w:color w:val="333333"/>
        </w:rPr>
        <w:t xml:space="preserve">  Les formes les plus communes de la traite des êtres humains sont:</w:t>
      </w:r>
    </w:p>
    <w:p w:rsidR="0069538E" w:rsidRPr="0069538E" w:rsidRDefault="0069538E" w:rsidP="007F607F">
      <w:pPr>
        <w:pStyle w:val="ListParagraph"/>
        <w:numPr>
          <w:ilvl w:val="0"/>
          <w:numId w:val="23"/>
        </w:numPr>
        <w:ind w:left="1077" w:hanging="357"/>
        <w:contextualSpacing w:val="0"/>
      </w:pPr>
      <w:r w:rsidRPr="0069538E">
        <w:t>La traite à des fins d'exploitation sexuelle</w:t>
      </w:r>
    </w:p>
    <w:p w:rsidR="0069538E" w:rsidRPr="0069538E" w:rsidRDefault="0069538E" w:rsidP="007F607F">
      <w:pPr>
        <w:pStyle w:val="ListParagraph"/>
        <w:numPr>
          <w:ilvl w:val="0"/>
          <w:numId w:val="23"/>
        </w:numPr>
        <w:ind w:left="1077" w:hanging="357"/>
        <w:contextualSpacing w:val="0"/>
      </w:pPr>
      <w:r w:rsidRPr="0069538E">
        <w:t>La traite à des fins d'exploitation de la mendicité et de l'obligation de commettre des délits</w:t>
      </w:r>
    </w:p>
    <w:p w:rsidR="0069538E" w:rsidRPr="0069538E" w:rsidRDefault="0069538E" w:rsidP="007F607F">
      <w:pPr>
        <w:pStyle w:val="ListParagraph"/>
        <w:numPr>
          <w:ilvl w:val="0"/>
          <w:numId w:val="23"/>
        </w:numPr>
        <w:ind w:left="1077" w:hanging="357"/>
        <w:contextualSpacing w:val="0"/>
      </w:pPr>
      <w:r w:rsidRPr="0069538E">
        <w:t>La traite à des fins d'exploitation par le travail</w:t>
      </w:r>
    </w:p>
    <w:p w:rsidR="0069538E" w:rsidRPr="0069538E" w:rsidRDefault="0069538E" w:rsidP="007F607F">
      <w:pPr>
        <w:pStyle w:val="ListParagraph"/>
        <w:numPr>
          <w:ilvl w:val="0"/>
          <w:numId w:val="23"/>
        </w:numPr>
        <w:ind w:left="1077" w:hanging="357"/>
        <w:contextualSpacing w:val="0"/>
      </w:pPr>
      <w:r w:rsidRPr="0069538E">
        <w:t>L'enfant victime de la traite ou la vente d'enfants</w:t>
      </w:r>
    </w:p>
    <w:p w:rsidR="0069538E" w:rsidRPr="0069538E" w:rsidRDefault="0069538E" w:rsidP="0069538E">
      <w:r w:rsidRPr="0069538E">
        <w:t>L'exploitation à des fins sexuelles et de main d'œuvre sont les plus courantes.</w:t>
      </w:r>
    </w:p>
    <w:p w:rsidR="0069538E" w:rsidRPr="0069538E" w:rsidRDefault="0069538E" w:rsidP="0069538E">
      <w:r w:rsidRPr="0069538E">
        <w:t>L'infraction est punie d'une peine d'emprisonnement de 3 à 10 ans et d'une amende qui peut s'élever à 100.000 euros.</w:t>
      </w:r>
    </w:p>
    <w:p w:rsidR="0069538E" w:rsidRPr="0069538E" w:rsidRDefault="0069538E" w:rsidP="0069538E">
      <w:r w:rsidRPr="0069538E">
        <w:rPr>
          <w:b/>
          <w:bCs/>
        </w:rPr>
        <w:t xml:space="preserve">La définition de la traite des êtres humains </w:t>
      </w:r>
      <w:r w:rsidRPr="0069538E">
        <w:rPr>
          <w:bCs/>
        </w:rPr>
        <w:t>comporte trois composantes:</w:t>
      </w:r>
    </w:p>
    <w:p w:rsidR="0069538E" w:rsidRPr="0069538E" w:rsidRDefault="0069538E" w:rsidP="007F607F">
      <w:pPr>
        <w:pStyle w:val="ListParagraph"/>
        <w:numPr>
          <w:ilvl w:val="0"/>
          <w:numId w:val="24"/>
        </w:numPr>
      </w:pPr>
      <w:r w:rsidRPr="0069538E">
        <w:rPr>
          <w:u w:val="single"/>
        </w:rPr>
        <w:t>L'action</w:t>
      </w:r>
      <w:r w:rsidRPr="0069538E">
        <w:t> (le recrutement, le transport, le transfert, l'hébergement ou l'accueil de personnes, le fait de passer ou transférer le contrôle sur une personne) ;</w:t>
      </w:r>
    </w:p>
    <w:p w:rsidR="0069538E" w:rsidRPr="0069538E" w:rsidRDefault="0069538E" w:rsidP="007F607F">
      <w:pPr>
        <w:pStyle w:val="ListParagraph"/>
        <w:numPr>
          <w:ilvl w:val="0"/>
          <w:numId w:val="24"/>
        </w:numPr>
      </w:pPr>
      <w:r w:rsidRPr="0069538E">
        <w:rPr>
          <w:u w:val="single"/>
        </w:rPr>
        <w:t>L'utilisation d’un certain moyen</w:t>
      </w:r>
      <w:r w:rsidRPr="0069538E">
        <w:t> (la menace de recours ou le recours à la force ou autre forme de contrainte, l'enlèvement, la fraude, tromperie, l'abus d'autorité, les personnes en situation de vulnérabilité, l'offre ou l'acceptation de paiements ou d'avantages pour obtenir le consentement d'une personne ayant autorité sur une autre) ;</w:t>
      </w:r>
    </w:p>
    <w:p w:rsidR="0069538E" w:rsidRPr="0069538E" w:rsidRDefault="0069538E" w:rsidP="007F607F">
      <w:pPr>
        <w:pStyle w:val="ListParagraph"/>
        <w:numPr>
          <w:ilvl w:val="0"/>
          <w:numId w:val="24"/>
        </w:numPr>
      </w:pPr>
      <w:r w:rsidRPr="0069538E">
        <w:rPr>
          <w:u w:val="single"/>
        </w:rPr>
        <w:t>Le but de l'exploitation</w:t>
      </w:r>
      <w:r w:rsidRPr="0069538E">
        <w:t> (l'exploitation par la prostitution d'autrui ou toute autre forme d'exploitation sexuelle, les travaux ou services forcés, l'esclavage ou les pratiques analogues à l'esclavage, la servitude ou le prélèvement d'organes).</w:t>
      </w:r>
    </w:p>
    <w:p w:rsidR="0069538E" w:rsidRPr="0069538E" w:rsidRDefault="0069538E" w:rsidP="0069538E">
      <w:r w:rsidRPr="0069538E">
        <w:t xml:space="preserve">Il est également à noter qu'en droit luxembourgeois, les moyens constituent des circonstances aggravantes (article 382-2 du Code pénal). Elles tiennent compte de l'abus envers des personnes particulièrement vulnérables, en raison de leur situation administrative illégale ou précaire, de leur situation sociale précaire, d'un état de grossesse, d'une maladie, d'une infirmité, d'une déficience physique ou mentale. S'ajoutent à cela, la menace de recours ou le recours à la force ou toute autre forme de contrainte, l'enlèvement, la fraude ou la tromperie, l'offre ou l'acceptation de paiements ou </w:t>
      </w:r>
      <w:r w:rsidRPr="0069538E">
        <w:lastRenderedPageBreak/>
        <w:t>d'avantages pour obtenir le consentement d'une personne ayant autorité sur la victime, ou le fait que l'infraction ait été commise par un ascendant de la victime ou par une personne ayant autorité sur elle ou abusant de l'autorité que lui confère sa fonction.</w:t>
      </w:r>
    </w:p>
    <w:p w:rsidR="0069538E" w:rsidRPr="0069538E" w:rsidRDefault="0069538E" w:rsidP="0069538E">
      <w:r w:rsidRPr="0069538E">
        <w:t>L'article 382-2 du Code pénal prévoit que le consentement de la victime n'exonère pas l'auteur et le complice de la responsabilité pénale en cas d'infraction ou de tentative d'infraction de traite et ne peut pas non plus constituer une circonstance atténuante.</w:t>
      </w:r>
    </w:p>
    <w:p w:rsidR="0069538E" w:rsidRPr="0069538E" w:rsidRDefault="0069538E" w:rsidP="002471FF">
      <w:pPr>
        <w:pStyle w:val="Heading4"/>
      </w:pPr>
      <w:bookmarkStart w:id="44" w:name="_Toc116401344"/>
      <w:r w:rsidRPr="0069538E">
        <w:t>Mise en place d'un "Comité de suivi de la lutte contre la traite des êtres humains"</w:t>
      </w:r>
      <w:bookmarkEnd w:id="44"/>
    </w:p>
    <w:p w:rsidR="0069538E" w:rsidRPr="0069538E" w:rsidRDefault="0069538E" w:rsidP="0069538E">
      <w:r w:rsidRPr="0069538E">
        <w:t>Institué en 2009, ce comité interministériel, présidé par le Ministère de la Justice, est chargé de la coordination des activités de prévention et de l'évaluation de la traite et est engagé dans la lutte contre la traite des êtres humains sous toutes ses formes (prostitution, travail forcé...) et compte renforcer les efforts nationaux et internationaux afin de combattre ce fléau.</w:t>
      </w:r>
    </w:p>
    <w:p w:rsidR="0069538E" w:rsidRPr="0069538E" w:rsidRDefault="0069538E" w:rsidP="0069538E">
      <w:r w:rsidRPr="0069538E">
        <w:t>Le comité interministériel est composé par des représentants du Ministre de la Justice, du Ministre de l'</w:t>
      </w:r>
      <w:proofErr w:type="spellStart"/>
      <w:r w:rsidRPr="0069538E">
        <w:t>Egalité</w:t>
      </w:r>
      <w:proofErr w:type="spellEnd"/>
      <w:r w:rsidRPr="0069538E">
        <w:t xml:space="preserve"> entre les femmes et les hommes, du Ministre ayant l'Enfance et la Jeunesse dans ses attributions, du Ministre de la Santé, du Ministre ayant la Police dans ses attributions, du Ministre de l'Immigration, du Ministre du Travail, du Ministre des Classes moyennes, de l'Inspection du travail et des mines, de l'ONA (Office National de l'accueil), de chaque Parquet, de la Police grand-ducale, de deux représentants des services d'assistance aux victimes de la traite des êtres humains agréés et d'un représentant du Service d'Aide aux Victimes du SCAS. De plus, des représentants de la Commission Consultative des Droits de l'Homme, dans leur mission de rapporteur national, peuvent participer aux réunions dudit comité.</w:t>
      </w:r>
    </w:p>
    <w:p w:rsidR="0069538E" w:rsidRPr="0069538E" w:rsidRDefault="0069538E" w:rsidP="0069538E">
      <w:r w:rsidRPr="0069538E">
        <w:t>Parmi les mesures prises au niveau du prédit comité, on peut citer :</w:t>
      </w:r>
    </w:p>
    <w:p w:rsidR="0069538E" w:rsidRPr="0069538E" w:rsidRDefault="007C713D" w:rsidP="007F607F">
      <w:pPr>
        <w:pStyle w:val="ListParagraph"/>
        <w:numPr>
          <w:ilvl w:val="0"/>
          <w:numId w:val="26"/>
        </w:numPr>
        <w:ind w:left="714" w:hanging="357"/>
      </w:pPr>
      <w:r>
        <w:rPr>
          <w:u w:val="single"/>
        </w:rPr>
        <w:t>Des ca</w:t>
      </w:r>
      <w:r w:rsidR="0069538E" w:rsidRPr="0069538E">
        <w:rPr>
          <w:u w:val="single"/>
        </w:rPr>
        <w:t xml:space="preserve">mpagnes de </w:t>
      </w:r>
      <w:proofErr w:type="gramStart"/>
      <w:r w:rsidR="0069538E" w:rsidRPr="0069538E">
        <w:rPr>
          <w:u w:val="single"/>
        </w:rPr>
        <w:t>prévention</w:t>
      </w:r>
      <w:r w:rsidR="0069538E" w:rsidRPr="0069538E">
        <w:t xml:space="preserve"> ,</w:t>
      </w:r>
      <w:proofErr w:type="gramEnd"/>
      <w:r w:rsidR="0069538E" w:rsidRPr="0069538E">
        <w:t xml:space="preserve"> telles que la Campagne "</w:t>
      </w:r>
      <w:proofErr w:type="spellStart"/>
      <w:r w:rsidR="0069538E" w:rsidRPr="0069538E">
        <w:t>stoptraite</w:t>
      </w:r>
      <w:proofErr w:type="spellEnd"/>
      <w:r w:rsidR="0069538E" w:rsidRPr="0069538E">
        <w:t>" et la campagne EUCPN. En 2019, le Luxembourg, ensemble avec 23 autres pays européens, a rejoint l'initiative de l'EUCPN (</w:t>
      </w:r>
      <w:proofErr w:type="spellStart"/>
      <w:r w:rsidR="0069538E" w:rsidRPr="0069538E">
        <w:t>European</w:t>
      </w:r>
      <w:proofErr w:type="spellEnd"/>
      <w:r w:rsidR="0069538E" w:rsidRPr="0069538E">
        <w:t xml:space="preserve"> Crime </w:t>
      </w:r>
      <w:proofErr w:type="spellStart"/>
      <w:r w:rsidR="0069538E" w:rsidRPr="0069538E">
        <w:t>Prevention</w:t>
      </w:r>
      <w:proofErr w:type="spellEnd"/>
      <w:r w:rsidR="0069538E" w:rsidRPr="0069538E">
        <w:t xml:space="preserve"> Network) pour lancer une campagne de prévention contre la traite des êtres humains qui a pour objectif d'informer les victimes ou victimes potentielles sur leurs droits au niveau européen, où trouver de l'aide, de la protection et de l'information.</w:t>
      </w:r>
    </w:p>
    <w:p w:rsidR="0069538E" w:rsidRPr="0069538E" w:rsidRDefault="0069538E" w:rsidP="007F607F">
      <w:pPr>
        <w:pStyle w:val="ListParagraph"/>
        <w:numPr>
          <w:ilvl w:val="0"/>
          <w:numId w:val="26"/>
        </w:numPr>
        <w:ind w:left="714" w:hanging="357"/>
      </w:pPr>
      <w:r w:rsidRPr="0069538E">
        <w:t xml:space="preserve">L’élaboration d’une </w:t>
      </w:r>
      <w:r w:rsidRPr="0069538E">
        <w:rPr>
          <w:u w:val="single"/>
        </w:rPr>
        <w:t>brochure à destination du grand public</w:t>
      </w:r>
      <w:r w:rsidRPr="0069538E">
        <w:t xml:space="preserve"> afin de sensibiliser au sujet de la traite des êtres humains a déjà été réalisée. Elle contient des informations en plusieurs langues et des pictogrammes. </w:t>
      </w:r>
    </w:p>
    <w:p w:rsidR="0069538E" w:rsidRPr="0069538E" w:rsidRDefault="0069538E" w:rsidP="007F607F">
      <w:pPr>
        <w:pStyle w:val="ListParagraph"/>
        <w:numPr>
          <w:ilvl w:val="0"/>
          <w:numId w:val="26"/>
        </w:numPr>
        <w:ind w:left="714" w:hanging="357"/>
      </w:pPr>
      <w:r w:rsidRPr="0069538E">
        <w:t xml:space="preserve">Des </w:t>
      </w:r>
      <w:r w:rsidRPr="0069538E">
        <w:rPr>
          <w:u w:val="single"/>
        </w:rPr>
        <w:t>formations s'adressant à tout agent de l’</w:t>
      </w:r>
      <w:proofErr w:type="spellStart"/>
      <w:r w:rsidRPr="0069538E">
        <w:rPr>
          <w:u w:val="single"/>
        </w:rPr>
        <w:t>Etat</w:t>
      </w:r>
      <w:proofErr w:type="spellEnd"/>
      <w:r w:rsidRPr="0069538E">
        <w:t xml:space="preserve"> intéressé et concerné par la matière ainsi qu'aux acteurs sociaux des ONG</w:t>
      </w:r>
      <w:r w:rsidRPr="0069538E">
        <w:rPr>
          <w:color w:val="919191"/>
        </w:rPr>
        <w:t>.</w:t>
      </w:r>
    </w:p>
    <w:p w:rsidR="0069538E" w:rsidRPr="0069538E" w:rsidRDefault="0069538E" w:rsidP="007F607F">
      <w:pPr>
        <w:pStyle w:val="ListParagraph"/>
        <w:numPr>
          <w:ilvl w:val="0"/>
          <w:numId w:val="26"/>
        </w:numPr>
        <w:ind w:left="714" w:hanging="357"/>
      </w:pPr>
      <w:r w:rsidRPr="0069538E">
        <w:t xml:space="preserve">Organisé depuis 2016, l'objectif principal de ladite formation de base consiste à informer et sensibiliser le public cible au fléau de la traite et aux moyens de détecter des victimes de la traite. </w:t>
      </w:r>
    </w:p>
    <w:p w:rsidR="0069538E" w:rsidRPr="0069538E" w:rsidRDefault="0069538E" w:rsidP="007F607F">
      <w:pPr>
        <w:pStyle w:val="ListParagraph"/>
        <w:numPr>
          <w:ilvl w:val="0"/>
          <w:numId w:val="26"/>
        </w:numPr>
        <w:ind w:left="714" w:hanging="357"/>
      </w:pPr>
      <w:r w:rsidRPr="0069538E">
        <w:t>Élaboration d’un prochain « </w:t>
      </w:r>
      <w:r w:rsidRPr="0069538E">
        <w:rPr>
          <w:u w:val="single"/>
        </w:rPr>
        <w:t>Plan d'action national de lutte contre la traite »</w:t>
      </w:r>
      <w:r w:rsidRPr="0069538E">
        <w:t xml:space="preserve"> (en cours) avec l’objectif de mettre sur pied une action coordonnée et efficace pour lutter contre ce fléau.</w:t>
      </w:r>
    </w:p>
    <w:p w:rsidR="0069538E" w:rsidRPr="0069538E" w:rsidRDefault="0069538E" w:rsidP="0069538E">
      <w:r w:rsidRPr="0069538E">
        <w:t xml:space="preserve">Pour le détail et pour l’article 382-1 du Code pénal : </w:t>
      </w:r>
    </w:p>
    <w:p w:rsidR="0069538E" w:rsidRPr="0069538E" w:rsidRDefault="0069538E" w:rsidP="0069538E">
      <w:r w:rsidRPr="0069538E">
        <w:t xml:space="preserve">Voir le lien suivant : </w:t>
      </w:r>
      <w:hyperlink r:id="rId21" w:history="1">
        <w:r w:rsidRPr="0069538E">
          <w:rPr>
            <w:color w:val="0563C1" w:themeColor="hyperlink"/>
            <w:u w:val="single"/>
          </w:rPr>
          <w:t>https://mj.gouvernement.lu/fr/dossiers/2020/lutte-traite-humains.html</w:t>
        </w:r>
      </w:hyperlink>
    </w:p>
    <w:p w:rsidR="0069538E" w:rsidRPr="0069538E" w:rsidRDefault="0069538E" w:rsidP="002471FF">
      <w:pPr>
        <w:pStyle w:val="Heading4"/>
      </w:pPr>
      <w:bookmarkStart w:id="45" w:name="_Toc116401345"/>
      <w:r w:rsidRPr="0069538E">
        <w:lastRenderedPageBreak/>
        <w:t>Reconnaissance de la politique de lutte contre la traite des êtres humains du Luxembourg par des évaluateurs internationaux</w:t>
      </w:r>
      <w:bookmarkEnd w:id="45"/>
      <w:r w:rsidRPr="0069538E">
        <w:t xml:space="preserve"> </w:t>
      </w:r>
    </w:p>
    <w:p w:rsidR="0069538E" w:rsidRPr="0069538E" w:rsidRDefault="0069538E" w:rsidP="0069538E">
      <w:pPr>
        <w:rPr>
          <w:rFonts w:ascii="Arial" w:hAnsi="Arial" w:cs="Arial"/>
          <w:shd w:val="clear" w:color="auto" w:fill="FFFFFF"/>
        </w:rPr>
      </w:pPr>
      <w:r w:rsidRPr="0069538E">
        <w:t>En date du 21 septembre 2022, le résultat du rapport d'évaluation international sur la traite des êtres humains (</w:t>
      </w:r>
      <w:proofErr w:type="spellStart"/>
      <w:r w:rsidRPr="0069538E">
        <w:t>Trafficking</w:t>
      </w:r>
      <w:proofErr w:type="spellEnd"/>
      <w:r w:rsidRPr="0069538E">
        <w:t xml:space="preserve"> in </w:t>
      </w:r>
      <w:proofErr w:type="spellStart"/>
      <w:r w:rsidRPr="0069538E">
        <w:t>persons</w:t>
      </w:r>
      <w:proofErr w:type="spellEnd"/>
      <w:r w:rsidRPr="0069538E">
        <w:t xml:space="preserve"> report) a été présenté en septembre 2022. Le rapport souligne que </w:t>
      </w:r>
      <w:r w:rsidRPr="0069538E">
        <w:rPr>
          <w:i/>
        </w:rPr>
        <w:t>"le gouvernement du Luxembourg répond pleinement aux normes minimales pour l'élimination de la traite. Le gouvernement a continué à faire preuve d'efforts sérieux et soutenus au cours de la période de référence, compte tenu de l'impact de la pandémie de COVID-19 sur sa capacité de lutte contre la traite; le Luxembourg est maintenu au niveau 1"</w:t>
      </w:r>
      <w:r w:rsidRPr="0069538E">
        <w:t>.</w:t>
      </w:r>
    </w:p>
    <w:p w:rsidR="000732EF" w:rsidRPr="000732EF" w:rsidRDefault="000732EF" w:rsidP="002471FF">
      <w:pPr>
        <w:pStyle w:val="Heading3"/>
        <w:rPr>
          <w:lang w:val="fr-LU"/>
        </w:rPr>
      </w:pPr>
      <w:bookmarkStart w:id="46" w:name="_Toc116401346"/>
      <w:r w:rsidRPr="000732EF">
        <w:rPr>
          <w:lang w:val="fr-LU"/>
        </w:rPr>
        <w:t>Mesures prises pour éviter que les enfants ne soient victimes de la traite ou de la pédopornographie</w:t>
      </w:r>
      <w:bookmarkEnd w:id="46"/>
    </w:p>
    <w:p w:rsidR="007F607F" w:rsidRPr="007F607F" w:rsidRDefault="007F607F" w:rsidP="002471FF">
      <w:pPr>
        <w:pStyle w:val="Heading4"/>
        <w:rPr>
          <w:lang w:val="fr-LU"/>
        </w:rPr>
      </w:pPr>
      <w:bookmarkStart w:id="47" w:name="_Toc116401347"/>
      <w:r w:rsidRPr="007F607F">
        <w:rPr>
          <w:lang w:val="fr-LU"/>
        </w:rPr>
        <w:t>Mesures dans le cadre de la traite des enfants</w:t>
      </w:r>
      <w:bookmarkEnd w:id="47"/>
    </w:p>
    <w:p w:rsidR="000732EF" w:rsidRDefault="000732EF" w:rsidP="000732EF">
      <w:pPr>
        <w:rPr>
          <w:lang w:val="fr-LU"/>
        </w:rPr>
      </w:pPr>
      <w:r>
        <w:rPr>
          <w:lang w:val="fr-LU"/>
        </w:rPr>
        <w:t>La vente d’enfants est explicitement punie dans le Code pénal (art. 382-1 paragraphe 4 : « Constitue l’infraction de vente d’enfants tout acte ou toute transaction en vertu desquels un enfant est remis par toute personne ou tout groupe de personnes à une autre personne ou groupe des personnes contre rémunération ou tout autre avantage. »). Elle est punie d’une peine de réclusion de 10 ans à 15 ans et d’une amende de 100 000 à 150 000 euros.</w:t>
      </w:r>
    </w:p>
    <w:p w:rsidR="007F607F" w:rsidRPr="007F607F" w:rsidRDefault="00382991" w:rsidP="002471FF">
      <w:pPr>
        <w:pStyle w:val="Heading4"/>
        <w:rPr>
          <w:lang w:val="fr-LU"/>
        </w:rPr>
      </w:pPr>
      <w:bookmarkStart w:id="48" w:name="_Toc116401348"/>
      <w:r>
        <w:rPr>
          <w:lang w:val="fr-LU"/>
        </w:rPr>
        <w:t>P</w:t>
      </w:r>
      <w:r w:rsidR="007F607F" w:rsidRPr="007F607F">
        <w:rPr>
          <w:lang w:val="fr-LU"/>
        </w:rPr>
        <w:t>ornographie</w:t>
      </w:r>
      <w:bookmarkEnd w:id="48"/>
    </w:p>
    <w:p w:rsidR="000732EF" w:rsidRDefault="000732EF" w:rsidP="000732EF">
      <w:pPr>
        <w:rPr>
          <w:lang w:val="fr-LU"/>
        </w:rPr>
      </w:pPr>
      <w:r>
        <w:rPr>
          <w:lang w:val="fr-LU"/>
        </w:rPr>
        <w:t xml:space="preserve">Concernant le volet pédopornographie, celui-ci est également spécifiquement réprimée au Luxembourg (qui a approuvé la Convention de Lanzarote par une loi du 16 juillet 2011) par le biais de diverses incriminations. De manière générale, tant la détention que la diffusion de matériel </w:t>
      </w:r>
      <w:r w:rsidR="007F607F">
        <w:rPr>
          <w:lang w:val="fr-LU"/>
        </w:rPr>
        <w:t xml:space="preserve">pédopornographique </w:t>
      </w:r>
      <w:r>
        <w:rPr>
          <w:lang w:val="fr-LU"/>
        </w:rPr>
        <w:t>sont punies. Il en va de même pour le recrutement de mineurs pour la production de matériel pédopornographique ou à des fins de prostitution.</w:t>
      </w:r>
    </w:p>
    <w:p w:rsidR="000732EF" w:rsidRDefault="007F607F" w:rsidP="000732EF">
      <w:pPr>
        <w:rPr>
          <w:lang w:val="fr-LU"/>
        </w:rPr>
      </w:pPr>
      <w:r>
        <w:rPr>
          <w:lang w:val="fr-LU"/>
        </w:rPr>
        <w:t xml:space="preserve">La </w:t>
      </w:r>
      <w:proofErr w:type="spellStart"/>
      <w:r>
        <w:rPr>
          <w:lang w:val="fr-LU"/>
        </w:rPr>
        <w:t>stopline</w:t>
      </w:r>
      <w:proofErr w:type="spellEnd"/>
      <w:r>
        <w:rPr>
          <w:lang w:val="fr-LU"/>
        </w:rPr>
        <w:t xml:space="preserve"> de BEE SECURE qui permet de signaler du contenu pédopornographique aux autorités, ainsi que les services d’aide à l’attention d’enfants victimes de ces infractions (SAVTEH/COTEH pour la traite, </w:t>
      </w:r>
      <w:proofErr w:type="spellStart"/>
      <w:r>
        <w:rPr>
          <w:lang w:val="fr-LU"/>
        </w:rPr>
        <w:t>helpline</w:t>
      </w:r>
      <w:proofErr w:type="spellEnd"/>
      <w:r>
        <w:rPr>
          <w:lang w:val="fr-LU"/>
        </w:rPr>
        <w:t xml:space="preserve"> de BEE/SECURE, KJT, </w:t>
      </w:r>
      <w:proofErr w:type="spellStart"/>
      <w:r>
        <w:rPr>
          <w:lang w:val="fr-LU"/>
        </w:rPr>
        <w:t>Aktioun</w:t>
      </w:r>
      <w:proofErr w:type="spellEnd"/>
      <w:r>
        <w:rPr>
          <w:lang w:val="fr-LU"/>
        </w:rPr>
        <w:t xml:space="preserve"> Bobby de la Police grand-ducale, …). </w:t>
      </w:r>
    </w:p>
    <w:p w:rsidR="009C35F4" w:rsidRDefault="009C35F4" w:rsidP="009C35F4">
      <w:pPr>
        <w:rPr>
          <w:lang w:val="fr-LU"/>
        </w:rPr>
      </w:pPr>
      <w:r>
        <w:rPr>
          <w:lang w:val="fr-LU"/>
        </w:rPr>
        <w:t>Enfin, le projet de loi 7992 relatif aux droits des mineurs victimes et témoins dans le cadre de la procédure pénale prévoit une série de mesures de protection et d’accompagnement de ces mineurs.</w:t>
      </w:r>
    </w:p>
    <w:p w:rsidR="000732EF" w:rsidRDefault="009C35F4" w:rsidP="000732EF">
      <w:pPr>
        <w:rPr>
          <w:lang w:val="fr-LU"/>
        </w:rPr>
      </w:pPr>
      <w:r>
        <w:rPr>
          <w:lang w:val="fr-LU"/>
        </w:rPr>
        <w:t xml:space="preserve">Par ailleurs, le </w:t>
      </w:r>
      <w:r w:rsidR="000732EF">
        <w:rPr>
          <w:lang w:val="fr-LU"/>
        </w:rPr>
        <w:t>M</w:t>
      </w:r>
      <w:r>
        <w:rPr>
          <w:lang w:val="fr-LU"/>
        </w:rPr>
        <w:t>inistère de d’</w:t>
      </w:r>
      <w:proofErr w:type="spellStart"/>
      <w:r>
        <w:rPr>
          <w:lang w:val="fr-LU"/>
        </w:rPr>
        <w:t>Education</w:t>
      </w:r>
      <w:proofErr w:type="spellEnd"/>
      <w:r>
        <w:rPr>
          <w:lang w:val="fr-LU"/>
        </w:rPr>
        <w:t xml:space="preserve"> nationale, de l’Enfance et de la Jeunesse, ainsi que ces partenaires </w:t>
      </w:r>
      <w:r w:rsidR="000732EF">
        <w:rPr>
          <w:lang w:val="fr-LU"/>
        </w:rPr>
        <w:t>mènent un certain nombre d’actions de prévention en matière de santé affective et sexuelle</w:t>
      </w:r>
      <w:r>
        <w:rPr>
          <w:lang w:val="fr-LU"/>
        </w:rPr>
        <w:t>,</w:t>
      </w:r>
      <w:r w:rsidR="000732EF">
        <w:rPr>
          <w:lang w:val="fr-LU"/>
        </w:rPr>
        <w:t xml:space="preserve"> notamment dans les écoles et lycées visant notamment à mettre les enfants en garde contre les dangers</w:t>
      </w:r>
      <w:r w:rsidR="002E43C2">
        <w:rPr>
          <w:lang w:val="fr-LU"/>
        </w:rPr>
        <w:t xml:space="preserve"> liés aux envois de « </w:t>
      </w:r>
      <w:proofErr w:type="spellStart"/>
      <w:r w:rsidR="002E43C2">
        <w:rPr>
          <w:lang w:val="fr-LU"/>
        </w:rPr>
        <w:t>nudes</w:t>
      </w:r>
      <w:proofErr w:type="spellEnd"/>
      <w:r w:rsidR="002E43C2">
        <w:rPr>
          <w:lang w:val="fr-LU"/>
        </w:rPr>
        <w:t xml:space="preserve"> ». </w:t>
      </w:r>
    </w:p>
    <w:p w:rsidR="007C713D" w:rsidRPr="007C713D" w:rsidRDefault="007C713D" w:rsidP="000732EF">
      <w:pPr>
        <w:rPr>
          <w:b/>
          <w:color w:val="5B9BD5" w:themeColor="accent1"/>
          <w:lang w:val="fr-LU"/>
        </w:rPr>
      </w:pPr>
      <w:r w:rsidRPr="007C713D">
        <w:rPr>
          <w:b/>
          <w:color w:val="5B9BD5" w:themeColor="accent1"/>
          <w:lang w:val="fr-LU"/>
        </w:rPr>
        <w:t>Mesures de sensibilisation au Luxembourg</w:t>
      </w:r>
    </w:p>
    <w:p w:rsidR="00F27EE9" w:rsidRDefault="00C11A5D" w:rsidP="007C713D">
      <w:r>
        <w:rPr>
          <w:lang w:val="fr-LU"/>
        </w:rPr>
        <w:t>E</w:t>
      </w:r>
      <w:r>
        <w:t>n collaboration avec divers types d’autres acteurs (étatiques et société civile), un certain nombre de mesures ont été mise en place par ECPAT Luxembourg,</w:t>
      </w:r>
      <w:r w:rsidR="00F27EE9">
        <w:t xml:space="preserve"> qui a pour vocation de</w:t>
      </w:r>
      <w:r w:rsidR="00F27EE9" w:rsidRPr="00F27EE9">
        <w:t xml:space="preserve"> lutter par tous les moyens légaux contre l’exploitation sexuelle des enfants à des fins commerciales ainsi que de sensibiliser et informer l’opinion publique sur les D</w:t>
      </w:r>
      <w:r>
        <w:t xml:space="preserve">roits de l’Enfant en la matière. Ci-dessous quelques exemples : </w:t>
      </w:r>
    </w:p>
    <w:p w:rsidR="007C713D" w:rsidRPr="007C713D" w:rsidRDefault="007C713D" w:rsidP="00C11A5D">
      <w:pPr>
        <w:pStyle w:val="ListParagraph"/>
        <w:numPr>
          <w:ilvl w:val="0"/>
          <w:numId w:val="29"/>
        </w:numPr>
        <w:ind w:left="714" w:hanging="357"/>
        <w:contextualSpacing w:val="0"/>
      </w:pPr>
      <w:r w:rsidRPr="007C713D">
        <w:t>La campagne de sensibilisation "Stop aux violences sexuelles contre les enfants"</w:t>
      </w:r>
      <w:r w:rsidR="00E6308F">
        <w:t xml:space="preserve"> a été mise en place par ECPAT</w:t>
      </w:r>
      <w:r w:rsidRPr="007C713D">
        <w:t xml:space="preserve">, </w:t>
      </w:r>
      <w:r w:rsidR="00E6308F">
        <w:t>afin d’</w:t>
      </w:r>
      <w:r w:rsidRPr="007C713D">
        <w:t xml:space="preserve">attirer l'attention sur le problème du matériel d'exploitation sexuelle </w:t>
      </w:r>
      <w:r w:rsidRPr="007C713D">
        <w:lastRenderedPageBreak/>
        <w:t>d'enfants (CSAM), et aus</w:t>
      </w:r>
      <w:r w:rsidR="00E6308F">
        <w:t>si pour diffuser le terme « CSAM » (</w:t>
      </w:r>
      <w:r w:rsidR="00E6308F" w:rsidRPr="00C11A5D">
        <w:rPr>
          <w:i/>
        </w:rPr>
        <w:t xml:space="preserve">Child </w:t>
      </w:r>
      <w:proofErr w:type="spellStart"/>
      <w:r w:rsidR="00E6308F" w:rsidRPr="00C11A5D">
        <w:rPr>
          <w:i/>
        </w:rPr>
        <w:t>Sexual</w:t>
      </w:r>
      <w:proofErr w:type="spellEnd"/>
      <w:r w:rsidR="00E6308F" w:rsidRPr="00C11A5D">
        <w:rPr>
          <w:i/>
        </w:rPr>
        <w:t xml:space="preserve"> Abuse </w:t>
      </w:r>
      <w:proofErr w:type="spellStart"/>
      <w:r w:rsidR="00E6308F" w:rsidRPr="00C11A5D">
        <w:rPr>
          <w:i/>
        </w:rPr>
        <w:t>Material</w:t>
      </w:r>
      <w:proofErr w:type="spellEnd"/>
      <w:r w:rsidR="00E6308F">
        <w:t>)</w:t>
      </w:r>
      <w:r w:rsidRPr="007C713D">
        <w:t xml:space="preserve">. Cette campagne a été organisée en 2021 </w:t>
      </w:r>
      <w:hyperlink r:id="rId22" w:history="1">
        <w:r w:rsidRPr="00E6308F">
          <w:rPr>
            <w:rStyle w:val="Hyperlink"/>
          </w:rPr>
          <w:t>avec</w:t>
        </w:r>
        <w:r w:rsidR="00E6308F" w:rsidRPr="00E6308F">
          <w:rPr>
            <w:rStyle w:val="Hyperlink"/>
          </w:rPr>
          <w:t xml:space="preserve"> </w:t>
        </w:r>
        <w:proofErr w:type="spellStart"/>
        <w:r w:rsidR="00E6308F" w:rsidRPr="00E6308F">
          <w:rPr>
            <w:rStyle w:val="Hyperlink"/>
          </w:rPr>
          <w:t>Kanner-Jugendtelefon</w:t>
        </w:r>
        <w:proofErr w:type="spellEnd"/>
      </w:hyperlink>
      <w:r w:rsidRPr="007C713D">
        <w:t xml:space="preserve"> </w:t>
      </w:r>
      <w:r w:rsidR="00E6308F">
        <w:t>(</w:t>
      </w:r>
      <w:r w:rsidRPr="007C713D">
        <w:t>KJT</w:t>
      </w:r>
      <w:r w:rsidR="00E6308F">
        <w:t>)</w:t>
      </w:r>
      <w:r w:rsidRPr="007C713D">
        <w:t xml:space="preserve"> et avec le soutien de BEE SECURE. La ligne d'arrêt de BEE SECURE, où ce matériel illégal peut être signalé, a également été promue dans ce contexte.</w:t>
      </w:r>
    </w:p>
    <w:p w:rsidR="007C713D" w:rsidRPr="007C713D" w:rsidRDefault="007C713D" w:rsidP="00C11A5D">
      <w:pPr>
        <w:pStyle w:val="ListParagraph"/>
        <w:ind w:left="714"/>
        <w:contextualSpacing w:val="0"/>
      </w:pPr>
      <w:r w:rsidRPr="007C713D">
        <w:t xml:space="preserve">Au total, 4 courtes vidéos ont été produites, qui ont été diffusées sur les réseaux sociaux habituels (Facebook, Instagram, LinkedIn, </w:t>
      </w:r>
      <w:proofErr w:type="spellStart"/>
      <w:r w:rsidRPr="007C713D">
        <w:t>Youtube</w:t>
      </w:r>
      <w:proofErr w:type="spellEnd"/>
      <w:r w:rsidRPr="007C713D">
        <w:t xml:space="preserve">). Les vidéos ont été synchronisées en 3 langues (LU, Fr, Eng) et sont librement accessibles sur </w:t>
      </w:r>
      <w:r w:rsidR="00E6308F">
        <w:t>la</w:t>
      </w:r>
      <w:r w:rsidRPr="007C713D">
        <w:t xml:space="preserve"> chaîne YouTube :</w:t>
      </w:r>
      <w:r w:rsidR="00E6308F">
        <w:t xml:space="preserve"> </w:t>
      </w:r>
      <w:hyperlink r:id="rId23" w:history="1">
        <w:r w:rsidRPr="007C713D">
          <w:rPr>
            <w:rStyle w:val="Hyperlink"/>
          </w:rPr>
          <w:t>https://www.youtube.com/c/ECPATLuxembourg</w:t>
        </w:r>
      </w:hyperlink>
    </w:p>
    <w:p w:rsidR="007C713D" w:rsidRPr="007C713D" w:rsidRDefault="007C713D" w:rsidP="00C11A5D">
      <w:pPr>
        <w:pStyle w:val="ListParagraph"/>
        <w:ind w:left="714"/>
        <w:contextualSpacing w:val="0"/>
      </w:pPr>
      <w:r w:rsidRPr="007C713D">
        <w:t xml:space="preserve">Par ailleurs, </w:t>
      </w:r>
      <w:r w:rsidR="00E6308F">
        <w:t xml:space="preserve">ECPAT a également </w:t>
      </w:r>
      <w:r w:rsidRPr="007C713D">
        <w:t xml:space="preserve">mis en ligne un site d'information : </w:t>
      </w:r>
      <w:hyperlink r:id="rId24" w:history="1">
        <w:r w:rsidRPr="007C713D">
          <w:rPr>
            <w:rStyle w:val="Hyperlink"/>
          </w:rPr>
          <w:t>https://stop-csam.lu/</w:t>
        </w:r>
      </w:hyperlink>
      <w:r w:rsidRPr="007C713D">
        <w:t xml:space="preserve"> </w:t>
      </w:r>
    </w:p>
    <w:p w:rsidR="007C713D" w:rsidRDefault="007C713D" w:rsidP="00C11A5D">
      <w:pPr>
        <w:pStyle w:val="ListParagraph"/>
        <w:numPr>
          <w:ilvl w:val="0"/>
          <w:numId w:val="29"/>
        </w:numPr>
        <w:ind w:left="714" w:hanging="357"/>
        <w:contextualSpacing w:val="0"/>
      </w:pPr>
      <w:r w:rsidRPr="007C713D">
        <w:t xml:space="preserve">Cette année, </w:t>
      </w:r>
      <w:r w:rsidR="00E6308F">
        <w:t xml:space="preserve">ECPAT a </w:t>
      </w:r>
      <w:r w:rsidRPr="007C713D">
        <w:t>mené la campagne "Je vois, je réagis" pour protéger les enfants de l'exploitation sexuelle dans le cadre des voyages et du tourisme. C'était encore une fois principalement sur les réseaux sociaux. Cette campagne fait la promotion du site</w:t>
      </w:r>
      <w:r>
        <w:t> :</w:t>
      </w:r>
      <w:r w:rsidRPr="007C713D">
        <w:t xml:space="preserve"> </w:t>
      </w:r>
      <w:hyperlink r:id="rId25" w:history="1">
        <w:r w:rsidRPr="00986062">
          <w:rPr>
            <w:rStyle w:val="Hyperlink"/>
          </w:rPr>
          <w:t>https://www.childprotection.lu/</w:t>
        </w:r>
      </w:hyperlink>
      <w:r w:rsidRPr="007C713D">
        <w:t>, où les gens peuvent signaler directement à la police les situations suspectes qu'ils pourraient rencontrer en vacances (ou autrement).</w:t>
      </w:r>
    </w:p>
    <w:p w:rsidR="00C11A5D" w:rsidRPr="007C713D" w:rsidRDefault="00C11A5D" w:rsidP="00C11A5D">
      <w:pPr>
        <w:pStyle w:val="ListParagraph"/>
        <w:numPr>
          <w:ilvl w:val="0"/>
          <w:numId w:val="29"/>
        </w:numPr>
        <w:ind w:left="714" w:hanging="357"/>
        <w:contextualSpacing w:val="0"/>
      </w:pPr>
      <w:r>
        <w:t>Un</w:t>
      </w:r>
      <w:r w:rsidRPr="007C713D">
        <w:t xml:space="preserve"> projet </w:t>
      </w:r>
      <w:r>
        <w:t>en collaboration entre ECPAT et</w:t>
      </w:r>
      <w:r w:rsidRPr="007C713D">
        <w:t xml:space="preserve"> le Service Droits de l'enfant du M</w:t>
      </w:r>
      <w:r>
        <w:t>inistère de l’</w:t>
      </w:r>
      <w:proofErr w:type="spellStart"/>
      <w:r>
        <w:t>Education</w:t>
      </w:r>
      <w:proofErr w:type="spellEnd"/>
      <w:r>
        <w:t xml:space="preserve"> nationale, de l’Enfance et de la Jeunesse est en préparation. Celui-ci</w:t>
      </w:r>
      <w:r w:rsidRPr="007C713D">
        <w:t xml:space="preserve"> aborde la question de l'usage conscient du langage dans le cadre des violences sexuelles faites aux enfants. </w:t>
      </w:r>
      <w:r>
        <w:t xml:space="preserve">Ce projet et actuellement en cours et n’a pas encore été publié. </w:t>
      </w:r>
    </w:p>
    <w:p w:rsidR="007C713D" w:rsidRPr="007C713D" w:rsidRDefault="007C713D" w:rsidP="00C11A5D">
      <w:pPr>
        <w:pStyle w:val="ListParagraph"/>
        <w:numPr>
          <w:ilvl w:val="0"/>
          <w:numId w:val="29"/>
        </w:numPr>
        <w:ind w:left="714" w:hanging="357"/>
        <w:contextualSpacing w:val="0"/>
      </w:pPr>
      <w:r>
        <w:t xml:space="preserve">Les </w:t>
      </w:r>
      <w:hyperlink r:id="rId26" w:history="1">
        <w:r w:rsidRPr="00E6308F">
          <w:rPr>
            <w:rStyle w:val="Hyperlink"/>
          </w:rPr>
          <w:t>lignes directrices de Luxembourg </w:t>
        </w:r>
      </w:hyperlink>
      <w:r>
        <w:t xml:space="preserve">: </w:t>
      </w:r>
      <w:r w:rsidRPr="007C713D">
        <w:t xml:space="preserve">Projet de terminologie et de sémantique </w:t>
      </w:r>
      <w:proofErr w:type="spellStart"/>
      <w:r w:rsidRPr="007C713D">
        <w:t>interagences</w:t>
      </w:r>
      <w:proofErr w:type="spellEnd"/>
      <w:r w:rsidRPr="007C713D">
        <w:t xml:space="preserve"> sur l'exploitation et les abus sexuels concernant les enfants</w:t>
      </w:r>
      <w:r>
        <w:t>, afin d’utiliser le langage approprié</w:t>
      </w:r>
      <w:r w:rsidRPr="007C713D">
        <w:t xml:space="preserve"> </w:t>
      </w:r>
    </w:p>
    <w:p w:rsidR="000732EF" w:rsidRPr="009C35F4" w:rsidRDefault="000732EF" w:rsidP="002471FF">
      <w:pPr>
        <w:pStyle w:val="Heading3"/>
        <w:rPr>
          <w:lang w:val="fr-LU"/>
        </w:rPr>
      </w:pPr>
      <w:bookmarkStart w:id="49" w:name="_Toc116401349"/>
      <w:r w:rsidRPr="009C35F4">
        <w:rPr>
          <w:lang w:val="fr-LU"/>
        </w:rPr>
        <w:t>Lutte contre le tourisme pédophile à l’étranger</w:t>
      </w:r>
      <w:bookmarkEnd w:id="49"/>
    </w:p>
    <w:p w:rsidR="000732EF" w:rsidRDefault="000732EF" w:rsidP="009C35F4">
      <w:pPr>
        <w:rPr>
          <w:lang w:val="fr-LU"/>
        </w:rPr>
      </w:pPr>
      <w:r>
        <w:rPr>
          <w:lang w:val="fr-LU"/>
        </w:rPr>
        <w:t>De manière générale, dans certains cas, ces infractions peuvent être poursuivies au Luxembourg si elles ont été commises au Luxembourg.  </w:t>
      </w:r>
    </w:p>
    <w:p w:rsidR="000732EF" w:rsidRDefault="000732EF" w:rsidP="009C35F4">
      <w:pPr>
        <w:rPr>
          <w:lang w:val="fr-LU"/>
        </w:rPr>
      </w:pPr>
      <w:r>
        <w:rPr>
          <w:lang w:val="fr-LU"/>
        </w:rPr>
        <w:t>Ci-dessous un extrait de l’article pertinent du Code de procédure pénale :</w:t>
      </w:r>
    </w:p>
    <w:p w:rsidR="000732EF" w:rsidRDefault="000732EF" w:rsidP="009C35F4">
      <w:pPr>
        <w:rPr>
          <w:i/>
          <w:iCs/>
          <w:lang w:val="fr-LU"/>
        </w:rPr>
      </w:pPr>
      <w:r>
        <w:rPr>
          <w:i/>
          <w:iCs/>
          <w:lang w:val="fr-LU"/>
        </w:rPr>
        <w:t xml:space="preserve">Art. 5-1. Tout Luxembourgeois, toute personne qui a sa résidence habituelle au Grand-Duché de Luxembourg, de même que l’étranger trouvé au Grand-Duché de Luxembourg, qui aura commis à l’étranger une des infractions prévues aux articles 112-1, 135-1 à 135-6, 135-9 et 135-11 à 135-16, 162, 164, 165, 166, 178, 179, 198, 199, 199bis, 245 à 252, 310, 310-1, 348, </w:t>
      </w:r>
      <w:r>
        <w:rPr>
          <w:b/>
          <w:bCs/>
          <w:i/>
          <w:iCs/>
          <w:lang w:val="fr-LU"/>
        </w:rPr>
        <w:t>368 à 384</w:t>
      </w:r>
      <w:r>
        <w:rPr>
          <w:i/>
          <w:iCs/>
          <w:lang w:val="fr-LU"/>
        </w:rPr>
        <w:t>, 389, 409bis, 496-1 à 496-4 et, dans les conditions de l’article 506-3, à l’article 506-1 du Code pénal, pourra être poursuivi et jugé au Grand-Duché, bien que le fait ne soit pas puni par la législation du pays où il a été commis et que l’autorité luxembourgeoise n’ait pas reçu soit une plainte de la partie offensée, soit une dénonciation de l’autorité du pays où l’infraction a été commise.</w:t>
      </w:r>
    </w:p>
    <w:p w:rsidR="009C35F4" w:rsidRDefault="000732EF" w:rsidP="000732EF">
      <w:pPr>
        <w:rPr>
          <w:lang w:val="fr-LU"/>
        </w:rPr>
      </w:pPr>
      <w:r>
        <w:rPr>
          <w:lang w:val="fr-LU"/>
        </w:rPr>
        <w:t xml:space="preserve">Ce qui est également intéressant à noter est que si un des éléments constitutifs de l’infraction est commis au Luxembourg, l’infraction est réputée commise sur le territoire du Luxembourg, de sorte que l’infraction pourra être poursuivie au Luxembourg. </w:t>
      </w:r>
    </w:p>
    <w:p w:rsidR="000732EF" w:rsidRDefault="009C35F4" w:rsidP="000732EF">
      <w:pPr>
        <w:rPr>
          <w:lang w:val="fr-LU"/>
        </w:rPr>
      </w:pPr>
      <w:r>
        <w:rPr>
          <w:lang w:val="fr-LU"/>
        </w:rPr>
        <w:t>L</w:t>
      </w:r>
      <w:r w:rsidR="000732EF">
        <w:rPr>
          <w:lang w:val="fr-LU"/>
        </w:rPr>
        <w:t>e projet de loi 7949 renforçant les moyens de lutte contre les abus sexuels et l'exp</w:t>
      </w:r>
      <w:r>
        <w:rPr>
          <w:lang w:val="fr-LU"/>
        </w:rPr>
        <w:t xml:space="preserve">loitation sexuelle des mineurs érige </w:t>
      </w:r>
      <w:r w:rsidR="000732EF">
        <w:rPr>
          <w:lang w:val="fr-LU"/>
        </w:rPr>
        <w:t xml:space="preserve">notamment en infractions autonomes le viol et l’atteinte à l’intégrité sexuelle (actuellement dénommé attentat à la pudeur) incestueuses (le cercle des auteurs tombant dans le </w:t>
      </w:r>
      <w:r w:rsidR="000732EF">
        <w:rPr>
          <w:lang w:val="fr-LU"/>
        </w:rPr>
        <w:lastRenderedPageBreak/>
        <w:t xml:space="preserve">champ de l’inceste est élargi). Le viol commis sur un mineur devient également une infraction autonome et il est prévu dans le projet de loi que ce viol sur mineur, et le viol incestueux sur mineur, soient imprescriptibles. Certaines peines sont également revues à la hausse. </w:t>
      </w:r>
    </w:p>
    <w:p w:rsidR="00383ABB" w:rsidRPr="00383ABB" w:rsidRDefault="00383ABB" w:rsidP="002471FF">
      <w:pPr>
        <w:pStyle w:val="Heading3"/>
      </w:pPr>
      <w:bookmarkStart w:id="50" w:name="_Toc116401350"/>
      <w:r w:rsidRPr="00383ABB">
        <w:t>Législation sur le changement de sexe à l’état civil</w:t>
      </w:r>
      <w:bookmarkEnd w:id="50"/>
      <w:r w:rsidRPr="00383ABB">
        <w:t xml:space="preserve"> </w:t>
      </w:r>
    </w:p>
    <w:p w:rsidR="00383ABB" w:rsidRPr="00E55446" w:rsidRDefault="00383ABB" w:rsidP="00383ABB">
      <w:r>
        <w:t xml:space="preserve">Depuis 2018 il existe un cadre légal clair et contraignant prévoyant explicitement que </w:t>
      </w:r>
      <w:r w:rsidRPr="00383ABB">
        <w:rPr>
          <w:b/>
        </w:rPr>
        <w:t>le retrait d’organes de reproduction n’est pas demandé pour un changement de la mention de sexe à l’état civil</w:t>
      </w:r>
      <w:r w:rsidRPr="00E55446">
        <w:t xml:space="preserve">. </w:t>
      </w:r>
    </w:p>
    <w:p w:rsidR="00383ABB" w:rsidRDefault="00383ABB" w:rsidP="00383ABB">
      <w:r>
        <w:t xml:space="preserve">L’article 2 de la loi </w:t>
      </w:r>
      <w:r w:rsidRPr="00355D4E">
        <w:t xml:space="preserve">du 10 août 2018 relative à la modification de la mention du sexe et du ou des prénoms à l’état </w:t>
      </w:r>
      <w:r>
        <w:t xml:space="preserve">dispose </w:t>
      </w:r>
      <w:r w:rsidRPr="00706328">
        <w:t>que « Le fait de ne pas avoir subi des traitements médicaux, une opération chirurgicale ou une stérilisation ne peut motiver le refus de faire droit à la demande. </w:t>
      </w:r>
      <w:r>
        <w:t>». Ce grand principe v</w:t>
      </w:r>
      <w:r w:rsidRPr="00355D4E">
        <w:t>aut pour tout</w:t>
      </w:r>
      <w:r>
        <w:t xml:space="preserve"> </w:t>
      </w:r>
      <w:r w:rsidRPr="00355D4E">
        <w:t xml:space="preserve">changement de nom, y compris </w:t>
      </w:r>
      <w:r>
        <w:t>celui de personnes transsexuelles, de personnes intersexuées et de mineurs (sans distinction d’âge).</w:t>
      </w:r>
      <w:r w:rsidRPr="00355D4E">
        <w:t xml:space="preserve"> </w:t>
      </w:r>
      <w:r>
        <w:t>Peuvent introduire une demande en changement de sexe au Luxembourg les personnes ayant la nationalité luxembourgeoise, mais également les personnes ayant une nationalité étrangère ou bénéficiant du</w:t>
      </w:r>
      <w:r w:rsidRPr="00E55446">
        <w:t xml:space="preserve"> statut de réfugié</w:t>
      </w:r>
      <w:r>
        <w:t>, du statut d’une</w:t>
      </w:r>
      <w:r w:rsidRPr="00E55446">
        <w:t xml:space="preserve"> protection subsidiaire ou </w:t>
      </w:r>
      <w:r>
        <w:t>du</w:t>
      </w:r>
      <w:r w:rsidRPr="00E55446">
        <w:t xml:space="preserve"> statut d’apatride.</w:t>
      </w:r>
      <w:r>
        <w:t xml:space="preserve"> Dans ces hypothèses le demandeur doit avoir une résidence habituelle ou un séjour régulier de plus de 12 mois consécutif au Luxembourg. </w:t>
      </w:r>
    </w:p>
    <w:p w:rsidR="00383ABB" w:rsidRPr="00383ABB" w:rsidRDefault="00383ABB" w:rsidP="002471FF">
      <w:pPr>
        <w:pStyle w:val="Heading3"/>
      </w:pPr>
      <w:bookmarkStart w:id="51" w:name="_Toc116401351"/>
      <w:r>
        <w:t>Mesures dans le cadre des opérations chirurgicales sur les enfants intersexués</w:t>
      </w:r>
      <w:bookmarkEnd w:id="51"/>
    </w:p>
    <w:p w:rsidR="00383ABB" w:rsidRPr="00383ABB" w:rsidRDefault="00383ABB" w:rsidP="00383ABB">
      <w:pPr>
        <w:rPr>
          <w:highlight w:val="yellow"/>
        </w:rPr>
      </w:pPr>
      <w:r>
        <w:t xml:space="preserve">Pour ce qui est de la </w:t>
      </w:r>
      <w:r w:rsidRPr="00E55446">
        <w:rPr>
          <w:b/>
        </w:rPr>
        <w:t>pratique d’assignation de sexe pour enfants intersexués</w:t>
      </w:r>
      <w:r>
        <w:t xml:space="preserve">, </w:t>
      </w:r>
      <w:r w:rsidRPr="00E55446">
        <w:t xml:space="preserve">l’accord de coalition 2018-2023 prévoit que « les interventions chirurgicales ou médicales chez les mineurs incapables de discernement et chez qui le sexe biologique ne peut pas être clairement déterminé seront interdites par la loi, sauf les cas de nécessité vitale. » </w:t>
      </w:r>
      <w:r w:rsidRPr="00383ABB">
        <w:rPr>
          <w:b/>
        </w:rPr>
        <w:t>Un groupe interministériel spécialement mandaté par le Gouvernement a un avant-projet de loi en préparation</w:t>
      </w:r>
      <w:r w:rsidRPr="00E55446">
        <w:t xml:space="preserve">. Il importe de trouver un équilibre entre le droit à l’autodétermination du mineur et son intégrité et la sauvegarde de sa santé. </w:t>
      </w:r>
    </w:p>
    <w:p w:rsidR="00BD7E30" w:rsidRPr="00BD7E30" w:rsidRDefault="00BD7E30" w:rsidP="002471FF">
      <w:pPr>
        <w:pStyle w:val="Heading3"/>
      </w:pPr>
      <w:bookmarkStart w:id="52" w:name="_Toc116401352"/>
      <w:r w:rsidRPr="00BD7E30">
        <w:t>Réforme de la législation sur la filiation</w:t>
      </w:r>
      <w:bookmarkEnd w:id="52"/>
      <w:r w:rsidRPr="00BD7E30">
        <w:t xml:space="preserve"> </w:t>
      </w:r>
    </w:p>
    <w:p w:rsidR="00BD7E30" w:rsidRPr="00BD7E30" w:rsidRDefault="00BD7E30" w:rsidP="00BD7E30">
      <w:pPr>
        <w:rPr>
          <w:bCs/>
        </w:rPr>
      </w:pPr>
      <w:r w:rsidRPr="00BD7E30">
        <w:t>Pour ce qui est de la réforme en matière de filiation, le Gouvernement informe que le Conseil d’</w:t>
      </w:r>
      <w:proofErr w:type="spellStart"/>
      <w:r w:rsidRPr="00BD7E30">
        <w:t>Etat</w:t>
      </w:r>
      <w:proofErr w:type="spellEnd"/>
      <w:r w:rsidRPr="00BD7E30">
        <w:t xml:space="preserve"> a donné son avis le 16 juillet 2021 au projet de loi 6568A portant réforme du droit de la filiation. Il retient que le texte proposé règle de façon trop sommaire les concepts relevant de la bioéthique. En émettant une opposition formelle sur l’ensemble du texte, les débats parlementaires sont bloqués. Contraint de retravailler l’ensemble de texte, il est maintenant envisagé d</w:t>
      </w:r>
      <w:r w:rsidRPr="00BD7E30">
        <w:rPr>
          <w:bCs/>
        </w:rPr>
        <w:t>e créer un cadre légal de la filiation basé sur le principe de l’établissement de la filiation d’un enfant envers ses parents sans discrimination du statut marital des parents (</w:t>
      </w:r>
      <w:proofErr w:type="spellStart"/>
      <w:r w:rsidRPr="00BD7E30">
        <w:rPr>
          <w:bCs/>
        </w:rPr>
        <w:t>càd</w:t>
      </w:r>
      <w:proofErr w:type="spellEnd"/>
      <w:r w:rsidRPr="00BD7E30">
        <w:rPr>
          <w:bCs/>
        </w:rPr>
        <w:t xml:space="preserve"> disparition de la distinction «entre enfants naturels et enfants légitimes), du mode de procréation de l’enfant (</w:t>
      </w:r>
      <w:proofErr w:type="spellStart"/>
      <w:r w:rsidRPr="00BD7E30">
        <w:rPr>
          <w:bCs/>
        </w:rPr>
        <w:t>càd</w:t>
      </w:r>
      <w:proofErr w:type="spellEnd"/>
      <w:r w:rsidRPr="00BD7E30">
        <w:rPr>
          <w:bCs/>
        </w:rPr>
        <w:t xml:space="preserve"> sans distinction si l’enfant est né d’une relation charnelle ou d’une procréation médicalement assistée (PMA) et sans différence de la sexualité des parents. Les détails sont en cours d’élaboration. Il est prévu de soumettre un nouveau texte au Parlement dans les prochains mois.</w:t>
      </w:r>
    </w:p>
    <w:p w:rsidR="00BD7E30" w:rsidRPr="00BD7E30" w:rsidRDefault="00BD7E30" w:rsidP="002471FF">
      <w:pPr>
        <w:pStyle w:val="Heading3"/>
      </w:pPr>
      <w:bookmarkStart w:id="53" w:name="_Toc116401353"/>
      <w:r>
        <w:t>Réforme de l</w:t>
      </w:r>
      <w:r w:rsidRPr="00BD7E30">
        <w:t>a protection de la jeunesse</w:t>
      </w:r>
      <w:bookmarkEnd w:id="53"/>
      <w:r w:rsidRPr="00BD7E30">
        <w:t xml:space="preserve"> </w:t>
      </w:r>
    </w:p>
    <w:p w:rsidR="00BD7E30" w:rsidRPr="00BD7E30" w:rsidRDefault="00BD7E30" w:rsidP="00BD7E30">
      <w:pPr>
        <w:rPr>
          <w:rFonts w:cstheme="minorHAnsi"/>
        </w:rPr>
      </w:pPr>
      <w:r w:rsidRPr="00BD7E30">
        <w:rPr>
          <w:rFonts w:cstheme="minorHAnsi"/>
          <w:u w:val="single"/>
        </w:rPr>
        <w:t xml:space="preserve">En mars 2002, le Gouvernement a soumis un projet visant une grande réforme de la protection de la jeunesse et </w:t>
      </w:r>
      <w:r w:rsidRPr="00BD7E30">
        <w:rPr>
          <w:rFonts w:cstheme="minorHAnsi"/>
        </w:rPr>
        <w:t xml:space="preserve">introduisant un droit pénal pour mineurs au Luxembourg. La réforme de la protection de la jeunesse et avec elle la séparation entre les volets protection de la jeunesse et droit pénal pour </w:t>
      </w:r>
      <w:r w:rsidRPr="00BD7E30">
        <w:rPr>
          <w:rFonts w:cstheme="minorHAnsi"/>
        </w:rPr>
        <w:lastRenderedPageBreak/>
        <w:t>mineurs concrétisent des éléments importants de l’accord de coalition 2018-2023 et honorent un engagement pris en 2019 par le Luxembourg vis-à-vis du Comité des droits de l’enfant des Nations Unies. Le Gouvernement a été conseillé par l’experte internationale en droits de l’enfant Renate Winter.</w:t>
      </w:r>
    </w:p>
    <w:p w:rsidR="00BD7E30" w:rsidRPr="00BD7E30" w:rsidRDefault="00BD7E30" w:rsidP="00BD7E30">
      <w:pPr>
        <w:rPr>
          <w:rFonts w:cstheme="minorHAnsi"/>
        </w:rPr>
      </w:pPr>
      <w:r w:rsidRPr="00BD7E30">
        <w:rPr>
          <w:rFonts w:cstheme="minorHAnsi"/>
        </w:rPr>
        <w:t>Trois textes vont donc se substituer à l’actuelle loi modifiée du 10 août 1992 relative à la protection de la jeunesse, ainsi qu’à la loi modifiée du 16 décembre 2008 relative à l'aide à l'enfance et à la famille : • une loi sur l’aide, le soutien et la protection pour les mineurs, les jeunes adultes et leur famille ; • une loi introduisant au Luxembourg un droit pénal pour mineurs ; • une loi sur les droits des mineurs victimes et témoins dans le cadre de la procédure pénale.</w:t>
      </w:r>
    </w:p>
    <w:p w:rsidR="00BD7E30" w:rsidRPr="00BD7E30" w:rsidRDefault="00BD7E30" w:rsidP="00BD7E30">
      <w:pPr>
        <w:rPr>
          <w:rFonts w:cstheme="minorHAnsi"/>
        </w:rPr>
      </w:pPr>
      <w:r w:rsidRPr="00BD7E30">
        <w:rPr>
          <w:rFonts w:cstheme="minorHAnsi"/>
        </w:rPr>
        <w:t>Les éléments clé de cette réforme :</w:t>
      </w:r>
    </w:p>
    <w:p w:rsidR="00BD7E30" w:rsidRPr="00BD7E30" w:rsidRDefault="00BD7E30" w:rsidP="007F607F">
      <w:pPr>
        <w:numPr>
          <w:ilvl w:val="0"/>
          <w:numId w:val="22"/>
        </w:numPr>
        <w:rPr>
          <w:rFonts w:cstheme="minorHAnsi"/>
          <w:b/>
          <w:bCs/>
        </w:rPr>
      </w:pPr>
      <w:r w:rsidRPr="00BD7E30">
        <w:rPr>
          <w:rFonts w:cstheme="minorHAnsi"/>
          <w:b/>
          <w:bCs/>
        </w:rPr>
        <w:t>Mise en conforme à la Convention internationale des droits de l’enfant</w:t>
      </w:r>
    </w:p>
    <w:p w:rsidR="00BD7E30" w:rsidRPr="00BD7E30" w:rsidRDefault="00BD7E30" w:rsidP="007F607F">
      <w:pPr>
        <w:numPr>
          <w:ilvl w:val="0"/>
          <w:numId w:val="22"/>
        </w:numPr>
        <w:rPr>
          <w:rFonts w:cstheme="minorHAnsi"/>
        </w:rPr>
      </w:pPr>
      <w:r w:rsidRPr="00BD7E30">
        <w:rPr>
          <w:rFonts w:cstheme="minorHAnsi"/>
          <w:b/>
          <w:bCs/>
        </w:rPr>
        <w:t xml:space="preserve">Renforcement de l’n Office national de l’enfance fort pour des familles fortes : </w:t>
      </w:r>
      <w:r w:rsidRPr="00BD7E30">
        <w:rPr>
          <w:rFonts w:cstheme="minorHAnsi"/>
        </w:rPr>
        <w:t>La nouvelle loi renforce l’ONE et élargit ses compétences à l’éducation et la prévention. Grâce à son approche holistique de la prise en charge de l’ensemble de la famille, l’ONE considèrera désormais la famille comme un partenaire égal et accompagnera celle-ci tant dans la planification que dans la mise en œuvre des mesures d’aide.</w:t>
      </w:r>
    </w:p>
    <w:p w:rsidR="00BD7E30" w:rsidRPr="00BD7E30" w:rsidRDefault="00BD7E30" w:rsidP="007F607F">
      <w:pPr>
        <w:numPr>
          <w:ilvl w:val="0"/>
          <w:numId w:val="22"/>
        </w:numPr>
        <w:rPr>
          <w:rFonts w:cstheme="minorHAnsi"/>
        </w:rPr>
      </w:pPr>
      <w:r w:rsidRPr="00BD7E30">
        <w:rPr>
          <w:rFonts w:cstheme="minorHAnsi"/>
          <w:b/>
          <w:bCs/>
        </w:rPr>
        <w:t xml:space="preserve">Renforcement de la qualité. </w:t>
      </w:r>
      <w:r w:rsidRPr="00BD7E30">
        <w:rPr>
          <w:rFonts w:cstheme="minorHAnsi"/>
        </w:rPr>
        <w:t>Ensemble avec les prestataires, l’ONE conduira une démarche collaborative et participative pour développer la qualité dans le secteur sur base du cadre de référence de l’aide à l’enfance et à la famille. Le focus sur le concept de protection de la jeunesse et de l’enfance constitue une part intégrale de la démarche qualité.</w:t>
      </w:r>
    </w:p>
    <w:p w:rsidR="00BD7E30" w:rsidRPr="00BD7E30" w:rsidRDefault="00BD7E30" w:rsidP="007F607F">
      <w:pPr>
        <w:numPr>
          <w:ilvl w:val="0"/>
          <w:numId w:val="22"/>
        </w:numPr>
        <w:rPr>
          <w:rFonts w:cstheme="minorHAnsi"/>
        </w:rPr>
      </w:pPr>
      <w:r w:rsidRPr="00BD7E30">
        <w:rPr>
          <w:rFonts w:cstheme="minorHAnsi"/>
          <w:b/>
          <w:bCs/>
        </w:rPr>
        <w:t xml:space="preserve">Renforcement des familles d’accueil. </w:t>
      </w:r>
      <w:r w:rsidRPr="00BD7E30">
        <w:rPr>
          <w:rFonts w:cstheme="minorHAnsi"/>
        </w:rPr>
        <w:t>Les familles d’accueil se voient renforcées comme prestataires de l’aide à l’enfance et à la famille avec la régularisation de leur statut, dont la possibilité de choisir le statut d’indépendant.</w:t>
      </w:r>
    </w:p>
    <w:p w:rsidR="00BD7E30" w:rsidRPr="00BD7E30" w:rsidRDefault="00BD7E30" w:rsidP="007F607F">
      <w:pPr>
        <w:numPr>
          <w:ilvl w:val="0"/>
          <w:numId w:val="22"/>
        </w:numPr>
        <w:rPr>
          <w:rFonts w:cstheme="minorHAnsi"/>
        </w:rPr>
      </w:pPr>
      <w:r w:rsidRPr="00BD7E30">
        <w:rPr>
          <w:rFonts w:cstheme="minorHAnsi"/>
        </w:rPr>
        <w:t>De nouvelles missions pour le Centre socio-éducatif de l’État (CSEE)</w:t>
      </w:r>
    </w:p>
    <w:p w:rsidR="00BD7E30" w:rsidRPr="00BD7E30" w:rsidRDefault="00BD7E30" w:rsidP="00BD7E30">
      <w:pPr>
        <w:rPr>
          <w:rFonts w:cstheme="minorHAnsi"/>
        </w:rPr>
      </w:pPr>
      <w:r w:rsidRPr="00BD7E30">
        <w:rPr>
          <w:rFonts w:cstheme="minorHAnsi"/>
        </w:rPr>
        <w:t>La déjudiciarisation de la protection de la jeunesse et la séparation entre le droit pénal pour mineurs et la protection de la jeunesse conduisent à une transformation de l’act</w:t>
      </w:r>
      <w:r>
        <w:rPr>
          <w:rFonts w:cstheme="minorHAnsi"/>
        </w:rPr>
        <w:t xml:space="preserve">uel CSEE. L’UNISEC, l’unité </w:t>
      </w:r>
      <w:proofErr w:type="gramStart"/>
      <w:r>
        <w:rPr>
          <w:rFonts w:cstheme="minorHAnsi"/>
        </w:rPr>
        <w:t xml:space="preserve">de  </w:t>
      </w:r>
      <w:r w:rsidRPr="00BD7E30">
        <w:rPr>
          <w:rFonts w:cstheme="minorHAnsi"/>
        </w:rPr>
        <w:t>sécurité</w:t>
      </w:r>
      <w:proofErr w:type="gramEnd"/>
      <w:r w:rsidRPr="00BD7E30">
        <w:rPr>
          <w:rFonts w:cstheme="minorHAnsi"/>
        </w:rPr>
        <w:t xml:space="preserve"> du CSEE, tombera désormais sous la compétence de l’Administration pénitentiaire. Le CSEE va se décentraliser en petits groupes de vie répartis à travers le pays et se focaliser sur la protection de la jeunesse, la prévention de la criminalité juvénile et le travail avec les familles. </w:t>
      </w:r>
    </w:p>
    <w:p w:rsidR="00BD7E30" w:rsidRPr="00BD7E30" w:rsidRDefault="00BD7E30" w:rsidP="00BD7E30">
      <w:pPr>
        <w:rPr>
          <w:rFonts w:cstheme="minorHAnsi"/>
        </w:rPr>
      </w:pPr>
      <w:r w:rsidRPr="00BD7E30">
        <w:rPr>
          <w:rFonts w:cstheme="minorHAnsi"/>
        </w:rPr>
        <w:t>Actuellement</w:t>
      </w:r>
      <w:r>
        <w:rPr>
          <w:rFonts w:cstheme="minorHAnsi"/>
        </w:rPr>
        <w:t>,</w:t>
      </w:r>
      <w:r w:rsidRPr="00BD7E30">
        <w:rPr>
          <w:rFonts w:cstheme="minorHAnsi"/>
        </w:rPr>
        <w:t xml:space="preserve"> ces mineurs sont placés dans l’UNISEC. Opérationnelle depuis le 1</w:t>
      </w:r>
      <w:r w:rsidRPr="00BD7E30">
        <w:rPr>
          <w:rFonts w:cstheme="minorHAnsi"/>
          <w:vertAlign w:val="superscript"/>
        </w:rPr>
        <w:t>er</w:t>
      </w:r>
      <w:r w:rsidRPr="00BD7E30">
        <w:rPr>
          <w:rFonts w:cstheme="minorHAnsi"/>
        </w:rPr>
        <w:t> novembre 2017, l’Unité de sécurité (</w:t>
      </w:r>
      <w:proofErr w:type="spellStart"/>
      <w:r w:rsidRPr="00BD7E30">
        <w:rPr>
          <w:rFonts w:cstheme="minorHAnsi"/>
        </w:rPr>
        <w:t>Unisec</w:t>
      </w:r>
      <w:proofErr w:type="spellEnd"/>
      <w:r w:rsidRPr="00BD7E30">
        <w:rPr>
          <w:rFonts w:cstheme="minorHAnsi"/>
        </w:rPr>
        <w:t xml:space="preserve">) à </w:t>
      </w:r>
      <w:proofErr w:type="spellStart"/>
      <w:r w:rsidRPr="00BD7E30">
        <w:rPr>
          <w:rFonts w:cstheme="minorHAnsi"/>
        </w:rPr>
        <w:t>Dreiborn</w:t>
      </w:r>
      <w:proofErr w:type="spellEnd"/>
      <w:r w:rsidRPr="00BD7E30">
        <w:rPr>
          <w:rFonts w:cstheme="minorHAnsi"/>
        </w:rPr>
        <w:t xml:space="preserve"> est une unité fermée pour mineurs destinée à accueillir jusqu’à 12 jeunes. Cette unité fermée accueille des mineurs placés pour une durée de 3 mois renouvelables sur décision des autorités judiciaires sous le régime de la protection de la jeunesse.</w:t>
      </w:r>
    </w:p>
    <w:p w:rsidR="00BD7E30" w:rsidRPr="00BD7E30" w:rsidRDefault="00BD7E30" w:rsidP="00BD7E30">
      <w:pPr>
        <w:rPr>
          <w:rFonts w:cstheme="minorHAnsi"/>
        </w:rPr>
      </w:pPr>
      <w:r w:rsidRPr="00BD7E30">
        <w:rPr>
          <w:rFonts w:cstheme="minorHAnsi"/>
        </w:rPr>
        <w:t>Le concept de prise en charge prévoit un encadrement psychopédagogique intense des jeunes accueillis, dans un objectif de remobilisation et de responsabilisation. Pour chaque jeune est élaboré un projet individuel axé sur ses potentialités et ressources et orienté vers son avenir.</w:t>
      </w:r>
    </w:p>
    <w:p w:rsidR="00BD7E30" w:rsidRPr="00BD7E30" w:rsidRDefault="00BD7E30" w:rsidP="00BD7E30">
      <w:pPr>
        <w:rPr>
          <w:rFonts w:cstheme="minorHAnsi"/>
        </w:rPr>
      </w:pPr>
      <w:r w:rsidRPr="00BD7E30">
        <w:rPr>
          <w:rFonts w:cstheme="minorHAnsi"/>
        </w:rPr>
        <w:lastRenderedPageBreak/>
        <w:t xml:space="preserve">L’équipe des professionnels appelés à encadrer les jeunes est hautement interdisciplinaire, alliant agents de sécurité et personnel psycho-éducatif et social. Une collaboration étroite avec les services de psychiatrie juvénile est également </w:t>
      </w:r>
    </w:p>
    <w:p w:rsidR="00BD7E30" w:rsidRPr="004F1B78" w:rsidRDefault="004F1B78" w:rsidP="002471FF">
      <w:pPr>
        <w:pStyle w:val="Heading3"/>
      </w:pPr>
      <w:bookmarkStart w:id="54" w:name="_Toc116401354"/>
      <w:r w:rsidRPr="004F1B78">
        <w:t>Mariages forcés précoces</w:t>
      </w:r>
      <w:bookmarkEnd w:id="54"/>
      <w:r w:rsidRPr="004F1B78">
        <w:t xml:space="preserve"> </w:t>
      </w:r>
    </w:p>
    <w:p w:rsidR="004F1B78" w:rsidRPr="004F1B78" w:rsidRDefault="004F1B78" w:rsidP="004F1B78">
      <w:r w:rsidRPr="004F1B78">
        <w:t>Le mariage forcé est le fait de marier ou de pacser une personne contre sa volonté. Il s’agit souvent de mariages arrangés où la famille impose le mariage ou le partenariat à son enfant. La majorité des victimes sont des filles et des femmes, mais les garçons et les hommes peuvent aussi en être victimes. C’est une violence fondée sur le sexe.</w:t>
      </w:r>
    </w:p>
    <w:p w:rsidR="004F1B78" w:rsidRPr="004F1B78" w:rsidRDefault="004F1B78" w:rsidP="004F1B78">
      <w:r w:rsidRPr="004F1B78">
        <w:t>Tout mariage ou partenariat nécessite le consentement mutuel, libre et volontaire de chacun des futurs époux. </w:t>
      </w:r>
      <w:r w:rsidRPr="004F1B78">
        <w:rPr>
          <w:b/>
          <w:bCs/>
        </w:rPr>
        <w:t>Toute union entre deux personnes, qu’elle soit civile, religieuse ou coutumière, contractée sur base de menaces et de violences et sans le consentement des deux futurs époux est considéré comme forcée.</w:t>
      </w:r>
    </w:p>
    <w:p w:rsidR="004F1B78" w:rsidRPr="004F1B78" w:rsidRDefault="004F1B78" w:rsidP="004F1B78">
      <w:r w:rsidRPr="004F1B78">
        <w:t>Le </w:t>
      </w:r>
      <w:hyperlink r:id="rId27" w:history="1">
        <w:r w:rsidRPr="004F1B78">
          <w:rPr>
            <w:rStyle w:val="Hyperlink"/>
            <w:rFonts w:cstheme="minorHAnsi"/>
            <w:iCs/>
          </w:rPr>
          <w:t>Code Pénal</w:t>
        </w:r>
        <w:r w:rsidRPr="004F1B78">
          <w:rPr>
            <w:rStyle w:val="Hyperlink"/>
            <w:rFonts w:cstheme="minorHAnsi"/>
            <w:i/>
            <w:iCs/>
          </w:rPr>
          <w:t> </w:t>
        </w:r>
      </w:hyperlink>
      <w:r w:rsidRPr="004F1B78">
        <w:t>incrimine le mariage et le partenariat forcés à </w:t>
      </w:r>
      <w:hyperlink r:id="rId28" w:history="1">
        <w:r w:rsidRPr="004F1B78">
          <w:rPr>
            <w:rStyle w:val="Hyperlink"/>
            <w:rFonts w:cstheme="minorHAnsi"/>
            <w:iCs/>
          </w:rPr>
          <w:t>l’article 389</w:t>
        </w:r>
      </w:hyperlink>
      <w:r w:rsidRPr="004F1B78">
        <w:t>.</w:t>
      </w:r>
    </w:p>
    <w:p w:rsidR="004F1B78" w:rsidRPr="004F1B78" w:rsidRDefault="004F1B78" w:rsidP="004F1B78">
      <w:r w:rsidRPr="004F1B78">
        <w:t>Le fait pour un Luxembourgeois, une personne résidente au Luxembourg ou un étranger qui se trouve au Luxembourg de marier ou de pacser de force à l’étranger une personne est également incriminé par le </w:t>
      </w:r>
      <w:hyperlink r:id="rId29" w:history="1">
        <w:r w:rsidRPr="004F1B78">
          <w:rPr>
            <w:rStyle w:val="Hyperlink"/>
            <w:rFonts w:cstheme="minorHAnsi"/>
            <w:iCs/>
          </w:rPr>
          <w:t>Code de procédure pénale</w:t>
        </w:r>
      </w:hyperlink>
      <w:r w:rsidRPr="004F1B78">
        <w:t> à l’article 5-1.</w:t>
      </w:r>
    </w:p>
    <w:p w:rsidR="004F1B78" w:rsidRPr="004F1B78" w:rsidRDefault="004F1B78" w:rsidP="004F1B78">
      <w:r w:rsidRPr="004F1B78">
        <w:t>Peu importe que </w:t>
      </w:r>
      <w:r w:rsidRPr="004F1B78">
        <w:rPr>
          <w:b/>
          <w:bCs/>
        </w:rPr>
        <w:t>vous subissiez la violence</w:t>
      </w:r>
      <w:r w:rsidRPr="004F1B78">
        <w:t>, que vous </w:t>
      </w:r>
      <w:r w:rsidRPr="004F1B78">
        <w:rPr>
          <w:b/>
          <w:bCs/>
        </w:rPr>
        <w:t>soyez témoin</w:t>
      </w:r>
      <w:r w:rsidRPr="004F1B78">
        <w:t> ou que vous </w:t>
      </w:r>
      <w:r w:rsidRPr="004F1B78">
        <w:rPr>
          <w:b/>
          <w:bCs/>
        </w:rPr>
        <w:t>ayez recours</w:t>
      </w:r>
      <w:r w:rsidRPr="004F1B78">
        <w:t> </w:t>
      </w:r>
      <w:r w:rsidRPr="004F1B78">
        <w:rPr>
          <w:b/>
          <w:bCs/>
        </w:rPr>
        <w:t>à la violence</w:t>
      </w:r>
      <w:r w:rsidRPr="004F1B78">
        <w:t>, sachez que vous n’êtes pas seul-e-s. Vous pouvez briser le cycle de la violence et demander de l’aide pour vous en sortir.</w:t>
      </w:r>
    </w:p>
    <w:p w:rsidR="004F1B78" w:rsidRPr="004F1B78" w:rsidRDefault="004F1B78" w:rsidP="004F1B78">
      <w:pPr>
        <w:rPr>
          <w:rFonts w:cstheme="minorHAnsi"/>
        </w:rPr>
      </w:pPr>
      <w:r>
        <w:rPr>
          <w:rFonts w:cstheme="minorHAnsi"/>
        </w:rPr>
        <w:t xml:space="preserve">Du point de vue du droit civil, les </w:t>
      </w:r>
      <w:r w:rsidRPr="004F1B78">
        <w:rPr>
          <w:rFonts w:cstheme="minorHAnsi"/>
        </w:rPr>
        <w:t xml:space="preserve">différentes </w:t>
      </w:r>
      <w:r>
        <w:rPr>
          <w:rFonts w:cstheme="minorHAnsi"/>
        </w:rPr>
        <w:t>dispositions en droit civil</w:t>
      </w:r>
      <w:r w:rsidRPr="004F1B78">
        <w:rPr>
          <w:rFonts w:cstheme="minorHAnsi"/>
        </w:rPr>
        <w:t xml:space="preserve"> s'appliquent</w:t>
      </w:r>
      <w:r>
        <w:rPr>
          <w:rFonts w:cstheme="minorHAnsi"/>
        </w:rPr>
        <w:t xml:space="preserve"> également pour</w:t>
      </w:r>
      <w:r w:rsidRPr="004F1B78">
        <w:rPr>
          <w:rFonts w:cstheme="minorHAnsi"/>
        </w:rPr>
        <w:t xml:space="preserve"> la validité du mariage (entre autres au niveau de l'âge, il faut en principe avoir au moin</w:t>
      </w:r>
      <w:r w:rsidR="00652868">
        <w:rPr>
          <w:rFonts w:cstheme="minorHAnsi"/>
        </w:rPr>
        <w:t xml:space="preserve">s 18 ans). La </w:t>
      </w:r>
      <w:r w:rsidRPr="004F1B78">
        <w:rPr>
          <w:rFonts w:cstheme="minorHAnsi"/>
        </w:rPr>
        <w:t xml:space="preserve">reconnaissance au Luxembourg d'un mariage célébré à l'étranger est également soumise à ces conditions. </w:t>
      </w:r>
      <w:r w:rsidR="00652868">
        <w:rPr>
          <w:rFonts w:cstheme="minorHAnsi"/>
        </w:rPr>
        <w:t>En d’autres termes,</w:t>
      </w:r>
      <w:r w:rsidRPr="004F1B78">
        <w:rPr>
          <w:rFonts w:cstheme="minorHAnsi"/>
        </w:rPr>
        <w:t xml:space="preserve"> si un mariage a été célébré à l'étranger avec une personne âgée de moins de </w:t>
      </w:r>
      <w:r w:rsidR="00652868">
        <w:rPr>
          <w:rFonts w:cstheme="minorHAnsi"/>
        </w:rPr>
        <w:t>dix-huit</w:t>
      </w:r>
      <w:r w:rsidRPr="004F1B78">
        <w:rPr>
          <w:rFonts w:cstheme="minorHAnsi"/>
        </w:rPr>
        <w:t xml:space="preserve"> ans, l'officier d'état civil peut refuser de reconnaître le mar</w:t>
      </w:r>
      <w:r w:rsidR="00652868">
        <w:rPr>
          <w:rFonts w:cstheme="minorHAnsi"/>
        </w:rPr>
        <w:t>iage. Dans le cas d'un mariage « forcé »</w:t>
      </w:r>
      <w:r w:rsidRPr="004F1B78">
        <w:rPr>
          <w:rFonts w:cstheme="minorHAnsi"/>
        </w:rPr>
        <w:t>, la reconnaissance peut également être refusée, car tout mariage doit être librement consenti.</w:t>
      </w:r>
    </w:p>
    <w:p w:rsidR="004F1B78" w:rsidRPr="0007351E" w:rsidRDefault="004F1B78" w:rsidP="00BD7E30">
      <w:pPr>
        <w:rPr>
          <w:rFonts w:cstheme="minorHAnsi"/>
        </w:rPr>
      </w:pPr>
    </w:p>
    <w:p w:rsidR="00322E81" w:rsidRDefault="006C383F" w:rsidP="002471FF">
      <w:pPr>
        <w:pStyle w:val="Heading2"/>
      </w:pPr>
      <w:bookmarkStart w:id="55" w:name="_Toc116401355"/>
      <w:r w:rsidRPr="0007351E">
        <w:t xml:space="preserve">Droit à </w:t>
      </w:r>
      <w:r w:rsidR="006717BE" w:rsidRPr="0007351E">
        <w:t>un niveau de vie suffisant (article</w:t>
      </w:r>
      <w:r w:rsidR="00322E81">
        <w:t xml:space="preserve"> 11)</w:t>
      </w:r>
      <w:bookmarkEnd w:id="55"/>
    </w:p>
    <w:p w:rsidR="003424CE" w:rsidRPr="00322E81" w:rsidRDefault="003424CE" w:rsidP="002471FF">
      <w:pPr>
        <w:pStyle w:val="Heading3"/>
        <w:rPr>
          <w:color w:val="FF5050"/>
        </w:rPr>
      </w:pPr>
      <w:bookmarkStart w:id="56" w:name="_Toc116401356"/>
      <w:r w:rsidRPr="003424CE">
        <w:t>Aides pour demandeurs de protection internationale (DPI)</w:t>
      </w:r>
      <w:bookmarkEnd w:id="56"/>
    </w:p>
    <w:p w:rsidR="003424CE" w:rsidRPr="003424CE" w:rsidRDefault="003424CE" w:rsidP="002471FF">
      <w:pPr>
        <w:pStyle w:val="Heading4"/>
      </w:pPr>
      <w:bookmarkStart w:id="57" w:name="_Toc116401357"/>
      <w:r w:rsidRPr="003424CE">
        <w:t>Aides sociales</w:t>
      </w:r>
      <w:bookmarkEnd w:id="57"/>
    </w:p>
    <w:p w:rsidR="003424CE" w:rsidRPr="003424CE" w:rsidRDefault="003424CE" w:rsidP="007F607F">
      <w:pPr>
        <w:pStyle w:val="ListParagraph"/>
        <w:numPr>
          <w:ilvl w:val="0"/>
          <w:numId w:val="14"/>
        </w:numPr>
        <w:contextualSpacing w:val="0"/>
        <w:rPr>
          <w:b/>
          <w:u w:val="single"/>
        </w:rPr>
      </w:pPr>
      <w:r w:rsidRPr="003424CE">
        <w:rPr>
          <w:b/>
          <w:u w:val="single"/>
        </w:rPr>
        <w:t>Hébergement et repas</w:t>
      </w:r>
      <w:r w:rsidRPr="003424CE">
        <w:t> :</w:t>
      </w:r>
      <w:r w:rsidRPr="003424CE">
        <w:rPr>
          <w:b/>
        </w:rPr>
        <w:t xml:space="preserve"> </w:t>
      </w:r>
      <w:r w:rsidRPr="003424CE">
        <w:t xml:space="preserve">Tout demandeur de protection internationale (DPI) a droit à l’hébergement dans une structure d’hébergement de l’Office national de l’accueil (ONA). Il/elle peut choisir de vivre dans un logement privé, chez des membres de sa famille ou des amis. Il/elle bénéficie alors des mêmes aides qu’un DPI logé dans une structure d’hébergement de l’ONA. </w:t>
      </w:r>
      <w:r>
        <w:t xml:space="preserve">(Cf. aussi infra. </w:t>
      </w:r>
      <w:proofErr w:type="gramStart"/>
      <w:r>
        <w:t>sous</w:t>
      </w:r>
      <w:proofErr w:type="gramEnd"/>
      <w:r w:rsidRPr="003424CE">
        <w:t xml:space="preserve"> </w:t>
      </w:r>
      <w:r>
        <w:t>« </w:t>
      </w:r>
      <w:r w:rsidRPr="003424CE">
        <w:t>Hébergement des Demandeurs de Protection Internationale (DPI)</w:t>
      </w:r>
      <w:r>
        <w:t> »)</w:t>
      </w:r>
    </w:p>
    <w:p w:rsidR="003424CE" w:rsidRPr="003424CE" w:rsidRDefault="003424CE" w:rsidP="007F607F">
      <w:pPr>
        <w:pStyle w:val="ListParagraph"/>
        <w:numPr>
          <w:ilvl w:val="0"/>
          <w:numId w:val="14"/>
        </w:numPr>
        <w:ind w:left="1134" w:hanging="357"/>
        <w:contextualSpacing w:val="0"/>
        <w:rPr>
          <w:b/>
          <w:u w:val="single"/>
        </w:rPr>
      </w:pPr>
      <w:r w:rsidRPr="003424CE">
        <w:rPr>
          <w:b/>
          <w:u w:val="single"/>
        </w:rPr>
        <w:lastRenderedPageBreak/>
        <w:t>Allocation mensuelle</w:t>
      </w:r>
      <w:r w:rsidRPr="003424CE">
        <w:t> : Tout demandeur de protection internationale (DPI) a droit à une allocation mensuelle.</w:t>
      </w:r>
    </w:p>
    <w:p w:rsidR="003424CE" w:rsidRPr="003424CE" w:rsidRDefault="003424CE" w:rsidP="007F607F">
      <w:pPr>
        <w:pStyle w:val="ListParagraph"/>
        <w:numPr>
          <w:ilvl w:val="0"/>
          <w:numId w:val="14"/>
        </w:numPr>
        <w:ind w:left="1134" w:hanging="357"/>
        <w:contextualSpacing w:val="0"/>
        <w:rPr>
          <w:b/>
          <w:u w:val="single"/>
        </w:rPr>
      </w:pPr>
      <w:r w:rsidRPr="003424CE">
        <w:rPr>
          <w:b/>
          <w:u w:val="single"/>
        </w:rPr>
        <w:t>Vêtements et produits d’hygiène</w:t>
      </w:r>
      <w:r w:rsidRPr="003424CE">
        <w:t> : Lors de son séjour dans une structure de primo-accueil, tout DPI a droit à des kits d’hygiène. Par la suite, dans la structure d’hébergement temporaire, il/elle reçoit à intervalles réguliers des bons pour produits d’hygiène de l’ONA. Tous les trois mois, il/elle reçoit également un bon vestiaire de la Croix-Rouge luxembourgeoise pour acheter des vêtements dans une sélection de magasins.</w:t>
      </w:r>
    </w:p>
    <w:p w:rsidR="003424CE" w:rsidRPr="003424CE" w:rsidRDefault="003424CE" w:rsidP="007F607F">
      <w:pPr>
        <w:pStyle w:val="ListParagraph"/>
        <w:numPr>
          <w:ilvl w:val="0"/>
          <w:numId w:val="14"/>
        </w:numPr>
        <w:contextualSpacing w:val="0"/>
        <w:rPr>
          <w:b/>
          <w:u w:val="single"/>
        </w:rPr>
      </w:pPr>
      <w:r w:rsidRPr="003424CE">
        <w:rPr>
          <w:b/>
          <w:u w:val="single"/>
        </w:rPr>
        <w:t>Soins médicaux de base</w:t>
      </w:r>
      <w:r w:rsidRPr="003424CE">
        <w:t> :</w:t>
      </w:r>
      <w:r w:rsidRPr="003424CE">
        <w:rPr>
          <w:b/>
        </w:rPr>
        <w:t xml:space="preserve"> </w:t>
      </w:r>
      <w:r w:rsidRPr="003424CE">
        <w:t>Après le dépôt de sa demande de protection internationale, tout DPI est soumis à un examen médical obligatoire.</w:t>
      </w:r>
      <w:r w:rsidRPr="00322E81">
        <w:rPr>
          <w:b/>
        </w:rPr>
        <w:t xml:space="preserve"> </w:t>
      </w:r>
      <w:r w:rsidRPr="003424CE">
        <w:t>L’ONA se charge de l’affilier à l’assurance maladie auprès de la Caisse nationale de santé (CNS).</w:t>
      </w:r>
      <w:r w:rsidRPr="003424CE">
        <w:rPr>
          <w:b/>
        </w:rPr>
        <w:t xml:space="preserve"> </w:t>
      </w:r>
      <w:r w:rsidRPr="003424CE">
        <w:t>S’il/elle doit consulter un médecin pendant la période initiale de stage de 3 mois, il/elle doit se rendre au service médical de la Cellule Santé des DPI. Après la période de stage de trois mois, il/elle aura le libre choix de son médecin au Luxembourg.</w:t>
      </w:r>
      <w:r w:rsidRPr="003424CE">
        <w:rPr>
          <w:b/>
        </w:rPr>
        <w:t xml:space="preserve"> </w:t>
      </w:r>
      <w:r w:rsidRPr="003424CE">
        <w:t>Les soins médicaux de base sont pris en charge par l’ONA via le système d’avance des frais médicaux (AFM).</w:t>
      </w:r>
      <w:r w:rsidR="00322E81">
        <w:t xml:space="preserve"> (Cf. aussi infra. </w:t>
      </w:r>
      <w:proofErr w:type="gramStart"/>
      <w:r w:rsidR="00322E81">
        <w:t>sous</w:t>
      </w:r>
      <w:proofErr w:type="gramEnd"/>
      <w:r w:rsidR="00322E81">
        <w:t xml:space="preserve"> « </w:t>
      </w:r>
      <w:r w:rsidR="00322E81" w:rsidRPr="00322E81">
        <w:t>Accès aux soins de santé pour les demandeurs de protection internationale (DPI), bénéficiaire de protection internationale (BPI) et bénéficiaires de protection temporaire (BPT)</w:t>
      </w:r>
      <w:r w:rsidR="00322E81">
        <w:t xml:space="preserve"> »). </w:t>
      </w:r>
    </w:p>
    <w:p w:rsidR="003424CE" w:rsidRPr="003424CE" w:rsidRDefault="003424CE" w:rsidP="007F607F">
      <w:pPr>
        <w:pStyle w:val="ListParagraph"/>
        <w:numPr>
          <w:ilvl w:val="0"/>
          <w:numId w:val="14"/>
        </w:numPr>
        <w:ind w:left="1134" w:hanging="357"/>
        <w:contextualSpacing w:val="0"/>
        <w:rPr>
          <w:b/>
          <w:u w:val="single"/>
        </w:rPr>
      </w:pPr>
      <w:r w:rsidRPr="003424CE">
        <w:rPr>
          <w:b/>
          <w:u w:val="single"/>
        </w:rPr>
        <w:t>Aides scolaires</w:t>
      </w:r>
      <w:r w:rsidRPr="003424CE">
        <w:t> :</w:t>
      </w:r>
      <w:r w:rsidRPr="003424CE">
        <w:rPr>
          <w:b/>
        </w:rPr>
        <w:t xml:space="preserve"> </w:t>
      </w:r>
      <w:r w:rsidRPr="003424CE">
        <w:t>Le Luxembourg a une obligation scolaire pour chaque enfant entre 4 et 16 ans, quel que soit le statut de l’enfant ou des parents.</w:t>
      </w:r>
      <w:r w:rsidRPr="003424CE">
        <w:rPr>
          <w:b/>
        </w:rPr>
        <w:t xml:space="preserve"> </w:t>
      </w:r>
      <w:r w:rsidRPr="003424CE">
        <w:t>La plupart des livres scolaires sont mis à disposition par le Ministère de l’</w:t>
      </w:r>
      <w:proofErr w:type="spellStart"/>
      <w:r w:rsidRPr="003424CE">
        <w:t>Education</w:t>
      </w:r>
      <w:proofErr w:type="spellEnd"/>
      <w:r w:rsidRPr="003424CE">
        <w:t xml:space="preserve"> nationale, de l’Enfance et de la Jeunesse. Les frais scolaires et le matériel scolaire additionnel sont couverts par des aides en nature ou des bons d’achat par l’ONA.</w:t>
      </w:r>
      <w:r w:rsidRPr="003424CE">
        <w:rPr>
          <w:b/>
        </w:rPr>
        <w:t xml:space="preserve"> </w:t>
      </w:r>
      <w:r w:rsidRPr="003424CE">
        <w:t>L’ONA distribue fournit une aide scolaire annuelle pour les enfants dans l’enseignement fondamental et secondaire. Cette aide sert à financer l’achat de matériel scolaire pour les enfants à partir de 3 ans (pour l’éducation précoce sous présentation d’une liste de matériel). Un certificat de scolarité est requis pour les élèves de 16 ans et plus.</w:t>
      </w:r>
    </w:p>
    <w:p w:rsidR="003424CE" w:rsidRPr="003424CE" w:rsidRDefault="003424CE" w:rsidP="002471FF">
      <w:pPr>
        <w:pStyle w:val="Heading4"/>
      </w:pPr>
      <w:bookmarkStart w:id="58" w:name="_Toc116401358"/>
      <w:r w:rsidRPr="003424CE">
        <w:t>Autres aides</w:t>
      </w:r>
      <w:bookmarkEnd w:id="58"/>
    </w:p>
    <w:p w:rsidR="003424CE" w:rsidRPr="003424CE" w:rsidRDefault="003424CE" w:rsidP="007F607F">
      <w:pPr>
        <w:pStyle w:val="ListParagraph"/>
        <w:numPr>
          <w:ilvl w:val="0"/>
          <w:numId w:val="15"/>
        </w:numPr>
        <w:ind w:left="1134" w:hanging="357"/>
        <w:contextualSpacing w:val="0"/>
      </w:pPr>
      <w:r w:rsidRPr="003424CE">
        <w:rPr>
          <w:b/>
          <w:u w:val="single"/>
        </w:rPr>
        <w:t>Programme pédagogique</w:t>
      </w:r>
      <w:r w:rsidRPr="003424CE">
        <w:t xml:space="preserve"> : Des projets pédagogiques pour enfants et adultes DPI ont été développés par l’ONA et ses partenaires. </w:t>
      </w:r>
    </w:p>
    <w:p w:rsidR="003424CE" w:rsidRPr="003424CE" w:rsidRDefault="003424CE" w:rsidP="007F607F">
      <w:pPr>
        <w:pStyle w:val="ListParagraph"/>
        <w:numPr>
          <w:ilvl w:val="0"/>
          <w:numId w:val="15"/>
        </w:numPr>
        <w:ind w:left="1134" w:hanging="357"/>
        <w:contextualSpacing w:val="0"/>
      </w:pPr>
      <w:r w:rsidRPr="003424CE">
        <w:rPr>
          <w:b/>
          <w:u w:val="single"/>
        </w:rPr>
        <w:t xml:space="preserve">Encadrement spécifique des mineurs non accompagnés </w:t>
      </w:r>
      <w:r w:rsidRPr="003424CE">
        <w:t>: Pour tout mineur non accompagné, un administrateur ad hoc est nommé pour l’assister dans toutes les procédures et démarches relatives à sa demande de protection internationale.</w:t>
      </w:r>
    </w:p>
    <w:p w:rsidR="003424CE" w:rsidRPr="003424CE" w:rsidRDefault="003424CE" w:rsidP="007F607F">
      <w:pPr>
        <w:pStyle w:val="ListParagraph"/>
        <w:numPr>
          <w:ilvl w:val="0"/>
          <w:numId w:val="15"/>
        </w:numPr>
        <w:ind w:left="1134" w:hanging="357"/>
        <w:contextualSpacing w:val="0"/>
      </w:pPr>
      <w:r w:rsidRPr="003424CE">
        <w:rPr>
          <w:b/>
          <w:u w:val="single"/>
        </w:rPr>
        <w:t>Soins psychologiques</w:t>
      </w:r>
      <w:r w:rsidRPr="003424CE">
        <w:t xml:space="preserve"> : Une aide psychologique est proposée gratuitement en cas de besoin.</w:t>
      </w:r>
    </w:p>
    <w:p w:rsidR="003424CE" w:rsidRPr="003424CE" w:rsidRDefault="003424CE" w:rsidP="007F607F">
      <w:pPr>
        <w:pStyle w:val="ListParagraph"/>
        <w:numPr>
          <w:ilvl w:val="0"/>
          <w:numId w:val="15"/>
        </w:numPr>
        <w:ind w:left="1134" w:hanging="357"/>
        <w:contextualSpacing w:val="0"/>
      </w:pPr>
      <w:r w:rsidRPr="003424CE">
        <w:rPr>
          <w:b/>
          <w:u w:val="single"/>
        </w:rPr>
        <w:t>Conseil en matière sexuelle et reproductive</w:t>
      </w:r>
      <w:r w:rsidRPr="003424CE">
        <w:t xml:space="preserve"> : Des ateliers d’information et de discussion sont organisés sur l’éducation sexuelle, les maladies sexuellement transmissibles (MST), les mutilations génitales ou des questions concernant la reproduction.</w:t>
      </w:r>
    </w:p>
    <w:p w:rsidR="003424CE" w:rsidRPr="003424CE" w:rsidRDefault="003424CE" w:rsidP="002471FF">
      <w:pPr>
        <w:pStyle w:val="Heading3"/>
      </w:pPr>
      <w:bookmarkStart w:id="59" w:name="_Toc116401359"/>
      <w:r w:rsidRPr="003424CE">
        <w:t>Aides aux migrants en séjour irrégulier</w:t>
      </w:r>
      <w:bookmarkEnd w:id="59"/>
    </w:p>
    <w:p w:rsidR="003424CE" w:rsidRDefault="003424CE" w:rsidP="003424CE">
      <w:r w:rsidRPr="003424CE">
        <w:t xml:space="preserve">En considération de situations exceptionnelles, motivées par des raisons familiales, humanitaires ou de santé, l’ONA peut accorder, pour une durée limitée des aides matérielles relatives à la santé, </w:t>
      </w:r>
      <w:r w:rsidRPr="003424CE">
        <w:lastRenderedPageBreak/>
        <w:t>l’hygiène, la nutrition, l’éducation et la formation. Sont notamment visés les demandeurs déboutés de leur protection internationale, bénéficiant ou non, d’un sursis ou d’un report à l’éloignement, qui sont encore logés dans les structures d’hébergement de l’ONA.</w:t>
      </w:r>
    </w:p>
    <w:p w:rsidR="003424CE" w:rsidRPr="008E75D5" w:rsidRDefault="003424CE" w:rsidP="002471FF">
      <w:pPr>
        <w:pStyle w:val="Heading3"/>
      </w:pPr>
      <w:bookmarkStart w:id="60" w:name="_Toc116401360"/>
      <w:r w:rsidRPr="008E75D5">
        <w:t>Hébergement des Demandeurs de Protection Internationale (DPI)</w:t>
      </w:r>
      <w:bookmarkEnd w:id="60"/>
      <w:r w:rsidRPr="008E75D5">
        <w:t xml:space="preserve"> </w:t>
      </w:r>
    </w:p>
    <w:p w:rsidR="003424CE" w:rsidRPr="008E75D5" w:rsidRDefault="003424CE" w:rsidP="003424CE">
      <w:r w:rsidRPr="008E75D5">
        <w:t>Toute personne arrivant au Luxembourg et souhaitant déposer une demande de protection internationale (DPI) est d’abord accueillie dans le primo-accueil de l’Office national de l’accueil (ONA).</w:t>
      </w:r>
    </w:p>
    <w:p w:rsidR="003424CE" w:rsidRPr="008E75D5" w:rsidRDefault="003424CE" w:rsidP="007F607F">
      <w:pPr>
        <w:pStyle w:val="ListParagraph"/>
        <w:numPr>
          <w:ilvl w:val="0"/>
          <w:numId w:val="12"/>
        </w:numPr>
        <w:ind w:left="714" w:hanging="357"/>
        <w:contextualSpacing w:val="0"/>
      </w:pPr>
      <w:r w:rsidRPr="008E75D5">
        <w:t>En juin 2022, ce dispositif incluait le dispositif de primo-accueil (DPA), le Centre de primo-accueil (CPA) et le Centre d’accueil provisoire (CAP). Les nouveaux arrivants étaient orientés dans une première étape au DPA, sous autorité de la Direction de la Santé et encadrée par la Croix Rouge luxembourgeoise, pour dépistage du Covid-19 dans le cadre de la crise sanitaire.</w:t>
      </w:r>
    </w:p>
    <w:p w:rsidR="003424CE" w:rsidRPr="008E75D5" w:rsidRDefault="003424CE" w:rsidP="007F607F">
      <w:pPr>
        <w:pStyle w:val="ListParagraph"/>
        <w:numPr>
          <w:ilvl w:val="0"/>
          <w:numId w:val="12"/>
        </w:numPr>
        <w:ind w:left="714" w:hanging="357"/>
        <w:contextualSpacing w:val="0"/>
      </w:pPr>
      <w:r w:rsidRPr="008E75D5">
        <w:t>Les demandeurs de protection internationale (DPI) dont la demande est traitée en procédure standard sont ensuite hébergés au CPA où plusieurs intervenants, chacun ayant des tâches spécifiques, sont présents.</w:t>
      </w:r>
    </w:p>
    <w:p w:rsidR="003424CE" w:rsidRPr="008E75D5" w:rsidRDefault="003424CE" w:rsidP="007F607F">
      <w:pPr>
        <w:pStyle w:val="ListParagraph"/>
        <w:numPr>
          <w:ilvl w:val="0"/>
          <w:numId w:val="12"/>
        </w:numPr>
        <w:ind w:left="714" w:hanging="357"/>
        <w:contextualSpacing w:val="0"/>
      </w:pPr>
      <w:r w:rsidRPr="008E75D5">
        <w:t xml:space="preserve">L’hébergement au CPA est en principe limité à quelques semaines : cette phase d’accueil sert notamment à compléter les procédures administratives (ouverture de compte en banque, affiliation CNS…), l’examen médical obligatoire auprès de la Direction de la Santé, ainsi qu’à identifier les besoins spécifiques (médicaux, psychologiques, scolarisation, compétences linguistiques) des personnes et la détection d’éventuelles vulnérabilités. C’est aussi au primo-accueil que les premiers programmes de prise en charge des personnes à besoins spécifiques sont mis en place. Finalement, cette évaluation permet d’orienter les personnes au mieux par la suite vers une structure d’hébergement temporaire pour DPI (SHTDPI). </w:t>
      </w:r>
    </w:p>
    <w:p w:rsidR="003424CE" w:rsidRDefault="003424CE" w:rsidP="007F607F">
      <w:pPr>
        <w:pStyle w:val="ListParagraph"/>
        <w:numPr>
          <w:ilvl w:val="0"/>
          <w:numId w:val="12"/>
        </w:numPr>
        <w:ind w:left="714" w:hanging="357"/>
        <w:contextualSpacing w:val="0"/>
      </w:pPr>
      <w:r w:rsidRPr="008E75D5">
        <w:t>L’ONA dispose d’un réseau de structures d’hébergement pour l’accueil des demandeurs de protection internationale (DPI) réparties sur tout le territoire luxembourgeois. Ce réseau d’hébergement distingue les structures de primo-accueil et les structures d’hébergement temporaire des DPI (SHTDPI). Les structures de ce réseau d’hébergement sont très hétérogènes : de petits foyers familiaux qui accueillent une vingtaine de personnes jusqu’aux structures d’hébergement de grande capacité dépassant 300 personnes ; des bâtiments neufs, des structures reconverties ; des structures sans aucun encadrement sur place, jusqu’aux structures disposant d’un service de gardiennage et d’un encadrement socio-éducatif. Ce dernier peut soit être assuré par l’ONA directement, soit a été délégué à la Croix Rouge luxembour</w:t>
      </w:r>
      <w:r>
        <w:t>geoise ou la Fondation Caritas.</w:t>
      </w:r>
    </w:p>
    <w:p w:rsidR="008E75D5" w:rsidRPr="008E75D5" w:rsidRDefault="008E75D5" w:rsidP="002471FF">
      <w:pPr>
        <w:pStyle w:val="Heading3"/>
      </w:pPr>
      <w:bookmarkStart w:id="61" w:name="_Toc116401361"/>
      <w:r w:rsidRPr="008E75D5">
        <w:t>Aides au logement – Statistiques</w:t>
      </w:r>
      <w:bookmarkEnd w:id="61"/>
      <w:r w:rsidRPr="008E75D5">
        <w:t xml:space="preserve"> </w:t>
      </w:r>
    </w:p>
    <w:tbl>
      <w:tblPr>
        <w:tblW w:w="9496" w:type="dxa"/>
        <w:tblCellMar>
          <w:left w:w="0" w:type="dxa"/>
          <w:right w:w="0" w:type="dxa"/>
        </w:tblCellMar>
        <w:tblLook w:val="04A0" w:firstRow="1" w:lastRow="0" w:firstColumn="1" w:lastColumn="0" w:noHBand="0" w:noVBand="1"/>
      </w:tblPr>
      <w:tblGrid>
        <w:gridCol w:w="5996"/>
        <w:gridCol w:w="1300"/>
        <w:gridCol w:w="2200"/>
      </w:tblGrid>
      <w:tr w:rsidR="0079505B" w:rsidRPr="0079505B" w:rsidTr="0079505B">
        <w:trPr>
          <w:trHeight w:val="320"/>
        </w:trPr>
        <w:tc>
          <w:tcPr>
            <w:tcW w:w="9496" w:type="dxa"/>
            <w:gridSpan w:val="3"/>
            <w:noWrap/>
            <w:tcMar>
              <w:top w:w="0" w:type="dxa"/>
              <w:left w:w="70" w:type="dxa"/>
              <w:bottom w:w="0" w:type="dxa"/>
              <w:right w:w="70" w:type="dxa"/>
            </w:tcMar>
            <w:vAlign w:val="center"/>
            <w:hideMark/>
          </w:tcPr>
          <w:p w:rsidR="0079505B" w:rsidRPr="008E75D5" w:rsidRDefault="0079505B" w:rsidP="002471FF">
            <w:pPr>
              <w:pStyle w:val="Heading4"/>
            </w:pPr>
            <w:bookmarkStart w:id="62" w:name="_Toc116401362"/>
            <w:r w:rsidRPr="008E75D5">
              <w:t>Récapitulatif de l’ensemble des aides individuelles accordées par nature de l’aide individuelle</w:t>
            </w:r>
            <w:bookmarkEnd w:id="62"/>
            <w:r w:rsidRPr="008E75D5">
              <w:t xml:space="preserve"> </w:t>
            </w:r>
          </w:p>
        </w:tc>
      </w:tr>
      <w:tr w:rsidR="0079505B" w:rsidRPr="0079505B" w:rsidTr="0079505B">
        <w:trPr>
          <w:trHeight w:val="1360"/>
        </w:trPr>
        <w:tc>
          <w:tcPr>
            <w:tcW w:w="5996"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Calibri" w:cstheme="minorHAnsi"/>
                <w:lang w:val="en-US"/>
              </w:rPr>
            </w:pPr>
            <w:r w:rsidRPr="0079505B">
              <w:rPr>
                <w:rFonts w:eastAsia="Calibri" w:cstheme="minorHAnsi"/>
                <w:noProof/>
                <w:lang w:eastAsia="fr-FR"/>
              </w:rPr>
              <w:drawing>
                <wp:inline distT="0" distB="0" distL="0" distR="0" wp14:anchorId="506CB861" wp14:editId="5BF7A0E8">
                  <wp:extent cx="1382395" cy="10795"/>
                  <wp:effectExtent l="0" t="0" r="8255" b="8255"/>
                  <wp:docPr id="5" name="Picture 5" descr="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1.png"/>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1382395" cy="10795"/>
                          </a:xfrm>
                          <a:prstGeom prst="rect">
                            <a:avLst/>
                          </a:prstGeom>
                          <a:noFill/>
                          <a:ln>
                            <a:noFill/>
                          </a:ln>
                        </pic:spPr>
                      </pic:pic>
                    </a:graphicData>
                  </a:graphic>
                </wp:inline>
              </w:drawing>
            </w:r>
          </w:p>
          <w:tbl>
            <w:tblPr>
              <w:tblW w:w="0" w:type="auto"/>
              <w:tblCellSpacing w:w="0" w:type="dxa"/>
              <w:tblCellMar>
                <w:left w:w="0" w:type="dxa"/>
                <w:right w:w="0" w:type="dxa"/>
              </w:tblCellMar>
              <w:tblLook w:val="04A0" w:firstRow="1" w:lastRow="0" w:firstColumn="1" w:lastColumn="0" w:noHBand="0" w:noVBand="1"/>
            </w:tblPr>
            <w:tblGrid>
              <w:gridCol w:w="5580"/>
            </w:tblGrid>
            <w:tr w:rsidR="0079505B" w:rsidRPr="0079505B">
              <w:trPr>
                <w:trHeight w:val="1360"/>
                <w:tblCellSpacing w:w="0" w:type="dxa"/>
              </w:trPr>
              <w:tc>
                <w:tcPr>
                  <w:tcW w:w="5580" w:type="dxa"/>
                  <w:vAlign w:val="center"/>
                  <w:hideMark/>
                </w:tcPr>
                <w:p w:rsidR="0079505B" w:rsidRPr="0079505B" w:rsidRDefault="0079505B" w:rsidP="0079505B">
                  <w:pPr>
                    <w:spacing w:before="0" w:after="0" w:line="240" w:lineRule="auto"/>
                    <w:jc w:val="left"/>
                    <w:rPr>
                      <w:rFonts w:eastAsia="Calibri" w:cstheme="minorHAnsi"/>
                      <w:lang w:val="en-US"/>
                    </w:rPr>
                  </w:pPr>
                </w:p>
              </w:tc>
            </w:tr>
          </w:tbl>
          <w:p w:rsidR="0079505B" w:rsidRPr="0079505B" w:rsidRDefault="0079505B" w:rsidP="0079505B">
            <w:pPr>
              <w:spacing w:before="0" w:after="0" w:line="240" w:lineRule="auto"/>
              <w:jc w:val="left"/>
              <w:rPr>
                <w:rFonts w:eastAsia="Times New Roman" w:cstheme="minorHAnsi"/>
                <w:lang w:val="en-US"/>
              </w:rPr>
            </w:pPr>
          </w:p>
        </w:tc>
        <w:tc>
          <w:tcPr>
            <w:tcW w:w="1300" w:type="dxa"/>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lang w:val="en-US"/>
              </w:rPr>
            </w:pPr>
            <w:proofErr w:type="spellStart"/>
            <w:r w:rsidRPr="0079505B">
              <w:rPr>
                <w:rFonts w:eastAsia="Calibri" w:cstheme="minorHAnsi"/>
                <w:b/>
                <w:bCs/>
                <w:color w:val="000000"/>
                <w:lang w:val="en-US"/>
              </w:rPr>
              <w:t>Montants</w:t>
            </w:r>
            <w:proofErr w:type="spellEnd"/>
            <w:r w:rsidRPr="0079505B">
              <w:rPr>
                <w:rFonts w:eastAsia="Calibri" w:cstheme="minorHAnsi"/>
                <w:b/>
                <w:bCs/>
                <w:color w:val="000000"/>
                <w:lang w:val="en-US"/>
              </w:rPr>
              <w:t xml:space="preserve"> (</w:t>
            </w:r>
            <w:proofErr w:type="spellStart"/>
            <w:r w:rsidRPr="0079505B">
              <w:rPr>
                <w:rFonts w:eastAsia="Calibri" w:cstheme="minorHAnsi"/>
                <w:b/>
                <w:bCs/>
                <w:color w:val="000000"/>
                <w:lang w:val="en-US"/>
              </w:rPr>
              <w:t>en</w:t>
            </w:r>
            <w:proofErr w:type="spellEnd"/>
            <w:r w:rsidRPr="0079505B">
              <w:rPr>
                <w:rFonts w:eastAsia="Calibri" w:cstheme="minorHAnsi"/>
                <w:b/>
                <w:bCs/>
                <w:color w:val="000000"/>
                <w:lang w:val="en-US"/>
              </w:rPr>
              <w:t xml:space="preserve"> millions d’€)</w:t>
            </w:r>
          </w:p>
        </w:tc>
        <w:tc>
          <w:tcPr>
            <w:tcW w:w="2200" w:type="dxa"/>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lang w:val="en-US"/>
              </w:rPr>
            </w:pPr>
            <w:proofErr w:type="spellStart"/>
            <w:r w:rsidRPr="0079505B">
              <w:rPr>
                <w:rFonts w:eastAsia="Calibri" w:cstheme="minorHAnsi"/>
                <w:b/>
                <w:bCs/>
                <w:color w:val="000000"/>
                <w:lang w:val="en-US"/>
              </w:rPr>
              <w:t>Nombre</w:t>
            </w:r>
            <w:proofErr w:type="spellEnd"/>
            <w:r w:rsidRPr="0079505B">
              <w:rPr>
                <w:rFonts w:eastAsia="Calibri" w:cstheme="minorHAnsi"/>
                <w:b/>
                <w:bCs/>
                <w:color w:val="000000"/>
                <w:lang w:val="en-US"/>
              </w:rPr>
              <w:t xml:space="preserve"> des dossiers </w:t>
            </w:r>
            <w:proofErr w:type="spellStart"/>
            <w:r w:rsidRPr="0079505B">
              <w:rPr>
                <w:rFonts w:eastAsia="Calibri" w:cstheme="minorHAnsi"/>
                <w:b/>
                <w:bCs/>
                <w:color w:val="000000"/>
                <w:lang w:val="en-US"/>
              </w:rPr>
              <w:t>individuels</w:t>
            </w:r>
            <w:proofErr w:type="spellEnd"/>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rPr>
            </w:pPr>
            <w:r w:rsidRPr="0079505B">
              <w:rPr>
                <w:rFonts w:eastAsia="Calibri" w:cstheme="minorHAnsi"/>
                <w:b/>
                <w:bCs/>
                <w:color w:val="000000"/>
              </w:rPr>
              <w:lastRenderedPageBreak/>
              <w:t>Primes pour Accès à la Propriété</w:t>
            </w:r>
          </w:p>
        </w:tc>
        <w:tc>
          <w:tcPr>
            <w:tcW w:w="13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Calibri" w:cstheme="minorHAnsi"/>
              </w:rPr>
            </w:pPr>
          </w:p>
        </w:tc>
        <w:tc>
          <w:tcPr>
            <w:tcW w:w="22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rPr>
            </w:pP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lang w:val="en-US"/>
              </w:rPr>
            </w:pPr>
            <w:r w:rsidRPr="0079505B">
              <w:rPr>
                <w:rFonts w:eastAsia="Calibri" w:cstheme="minorHAnsi"/>
                <w:color w:val="000000"/>
                <w:lang w:val="en-US"/>
              </w:rPr>
              <w:t xml:space="preserve">Primes </w:t>
            </w:r>
            <w:proofErr w:type="spellStart"/>
            <w:r w:rsidRPr="0079505B">
              <w:rPr>
                <w:rFonts w:eastAsia="Calibri" w:cstheme="minorHAnsi"/>
                <w:color w:val="000000"/>
                <w:lang w:val="en-US"/>
              </w:rPr>
              <w:t>d’acquisition</w:t>
            </w:r>
            <w:proofErr w:type="spellEnd"/>
            <w:r w:rsidRPr="0079505B">
              <w:rPr>
                <w:rFonts w:eastAsia="Calibri" w:cstheme="minorHAnsi"/>
                <w:color w:val="000000"/>
                <w:lang w:val="en-US"/>
              </w:rPr>
              <w:t xml:space="preserve"> / de construction</w:t>
            </w:r>
          </w:p>
        </w:tc>
        <w:tc>
          <w:tcPr>
            <w:tcW w:w="13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4,162</w:t>
            </w:r>
          </w:p>
        </w:tc>
        <w:tc>
          <w:tcPr>
            <w:tcW w:w="22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853</w:t>
            </w: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rPr>
            </w:pPr>
            <w:proofErr w:type="spellStart"/>
            <w:r w:rsidRPr="0079505B">
              <w:rPr>
                <w:rFonts w:eastAsia="Calibri" w:cstheme="minorHAnsi"/>
                <w:color w:val="000000"/>
              </w:rPr>
              <w:t>Complément</w:t>
            </w:r>
            <w:proofErr w:type="spellEnd"/>
            <w:r w:rsidRPr="0079505B">
              <w:rPr>
                <w:rFonts w:eastAsia="Calibri" w:cstheme="minorHAnsi"/>
                <w:color w:val="000000"/>
              </w:rPr>
              <w:t xml:space="preserve"> de prime pour frais d’architecte </w:t>
            </w:r>
          </w:p>
        </w:tc>
        <w:tc>
          <w:tcPr>
            <w:tcW w:w="13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0,012</w:t>
            </w:r>
          </w:p>
        </w:tc>
        <w:tc>
          <w:tcPr>
            <w:tcW w:w="22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10</w:t>
            </w: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lang w:val="en-US"/>
              </w:rPr>
            </w:pPr>
            <w:r w:rsidRPr="0079505B">
              <w:rPr>
                <w:rFonts w:eastAsia="Calibri" w:cstheme="minorHAnsi"/>
                <w:color w:val="000000"/>
                <w:lang w:val="en-US"/>
              </w:rPr>
              <w:t xml:space="preserve">Prime </w:t>
            </w:r>
            <w:proofErr w:type="spellStart"/>
            <w:r w:rsidRPr="0079505B">
              <w:rPr>
                <w:rFonts w:eastAsia="Calibri" w:cstheme="minorHAnsi"/>
                <w:color w:val="000000"/>
                <w:lang w:val="en-US"/>
              </w:rPr>
              <w:t>d’épargne</w:t>
            </w:r>
            <w:proofErr w:type="spellEnd"/>
          </w:p>
        </w:tc>
        <w:tc>
          <w:tcPr>
            <w:tcW w:w="13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0,021</w:t>
            </w:r>
          </w:p>
        </w:tc>
        <w:tc>
          <w:tcPr>
            <w:tcW w:w="22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31</w:t>
            </w:r>
          </w:p>
        </w:tc>
      </w:tr>
      <w:tr w:rsidR="0079505B" w:rsidRPr="0079505B" w:rsidTr="0079505B">
        <w:trPr>
          <w:trHeight w:val="320"/>
        </w:trPr>
        <w:tc>
          <w:tcPr>
            <w:tcW w:w="5996"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Calibri" w:cstheme="minorHAnsi"/>
                <w:lang w:val="en-US"/>
              </w:rPr>
            </w:pPr>
          </w:p>
        </w:tc>
        <w:tc>
          <w:tcPr>
            <w:tcW w:w="13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lang w:val="en-US"/>
              </w:rPr>
            </w:pPr>
          </w:p>
        </w:tc>
        <w:tc>
          <w:tcPr>
            <w:tcW w:w="22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lang w:val="en-US"/>
              </w:rPr>
            </w:pP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rPr>
            </w:pPr>
            <w:r w:rsidRPr="0079505B">
              <w:rPr>
                <w:rFonts w:eastAsia="Calibri" w:cstheme="minorHAnsi"/>
                <w:b/>
                <w:bCs/>
                <w:color w:val="000000"/>
              </w:rPr>
              <w:t>Primes pour Amélioration et aménagements</w:t>
            </w:r>
          </w:p>
        </w:tc>
        <w:tc>
          <w:tcPr>
            <w:tcW w:w="13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Calibri" w:cstheme="minorHAnsi"/>
              </w:rPr>
            </w:pPr>
          </w:p>
        </w:tc>
        <w:tc>
          <w:tcPr>
            <w:tcW w:w="22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rPr>
            </w:pP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rPr>
            </w:pPr>
            <w:r w:rsidRPr="0079505B">
              <w:rPr>
                <w:rFonts w:eastAsia="Calibri" w:cstheme="minorHAnsi"/>
                <w:color w:val="000000"/>
              </w:rPr>
              <w:t>Primes d’amélioration et Primes pour aménagements spéciaux</w:t>
            </w:r>
          </w:p>
        </w:tc>
        <w:tc>
          <w:tcPr>
            <w:tcW w:w="13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0,328</w:t>
            </w:r>
          </w:p>
        </w:tc>
        <w:tc>
          <w:tcPr>
            <w:tcW w:w="22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139</w:t>
            </w:r>
          </w:p>
        </w:tc>
      </w:tr>
      <w:tr w:rsidR="0079505B" w:rsidRPr="0079505B" w:rsidTr="0079505B">
        <w:trPr>
          <w:trHeight w:val="320"/>
        </w:trPr>
        <w:tc>
          <w:tcPr>
            <w:tcW w:w="5996"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Calibri" w:cstheme="minorHAnsi"/>
                <w:lang w:val="en-US"/>
              </w:rPr>
            </w:pPr>
          </w:p>
        </w:tc>
        <w:tc>
          <w:tcPr>
            <w:tcW w:w="13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lang w:val="en-US"/>
              </w:rPr>
            </w:pPr>
          </w:p>
        </w:tc>
        <w:tc>
          <w:tcPr>
            <w:tcW w:w="22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lang w:val="en-US"/>
              </w:rPr>
            </w:pP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rPr>
            </w:pPr>
            <w:r w:rsidRPr="0079505B">
              <w:rPr>
                <w:rFonts w:eastAsia="Calibri" w:cstheme="minorHAnsi"/>
                <w:b/>
                <w:bCs/>
                <w:color w:val="000000"/>
              </w:rPr>
              <w:t>Subventions d’intérêts facilitant l’accès à la propriété</w:t>
            </w:r>
          </w:p>
        </w:tc>
        <w:tc>
          <w:tcPr>
            <w:tcW w:w="13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Calibri" w:cstheme="minorHAnsi"/>
              </w:rPr>
            </w:pPr>
          </w:p>
        </w:tc>
        <w:tc>
          <w:tcPr>
            <w:tcW w:w="22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rPr>
            </w:pP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rPr>
            </w:pPr>
            <w:r w:rsidRPr="0079505B">
              <w:rPr>
                <w:rFonts w:eastAsia="Calibri" w:cstheme="minorHAnsi"/>
                <w:color w:val="000000"/>
              </w:rPr>
              <w:t>Subvention d’intérêt et Bonification d’intérêt</w:t>
            </w:r>
          </w:p>
        </w:tc>
        <w:tc>
          <w:tcPr>
            <w:tcW w:w="13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22,551</w:t>
            </w:r>
          </w:p>
        </w:tc>
        <w:tc>
          <w:tcPr>
            <w:tcW w:w="22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16 006</w:t>
            </w: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rPr>
            </w:pPr>
            <w:r w:rsidRPr="0079505B">
              <w:rPr>
                <w:rFonts w:eastAsia="Calibri" w:cstheme="minorHAnsi"/>
                <w:color w:val="000000"/>
              </w:rPr>
              <w:t xml:space="preserve">Régime d’aides à des prêts climatiques </w:t>
            </w:r>
          </w:p>
        </w:tc>
        <w:tc>
          <w:tcPr>
            <w:tcW w:w="13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0,15</w:t>
            </w:r>
          </w:p>
        </w:tc>
        <w:tc>
          <w:tcPr>
            <w:tcW w:w="22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166</w:t>
            </w:r>
          </w:p>
        </w:tc>
      </w:tr>
      <w:tr w:rsidR="0079505B" w:rsidRPr="0079505B" w:rsidTr="0079505B">
        <w:trPr>
          <w:trHeight w:val="320"/>
        </w:trPr>
        <w:tc>
          <w:tcPr>
            <w:tcW w:w="5996"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Calibri" w:cstheme="minorHAnsi"/>
                <w:lang w:val="en-US"/>
              </w:rPr>
            </w:pPr>
          </w:p>
        </w:tc>
        <w:tc>
          <w:tcPr>
            <w:tcW w:w="13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lang w:val="en-US"/>
              </w:rPr>
            </w:pPr>
          </w:p>
        </w:tc>
        <w:tc>
          <w:tcPr>
            <w:tcW w:w="22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lang w:val="en-US"/>
              </w:rPr>
            </w:pP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lang w:val="en-US"/>
              </w:rPr>
            </w:pPr>
            <w:r w:rsidRPr="0079505B">
              <w:rPr>
                <w:rFonts w:eastAsia="Calibri" w:cstheme="minorHAnsi"/>
                <w:b/>
                <w:bCs/>
                <w:color w:val="000000"/>
                <w:lang w:val="en-US"/>
              </w:rPr>
              <w:t>Aides à la Location</w:t>
            </w:r>
          </w:p>
        </w:tc>
        <w:tc>
          <w:tcPr>
            <w:tcW w:w="13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Calibri" w:cstheme="minorHAnsi"/>
                <w:lang w:val="en-US"/>
              </w:rPr>
            </w:pPr>
          </w:p>
        </w:tc>
        <w:tc>
          <w:tcPr>
            <w:tcW w:w="2200" w:type="dxa"/>
            <w:noWrap/>
            <w:tcMar>
              <w:top w:w="0" w:type="dxa"/>
              <w:left w:w="70" w:type="dxa"/>
              <w:bottom w:w="0" w:type="dxa"/>
              <w:right w:w="70" w:type="dxa"/>
            </w:tcMar>
            <w:vAlign w:val="bottom"/>
            <w:hideMark/>
          </w:tcPr>
          <w:p w:rsidR="0079505B" w:rsidRPr="0079505B" w:rsidRDefault="0079505B" w:rsidP="0079505B">
            <w:pPr>
              <w:spacing w:before="0" w:after="0" w:line="240" w:lineRule="auto"/>
              <w:jc w:val="left"/>
              <w:rPr>
                <w:rFonts w:eastAsia="Times New Roman" w:cstheme="minorHAnsi"/>
                <w:lang w:val="en-US"/>
              </w:rPr>
            </w:pPr>
          </w:p>
        </w:tc>
      </w:tr>
      <w:tr w:rsidR="0079505B" w:rsidRPr="0079505B" w:rsidTr="0079505B">
        <w:trPr>
          <w:trHeight w:val="320"/>
        </w:trPr>
        <w:tc>
          <w:tcPr>
            <w:tcW w:w="5996"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left"/>
              <w:rPr>
                <w:rFonts w:eastAsia="Calibri" w:cstheme="minorHAnsi"/>
                <w:lang w:val="en-US"/>
              </w:rPr>
            </w:pPr>
            <w:r w:rsidRPr="0079505B">
              <w:rPr>
                <w:rFonts w:eastAsia="Calibri" w:cstheme="minorHAnsi"/>
                <w:color w:val="000000"/>
                <w:lang w:val="en-US"/>
              </w:rPr>
              <w:t xml:space="preserve">Subvention de </w:t>
            </w:r>
            <w:proofErr w:type="spellStart"/>
            <w:r w:rsidRPr="0079505B">
              <w:rPr>
                <w:rFonts w:eastAsia="Calibri" w:cstheme="minorHAnsi"/>
                <w:color w:val="000000"/>
                <w:lang w:val="en-US"/>
              </w:rPr>
              <w:t>Loyer</w:t>
            </w:r>
            <w:proofErr w:type="spellEnd"/>
          </w:p>
        </w:tc>
        <w:tc>
          <w:tcPr>
            <w:tcW w:w="13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10,588</w:t>
            </w:r>
          </w:p>
        </w:tc>
        <w:tc>
          <w:tcPr>
            <w:tcW w:w="2200" w:type="dxa"/>
            <w:noWrap/>
            <w:tcMar>
              <w:top w:w="0" w:type="dxa"/>
              <w:left w:w="70" w:type="dxa"/>
              <w:bottom w:w="0" w:type="dxa"/>
              <w:right w:w="70" w:type="dxa"/>
            </w:tcMar>
            <w:vAlign w:val="center"/>
            <w:hideMark/>
          </w:tcPr>
          <w:p w:rsidR="0079505B" w:rsidRPr="0079505B" w:rsidRDefault="0079505B" w:rsidP="0079505B">
            <w:pPr>
              <w:spacing w:before="0" w:after="0" w:line="240" w:lineRule="auto"/>
              <w:jc w:val="right"/>
              <w:rPr>
                <w:rFonts w:eastAsia="Calibri" w:cstheme="minorHAnsi"/>
                <w:lang w:val="en-US"/>
              </w:rPr>
            </w:pPr>
            <w:r w:rsidRPr="0079505B">
              <w:rPr>
                <w:rFonts w:eastAsia="Calibri" w:cstheme="minorHAnsi"/>
                <w:color w:val="000000"/>
                <w:lang w:val="en-US"/>
              </w:rPr>
              <w:t>7 146</w:t>
            </w:r>
          </w:p>
        </w:tc>
      </w:tr>
    </w:tbl>
    <w:p w:rsidR="008E75D5" w:rsidRDefault="008E75D5" w:rsidP="006C383F"/>
    <w:p w:rsidR="008E75D5" w:rsidRPr="008E75D5" w:rsidRDefault="008E75D5" w:rsidP="002471FF">
      <w:pPr>
        <w:pStyle w:val="Heading4"/>
        <w:rPr>
          <w:rFonts w:cstheme="minorHAnsi"/>
        </w:rPr>
      </w:pPr>
      <w:bookmarkStart w:id="63" w:name="_Toc116401363"/>
      <w:r w:rsidRPr="008E75D5">
        <w:t>Récapitulatif du nombre de bénéficiaires d’aides au logement pour l’année 2021</w:t>
      </w:r>
      <w:bookmarkEnd w:id="63"/>
    </w:p>
    <w:p w:rsidR="008E75D5" w:rsidRDefault="008E75D5" w:rsidP="006C383F">
      <w:pPr>
        <w:rPr>
          <w:rFonts w:cstheme="minorHAnsi"/>
        </w:rPr>
      </w:pPr>
    </w:p>
    <w:tbl>
      <w:tblPr>
        <w:tblW w:w="7219" w:type="dxa"/>
        <w:tblCellMar>
          <w:left w:w="0" w:type="dxa"/>
          <w:right w:w="0" w:type="dxa"/>
        </w:tblCellMar>
        <w:tblLook w:val="04A0" w:firstRow="1" w:lastRow="0" w:firstColumn="1" w:lastColumn="0" w:noHBand="0" w:noVBand="1"/>
      </w:tblPr>
      <w:tblGrid>
        <w:gridCol w:w="3267"/>
        <w:gridCol w:w="986"/>
        <w:gridCol w:w="2966"/>
      </w:tblGrid>
      <w:tr w:rsidR="008E75D5" w:rsidRPr="0079505B" w:rsidTr="008E75D5">
        <w:trPr>
          <w:trHeight w:val="320"/>
        </w:trPr>
        <w:tc>
          <w:tcPr>
            <w:tcW w:w="3267"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Calibri" w:cstheme="minorHAnsi"/>
              </w:rPr>
            </w:pPr>
          </w:p>
        </w:tc>
        <w:tc>
          <w:tcPr>
            <w:tcW w:w="986"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Times New Roman" w:cstheme="minorHAnsi"/>
              </w:rPr>
            </w:pPr>
          </w:p>
        </w:tc>
        <w:tc>
          <w:tcPr>
            <w:tcW w:w="2961"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right"/>
              <w:rPr>
                <w:rFonts w:eastAsia="Calibri" w:cstheme="minorHAnsi"/>
                <w:b/>
                <w:lang w:val="en-US"/>
              </w:rPr>
            </w:pPr>
            <w:r w:rsidRPr="0079505B">
              <w:rPr>
                <w:rFonts w:eastAsia="Calibri" w:cstheme="minorHAnsi"/>
                <w:b/>
                <w:color w:val="000000"/>
                <w:lang w:val="en-US"/>
              </w:rPr>
              <w:t>2021</w:t>
            </w:r>
          </w:p>
        </w:tc>
      </w:tr>
      <w:tr w:rsidR="008E75D5" w:rsidRPr="0079505B" w:rsidTr="008E75D5">
        <w:trPr>
          <w:trHeight w:val="320"/>
        </w:trPr>
        <w:tc>
          <w:tcPr>
            <w:tcW w:w="7219" w:type="dxa"/>
            <w:gridSpan w:val="3"/>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rPr>
            </w:pPr>
            <w:r w:rsidRPr="0079505B">
              <w:rPr>
                <w:rFonts w:eastAsia="Calibri" w:cstheme="minorHAnsi"/>
                <w:b/>
                <w:bCs/>
                <w:color w:val="000000"/>
              </w:rPr>
              <w:t>Primes d’accès à la propriété</w:t>
            </w:r>
          </w:p>
        </w:tc>
      </w:tr>
      <w:tr w:rsidR="008E75D5" w:rsidRPr="0079505B" w:rsidTr="008E75D5">
        <w:trPr>
          <w:trHeight w:val="320"/>
        </w:trPr>
        <w:tc>
          <w:tcPr>
            <w:tcW w:w="4253" w:type="dxa"/>
            <w:gridSpan w:val="2"/>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r w:rsidRPr="0079505B">
              <w:rPr>
                <w:rFonts w:eastAsia="Calibri" w:cstheme="minorHAnsi"/>
                <w:color w:val="000000"/>
                <w:lang w:val="en-US"/>
              </w:rPr>
              <w:t>Primes de constructions/Acquisition</w:t>
            </w:r>
          </w:p>
        </w:tc>
        <w:tc>
          <w:tcPr>
            <w:tcW w:w="2961"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right"/>
              <w:rPr>
                <w:rFonts w:eastAsia="Calibri" w:cstheme="minorHAnsi"/>
                <w:lang w:val="en-US"/>
              </w:rPr>
            </w:pPr>
            <w:r w:rsidRPr="0079505B">
              <w:rPr>
                <w:rFonts w:eastAsia="Calibri" w:cstheme="minorHAnsi"/>
                <w:color w:val="000000"/>
                <w:lang w:val="en-US"/>
              </w:rPr>
              <w:t>853</w:t>
            </w:r>
          </w:p>
        </w:tc>
      </w:tr>
      <w:tr w:rsidR="008E75D5" w:rsidRPr="0079505B" w:rsidTr="008E75D5">
        <w:trPr>
          <w:trHeight w:val="320"/>
        </w:trPr>
        <w:tc>
          <w:tcPr>
            <w:tcW w:w="4253" w:type="dxa"/>
            <w:gridSpan w:val="2"/>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r w:rsidRPr="0079505B">
              <w:rPr>
                <w:rFonts w:eastAsia="Calibri" w:cstheme="minorHAnsi"/>
                <w:color w:val="000000"/>
                <w:lang w:val="en-US"/>
              </w:rPr>
              <w:t xml:space="preserve">Primes </w:t>
            </w:r>
            <w:proofErr w:type="spellStart"/>
            <w:r w:rsidRPr="0079505B">
              <w:rPr>
                <w:rFonts w:eastAsia="Calibri" w:cstheme="minorHAnsi"/>
                <w:color w:val="000000"/>
                <w:lang w:val="en-US"/>
              </w:rPr>
              <w:t>d’épargne</w:t>
            </w:r>
            <w:proofErr w:type="spellEnd"/>
          </w:p>
        </w:tc>
        <w:tc>
          <w:tcPr>
            <w:tcW w:w="2961"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right"/>
              <w:rPr>
                <w:rFonts w:eastAsia="Calibri" w:cstheme="minorHAnsi"/>
                <w:lang w:val="en-US"/>
              </w:rPr>
            </w:pPr>
            <w:r w:rsidRPr="0079505B">
              <w:rPr>
                <w:rFonts w:eastAsia="Calibri" w:cstheme="minorHAnsi"/>
                <w:color w:val="000000"/>
                <w:lang w:val="en-US"/>
              </w:rPr>
              <w:t>31</w:t>
            </w:r>
          </w:p>
        </w:tc>
      </w:tr>
      <w:tr w:rsidR="008E75D5" w:rsidRPr="0079505B" w:rsidTr="008E75D5">
        <w:trPr>
          <w:trHeight w:val="320"/>
        </w:trPr>
        <w:tc>
          <w:tcPr>
            <w:tcW w:w="3267"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p>
        </w:tc>
        <w:tc>
          <w:tcPr>
            <w:tcW w:w="986"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Times New Roman" w:cstheme="minorHAnsi"/>
                <w:lang w:val="en-US"/>
              </w:rPr>
            </w:pPr>
          </w:p>
        </w:tc>
        <w:tc>
          <w:tcPr>
            <w:tcW w:w="2961"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Times New Roman" w:cstheme="minorHAnsi"/>
                <w:lang w:val="en-US"/>
              </w:rPr>
            </w:pPr>
          </w:p>
        </w:tc>
      </w:tr>
      <w:tr w:rsidR="008E75D5" w:rsidRPr="0079505B" w:rsidTr="008E75D5">
        <w:trPr>
          <w:trHeight w:val="320"/>
        </w:trPr>
        <w:tc>
          <w:tcPr>
            <w:tcW w:w="7219" w:type="dxa"/>
            <w:gridSpan w:val="3"/>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rPr>
            </w:pPr>
            <w:r w:rsidRPr="0079505B">
              <w:rPr>
                <w:rFonts w:eastAsia="Calibri" w:cstheme="minorHAnsi"/>
                <w:b/>
                <w:bCs/>
                <w:color w:val="000000"/>
              </w:rPr>
              <w:t>Primes de rénovation et d’amélioration</w:t>
            </w:r>
          </w:p>
        </w:tc>
      </w:tr>
      <w:tr w:rsidR="008E75D5" w:rsidRPr="0079505B" w:rsidTr="008E75D5">
        <w:trPr>
          <w:trHeight w:val="320"/>
        </w:trPr>
        <w:tc>
          <w:tcPr>
            <w:tcW w:w="3267"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proofErr w:type="spellStart"/>
            <w:r w:rsidRPr="0079505B">
              <w:rPr>
                <w:rFonts w:eastAsia="Calibri" w:cstheme="minorHAnsi"/>
                <w:color w:val="000000"/>
                <w:lang w:val="en-US"/>
              </w:rPr>
              <w:t>Autres</w:t>
            </w:r>
            <w:proofErr w:type="spellEnd"/>
            <w:r w:rsidRPr="0079505B">
              <w:rPr>
                <w:rFonts w:eastAsia="Calibri" w:cstheme="minorHAnsi"/>
                <w:color w:val="000000"/>
                <w:lang w:val="en-US"/>
              </w:rPr>
              <w:t xml:space="preserve"> primes</w:t>
            </w:r>
          </w:p>
        </w:tc>
        <w:tc>
          <w:tcPr>
            <w:tcW w:w="986"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Calibri" w:cstheme="minorHAnsi"/>
                <w:lang w:val="en-US"/>
              </w:rPr>
            </w:pPr>
          </w:p>
        </w:tc>
        <w:tc>
          <w:tcPr>
            <w:tcW w:w="2961"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right"/>
              <w:rPr>
                <w:rFonts w:eastAsia="Calibri" w:cstheme="minorHAnsi"/>
                <w:lang w:val="en-US"/>
              </w:rPr>
            </w:pPr>
            <w:r w:rsidRPr="0079505B">
              <w:rPr>
                <w:rFonts w:eastAsia="Calibri" w:cstheme="minorHAnsi"/>
                <w:color w:val="000000"/>
                <w:lang w:val="en-US"/>
              </w:rPr>
              <w:t>200</w:t>
            </w:r>
          </w:p>
        </w:tc>
      </w:tr>
      <w:tr w:rsidR="008E75D5" w:rsidRPr="0079505B" w:rsidTr="008E75D5">
        <w:trPr>
          <w:trHeight w:val="320"/>
        </w:trPr>
        <w:tc>
          <w:tcPr>
            <w:tcW w:w="7219" w:type="dxa"/>
            <w:gridSpan w:val="3"/>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r w:rsidRPr="0079505B">
              <w:rPr>
                <w:rFonts w:eastAsia="Calibri" w:cstheme="minorHAnsi"/>
                <w:color w:val="000000"/>
                <w:lang w:val="en-US"/>
              </w:rPr>
              <w:t>(</w:t>
            </w:r>
            <w:proofErr w:type="spellStart"/>
            <w:r w:rsidRPr="0079505B">
              <w:rPr>
                <w:rFonts w:eastAsia="Calibri" w:cstheme="minorHAnsi"/>
                <w:color w:val="000000"/>
                <w:lang w:val="en-US"/>
              </w:rPr>
              <w:t>Améliorations</w:t>
            </w:r>
            <w:proofErr w:type="spellEnd"/>
            <w:r w:rsidRPr="0079505B">
              <w:rPr>
                <w:rFonts w:eastAsia="Calibri" w:cstheme="minorHAnsi"/>
                <w:color w:val="000000"/>
                <w:lang w:val="en-US"/>
              </w:rPr>
              <w:t xml:space="preserve">, </w:t>
            </w:r>
            <w:proofErr w:type="spellStart"/>
            <w:r w:rsidRPr="0079505B">
              <w:rPr>
                <w:rFonts w:eastAsia="Calibri" w:cstheme="minorHAnsi"/>
                <w:color w:val="000000"/>
                <w:lang w:val="en-US"/>
              </w:rPr>
              <w:t>aménagements</w:t>
            </w:r>
            <w:proofErr w:type="spellEnd"/>
            <w:r w:rsidRPr="0079505B">
              <w:rPr>
                <w:rFonts w:eastAsia="Calibri" w:cstheme="minorHAnsi"/>
                <w:color w:val="000000"/>
                <w:lang w:val="en-US"/>
              </w:rPr>
              <w:t xml:space="preserve"> </w:t>
            </w:r>
            <w:proofErr w:type="spellStart"/>
            <w:r w:rsidRPr="0079505B">
              <w:rPr>
                <w:rFonts w:eastAsia="Calibri" w:cstheme="minorHAnsi"/>
                <w:color w:val="000000"/>
                <w:lang w:val="en-US"/>
              </w:rPr>
              <w:t>sociaux</w:t>
            </w:r>
            <w:proofErr w:type="spellEnd"/>
            <w:r w:rsidRPr="0079505B">
              <w:rPr>
                <w:rFonts w:eastAsia="Calibri" w:cstheme="minorHAnsi"/>
                <w:color w:val="000000"/>
                <w:lang w:val="en-US"/>
              </w:rPr>
              <w:t xml:space="preserve">, </w:t>
            </w:r>
            <w:proofErr w:type="spellStart"/>
            <w:r w:rsidRPr="0079505B">
              <w:rPr>
                <w:rFonts w:eastAsia="Calibri" w:cstheme="minorHAnsi"/>
                <w:color w:val="000000"/>
                <w:lang w:val="en-US"/>
              </w:rPr>
              <w:t>architectes</w:t>
            </w:r>
            <w:proofErr w:type="spellEnd"/>
            <w:r w:rsidRPr="0079505B">
              <w:rPr>
                <w:rFonts w:eastAsia="Calibri" w:cstheme="minorHAnsi"/>
                <w:color w:val="000000"/>
                <w:lang w:val="en-US"/>
              </w:rPr>
              <w:t>…)</w:t>
            </w:r>
          </w:p>
        </w:tc>
      </w:tr>
      <w:tr w:rsidR="008E75D5" w:rsidRPr="0079505B" w:rsidTr="008E75D5">
        <w:trPr>
          <w:trHeight w:val="320"/>
        </w:trPr>
        <w:tc>
          <w:tcPr>
            <w:tcW w:w="7219" w:type="dxa"/>
            <w:gridSpan w:val="3"/>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proofErr w:type="spellStart"/>
            <w:r w:rsidRPr="0079505B">
              <w:rPr>
                <w:rFonts w:eastAsia="Calibri" w:cstheme="minorHAnsi"/>
                <w:color w:val="000000"/>
                <w:lang w:val="en-US"/>
              </w:rPr>
              <w:t>Montant</w:t>
            </w:r>
            <w:proofErr w:type="spellEnd"/>
            <w:r w:rsidRPr="0079505B">
              <w:rPr>
                <w:rFonts w:eastAsia="Calibri" w:cstheme="minorHAnsi"/>
                <w:color w:val="000000"/>
                <w:lang w:val="en-US"/>
              </w:rPr>
              <w:t xml:space="preserve"> total, 4,5 </w:t>
            </w:r>
            <w:proofErr w:type="spellStart"/>
            <w:r w:rsidRPr="0079505B">
              <w:rPr>
                <w:rFonts w:eastAsia="Calibri" w:cstheme="minorHAnsi"/>
                <w:color w:val="000000"/>
                <w:lang w:val="en-US"/>
              </w:rPr>
              <w:t>millions</w:t>
            </w:r>
            <w:proofErr w:type="spellEnd"/>
            <w:r w:rsidRPr="0079505B">
              <w:rPr>
                <w:rFonts w:eastAsia="Calibri" w:cstheme="minorHAnsi"/>
                <w:color w:val="000000"/>
                <w:lang w:val="en-US"/>
              </w:rPr>
              <w:t xml:space="preserve"> euros</w:t>
            </w:r>
          </w:p>
        </w:tc>
      </w:tr>
      <w:tr w:rsidR="008E75D5" w:rsidRPr="0079505B" w:rsidTr="008E75D5">
        <w:trPr>
          <w:trHeight w:val="320"/>
        </w:trPr>
        <w:tc>
          <w:tcPr>
            <w:tcW w:w="3267"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p>
        </w:tc>
        <w:tc>
          <w:tcPr>
            <w:tcW w:w="986"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Times New Roman" w:cstheme="minorHAnsi"/>
                <w:lang w:val="en-US"/>
              </w:rPr>
            </w:pPr>
          </w:p>
        </w:tc>
        <w:tc>
          <w:tcPr>
            <w:tcW w:w="2961"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Times New Roman" w:cstheme="minorHAnsi"/>
                <w:lang w:val="en-US"/>
              </w:rPr>
            </w:pPr>
          </w:p>
        </w:tc>
      </w:tr>
      <w:tr w:rsidR="008E75D5" w:rsidRPr="0079505B" w:rsidTr="008E75D5">
        <w:trPr>
          <w:trHeight w:val="320"/>
        </w:trPr>
        <w:tc>
          <w:tcPr>
            <w:tcW w:w="3267"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Times New Roman" w:cstheme="minorHAnsi"/>
                <w:lang w:val="en-US"/>
              </w:rPr>
            </w:pPr>
          </w:p>
        </w:tc>
        <w:tc>
          <w:tcPr>
            <w:tcW w:w="986"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Times New Roman" w:cstheme="minorHAnsi"/>
                <w:lang w:val="en-US"/>
              </w:rPr>
            </w:pPr>
          </w:p>
        </w:tc>
        <w:tc>
          <w:tcPr>
            <w:tcW w:w="2961"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Times New Roman" w:cstheme="minorHAnsi"/>
                <w:lang w:val="en-US"/>
              </w:rPr>
            </w:pPr>
          </w:p>
        </w:tc>
      </w:tr>
      <w:tr w:rsidR="008E75D5" w:rsidRPr="0079505B" w:rsidTr="008E75D5">
        <w:trPr>
          <w:trHeight w:val="320"/>
        </w:trPr>
        <w:tc>
          <w:tcPr>
            <w:tcW w:w="7219" w:type="dxa"/>
            <w:gridSpan w:val="3"/>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rPr>
            </w:pPr>
            <w:r w:rsidRPr="0079505B">
              <w:rPr>
                <w:rFonts w:eastAsia="Calibri" w:cstheme="minorHAnsi"/>
                <w:b/>
                <w:bCs/>
                <w:color w:val="000000"/>
              </w:rPr>
              <w:t>Aides au paiement des intérêts hypothécaires</w:t>
            </w:r>
          </w:p>
        </w:tc>
      </w:tr>
      <w:tr w:rsidR="008E75D5" w:rsidRPr="0079505B" w:rsidTr="008E75D5">
        <w:trPr>
          <w:trHeight w:val="320"/>
        </w:trPr>
        <w:tc>
          <w:tcPr>
            <w:tcW w:w="4253" w:type="dxa"/>
            <w:gridSpan w:val="2"/>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proofErr w:type="spellStart"/>
            <w:r w:rsidRPr="0079505B">
              <w:rPr>
                <w:rFonts w:eastAsia="Calibri" w:cstheme="minorHAnsi"/>
                <w:color w:val="000000"/>
                <w:lang w:val="en-US"/>
              </w:rPr>
              <w:t>Bonification</w:t>
            </w:r>
            <w:proofErr w:type="spellEnd"/>
            <w:r w:rsidRPr="0079505B">
              <w:rPr>
                <w:rFonts w:eastAsia="Calibri" w:cstheme="minorHAnsi"/>
                <w:color w:val="000000"/>
                <w:lang w:val="en-US"/>
              </w:rPr>
              <w:t xml:space="preserve"> </w:t>
            </w:r>
            <w:proofErr w:type="spellStart"/>
            <w:r w:rsidRPr="0079505B">
              <w:rPr>
                <w:rFonts w:eastAsia="Calibri" w:cstheme="minorHAnsi"/>
                <w:color w:val="000000"/>
                <w:lang w:val="en-US"/>
              </w:rPr>
              <w:t>d’intérêt</w:t>
            </w:r>
            <w:proofErr w:type="spellEnd"/>
          </w:p>
        </w:tc>
        <w:tc>
          <w:tcPr>
            <w:tcW w:w="2961"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right"/>
              <w:rPr>
                <w:rFonts w:eastAsia="Calibri" w:cstheme="minorHAnsi"/>
                <w:lang w:val="en-US"/>
              </w:rPr>
            </w:pPr>
            <w:r w:rsidRPr="0079505B">
              <w:rPr>
                <w:rFonts w:eastAsia="Calibri" w:cstheme="minorHAnsi"/>
                <w:color w:val="000000"/>
                <w:lang w:val="en-US"/>
              </w:rPr>
              <w:t>11.000</w:t>
            </w:r>
          </w:p>
        </w:tc>
      </w:tr>
      <w:tr w:rsidR="008E75D5" w:rsidRPr="0079505B" w:rsidTr="008E75D5">
        <w:trPr>
          <w:trHeight w:val="320"/>
        </w:trPr>
        <w:tc>
          <w:tcPr>
            <w:tcW w:w="4253" w:type="dxa"/>
            <w:gridSpan w:val="2"/>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r w:rsidRPr="0079505B">
              <w:rPr>
                <w:rFonts w:eastAsia="Calibri" w:cstheme="minorHAnsi"/>
                <w:color w:val="000000"/>
                <w:lang w:val="en-US"/>
              </w:rPr>
              <w:t xml:space="preserve">Subvention </w:t>
            </w:r>
            <w:proofErr w:type="spellStart"/>
            <w:r w:rsidRPr="0079505B">
              <w:rPr>
                <w:rFonts w:eastAsia="Calibri" w:cstheme="minorHAnsi"/>
                <w:color w:val="000000"/>
                <w:lang w:val="en-US"/>
              </w:rPr>
              <w:t>d’intérêt</w:t>
            </w:r>
            <w:proofErr w:type="spellEnd"/>
          </w:p>
        </w:tc>
        <w:tc>
          <w:tcPr>
            <w:tcW w:w="2961"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right"/>
              <w:rPr>
                <w:rFonts w:eastAsia="Calibri" w:cstheme="minorHAnsi"/>
                <w:lang w:val="en-US"/>
              </w:rPr>
            </w:pPr>
            <w:r w:rsidRPr="0079505B">
              <w:rPr>
                <w:rFonts w:eastAsia="Calibri" w:cstheme="minorHAnsi"/>
                <w:color w:val="000000"/>
                <w:lang w:val="en-US"/>
              </w:rPr>
              <w:t>8.250</w:t>
            </w:r>
          </w:p>
        </w:tc>
      </w:tr>
      <w:tr w:rsidR="008E75D5" w:rsidRPr="0079505B" w:rsidTr="008E75D5">
        <w:trPr>
          <w:trHeight w:val="320"/>
        </w:trPr>
        <w:tc>
          <w:tcPr>
            <w:tcW w:w="3267"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p>
        </w:tc>
        <w:tc>
          <w:tcPr>
            <w:tcW w:w="986"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Times New Roman" w:cstheme="minorHAnsi"/>
                <w:lang w:val="en-US"/>
              </w:rPr>
            </w:pPr>
          </w:p>
        </w:tc>
        <w:tc>
          <w:tcPr>
            <w:tcW w:w="2961"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Times New Roman" w:cstheme="minorHAnsi"/>
                <w:lang w:val="en-US"/>
              </w:rPr>
            </w:pPr>
          </w:p>
        </w:tc>
      </w:tr>
      <w:tr w:rsidR="008E75D5" w:rsidRPr="0079505B" w:rsidTr="008E75D5">
        <w:trPr>
          <w:trHeight w:val="320"/>
        </w:trPr>
        <w:tc>
          <w:tcPr>
            <w:tcW w:w="4253" w:type="dxa"/>
            <w:gridSpan w:val="2"/>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r w:rsidRPr="0079505B">
              <w:rPr>
                <w:rFonts w:eastAsia="Calibri" w:cstheme="minorHAnsi"/>
                <w:b/>
                <w:bCs/>
                <w:color w:val="000000"/>
                <w:lang w:val="en-US"/>
              </w:rPr>
              <w:t>Aides locatives</w:t>
            </w:r>
          </w:p>
        </w:tc>
        <w:tc>
          <w:tcPr>
            <w:tcW w:w="2961" w:type="dxa"/>
            <w:noWrap/>
            <w:tcMar>
              <w:top w:w="0" w:type="dxa"/>
              <w:left w:w="70" w:type="dxa"/>
              <w:bottom w:w="0" w:type="dxa"/>
              <w:right w:w="70" w:type="dxa"/>
            </w:tcMar>
            <w:vAlign w:val="bottom"/>
            <w:hideMark/>
          </w:tcPr>
          <w:p w:rsidR="008E75D5" w:rsidRPr="0079505B" w:rsidRDefault="008E75D5" w:rsidP="009C35F4">
            <w:pPr>
              <w:spacing w:before="0" w:after="0" w:line="240" w:lineRule="auto"/>
              <w:jc w:val="left"/>
              <w:rPr>
                <w:rFonts w:eastAsia="Calibri" w:cstheme="minorHAnsi"/>
                <w:lang w:val="en-US"/>
              </w:rPr>
            </w:pPr>
          </w:p>
        </w:tc>
      </w:tr>
      <w:tr w:rsidR="008E75D5" w:rsidRPr="0079505B" w:rsidTr="008E75D5">
        <w:trPr>
          <w:trHeight w:val="320"/>
        </w:trPr>
        <w:tc>
          <w:tcPr>
            <w:tcW w:w="4253" w:type="dxa"/>
            <w:gridSpan w:val="2"/>
            <w:noWrap/>
            <w:tcMar>
              <w:top w:w="0" w:type="dxa"/>
              <w:left w:w="70" w:type="dxa"/>
              <w:bottom w:w="0" w:type="dxa"/>
              <w:right w:w="70" w:type="dxa"/>
            </w:tcMar>
            <w:vAlign w:val="center"/>
            <w:hideMark/>
          </w:tcPr>
          <w:p w:rsidR="008E75D5" w:rsidRPr="0079505B" w:rsidRDefault="008E75D5" w:rsidP="009C35F4">
            <w:pPr>
              <w:spacing w:before="0" w:after="0" w:line="240" w:lineRule="auto"/>
              <w:jc w:val="left"/>
              <w:rPr>
                <w:rFonts w:eastAsia="Calibri" w:cstheme="minorHAnsi"/>
                <w:lang w:val="en-US"/>
              </w:rPr>
            </w:pPr>
            <w:r w:rsidRPr="0079505B">
              <w:rPr>
                <w:rFonts w:eastAsia="Calibri" w:cstheme="minorHAnsi"/>
                <w:color w:val="000000"/>
                <w:lang w:val="en-US"/>
              </w:rPr>
              <w:t xml:space="preserve">Subvention de </w:t>
            </w:r>
            <w:proofErr w:type="spellStart"/>
            <w:r w:rsidRPr="0079505B">
              <w:rPr>
                <w:rFonts w:eastAsia="Calibri" w:cstheme="minorHAnsi"/>
                <w:color w:val="000000"/>
                <w:lang w:val="en-US"/>
              </w:rPr>
              <w:t>Loyer</w:t>
            </w:r>
            <w:proofErr w:type="spellEnd"/>
          </w:p>
        </w:tc>
        <w:tc>
          <w:tcPr>
            <w:tcW w:w="2961" w:type="dxa"/>
            <w:noWrap/>
            <w:tcMar>
              <w:top w:w="0" w:type="dxa"/>
              <w:left w:w="70" w:type="dxa"/>
              <w:bottom w:w="0" w:type="dxa"/>
              <w:right w:w="70" w:type="dxa"/>
            </w:tcMar>
            <w:vAlign w:val="center"/>
            <w:hideMark/>
          </w:tcPr>
          <w:p w:rsidR="008E75D5" w:rsidRPr="0079505B" w:rsidRDefault="008E75D5" w:rsidP="009C35F4">
            <w:pPr>
              <w:spacing w:before="0" w:after="0" w:line="240" w:lineRule="auto"/>
              <w:jc w:val="right"/>
              <w:rPr>
                <w:rFonts w:eastAsia="Calibri" w:cstheme="minorHAnsi"/>
                <w:lang w:val="en-US"/>
              </w:rPr>
            </w:pPr>
            <w:r w:rsidRPr="0079505B">
              <w:rPr>
                <w:rFonts w:eastAsia="Calibri" w:cstheme="minorHAnsi"/>
                <w:color w:val="000000"/>
                <w:lang w:val="en-US"/>
              </w:rPr>
              <w:t>6.000</w:t>
            </w:r>
          </w:p>
        </w:tc>
      </w:tr>
    </w:tbl>
    <w:p w:rsidR="008E75D5" w:rsidRDefault="008E75D5" w:rsidP="006C383F">
      <w:pPr>
        <w:rPr>
          <w:rFonts w:cstheme="minorHAnsi"/>
        </w:rPr>
      </w:pPr>
    </w:p>
    <w:p w:rsidR="008E75D5" w:rsidRDefault="00C43C30" w:rsidP="002471FF">
      <w:pPr>
        <w:pStyle w:val="Heading3"/>
      </w:pPr>
      <w:bookmarkStart w:id="64" w:name="_Toc116401364"/>
      <w:r w:rsidRPr="00C43C30">
        <w:t>Statistiques – taux de risque de pauvreté</w:t>
      </w:r>
      <w:bookmarkEnd w:id="64"/>
    </w:p>
    <w:p w:rsidR="00C43C30" w:rsidRDefault="00C43C30" w:rsidP="00C43C30">
      <w:r>
        <w:rPr>
          <w:b/>
          <w:bCs/>
        </w:rPr>
        <w:t>Taux de risque de pauvreté</w:t>
      </w:r>
      <w:r>
        <w:t xml:space="preserve"> (notamment enfants, monoparentales et </w:t>
      </w:r>
      <w:proofErr w:type="spellStart"/>
      <w:r w:rsidRPr="00C43C30">
        <w:rPr>
          <w:i/>
        </w:rPr>
        <w:t>working</w:t>
      </w:r>
      <w:proofErr w:type="spellEnd"/>
      <w:r w:rsidRPr="00C43C30">
        <w:rPr>
          <w:i/>
        </w:rPr>
        <w:t xml:space="preserve"> </w:t>
      </w:r>
      <w:proofErr w:type="spellStart"/>
      <w:r w:rsidRPr="00C43C30">
        <w:rPr>
          <w:i/>
        </w:rPr>
        <w:t>poor</w:t>
      </w:r>
      <w:proofErr w:type="spellEnd"/>
      <w:r>
        <w:t>).</w:t>
      </w:r>
    </w:p>
    <w:p w:rsidR="00C43C30" w:rsidRDefault="00C43C30" w:rsidP="00C43C30">
      <w:r>
        <w:t xml:space="preserve">Taux de risque de pauvreté, source enquête EU-SILC 2021 portant sur les revenus 2020 : </w:t>
      </w:r>
    </w:p>
    <w:p w:rsidR="00C43C30" w:rsidRPr="00C43C30" w:rsidRDefault="00C43C30" w:rsidP="00C43C30">
      <w:pPr>
        <w:pStyle w:val="ListParagraph"/>
        <w:numPr>
          <w:ilvl w:val="0"/>
          <w:numId w:val="51"/>
        </w:numPr>
        <w:ind w:left="1077" w:hanging="357"/>
        <w:contextualSpacing w:val="0"/>
        <w:rPr>
          <w:lang w:val="en-US"/>
        </w:rPr>
      </w:pPr>
      <w:r w:rsidRPr="00C43C30">
        <w:rPr>
          <w:lang w:val="en-US"/>
        </w:rPr>
        <w:lastRenderedPageBreak/>
        <w:t xml:space="preserve">Enfant 0-17 </w:t>
      </w:r>
      <w:proofErr w:type="spellStart"/>
      <w:r w:rsidRPr="00C43C30">
        <w:rPr>
          <w:lang w:val="en-US"/>
        </w:rPr>
        <w:t>ans</w:t>
      </w:r>
      <w:proofErr w:type="spellEnd"/>
      <w:r w:rsidRPr="00C43C30">
        <w:rPr>
          <w:lang w:val="en-US"/>
        </w:rPr>
        <w:t> : 28.6%</w:t>
      </w:r>
    </w:p>
    <w:p w:rsidR="00C43C30" w:rsidRPr="00C43C30" w:rsidRDefault="00C43C30" w:rsidP="00C43C30">
      <w:pPr>
        <w:pStyle w:val="ListParagraph"/>
        <w:numPr>
          <w:ilvl w:val="0"/>
          <w:numId w:val="51"/>
        </w:numPr>
        <w:ind w:left="1077" w:hanging="357"/>
        <w:contextualSpacing w:val="0"/>
        <w:rPr>
          <w:lang w:val="en-US"/>
        </w:rPr>
      </w:pPr>
      <w:proofErr w:type="spellStart"/>
      <w:r w:rsidRPr="00C43C30">
        <w:rPr>
          <w:lang w:val="en-US"/>
        </w:rPr>
        <w:t>Monoparental</w:t>
      </w:r>
      <w:proofErr w:type="spellEnd"/>
      <w:r w:rsidRPr="00C43C30">
        <w:rPr>
          <w:lang w:val="en-US"/>
        </w:rPr>
        <w:t> : 42.9%</w:t>
      </w:r>
    </w:p>
    <w:p w:rsidR="00C43C30" w:rsidRPr="00C43C30" w:rsidRDefault="00C43C30" w:rsidP="00C43C30">
      <w:pPr>
        <w:pStyle w:val="ListParagraph"/>
        <w:numPr>
          <w:ilvl w:val="0"/>
          <w:numId w:val="51"/>
        </w:numPr>
        <w:ind w:left="1077" w:hanging="357"/>
        <w:contextualSpacing w:val="0"/>
        <w:rPr>
          <w:lang w:val="en-US"/>
        </w:rPr>
      </w:pPr>
      <w:r w:rsidRPr="00C43C30">
        <w:rPr>
          <w:i/>
          <w:lang w:val="en-US"/>
        </w:rPr>
        <w:t>Working poor</w:t>
      </w:r>
      <w:r w:rsidRPr="00C43C30">
        <w:rPr>
          <w:lang w:val="en-US"/>
        </w:rPr>
        <w:t> : 13.7%</w:t>
      </w:r>
    </w:p>
    <w:p w:rsidR="00C43C30" w:rsidRDefault="00C43C30" w:rsidP="00C43C30">
      <w:pPr>
        <w:pStyle w:val="ListParagraph"/>
        <w:numPr>
          <w:ilvl w:val="0"/>
          <w:numId w:val="51"/>
        </w:numPr>
        <w:ind w:left="1077" w:hanging="357"/>
        <w:contextualSpacing w:val="0"/>
      </w:pPr>
      <w:r>
        <w:t>Ensemble de la population: 18.1%</w:t>
      </w:r>
    </w:p>
    <w:p w:rsidR="00C43C30" w:rsidRPr="00C43C30" w:rsidRDefault="00C43C30" w:rsidP="006C383F">
      <w:pPr>
        <w:rPr>
          <w:rFonts w:cstheme="minorHAnsi"/>
          <w:b/>
          <w:color w:val="5B9BD5" w:themeColor="accent1"/>
        </w:rPr>
      </w:pPr>
    </w:p>
    <w:p w:rsidR="006C383F" w:rsidRPr="0007351E" w:rsidRDefault="006C383F" w:rsidP="002471FF">
      <w:pPr>
        <w:pStyle w:val="Heading2"/>
      </w:pPr>
      <w:bookmarkStart w:id="65" w:name="_Toc116401365"/>
      <w:r w:rsidRPr="0007351E">
        <w:t xml:space="preserve">Droit à la </w:t>
      </w:r>
      <w:r w:rsidR="006717BE" w:rsidRPr="0007351E">
        <w:t xml:space="preserve">santé physique et mentale (article </w:t>
      </w:r>
      <w:r w:rsidRPr="0007351E">
        <w:t>12)</w:t>
      </w:r>
      <w:bookmarkEnd w:id="65"/>
    </w:p>
    <w:p w:rsidR="008A19EF" w:rsidRPr="008A19EF" w:rsidRDefault="008A19EF" w:rsidP="002471FF">
      <w:pPr>
        <w:pStyle w:val="Heading3"/>
      </w:pPr>
      <w:bookmarkStart w:id="66" w:name="_Toc116401366"/>
      <w:r w:rsidRPr="008A19EF">
        <w:t>Accès aux soins de santé pour les demandeurs de protection internationale (DPI), bénéficiaire de protection internationale (BPI) et bénéficiaires de protection temporaire (BPT)</w:t>
      </w:r>
      <w:bookmarkEnd w:id="66"/>
      <w:r w:rsidRPr="008A19EF">
        <w:t xml:space="preserve"> </w:t>
      </w:r>
    </w:p>
    <w:p w:rsidR="008A19EF" w:rsidRPr="008A19EF" w:rsidRDefault="008A19EF" w:rsidP="008A19EF">
      <w:pPr>
        <w:rPr>
          <w:rFonts w:cstheme="minorHAnsi"/>
          <w:bCs/>
        </w:rPr>
      </w:pPr>
      <w:r w:rsidRPr="008A19EF">
        <w:rPr>
          <w:rFonts w:cstheme="minorHAnsi"/>
          <w:bCs/>
        </w:rPr>
        <w:t xml:space="preserve">Dès la soumission d’une demande de protection internationale, chaque demandeur de protection internationale (DPI) contracte une assurance maladie volontaire auprès de la Caisse Nationale de Santé (CNS) par l’intermédiaire de l’ONA qui paie la cotisation mensuelle pendant la durée de la procédure de protection internationale. </w:t>
      </w:r>
    </w:p>
    <w:p w:rsidR="008A19EF" w:rsidRPr="008A19EF" w:rsidRDefault="008A19EF" w:rsidP="008A19EF">
      <w:pPr>
        <w:rPr>
          <w:rFonts w:cstheme="minorHAnsi"/>
          <w:bCs/>
        </w:rPr>
      </w:pPr>
      <w:proofErr w:type="spellStart"/>
      <w:r w:rsidRPr="008A19EF">
        <w:rPr>
          <w:rFonts w:cstheme="minorHAnsi"/>
          <w:bCs/>
        </w:rPr>
        <w:t>Etant</w:t>
      </w:r>
      <w:proofErr w:type="spellEnd"/>
      <w:r w:rsidRPr="008A19EF">
        <w:rPr>
          <w:rFonts w:cstheme="minorHAnsi"/>
          <w:bCs/>
        </w:rPr>
        <w:t xml:space="preserve"> donné qu’il y a une période de carence de 3 mois, tout DPI bénéficie pendant cette durée d’une aide médicale moyennant des bons de prise en charge distribué</w:t>
      </w:r>
      <w:r w:rsidR="00671C21">
        <w:rPr>
          <w:rFonts w:cstheme="minorHAnsi"/>
          <w:bCs/>
        </w:rPr>
        <w:t>s</w:t>
      </w:r>
      <w:r w:rsidRPr="008A19EF">
        <w:rPr>
          <w:rFonts w:cstheme="minorHAnsi"/>
          <w:bCs/>
        </w:rPr>
        <w:t xml:space="preserve"> par la Cellule Santé des demandeurs de protection internationale de la Direction de la Santé. Pendant cette période </w:t>
      </w:r>
      <w:r w:rsidR="00671C21">
        <w:rPr>
          <w:rFonts w:cstheme="minorHAnsi"/>
          <w:bCs/>
        </w:rPr>
        <w:t>–</w:t>
      </w:r>
      <w:r w:rsidRPr="008A19EF">
        <w:rPr>
          <w:rFonts w:cstheme="minorHAnsi"/>
          <w:bCs/>
        </w:rPr>
        <w:t xml:space="preserve"> et</w:t>
      </w:r>
      <w:r w:rsidR="00671C21">
        <w:rPr>
          <w:rFonts w:cstheme="minorHAnsi"/>
          <w:bCs/>
        </w:rPr>
        <w:t xml:space="preserve"> </w:t>
      </w:r>
      <w:r w:rsidRPr="008A19EF">
        <w:rPr>
          <w:rFonts w:cstheme="minorHAnsi"/>
          <w:bCs/>
        </w:rPr>
        <w:t xml:space="preserve">en cas d’urgence </w:t>
      </w:r>
      <w:r w:rsidR="00671C21">
        <w:rPr>
          <w:rFonts w:cstheme="minorHAnsi"/>
          <w:bCs/>
        </w:rPr>
        <w:t>–</w:t>
      </w:r>
      <w:r w:rsidRPr="008A19EF">
        <w:rPr>
          <w:rFonts w:cstheme="minorHAnsi"/>
          <w:bCs/>
        </w:rPr>
        <w:t xml:space="preserve"> les</w:t>
      </w:r>
      <w:r w:rsidR="00671C21">
        <w:rPr>
          <w:rFonts w:cstheme="minorHAnsi"/>
          <w:bCs/>
        </w:rPr>
        <w:t xml:space="preserve"> </w:t>
      </w:r>
      <w:r w:rsidRPr="008A19EF">
        <w:rPr>
          <w:rFonts w:cstheme="minorHAnsi"/>
          <w:bCs/>
        </w:rPr>
        <w:t xml:space="preserve">hôpitaux, les médecins traitants et les pharmacies envoient les factures médicales ensemble avec une attestation médicale à l’ONA. </w:t>
      </w:r>
    </w:p>
    <w:p w:rsidR="008A19EF" w:rsidRPr="008A19EF" w:rsidRDefault="008A19EF" w:rsidP="008A19EF">
      <w:pPr>
        <w:rPr>
          <w:rFonts w:cstheme="minorHAnsi"/>
          <w:bCs/>
        </w:rPr>
      </w:pPr>
      <w:proofErr w:type="spellStart"/>
      <w:r w:rsidRPr="008A19EF">
        <w:rPr>
          <w:rFonts w:cstheme="minorHAnsi"/>
          <w:bCs/>
        </w:rPr>
        <w:t>A</w:t>
      </w:r>
      <w:proofErr w:type="spellEnd"/>
      <w:r w:rsidRPr="008A19EF">
        <w:rPr>
          <w:rFonts w:cstheme="minorHAnsi"/>
          <w:bCs/>
        </w:rPr>
        <w:t xml:space="preserve"> partir du moment où l’affiliation à la CNS est effective, le DPI doit régler ses propres factures médicales et payer ses médicaments à la pharmacie. Pour aider les DPI à mieux faire face aux dépenses médicales, l’ONA vire une avance pour frais médicaux (AFM) prenant en charge la part du patient. </w:t>
      </w:r>
    </w:p>
    <w:p w:rsidR="008A19EF" w:rsidRPr="008A19EF" w:rsidRDefault="008A19EF" w:rsidP="008A19EF">
      <w:pPr>
        <w:rPr>
          <w:rFonts w:cstheme="minorHAnsi"/>
          <w:bCs/>
        </w:rPr>
      </w:pPr>
      <w:r w:rsidRPr="008A19EF">
        <w:rPr>
          <w:rFonts w:cstheme="minorHAnsi"/>
          <w:bCs/>
        </w:rPr>
        <w:t>En ce qui concerne les bénéficiaires de protection temporaire (BPT), les soins de santé sont entièrement pris en charge par l’</w:t>
      </w:r>
      <w:proofErr w:type="spellStart"/>
      <w:r w:rsidRPr="008A19EF">
        <w:rPr>
          <w:rFonts w:cstheme="minorHAnsi"/>
          <w:bCs/>
        </w:rPr>
        <w:t>Etat</w:t>
      </w:r>
      <w:proofErr w:type="spellEnd"/>
      <w:r w:rsidRPr="008A19EF">
        <w:rPr>
          <w:rFonts w:cstheme="minorHAnsi"/>
          <w:bCs/>
        </w:rPr>
        <w:t xml:space="preserve">. </w:t>
      </w:r>
    </w:p>
    <w:p w:rsidR="008A19EF" w:rsidRDefault="008A19EF" w:rsidP="008A19EF">
      <w:pPr>
        <w:rPr>
          <w:rFonts w:cstheme="minorHAnsi"/>
          <w:bCs/>
        </w:rPr>
      </w:pPr>
      <w:r w:rsidRPr="008A19EF">
        <w:rPr>
          <w:rFonts w:cstheme="minorHAnsi"/>
          <w:bCs/>
        </w:rPr>
        <w:t>Pour toute question les DPI et BPT peuvent s’adresser aux encadrants présents dans les structures d’hébergement ou bien téléphoner les permanences téléphoniques journalières de l’ONA. Par ailleurs, en cas de besoin, un DPI ou BPT nouvellement arrivé peut demander la présence d’un interprète lors d’une consultation médicale.</w:t>
      </w:r>
    </w:p>
    <w:p w:rsidR="002471FF" w:rsidRPr="008A19EF" w:rsidRDefault="002471FF" w:rsidP="008A19EF">
      <w:pPr>
        <w:rPr>
          <w:rFonts w:cstheme="minorHAnsi"/>
          <w:bCs/>
        </w:rPr>
      </w:pPr>
    </w:p>
    <w:p w:rsidR="006C383F" w:rsidRPr="0007351E" w:rsidRDefault="006C383F" w:rsidP="004136D4">
      <w:pPr>
        <w:rPr>
          <w:rFonts w:cstheme="minorHAnsi"/>
        </w:rPr>
      </w:pPr>
    </w:p>
    <w:p w:rsidR="004136D4" w:rsidRPr="000510EE" w:rsidRDefault="000510EE" w:rsidP="002471FF">
      <w:pPr>
        <w:pStyle w:val="Heading1"/>
      </w:pPr>
      <w:bookmarkStart w:id="67" w:name="_Toc116401367"/>
      <w:r>
        <w:t>CLUSTER</w:t>
      </w:r>
      <w:r w:rsidR="004136D4" w:rsidRPr="000510EE">
        <w:t xml:space="preserve"> 4</w:t>
      </w:r>
      <w:bookmarkEnd w:id="67"/>
    </w:p>
    <w:p w:rsidR="00E70FA1" w:rsidRPr="0007351E" w:rsidRDefault="00335DD6" w:rsidP="002471FF">
      <w:pPr>
        <w:pStyle w:val="Heading2"/>
      </w:pPr>
      <w:bookmarkStart w:id="68" w:name="_Toc116401368"/>
      <w:r w:rsidRPr="0007351E">
        <w:t>Droit à l’éducation (articles 13 et 14)</w:t>
      </w:r>
      <w:bookmarkEnd w:id="68"/>
    </w:p>
    <w:p w:rsidR="0007351E" w:rsidRPr="0007351E" w:rsidRDefault="0007351E" w:rsidP="002471FF">
      <w:pPr>
        <w:pStyle w:val="Heading3"/>
      </w:pPr>
      <w:bookmarkStart w:id="69" w:name="_Toc116401369"/>
      <w:r w:rsidRPr="0007351E">
        <w:t>Taux de scolarisation</w:t>
      </w:r>
      <w:bookmarkEnd w:id="69"/>
    </w:p>
    <w:p w:rsidR="0007351E" w:rsidRPr="0007351E" w:rsidRDefault="0007351E" w:rsidP="002471FF">
      <w:pPr>
        <w:pStyle w:val="Heading4"/>
      </w:pPr>
      <w:bookmarkStart w:id="70" w:name="_Toc116401370"/>
      <w:r w:rsidRPr="0007351E">
        <w:t>Enseignement fondamental et secondaire</w:t>
      </w:r>
      <w:bookmarkEnd w:id="70"/>
      <w:r w:rsidRPr="0007351E">
        <w:t xml:space="preserve"> </w:t>
      </w:r>
    </w:p>
    <w:p w:rsidR="0007351E" w:rsidRPr="0007351E" w:rsidRDefault="0007351E" w:rsidP="0007351E">
      <w:proofErr w:type="spellStart"/>
      <w:r w:rsidRPr="0007351E">
        <w:t>A</w:t>
      </w:r>
      <w:proofErr w:type="spellEnd"/>
      <w:r w:rsidRPr="0007351E">
        <w:t xml:space="preserve"> la rentrée</w:t>
      </w:r>
      <w:r>
        <w:t xml:space="preserve"> scolaire de septembre 2021, 92 </w:t>
      </w:r>
      <w:r w:rsidRPr="0007351E">
        <w:t>762 enfants étaient scolarisés dans les écoles publiques et écoles internat</w:t>
      </w:r>
      <w:r>
        <w:t>ionales publiques. Parmi eux, 4 </w:t>
      </w:r>
      <w:r w:rsidRPr="0007351E">
        <w:t>659 enfants suivaient un programme international.</w:t>
      </w:r>
    </w:p>
    <w:p w:rsidR="0007351E" w:rsidRPr="0007351E" w:rsidRDefault="0007351E" w:rsidP="0007351E">
      <w:r w:rsidRPr="0007351E">
        <w:lastRenderedPageBreak/>
        <w:t xml:space="preserve">Ni le Service de </w:t>
      </w:r>
      <w:r w:rsidRPr="0007351E">
        <w:rPr>
          <w:bCs/>
        </w:rPr>
        <w:t>l’enseignement fondamental, ni le Service de l’enseignement secondaire</w:t>
      </w:r>
      <w:r w:rsidRPr="0007351E">
        <w:rPr>
          <w:b/>
          <w:bCs/>
        </w:rPr>
        <w:t xml:space="preserve"> </w:t>
      </w:r>
      <w:r w:rsidRPr="0007351E">
        <w:t>du MENEJ ne recueillent les données au sujet de l’origine ethnique, du handicap ou de la situation socioéconomique des élèves. Ci-dessous, les statistiques sur les taux de scolarisation selon les calculs de l’OCDE et les taux d’achèvement du recensement de la population de 2011 du STATEC17 :</w:t>
      </w:r>
    </w:p>
    <w:p w:rsidR="0007351E" w:rsidRPr="0007351E" w:rsidRDefault="0007351E" w:rsidP="0007351E"/>
    <w:tbl>
      <w:tblPr>
        <w:tblW w:w="4390" w:type="dxa"/>
        <w:jc w:val="center"/>
        <w:tblLook w:val="04A0" w:firstRow="1" w:lastRow="0" w:firstColumn="1" w:lastColumn="0" w:noHBand="0" w:noVBand="1"/>
      </w:tblPr>
      <w:tblGrid>
        <w:gridCol w:w="557"/>
        <w:gridCol w:w="1732"/>
        <w:gridCol w:w="931"/>
        <w:gridCol w:w="1170"/>
      </w:tblGrid>
      <w:tr w:rsidR="0007351E" w:rsidRPr="0007351E" w:rsidTr="0007351E">
        <w:trPr>
          <w:trHeight w:val="558"/>
          <w:jc w:val="center"/>
        </w:trPr>
        <w:tc>
          <w:tcPr>
            <w:tcW w:w="557"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7351E" w:rsidRPr="0007351E" w:rsidRDefault="0007351E" w:rsidP="0007351E">
            <w:pPr>
              <w:jc w:val="left"/>
            </w:pPr>
            <w:r w:rsidRPr="0007351E">
              <w:t>Âge</w:t>
            </w:r>
          </w:p>
        </w:tc>
        <w:tc>
          <w:tcPr>
            <w:tcW w:w="3833" w:type="dxa"/>
            <w:gridSpan w:val="3"/>
            <w:tcBorders>
              <w:top w:val="single" w:sz="4" w:space="0" w:color="auto"/>
              <w:left w:val="nil"/>
              <w:bottom w:val="single" w:sz="4" w:space="0" w:color="auto"/>
              <w:right w:val="single" w:sz="4" w:space="0" w:color="auto"/>
            </w:tcBorders>
            <w:shd w:val="clear" w:color="000000" w:fill="BFBFBF"/>
            <w:vAlign w:val="center"/>
            <w:hideMark/>
          </w:tcPr>
          <w:p w:rsidR="0007351E" w:rsidRPr="0007351E" w:rsidRDefault="0007351E" w:rsidP="0007351E">
            <w:pPr>
              <w:jc w:val="left"/>
              <w:rPr>
                <w:b/>
              </w:rPr>
            </w:pPr>
            <w:r w:rsidRPr="0007351E">
              <w:rPr>
                <w:b/>
              </w:rPr>
              <w:t>Taux de scolarisation par âge et sexe pour l'année scolaire 2019/2020 (%)</w:t>
            </w:r>
          </w:p>
        </w:tc>
      </w:tr>
      <w:tr w:rsidR="0007351E" w:rsidRPr="0007351E" w:rsidTr="0007351E">
        <w:trPr>
          <w:trHeight w:val="293"/>
          <w:jc w:val="center"/>
        </w:trPr>
        <w:tc>
          <w:tcPr>
            <w:tcW w:w="557" w:type="dxa"/>
            <w:vMerge/>
            <w:tcBorders>
              <w:top w:val="single" w:sz="4" w:space="0" w:color="auto"/>
              <w:left w:val="single" w:sz="4" w:space="0" w:color="auto"/>
              <w:bottom w:val="single" w:sz="4" w:space="0" w:color="auto"/>
              <w:right w:val="single" w:sz="4" w:space="0" w:color="auto"/>
            </w:tcBorders>
            <w:vAlign w:val="center"/>
            <w:hideMark/>
          </w:tcPr>
          <w:p w:rsidR="0007351E" w:rsidRPr="0007351E" w:rsidRDefault="0007351E" w:rsidP="0007351E"/>
        </w:tc>
        <w:tc>
          <w:tcPr>
            <w:tcW w:w="1732" w:type="dxa"/>
            <w:tcBorders>
              <w:top w:val="nil"/>
              <w:left w:val="nil"/>
              <w:bottom w:val="single" w:sz="4" w:space="0" w:color="auto"/>
              <w:right w:val="single" w:sz="4" w:space="0" w:color="auto"/>
            </w:tcBorders>
            <w:shd w:val="clear" w:color="000000" w:fill="BFBFBF"/>
            <w:noWrap/>
            <w:vAlign w:val="center"/>
            <w:hideMark/>
          </w:tcPr>
          <w:p w:rsidR="0007351E" w:rsidRPr="0007351E" w:rsidRDefault="0007351E" w:rsidP="0007351E">
            <w:pPr>
              <w:jc w:val="left"/>
            </w:pPr>
            <w:r w:rsidRPr="0007351E">
              <w:t>Total</w:t>
            </w:r>
          </w:p>
        </w:tc>
        <w:tc>
          <w:tcPr>
            <w:tcW w:w="931" w:type="dxa"/>
            <w:tcBorders>
              <w:top w:val="nil"/>
              <w:left w:val="nil"/>
              <w:bottom w:val="single" w:sz="4" w:space="0" w:color="auto"/>
              <w:right w:val="single" w:sz="4" w:space="0" w:color="auto"/>
            </w:tcBorders>
            <w:shd w:val="clear" w:color="000000" w:fill="BFBFBF"/>
            <w:noWrap/>
            <w:vAlign w:val="center"/>
            <w:hideMark/>
          </w:tcPr>
          <w:p w:rsidR="0007351E" w:rsidRPr="0007351E" w:rsidRDefault="0007351E" w:rsidP="0007351E">
            <w:pPr>
              <w:jc w:val="left"/>
            </w:pPr>
            <w:r w:rsidRPr="0007351E">
              <w:t>Homme</w:t>
            </w:r>
          </w:p>
        </w:tc>
        <w:tc>
          <w:tcPr>
            <w:tcW w:w="1170" w:type="dxa"/>
            <w:tcBorders>
              <w:top w:val="nil"/>
              <w:left w:val="nil"/>
              <w:bottom w:val="single" w:sz="4" w:space="0" w:color="auto"/>
              <w:right w:val="single" w:sz="4" w:space="0" w:color="auto"/>
            </w:tcBorders>
            <w:shd w:val="clear" w:color="000000" w:fill="BFBFBF"/>
            <w:noWrap/>
            <w:vAlign w:val="center"/>
            <w:hideMark/>
          </w:tcPr>
          <w:p w:rsidR="0007351E" w:rsidRPr="0007351E" w:rsidRDefault="0007351E" w:rsidP="0007351E">
            <w:pPr>
              <w:jc w:val="left"/>
            </w:pPr>
            <w:r w:rsidRPr="0007351E">
              <w:t>Femme</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3.2</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2.7</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3.7</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71.4</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73.0</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69.7</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97.9</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96.7</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99.2</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5</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98.8</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99.3</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98.3</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6</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98.6</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99.6</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97.6</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7</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98.0</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97.5</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98.6</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8</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100.3</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100.6</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99.9</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9</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98.3</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98.2</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98.3</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10</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100.7</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100.6</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100.8</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11</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99.2</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99.0</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99.5</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12</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98.6</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98.8</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98.4</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13</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96.2</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96.4</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96.0</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14</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97.2</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96.1</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98.5</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15</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95.4</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94.8</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96.1</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16</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91.5</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90.1</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93.0</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lastRenderedPageBreak/>
              <w:t>17</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84.0</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81.4</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86.7</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18</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73.6</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70.1</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77.2</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19</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47.0</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47.8</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46.1</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20</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32.8</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32.3</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33.4</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21</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24.1</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24.0</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24.3</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22</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18.9</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19.1</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18.7</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23</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13.7</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13.7</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13.7</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24</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10.9</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11.0</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10.8</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25</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8.1</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8.6</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7.7</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26</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6.6</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7.2</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6.0</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27</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5.6</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6.0</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5.2</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28</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4.7</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5.1</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4.4</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29</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3.8</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4.0</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3.5</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30</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3.1</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3.2</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2.9</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31</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2.6</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2.7</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2.6</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32</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2.5</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3.1</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2.0</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33</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1.9</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1.8</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2.0</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34</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1.7</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1.6</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1.8</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35</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1.9</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1.8</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2.1</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36</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1.1</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1.3</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37</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1.2</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1.1</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1.2</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lastRenderedPageBreak/>
              <w:t>38</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1.2</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1.1</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1.3</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39</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0.9</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0.9</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40</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0.8</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0.8</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0.8</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41</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0.7</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0.6</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0.8</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42</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0.7</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0.5</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0.9</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43</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0.6</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0.3</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0.8</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44</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0.6</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0.4</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0.8</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45</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0.6</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0.5</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0.7</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46</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0.4</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0.4</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0.3</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47</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0.3</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0.2</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0.5</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48</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0.4</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0.4</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0.3</w:t>
            </w:r>
          </w:p>
        </w:tc>
      </w:tr>
      <w:tr w:rsidR="0007351E" w:rsidRPr="0007351E" w:rsidTr="0007351E">
        <w:trPr>
          <w:trHeight w:val="293"/>
          <w:jc w:val="center"/>
        </w:trPr>
        <w:tc>
          <w:tcPr>
            <w:tcW w:w="557"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pPr>
              <w:jc w:val="left"/>
            </w:pPr>
            <w:r w:rsidRPr="0007351E">
              <w:t>49</w:t>
            </w:r>
          </w:p>
        </w:tc>
        <w:tc>
          <w:tcPr>
            <w:tcW w:w="173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0.2</w:t>
            </w:r>
          </w:p>
        </w:tc>
        <w:tc>
          <w:tcPr>
            <w:tcW w:w="931"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0.2</w:t>
            </w:r>
          </w:p>
        </w:tc>
        <w:tc>
          <w:tcPr>
            <w:tcW w:w="117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0.3</w:t>
            </w:r>
          </w:p>
        </w:tc>
      </w:tr>
    </w:tbl>
    <w:p w:rsidR="0007351E" w:rsidRPr="0007351E" w:rsidRDefault="0007351E" w:rsidP="0007351E"/>
    <w:p w:rsidR="0007351E" w:rsidRPr="0007351E" w:rsidRDefault="0007351E" w:rsidP="0007351E"/>
    <w:tbl>
      <w:tblPr>
        <w:tblW w:w="4664" w:type="dxa"/>
        <w:jc w:val="center"/>
        <w:tblLook w:val="04A0" w:firstRow="1" w:lastRow="0" w:firstColumn="1" w:lastColumn="0" w:noHBand="0" w:noVBand="1"/>
      </w:tblPr>
      <w:tblGrid>
        <w:gridCol w:w="3092"/>
        <w:gridCol w:w="931"/>
        <w:gridCol w:w="888"/>
        <w:gridCol w:w="875"/>
      </w:tblGrid>
      <w:tr w:rsidR="0007351E" w:rsidRPr="0007351E" w:rsidTr="0007351E">
        <w:trPr>
          <w:trHeight w:val="564"/>
          <w:jc w:val="center"/>
        </w:trPr>
        <w:tc>
          <w:tcPr>
            <w:tcW w:w="4664" w:type="dxa"/>
            <w:gridSpan w:val="4"/>
            <w:tcBorders>
              <w:top w:val="single" w:sz="4" w:space="0" w:color="auto"/>
              <w:left w:val="single" w:sz="4" w:space="0" w:color="auto"/>
              <w:bottom w:val="single" w:sz="4" w:space="0" w:color="auto"/>
              <w:right w:val="single" w:sz="4" w:space="0" w:color="auto"/>
            </w:tcBorders>
            <w:shd w:val="clear" w:color="000000" w:fill="BFBFBF"/>
            <w:vAlign w:val="bottom"/>
            <w:hideMark/>
          </w:tcPr>
          <w:p w:rsidR="0007351E" w:rsidRPr="0007351E" w:rsidRDefault="0007351E" w:rsidP="0007351E">
            <w:pPr>
              <w:rPr>
                <w:b/>
              </w:rPr>
            </w:pPr>
            <w:r w:rsidRPr="0007351E">
              <w:rPr>
                <w:b/>
              </w:rPr>
              <w:t>Taux d'achèvement des études par sexe au 01/02/2011 (population de 15+ ans)</w:t>
            </w:r>
          </w:p>
        </w:tc>
      </w:tr>
      <w:tr w:rsidR="0007351E" w:rsidRPr="0007351E" w:rsidTr="0007351E">
        <w:trPr>
          <w:trHeight w:val="289"/>
          <w:jc w:val="center"/>
        </w:trPr>
        <w:tc>
          <w:tcPr>
            <w:tcW w:w="3092"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r w:rsidRPr="0007351E">
              <w:t> </w:t>
            </w:r>
          </w:p>
        </w:tc>
        <w:tc>
          <w:tcPr>
            <w:tcW w:w="543"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r w:rsidRPr="0007351E">
              <w:t>Homme</w:t>
            </w:r>
          </w:p>
        </w:tc>
        <w:tc>
          <w:tcPr>
            <w:tcW w:w="518"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r w:rsidRPr="0007351E">
              <w:t>Femme</w:t>
            </w:r>
          </w:p>
        </w:tc>
        <w:tc>
          <w:tcPr>
            <w:tcW w:w="510"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r w:rsidRPr="0007351E">
              <w:t>Total</w:t>
            </w:r>
          </w:p>
        </w:tc>
      </w:tr>
      <w:tr w:rsidR="0007351E" w:rsidRPr="0007351E" w:rsidTr="0007351E">
        <w:trPr>
          <w:trHeight w:val="578"/>
          <w:jc w:val="center"/>
        </w:trPr>
        <w:tc>
          <w:tcPr>
            <w:tcW w:w="3092" w:type="dxa"/>
            <w:tcBorders>
              <w:top w:val="nil"/>
              <w:left w:val="single" w:sz="4" w:space="0" w:color="auto"/>
              <w:bottom w:val="single" w:sz="4" w:space="0" w:color="auto"/>
              <w:right w:val="single" w:sz="4" w:space="0" w:color="auto"/>
            </w:tcBorders>
            <w:shd w:val="clear" w:color="000000" w:fill="BFBFBF"/>
            <w:vAlign w:val="bottom"/>
            <w:hideMark/>
          </w:tcPr>
          <w:p w:rsidR="0007351E" w:rsidRPr="0007351E" w:rsidRDefault="0007351E" w:rsidP="0007351E">
            <w:r w:rsidRPr="0007351E">
              <w:t>taux d'achèvement des études primaires</w:t>
            </w:r>
          </w:p>
        </w:tc>
        <w:tc>
          <w:tcPr>
            <w:tcW w:w="543"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518"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51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r>
      <w:tr w:rsidR="0007351E" w:rsidRPr="0007351E" w:rsidTr="0007351E">
        <w:trPr>
          <w:trHeight w:val="578"/>
          <w:jc w:val="center"/>
        </w:trPr>
        <w:tc>
          <w:tcPr>
            <w:tcW w:w="3092" w:type="dxa"/>
            <w:tcBorders>
              <w:top w:val="nil"/>
              <w:left w:val="single" w:sz="4" w:space="0" w:color="auto"/>
              <w:bottom w:val="single" w:sz="4" w:space="0" w:color="auto"/>
              <w:right w:val="single" w:sz="4" w:space="0" w:color="auto"/>
            </w:tcBorders>
            <w:shd w:val="clear" w:color="000000" w:fill="BFBFBF"/>
            <w:vAlign w:val="bottom"/>
            <w:hideMark/>
          </w:tcPr>
          <w:p w:rsidR="0007351E" w:rsidRPr="0007351E" w:rsidRDefault="0007351E" w:rsidP="0007351E">
            <w:r w:rsidRPr="0007351E">
              <w:t>taux d'achèvement des études secondaires</w:t>
            </w:r>
          </w:p>
        </w:tc>
        <w:tc>
          <w:tcPr>
            <w:tcW w:w="543"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65,6%</w:t>
            </w:r>
          </w:p>
        </w:tc>
        <w:tc>
          <w:tcPr>
            <w:tcW w:w="518"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61,9%</w:t>
            </w:r>
          </w:p>
        </w:tc>
        <w:tc>
          <w:tcPr>
            <w:tcW w:w="51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63,7%</w:t>
            </w:r>
          </w:p>
        </w:tc>
      </w:tr>
    </w:tbl>
    <w:p w:rsidR="0007351E" w:rsidRPr="0007351E" w:rsidRDefault="0007351E" w:rsidP="0007351E"/>
    <w:tbl>
      <w:tblPr>
        <w:tblW w:w="5868" w:type="dxa"/>
        <w:jc w:val="center"/>
        <w:tblLook w:val="04A0" w:firstRow="1" w:lastRow="0" w:firstColumn="1" w:lastColumn="0" w:noHBand="0" w:noVBand="1"/>
      </w:tblPr>
      <w:tblGrid>
        <w:gridCol w:w="2313"/>
        <w:gridCol w:w="1695"/>
        <w:gridCol w:w="985"/>
        <w:gridCol w:w="875"/>
      </w:tblGrid>
      <w:tr w:rsidR="0007351E" w:rsidRPr="0007351E" w:rsidTr="0007351E">
        <w:trPr>
          <w:trHeight w:val="564"/>
          <w:jc w:val="center"/>
        </w:trPr>
        <w:tc>
          <w:tcPr>
            <w:tcW w:w="5868" w:type="dxa"/>
            <w:gridSpan w:val="4"/>
            <w:tcBorders>
              <w:top w:val="single" w:sz="4" w:space="0" w:color="auto"/>
              <w:left w:val="single" w:sz="4" w:space="0" w:color="auto"/>
              <w:bottom w:val="single" w:sz="4" w:space="0" w:color="auto"/>
              <w:right w:val="single" w:sz="4" w:space="0" w:color="000000"/>
            </w:tcBorders>
            <w:shd w:val="clear" w:color="000000" w:fill="BFBFBF"/>
            <w:vAlign w:val="bottom"/>
            <w:hideMark/>
          </w:tcPr>
          <w:p w:rsidR="0007351E" w:rsidRPr="0007351E" w:rsidRDefault="0007351E" w:rsidP="0007351E">
            <w:pPr>
              <w:rPr>
                <w:b/>
              </w:rPr>
            </w:pPr>
            <w:r w:rsidRPr="0007351E">
              <w:rPr>
                <w:b/>
              </w:rPr>
              <w:lastRenderedPageBreak/>
              <w:t>Taux d'achèvement des études par nationalité au 01/02/2011 (population de 15+ ans)</w:t>
            </w:r>
          </w:p>
        </w:tc>
      </w:tr>
      <w:tr w:rsidR="0007351E" w:rsidRPr="0007351E" w:rsidTr="0007351E">
        <w:trPr>
          <w:trHeight w:val="289"/>
          <w:jc w:val="center"/>
        </w:trPr>
        <w:tc>
          <w:tcPr>
            <w:tcW w:w="3280" w:type="dxa"/>
            <w:tcBorders>
              <w:top w:val="nil"/>
              <w:left w:val="single" w:sz="4" w:space="0" w:color="auto"/>
              <w:bottom w:val="single" w:sz="4" w:space="0" w:color="auto"/>
              <w:right w:val="single" w:sz="4" w:space="0" w:color="auto"/>
            </w:tcBorders>
            <w:shd w:val="clear" w:color="000000" w:fill="BFBFBF"/>
            <w:vAlign w:val="bottom"/>
            <w:hideMark/>
          </w:tcPr>
          <w:p w:rsidR="0007351E" w:rsidRPr="0007351E" w:rsidRDefault="0007351E" w:rsidP="0007351E">
            <w:r w:rsidRPr="0007351E">
              <w:t> </w:t>
            </w:r>
          </w:p>
        </w:tc>
        <w:tc>
          <w:tcPr>
            <w:tcW w:w="1234"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r w:rsidRPr="0007351E">
              <w:t>Luxembourgeois</w:t>
            </w:r>
          </w:p>
        </w:tc>
        <w:tc>
          <w:tcPr>
            <w:tcW w:w="717"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proofErr w:type="spellStart"/>
            <w:r w:rsidRPr="0007351E">
              <w:t>Etranger</w:t>
            </w:r>
            <w:proofErr w:type="spellEnd"/>
          </w:p>
        </w:tc>
        <w:tc>
          <w:tcPr>
            <w:tcW w:w="637"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r w:rsidRPr="0007351E">
              <w:t>Total</w:t>
            </w:r>
          </w:p>
        </w:tc>
      </w:tr>
      <w:tr w:rsidR="0007351E" w:rsidRPr="0007351E" w:rsidTr="0007351E">
        <w:trPr>
          <w:trHeight w:val="578"/>
          <w:jc w:val="center"/>
        </w:trPr>
        <w:tc>
          <w:tcPr>
            <w:tcW w:w="3280" w:type="dxa"/>
            <w:tcBorders>
              <w:top w:val="nil"/>
              <w:left w:val="single" w:sz="4" w:space="0" w:color="auto"/>
              <w:bottom w:val="single" w:sz="4" w:space="0" w:color="auto"/>
              <w:right w:val="single" w:sz="4" w:space="0" w:color="auto"/>
            </w:tcBorders>
            <w:shd w:val="clear" w:color="000000" w:fill="BFBFBF"/>
            <w:vAlign w:val="bottom"/>
            <w:hideMark/>
          </w:tcPr>
          <w:p w:rsidR="0007351E" w:rsidRPr="0007351E" w:rsidRDefault="0007351E" w:rsidP="0007351E">
            <w:r w:rsidRPr="0007351E">
              <w:t>taux d'achèvement des études primaires</w:t>
            </w:r>
          </w:p>
        </w:tc>
        <w:tc>
          <w:tcPr>
            <w:tcW w:w="1234"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717"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637"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r>
      <w:tr w:rsidR="0007351E" w:rsidRPr="0007351E" w:rsidTr="0007351E">
        <w:trPr>
          <w:trHeight w:val="578"/>
          <w:jc w:val="center"/>
        </w:trPr>
        <w:tc>
          <w:tcPr>
            <w:tcW w:w="3280" w:type="dxa"/>
            <w:tcBorders>
              <w:top w:val="nil"/>
              <w:left w:val="single" w:sz="4" w:space="0" w:color="auto"/>
              <w:bottom w:val="single" w:sz="4" w:space="0" w:color="auto"/>
              <w:right w:val="single" w:sz="4" w:space="0" w:color="auto"/>
            </w:tcBorders>
            <w:shd w:val="clear" w:color="000000" w:fill="BFBFBF"/>
            <w:vAlign w:val="bottom"/>
            <w:hideMark/>
          </w:tcPr>
          <w:p w:rsidR="0007351E" w:rsidRPr="0007351E" w:rsidRDefault="0007351E" w:rsidP="0007351E">
            <w:r w:rsidRPr="0007351E">
              <w:t>taux d'achèvement des études secondaires</w:t>
            </w:r>
          </w:p>
        </w:tc>
        <w:tc>
          <w:tcPr>
            <w:tcW w:w="1234"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66,8%</w:t>
            </w:r>
          </w:p>
        </w:tc>
        <w:tc>
          <w:tcPr>
            <w:tcW w:w="717"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59,2%</w:t>
            </w:r>
          </w:p>
        </w:tc>
        <w:tc>
          <w:tcPr>
            <w:tcW w:w="637"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63,7%</w:t>
            </w:r>
          </w:p>
        </w:tc>
      </w:tr>
    </w:tbl>
    <w:p w:rsidR="0007351E" w:rsidRPr="0007351E" w:rsidRDefault="0007351E" w:rsidP="0007351E"/>
    <w:p w:rsidR="0007351E" w:rsidRPr="0007351E" w:rsidRDefault="0007351E" w:rsidP="0007351E"/>
    <w:tbl>
      <w:tblPr>
        <w:tblW w:w="9214" w:type="dxa"/>
        <w:jc w:val="center"/>
        <w:tblLayout w:type="fixed"/>
        <w:tblLook w:val="04A0" w:firstRow="1" w:lastRow="0" w:firstColumn="1" w:lastColumn="0" w:noHBand="0" w:noVBand="1"/>
      </w:tblPr>
      <w:tblGrid>
        <w:gridCol w:w="1051"/>
        <w:gridCol w:w="856"/>
        <w:gridCol w:w="796"/>
        <w:gridCol w:w="796"/>
        <w:gridCol w:w="818"/>
        <w:gridCol w:w="786"/>
        <w:gridCol w:w="778"/>
        <w:gridCol w:w="782"/>
        <w:gridCol w:w="850"/>
        <w:gridCol w:w="859"/>
        <w:gridCol w:w="842"/>
      </w:tblGrid>
      <w:tr w:rsidR="0007351E" w:rsidRPr="0007351E" w:rsidTr="0007351E">
        <w:trPr>
          <w:trHeight w:val="35"/>
          <w:jc w:val="center"/>
        </w:trPr>
        <w:tc>
          <w:tcPr>
            <w:tcW w:w="9214" w:type="dxa"/>
            <w:gridSpan w:val="11"/>
            <w:tcBorders>
              <w:top w:val="single" w:sz="4" w:space="0" w:color="auto"/>
              <w:left w:val="single" w:sz="4" w:space="0" w:color="auto"/>
              <w:bottom w:val="single" w:sz="4" w:space="0" w:color="auto"/>
              <w:right w:val="single" w:sz="4" w:space="0" w:color="auto"/>
            </w:tcBorders>
            <w:shd w:val="clear" w:color="000000" w:fill="BFBFBF"/>
            <w:vAlign w:val="bottom"/>
            <w:hideMark/>
          </w:tcPr>
          <w:p w:rsidR="0007351E" w:rsidRPr="0007351E" w:rsidRDefault="0007351E" w:rsidP="0007351E">
            <w:pPr>
              <w:jc w:val="left"/>
              <w:rPr>
                <w:b/>
              </w:rPr>
            </w:pPr>
            <w:r w:rsidRPr="0007351E">
              <w:rPr>
                <w:b/>
              </w:rPr>
              <w:t xml:space="preserve">Taux d'achèvement des études par rapport à la situation économique au 01/02/2011 (population de 15+ ans) </w:t>
            </w:r>
            <w:r w:rsidRPr="0007351E">
              <w:rPr>
                <w:b/>
              </w:rPr>
              <w:br/>
              <w:t>Source : RP2011 - STATEC</w:t>
            </w:r>
          </w:p>
        </w:tc>
      </w:tr>
      <w:tr w:rsidR="0007351E" w:rsidRPr="0007351E" w:rsidTr="0007351E">
        <w:trPr>
          <w:trHeight w:val="118"/>
          <w:jc w:val="center"/>
        </w:trPr>
        <w:tc>
          <w:tcPr>
            <w:tcW w:w="1051"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r w:rsidRPr="0007351E">
              <w:t> </w:t>
            </w:r>
          </w:p>
        </w:tc>
        <w:tc>
          <w:tcPr>
            <w:tcW w:w="856"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proofErr w:type="spellStart"/>
            <w:r w:rsidRPr="0007351E">
              <w:t>A</w:t>
            </w:r>
            <w:proofErr w:type="spellEnd"/>
            <w:r w:rsidRPr="0007351E">
              <w:t xml:space="preserve"> un emploi</w:t>
            </w:r>
          </w:p>
        </w:tc>
        <w:tc>
          <w:tcPr>
            <w:tcW w:w="796"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r w:rsidRPr="0007351E">
              <w:t>Chômeur, n'ayant jamais travaillé</w:t>
            </w:r>
          </w:p>
        </w:tc>
        <w:tc>
          <w:tcPr>
            <w:tcW w:w="796"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r w:rsidRPr="0007351E">
              <w:t>Chômeur, ayant travaillé avant</w:t>
            </w:r>
          </w:p>
        </w:tc>
        <w:tc>
          <w:tcPr>
            <w:tcW w:w="818"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r w:rsidRPr="0007351E">
              <w:t xml:space="preserve">Occupé(e) </w:t>
            </w:r>
            <w:proofErr w:type="spellStart"/>
            <w:r w:rsidRPr="0007351E">
              <w:t>propore</w:t>
            </w:r>
            <w:proofErr w:type="spellEnd"/>
            <w:r w:rsidRPr="0007351E">
              <w:t xml:space="preserve"> ménage</w:t>
            </w:r>
          </w:p>
        </w:tc>
        <w:tc>
          <w:tcPr>
            <w:tcW w:w="786"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proofErr w:type="spellStart"/>
            <w:r w:rsidRPr="0007351E">
              <w:t>Elève</w:t>
            </w:r>
            <w:proofErr w:type="spellEnd"/>
            <w:r w:rsidRPr="0007351E">
              <w:t>, étudiant</w:t>
            </w:r>
          </w:p>
        </w:tc>
        <w:tc>
          <w:tcPr>
            <w:tcW w:w="778"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r w:rsidRPr="0007351E">
              <w:t>Retraité(e)</w:t>
            </w:r>
          </w:p>
        </w:tc>
        <w:tc>
          <w:tcPr>
            <w:tcW w:w="782"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r w:rsidRPr="0007351E">
              <w:t>Propriétaire, rentier(</w:t>
            </w:r>
            <w:proofErr w:type="spellStart"/>
            <w:r w:rsidRPr="0007351E">
              <w:t>ière</w:t>
            </w:r>
            <w:proofErr w:type="spellEnd"/>
            <w:r w:rsidRPr="0007351E">
              <w:t>)</w:t>
            </w:r>
          </w:p>
        </w:tc>
        <w:tc>
          <w:tcPr>
            <w:tcW w:w="850"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r w:rsidRPr="0007351E">
              <w:t>Autre situation</w:t>
            </w:r>
          </w:p>
        </w:tc>
        <w:tc>
          <w:tcPr>
            <w:tcW w:w="859"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r w:rsidRPr="0007351E">
              <w:t>Ne travaille pas mais sans autre indication</w:t>
            </w:r>
          </w:p>
        </w:tc>
        <w:tc>
          <w:tcPr>
            <w:tcW w:w="842" w:type="dxa"/>
            <w:tcBorders>
              <w:top w:val="nil"/>
              <w:left w:val="nil"/>
              <w:bottom w:val="single" w:sz="4" w:space="0" w:color="auto"/>
              <w:right w:val="single" w:sz="4" w:space="0" w:color="auto"/>
            </w:tcBorders>
            <w:shd w:val="clear" w:color="000000" w:fill="BFBFBF"/>
            <w:vAlign w:val="center"/>
            <w:hideMark/>
          </w:tcPr>
          <w:p w:rsidR="0007351E" w:rsidRPr="0007351E" w:rsidRDefault="0007351E" w:rsidP="0007351E">
            <w:pPr>
              <w:jc w:val="left"/>
            </w:pPr>
            <w:r w:rsidRPr="0007351E">
              <w:t>Total</w:t>
            </w:r>
          </w:p>
        </w:tc>
      </w:tr>
      <w:tr w:rsidR="0007351E" w:rsidRPr="0007351E" w:rsidTr="0007351E">
        <w:trPr>
          <w:trHeight w:val="49"/>
          <w:jc w:val="center"/>
        </w:trPr>
        <w:tc>
          <w:tcPr>
            <w:tcW w:w="1051" w:type="dxa"/>
            <w:tcBorders>
              <w:top w:val="nil"/>
              <w:left w:val="single" w:sz="4" w:space="0" w:color="auto"/>
              <w:bottom w:val="single" w:sz="4" w:space="0" w:color="auto"/>
              <w:right w:val="single" w:sz="4" w:space="0" w:color="auto"/>
            </w:tcBorders>
            <w:shd w:val="clear" w:color="000000" w:fill="BFBFBF"/>
            <w:vAlign w:val="bottom"/>
            <w:hideMark/>
          </w:tcPr>
          <w:p w:rsidR="0007351E" w:rsidRPr="0007351E" w:rsidRDefault="0007351E" w:rsidP="0007351E">
            <w:r w:rsidRPr="0007351E">
              <w:t>Taux d'achèvement des études primaires</w:t>
            </w:r>
          </w:p>
        </w:tc>
        <w:tc>
          <w:tcPr>
            <w:tcW w:w="85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79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79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818"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78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778"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78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85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85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c>
          <w:tcPr>
            <w:tcW w:w="84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100.0%</w:t>
            </w:r>
          </w:p>
        </w:tc>
      </w:tr>
      <w:tr w:rsidR="0007351E" w:rsidRPr="0007351E" w:rsidTr="0007351E">
        <w:trPr>
          <w:trHeight w:val="118"/>
          <w:jc w:val="center"/>
        </w:trPr>
        <w:tc>
          <w:tcPr>
            <w:tcW w:w="1051" w:type="dxa"/>
            <w:tcBorders>
              <w:top w:val="nil"/>
              <w:left w:val="single" w:sz="4" w:space="0" w:color="auto"/>
              <w:bottom w:val="single" w:sz="4" w:space="0" w:color="auto"/>
              <w:right w:val="single" w:sz="4" w:space="0" w:color="auto"/>
            </w:tcBorders>
            <w:shd w:val="clear" w:color="000000" w:fill="BFBFBF"/>
            <w:vAlign w:val="bottom"/>
            <w:hideMark/>
          </w:tcPr>
          <w:p w:rsidR="0007351E" w:rsidRPr="0007351E" w:rsidRDefault="0007351E" w:rsidP="0007351E">
            <w:r w:rsidRPr="0007351E">
              <w:t>Taux d'achèvement des études secondaires</w:t>
            </w:r>
          </w:p>
        </w:tc>
        <w:tc>
          <w:tcPr>
            <w:tcW w:w="85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73.1%</w:t>
            </w:r>
          </w:p>
        </w:tc>
        <w:tc>
          <w:tcPr>
            <w:tcW w:w="79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57.2%</w:t>
            </w:r>
          </w:p>
        </w:tc>
        <w:tc>
          <w:tcPr>
            <w:tcW w:w="79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59.2%</w:t>
            </w:r>
          </w:p>
        </w:tc>
        <w:tc>
          <w:tcPr>
            <w:tcW w:w="818"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45.2%</w:t>
            </w:r>
          </w:p>
        </w:tc>
        <w:tc>
          <w:tcPr>
            <w:tcW w:w="78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58.5%</w:t>
            </w:r>
          </w:p>
        </w:tc>
        <w:tc>
          <w:tcPr>
            <w:tcW w:w="778"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50.6%</w:t>
            </w:r>
          </w:p>
        </w:tc>
        <w:tc>
          <w:tcPr>
            <w:tcW w:w="78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63.9%</w:t>
            </w:r>
          </w:p>
        </w:tc>
        <w:tc>
          <w:tcPr>
            <w:tcW w:w="85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47.8%</w:t>
            </w:r>
          </w:p>
        </w:tc>
        <w:tc>
          <w:tcPr>
            <w:tcW w:w="85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40.7%</w:t>
            </w:r>
          </w:p>
        </w:tc>
        <w:tc>
          <w:tcPr>
            <w:tcW w:w="842"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63.7%</w:t>
            </w:r>
          </w:p>
        </w:tc>
      </w:tr>
    </w:tbl>
    <w:p w:rsidR="0007351E" w:rsidRPr="0007351E" w:rsidRDefault="0007351E" w:rsidP="0007351E"/>
    <w:p w:rsidR="0007351E" w:rsidRPr="0007351E" w:rsidRDefault="0007351E" w:rsidP="0007351E"/>
    <w:tbl>
      <w:tblPr>
        <w:tblW w:w="1906" w:type="dxa"/>
        <w:jc w:val="center"/>
        <w:tblLook w:val="04A0" w:firstRow="1" w:lastRow="0" w:firstColumn="1" w:lastColumn="0" w:noHBand="0" w:noVBand="1"/>
      </w:tblPr>
      <w:tblGrid>
        <w:gridCol w:w="1194"/>
        <w:gridCol w:w="1169"/>
        <w:gridCol w:w="772"/>
        <w:gridCol w:w="910"/>
        <w:gridCol w:w="924"/>
      </w:tblGrid>
      <w:tr w:rsidR="0007351E" w:rsidRPr="0007351E" w:rsidTr="0007351E">
        <w:trPr>
          <w:trHeight w:val="200"/>
          <w:jc w:val="center"/>
        </w:trPr>
        <w:tc>
          <w:tcPr>
            <w:tcW w:w="230" w:type="dxa"/>
            <w:vMerge w:val="restart"/>
            <w:tcBorders>
              <w:top w:val="single" w:sz="4" w:space="0" w:color="auto"/>
              <w:left w:val="single" w:sz="4" w:space="0" w:color="auto"/>
              <w:bottom w:val="single" w:sz="4" w:space="0" w:color="000000"/>
              <w:right w:val="single" w:sz="4" w:space="0" w:color="auto"/>
            </w:tcBorders>
            <w:shd w:val="clear" w:color="000000" w:fill="BFBFBF"/>
            <w:vAlign w:val="bottom"/>
            <w:hideMark/>
          </w:tcPr>
          <w:p w:rsidR="0007351E" w:rsidRPr="0007351E" w:rsidRDefault="0007351E" w:rsidP="0007351E">
            <w:pPr>
              <w:jc w:val="left"/>
            </w:pPr>
            <w:r w:rsidRPr="0007351E">
              <w:t>Année scolaire</w:t>
            </w:r>
          </w:p>
        </w:tc>
        <w:tc>
          <w:tcPr>
            <w:tcW w:w="1676" w:type="dxa"/>
            <w:gridSpan w:val="4"/>
            <w:tcBorders>
              <w:top w:val="single" w:sz="4" w:space="0" w:color="auto"/>
              <w:left w:val="nil"/>
              <w:bottom w:val="single" w:sz="4" w:space="0" w:color="auto"/>
              <w:right w:val="single" w:sz="4" w:space="0" w:color="000000"/>
            </w:tcBorders>
            <w:shd w:val="clear" w:color="000000" w:fill="BFBFBF"/>
            <w:noWrap/>
            <w:vAlign w:val="bottom"/>
            <w:hideMark/>
          </w:tcPr>
          <w:p w:rsidR="0007351E" w:rsidRPr="0007351E" w:rsidRDefault="0007351E" w:rsidP="0007351E">
            <w:pPr>
              <w:rPr>
                <w:b/>
              </w:rPr>
            </w:pPr>
            <w:r w:rsidRPr="0007351E">
              <w:rPr>
                <w:b/>
              </w:rPr>
              <w:t>Diplômes et certification</w:t>
            </w:r>
          </w:p>
          <w:p w:rsidR="0007351E" w:rsidRPr="0007351E" w:rsidRDefault="0007351E" w:rsidP="0007351E">
            <w:r w:rsidRPr="0007351E">
              <w:rPr>
                <w:b/>
              </w:rPr>
              <w:t>Source: rapports d'activité du MENEJ</w:t>
            </w:r>
          </w:p>
        </w:tc>
      </w:tr>
      <w:tr w:rsidR="0007351E" w:rsidRPr="0007351E" w:rsidTr="0007351E">
        <w:trPr>
          <w:trHeight w:val="220"/>
          <w:jc w:val="center"/>
        </w:trPr>
        <w:tc>
          <w:tcPr>
            <w:tcW w:w="230" w:type="dxa"/>
            <w:vMerge/>
            <w:tcBorders>
              <w:top w:val="single" w:sz="4" w:space="0" w:color="auto"/>
              <w:left w:val="single" w:sz="4" w:space="0" w:color="auto"/>
              <w:bottom w:val="single" w:sz="4" w:space="0" w:color="000000"/>
              <w:right w:val="single" w:sz="4" w:space="0" w:color="auto"/>
            </w:tcBorders>
            <w:vAlign w:val="center"/>
            <w:hideMark/>
          </w:tcPr>
          <w:p w:rsidR="0007351E" w:rsidRPr="0007351E" w:rsidRDefault="0007351E" w:rsidP="0007351E"/>
        </w:tc>
        <w:tc>
          <w:tcPr>
            <w:tcW w:w="1169"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r w:rsidRPr="0007351E">
              <w:t>Candidats</w:t>
            </w:r>
          </w:p>
        </w:tc>
        <w:tc>
          <w:tcPr>
            <w:tcW w:w="150"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r w:rsidRPr="0007351E">
              <w:t>Admis</w:t>
            </w:r>
          </w:p>
        </w:tc>
        <w:tc>
          <w:tcPr>
            <w:tcW w:w="176"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r w:rsidRPr="0007351E">
              <w:t>Refusés</w:t>
            </w:r>
          </w:p>
        </w:tc>
        <w:tc>
          <w:tcPr>
            <w:tcW w:w="179" w:type="dxa"/>
            <w:tcBorders>
              <w:top w:val="nil"/>
              <w:left w:val="nil"/>
              <w:bottom w:val="single" w:sz="4" w:space="0" w:color="auto"/>
              <w:right w:val="single" w:sz="4" w:space="0" w:color="auto"/>
            </w:tcBorders>
            <w:shd w:val="clear" w:color="000000" w:fill="BFBFBF"/>
            <w:noWrap/>
            <w:vAlign w:val="bottom"/>
            <w:hideMark/>
          </w:tcPr>
          <w:p w:rsidR="0007351E" w:rsidRPr="0007351E" w:rsidRDefault="0007351E" w:rsidP="0007351E">
            <w:r w:rsidRPr="0007351E">
              <w:t>Taux de réussite</w:t>
            </w:r>
          </w:p>
        </w:tc>
      </w:tr>
      <w:tr w:rsidR="0007351E" w:rsidRPr="0007351E" w:rsidTr="0007351E">
        <w:trPr>
          <w:trHeight w:val="200"/>
          <w:jc w:val="center"/>
        </w:trPr>
        <w:tc>
          <w:tcPr>
            <w:tcW w:w="230"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r w:rsidRPr="0007351E">
              <w:t>2020/2021</w:t>
            </w:r>
          </w:p>
        </w:tc>
        <w:tc>
          <w:tcPr>
            <w:tcW w:w="116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4991</w:t>
            </w:r>
          </w:p>
        </w:tc>
        <w:tc>
          <w:tcPr>
            <w:tcW w:w="15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4257</w:t>
            </w:r>
          </w:p>
        </w:tc>
        <w:tc>
          <w:tcPr>
            <w:tcW w:w="17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734</w:t>
            </w:r>
          </w:p>
        </w:tc>
        <w:tc>
          <w:tcPr>
            <w:tcW w:w="17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85.3</w:t>
            </w:r>
          </w:p>
        </w:tc>
      </w:tr>
      <w:tr w:rsidR="0007351E" w:rsidRPr="0007351E" w:rsidTr="0007351E">
        <w:trPr>
          <w:trHeight w:val="200"/>
          <w:jc w:val="center"/>
        </w:trPr>
        <w:tc>
          <w:tcPr>
            <w:tcW w:w="230"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r w:rsidRPr="0007351E">
              <w:t>2019/2020</w:t>
            </w:r>
          </w:p>
        </w:tc>
        <w:tc>
          <w:tcPr>
            <w:tcW w:w="116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5431</w:t>
            </w:r>
          </w:p>
        </w:tc>
        <w:tc>
          <w:tcPr>
            <w:tcW w:w="15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4708</w:t>
            </w:r>
          </w:p>
        </w:tc>
        <w:tc>
          <w:tcPr>
            <w:tcW w:w="17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723</w:t>
            </w:r>
          </w:p>
        </w:tc>
        <w:tc>
          <w:tcPr>
            <w:tcW w:w="17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86.7</w:t>
            </w:r>
          </w:p>
        </w:tc>
      </w:tr>
      <w:tr w:rsidR="0007351E" w:rsidRPr="0007351E" w:rsidTr="0007351E">
        <w:trPr>
          <w:trHeight w:val="200"/>
          <w:jc w:val="center"/>
        </w:trPr>
        <w:tc>
          <w:tcPr>
            <w:tcW w:w="230"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r w:rsidRPr="0007351E">
              <w:t>2018/2019</w:t>
            </w:r>
          </w:p>
        </w:tc>
        <w:tc>
          <w:tcPr>
            <w:tcW w:w="116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5129</w:t>
            </w:r>
          </w:p>
        </w:tc>
        <w:tc>
          <w:tcPr>
            <w:tcW w:w="15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4305</w:t>
            </w:r>
          </w:p>
        </w:tc>
        <w:tc>
          <w:tcPr>
            <w:tcW w:w="17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824</w:t>
            </w:r>
          </w:p>
        </w:tc>
        <w:tc>
          <w:tcPr>
            <w:tcW w:w="17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83.9</w:t>
            </w:r>
          </w:p>
        </w:tc>
      </w:tr>
      <w:tr w:rsidR="0007351E" w:rsidRPr="0007351E" w:rsidTr="0007351E">
        <w:trPr>
          <w:trHeight w:val="200"/>
          <w:jc w:val="center"/>
        </w:trPr>
        <w:tc>
          <w:tcPr>
            <w:tcW w:w="230"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r w:rsidRPr="0007351E">
              <w:t>2017/2018</w:t>
            </w:r>
          </w:p>
        </w:tc>
        <w:tc>
          <w:tcPr>
            <w:tcW w:w="116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5132</w:t>
            </w:r>
          </w:p>
        </w:tc>
        <w:tc>
          <w:tcPr>
            <w:tcW w:w="15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4256</w:t>
            </w:r>
          </w:p>
        </w:tc>
        <w:tc>
          <w:tcPr>
            <w:tcW w:w="17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876</w:t>
            </w:r>
          </w:p>
        </w:tc>
        <w:tc>
          <w:tcPr>
            <w:tcW w:w="17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82.9</w:t>
            </w:r>
          </w:p>
        </w:tc>
      </w:tr>
      <w:tr w:rsidR="0007351E" w:rsidRPr="0007351E" w:rsidTr="0007351E">
        <w:trPr>
          <w:trHeight w:val="200"/>
          <w:jc w:val="center"/>
        </w:trPr>
        <w:tc>
          <w:tcPr>
            <w:tcW w:w="230"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r w:rsidRPr="0007351E">
              <w:t>2016/2017</w:t>
            </w:r>
          </w:p>
        </w:tc>
        <w:tc>
          <w:tcPr>
            <w:tcW w:w="116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5407</w:t>
            </w:r>
          </w:p>
        </w:tc>
        <w:tc>
          <w:tcPr>
            <w:tcW w:w="15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4634</w:t>
            </w:r>
          </w:p>
        </w:tc>
        <w:tc>
          <w:tcPr>
            <w:tcW w:w="17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773</w:t>
            </w:r>
          </w:p>
        </w:tc>
        <w:tc>
          <w:tcPr>
            <w:tcW w:w="17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85.7</w:t>
            </w:r>
          </w:p>
        </w:tc>
      </w:tr>
      <w:tr w:rsidR="0007351E" w:rsidRPr="0007351E" w:rsidTr="0007351E">
        <w:trPr>
          <w:trHeight w:val="200"/>
          <w:jc w:val="center"/>
        </w:trPr>
        <w:tc>
          <w:tcPr>
            <w:tcW w:w="230"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r w:rsidRPr="0007351E">
              <w:t>2015/2016</w:t>
            </w:r>
          </w:p>
        </w:tc>
        <w:tc>
          <w:tcPr>
            <w:tcW w:w="116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5823</w:t>
            </w:r>
          </w:p>
        </w:tc>
        <w:tc>
          <w:tcPr>
            <w:tcW w:w="15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4825</w:t>
            </w:r>
          </w:p>
        </w:tc>
        <w:tc>
          <w:tcPr>
            <w:tcW w:w="17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998</w:t>
            </w:r>
          </w:p>
        </w:tc>
        <w:tc>
          <w:tcPr>
            <w:tcW w:w="17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82.9</w:t>
            </w:r>
          </w:p>
        </w:tc>
      </w:tr>
      <w:tr w:rsidR="0007351E" w:rsidRPr="0007351E" w:rsidTr="0007351E">
        <w:trPr>
          <w:trHeight w:val="200"/>
          <w:jc w:val="center"/>
        </w:trPr>
        <w:tc>
          <w:tcPr>
            <w:tcW w:w="230" w:type="dxa"/>
            <w:tcBorders>
              <w:top w:val="nil"/>
              <w:left w:val="single" w:sz="4" w:space="0" w:color="auto"/>
              <w:bottom w:val="single" w:sz="4" w:space="0" w:color="auto"/>
              <w:right w:val="single" w:sz="4" w:space="0" w:color="auto"/>
            </w:tcBorders>
            <w:shd w:val="clear" w:color="000000" w:fill="BFBFBF"/>
            <w:noWrap/>
            <w:vAlign w:val="bottom"/>
            <w:hideMark/>
          </w:tcPr>
          <w:p w:rsidR="0007351E" w:rsidRPr="0007351E" w:rsidRDefault="0007351E" w:rsidP="0007351E">
            <w:r w:rsidRPr="0007351E">
              <w:t>2014/2015</w:t>
            </w:r>
          </w:p>
        </w:tc>
        <w:tc>
          <w:tcPr>
            <w:tcW w:w="116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5018</w:t>
            </w:r>
          </w:p>
        </w:tc>
        <w:tc>
          <w:tcPr>
            <w:tcW w:w="150"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4281</w:t>
            </w:r>
          </w:p>
        </w:tc>
        <w:tc>
          <w:tcPr>
            <w:tcW w:w="176"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737</w:t>
            </w:r>
          </w:p>
        </w:tc>
        <w:tc>
          <w:tcPr>
            <w:tcW w:w="179" w:type="dxa"/>
            <w:tcBorders>
              <w:top w:val="nil"/>
              <w:left w:val="nil"/>
              <w:bottom w:val="single" w:sz="4" w:space="0" w:color="auto"/>
              <w:right w:val="single" w:sz="4" w:space="0" w:color="auto"/>
            </w:tcBorders>
            <w:shd w:val="clear" w:color="auto" w:fill="auto"/>
            <w:noWrap/>
            <w:vAlign w:val="center"/>
            <w:hideMark/>
          </w:tcPr>
          <w:p w:rsidR="0007351E" w:rsidRPr="0007351E" w:rsidRDefault="0007351E" w:rsidP="0007351E">
            <w:pPr>
              <w:jc w:val="center"/>
            </w:pPr>
            <w:r w:rsidRPr="0007351E">
              <w:t>85.3</w:t>
            </w:r>
          </w:p>
        </w:tc>
      </w:tr>
    </w:tbl>
    <w:p w:rsidR="008A19EF" w:rsidRDefault="008A19EF" w:rsidP="002471FF">
      <w:pPr>
        <w:pStyle w:val="Heading3"/>
      </w:pPr>
      <w:bookmarkStart w:id="71" w:name="_Toc116401371"/>
      <w:bookmarkStart w:id="72" w:name="_Hlk116377492"/>
      <w:r w:rsidRPr="008A19EF">
        <w:t>Scolarisation des enfants DPI</w:t>
      </w:r>
      <w:bookmarkEnd w:id="71"/>
    </w:p>
    <w:p w:rsidR="008A19EF" w:rsidRPr="008A19EF" w:rsidRDefault="008A19EF" w:rsidP="008A19EF">
      <w:r w:rsidRPr="008A19EF">
        <w:t>Au Luxembourg, l’obligation scolaire des enfants de demandeurs de protection internationale (DPI) s’étend de 4 à 16 ans, au même titre que pour tout enfant et adolescent habitant le territoire du Grand-Duché, quel que soit le statut des parents.</w:t>
      </w:r>
    </w:p>
    <w:p w:rsidR="008A19EF" w:rsidRPr="008A19EF" w:rsidRDefault="008A19EF" w:rsidP="008A19EF">
      <w:r w:rsidRPr="008A19EF">
        <w:t>Pour les DPI en dehors de l’âge d’obligation scolaire, le droit à l’éducation prévaut au même titre que pour tous les autres élèves résidant au Luxembourg.</w:t>
      </w:r>
    </w:p>
    <w:p w:rsidR="008A19EF" w:rsidRPr="008A19EF" w:rsidRDefault="008A19EF" w:rsidP="008A19EF">
      <w:r w:rsidRPr="008A19EF">
        <w:t>Le personnel socio-éducatif de l'ONA travaille en étroite collaboration avec les professionnels des écoles (MENJE et le service médical scolaire). L’ONA organise dans ce sens une prise de rendez-vous systématique avec la Cellule d’accueil scolaire pour élèves nouveaux arrivants (CASNA) du MENJE. La CASNA fait partie du Service de la scolarisation des enfants étrangers (SECAM), un service ressource du ministère de l’Éducation nationale, de l’Enfance et de la Jeunesse (MENJE). Chaque élève reçoit de la part de la CASNA une recommandation d’orientation, basée sur ses résultats des tests et des informations transmises sur le parcours scolaire antérieur lors des entretiens avec un conseiller de la CASNA.</w:t>
      </w:r>
    </w:p>
    <w:p w:rsidR="002B0F9B" w:rsidRDefault="002B0F9B" w:rsidP="002471FF">
      <w:pPr>
        <w:pStyle w:val="Heading3"/>
      </w:pPr>
      <w:bookmarkStart w:id="73" w:name="_Toc116401372"/>
      <w:proofErr w:type="spellStart"/>
      <w:r w:rsidRPr="002B0F9B">
        <w:t>Educations</w:t>
      </w:r>
      <w:proofErr w:type="spellEnd"/>
      <w:r w:rsidRPr="002B0F9B">
        <w:t xml:space="preserve"> tertiaire</w:t>
      </w:r>
      <w:bookmarkEnd w:id="73"/>
    </w:p>
    <w:p w:rsidR="0007351E" w:rsidRPr="002B0F9B" w:rsidRDefault="002B0F9B" w:rsidP="002471FF">
      <w:pPr>
        <w:pStyle w:val="Heading4"/>
      </w:pPr>
      <w:bookmarkStart w:id="74" w:name="_Toc116401373"/>
      <w:r w:rsidRPr="002B0F9B">
        <w:t>Statistiques désagrégées</w:t>
      </w:r>
      <w:bookmarkEnd w:id="74"/>
    </w:p>
    <w:p w:rsidR="0007351E" w:rsidRPr="0007351E" w:rsidRDefault="0007351E" w:rsidP="002B0F9B">
      <w:pPr>
        <w:ind w:firstLine="1134"/>
      </w:pPr>
      <w:r w:rsidRPr="0007351E">
        <w:t xml:space="preserve">Le MESR ne recueille pas de données sur l’origine ethnique ou le handicap des étudiants </w:t>
      </w:r>
      <w:r w:rsidR="002B0F9B">
        <w:t>de l’enseignement supérieur. L’</w:t>
      </w:r>
      <w:r w:rsidRPr="0007351E">
        <w:rPr>
          <w:i/>
        </w:rPr>
        <w:t>Inclusion Office</w:t>
      </w:r>
      <w:r w:rsidRPr="0007351E">
        <w:t xml:space="preserve"> de l’Université du Luxembourg conseille les étudiants, </w:t>
      </w:r>
      <w:r w:rsidRPr="0007351E">
        <w:lastRenderedPageBreak/>
        <w:t xml:space="preserve">membres du personnel et visiteurs. Il soutient et assiste toute personne aux besoins spécifiques, qu’il s’agisse de difficultés d’apprentissage spécifiques, de besoins en termes de santé psychologique ou encore de handicaps physiques ou invisibles. Il peut également proposer des aménagements raisonnables, au sens de la </w:t>
      </w:r>
      <w:hyperlink r:id="rId32" w:history="1">
        <w:r w:rsidRPr="0007351E">
          <w:rPr>
            <w:rStyle w:val="Hyperlink"/>
          </w:rPr>
          <w:t>Loi du 27 juin 2018 ayant pour objet l’organisation de l’Université du Luxembourg.</w:t>
        </w:r>
      </w:hyperlink>
      <w:r w:rsidRPr="0007351E">
        <w:t xml:space="preserve"> Les décisions au sujet des aménagements raisonnables sont prises par la Commission des aménagements raisonnables, dont la composition est également fixée par la loi susmentionnée. La Commission est également chargée de promouvoir une culture d’inclusion à l’Université et de favoriser un environnement de travail et d’apprentissage respectueux et sans obstacles.</w:t>
      </w:r>
    </w:p>
    <w:p w:rsidR="002B0F9B" w:rsidRPr="002B0F9B" w:rsidRDefault="0007351E" w:rsidP="002471FF">
      <w:pPr>
        <w:pStyle w:val="Heading4"/>
      </w:pPr>
      <w:bookmarkStart w:id="75" w:name="_Toc116401374"/>
      <w:bookmarkEnd w:id="72"/>
      <w:r w:rsidRPr="002B0F9B">
        <w:t>Aide financières</w:t>
      </w:r>
      <w:bookmarkEnd w:id="75"/>
      <w:r w:rsidRPr="002B0F9B">
        <w:t xml:space="preserve"> </w:t>
      </w:r>
    </w:p>
    <w:p w:rsidR="0007351E" w:rsidRPr="0007351E" w:rsidRDefault="0007351E" w:rsidP="002B0F9B">
      <w:r w:rsidRPr="0007351E">
        <w:t>L’aide financière de l’</w:t>
      </w:r>
      <w:proofErr w:type="spellStart"/>
      <w:r w:rsidRPr="0007351E">
        <w:t>Etat</w:t>
      </w:r>
      <w:proofErr w:type="spellEnd"/>
      <w:r w:rsidRPr="0007351E">
        <w:t xml:space="preserve"> pour études supérieures vise à faciliter l’accès aux études à tous les étudiants, indépendamment de leur situation financière. Elle se compose :</w:t>
      </w:r>
    </w:p>
    <w:p w:rsidR="002B0F9B" w:rsidRDefault="0007351E" w:rsidP="007F607F">
      <w:pPr>
        <w:pStyle w:val="ListParagraph"/>
        <w:numPr>
          <w:ilvl w:val="0"/>
          <w:numId w:val="4"/>
        </w:numPr>
        <w:ind w:left="1134" w:hanging="283"/>
        <w:contextualSpacing w:val="0"/>
      </w:pPr>
      <w:proofErr w:type="gramStart"/>
      <w:r w:rsidRPr="0007351E">
        <w:t>d’une</w:t>
      </w:r>
      <w:proofErr w:type="gramEnd"/>
      <w:r w:rsidRPr="0007351E">
        <w:t xml:space="preserve"> bourse de base, dont bénéficient tous les étudiants éligibles ;</w:t>
      </w:r>
    </w:p>
    <w:p w:rsidR="002B0F9B" w:rsidRDefault="0007351E" w:rsidP="007F607F">
      <w:pPr>
        <w:pStyle w:val="ListParagraph"/>
        <w:numPr>
          <w:ilvl w:val="0"/>
          <w:numId w:val="4"/>
        </w:numPr>
        <w:ind w:left="1134" w:hanging="283"/>
        <w:contextualSpacing w:val="0"/>
      </w:pPr>
      <w:proofErr w:type="gramStart"/>
      <w:r w:rsidRPr="0007351E">
        <w:t>d’une</w:t>
      </w:r>
      <w:proofErr w:type="gramEnd"/>
      <w:r w:rsidRPr="0007351E">
        <w:t xml:space="preserve"> bourse de mobilité, dont bénéficient les étudiants effectuant leurs études en dehors du pays de résidence du ménage dont ils </w:t>
      </w:r>
      <w:r w:rsidR="002B0F9B">
        <w:t>font partie et payant un loyer ;</w:t>
      </w:r>
    </w:p>
    <w:p w:rsidR="002B0F9B" w:rsidRDefault="0007351E" w:rsidP="007F607F">
      <w:pPr>
        <w:pStyle w:val="ListParagraph"/>
        <w:numPr>
          <w:ilvl w:val="0"/>
          <w:numId w:val="4"/>
        </w:numPr>
        <w:ind w:left="1134" w:hanging="283"/>
        <w:contextualSpacing w:val="0"/>
      </w:pPr>
      <w:r w:rsidRPr="0007351E">
        <w:t> </w:t>
      </w:r>
      <w:proofErr w:type="gramStart"/>
      <w:r w:rsidRPr="0007351E">
        <w:t>une</w:t>
      </w:r>
      <w:proofErr w:type="gramEnd"/>
      <w:r w:rsidRPr="0007351E">
        <w:t xml:space="preserve"> bourse familiale, accordée aux étudiants si parallèlement un ou plusieurs autres étudiants du même ménage effectuent des études supérieures éligibles pour une aide financ</w:t>
      </w:r>
      <w:r w:rsidR="002B0F9B">
        <w:t>ière de l’</w:t>
      </w:r>
      <w:proofErr w:type="spellStart"/>
      <w:r w:rsidR="002B0F9B">
        <w:t>Etat</w:t>
      </w:r>
      <w:proofErr w:type="spellEnd"/>
      <w:r w:rsidR="002B0F9B">
        <w:t> ;</w:t>
      </w:r>
    </w:p>
    <w:p w:rsidR="002B0F9B" w:rsidRDefault="0007351E" w:rsidP="007F607F">
      <w:pPr>
        <w:pStyle w:val="ListParagraph"/>
        <w:numPr>
          <w:ilvl w:val="0"/>
          <w:numId w:val="4"/>
        </w:numPr>
        <w:ind w:left="1134" w:hanging="283"/>
        <w:contextualSpacing w:val="0"/>
      </w:pPr>
      <w:proofErr w:type="gramStart"/>
      <w:r w:rsidRPr="0007351E">
        <w:t>une</w:t>
      </w:r>
      <w:proofErr w:type="gramEnd"/>
      <w:r w:rsidRPr="0007351E">
        <w:t xml:space="preserve"> bourse sur critères sociaux en fonction du revenu total annuel imposable du ménage duquel l'étudiant fait partie ;</w:t>
      </w:r>
    </w:p>
    <w:p w:rsidR="0007351E" w:rsidRPr="0007351E" w:rsidRDefault="0007351E" w:rsidP="007F607F">
      <w:pPr>
        <w:pStyle w:val="ListParagraph"/>
        <w:numPr>
          <w:ilvl w:val="0"/>
          <w:numId w:val="4"/>
        </w:numPr>
        <w:ind w:left="1134" w:hanging="283"/>
        <w:contextualSpacing w:val="0"/>
      </w:pPr>
      <w:proofErr w:type="gramStart"/>
      <w:r w:rsidRPr="0007351E">
        <w:t>une</w:t>
      </w:r>
      <w:proofErr w:type="gramEnd"/>
      <w:r w:rsidRPr="0007351E">
        <w:t xml:space="preserve"> majoration sous forme de bourse et de prêt pour frais d’inscription effectivement payés.</w:t>
      </w:r>
    </w:p>
    <w:p w:rsidR="0007351E" w:rsidRPr="0007351E" w:rsidRDefault="0007351E" w:rsidP="0007351E">
      <w:r w:rsidRPr="0007351E">
        <w:t>En outre, les étudiants ont l’option de contracter un prêt étudiant garanti par l’</w:t>
      </w:r>
      <w:proofErr w:type="spellStart"/>
      <w:r w:rsidRPr="0007351E">
        <w:t>Etat</w:t>
      </w:r>
      <w:proofErr w:type="spellEnd"/>
      <w:r w:rsidRPr="0007351E">
        <w:t xml:space="preserve"> à taux d’intérêt maximal de 2 %.</w:t>
      </w:r>
    </w:p>
    <w:p w:rsidR="00DB25F6" w:rsidRDefault="0007351E" w:rsidP="00DB25F6">
      <w:r w:rsidRPr="0007351E">
        <w:t> Des aides financières existent également pour les étudiants à l’Université du Luxembourg (seule université publique du pays) qui ne sont pas éligibles pour une aide financière de l’</w:t>
      </w:r>
      <w:proofErr w:type="spellStart"/>
      <w:r w:rsidRPr="0007351E">
        <w:t>Etat</w:t>
      </w:r>
      <w:proofErr w:type="spellEnd"/>
      <w:r w:rsidRPr="0007351E">
        <w:t xml:space="preserve"> et font face à des difficultés financières. Ces aides, financées par l’</w:t>
      </w:r>
      <w:proofErr w:type="spellStart"/>
      <w:r w:rsidRPr="0007351E">
        <w:t>Etat</w:t>
      </w:r>
      <w:proofErr w:type="spellEnd"/>
      <w:r w:rsidRPr="0007351E">
        <w:t xml:space="preserve">, sont attribuées aux étudiants concernés via le </w:t>
      </w:r>
      <w:proofErr w:type="spellStart"/>
      <w:r w:rsidRPr="0007351E">
        <w:rPr>
          <w:i/>
          <w:iCs/>
        </w:rPr>
        <w:t>hardship</w:t>
      </w:r>
      <w:proofErr w:type="spellEnd"/>
      <w:r w:rsidRPr="0007351E">
        <w:rPr>
          <w:i/>
          <w:iCs/>
        </w:rPr>
        <w:t xml:space="preserve"> </w:t>
      </w:r>
      <w:proofErr w:type="spellStart"/>
      <w:r w:rsidRPr="0007351E">
        <w:rPr>
          <w:i/>
          <w:iCs/>
        </w:rPr>
        <w:t>fund</w:t>
      </w:r>
      <w:proofErr w:type="spellEnd"/>
      <w:r w:rsidRPr="0007351E">
        <w:t xml:space="preserve"> de l’Université.</w:t>
      </w:r>
    </w:p>
    <w:p w:rsidR="002B0F9B" w:rsidRPr="002B0F9B" w:rsidRDefault="002B0F9B" w:rsidP="00DB25F6"/>
    <w:p w:rsidR="002B0F9B" w:rsidRDefault="00DB25F6" w:rsidP="002471FF">
      <w:pPr>
        <w:pStyle w:val="Heading2"/>
      </w:pPr>
      <w:bookmarkStart w:id="76" w:name="_Toc116401375"/>
      <w:r w:rsidRPr="0007351E">
        <w:t>Droits culturels (article 15)</w:t>
      </w:r>
      <w:bookmarkEnd w:id="76"/>
      <w:r w:rsidRPr="0007351E">
        <w:t xml:space="preserve"> </w:t>
      </w:r>
    </w:p>
    <w:p w:rsidR="002B0F9B" w:rsidRPr="002B0F9B" w:rsidRDefault="002B0F9B" w:rsidP="002471FF">
      <w:pPr>
        <w:pStyle w:val="Heading3"/>
        <w:rPr>
          <w:color w:val="FF5050"/>
        </w:rPr>
      </w:pPr>
      <w:bookmarkStart w:id="77" w:name="_Toc116401376"/>
      <w:r w:rsidRPr="002B0F9B">
        <w:t>Diversité culturelle et linguistique</w:t>
      </w:r>
      <w:bookmarkEnd w:id="77"/>
    </w:p>
    <w:p w:rsidR="00D719B8" w:rsidRPr="00D719B8" w:rsidRDefault="00F16FC6" w:rsidP="00D719B8">
      <w:r>
        <w:t>P</w:t>
      </w:r>
      <w:r w:rsidR="00D719B8" w:rsidRPr="00D719B8">
        <w:t xml:space="preserve">our répondre à cette question, il importe d’avoir conscience que, par définition, la scène culturelle et artistique luxembourgeoise se caractérise par et, surtout, produit une grande diversité culturelle et linguistique. Cela s’explique par le simple fait que le Luxembourg est un pays plurilingue et multiculturel : </w:t>
      </w:r>
    </w:p>
    <w:p w:rsidR="00D719B8" w:rsidRPr="00D719B8" w:rsidRDefault="00D719B8" w:rsidP="007F607F">
      <w:pPr>
        <w:numPr>
          <w:ilvl w:val="0"/>
          <w:numId w:val="6"/>
        </w:numPr>
      </w:pPr>
      <w:r w:rsidRPr="00D719B8">
        <w:t xml:space="preserve">Plurilingue : </w:t>
      </w:r>
      <w:r>
        <w:t>luxembourgeois, français, allemand (+ anglais, portugais, Italie, etc.)</w:t>
      </w:r>
      <w:r w:rsidRPr="00D719B8">
        <w:t xml:space="preserve"> sont utilisés de façon pratiquement indifférenciée au quotidien ;</w:t>
      </w:r>
    </w:p>
    <w:p w:rsidR="00D719B8" w:rsidRPr="00D719B8" w:rsidRDefault="00D719B8" w:rsidP="007F607F">
      <w:pPr>
        <w:numPr>
          <w:ilvl w:val="0"/>
          <w:numId w:val="6"/>
        </w:numPr>
      </w:pPr>
      <w:r w:rsidRPr="00D719B8">
        <w:lastRenderedPageBreak/>
        <w:t xml:space="preserve">Multiculturel : le pays compte </w:t>
      </w:r>
      <w:r>
        <w:t xml:space="preserve">environ </w:t>
      </w:r>
      <w:r w:rsidRPr="00D719B8">
        <w:t>47% de citoyens non luxembourgeois et plus de 170 nationalités différentes.</w:t>
      </w:r>
    </w:p>
    <w:p w:rsidR="00D719B8" w:rsidRPr="00D719B8" w:rsidRDefault="00D719B8" w:rsidP="00D719B8">
      <w:r w:rsidRPr="00D719B8">
        <w:t xml:space="preserve">De ce fait et par la force des choses, la protection, la préservation et le développement de la diversité culturelle et linguistique sont, pour ainsi dire, omniprésents et en général intrinsèques aux préoccupations et aux politiques (cf. aussi </w:t>
      </w:r>
      <w:hyperlink r:id="rId33" w:history="1">
        <w:r w:rsidRPr="00D719B8">
          <w:rPr>
            <w:rStyle w:val="Hyperlink"/>
          </w:rPr>
          <w:t>programme gouvernemental 2018</w:t>
        </w:r>
      </w:hyperlink>
      <w:r w:rsidRPr="00D719B8">
        <w:t> : « </w:t>
      </w:r>
      <w:r w:rsidRPr="00D719B8">
        <w:rPr>
          <w:i/>
        </w:rPr>
        <w:t>Le Gouvernement augmentera ses efforts en faveur d’un vivre-ensemble harmonieux des différentes composantes de notre société par le biais d’une politique d’intégration et d’inclusion. Il promouvra la diversité culturelle tout comme notre patrimoine et nos traditions qui sont autant d’éléments constitutifs de notre identité.</w:t>
      </w:r>
      <w:r w:rsidRPr="00D719B8">
        <w:t> »).</w:t>
      </w:r>
    </w:p>
    <w:p w:rsidR="00D719B8" w:rsidRPr="00D719B8" w:rsidRDefault="00D719B8" w:rsidP="00D719B8">
      <w:r w:rsidRPr="00D719B8">
        <w:t xml:space="preserve">Dans la pratique, cela se traduit de très nombreuses façons, </w:t>
      </w:r>
      <w:r>
        <w:t>respectivement</w:t>
      </w:r>
      <w:r w:rsidRPr="00D719B8">
        <w:t xml:space="preserve"> par des mesures très diverses qu’on peut rassembler en fonction de leur nature, c</w:t>
      </w:r>
      <w:r>
        <w:t>’est-</w:t>
      </w:r>
      <w:r w:rsidRPr="00D719B8">
        <w:t>à</w:t>
      </w:r>
      <w:r>
        <w:t>-dire, par exemple</w:t>
      </w:r>
      <w:r w:rsidRPr="00D719B8">
        <w:t> :</w:t>
      </w:r>
    </w:p>
    <w:p w:rsidR="00D719B8" w:rsidRPr="00D719B8" w:rsidRDefault="00D719B8" w:rsidP="007F607F">
      <w:pPr>
        <w:numPr>
          <w:ilvl w:val="0"/>
          <w:numId w:val="7"/>
        </w:numPr>
      </w:pPr>
      <w:r w:rsidRPr="00D719B8">
        <w:t>Politique de conventionnement avec des organismes, associations, fédérations culturelles</w:t>
      </w:r>
    </w:p>
    <w:p w:rsidR="00D719B8" w:rsidRPr="00D719B8" w:rsidRDefault="00D719B8" w:rsidP="00D719B8">
      <w:r w:rsidRPr="00D719B8">
        <w:t xml:space="preserve">Instrument central pour la mise en œuvre des politiques du ministère de la Culture, la conclusion de conventions lui permet en effet de soutenir des acteurs de manière ciblée, </w:t>
      </w:r>
      <w:proofErr w:type="spellStart"/>
      <w:r w:rsidRPr="00D719B8">
        <w:t>resp</w:t>
      </w:r>
      <w:proofErr w:type="spellEnd"/>
      <w:r w:rsidRPr="00D719B8">
        <w:t xml:space="preserve">. </w:t>
      </w:r>
      <w:proofErr w:type="gramStart"/>
      <w:r w:rsidRPr="00D719B8">
        <w:t>de</w:t>
      </w:r>
      <w:proofErr w:type="gramEnd"/>
      <w:r w:rsidRPr="00D719B8">
        <w:t xml:space="preserve"> soutenir des missions ciblées.</w:t>
      </w:r>
    </w:p>
    <w:p w:rsidR="00F16FC6" w:rsidRPr="00D719B8" w:rsidRDefault="00D719B8" w:rsidP="00F16FC6">
      <w:r w:rsidRPr="00D719B8">
        <w:t>Ainsi, des 105 conventions en 2021), plusieurs concernent des acteurs culturels qui travaillent plus particulièrement dans le domaine de la diversité culturelle e</w:t>
      </w:r>
      <w:r w:rsidR="00F16FC6">
        <w:t>t linguistique (au sens large). P</w:t>
      </w:r>
      <w:r w:rsidR="00F16FC6" w:rsidRPr="00D719B8">
        <w:t>our ne reprendre que ceux qui sont listés au titre socio-culturel ou pluridisciplinaire et sans vouloir passer sous silence le travail de tous les autres acteurs qui vivent la diversité culturelle et li</w:t>
      </w:r>
      <w:r w:rsidR="00F16FC6">
        <w:t xml:space="preserve">nguistique dans leurs activités, nous pouvons citer notamment, par exemple : </w:t>
      </w:r>
    </w:p>
    <w:p w:rsidR="00D719B8" w:rsidRPr="00D719B8" w:rsidRDefault="00D719B8" w:rsidP="002471FF">
      <w:pPr>
        <w:pStyle w:val="ListParagraph"/>
        <w:numPr>
          <w:ilvl w:val="0"/>
          <w:numId w:val="8"/>
        </w:numPr>
        <w:ind w:left="1077" w:hanging="357"/>
        <w:contextualSpacing w:val="0"/>
      </w:pPr>
      <w:r w:rsidRPr="00D719B8">
        <w:t xml:space="preserve">Action Solidarité Tiers Monde (€60.260.-) </w:t>
      </w:r>
    </w:p>
    <w:p w:rsidR="00D719B8" w:rsidRPr="00D719B8" w:rsidRDefault="00D719B8" w:rsidP="002471FF">
      <w:pPr>
        <w:pStyle w:val="ListParagraph"/>
        <w:numPr>
          <w:ilvl w:val="0"/>
          <w:numId w:val="8"/>
        </w:numPr>
        <w:ind w:left="1077" w:hanging="357"/>
        <w:contextualSpacing w:val="0"/>
      </w:pPr>
      <w:r w:rsidRPr="00D719B8">
        <w:t>ATD Quart Monde (€61.080,-)</w:t>
      </w:r>
    </w:p>
    <w:p w:rsidR="00D719B8" w:rsidRPr="00D719B8" w:rsidRDefault="00D719B8" w:rsidP="002471FF">
      <w:pPr>
        <w:pStyle w:val="ListParagraph"/>
        <w:numPr>
          <w:ilvl w:val="0"/>
          <w:numId w:val="8"/>
        </w:numPr>
        <w:ind w:left="1077" w:hanging="357"/>
        <w:contextualSpacing w:val="0"/>
      </w:pPr>
      <w:proofErr w:type="spellStart"/>
      <w:r w:rsidRPr="00D719B8">
        <w:t>Cultur'All</w:t>
      </w:r>
      <w:proofErr w:type="spellEnd"/>
      <w:r w:rsidRPr="00D719B8">
        <w:t xml:space="preserve"> (€106.800,-)</w:t>
      </w:r>
    </w:p>
    <w:p w:rsidR="00D719B8" w:rsidRPr="00D80456" w:rsidRDefault="00D719B8" w:rsidP="002471FF">
      <w:pPr>
        <w:pStyle w:val="ListParagraph"/>
        <w:numPr>
          <w:ilvl w:val="0"/>
          <w:numId w:val="8"/>
        </w:numPr>
        <w:ind w:left="1077" w:hanging="357"/>
        <w:contextualSpacing w:val="0"/>
        <w:rPr>
          <w:lang w:val="de-DE"/>
        </w:rPr>
      </w:pPr>
      <w:r w:rsidRPr="00D80456">
        <w:rPr>
          <w:lang w:val="de-DE"/>
        </w:rPr>
        <w:t xml:space="preserve">Mir </w:t>
      </w:r>
      <w:proofErr w:type="spellStart"/>
      <w:r w:rsidRPr="00D80456">
        <w:rPr>
          <w:lang w:val="de-DE"/>
        </w:rPr>
        <w:t>wëllen</w:t>
      </w:r>
      <w:proofErr w:type="spellEnd"/>
      <w:r w:rsidRPr="00D80456">
        <w:rPr>
          <w:lang w:val="de-DE"/>
        </w:rPr>
        <w:t xml:space="preserve"> </w:t>
      </w:r>
      <w:proofErr w:type="spellStart"/>
      <w:r w:rsidRPr="00D80456">
        <w:rPr>
          <w:lang w:val="de-DE"/>
        </w:rPr>
        <w:t>iech</w:t>
      </w:r>
      <w:proofErr w:type="spellEnd"/>
      <w:r w:rsidRPr="00D80456">
        <w:rPr>
          <w:lang w:val="de-DE"/>
        </w:rPr>
        <w:t xml:space="preserve"> </w:t>
      </w:r>
      <w:proofErr w:type="spellStart"/>
      <w:r w:rsidRPr="00D80456">
        <w:rPr>
          <w:lang w:val="de-DE"/>
        </w:rPr>
        <w:t>ons</w:t>
      </w:r>
      <w:proofErr w:type="spellEnd"/>
      <w:r w:rsidRPr="00D80456">
        <w:rPr>
          <w:lang w:val="de-DE"/>
        </w:rPr>
        <w:t xml:space="preserve"> </w:t>
      </w:r>
      <w:proofErr w:type="spellStart"/>
      <w:r w:rsidRPr="00D80456">
        <w:rPr>
          <w:lang w:val="de-DE"/>
        </w:rPr>
        <w:t>Heemecht</w:t>
      </w:r>
      <w:proofErr w:type="spellEnd"/>
      <w:r w:rsidRPr="00D80456">
        <w:rPr>
          <w:lang w:val="de-DE"/>
        </w:rPr>
        <w:t xml:space="preserve"> weisen (€62.173,-)</w:t>
      </w:r>
    </w:p>
    <w:p w:rsidR="00D719B8" w:rsidRPr="00D719B8" w:rsidRDefault="00D719B8" w:rsidP="002471FF">
      <w:pPr>
        <w:pStyle w:val="ListParagraph"/>
        <w:numPr>
          <w:ilvl w:val="0"/>
          <w:numId w:val="8"/>
        </w:numPr>
        <w:ind w:left="1077" w:hanging="357"/>
        <w:contextualSpacing w:val="0"/>
      </w:pPr>
      <w:r w:rsidRPr="00D719B8">
        <w:t>Institut culturel européen Pierre Werner (€230.603,-)</w:t>
      </w:r>
    </w:p>
    <w:p w:rsidR="00F16FC6" w:rsidRDefault="00D719B8" w:rsidP="002471FF">
      <w:pPr>
        <w:pStyle w:val="ListParagraph"/>
        <w:numPr>
          <w:ilvl w:val="0"/>
          <w:numId w:val="8"/>
        </w:numPr>
        <w:ind w:left="1077" w:hanging="357"/>
        <w:contextualSpacing w:val="0"/>
      </w:pPr>
      <w:r w:rsidRPr="00D719B8">
        <w:t>Institut européen des itinéraires culturels (€260.000,-)</w:t>
      </w:r>
    </w:p>
    <w:p w:rsidR="00D719B8" w:rsidRDefault="00D719B8" w:rsidP="002471FF">
      <w:pPr>
        <w:pStyle w:val="ListParagraph"/>
        <w:numPr>
          <w:ilvl w:val="0"/>
          <w:numId w:val="8"/>
        </w:numPr>
        <w:ind w:left="1077" w:hanging="357"/>
        <w:contextualSpacing w:val="0"/>
      </w:pPr>
      <w:r w:rsidRPr="00D719B8">
        <w:t>etc.</w:t>
      </w:r>
    </w:p>
    <w:p w:rsidR="00D719B8" w:rsidRPr="00D719B8" w:rsidRDefault="00D719B8" w:rsidP="007F607F">
      <w:pPr>
        <w:numPr>
          <w:ilvl w:val="0"/>
          <w:numId w:val="6"/>
        </w:numPr>
      </w:pPr>
      <w:r w:rsidRPr="00D719B8">
        <w:t>Mesures de soutien aux artistes et professionnels indépendants ou intermittents du spectacle : application à tous les artistes résidents des mesures d'aides aux acteurs culturels</w:t>
      </w:r>
    </w:p>
    <w:p w:rsidR="00D719B8" w:rsidRPr="00D719B8" w:rsidRDefault="00D719B8" w:rsidP="007F607F">
      <w:pPr>
        <w:numPr>
          <w:ilvl w:val="0"/>
          <w:numId w:val="6"/>
        </w:numPr>
      </w:pPr>
      <w:r w:rsidRPr="00D719B8">
        <w:t xml:space="preserve">Actions concrètes – Exemple : le concours littéraire national annuel qui est toujours dédié à un genre particulier, mais dont chaque édition promeut la création littéraire aussi bien en langue luxembourgeoise, française, allemande et/ou anglaise. Exemple : soutiens à la traduction (même si cela est plus compliqué vu la taille réduite du marché du livre au </w:t>
      </w:r>
      <w:proofErr w:type="spellStart"/>
      <w:r w:rsidRPr="00D719B8">
        <w:t>Luxbg</w:t>
      </w:r>
      <w:proofErr w:type="spellEnd"/>
      <w:r w:rsidRPr="00D719B8">
        <w:t>.)</w:t>
      </w:r>
    </w:p>
    <w:p w:rsidR="00D719B8" w:rsidRPr="00D719B8" w:rsidRDefault="00D719B8" w:rsidP="007F607F">
      <w:pPr>
        <w:numPr>
          <w:ilvl w:val="0"/>
          <w:numId w:val="6"/>
        </w:numPr>
      </w:pPr>
      <w:r w:rsidRPr="00D719B8">
        <w:t xml:space="preserve">Programmations des institutions culturelles : sur un marché aussi petit que le Luxembourg, le fait d’inclure un large éventail d’acteurs et de représentations culturelles est une évidence, </w:t>
      </w:r>
      <w:r w:rsidRPr="00D719B8">
        <w:lastRenderedPageBreak/>
        <w:t xml:space="preserve">même si ici aussi, un certain nombre d’institutions mettent même un accent renforcé sur cet aspect (p.ex. </w:t>
      </w:r>
      <w:proofErr w:type="spellStart"/>
      <w:r w:rsidRPr="00D719B8">
        <w:t>neimënster</w:t>
      </w:r>
      <w:proofErr w:type="spellEnd"/>
      <w:r w:rsidRPr="00D719B8">
        <w:t>, IPW etc.)</w:t>
      </w:r>
    </w:p>
    <w:p w:rsidR="00D719B8" w:rsidRPr="00D719B8" w:rsidRDefault="00D719B8" w:rsidP="007F607F">
      <w:pPr>
        <w:numPr>
          <w:ilvl w:val="0"/>
          <w:numId w:val="6"/>
        </w:numPr>
      </w:pPr>
      <w:r w:rsidRPr="00D719B8">
        <w:t xml:space="preserve">Autres : ratification </w:t>
      </w:r>
      <w:r w:rsidRPr="00D719B8">
        <w:rPr>
          <w:u w:val="single"/>
        </w:rPr>
        <w:t>par solidarité</w:t>
      </w:r>
      <w:r w:rsidRPr="00D719B8">
        <w:t xml:space="preserve"> de la Charte européenne des langues régionales et minoritaires (alors que le pays n’a pas de telles langues selon la définition de la Charte).</w:t>
      </w:r>
    </w:p>
    <w:p w:rsidR="00D719B8" w:rsidRPr="00D719B8" w:rsidRDefault="00D719B8" w:rsidP="00D719B8">
      <w:r w:rsidRPr="00D719B8">
        <w:t xml:space="preserve">Mention spéciale aussi pour la Capitale européenne de la Culture, Esch-sur-Alzette 2022 qui thématise le développement de toute une région des deux côtés de la frontière </w:t>
      </w:r>
      <w:proofErr w:type="spellStart"/>
      <w:r w:rsidRPr="00D719B8">
        <w:t>luxembourgo</w:t>
      </w:r>
      <w:proofErr w:type="spellEnd"/>
      <w:r w:rsidRPr="00D719B8">
        <w:t>-française et qui met un très fort accent sur l’élément participatif des citoyens dans une ville où vivent de nombreux ethnies et migrants.</w:t>
      </w:r>
    </w:p>
    <w:p w:rsidR="00D719B8" w:rsidRPr="00D719B8" w:rsidRDefault="00D719B8" w:rsidP="00D719B8">
      <w:r w:rsidRPr="00D719B8">
        <w:t xml:space="preserve">Par toutes ces mesures, il s’agit d’affirmer la pluri-culturalité et la diversité culturelle du pays, tout en ancrant sa propre identité culturelle dans cette diversité enrichissante. </w:t>
      </w:r>
      <w:proofErr w:type="spellStart"/>
      <w:r w:rsidRPr="00D719B8">
        <w:t>A</w:t>
      </w:r>
      <w:proofErr w:type="spellEnd"/>
      <w:r w:rsidRPr="00D719B8">
        <w:t xml:space="preserve"> ce titre, il est peut-être intéressant de mentionner également l’action du gouvernement en faveur du luxembourgeois afin de préserver la diversité culturelle et linguistique également à ce niveau-là</w:t>
      </w:r>
    </w:p>
    <w:p w:rsidR="002B0F9B" w:rsidRPr="002B0F9B" w:rsidRDefault="00F16FC6" w:rsidP="002B0F9B">
      <w:r>
        <w:t>Par ailleurs, d</w:t>
      </w:r>
      <w:r w:rsidR="002B0F9B" w:rsidRPr="002B0F9B">
        <w:t xml:space="preserve">es projets financés dans le cadre du Plan d’action national d’intégration et des activités organisées par des associations conventionnées et/ou soutenues par le </w:t>
      </w:r>
      <w:r w:rsidR="00D719B8">
        <w:t>Ministère de la Famille de l’intégration et à la Grande Région</w:t>
      </w:r>
      <w:r w:rsidR="002B0F9B" w:rsidRPr="002B0F9B">
        <w:t xml:space="preserve"> et d’autres ministères participent à la promotion de la diversité culturelle dans la société luxembourgeoise, notamment par un travail de sensibilisation portant sur la culture, l’histoire, le patrimoine et les traditions des populations issues des immigrations :</w:t>
      </w:r>
    </w:p>
    <w:p w:rsidR="002B0F9B" w:rsidRPr="002B0F9B" w:rsidRDefault="002B0F9B" w:rsidP="007F607F">
      <w:pPr>
        <w:pStyle w:val="ListParagraph"/>
        <w:numPr>
          <w:ilvl w:val="0"/>
          <w:numId w:val="5"/>
        </w:numPr>
        <w:ind w:left="714" w:hanging="357"/>
        <w:contextualSpacing w:val="0"/>
      </w:pPr>
      <w:r w:rsidRPr="002B0F9B">
        <w:rPr>
          <w:b/>
        </w:rPr>
        <w:t>Festival des migrations, des cultures et de la citoyenneté</w:t>
      </w:r>
      <w:r w:rsidRPr="002B0F9B">
        <w:t xml:space="preserve"> du CLAE </w:t>
      </w:r>
      <w:proofErr w:type="spellStart"/>
      <w:r w:rsidRPr="002B0F9B">
        <w:t>asbl</w:t>
      </w:r>
      <w:proofErr w:type="spellEnd"/>
    </w:p>
    <w:p w:rsidR="002B0F9B" w:rsidRPr="002B0F9B" w:rsidRDefault="002B0F9B" w:rsidP="007F607F">
      <w:pPr>
        <w:pStyle w:val="ListParagraph"/>
        <w:numPr>
          <w:ilvl w:val="0"/>
          <w:numId w:val="5"/>
        </w:numPr>
        <w:ind w:left="714" w:hanging="357"/>
        <w:contextualSpacing w:val="0"/>
      </w:pPr>
      <w:proofErr w:type="spellStart"/>
      <w:r w:rsidRPr="002B0F9B">
        <w:rPr>
          <w:b/>
        </w:rPr>
        <w:t>Kulturpass</w:t>
      </w:r>
      <w:proofErr w:type="spellEnd"/>
      <w:r w:rsidRPr="002B0F9B">
        <w:t xml:space="preserve"> de </w:t>
      </w:r>
      <w:proofErr w:type="spellStart"/>
      <w:r w:rsidRPr="002B0F9B">
        <w:t>Cultur.All</w:t>
      </w:r>
      <w:proofErr w:type="spellEnd"/>
      <w:r w:rsidRPr="002B0F9B">
        <w:t xml:space="preserve"> </w:t>
      </w:r>
      <w:proofErr w:type="spellStart"/>
      <w:r w:rsidRPr="002B0F9B">
        <w:t>asbl</w:t>
      </w:r>
      <w:proofErr w:type="spellEnd"/>
      <w:r w:rsidRPr="002B0F9B">
        <w:t> : démocratisation de l’accès à la culture pour les ménages à revenu modeste, notamment les DPI/BPI</w:t>
      </w:r>
    </w:p>
    <w:p w:rsidR="002B0F9B" w:rsidRPr="002B0F9B" w:rsidRDefault="002B0F9B" w:rsidP="007F607F">
      <w:pPr>
        <w:pStyle w:val="ListParagraph"/>
        <w:numPr>
          <w:ilvl w:val="0"/>
          <w:numId w:val="5"/>
        </w:numPr>
        <w:ind w:left="714" w:hanging="357"/>
        <w:contextualSpacing w:val="0"/>
      </w:pPr>
      <w:r w:rsidRPr="002B0F9B">
        <w:rPr>
          <w:b/>
          <w:i/>
          <w:iCs/>
        </w:rPr>
        <w:t xml:space="preserve">Mir </w:t>
      </w:r>
      <w:proofErr w:type="spellStart"/>
      <w:r w:rsidRPr="002B0F9B">
        <w:rPr>
          <w:b/>
          <w:i/>
          <w:iCs/>
        </w:rPr>
        <w:t>wëllen</w:t>
      </w:r>
      <w:proofErr w:type="spellEnd"/>
      <w:r w:rsidRPr="002B0F9B">
        <w:rPr>
          <w:b/>
          <w:i/>
          <w:iCs/>
        </w:rPr>
        <w:t xml:space="preserve"> </w:t>
      </w:r>
      <w:proofErr w:type="spellStart"/>
      <w:r w:rsidRPr="002B0F9B">
        <w:rPr>
          <w:b/>
          <w:i/>
          <w:iCs/>
        </w:rPr>
        <w:t>iech</w:t>
      </w:r>
      <w:proofErr w:type="spellEnd"/>
      <w:r w:rsidRPr="002B0F9B">
        <w:rPr>
          <w:b/>
          <w:i/>
          <w:iCs/>
        </w:rPr>
        <w:t xml:space="preserve"> </w:t>
      </w:r>
      <w:proofErr w:type="spellStart"/>
      <w:r w:rsidRPr="002B0F9B">
        <w:rPr>
          <w:b/>
          <w:i/>
          <w:iCs/>
        </w:rPr>
        <w:t>ons</w:t>
      </w:r>
      <w:proofErr w:type="spellEnd"/>
      <w:r w:rsidRPr="002B0F9B">
        <w:rPr>
          <w:b/>
          <w:i/>
          <w:iCs/>
        </w:rPr>
        <w:t xml:space="preserve"> </w:t>
      </w:r>
      <w:proofErr w:type="spellStart"/>
      <w:r w:rsidRPr="002B0F9B">
        <w:rPr>
          <w:b/>
          <w:i/>
          <w:iCs/>
        </w:rPr>
        <w:t>Heemecht</w:t>
      </w:r>
      <w:proofErr w:type="spellEnd"/>
      <w:r w:rsidRPr="002B0F9B">
        <w:rPr>
          <w:b/>
          <w:i/>
          <w:iCs/>
        </w:rPr>
        <w:t xml:space="preserve"> </w:t>
      </w:r>
      <w:proofErr w:type="spellStart"/>
      <w:r w:rsidRPr="002B0F9B">
        <w:rPr>
          <w:b/>
          <w:i/>
          <w:iCs/>
        </w:rPr>
        <w:t>weisen</w:t>
      </w:r>
      <w:proofErr w:type="spellEnd"/>
      <w:r w:rsidRPr="002B0F9B">
        <w:t xml:space="preserve"> a été lancé en octobre 2015 suite à l’arrivée en grand nombre de réfugiés au Luxembourg. L’</w:t>
      </w:r>
      <w:proofErr w:type="spellStart"/>
      <w:r w:rsidRPr="002B0F9B">
        <w:t>a.s.b.l</w:t>
      </w:r>
      <w:proofErr w:type="spellEnd"/>
      <w:r w:rsidRPr="002B0F9B">
        <w:t>. a mis en place un programme d’échange interculturel pour favoriser l’intégration culturelle des réfugiés et soutenir le contact avec la population résidente. La culture, tout comme l’expression artistique, permet un rapprochement immédiat, ludique et réel entre les communautés, souvent avec des moyens non-verbaux.</w:t>
      </w:r>
    </w:p>
    <w:p w:rsidR="002B0F9B" w:rsidRPr="002B0F9B" w:rsidRDefault="002B0F9B" w:rsidP="007F607F">
      <w:pPr>
        <w:pStyle w:val="ListParagraph"/>
        <w:numPr>
          <w:ilvl w:val="0"/>
          <w:numId w:val="5"/>
        </w:numPr>
        <w:ind w:left="714" w:hanging="357"/>
        <w:contextualSpacing w:val="0"/>
      </w:pPr>
      <w:r w:rsidRPr="002B0F9B">
        <w:rPr>
          <w:b/>
        </w:rPr>
        <w:t>Centre de Documentation sur les Migrations Humaines (CDMH)</w:t>
      </w:r>
      <w:r w:rsidRPr="002B0F9B">
        <w:t xml:space="preserve"> : il a pour objet l’étude des migrations au Luxembourg et dans la Grande Région. S’intéressant à la société luxembourgeoise dans sa diversité, il agit en tant qu’interface entre les institutions patrimoniales (archives, bibliothèques, musées), le monde associatif, la recherche et le public généraliste. Le </w:t>
      </w:r>
      <w:proofErr w:type="spellStart"/>
      <w:r w:rsidRPr="002B0F9B">
        <w:t>CentreDoc</w:t>
      </w:r>
      <w:proofErr w:type="spellEnd"/>
      <w:r w:rsidRPr="002B0F9B">
        <w:t xml:space="preserve"> collecte des archives liées aux migrations (individuelles, associatives …), gère une bibliothèque spécialisée, initie et accompagne des travaux de recherche, participe à la dissémination du savoir académique (conférences, journées d’études, colloques, séminaires, ateliers, publications, expositions, projets pédagogiques …). Il porte une attention particulière au patrimoine des migrations en proposant des itinéraires de découverte et des tours guidés spécifiques, à Dudelange et ailleurs (Luxembourg, Grande Région) : les </w:t>
      </w:r>
      <w:proofErr w:type="spellStart"/>
      <w:r w:rsidRPr="002B0F9B">
        <w:t>migratours</w:t>
      </w:r>
      <w:proofErr w:type="spellEnd"/>
      <w:r w:rsidRPr="002B0F9B">
        <w:t>.</w:t>
      </w:r>
    </w:p>
    <w:p w:rsidR="002B0F9B" w:rsidRPr="002B0F9B" w:rsidRDefault="002B0F9B" w:rsidP="007F607F">
      <w:pPr>
        <w:pStyle w:val="ListParagraph"/>
        <w:numPr>
          <w:ilvl w:val="0"/>
          <w:numId w:val="5"/>
        </w:numPr>
        <w:ind w:left="714" w:hanging="357"/>
        <w:contextualSpacing w:val="0"/>
      </w:pPr>
      <w:r w:rsidRPr="002B0F9B">
        <w:t xml:space="preserve">Le </w:t>
      </w:r>
      <w:r w:rsidRPr="002B0F9B">
        <w:rPr>
          <w:b/>
        </w:rPr>
        <w:t xml:space="preserve">projet « De </w:t>
      </w:r>
      <w:proofErr w:type="spellStart"/>
      <w:r w:rsidRPr="002B0F9B">
        <w:rPr>
          <w:b/>
        </w:rPr>
        <w:t>Klang</w:t>
      </w:r>
      <w:proofErr w:type="spellEnd"/>
      <w:r w:rsidRPr="002B0F9B">
        <w:rPr>
          <w:b/>
        </w:rPr>
        <w:t xml:space="preserve"> Keller »</w:t>
      </w:r>
      <w:r w:rsidRPr="002B0F9B">
        <w:t xml:space="preserve">, proposé par le réseau afro descendant </w:t>
      </w:r>
      <w:proofErr w:type="spellStart"/>
      <w:r w:rsidRPr="002B0F9B">
        <w:t>Finkapé</w:t>
      </w:r>
      <w:proofErr w:type="spellEnd"/>
      <w:r w:rsidRPr="002B0F9B">
        <w:t xml:space="preserve"> </w:t>
      </w:r>
      <w:proofErr w:type="spellStart"/>
      <w:r w:rsidRPr="002B0F9B">
        <w:t>asbl</w:t>
      </w:r>
      <w:proofErr w:type="spellEnd"/>
      <w:r w:rsidRPr="002B0F9B">
        <w:t xml:space="preserve">, œuvre pour la cohésion sociale par le biais de la musique. Sous le slogan « Living Music Living Culture Living </w:t>
      </w:r>
      <w:r w:rsidRPr="002B0F9B">
        <w:lastRenderedPageBreak/>
        <w:t xml:space="preserve">Dialogue in Luxembourg », le projet vise la promotion de la diversité culturelle, le soutien de la lutte contre les discriminations et la revalorisation de la culture dont sont issus les </w:t>
      </w:r>
      <w:proofErr w:type="spellStart"/>
      <w:r w:rsidRPr="002B0F9B">
        <w:t>citoyens.nes</w:t>
      </w:r>
      <w:proofErr w:type="spellEnd"/>
      <w:r w:rsidRPr="002B0F9B">
        <w:t xml:space="preserve"> </w:t>
      </w:r>
      <w:proofErr w:type="spellStart"/>
      <w:r w:rsidRPr="002B0F9B">
        <w:t>afrodescendant.</w:t>
      </w:r>
      <w:proofErr w:type="gramStart"/>
      <w:r w:rsidRPr="002B0F9B">
        <w:t>e.s</w:t>
      </w:r>
      <w:proofErr w:type="spellEnd"/>
      <w:proofErr w:type="gramEnd"/>
      <w:r w:rsidRPr="002B0F9B">
        <w:t xml:space="preserve">, les </w:t>
      </w:r>
      <w:proofErr w:type="spellStart"/>
      <w:r w:rsidRPr="002B0F9B">
        <w:t>immigré.e.s</w:t>
      </w:r>
      <w:proofErr w:type="spellEnd"/>
      <w:r w:rsidRPr="002B0F9B">
        <w:t xml:space="preserve">, demandeurs de protection internationale (DPI) ou bénéficiaires de protection internationale (BPI). </w:t>
      </w:r>
      <w:proofErr w:type="spellStart"/>
      <w:r w:rsidRPr="002B0F9B">
        <w:t>Finkapé</w:t>
      </w:r>
      <w:proofErr w:type="spellEnd"/>
      <w:r w:rsidRPr="002B0F9B">
        <w:t xml:space="preserve"> propose de thématiser la place de la musique africaine au Luxembourg par une action concrète qui combine la création d’</w:t>
      </w:r>
      <w:proofErr w:type="spellStart"/>
      <w:r w:rsidRPr="002B0F9B">
        <w:t>oeuvres</w:t>
      </w:r>
      <w:proofErr w:type="spellEnd"/>
      <w:r w:rsidRPr="002B0F9B">
        <w:t xml:space="preserve"> originales, l’offre de cours, de conférences, de discussions et un appui pour la professionnalisation de jeunes </w:t>
      </w:r>
      <w:proofErr w:type="spellStart"/>
      <w:proofErr w:type="gramStart"/>
      <w:r w:rsidRPr="002B0F9B">
        <w:t>musicien.ne.s</w:t>
      </w:r>
      <w:proofErr w:type="spellEnd"/>
      <w:r w:rsidRPr="002B0F9B">
        <w:t>.</w:t>
      </w:r>
      <w:proofErr w:type="gramEnd"/>
    </w:p>
    <w:p w:rsidR="00D719B8" w:rsidRDefault="002B0F9B" w:rsidP="007F607F">
      <w:pPr>
        <w:pStyle w:val="ListParagraph"/>
        <w:numPr>
          <w:ilvl w:val="0"/>
          <w:numId w:val="5"/>
        </w:numPr>
        <w:ind w:left="714" w:hanging="357"/>
        <w:contextualSpacing w:val="0"/>
      </w:pPr>
      <w:r w:rsidRPr="002B0F9B">
        <w:t xml:space="preserve">Le </w:t>
      </w:r>
      <w:r w:rsidRPr="002B0F9B">
        <w:rPr>
          <w:b/>
        </w:rPr>
        <w:t>projet VISIBLE</w:t>
      </w:r>
      <w:r w:rsidRPr="002B0F9B">
        <w:t xml:space="preserve"> met l’accent sur des mesures destinées à prévenir, à comprendre et à éduquer sur les désavantages et les discriminations liés à la race ou à l’origine ethnique. Le projet se décline en deux axes de travail. Le premier axe du projet VISIBLE, volet « littérature », a pour objet de </w:t>
      </w:r>
      <w:proofErr w:type="spellStart"/>
      <w:r w:rsidRPr="002B0F9B">
        <w:t>visibiliser</w:t>
      </w:r>
      <w:proofErr w:type="spellEnd"/>
      <w:r w:rsidRPr="002B0F9B">
        <w:t xml:space="preserve"> des </w:t>
      </w:r>
      <w:proofErr w:type="spellStart"/>
      <w:r w:rsidRPr="002B0F9B">
        <w:t>auteur.</w:t>
      </w:r>
      <w:proofErr w:type="gramStart"/>
      <w:r w:rsidRPr="002B0F9B">
        <w:t>e.s</w:t>
      </w:r>
      <w:proofErr w:type="spellEnd"/>
      <w:proofErr w:type="gramEnd"/>
      <w:r w:rsidRPr="002B0F9B">
        <w:t xml:space="preserve"> </w:t>
      </w:r>
      <w:proofErr w:type="spellStart"/>
      <w:r w:rsidRPr="002B0F9B">
        <w:t>racisés.e.s</w:t>
      </w:r>
      <w:proofErr w:type="spellEnd"/>
      <w:r w:rsidRPr="002B0F9B">
        <w:t xml:space="preserve"> en leur donnant la parole à travers un cycle de conférences. Le fil conducteur est "La littérature comme outil de </w:t>
      </w:r>
      <w:proofErr w:type="spellStart"/>
      <w:r w:rsidRPr="002B0F9B">
        <w:t>visibilisation</w:t>
      </w:r>
      <w:proofErr w:type="spellEnd"/>
      <w:r w:rsidRPr="002B0F9B">
        <w:t>”. Ainsi des conférences sont prévues lors desquelles l’accent est mis sur la jeunesse et l’enfance (</w:t>
      </w:r>
      <w:proofErr w:type="spellStart"/>
      <w:r w:rsidRPr="002B0F9B">
        <w:t>Ally</w:t>
      </w:r>
      <w:proofErr w:type="spellEnd"/>
      <w:r w:rsidRPr="002B0F9B">
        <w:t xml:space="preserve"> Book Club Asbl).</w:t>
      </w:r>
    </w:p>
    <w:p w:rsidR="002B0F9B" w:rsidRPr="002B0F9B" w:rsidRDefault="002B0F9B" w:rsidP="00D719B8">
      <w:pPr>
        <w:pStyle w:val="ListParagraph"/>
        <w:ind w:left="714"/>
        <w:contextualSpacing w:val="0"/>
      </w:pPr>
      <w:r w:rsidRPr="002B0F9B">
        <w:t>Le projet consiste en la réalisation de docu-BD basés sur l’expérience de femmes migrantes ou compagnes de migrants. Des ateliers de préparation et de développement de récits seront mis en œuvre par une écrivaine et poétesse résidente au Luxembourg. Ces récits seront ensuite retranscrits sous la forme de bandes dessinées, puis complétés par des informations documentaires (statistiques, photographies, etc.) offrant des prolongements aux BD (Faire Société en Bande Dessinée – Récits d’intégration au féminin et en bande dessinée / Centre Culturel de Rencontre Abbaye de Neumünster).</w:t>
      </w:r>
    </w:p>
    <w:p w:rsidR="00B37982" w:rsidRDefault="00F16FC6" w:rsidP="002471FF">
      <w:pPr>
        <w:pStyle w:val="Heading3"/>
      </w:pPr>
      <w:bookmarkStart w:id="78" w:name="_Toc116401377"/>
      <w:r>
        <w:t xml:space="preserve">Accès à la culture et </w:t>
      </w:r>
      <w:r w:rsidR="002B0F9B">
        <w:t>Inclusion numérique</w:t>
      </w:r>
      <w:bookmarkEnd w:id="78"/>
      <w:r w:rsidR="002B0F9B">
        <w:t xml:space="preserve"> </w:t>
      </w:r>
    </w:p>
    <w:p w:rsidR="00F16FC6" w:rsidRPr="00F16FC6" w:rsidRDefault="00F16FC6" w:rsidP="002471FF">
      <w:pPr>
        <w:pStyle w:val="Heading4"/>
      </w:pPr>
      <w:bookmarkStart w:id="79" w:name="_Toc116401378"/>
      <w:r w:rsidRPr="00F16FC6">
        <w:t>Accès à la culture</w:t>
      </w:r>
      <w:bookmarkEnd w:id="79"/>
    </w:p>
    <w:p w:rsidR="00F16FC6" w:rsidRDefault="00F16FC6" w:rsidP="00F16FC6">
      <w:r w:rsidRPr="00D719B8">
        <w:t>Pour garantir l’accès à la culture pour toutes et tous, le ministère de la Culture met en place une stratégie « Accès à la culture » qui se décline en différents volets, dont notamment des formations qui sont proposées depuis 2020 dans le domaine de l’accueil et de la communication auprès de p</w:t>
      </w:r>
      <w:r>
        <w:t xml:space="preserve">ublics aux besoins spécifiques. </w:t>
      </w:r>
    </w:p>
    <w:p w:rsidR="00F16FC6" w:rsidRPr="00D719B8" w:rsidRDefault="00F16FC6" w:rsidP="00F16FC6">
      <w:r w:rsidRPr="00D719B8">
        <w:t>Destinées à ceux qui travaillent dans la médiation, la programmation ou la communication au sein des théâtres, musées et autres institu</w:t>
      </w:r>
      <w:r>
        <w:t xml:space="preserve">tions culturelles, </w:t>
      </w:r>
      <w:r w:rsidRPr="00D719B8">
        <w:t>ces formations sont organisées avec des partenaires dédiés (</w:t>
      </w:r>
      <w:proofErr w:type="spellStart"/>
      <w:r w:rsidRPr="00D719B8">
        <w:t>klaro</w:t>
      </w:r>
      <w:proofErr w:type="spellEnd"/>
      <w:r w:rsidRPr="00D719B8">
        <w:t xml:space="preserve"> </w:t>
      </w:r>
      <w:proofErr w:type="spellStart"/>
      <w:r w:rsidRPr="00D719B8">
        <w:t>asbl</w:t>
      </w:r>
      <w:proofErr w:type="spellEnd"/>
      <w:r w:rsidRPr="00D719B8">
        <w:t>, Info Handicap) dans un souci de sensibiliser aux besoins et barrières des différents publics et d’accompagner les acteurs culturels dans leur quête d’ouverture de leur programmation à ces publics.</w:t>
      </w:r>
    </w:p>
    <w:p w:rsidR="00F16FC6" w:rsidRDefault="00F16FC6" w:rsidP="00F16FC6">
      <w:r w:rsidRPr="00D719B8">
        <w:t>De l’autre côté, le ministère de la Culture met également en œuvre une stratégie numérique du patrimoine culturel dont une des trois orienta</w:t>
      </w:r>
      <w:r>
        <w:t>tions stratégiques est de donner</w:t>
      </w:r>
      <w:r w:rsidRPr="00D719B8">
        <w:t xml:space="preserve"> un accès large et inclusif aux collections numériques du patrimoine culturel.</w:t>
      </w:r>
    </w:p>
    <w:p w:rsidR="00F16FC6" w:rsidRPr="00F16FC6" w:rsidRDefault="00F16FC6" w:rsidP="002471FF">
      <w:pPr>
        <w:pStyle w:val="Heading4"/>
      </w:pPr>
      <w:bookmarkStart w:id="80" w:name="_Toc116401379"/>
      <w:r w:rsidRPr="00F16FC6">
        <w:t>Mesures dans le domaine de l’inclusion numérique</w:t>
      </w:r>
      <w:bookmarkEnd w:id="80"/>
    </w:p>
    <w:p w:rsidR="00F16FC6" w:rsidRDefault="00F16FC6" w:rsidP="00F16FC6">
      <w:r>
        <w:t xml:space="preserve">Un des axes stratégiques du ministère de la Digitalisation concerne l’inclusion numérique, le processus qui vise à rendre le numérique accessible à chaque individu et à lui transmettre les compétences </w:t>
      </w:r>
      <w:r>
        <w:lastRenderedPageBreak/>
        <w:t>numériques qui seront le levier de son inclusion sociale et économique. Nombre de ses activités et initiatives répondent à cet engagement</w:t>
      </w:r>
    </w:p>
    <w:p w:rsidR="00F16FC6" w:rsidRDefault="00F16FC6" w:rsidP="00F16FC6">
      <w:r>
        <w:t>Un groupe de travail interministériel coordonné par le ministère de la Digitalisation a été créé afin d’analyser toutes les facettes de l’inclusion numérique et d’initier des actions pour répondre aux besoins identifiés. Ce groupe de travail rassemble 27 représentants de 19 ministères et se réunit trimestriellement pour s’échanger sur le sujet et la situation de l’inclusion numérique au Luxembourg.</w:t>
      </w:r>
    </w:p>
    <w:p w:rsidR="00F16FC6" w:rsidRDefault="00F16FC6" w:rsidP="00F16FC6">
      <w:r>
        <w:t xml:space="preserve">Afin de contrecarrer un clivage numérique qui nuit à l’ensemble la société, le gouvernement s’est engagé dans l’accord de coalition à établir un plan d’action visant à garantir l’inclusion de tous les individus dans la transformation digitale de la société. Le ministère de la Digitalisation, en concertation étroite avec le groupe de travail interministériel et avec la société civile, a élaboré un premier </w:t>
      </w:r>
      <w:hyperlink r:id="rId34" w:history="1">
        <w:r>
          <w:rPr>
            <w:rStyle w:val="Hyperlink"/>
          </w:rPr>
          <w:t>plan d’action national d’inclusion numérique</w:t>
        </w:r>
      </w:hyperlink>
      <w:r>
        <w:t>, qui propose 40 initiatives par 9 différents ministères répartis sur 3 leviers stratégiques :</w:t>
      </w:r>
    </w:p>
    <w:p w:rsidR="00F16FC6" w:rsidRDefault="00F16FC6" w:rsidP="007F607F">
      <w:pPr>
        <w:pStyle w:val="ListParagraph"/>
        <w:numPr>
          <w:ilvl w:val="0"/>
          <w:numId w:val="10"/>
        </w:numPr>
        <w:ind w:left="714" w:hanging="357"/>
        <w:contextualSpacing w:val="0"/>
      </w:pPr>
      <w:r>
        <w:t>Augmenter la motivation et susciter la confiance numérique (11 initiatives)</w:t>
      </w:r>
    </w:p>
    <w:p w:rsidR="00F16FC6" w:rsidRDefault="00F16FC6" w:rsidP="007F607F">
      <w:pPr>
        <w:pStyle w:val="ListParagraph"/>
        <w:numPr>
          <w:ilvl w:val="0"/>
          <w:numId w:val="10"/>
        </w:numPr>
        <w:ind w:left="714" w:hanging="357"/>
        <w:contextualSpacing w:val="0"/>
      </w:pPr>
      <w:r>
        <w:t>Faciliter l’accès au numérique (13 initiatives)</w:t>
      </w:r>
    </w:p>
    <w:p w:rsidR="00F16FC6" w:rsidRDefault="00F16FC6" w:rsidP="007F607F">
      <w:pPr>
        <w:pStyle w:val="ListParagraph"/>
        <w:numPr>
          <w:ilvl w:val="0"/>
          <w:numId w:val="10"/>
        </w:numPr>
        <w:ind w:left="714" w:hanging="357"/>
        <w:contextualSpacing w:val="0"/>
      </w:pPr>
      <w:r>
        <w:t>Développer les compétences numériques (16 initiatives)</w:t>
      </w:r>
    </w:p>
    <w:p w:rsidR="00F16FC6" w:rsidRDefault="00F16FC6" w:rsidP="00F16FC6">
      <w:r>
        <w:t>Le plan d’action national d’inclusion a été adopté par le Conseil de gouvernement le 24 septembre 2021 et le ministère de la Digitalisation, en consultation étroite avec le groupe de travail, se charge du suivi des initiatives.</w:t>
      </w:r>
    </w:p>
    <w:p w:rsidR="00F16FC6" w:rsidRDefault="00F16FC6" w:rsidP="00F16FC6">
      <w:r>
        <w:t>Quelques projets-phares du plan d’action sont :</w:t>
      </w:r>
    </w:p>
    <w:p w:rsidR="00F16FC6" w:rsidRDefault="00F16FC6" w:rsidP="007F607F">
      <w:pPr>
        <w:pStyle w:val="ListParagraph"/>
        <w:numPr>
          <w:ilvl w:val="0"/>
          <w:numId w:val="11"/>
        </w:numPr>
        <w:ind w:left="714" w:hanging="357"/>
        <w:contextualSpacing w:val="0"/>
      </w:pPr>
      <w:r>
        <w:t>La nouvelle stratégie « </w:t>
      </w:r>
      <w:hyperlink r:id="rId35" w:history="1">
        <w:r>
          <w:rPr>
            <w:rStyle w:val="Hyperlink"/>
          </w:rPr>
          <w:t>Stratégie nationale pour les réseaux de communications électroniques à ultra-haut-débit 2021-2025 </w:t>
        </w:r>
      </w:hyperlink>
      <w:r>
        <w:t>» par le Service des médias et des communications du ministère d'État prévoit d'instaurer la connectivité pour tous les ménages, indépendamment de leur situation sociale, à travers des mesures d'aides ciblées. Ainsi, d'ici 2025, il est estimé que chaque ménage devrait pouvoir disposer d'une connexion d’au moins 100 Mbps en voie descendante pour pouvoir s'intégrer pleinement dans une société moderne.</w:t>
      </w:r>
    </w:p>
    <w:p w:rsidR="00F16FC6" w:rsidRDefault="00F16FC6" w:rsidP="007F607F">
      <w:pPr>
        <w:pStyle w:val="ListParagraph"/>
        <w:numPr>
          <w:ilvl w:val="0"/>
          <w:numId w:val="11"/>
        </w:numPr>
        <w:ind w:left="714" w:hanging="357"/>
        <w:contextualSpacing w:val="0"/>
      </w:pPr>
      <w:r>
        <w:t>Lancement d’un appel à projets annuel pour le financement de projet-pilotes favorisant l’inclusion numérique.</w:t>
      </w:r>
    </w:p>
    <w:p w:rsidR="00F16FC6" w:rsidRDefault="00F16FC6" w:rsidP="007F607F">
      <w:pPr>
        <w:pStyle w:val="ListParagraph"/>
        <w:numPr>
          <w:ilvl w:val="0"/>
          <w:numId w:val="11"/>
        </w:numPr>
        <w:ind w:left="714" w:hanging="357"/>
        <w:contextualSpacing w:val="0"/>
      </w:pPr>
      <w:r>
        <w:t>Organisation d’une journée annuelle dédiée à l’inclusion numérique le 17 mai.</w:t>
      </w:r>
    </w:p>
    <w:p w:rsidR="00F16FC6" w:rsidRDefault="00F16FC6" w:rsidP="007F607F">
      <w:pPr>
        <w:pStyle w:val="ListParagraph"/>
        <w:numPr>
          <w:ilvl w:val="0"/>
          <w:numId w:val="11"/>
        </w:numPr>
        <w:ind w:left="714" w:hanging="357"/>
        <w:contextualSpacing w:val="0"/>
      </w:pPr>
      <w:r>
        <w:t>Développement et mise à disposition de formations en compétences numériques de base, adaptées aux différents niveaux et accessibles en différentes langues.</w:t>
      </w:r>
    </w:p>
    <w:p w:rsidR="00F16FC6" w:rsidRDefault="00F16FC6" w:rsidP="007F607F">
      <w:pPr>
        <w:pStyle w:val="ListParagraph"/>
        <w:numPr>
          <w:ilvl w:val="0"/>
          <w:numId w:val="11"/>
        </w:numPr>
        <w:ind w:left="714" w:hanging="357"/>
        <w:contextualSpacing w:val="0"/>
      </w:pPr>
      <w:r>
        <w:t xml:space="preserve">Étude sur l’impact des évolutions digitales sur les populations éloignées du numérique avec le Luxembourg Institute of </w:t>
      </w:r>
      <w:proofErr w:type="spellStart"/>
      <w:r>
        <w:t>Socio-Economic</w:t>
      </w:r>
      <w:proofErr w:type="spellEnd"/>
      <w:r>
        <w:t xml:space="preserve"> </w:t>
      </w:r>
      <w:proofErr w:type="spellStart"/>
      <w:r>
        <w:t>Research</w:t>
      </w:r>
      <w:proofErr w:type="spellEnd"/>
      <w:r>
        <w:t xml:space="preserve"> (LISER)</w:t>
      </w:r>
    </w:p>
    <w:p w:rsidR="00F16FC6" w:rsidRDefault="00F16FC6" w:rsidP="007F607F">
      <w:pPr>
        <w:pStyle w:val="ListParagraph"/>
        <w:numPr>
          <w:ilvl w:val="0"/>
          <w:numId w:val="11"/>
        </w:numPr>
        <w:ind w:left="714" w:hanging="357"/>
        <w:contextualSpacing w:val="0"/>
      </w:pPr>
      <w:r>
        <w:t>Étude de faisabilité juridique et technique pour une éventuelle mise en place éventuelle d'une procuration numérique afin de permettre à une tierce personne de réaliser des démarches administratives numériques pour le compte d'un proche.</w:t>
      </w:r>
    </w:p>
    <w:p w:rsidR="00F16FC6" w:rsidRDefault="00F16FC6" w:rsidP="007F607F">
      <w:pPr>
        <w:pStyle w:val="ListParagraph"/>
        <w:numPr>
          <w:ilvl w:val="0"/>
          <w:numId w:val="11"/>
        </w:numPr>
        <w:ind w:left="714" w:hanging="357"/>
        <w:contextualSpacing w:val="0"/>
      </w:pPr>
      <w:r>
        <w:t xml:space="preserve">Supports didactiques pour accéder aux services étatiques numériques </w:t>
      </w:r>
    </w:p>
    <w:p w:rsidR="00F16FC6" w:rsidRDefault="00F16FC6" w:rsidP="007F607F">
      <w:pPr>
        <w:pStyle w:val="ListParagraph"/>
        <w:numPr>
          <w:ilvl w:val="0"/>
          <w:numId w:val="11"/>
        </w:numPr>
        <w:ind w:left="714" w:hanging="357"/>
        <w:contextualSpacing w:val="0"/>
      </w:pPr>
      <w:r>
        <w:lastRenderedPageBreak/>
        <w:t>Mise en ligne d’un portail thématique « zesummendigital.lu » dédié à l’inclusion numérique, regroupant toutes les informations de l’écosystème luxembourgeois, des acteurs et des ressources d’auto-assistance</w:t>
      </w:r>
    </w:p>
    <w:p w:rsidR="00F16FC6" w:rsidRDefault="00F16FC6" w:rsidP="007F607F">
      <w:pPr>
        <w:pStyle w:val="ListParagraph"/>
        <w:numPr>
          <w:ilvl w:val="0"/>
          <w:numId w:val="11"/>
        </w:numPr>
        <w:ind w:left="714" w:hanging="357"/>
        <w:contextualSpacing w:val="0"/>
      </w:pPr>
      <w:r>
        <w:t>Campagnes de sensibilisation sur les risques et opportunités du numérique.</w:t>
      </w:r>
    </w:p>
    <w:p w:rsidR="00F16FC6" w:rsidRDefault="00F16FC6" w:rsidP="007F607F">
      <w:pPr>
        <w:pStyle w:val="ListParagraph"/>
        <w:numPr>
          <w:ilvl w:val="0"/>
          <w:numId w:val="11"/>
        </w:numPr>
        <w:ind w:left="714" w:hanging="357"/>
        <w:contextualSpacing w:val="0"/>
      </w:pPr>
      <w:r>
        <w:t>Mise à disposition d’espaces publics numériques.</w:t>
      </w:r>
    </w:p>
    <w:p w:rsidR="00F16FC6" w:rsidRDefault="00F16FC6" w:rsidP="007F607F">
      <w:pPr>
        <w:pStyle w:val="ListParagraph"/>
        <w:numPr>
          <w:ilvl w:val="0"/>
          <w:numId w:val="11"/>
        </w:numPr>
        <w:ind w:left="714" w:hanging="357"/>
        <w:contextualSpacing w:val="0"/>
      </w:pPr>
      <w:r>
        <w:t>Analyse d’une potentielle décentralisation du « de Guichet », un guichet physique pour effectuer les démarches administratives.</w:t>
      </w:r>
    </w:p>
    <w:p w:rsidR="00F16FC6" w:rsidRDefault="00F16FC6" w:rsidP="007F607F">
      <w:pPr>
        <w:pStyle w:val="ListParagraph"/>
        <w:numPr>
          <w:ilvl w:val="0"/>
          <w:numId w:val="11"/>
        </w:numPr>
        <w:ind w:left="714" w:hanging="357"/>
        <w:contextualSpacing w:val="0"/>
      </w:pPr>
      <w:r>
        <w:t>Offre de cours spécifiques et intégration des modules portant sur le numérique dans l’éducation formelle et non-formelle.</w:t>
      </w:r>
    </w:p>
    <w:p w:rsidR="00F16FC6" w:rsidRDefault="00F16FC6" w:rsidP="00F16FC6">
      <w:r>
        <w:t xml:space="preserve">De plus, le </w:t>
      </w:r>
      <w:hyperlink r:id="rId36" w:history="1">
        <w:r>
          <w:rPr>
            <w:rStyle w:val="Hyperlink"/>
          </w:rPr>
          <w:t xml:space="preserve">Plan d'action national de mise en </w:t>
        </w:r>
        <w:proofErr w:type="spellStart"/>
        <w:r>
          <w:rPr>
            <w:rStyle w:val="Hyperlink"/>
          </w:rPr>
          <w:t>oeuvre</w:t>
        </w:r>
        <w:proofErr w:type="spellEnd"/>
        <w:r>
          <w:rPr>
            <w:rStyle w:val="Hyperlink"/>
          </w:rPr>
          <w:t xml:space="preserve"> de la Convention relative aux droits des personnes handicapées 2019-2024</w:t>
        </w:r>
      </w:hyperlink>
      <w:r>
        <w:t xml:space="preserve"> du ministère de la Famille, de l’Intégration et à la Grande Région propose des pistes concrètes pour faciliter l’accès des personnes handicapées au numérique. Entre autres, le plan d'action envisage une utilisation plus systématique du langage facile et amélioration de l’accessibilité numérique, deux points qui font aussi partie du plan d’action national d’inclusion numérique.</w:t>
      </w:r>
    </w:p>
    <w:p w:rsidR="00F16FC6" w:rsidRPr="002B0F9B" w:rsidRDefault="00F16FC6">
      <w:pPr>
        <w:rPr>
          <w:b/>
          <w:color w:val="5B9BD5" w:themeColor="accent1"/>
        </w:rPr>
      </w:pPr>
    </w:p>
    <w:sectPr w:rsidR="00F16FC6" w:rsidRPr="002B0F9B">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0D7" w:rsidRDefault="005960D7" w:rsidP="009C505D">
      <w:pPr>
        <w:spacing w:line="240" w:lineRule="auto"/>
      </w:pPr>
      <w:r>
        <w:separator/>
      </w:r>
    </w:p>
  </w:endnote>
  <w:endnote w:type="continuationSeparator" w:id="0">
    <w:p w:rsidR="005960D7" w:rsidRDefault="005960D7" w:rsidP="009C50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714464"/>
      <w:docPartObj>
        <w:docPartGallery w:val="Page Numbers (Bottom of Page)"/>
        <w:docPartUnique/>
      </w:docPartObj>
    </w:sdtPr>
    <w:sdtEndPr>
      <w:rPr>
        <w:noProof/>
      </w:rPr>
    </w:sdtEndPr>
    <w:sdtContent>
      <w:p w:rsidR="00EC3F93" w:rsidRDefault="00EC3F93">
        <w:pPr>
          <w:pStyle w:val="Footer"/>
          <w:jc w:val="center"/>
        </w:pPr>
        <w:r>
          <w:fldChar w:fldCharType="begin"/>
        </w:r>
        <w:r>
          <w:instrText xml:space="preserve"> PAGE   \* MERGEFORMAT </w:instrText>
        </w:r>
        <w:r>
          <w:fldChar w:fldCharType="separate"/>
        </w:r>
        <w:r w:rsidR="00533CAA">
          <w:rPr>
            <w:noProof/>
          </w:rPr>
          <w:t>20</w:t>
        </w:r>
        <w:r>
          <w:rPr>
            <w:noProof/>
          </w:rPr>
          <w:fldChar w:fldCharType="end"/>
        </w:r>
      </w:p>
    </w:sdtContent>
  </w:sdt>
  <w:p w:rsidR="00EC3F93" w:rsidRDefault="00EC3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0D7" w:rsidRDefault="005960D7" w:rsidP="009C505D">
      <w:pPr>
        <w:spacing w:line="240" w:lineRule="auto"/>
      </w:pPr>
      <w:r>
        <w:separator/>
      </w:r>
    </w:p>
  </w:footnote>
  <w:footnote w:type="continuationSeparator" w:id="0">
    <w:p w:rsidR="005960D7" w:rsidRDefault="005960D7" w:rsidP="009C505D">
      <w:pPr>
        <w:spacing w:line="240" w:lineRule="auto"/>
      </w:pPr>
      <w:r>
        <w:continuationSeparator/>
      </w:r>
    </w:p>
  </w:footnote>
  <w:footnote w:id="1">
    <w:p w:rsidR="00EC3F93" w:rsidRPr="00B97A63" w:rsidRDefault="00EC3F93" w:rsidP="00B97A63">
      <w:pPr>
        <w:pStyle w:val="FootnoteText"/>
        <w:jc w:val="both"/>
        <w:rPr>
          <w:rFonts w:cstheme="minorHAnsi"/>
          <w:lang w:val="fr-FR"/>
        </w:rPr>
      </w:pPr>
      <w:r w:rsidRPr="00B97A63">
        <w:rPr>
          <w:rStyle w:val="FootnoteReference"/>
          <w:rFonts w:cstheme="minorHAnsi"/>
        </w:rPr>
        <w:footnoteRef/>
      </w:r>
      <w:r w:rsidRPr="00B97A63">
        <w:rPr>
          <w:rFonts w:cstheme="minorHAnsi"/>
          <w:lang w:val="fr-FR"/>
        </w:rPr>
        <w:t xml:space="preserve"> Mise à jour du PNEC </w:t>
      </w:r>
    </w:p>
    <w:p w:rsidR="00EC3F93" w:rsidRPr="00B97A63" w:rsidRDefault="00EC3F93" w:rsidP="00B97A63">
      <w:pPr>
        <w:pStyle w:val="FootnoteText"/>
        <w:jc w:val="both"/>
        <w:rPr>
          <w:rFonts w:cstheme="minorHAnsi"/>
          <w:lang w:val="fr-FR"/>
        </w:rPr>
      </w:pPr>
      <w:r w:rsidRPr="00B97A63">
        <w:rPr>
          <w:rFonts w:cstheme="minorHAnsi"/>
          <w:lang w:val="fr-FR"/>
        </w:rPr>
        <w:t>Conformément au règlement (UE) 2018/1999 sur la gouvernance de l'union de l'énergie et de l'action pour le climat et la loi modifiée du 15 décembre 2020 relative au climat, le Ministère de l’Environnement, du Climat et du Développement durable, ensemble avec le Ministère de l’</w:t>
      </w:r>
      <w:proofErr w:type="spellStart"/>
      <w:r w:rsidRPr="00B97A63">
        <w:rPr>
          <w:rFonts w:cstheme="minorHAnsi"/>
          <w:lang w:val="fr-FR"/>
        </w:rPr>
        <w:t>Energie</w:t>
      </w:r>
      <w:proofErr w:type="spellEnd"/>
      <w:r w:rsidRPr="00B97A63">
        <w:rPr>
          <w:rFonts w:cstheme="minorHAnsi"/>
          <w:lang w:val="fr-FR"/>
        </w:rPr>
        <w:t xml:space="preserve"> et de l’Aménagement du territoire, entameront prochainement les travaux préparatoires à la mise à jour du plan national intégré en matière d’énergie et de climat (PNEC). Un projet de mise à jour de la dernière version notifiée du PNEC devra en effet être notifié à la Commission européenne d’ici le 30 juin 2023, en application du règlement (UE) 2018/1999 sur la gouvernance de l'union de l'énergie et de l'action pour le climat.</w:t>
      </w:r>
    </w:p>
    <w:p w:rsidR="00EC3F93" w:rsidRPr="00B97A63" w:rsidRDefault="00EC3F93" w:rsidP="00B97A63">
      <w:pPr>
        <w:pStyle w:val="FootnoteText"/>
        <w:jc w:val="both"/>
        <w:rPr>
          <w:rFonts w:cstheme="minorHAnsi"/>
          <w:lang w:val="fr-FR"/>
        </w:rPr>
      </w:pPr>
      <w:r w:rsidRPr="00B97A63">
        <w:rPr>
          <w:rFonts w:cstheme="minorHAnsi"/>
          <w:lang w:val="fr-FR"/>
        </w:rPr>
        <w:t>Dans ce contexte, et tel que prévu à l’article 6 de la loi relative au climat, la « plateforme pour l’action climat et la transition énergétique » est associer à ces travaux à un stade précoce.</w:t>
      </w:r>
    </w:p>
    <w:p w:rsidR="00EC3F93" w:rsidRPr="000012F3" w:rsidRDefault="00EC3F93" w:rsidP="00F72B47">
      <w:pPr>
        <w:pStyle w:val="FootnoteText"/>
        <w:rPr>
          <w:lang w:val="fr-FR"/>
        </w:rPr>
      </w:pPr>
    </w:p>
  </w:footnote>
  <w:footnote w:id="2">
    <w:p w:rsidR="00EC3F93" w:rsidRPr="00513EBA" w:rsidRDefault="00EC3F93" w:rsidP="00513EBA">
      <w:pPr>
        <w:pStyle w:val="FootnoteText"/>
        <w:rPr>
          <w:lang w:val="fr-FR"/>
        </w:rPr>
      </w:pPr>
      <w:r>
        <w:rPr>
          <w:rStyle w:val="FootnoteReference"/>
        </w:rPr>
        <w:footnoteRef/>
      </w:r>
      <w:r w:rsidRPr="00513EBA">
        <w:rPr>
          <w:lang w:val="fr-FR"/>
        </w:rPr>
        <w:t xml:space="preserve"> https://eur-lex.europa.eu/LexUriServ/LexUriServ.do?uri=CONSLEG:1999R0530:20080101:FR:PDF</w:t>
      </w:r>
    </w:p>
  </w:footnote>
  <w:footnote w:id="3">
    <w:p w:rsidR="00EC3F93" w:rsidRPr="00513EBA" w:rsidRDefault="00EC3F93" w:rsidP="00513EBA">
      <w:pPr>
        <w:pStyle w:val="FootnoteText"/>
        <w:rPr>
          <w:lang w:val="fr-FR"/>
        </w:rPr>
      </w:pPr>
      <w:r>
        <w:rPr>
          <w:rStyle w:val="FootnoteReference"/>
        </w:rPr>
        <w:footnoteRef/>
      </w:r>
      <w:r w:rsidRPr="00513EBA">
        <w:rPr>
          <w:lang w:val="fr-FR"/>
        </w:rPr>
        <w:t xml:space="preserve"> https://observatoire-egalite.lu/</w:t>
      </w:r>
    </w:p>
  </w:footnote>
  <w:footnote w:id="4">
    <w:p w:rsidR="00EC3F93" w:rsidRPr="00513EBA" w:rsidRDefault="00EC3F93" w:rsidP="00513EBA">
      <w:pPr>
        <w:pStyle w:val="FootnoteText"/>
        <w:rPr>
          <w:lang w:val="fr-FR"/>
        </w:rPr>
      </w:pPr>
      <w:r>
        <w:rPr>
          <w:rStyle w:val="FootnoteReference"/>
        </w:rPr>
        <w:footnoteRef/>
      </w:r>
      <w:r w:rsidRPr="00513EBA">
        <w:rPr>
          <w:lang w:val="fr-FR"/>
        </w:rPr>
        <w:t xml:space="preserve"> https://gouvernement.lu/dam-assets/documents/actualites/2020/07-juillet/Plan-d-action-national-Egalite.pdf</w:t>
      </w:r>
    </w:p>
  </w:footnote>
  <w:footnote w:id="5">
    <w:p w:rsidR="00EC3F93" w:rsidRPr="00513EBA" w:rsidRDefault="00EC3F93" w:rsidP="00513EBA">
      <w:pPr>
        <w:pStyle w:val="FootnoteText"/>
        <w:rPr>
          <w:lang w:val="fr-FR"/>
        </w:rPr>
      </w:pPr>
      <w:r>
        <w:rPr>
          <w:rStyle w:val="FootnoteReference"/>
        </w:rPr>
        <w:footnoteRef/>
      </w:r>
      <w:r w:rsidRPr="00513EBA">
        <w:rPr>
          <w:lang w:val="fr-FR"/>
        </w:rPr>
        <w:t xml:space="preserve"> http://ilo.org/global/topics/equality-and-discrimination/epic/lang--fr/index.htm.</w:t>
      </w:r>
    </w:p>
  </w:footnote>
  <w:footnote w:id="6">
    <w:p w:rsidR="00EC3F93" w:rsidRPr="00513EBA" w:rsidRDefault="00EC3F93" w:rsidP="00513EBA">
      <w:pPr>
        <w:pStyle w:val="FootnoteText"/>
        <w:rPr>
          <w:lang w:val="fr-FR"/>
        </w:rPr>
      </w:pPr>
      <w:r>
        <w:rPr>
          <w:rStyle w:val="FootnoteReference"/>
        </w:rPr>
        <w:footnoteRef/>
      </w:r>
      <w:r w:rsidRPr="00513EBA">
        <w:rPr>
          <w:lang w:val="fr-FR"/>
        </w:rPr>
        <w:t xml:space="preserve"> https://www.actionspositives.lu/</w:t>
      </w:r>
    </w:p>
  </w:footnote>
  <w:footnote w:id="7">
    <w:p w:rsidR="00EC3F93" w:rsidRPr="00513EBA" w:rsidRDefault="00EC3F93" w:rsidP="00513EBA">
      <w:pPr>
        <w:pStyle w:val="FootnoteText"/>
        <w:rPr>
          <w:lang w:val="fr-FR"/>
        </w:rPr>
      </w:pPr>
      <w:r>
        <w:rPr>
          <w:rStyle w:val="FootnoteReference"/>
        </w:rPr>
        <w:footnoteRef/>
      </w:r>
      <w:r w:rsidRPr="00513EBA">
        <w:rPr>
          <w:lang w:val="fr-FR"/>
        </w:rPr>
        <w:t xml:space="preserve"> https://madak.lu/</w:t>
      </w:r>
    </w:p>
  </w:footnote>
  <w:footnote w:id="8">
    <w:p w:rsidR="00EC3F93" w:rsidRPr="00BE6D78" w:rsidRDefault="00EC3F93" w:rsidP="00513EBA">
      <w:pPr>
        <w:pStyle w:val="FootnoteText"/>
        <w:rPr>
          <w:lang w:val="fr-FR"/>
        </w:rPr>
      </w:pPr>
      <w:r>
        <w:rPr>
          <w:rStyle w:val="FootnoteReference"/>
        </w:rPr>
        <w:footnoteRef/>
      </w:r>
      <w:r w:rsidRPr="00BE6D78">
        <w:rPr>
          <w:lang w:val="fr-FR"/>
        </w:rPr>
        <w:t xml:space="preserve"> https://wide.lu/</w:t>
      </w:r>
    </w:p>
  </w:footnote>
  <w:footnote w:id="9">
    <w:p w:rsidR="00EC3F93" w:rsidRPr="000F26EE" w:rsidRDefault="00EC3F93" w:rsidP="00513EBA">
      <w:pPr>
        <w:pStyle w:val="FootnoteText"/>
        <w:rPr>
          <w:lang w:val="fr-FR"/>
        </w:rPr>
      </w:pPr>
      <w:r>
        <w:rPr>
          <w:rStyle w:val="FootnoteReference"/>
        </w:rPr>
        <w:footnoteRef/>
      </w:r>
      <w:r w:rsidRPr="000F26EE">
        <w:rPr>
          <w:lang w:val="fr-FR"/>
        </w:rPr>
        <w:t xml:space="preserve"> </w:t>
      </w:r>
      <w:hyperlink r:id="rId1" w:history="1">
        <w:r w:rsidRPr="000F26EE">
          <w:rPr>
            <w:lang w:val="fr-FR"/>
          </w:rPr>
          <w:t>https://femaleboardpool.eu/de/</w:t>
        </w:r>
      </w:hyperlink>
      <w:r w:rsidRPr="000F26EE">
        <w:rPr>
          <w:lang w:val="fr-FR"/>
        </w:rPr>
        <w:t xml:space="preserve"> et https://www.ila.lu/blog/1/post/new-corporate-governance-and-female-board-pool-luxembourg-16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3D6"/>
    <w:multiLevelType w:val="hybridMultilevel"/>
    <w:tmpl w:val="5E80A8EE"/>
    <w:lvl w:ilvl="0" w:tplc="432668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945B4"/>
    <w:multiLevelType w:val="hybridMultilevel"/>
    <w:tmpl w:val="B80EA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15C93"/>
    <w:multiLevelType w:val="hybridMultilevel"/>
    <w:tmpl w:val="7B84E6CE"/>
    <w:lvl w:ilvl="0" w:tplc="C4F69164">
      <w:numFmt w:val="bullet"/>
      <w:lvlText w:val=""/>
      <w:lvlJc w:val="left"/>
      <w:pPr>
        <w:ind w:left="1080" w:hanging="360"/>
      </w:pPr>
      <w:rPr>
        <w:rFonts w:ascii="Wingdings" w:eastAsiaTheme="minorHAnsi" w:hAnsi="Wingdings"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442C34"/>
    <w:multiLevelType w:val="hybridMultilevel"/>
    <w:tmpl w:val="1D12A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D706C2"/>
    <w:multiLevelType w:val="hybridMultilevel"/>
    <w:tmpl w:val="DA44DA40"/>
    <w:lvl w:ilvl="0" w:tplc="4326685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821A48"/>
    <w:multiLevelType w:val="multilevel"/>
    <w:tmpl w:val="E1D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C8156E"/>
    <w:multiLevelType w:val="hybridMultilevel"/>
    <w:tmpl w:val="9A702AE4"/>
    <w:lvl w:ilvl="0" w:tplc="432668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E358C9"/>
    <w:multiLevelType w:val="multilevel"/>
    <w:tmpl w:val="DA8CB72E"/>
    <w:lvl w:ilvl="0">
      <w:numFmt w:val="bullet"/>
      <w:lvlText w:val="-"/>
      <w:lvlJc w:val="left"/>
      <w:pPr>
        <w:tabs>
          <w:tab w:val="num" w:pos="1080"/>
        </w:tabs>
        <w:ind w:left="1080" w:hanging="360"/>
      </w:pPr>
      <w:rPr>
        <w:rFonts w:ascii="Calibri" w:eastAsiaTheme="minorHAnsi" w:hAnsi="Calibri" w:cs="Calibri"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8" w15:restartNumberingAfterBreak="0">
    <w:nsid w:val="12D36AF9"/>
    <w:multiLevelType w:val="multilevel"/>
    <w:tmpl w:val="4030D9DC"/>
    <w:lvl w:ilvl="0">
      <w:numFmt w:val="bullet"/>
      <w:lvlText w:val="-"/>
      <w:lvlJc w:val="left"/>
      <w:pPr>
        <w:tabs>
          <w:tab w:val="num" w:pos="1080"/>
        </w:tabs>
        <w:ind w:left="1080" w:hanging="360"/>
      </w:pPr>
      <w:rPr>
        <w:rFonts w:ascii="Calibri" w:eastAsiaTheme="minorHAnsi" w:hAnsi="Calibri" w:cs="Calibri"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12EB66FB"/>
    <w:multiLevelType w:val="hybridMultilevel"/>
    <w:tmpl w:val="01AA4554"/>
    <w:lvl w:ilvl="0" w:tplc="64D6D0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1B2679"/>
    <w:multiLevelType w:val="hybridMultilevel"/>
    <w:tmpl w:val="4F3AD9CA"/>
    <w:lvl w:ilvl="0" w:tplc="64D6D052">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317790"/>
    <w:multiLevelType w:val="hybridMultilevel"/>
    <w:tmpl w:val="E384D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C91D53"/>
    <w:multiLevelType w:val="hybridMultilevel"/>
    <w:tmpl w:val="6BD2B8FA"/>
    <w:lvl w:ilvl="0" w:tplc="432668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AA5C66"/>
    <w:multiLevelType w:val="hybridMultilevel"/>
    <w:tmpl w:val="865E2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EC606B"/>
    <w:multiLevelType w:val="hybridMultilevel"/>
    <w:tmpl w:val="34900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272A47"/>
    <w:multiLevelType w:val="hybridMultilevel"/>
    <w:tmpl w:val="2DAEBBA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E640E5A"/>
    <w:multiLevelType w:val="hybridMultilevel"/>
    <w:tmpl w:val="98C08342"/>
    <w:lvl w:ilvl="0" w:tplc="43266854">
      <w:numFmt w:val="bullet"/>
      <w:lvlText w:val="-"/>
      <w:lvlJc w:val="left"/>
      <w:pPr>
        <w:ind w:left="720" w:hanging="360"/>
      </w:pPr>
      <w:rPr>
        <w:rFonts w:ascii="Calibri" w:eastAsiaTheme="minorHAns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8A6C1D"/>
    <w:multiLevelType w:val="hybridMultilevel"/>
    <w:tmpl w:val="BB8202A4"/>
    <w:lvl w:ilvl="0" w:tplc="432668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8D7B9E"/>
    <w:multiLevelType w:val="hybridMultilevel"/>
    <w:tmpl w:val="56F0C1D8"/>
    <w:lvl w:ilvl="0" w:tplc="432668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452A1A"/>
    <w:multiLevelType w:val="hybridMultilevel"/>
    <w:tmpl w:val="960CC5AC"/>
    <w:lvl w:ilvl="0" w:tplc="D68065DE">
      <w:start w:val="3"/>
      <w:numFmt w:val="bullet"/>
      <w:lvlText w:val=""/>
      <w:lvlJc w:val="left"/>
      <w:pPr>
        <w:ind w:left="720" w:hanging="360"/>
      </w:pPr>
      <w:rPr>
        <w:rFonts w:ascii="Symbol" w:eastAsiaTheme="minorHAnsi" w:hAnsi="Symbol" w:cstheme="minorHAns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97932D1"/>
    <w:multiLevelType w:val="hybridMultilevel"/>
    <w:tmpl w:val="6522325E"/>
    <w:lvl w:ilvl="0" w:tplc="64D6D0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466512"/>
    <w:multiLevelType w:val="hybridMultilevel"/>
    <w:tmpl w:val="83B66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F6D2B7B"/>
    <w:multiLevelType w:val="hybridMultilevel"/>
    <w:tmpl w:val="76562BD6"/>
    <w:lvl w:ilvl="0" w:tplc="64D6D05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08922A7"/>
    <w:multiLevelType w:val="hybridMultilevel"/>
    <w:tmpl w:val="10FAA95C"/>
    <w:lvl w:ilvl="0" w:tplc="64D6D05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3DF2C89"/>
    <w:multiLevelType w:val="hybridMultilevel"/>
    <w:tmpl w:val="86BC6698"/>
    <w:lvl w:ilvl="0" w:tplc="43266854">
      <w:numFmt w:val="bullet"/>
      <w:lvlText w:val="-"/>
      <w:lvlJc w:val="left"/>
      <w:pPr>
        <w:ind w:left="720" w:hanging="360"/>
      </w:pPr>
      <w:rPr>
        <w:rFonts w:ascii="Calibri" w:eastAsiaTheme="minorHAnsi" w:hAnsi="Calibri" w:cs="Calibri" w:hint="default"/>
      </w:rPr>
    </w:lvl>
    <w:lvl w:ilvl="1" w:tplc="54DC02BE">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8F6D13"/>
    <w:multiLevelType w:val="hybridMultilevel"/>
    <w:tmpl w:val="613827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B3B09C3"/>
    <w:multiLevelType w:val="hybridMultilevel"/>
    <w:tmpl w:val="387C5D7A"/>
    <w:lvl w:ilvl="0" w:tplc="AE4C3A8A">
      <w:start w:val="1"/>
      <w:numFmt w:val="bullet"/>
      <w:pStyle w:val="Heading4"/>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66229C"/>
    <w:multiLevelType w:val="hybridMultilevel"/>
    <w:tmpl w:val="E3D85782"/>
    <w:lvl w:ilvl="0" w:tplc="64D6D0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C86C0E"/>
    <w:multiLevelType w:val="hybridMultilevel"/>
    <w:tmpl w:val="3AD09CD8"/>
    <w:lvl w:ilvl="0" w:tplc="64D6D0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C90150"/>
    <w:multiLevelType w:val="hybridMultilevel"/>
    <w:tmpl w:val="05306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7E2F75"/>
    <w:multiLevelType w:val="hybridMultilevel"/>
    <w:tmpl w:val="2EC0E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0A4620"/>
    <w:multiLevelType w:val="hybridMultilevel"/>
    <w:tmpl w:val="E87ECF62"/>
    <w:lvl w:ilvl="0" w:tplc="64D6D05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6E74330"/>
    <w:multiLevelType w:val="hybridMultilevel"/>
    <w:tmpl w:val="2886E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2850D1"/>
    <w:multiLevelType w:val="hybridMultilevel"/>
    <w:tmpl w:val="6FFC6EA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08A0927"/>
    <w:multiLevelType w:val="hybridMultilevel"/>
    <w:tmpl w:val="9A763E90"/>
    <w:lvl w:ilvl="0" w:tplc="64D6D0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FB6E2E"/>
    <w:multiLevelType w:val="hybridMultilevel"/>
    <w:tmpl w:val="355A412A"/>
    <w:lvl w:ilvl="0" w:tplc="64D6D0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A45010"/>
    <w:multiLevelType w:val="hybridMultilevel"/>
    <w:tmpl w:val="5EDA2CBE"/>
    <w:lvl w:ilvl="0" w:tplc="4326685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7CF6E0F"/>
    <w:multiLevelType w:val="hybridMultilevel"/>
    <w:tmpl w:val="401A7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7E66277"/>
    <w:multiLevelType w:val="hybridMultilevel"/>
    <w:tmpl w:val="6E66CF28"/>
    <w:lvl w:ilvl="0" w:tplc="4326685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88D6F1F"/>
    <w:multiLevelType w:val="multilevel"/>
    <w:tmpl w:val="8DE2A700"/>
    <w:lvl w:ilvl="0">
      <w:numFmt w:val="bullet"/>
      <w:lvlText w:val="-"/>
      <w:lvlJc w:val="left"/>
      <w:pPr>
        <w:tabs>
          <w:tab w:val="num" w:pos="1080"/>
        </w:tabs>
        <w:ind w:left="1080" w:hanging="360"/>
      </w:pPr>
      <w:rPr>
        <w:rFonts w:ascii="Calibri" w:eastAsiaTheme="minorHAnsi" w:hAnsi="Calibri" w:cs="Calibri"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0" w15:restartNumberingAfterBreak="0">
    <w:nsid w:val="5B20200A"/>
    <w:multiLevelType w:val="hybridMultilevel"/>
    <w:tmpl w:val="55E6D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3621AC"/>
    <w:multiLevelType w:val="hybridMultilevel"/>
    <w:tmpl w:val="1990150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EC27C6A"/>
    <w:multiLevelType w:val="hybridMultilevel"/>
    <w:tmpl w:val="4262194A"/>
    <w:lvl w:ilvl="0" w:tplc="36746D0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511017"/>
    <w:multiLevelType w:val="hybridMultilevel"/>
    <w:tmpl w:val="FF5654EC"/>
    <w:lvl w:ilvl="0" w:tplc="FB86F314">
      <w:numFmt w:val="bullet"/>
      <w:lvlText w:val="-"/>
      <w:lvlJc w:val="left"/>
      <w:pPr>
        <w:ind w:left="2148" w:hanging="360"/>
      </w:pPr>
      <w:rPr>
        <w:rFonts w:ascii="Calibri" w:eastAsiaTheme="minorHAnsi" w:hAnsi="Calibri" w:cs="Calibri" w:hint="default"/>
      </w:rPr>
    </w:lvl>
    <w:lvl w:ilvl="1" w:tplc="04090003">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4" w15:restartNumberingAfterBreak="0">
    <w:nsid w:val="68BF37BF"/>
    <w:multiLevelType w:val="hybridMultilevel"/>
    <w:tmpl w:val="D47EA82A"/>
    <w:lvl w:ilvl="0" w:tplc="64D6D052">
      <w:numFmt w:val="bullet"/>
      <w:lvlText w:val="-"/>
      <w:lvlJc w:val="left"/>
      <w:pPr>
        <w:ind w:left="720" w:hanging="360"/>
      </w:pPr>
      <w:rPr>
        <w:rFonts w:ascii="Calibri" w:eastAsia="Calibri" w:hAnsi="Calibri" w:cs="Calibri" w:hint="default"/>
      </w:rPr>
    </w:lvl>
    <w:lvl w:ilvl="1" w:tplc="64D6D052">
      <w:numFmt w:val="bullet"/>
      <w:lvlText w:val="-"/>
      <w:lvlJc w:val="left"/>
      <w:pPr>
        <w:ind w:left="1440" w:hanging="36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2C4F17"/>
    <w:multiLevelType w:val="hybridMultilevel"/>
    <w:tmpl w:val="B3B24C7E"/>
    <w:lvl w:ilvl="0" w:tplc="64D6D052">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702196"/>
    <w:multiLevelType w:val="hybridMultilevel"/>
    <w:tmpl w:val="4B460AB2"/>
    <w:lvl w:ilvl="0" w:tplc="432668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DA22659"/>
    <w:multiLevelType w:val="hybridMultilevel"/>
    <w:tmpl w:val="DCBA7C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E712B81"/>
    <w:multiLevelType w:val="hybridMultilevel"/>
    <w:tmpl w:val="71E84304"/>
    <w:lvl w:ilvl="0" w:tplc="43266854">
      <w:numFmt w:val="bullet"/>
      <w:lvlText w:val="-"/>
      <w:lvlJc w:val="left"/>
      <w:pPr>
        <w:ind w:left="1077" w:hanging="360"/>
      </w:pPr>
      <w:rPr>
        <w:rFonts w:ascii="Calibri" w:eastAsiaTheme="minorHAnsi" w:hAnsi="Calibri" w:cs="Calibri"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49" w15:restartNumberingAfterBreak="0">
    <w:nsid w:val="73A12A95"/>
    <w:multiLevelType w:val="hybridMultilevel"/>
    <w:tmpl w:val="C766069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77745FEA"/>
    <w:multiLevelType w:val="hybridMultilevel"/>
    <w:tmpl w:val="BE60F93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9"/>
  </w:num>
  <w:num w:numId="2">
    <w:abstractNumId w:val="2"/>
  </w:num>
  <w:num w:numId="3">
    <w:abstractNumId w:val="40"/>
  </w:num>
  <w:num w:numId="4">
    <w:abstractNumId w:val="43"/>
  </w:num>
  <w:num w:numId="5">
    <w:abstractNumId w:val="20"/>
  </w:num>
  <w:num w:numId="6">
    <w:abstractNumId w:val="31"/>
  </w:num>
  <w:num w:numId="7">
    <w:abstractNumId w:val="22"/>
  </w:num>
  <w:num w:numId="8">
    <w:abstractNumId w:val="15"/>
  </w:num>
  <w:num w:numId="9">
    <w:abstractNumId w:val="14"/>
  </w:num>
  <w:num w:numId="10">
    <w:abstractNumId w:val="35"/>
  </w:num>
  <w:num w:numId="11">
    <w:abstractNumId w:val="9"/>
  </w:num>
  <w:num w:numId="12">
    <w:abstractNumId w:val="27"/>
  </w:num>
  <w:num w:numId="13">
    <w:abstractNumId w:val="37"/>
  </w:num>
  <w:num w:numId="14">
    <w:abstractNumId w:val="48"/>
  </w:num>
  <w:num w:numId="15">
    <w:abstractNumId w:val="12"/>
  </w:num>
  <w:num w:numId="16">
    <w:abstractNumId w:val="5"/>
  </w:num>
  <w:num w:numId="17">
    <w:abstractNumId w:val="30"/>
  </w:num>
  <w:num w:numId="18">
    <w:abstractNumId w:val="8"/>
  </w:num>
  <w:num w:numId="19">
    <w:abstractNumId w:val="7"/>
  </w:num>
  <w:num w:numId="20">
    <w:abstractNumId w:val="39"/>
  </w:num>
  <w:num w:numId="21">
    <w:abstractNumId w:val="38"/>
  </w:num>
  <w:num w:numId="22">
    <w:abstractNumId w:val="42"/>
  </w:num>
  <w:num w:numId="23">
    <w:abstractNumId w:val="36"/>
  </w:num>
  <w:num w:numId="24">
    <w:abstractNumId w:val="4"/>
  </w:num>
  <w:num w:numId="25">
    <w:abstractNumId w:val="3"/>
  </w:num>
  <w:num w:numId="26">
    <w:abstractNumId w:val="17"/>
  </w:num>
  <w:num w:numId="27">
    <w:abstractNumId w:val="13"/>
  </w:num>
  <w:num w:numId="28">
    <w:abstractNumId w:val="18"/>
  </w:num>
  <w:num w:numId="29">
    <w:abstractNumId w:val="0"/>
  </w:num>
  <w:num w:numId="30">
    <w:abstractNumId w:val="26"/>
  </w:num>
  <w:num w:numId="31">
    <w:abstractNumId w:val="46"/>
  </w:num>
  <w:num w:numId="32">
    <w:abstractNumId w:val="24"/>
  </w:num>
  <w:num w:numId="33">
    <w:abstractNumId w:val="16"/>
  </w:num>
  <w:num w:numId="34">
    <w:abstractNumId w:val="29"/>
  </w:num>
  <w:num w:numId="35">
    <w:abstractNumId w:val="6"/>
  </w:num>
  <w:num w:numId="36">
    <w:abstractNumId w:val="28"/>
  </w:num>
  <w:num w:numId="37">
    <w:abstractNumId w:val="1"/>
  </w:num>
  <w:num w:numId="38">
    <w:abstractNumId w:val="45"/>
  </w:num>
  <w:num w:numId="39">
    <w:abstractNumId w:val="11"/>
  </w:num>
  <w:num w:numId="40">
    <w:abstractNumId w:val="32"/>
  </w:num>
  <w:num w:numId="41">
    <w:abstractNumId w:val="44"/>
  </w:num>
  <w:num w:numId="42">
    <w:abstractNumId w:val="34"/>
  </w:num>
  <w:num w:numId="43">
    <w:abstractNumId w:val="33"/>
  </w:num>
  <w:num w:numId="44">
    <w:abstractNumId w:val="25"/>
  </w:num>
  <w:num w:numId="45">
    <w:abstractNumId w:val="47"/>
  </w:num>
  <w:num w:numId="46">
    <w:abstractNumId w:val="50"/>
  </w:num>
  <w:num w:numId="47">
    <w:abstractNumId w:val="41"/>
  </w:num>
  <w:num w:numId="48">
    <w:abstractNumId w:val="49"/>
  </w:num>
  <w:num w:numId="49">
    <w:abstractNumId w:val="10"/>
  </w:num>
  <w:num w:numId="50">
    <w:abstractNumId w:val="21"/>
  </w:num>
  <w:num w:numId="51">
    <w:abstractNumId w:val="2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FR" w:vendorID="64" w:dllVersion="131078" w:nlCheck="1" w:checkStyle="0"/>
  <w:activeWritingStyle w:appName="MSWord" w:lang="fr-LU" w:vendorID="64" w:dllVersion="131078" w:nlCheck="1" w:checkStyle="0"/>
  <w:activeWritingStyle w:appName="MSWord" w:lang="de-DE" w:vendorID="64" w:dllVersion="131078" w:nlCheck="1" w:checkStyle="0"/>
  <w:activeWritingStyle w:appName="MSWord" w:lang="en-US" w:vendorID="64" w:dllVersion="131078" w:nlCheck="1" w:checkStyle="1"/>
  <w:activeWritingStyle w:appName="MSWord" w:lang="fr-CH"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FA1"/>
    <w:rsid w:val="000510EE"/>
    <w:rsid w:val="000732EF"/>
    <w:rsid w:val="0007351E"/>
    <w:rsid w:val="000F1D94"/>
    <w:rsid w:val="002471FF"/>
    <w:rsid w:val="002B0F9B"/>
    <w:rsid w:val="002C5327"/>
    <w:rsid w:val="002E43C2"/>
    <w:rsid w:val="00322E81"/>
    <w:rsid w:val="00335DD6"/>
    <w:rsid w:val="003424CE"/>
    <w:rsid w:val="00343976"/>
    <w:rsid w:val="00382991"/>
    <w:rsid w:val="00383ABB"/>
    <w:rsid w:val="003D3B57"/>
    <w:rsid w:val="004136D4"/>
    <w:rsid w:val="0043603E"/>
    <w:rsid w:val="004944FD"/>
    <w:rsid w:val="00494673"/>
    <w:rsid w:val="004F1B78"/>
    <w:rsid w:val="00513EBA"/>
    <w:rsid w:val="00533CAA"/>
    <w:rsid w:val="00571106"/>
    <w:rsid w:val="005809D0"/>
    <w:rsid w:val="005960D7"/>
    <w:rsid w:val="005E21D3"/>
    <w:rsid w:val="00652868"/>
    <w:rsid w:val="006717BE"/>
    <w:rsid w:val="00671C21"/>
    <w:rsid w:val="0069538E"/>
    <w:rsid w:val="006A1F7D"/>
    <w:rsid w:val="006A3443"/>
    <w:rsid w:val="006C383F"/>
    <w:rsid w:val="00745AD5"/>
    <w:rsid w:val="007502FF"/>
    <w:rsid w:val="007814B8"/>
    <w:rsid w:val="0079505B"/>
    <w:rsid w:val="007C713D"/>
    <w:rsid w:val="007D485E"/>
    <w:rsid w:val="007F3F2B"/>
    <w:rsid w:val="007F607F"/>
    <w:rsid w:val="00886B5A"/>
    <w:rsid w:val="008A19EF"/>
    <w:rsid w:val="008E75D5"/>
    <w:rsid w:val="00946DA3"/>
    <w:rsid w:val="00975412"/>
    <w:rsid w:val="009C35F4"/>
    <w:rsid w:val="009C505D"/>
    <w:rsid w:val="00AF5A10"/>
    <w:rsid w:val="00B04948"/>
    <w:rsid w:val="00B37982"/>
    <w:rsid w:val="00B97A63"/>
    <w:rsid w:val="00BD7E30"/>
    <w:rsid w:val="00BF19A4"/>
    <w:rsid w:val="00C11A5D"/>
    <w:rsid w:val="00C43C30"/>
    <w:rsid w:val="00D44544"/>
    <w:rsid w:val="00D719B8"/>
    <w:rsid w:val="00D80456"/>
    <w:rsid w:val="00DB25F6"/>
    <w:rsid w:val="00E5220F"/>
    <w:rsid w:val="00E6308F"/>
    <w:rsid w:val="00E70FA1"/>
    <w:rsid w:val="00EC3F93"/>
    <w:rsid w:val="00F16FC6"/>
    <w:rsid w:val="00F27EE9"/>
    <w:rsid w:val="00F72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A0967"/>
  <w15:chartTrackingRefBased/>
  <w15:docId w15:val="{C0837A7B-9205-4DC8-9978-325D1ADE8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51E"/>
    <w:pPr>
      <w:spacing w:before="160" w:line="276" w:lineRule="auto"/>
      <w:jc w:val="both"/>
    </w:pPr>
    <w:rPr>
      <w:lang w:val="fr-FR"/>
    </w:rPr>
  </w:style>
  <w:style w:type="paragraph" w:styleId="Heading1">
    <w:name w:val="heading 1"/>
    <w:basedOn w:val="Normal"/>
    <w:next w:val="Normal"/>
    <w:link w:val="Heading1Char"/>
    <w:uiPriority w:val="9"/>
    <w:qFormat/>
    <w:rsid w:val="00AF5A10"/>
    <w:pPr>
      <w:jc w:val="center"/>
      <w:outlineLvl w:val="0"/>
    </w:pPr>
    <w:rPr>
      <w:rFonts w:cstheme="minorHAnsi"/>
      <w:b/>
      <w:color w:val="000000" w:themeColor="text1"/>
      <w:sz w:val="24"/>
    </w:rPr>
  </w:style>
  <w:style w:type="paragraph" w:styleId="Heading2">
    <w:name w:val="heading 2"/>
    <w:basedOn w:val="Normal"/>
    <w:next w:val="Normal"/>
    <w:link w:val="Heading2Char"/>
    <w:uiPriority w:val="9"/>
    <w:unhideWhenUsed/>
    <w:qFormat/>
    <w:rsid w:val="00AF5A10"/>
    <w:pPr>
      <w:outlineLvl w:val="1"/>
    </w:pPr>
    <w:rPr>
      <w:rFonts w:cstheme="minorHAnsi"/>
      <w:b/>
      <w:color w:val="FF5050"/>
    </w:rPr>
  </w:style>
  <w:style w:type="paragraph" w:styleId="Heading3">
    <w:name w:val="heading 3"/>
    <w:basedOn w:val="Normal"/>
    <w:next w:val="Normal"/>
    <w:link w:val="Heading3Char"/>
    <w:uiPriority w:val="9"/>
    <w:unhideWhenUsed/>
    <w:qFormat/>
    <w:rsid w:val="00AF5A10"/>
    <w:pPr>
      <w:outlineLvl w:val="2"/>
    </w:pPr>
    <w:rPr>
      <w:rFonts w:cstheme="minorHAnsi"/>
      <w:b/>
      <w:color w:val="5B9BD5" w:themeColor="accent1"/>
    </w:rPr>
  </w:style>
  <w:style w:type="paragraph" w:styleId="Heading4">
    <w:name w:val="heading 4"/>
    <w:basedOn w:val="ListParagraph"/>
    <w:next w:val="Normal"/>
    <w:link w:val="Heading4Char"/>
    <w:uiPriority w:val="9"/>
    <w:unhideWhenUsed/>
    <w:qFormat/>
    <w:rsid w:val="00AF5A10"/>
    <w:pPr>
      <w:numPr>
        <w:numId w:val="30"/>
      </w:numPr>
      <w:outlineLvl w:val="3"/>
    </w:pPr>
    <w:rPr>
      <w:b/>
    </w:rPr>
  </w:style>
  <w:style w:type="paragraph" w:styleId="Heading5">
    <w:name w:val="heading 5"/>
    <w:basedOn w:val="Normal"/>
    <w:next w:val="Normal"/>
    <w:link w:val="Heading5Char"/>
    <w:uiPriority w:val="9"/>
    <w:unhideWhenUsed/>
    <w:qFormat/>
    <w:rsid w:val="002471FF"/>
    <w:pPr>
      <w:outlineLvl w:val="4"/>
    </w:pPr>
    <w:rPr>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FA1"/>
    <w:pPr>
      <w:ind w:left="720"/>
      <w:contextualSpacing/>
    </w:pPr>
  </w:style>
  <w:style w:type="character" w:styleId="Hyperlink">
    <w:name w:val="Hyperlink"/>
    <w:basedOn w:val="DefaultParagraphFont"/>
    <w:uiPriority w:val="99"/>
    <w:unhideWhenUsed/>
    <w:rsid w:val="00E70FA1"/>
    <w:rPr>
      <w:color w:val="0000FF"/>
      <w:u w:val="single"/>
    </w:rPr>
  </w:style>
  <w:style w:type="paragraph" w:styleId="Header">
    <w:name w:val="header"/>
    <w:basedOn w:val="Normal"/>
    <w:link w:val="HeaderChar"/>
    <w:uiPriority w:val="99"/>
    <w:unhideWhenUsed/>
    <w:rsid w:val="009C505D"/>
    <w:pPr>
      <w:tabs>
        <w:tab w:val="center" w:pos="4513"/>
        <w:tab w:val="right" w:pos="9026"/>
      </w:tabs>
      <w:spacing w:line="240" w:lineRule="auto"/>
    </w:pPr>
  </w:style>
  <w:style w:type="character" w:customStyle="1" w:styleId="HeaderChar">
    <w:name w:val="Header Char"/>
    <w:basedOn w:val="DefaultParagraphFont"/>
    <w:link w:val="Header"/>
    <w:uiPriority w:val="99"/>
    <w:rsid w:val="009C505D"/>
    <w:rPr>
      <w:lang w:val="fr-FR"/>
    </w:rPr>
  </w:style>
  <w:style w:type="paragraph" w:styleId="Footer">
    <w:name w:val="footer"/>
    <w:basedOn w:val="Normal"/>
    <w:link w:val="FooterChar"/>
    <w:uiPriority w:val="99"/>
    <w:unhideWhenUsed/>
    <w:rsid w:val="009C505D"/>
    <w:pPr>
      <w:tabs>
        <w:tab w:val="center" w:pos="4513"/>
        <w:tab w:val="right" w:pos="9026"/>
      </w:tabs>
      <w:spacing w:line="240" w:lineRule="auto"/>
    </w:pPr>
  </w:style>
  <w:style w:type="character" w:customStyle="1" w:styleId="FooterChar">
    <w:name w:val="Footer Char"/>
    <w:basedOn w:val="DefaultParagraphFont"/>
    <w:link w:val="Footer"/>
    <w:uiPriority w:val="99"/>
    <w:rsid w:val="009C505D"/>
    <w:rPr>
      <w:lang w:val="fr-FR"/>
    </w:rPr>
  </w:style>
  <w:style w:type="character" w:styleId="FollowedHyperlink">
    <w:name w:val="FollowedHyperlink"/>
    <w:basedOn w:val="DefaultParagraphFont"/>
    <w:uiPriority w:val="99"/>
    <w:semiHidden/>
    <w:unhideWhenUsed/>
    <w:rsid w:val="007C713D"/>
    <w:rPr>
      <w:color w:val="954F72" w:themeColor="followedHyperlink"/>
      <w:u w:val="single"/>
    </w:rPr>
  </w:style>
  <w:style w:type="paragraph" w:styleId="FootnoteText">
    <w:name w:val="footnote text"/>
    <w:basedOn w:val="Normal"/>
    <w:link w:val="FootnoteTextChar"/>
    <w:uiPriority w:val="99"/>
    <w:semiHidden/>
    <w:unhideWhenUsed/>
    <w:rsid w:val="00F72B47"/>
    <w:pPr>
      <w:spacing w:before="0" w:after="0" w:line="240" w:lineRule="auto"/>
      <w:jc w:val="left"/>
    </w:pPr>
    <w:rPr>
      <w:sz w:val="20"/>
      <w:szCs w:val="20"/>
      <w:lang w:val="en-US"/>
    </w:rPr>
  </w:style>
  <w:style w:type="character" w:customStyle="1" w:styleId="FootnoteTextChar">
    <w:name w:val="Footnote Text Char"/>
    <w:basedOn w:val="DefaultParagraphFont"/>
    <w:link w:val="FootnoteText"/>
    <w:uiPriority w:val="99"/>
    <w:semiHidden/>
    <w:rsid w:val="00F72B47"/>
    <w:rPr>
      <w:sz w:val="20"/>
      <w:szCs w:val="20"/>
    </w:rPr>
  </w:style>
  <w:style w:type="character" w:styleId="FootnoteReference">
    <w:name w:val="footnote reference"/>
    <w:basedOn w:val="DefaultParagraphFont"/>
    <w:uiPriority w:val="99"/>
    <w:semiHidden/>
    <w:unhideWhenUsed/>
    <w:rsid w:val="00F72B47"/>
    <w:rPr>
      <w:vertAlign w:val="superscript"/>
    </w:rPr>
  </w:style>
  <w:style w:type="character" w:customStyle="1" w:styleId="Heading1Char">
    <w:name w:val="Heading 1 Char"/>
    <w:basedOn w:val="DefaultParagraphFont"/>
    <w:link w:val="Heading1"/>
    <w:uiPriority w:val="9"/>
    <w:rsid w:val="00AF5A10"/>
    <w:rPr>
      <w:rFonts w:cstheme="minorHAnsi"/>
      <w:b/>
      <w:color w:val="000000" w:themeColor="text1"/>
      <w:sz w:val="24"/>
      <w:lang w:val="fr-FR"/>
    </w:rPr>
  </w:style>
  <w:style w:type="character" w:customStyle="1" w:styleId="Heading2Char">
    <w:name w:val="Heading 2 Char"/>
    <w:basedOn w:val="DefaultParagraphFont"/>
    <w:link w:val="Heading2"/>
    <w:uiPriority w:val="9"/>
    <w:rsid w:val="00AF5A10"/>
    <w:rPr>
      <w:rFonts w:cstheme="minorHAnsi"/>
      <w:b/>
      <w:color w:val="FF5050"/>
      <w:lang w:val="fr-FR"/>
    </w:rPr>
  </w:style>
  <w:style w:type="character" w:customStyle="1" w:styleId="Heading3Char">
    <w:name w:val="Heading 3 Char"/>
    <w:basedOn w:val="DefaultParagraphFont"/>
    <w:link w:val="Heading3"/>
    <w:uiPriority w:val="9"/>
    <w:rsid w:val="00AF5A10"/>
    <w:rPr>
      <w:rFonts w:cstheme="minorHAnsi"/>
      <w:b/>
      <w:color w:val="5B9BD5" w:themeColor="accent1"/>
      <w:lang w:val="fr-FR"/>
    </w:rPr>
  </w:style>
  <w:style w:type="character" w:customStyle="1" w:styleId="Heading4Char">
    <w:name w:val="Heading 4 Char"/>
    <w:basedOn w:val="DefaultParagraphFont"/>
    <w:link w:val="Heading4"/>
    <w:uiPriority w:val="9"/>
    <w:rsid w:val="00AF5A10"/>
    <w:rPr>
      <w:b/>
      <w:lang w:val="fr-FR"/>
    </w:rPr>
  </w:style>
  <w:style w:type="character" w:customStyle="1" w:styleId="Heading5Char">
    <w:name w:val="Heading 5 Char"/>
    <w:basedOn w:val="DefaultParagraphFont"/>
    <w:link w:val="Heading5"/>
    <w:uiPriority w:val="9"/>
    <w:rsid w:val="002471FF"/>
    <w:rPr>
      <w:b/>
      <w:iCs/>
      <w:lang w:val="fr-FR"/>
    </w:rPr>
  </w:style>
  <w:style w:type="paragraph" w:styleId="TOC1">
    <w:name w:val="toc 1"/>
    <w:basedOn w:val="Normal"/>
    <w:next w:val="Normal"/>
    <w:autoRedefine/>
    <w:uiPriority w:val="39"/>
    <w:unhideWhenUsed/>
    <w:rsid w:val="00D80456"/>
    <w:pPr>
      <w:spacing w:before="120" w:after="120"/>
      <w:jc w:val="left"/>
    </w:pPr>
    <w:rPr>
      <w:rFonts w:cstheme="minorHAnsi"/>
      <w:b/>
      <w:bCs/>
      <w:caps/>
      <w:sz w:val="20"/>
      <w:szCs w:val="20"/>
    </w:rPr>
  </w:style>
  <w:style w:type="paragraph" w:styleId="TOC2">
    <w:name w:val="toc 2"/>
    <w:basedOn w:val="Normal"/>
    <w:next w:val="Normal"/>
    <w:autoRedefine/>
    <w:uiPriority w:val="39"/>
    <w:unhideWhenUsed/>
    <w:rsid w:val="00D80456"/>
    <w:pPr>
      <w:spacing w:before="0" w:after="0"/>
      <w:ind w:left="220"/>
      <w:jc w:val="left"/>
    </w:pPr>
    <w:rPr>
      <w:rFonts w:cstheme="minorHAnsi"/>
      <w:smallCaps/>
      <w:sz w:val="20"/>
      <w:szCs w:val="20"/>
    </w:rPr>
  </w:style>
  <w:style w:type="paragraph" w:styleId="TOC3">
    <w:name w:val="toc 3"/>
    <w:basedOn w:val="Normal"/>
    <w:next w:val="Normal"/>
    <w:autoRedefine/>
    <w:uiPriority w:val="39"/>
    <w:unhideWhenUsed/>
    <w:rsid w:val="00D80456"/>
    <w:pPr>
      <w:spacing w:before="0" w:after="0"/>
      <w:ind w:left="440"/>
      <w:jc w:val="left"/>
    </w:pPr>
    <w:rPr>
      <w:rFonts w:cstheme="minorHAnsi"/>
      <w:i/>
      <w:iCs/>
      <w:sz w:val="20"/>
      <w:szCs w:val="20"/>
    </w:rPr>
  </w:style>
  <w:style w:type="paragraph" w:styleId="TOC4">
    <w:name w:val="toc 4"/>
    <w:basedOn w:val="Normal"/>
    <w:next w:val="Normal"/>
    <w:autoRedefine/>
    <w:uiPriority w:val="39"/>
    <w:unhideWhenUsed/>
    <w:rsid w:val="00D80456"/>
    <w:pPr>
      <w:spacing w:before="0" w:after="0"/>
      <w:ind w:left="660"/>
      <w:jc w:val="left"/>
    </w:pPr>
    <w:rPr>
      <w:rFonts w:cstheme="minorHAnsi"/>
      <w:sz w:val="18"/>
      <w:szCs w:val="18"/>
    </w:rPr>
  </w:style>
  <w:style w:type="paragraph" w:styleId="TOC5">
    <w:name w:val="toc 5"/>
    <w:basedOn w:val="Normal"/>
    <w:next w:val="Normal"/>
    <w:autoRedefine/>
    <w:uiPriority w:val="39"/>
    <w:unhideWhenUsed/>
    <w:rsid w:val="00D80456"/>
    <w:pPr>
      <w:spacing w:before="0" w:after="0"/>
      <w:ind w:left="880"/>
      <w:jc w:val="left"/>
    </w:pPr>
    <w:rPr>
      <w:rFonts w:cstheme="minorHAnsi"/>
      <w:sz w:val="18"/>
      <w:szCs w:val="18"/>
    </w:rPr>
  </w:style>
  <w:style w:type="paragraph" w:styleId="TOC6">
    <w:name w:val="toc 6"/>
    <w:basedOn w:val="Normal"/>
    <w:next w:val="Normal"/>
    <w:autoRedefine/>
    <w:uiPriority w:val="39"/>
    <w:unhideWhenUsed/>
    <w:rsid w:val="00D80456"/>
    <w:pPr>
      <w:spacing w:before="0" w:after="0"/>
      <w:ind w:left="1100"/>
      <w:jc w:val="left"/>
    </w:pPr>
    <w:rPr>
      <w:rFonts w:cstheme="minorHAnsi"/>
      <w:sz w:val="18"/>
      <w:szCs w:val="18"/>
    </w:rPr>
  </w:style>
  <w:style w:type="paragraph" w:styleId="TOC7">
    <w:name w:val="toc 7"/>
    <w:basedOn w:val="Normal"/>
    <w:next w:val="Normal"/>
    <w:autoRedefine/>
    <w:uiPriority w:val="39"/>
    <w:unhideWhenUsed/>
    <w:rsid w:val="00D80456"/>
    <w:pPr>
      <w:spacing w:before="0" w:after="0"/>
      <w:ind w:left="1320"/>
      <w:jc w:val="left"/>
    </w:pPr>
    <w:rPr>
      <w:rFonts w:cstheme="minorHAnsi"/>
      <w:sz w:val="18"/>
      <w:szCs w:val="18"/>
    </w:rPr>
  </w:style>
  <w:style w:type="paragraph" w:styleId="TOC8">
    <w:name w:val="toc 8"/>
    <w:basedOn w:val="Normal"/>
    <w:next w:val="Normal"/>
    <w:autoRedefine/>
    <w:uiPriority w:val="39"/>
    <w:unhideWhenUsed/>
    <w:rsid w:val="00D80456"/>
    <w:pPr>
      <w:spacing w:before="0" w:after="0"/>
      <w:ind w:left="1540"/>
      <w:jc w:val="left"/>
    </w:pPr>
    <w:rPr>
      <w:rFonts w:cstheme="minorHAnsi"/>
      <w:sz w:val="18"/>
      <w:szCs w:val="18"/>
    </w:rPr>
  </w:style>
  <w:style w:type="paragraph" w:styleId="TOC9">
    <w:name w:val="toc 9"/>
    <w:basedOn w:val="Normal"/>
    <w:next w:val="Normal"/>
    <w:autoRedefine/>
    <w:uiPriority w:val="39"/>
    <w:unhideWhenUsed/>
    <w:rsid w:val="00D80456"/>
    <w:pPr>
      <w:spacing w:before="0" w:after="0"/>
      <w:ind w:left="1760"/>
      <w:jc w:val="left"/>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9904">
      <w:bodyDiv w:val="1"/>
      <w:marLeft w:val="0"/>
      <w:marRight w:val="0"/>
      <w:marTop w:val="0"/>
      <w:marBottom w:val="0"/>
      <w:divBdr>
        <w:top w:val="none" w:sz="0" w:space="0" w:color="auto"/>
        <w:left w:val="none" w:sz="0" w:space="0" w:color="auto"/>
        <w:bottom w:val="none" w:sz="0" w:space="0" w:color="auto"/>
        <w:right w:val="none" w:sz="0" w:space="0" w:color="auto"/>
      </w:divBdr>
    </w:div>
    <w:div w:id="125707855">
      <w:bodyDiv w:val="1"/>
      <w:marLeft w:val="0"/>
      <w:marRight w:val="0"/>
      <w:marTop w:val="0"/>
      <w:marBottom w:val="0"/>
      <w:divBdr>
        <w:top w:val="none" w:sz="0" w:space="0" w:color="auto"/>
        <w:left w:val="none" w:sz="0" w:space="0" w:color="auto"/>
        <w:bottom w:val="none" w:sz="0" w:space="0" w:color="auto"/>
        <w:right w:val="none" w:sz="0" w:space="0" w:color="auto"/>
      </w:divBdr>
    </w:div>
    <w:div w:id="138574542">
      <w:bodyDiv w:val="1"/>
      <w:marLeft w:val="0"/>
      <w:marRight w:val="0"/>
      <w:marTop w:val="0"/>
      <w:marBottom w:val="0"/>
      <w:divBdr>
        <w:top w:val="none" w:sz="0" w:space="0" w:color="auto"/>
        <w:left w:val="none" w:sz="0" w:space="0" w:color="auto"/>
        <w:bottom w:val="none" w:sz="0" w:space="0" w:color="auto"/>
        <w:right w:val="none" w:sz="0" w:space="0" w:color="auto"/>
      </w:divBdr>
    </w:div>
    <w:div w:id="176971047">
      <w:bodyDiv w:val="1"/>
      <w:marLeft w:val="0"/>
      <w:marRight w:val="0"/>
      <w:marTop w:val="0"/>
      <w:marBottom w:val="0"/>
      <w:divBdr>
        <w:top w:val="none" w:sz="0" w:space="0" w:color="auto"/>
        <w:left w:val="none" w:sz="0" w:space="0" w:color="auto"/>
        <w:bottom w:val="none" w:sz="0" w:space="0" w:color="auto"/>
        <w:right w:val="none" w:sz="0" w:space="0" w:color="auto"/>
      </w:divBdr>
    </w:div>
    <w:div w:id="309095660">
      <w:bodyDiv w:val="1"/>
      <w:marLeft w:val="0"/>
      <w:marRight w:val="0"/>
      <w:marTop w:val="0"/>
      <w:marBottom w:val="0"/>
      <w:divBdr>
        <w:top w:val="none" w:sz="0" w:space="0" w:color="auto"/>
        <w:left w:val="none" w:sz="0" w:space="0" w:color="auto"/>
        <w:bottom w:val="none" w:sz="0" w:space="0" w:color="auto"/>
        <w:right w:val="none" w:sz="0" w:space="0" w:color="auto"/>
      </w:divBdr>
    </w:div>
    <w:div w:id="312832941">
      <w:bodyDiv w:val="1"/>
      <w:marLeft w:val="0"/>
      <w:marRight w:val="0"/>
      <w:marTop w:val="0"/>
      <w:marBottom w:val="0"/>
      <w:divBdr>
        <w:top w:val="none" w:sz="0" w:space="0" w:color="auto"/>
        <w:left w:val="none" w:sz="0" w:space="0" w:color="auto"/>
        <w:bottom w:val="none" w:sz="0" w:space="0" w:color="auto"/>
        <w:right w:val="none" w:sz="0" w:space="0" w:color="auto"/>
      </w:divBdr>
    </w:div>
    <w:div w:id="314724428">
      <w:bodyDiv w:val="1"/>
      <w:marLeft w:val="0"/>
      <w:marRight w:val="0"/>
      <w:marTop w:val="0"/>
      <w:marBottom w:val="0"/>
      <w:divBdr>
        <w:top w:val="none" w:sz="0" w:space="0" w:color="auto"/>
        <w:left w:val="none" w:sz="0" w:space="0" w:color="auto"/>
        <w:bottom w:val="none" w:sz="0" w:space="0" w:color="auto"/>
        <w:right w:val="none" w:sz="0" w:space="0" w:color="auto"/>
      </w:divBdr>
    </w:div>
    <w:div w:id="462233822">
      <w:bodyDiv w:val="1"/>
      <w:marLeft w:val="0"/>
      <w:marRight w:val="0"/>
      <w:marTop w:val="0"/>
      <w:marBottom w:val="0"/>
      <w:divBdr>
        <w:top w:val="none" w:sz="0" w:space="0" w:color="auto"/>
        <w:left w:val="none" w:sz="0" w:space="0" w:color="auto"/>
        <w:bottom w:val="none" w:sz="0" w:space="0" w:color="auto"/>
        <w:right w:val="none" w:sz="0" w:space="0" w:color="auto"/>
      </w:divBdr>
    </w:div>
    <w:div w:id="533689528">
      <w:bodyDiv w:val="1"/>
      <w:marLeft w:val="0"/>
      <w:marRight w:val="0"/>
      <w:marTop w:val="0"/>
      <w:marBottom w:val="0"/>
      <w:divBdr>
        <w:top w:val="none" w:sz="0" w:space="0" w:color="auto"/>
        <w:left w:val="none" w:sz="0" w:space="0" w:color="auto"/>
        <w:bottom w:val="none" w:sz="0" w:space="0" w:color="auto"/>
        <w:right w:val="none" w:sz="0" w:space="0" w:color="auto"/>
      </w:divBdr>
    </w:div>
    <w:div w:id="641037624">
      <w:bodyDiv w:val="1"/>
      <w:marLeft w:val="0"/>
      <w:marRight w:val="0"/>
      <w:marTop w:val="0"/>
      <w:marBottom w:val="0"/>
      <w:divBdr>
        <w:top w:val="none" w:sz="0" w:space="0" w:color="auto"/>
        <w:left w:val="none" w:sz="0" w:space="0" w:color="auto"/>
        <w:bottom w:val="none" w:sz="0" w:space="0" w:color="auto"/>
        <w:right w:val="none" w:sz="0" w:space="0" w:color="auto"/>
      </w:divBdr>
    </w:div>
    <w:div w:id="777874533">
      <w:bodyDiv w:val="1"/>
      <w:marLeft w:val="0"/>
      <w:marRight w:val="0"/>
      <w:marTop w:val="0"/>
      <w:marBottom w:val="0"/>
      <w:divBdr>
        <w:top w:val="none" w:sz="0" w:space="0" w:color="auto"/>
        <w:left w:val="none" w:sz="0" w:space="0" w:color="auto"/>
        <w:bottom w:val="none" w:sz="0" w:space="0" w:color="auto"/>
        <w:right w:val="none" w:sz="0" w:space="0" w:color="auto"/>
      </w:divBdr>
    </w:div>
    <w:div w:id="835848883">
      <w:bodyDiv w:val="1"/>
      <w:marLeft w:val="0"/>
      <w:marRight w:val="0"/>
      <w:marTop w:val="0"/>
      <w:marBottom w:val="0"/>
      <w:divBdr>
        <w:top w:val="none" w:sz="0" w:space="0" w:color="auto"/>
        <w:left w:val="none" w:sz="0" w:space="0" w:color="auto"/>
        <w:bottom w:val="none" w:sz="0" w:space="0" w:color="auto"/>
        <w:right w:val="none" w:sz="0" w:space="0" w:color="auto"/>
      </w:divBdr>
    </w:div>
    <w:div w:id="922763747">
      <w:bodyDiv w:val="1"/>
      <w:marLeft w:val="0"/>
      <w:marRight w:val="0"/>
      <w:marTop w:val="0"/>
      <w:marBottom w:val="0"/>
      <w:divBdr>
        <w:top w:val="none" w:sz="0" w:space="0" w:color="auto"/>
        <w:left w:val="none" w:sz="0" w:space="0" w:color="auto"/>
        <w:bottom w:val="none" w:sz="0" w:space="0" w:color="auto"/>
        <w:right w:val="none" w:sz="0" w:space="0" w:color="auto"/>
      </w:divBdr>
    </w:div>
    <w:div w:id="1076511055">
      <w:bodyDiv w:val="1"/>
      <w:marLeft w:val="0"/>
      <w:marRight w:val="0"/>
      <w:marTop w:val="0"/>
      <w:marBottom w:val="0"/>
      <w:divBdr>
        <w:top w:val="none" w:sz="0" w:space="0" w:color="auto"/>
        <w:left w:val="none" w:sz="0" w:space="0" w:color="auto"/>
        <w:bottom w:val="none" w:sz="0" w:space="0" w:color="auto"/>
        <w:right w:val="none" w:sz="0" w:space="0" w:color="auto"/>
      </w:divBdr>
    </w:div>
    <w:div w:id="1124545640">
      <w:bodyDiv w:val="1"/>
      <w:marLeft w:val="0"/>
      <w:marRight w:val="0"/>
      <w:marTop w:val="0"/>
      <w:marBottom w:val="0"/>
      <w:divBdr>
        <w:top w:val="none" w:sz="0" w:space="0" w:color="auto"/>
        <w:left w:val="none" w:sz="0" w:space="0" w:color="auto"/>
        <w:bottom w:val="none" w:sz="0" w:space="0" w:color="auto"/>
        <w:right w:val="none" w:sz="0" w:space="0" w:color="auto"/>
      </w:divBdr>
    </w:div>
    <w:div w:id="1410924664">
      <w:bodyDiv w:val="1"/>
      <w:marLeft w:val="0"/>
      <w:marRight w:val="0"/>
      <w:marTop w:val="0"/>
      <w:marBottom w:val="0"/>
      <w:divBdr>
        <w:top w:val="none" w:sz="0" w:space="0" w:color="auto"/>
        <w:left w:val="none" w:sz="0" w:space="0" w:color="auto"/>
        <w:bottom w:val="none" w:sz="0" w:space="0" w:color="auto"/>
        <w:right w:val="none" w:sz="0" w:space="0" w:color="auto"/>
      </w:divBdr>
    </w:div>
    <w:div w:id="1727291973">
      <w:bodyDiv w:val="1"/>
      <w:marLeft w:val="0"/>
      <w:marRight w:val="0"/>
      <w:marTop w:val="0"/>
      <w:marBottom w:val="0"/>
      <w:divBdr>
        <w:top w:val="none" w:sz="0" w:space="0" w:color="auto"/>
        <w:left w:val="none" w:sz="0" w:space="0" w:color="auto"/>
        <w:bottom w:val="none" w:sz="0" w:space="0" w:color="auto"/>
        <w:right w:val="none" w:sz="0" w:space="0" w:color="auto"/>
      </w:divBdr>
    </w:div>
    <w:div w:id="1833180245">
      <w:bodyDiv w:val="1"/>
      <w:marLeft w:val="0"/>
      <w:marRight w:val="0"/>
      <w:marTop w:val="0"/>
      <w:marBottom w:val="0"/>
      <w:divBdr>
        <w:top w:val="none" w:sz="0" w:space="0" w:color="auto"/>
        <w:left w:val="none" w:sz="0" w:space="0" w:color="auto"/>
        <w:bottom w:val="none" w:sz="0" w:space="0" w:color="auto"/>
        <w:right w:val="none" w:sz="0" w:space="0" w:color="auto"/>
      </w:divBdr>
    </w:div>
    <w:div w:id="1855991117">
      <w:bodyDiv w:val="1"/>
      <w:marLeft w:val="0"/>
      <w:marRight w:val="0"/>
      <w:marTop w:val="0"/>
      <w:marBottom w:val="0"/>
      <w:divBdr>
        <w:top w:val="none" w:sz="0" w:space="0" w:color="auto"/>
        <w:left w:val="none" w:sz="0" w:space="0" w:color="auto"/>
        <w:bottom w:val="none" w:sz="0" w:space="0" w:color="auto"/>
        <w:right w:val="none" w:sz="0" w:space="0" w:color="auto"/>
      </w:divBdr>
    </w:div>
    <w:div w:id="1911766259">
      <w:bodyDiv w:val="1"/>
      <w:marLeft w:val="0"/>
      <w:marRight w:val="0"/>
      <w:marTop w:val="0"/>
      <w:marBottom w:val="0"/>
      <w:divBdr>
        <w:top w:val="none" w:sz="0" w:space="0" w:color="auto"/>
        <w:left w:val="none" w:sz="0" w:space="0" w:color="auto"/>
        <w:bottom w:val="none" w:sz="0" w:space="0" w:color="auto"/>
        <w:right w:val="none" w:sz="0" w:space="0" w:color="auto"/>
      </w:divBdr>
    </w:div>
    <w:div w:id="1933470682">
      <w:bodyDiv w:val="1"/>
      <w:marLeft w:val="0"/>
      <w:marRight w:val="0"/>
      <w:marTop w:val="0"/>
      <w:marBottom w:val="0"/>
      <w:divBdr>
        <w:top w:val="none" w:sz="0" w:space="0" w:color="auto"/>
        <w:left w:val="none" w:sz="0" w:space="0" w:color="auto"/>
        <w:bottom w:val="none" w:sz="0" w:space="0" w:color="auto"/>
        <w:right w:val="none" w:sz="0" w:space="0" w:color="auto"/>
      </w:divBdr>
      <w:divsChild>
        <w:div w:id="1695692470">
          <w:marLeft w:val="0"/>
          <w:marRight w:val="0"/>
          <w:marTop w:val="0"/>
          <w:marBottom w:val="0"/>
          <w:divBdr>
            <w:top w:val="none" w:sz="0" w:space="0" w:color="auto"/>
            <w:left w:val="none" w:sz="0" w:space="0" w:color="auto"/>
            <w:bottom w:val="none" w:sz="0" w:space="0" w:color="auto"/>
            <w:right w:val="none" w:sz="0" w:space="0" w:color="auto"/>
          </w:divBdr>
        </w:div>
      </w:divsChild>
    </w:div>
    <w:div w:id="1933512636">
      <w:bodyDiv w:val="1"/>
      <w:marLeft w:val="0"/>
      <w:marRight w:val="0"/>
      <w:marTop w:val="0"/>
      <w:marBottom w:val="0"/>
      <w:divBdr>
        <w:top w:val="none" w:sz="0" w:space="0" w:color="auto"/>
        <w:left w:val="none" w:sz="0" w:space="0" w:color="auto"/>
        <w:bottom w:val="none" w:sz="0" w:space="0" w:color="auto"/>
        <w:right w:val="none" w:sz="0" w:space="0" w:color="auto"/>
      </w:divBdr>
    </w:div>
    <w:div w:id="1933783929">
      <w:bodyDiv w:val="1"/>
      <w:marLeft w:val="0"/>
      <w:marRight w:val="0"/>
      <w:marTop w:val="0"/>
      <w:marBottom w:val="0"/>
      <w:divBdr>
        <w:top w:val="none" w:sz="0" w:space="0" w:color="auto"/>
        <w:left w:val="none" w:sz="0" w:space="0" w:color="auto"/>
        <w:bottom w:val="none" w:sz="0" w:space="0" w:color="auto"/>
        <w:right w:val="none" w:sz="0" w:space="0" w:color="auto"/>
      </w:divBdr>
    </w:div>
    <w:div w:id="194926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7.png@01D8DD5D.B2A95B10" TargetMode="External"/><Relationship Id="rId18" Type="http://schemas.openxmlformats.org/officeDocument/2006/relationships/hyperlink" Target="https://www.cjf.lu/" TargetMode="External"/><Relationship Id="rId26" Type="http://schemas.openxmlformats.org/officeDocument/2006/relationships/hyperlink" Target="https://ecpat.org/luxembourg-guidelines/" TargetMode="External"/><Relationship Id="rId39" Type="http://schemas.openxmlformats.org/officeDocument/2006/relationships/theme" Target="theme/theme1.xml"/><Relationship Id="rId21" Type="http://schemas.openxmlformats.org/officeDocument/2006/relationships/hyperlink" Target="https://mj.gouvernement.lu/fr/dossiers/2020/lutte-traite-humains.html" TargetMode="External"/><Relationship Id="rId34" Type="http://schemas.openxmlformats.org/officeDocument/2006/relationships/hyperlink" Target="https://digital.gouvernement.lu/fr/publications/document-de-reference/panin-2021.html" TargetMode="External"/><Relationship Id="rId42"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infomann.lu/index.php/infomann-home" TargetMode="External"/><Relationship Id="rId20" Type="http://schemas.openxmlformats.org/officeDocument/2006/relationships/hyperlink" Target="https://www.ltpes.lu/" TargetMode="External"/><Relationship Id="rId29" Type="http://schemas.openxmlformats.org/officeDocument/2006/relationships/hyperlink" Target="http://legilux.public.lu/eli/etat/leg/code/procedure_penale/20201221" TargetMode="External"/><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6.png@01D8DD5D.B2A95B10" TargetMode="External"/><Relationship Id="rId24" Type="http://schemas.openxmlformats.org/officeDocument/2006/relationships/hyperlink" Target="https://stop-csam.lu/" TargetMode="External"/><Relationship Id="rId32" Type="http://schemas.openxmlformats.org/officeDocument/2006/relationships/hyperlink" Target="https://legilux.public.lu/eli/etat/leg/loi/2018/06/27/a587/jo" TargetMode="External"/><Relationship Id="rId37" Type="http://schemas.openxmlformats.org/officeDocument/2006/relationships/footer" Target="footer1.xml"/><Relationship Id="rId40"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madak.lu/" TargetMode="External"/><Relationship Id="rId23" Type="http://schemas.openxmlformats.org/officeDocument/2006/relationships/hyperlink" Target="https://www.youtube.com/c/ECPATLuxembourg" TargetMode="External"/><Relationship Id="rId28" Type="http://schemas.openxmlformats.org/officeDocument/2006/relationships/hyperlink" Target="http://legilux.public.lu/eli/etat/leg/code/penal/20181101" TargetMode="External"/><Relationship Id="rId36" Type="http://schemas.openxmlformats.org/officeDocument/2006/relationships/hyperlink" Target="https://mfamigr.gouvernement.lu/fr/publications/plan-strategie/handicap.html" TargetMode="External"/><Relationship Id="rId10" Type="http://schemas.openxmlformats.org/officeDocument/2006/relationships/image" Target="media/image1.png"/><Relationship Id="rId19" Type="http://schemas.openxmlformats.org/officeDocument/2006/relationships/hyperlink" Target="https://www.croix-rouge.lu/fr/" TargetMode="External"/><Relationship Id="rId31" Type="http://schemas.openxmlformats.org/officeDocument/2006/relationships/image" Target="cid:image001.png@01D8DA1D.6839E100" TargetMode="External"/><Relationship Id="rId4" Type="http://schemas.openxmlformats.org/officeDocument/2006/relationships/settings" Target="settings.xml"/><Relationship Id="rId9" Type="http://schemas.openxmlformats.org/officeDocument/2006/relationships/hyperlink" Target="https://environnement.public.lu/fr/klima-an-energie/opc.html" TargetMode="External"/><Relationship Id="rId14" Type="http://schemas.openxmlformats.org/officeDocument/2006/relationships/hyperlink" Target="https://www.equalpayinternationalcoalition.org/fr/" TargetMode="External"/><Relationship Id="rId22" Type="http://schemas.openxmlformats.org/officeDocument/2006/relationships/hyperlink" Target="https://www.kjt.lu/fr/" TargetMode="External"/><Relationship Id="rId27" Type="http://schemas.openxmlformats.org/officeDocument/2006/relationships/hyperlink" Target="http://legilux.public.lu/eli/etat/leg/code/penal/20200320" TargetMode="External"/><Relationship Id="rId30" Type="http://schemas.openxmlformats.org/officeDocument/2006/relationships/image" Target="media/image3.png"/><Relationship Id="rId35" Type="http://schemas.openxmlformats.org/officeDocument/2006/relationships/hyperlink" Target="https://gouvernement.lu/dam-assets/documents/actualites/2021/10-octobre/05-connecting-tomorrow/Broadband-FR-.pdf" TargetMode="External"/><Relationship Id="rId8" Type="http://schemas.openxmlformats.org/officeDocument/2006/relationships/hyperlink" Target="https://www.klima-biergerrot.lu/"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igd-berlin.de/" TargetMode="External"/><Relationship Id="rId25" Type="http://schemas.openxmlformats.org/officeDocument/2006/relationships/hyperlink" Target="https://www.childprotection.lu/" TargetMode="External"/><Relationship Id="rId33" Type="http://schemas.openxmlformats.org/officeDocument/2006/relationships/hyperlink" Target="https://gouvernement.lu/fr/publications/accord-coalition/2018-2023.html" TargetMode="External"/><Relationship Id="rId38"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femaleboardpool.eu/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311C62-640F-4E77-ADF9-C488BADA3DD9}">
  <ds:schemaRefs>
    <ds:schemaRef ds:uri="http://schemas.openxmlformats.org/officeDocument/2006/bibliography"/>
  </ds:schemaRefs>
</ds:datastoreItem>
</file>

<file path=customXml/itemProps2.xml><?xml version="1.0" encoding="utf-8"?>
<ds:datastoreItem xmlns:ds="http://schemas.openxmlformats.org/officeDocument/2006/customXml" ds:itemID="{F86B2A4C-F1DA-4372-80DE-54520A6C4A0F}"/>
</file>

<file path=customXml/itemProps3.xml><?xml version="1.0" encoding="utf-8"?>
<ds:datastoreItem xmlns:ds="http://schemas.openxmlformats.org/officeDocument/2006/customXml" ds:itemID="{BA0DB373-4022-498B-8884-402253D47B6C}"/>
</file>

<file path=customXml/itemProps4.xml><?xml version="1.0" encoding="utf-8"?>
<ds:datastoreItem xmlns:ds="http://schemas.openxmlformats.org/officeDocument/2006/customXml" ds:itemID="{0E94082A-FD95-4A1C-B61C-CB234B6CAD54}"/>
</file>

<file path=docProps/app.xml><?xml version="1.0" encoding="utf-8"?>
<Properties xmlns="http://schemas.openxmlformats.org/officeDocument/2006/extended-properties" xmlns:vt="http://schemas.openxmlformats.org/officeDocument/2006/docPropsVTypes">
  <Template>Normal.dotm</Template>
  <TotalTime>0</TotalTime>
  <Pages>45</Pages>
  <Words>17953</Words>
  <Characters>98566</Characters>
  <Application>Microsoft Office Word</Application>
  <DocSecurity>0</DocSecurity>
  <Lines>1971</Lines>
  <Paragraphs>1142</Paragraphs>
  <ScaleCrop>false</ScaleCrop>
  <HeadingPairs>
    <vt:vector size="2" baseType="variant">
      <vt:variant>
        <vt:lpstr>Title</vt:lpstr>
      </vt:variant>
      <vt:variant>
        <vt:i4>1</vt:i4>
      </vt:variant>
    </vt:vector>
  </HeadingPairs>
  <TitlesOfParts>
    <vt:vector size="1" baseType="lpstr">
      <vt:lpstr/>
    </vt:vector>
  </TitlesOfParts>
  <Company>CTIE</Company>
  <LinksUpToDate>false</LinksUpToDate>
  <CharactersWithSpaces>115377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Cassandre Renevier</dc:creator>
  <cp:keywords/>
  <dc:description/>
  <cp:lastModifiedBy>Luc Dockendorf</cp:lastModifiedBy>
  <cp:revision>3</cp:revision>
  <dcterms:created xsi:type="dcterms:W3CDTF">2022-10-11T15:53:00Z</dcterms:created>
  <dcterms:modified xsi:type="dcterms:W3CDTF">2022-10-11T15:54:00Z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