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765ABA" w14:textId="77777777" w:rsidR="009B6F0C" w:rsidRDefault="00000000">
      <w:pPr>
        <w:spacing w:before="240" w:after="240"/>
        <w:jc w:val="center"/>
        <w:rPr>
          <w:rFonts w:ascii="Times New Roman" w:eastAsia="Times New Roman" w:hAnsi="Times New Roman" w:cs="Times New Roman"/>
          <w:b/>
          <w:sz w:val="26"/>
          <w:szCs w:val="26"/>
        </w:rPr>
      </w:pPr>
      <w:r>
        <w:rPr>
          <w:rFonts w:ascii="Times New Roman" w:eastAsia="Times New Roman" w:hAnsi="Times New Roman" w:cs="Times New Roman"/>
          <w:b/>
          <w:noProof/>
          <w:sz w:val="26"/>
          <w:szCs w:val="26"/>
        </w:rPr>
        <mc:AlternateContent>
          <mc:Choice Requires="wpg">
            <w:drawing>
              <wp:inline distT="114300" distB="114300" distL="114300" distR="114300" wp14:anchorId="74935996" wp14:editId="53E0C1E8">
                <wp:extent cx="2660850" cy="1067900"/>
                <wp:effectExtent l="0" t="0" r="0" b="0"/>
                <wp:docPr id="1" name="Group 1"/>
                <wp:cNvGraphicFramePr/>
                <a:graphic xmlns:a="http://schemas.openxmlformats.org/drawingml/2006/main">
                  <a:graphicData uri="http://schemas.microsoft.com/office/word/2010/wordprocessingGroup">
                    <wpg:wgp>
                      <wpg:cNvGrpSpPr/>
                      <wpg:grpSpPr>
                        <a:xfrm>
                          <a:off x="0" y="0"/>
                          <a:ext cx="2660850" cy="1067900"/>
                          <a:chOff x="152400" y="152400"/>
                          <a:chExt cx="3057525" cy="1219200"/>
                        </a:xfrm>
                      </wpg:grpSpPr>
                      <pic:pic xmlns:pic="http://schemas.openxmlformats.org/drawingml/2006/picture">
                        <pic:nvPicPr>
                          <pic:cNvPr id="2" name="Shape 2"/>
                          <pic:cNvPicPr preferRelativeResize="0"/>
                        </pic:nvPicPr>
                        <pic:blipFill>
                          <a:blip r:embed="rId7">
                            <a:alphaModFix/>
                          </a:blip>
                          <a:stretch>
                            <a:fillRect/>
                          </a:stretch>
                        </pic:blipFill>
                        <pic:spPr>
                          <a:xfrm>
                            <a:off x="152400" y="152400"/>
                            <a:ext cx="3057525" cy="1219200"/>
                          </a:xfrm>
                          <a:prstGeom prst="rect">
                            <a:avLst/>
                          </a:prstGeom>
                          <a:noFill/>
                          <a:ln>
                            <a:noFill/>
                          </a:ln>
                        </pic:spPr>
                      </pic:pic>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660850" cy="1067900"/>
                <wp:effectExtent b="0" l="0" r="0" t="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660850" cy="1067900"/>
                        </a:xfrm>
                        <a:prstGeom prst="rect"/>
                        <a:ln/>
                      </pic:spPr>
                    </pic:pic>
                  </a:graphicData>
                </a:graphic>
              </wp:inline>
            </w:drawing>
          </mc:Fallback>
        </mc:AlternateContent>
      </w:r>
    </w:p>
    <w:p w14:paraId="3F8357DA" w14:textId="77777777" w:rsidR="009B6F0C" w:rsidRDefault="009B6F0C">
      <w:pPr>
        <w:spacing w:before="240" w:after="240"/>
        <w:jc w:val="center"/>
        <w:rPr>
          <w:rFonts w:ascii="Times New Roman" w:eastAsia="Times New Roman" w:hAnsi="Times New Roman" w:cs="Times New Roman"/>
          <w:b/>
          <w:sz w:val="40"/>
          <w:szCs w:val="40"/>
        </w:rPr>
      </w:pPr>
    </w:p>
    <w:p w14:paraId="2CCE2E92" w14:textId="77777777" w:rsidR="009B6F0C" w:rsidRDefault="00000000">
      <w:pPr>
        <w:spacing w:before="240" w:after="240"/>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List of issues and issues prior to reporting of Kazakhstan for CEDAW’s 93rd Pre-Session and the CEDAW’s 91st session of Pre-sessional Working Group (PSWG)</w:t>
      </w:r>
    </w:p>
    <w:p w14:paraId="7CDD71D9" w14:textId="77777777" w:rsidR="009B6F0C" w:rsidRDefault="009B6F0C">
      <w:pPr>
        <w:spacing w:before="240" w:after="240"/>
        <w:jc w:val="center"/>
        <w:rPr>
          <w:rFonts w:ascii="Times New Roman" w:eastAsia="Times New Roman" w:hAnsi="Times New Roman" w:cs="Times New Roman"/>
          <w:b/>
          <w:sz w:val="40"/>
          <w:szCs w:val="40"/>
        </w:rPr>
      </w:pPr>
    </w:p>
    <w:p w14:paraId="566597BA" w14:textId="77777777" w:rsidR="009B6F0C" w:rsidRDefault="00000000">
      <w:pPr>
        <w:spacing w:before="240" w:after="24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127AAB31" w14:textId="77777777" w:rsidR="009B6F0C"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7062A81" w14:textId="77777777" w:rsidR="009B6F0C"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Submitted for the consideration of the CEDAW on the sixth periodic report by Kazakhstan for the 93rd Pre-Session (2025) of the </w:t>
      </w:r>
      <w:r>
        <w:rPr>
          <w:rFonts w:ascii="Times New Roman" w:eastAsia="Times New Roman" w:hAnsi="Times New Roman" w:cs="Times New Roman"/>
          <w:sz w:val="24"/>
          <w:szCs w:val="24"/>
          <w:highlight w:val="white"/>
        </w:rPr>
        <w:t xml:space="preserve">Committee on the Elimination of Discrimination against Women </w:t>
      </w:r>
      <w:r>
        <w:rPr>
          <w:rFonts w:ascii="Times New Roman" w:eastAsia="Times New Roman" w:hAnsi="Times New Roman" w:cs="Times New Roman"/>
          <w:sz w:val="24"/>
          <w:szCs w:val="24"/>
        </w:rPr>
        <w:t>(CEDAW)</w:t>
      </w:r>
    </w:p>
    <w:p w14:paraId="12995714" w14:textId="77777777" w:rsidR="009B6F0C" w:rsidRDefault="00000000">
      <w:pPr>
        <w:spacing w:before="240" w:after="24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1FAE674B" w14:textId="77777777" w:rsidR="009B6F0C"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May 2025</w:t>
      </w:r>
    </w:p>
    <w:p w14:paraId="00BD7799" w14:textId="77777777" w:rsidR="009B6F0C"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FA1E9C4" w14:textId="77777777" w:rsidR="009B6F0C"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1920576" w14:textId="77777777" w:rsidR="009B6F0C" w:rsidRDefault="009B6F0C">
      <w:pPr>
        <w:spacing w:before="240" w:after="240"/>
        <w:jc w:val="both"/>
        <w:rPr>
          <w:rFonts w:ascii="Times New Roman" w:eastAsia="Times New Roman" w:hAnsi="Times New Roman" w:cs="Times New Roman"/>
          <w:sz w:val="24"/>
          <w:szCs w:val="24"/>
        </w:rPr>
      </w:pPr>
    </w:p>
    <w:p w14:paraId="59E82541" w14:textId="77777777" w:rsidR="009B6F0C" w:rsidRDefault="009B6F0C">
      <w:pPr>
        <w:spacing w:before="240" w:after="240"/>
        <w:jc w:val="both"/>
        <w:rPr>
          <w:rFonts w:ascii="Times New Roman" w:eastAsia="Times New Roman" w:hAnsi="Times New Roman" w:cs="Times New Roman"/>
          <w:sz w:val="24"/>
          <w:szCs w:val="24"/>
        </w:rPr>
      </w:pPr>
    </w:p>
    <w:p w14:paraId="39EA20F5" w14:textId="77777777" w:rsidR="009B6F0C"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FF1CFC" w14:textId="77777777" w:rsidR="009B6F0C"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Kazakhstan Feminist Initiative “Feminita” (“Feminita”) is a grassroots queer-feminist activist group working since 2014 on advancement of LBQT (lesbian, bisexual, queer, transgender) women’s rights, mobilization, monitoring of hate speech, and freedoms.</w:t>
      </w:r>
    </w:p>
    <w:p w14:paraId="0707E26A" w14:textId="77777777" w:rsidR="009B6F0C" w:rsidRDefault="00000000">
      <w:pPr>
        <w:spacing w:before="240" w:after="2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Most of the data presented in the present submission were obtained by the reporting organisation in the course of its research and monitoring activities in Kazakhstan. </w:t>
      </w:r>
    </w:p>
    <w:p w14:paraId="5485C171" w14:textId="77777777" w:rsidR="009B6F0C"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r>
        <w:rPr>
          <w:rFonts w:ascii="Times New Roman" w:eastAsia="Times New Roman" w:hAnsi="Times New Roman" w:cs="Times New Roman"/>
          <w:b/>
          <w:sz w:val="24"/>
          <w:szCs w:val="24"/>
        </w:rPr>
        <w:tab/>
      </w:r>
    </w:p>
    <w:p w14:paraId="2A5AEA16" w14:textId="77777777" w:rsidR="009B6F0C"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7CD32641" w14:textId="77777777" w:rsidR="009B6F0C"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submission was prepared by Kazakhstan Feminist Initiative “Feminita” for the consideration of the UN Committee on the Elimination of Discrimination against Women (CEDAW) as an additional source of information to the sixth periodic report of the Republic of Kazakhstan with some proposed recommendations for the Concluding Observations to be provided to the State party.</w:t>
      </w:r>
      <w:r>
        <w:rPr>
          <w:rFonts w:ascii="Times New Roman" w:eastAsia="Times New Roman" w:hAnsi="Times New Roman" w:cs="Times New Roman"/>
          <w:sz w:val="24"/>
          <w:szCs w:val="24"/>
        </w:rPr>
        <w:tab/>
      </w:r>
    </w:p>
    <w:p w14:paraId="4B6F8AC4" w14:textId="77777777" w:rsidR="009B6F0C"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submission covers the following issues: (1) suggested recommendations for the Concluding Observations; and comments on the </w:t>
      </w:r>
      <w:r>
        <w:rPr>
          <w:rFonts w:ascii="Times New Roman" w:eastAsia="Times New Roman" w:hAnsi="Times New Roman" w:cs="Times New Roman"/>
          <w:color w:val="170A19"/>
          <w:sz w:val="24"/>
          <w:szCs w:val="24"/>
        </w:rPr>
        <w:t>List of issues and questions in relation to the fifth periodic report of Kazakhstan</w:t>
      </w:r>
      <w:r>
        <w:rPr>
          <w:rFonts w:ascii="Times New Roman" w:eastAsia="Times New Roman" w:hAnsi="Times New Roman" w:cs="Times New Roman"/>
          <w:color w:val="170A19"/>
          <w:sz w:val="24"/>
          <w:szCs w:val="24"/>
          <w:vertAlign w:val="superscript"/>
        </w:rPr>
        <w:footnoteReference w:id="1"/>
      </w:r>
      <w:r>
        <w:rPr>
          <w:rFonts w:ascii="Times New Roman" w:eastAsia="Times New Roman" w:hAnsi="Times New Roman" w:cs="Times New Roman"/>
          <w:color w:val="170A19"/>
          <w:sz w:val="24"/>
          <w:szCs w:val="24"/>
        </w:rPr>
        <w:t xml:space="preserve"> on:</w:t>
      </w:r>
      <w:r>
        <w:rPr>
          <w:rFonts w:ascii="Times New Roman" w:eastAsia="Times New Roman" w:hAnsi="Times New Roman" w:cs="Times New Roman"/>
          <w:sz w:val="24"/>
          <w:szCs w:val="24"/>
        </w:rPr>
        <w:t xml:space="preserve"> (2) </w:t>
      </w:r>
      <w:r>
        <w:rPr>
          <w:rFonts w:ascii="Times New Roman" w:eastAsia="Times New Roman" w:hAnsi="Times New Roman" w:cs="Times New Roman"/>
          <w:color w:val="170A19"/>
          <w:sz w:val="24"/>
          <w:szCs w:val="24"/>
        </w:rPr>
        <w:t>Question 7. Stereotypes and harmful practices (under Article 5)</w:t>
      </w:r>
      <w:r>
        <w:rPr>
          <w:rFonts w:ascii="Times New Roman" w:eastAsia="Times New Roman" w:hAnsi="Times New Roman" w:cs="Times New Roman"/>
          <w:sz w:val="24"/>
          <w:szCs w:val="24"/>
        </w:rPr>
        <w:t xml:space="preserve">; (3) </w:t>
      </w:r>
      <w:r>
        <w:rPr>
          <w:rFonts w:ascii="Times New Roman" w:eastAsia="Times New Roman" w:hAnsi="Times New Roman" w:cs="Times New Roman"/>
          <w:color w:val="170A19"/>
          <w:sz w:val="24"/>
          <w:szCs w:val="24"/>
        </w:rPr>
        <w:t>Question 10. Gender based violence against women. Clarification of the reference to “lesbianism” under articles 121, 122, and 123 of the Criminal Code</w:t>
      </w:r>
      <w:r>
        <w:rPr>
          <w:rFonts w:ascii="Times New Roman" w:eastAsia="Times New Roman" w:hAnsi="Times New Roman" w:cs="Times New Roman"/>
          <w:sz w:val="24"/>
          <w:szCs w:val="24"/>
        </w:rPr>
        <w:t xml:space="preserve">; (4) </w:t>
      </w:r>
      <w:r>
        <w:rPr>
          <w:rFonts w:ascii="Times New Roman" w:eastAsia="Times New Roman" w:hAnsi="Times New Roman" w:cs="Times New Roman"/>
          <w:color w:val="170A19"/>
          <w:sz w:val="24"/>
          <w:szCs w:val="24"/>
        </w:rPr>
        <w:t xml:space="preserve">Question 12. Participation in political and public life (under Article 7), including </w:t>
      </w:r>
      <w:r>
        <w:rPr>
          <w:rFonts w:ascii="Times New Roman" w:eastAsia="Times New Roman" w:hAnsi="Times New Roman" w:cs="Times New Roman"/>
          <w:sz w:val="24"/>
          <w:szCs w:val="24"/>
        </w:rPr>
        <w:t>(a) Challenges to registration and operation of civil society organisations (CSOs) advocating for LBQT women’s rights, and (b) Challenges to peaceful assembly of feminist groups advocating for LBQT women’s rights.</w:t>
      </w:r>
      <w:r>
        <w:rPr>
          <w:rFonts w:ascii="Times New Roman" w:eastAsia="Times New Roman" w:hAnsi="Times New Roman" w:cs="Times New Roman"/>
          <w:sz w:val="24"/>
          <w:szCs w:val="24"/>
        </w:rPr>
        <w:tab/>
      </w:r>
    </w:p>
    <w:p w14:paraId="112B647C" w14:textId="77777777" w:rsidR="009B6F0C" w:rsidRDefault="009B6F0C">
      <w:pPr>
        <w:spacing w:after="200" w:line="240" w:lineRule="auto"/>
        <w:jc w:val="both"/>
        <w:rPr>
          <w:rFonts w:ascii="Times New Roman" w:eastAsia="Times New Roman" w:hAnsi="Times New Roman" w:cs="Times New Roman"/>
          <w:sz w:val="24"/>
          <w:szCs w:val="24"/>
        </w:rPr>
      </w:pPr>
    </w:p>
    <w:p w14:paraId="48BAB65F" w14:textId="77777777" w:rsidR="009B6F0C" w:rsidRDefault="00000000">
      <w:pPr>
        <w:spacing w:after="20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tbl>
      <w:tblPr>
        <w:tblStyle w:val="a"/>
        <w:tblW w:w="9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5"/>
        <w:gridCol w:w="7920"/>
        <w:gridCol w:w="690"/>
      </w:tblGrid>
      <w:tr w:rsidR="009B6F0C" w14:paraId="682A4066" w14:textId="77777777">
        <w:trPr>
          <w:trHeight w:val="440"/>
        </w:trPr>
        <w:tc>
          <w:tcPr>
            <w:tcW w:w="435" w:type="dxa"/>
            <w:shd w:val="clear" w:color="auto" w:fill="auto"/>
            <w:tcMar>
              <w:top w:w="100" w:type="dxa"/>
              <w:left w:w="100" w:type="dxa"/>
              <w:bottom w:w="100" w:type="dxa"/>
              <w:right w:w="100" w:type="dxa"/>
            </w:tcMar>
          </w:tcPr>
          <w:p w14:paraId="3DF345BC"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7920" w:type="dxa"/>
            <w:shd w:val="clear" w:color="auto" w:fill="auto"/>
            <w:tcMar>
              <w:top w:w="100" w:type="dxa"/>
              <w:left w:w="100" w:type="dxa"/>
              <w:bottom w:w="100" w:type="dxa"/>
              <w:right w:w="100" w:type="dxa"/>
            </w:tcMar>
          </w:tcPr>
          <w:p w14:paraId="38C7145D" w14:textId="77777777" w:rsidR="009B6F0C" w:rsidRDefault="00000000">
            <w:pPr>
              <w:widowControl w:val="0"/>
              <w:tabs>
                <w:tab w:val="right" w:pos="9637"/>
              </w:tabs>
              <w:spacing w:before="60" w:line="240" w:lineRule="auto"/>
              <w:rPr>
                <w:rFonts w:ascii="Times New Roman" w:eastAsia="Times New Roman" w:hAnsi="Times New Roman" w:cs="Times New Roman"/>
                <w:sz w:val="24"/>
                <w:szCs w:val="24"/>
              </w:rPr>
            </w:pPr>
            <w:hyperlink w:anchor="_37jyonosltv">
              <w:r>
                <w:rPr>
                  <w:rFonts w:ascii="Times New Roman" w:eastAsia="Times New Roman" w:hAnsi="Times New Roman" w:cs="Times New Roman"/>
                  <w:sz w:val="24"/>
                  <w:szCs w:val="24"/>
                </w:rPr>
                <w:t>Suggested recommendations for the Concluding Observations</w:t>
              </w:r>
              <w:r>
                <w:rPr>
                  <w:rFonts w:ascii="Times New Roman" w:eastAsia="Times New Roman" w:hAnsi="Times New Roman" w:cs="Times New Roman"/>
                  <w:sz w:val="24"/>
                  <w:szCs w:val="24"/>
                </w:rPr>
                <w:tab/>
              </w:r>
            </w:hyperlink>
          </w:p>
        </w:tc>
        <w:tc>
          <w:tcPr>
            <w:tcW w:w="690" w:type="dxa"/>
            <w:shd w:val="clear" w:color="auto" w:fill="auto"/>
            <w:tcMar>
              <w:top w:w="100" w:type="dxa"/>
              <w:left w:w="100" w:type="dxa"/>
              <w:bottom w:w="100" w:type="dxa"/>
              <w:right w:w="100" w:type="dxa"/>
            </w:tcMar>
          </w:tcPr>
          <w:p w14:paraId="4865102C"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p.3</w:t>
            </w:r>
          </w:p>
        </w:tc>
      </w:tr>
      <w:tr w:rsidR="009B6F0C" w14:paraId="193FF4F4" w14:textId="77777777">
        <w:trPr>
          <w:trHeight w:val="440"/>
        </w:trPr>
        <w:tc>
          <w:tcPr>
            <w:tcW w:w="435" w:type="dxa"/>
            <w:shd w:val="clear" w:color="auto" w:fill="auto"/>
            <w:tcMar>
              <w:top w:w="100" w:type="dxa"/>
              <w:left w:w="100" w:type="dxa"/>
              <w:bottom w:w="100" w:type="dxa"/>
              <w:right w:w="100" w:type="dxa"/>
            </w:tcMar>
          </w:tcPr>
          <w:p w14:paraId="37F56FC8"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7920" w:type="dxa"/>
            <w:shd w:val="clear" w:color="auto" w:fill="auto"/>
            <w:tcMar>
              <w:top w:w="100" w:type="dxa"/>
              <w:left w:w="100" w:type="dxa"/>
              <w:bottom w:w="100" w:type="dxa"/>
              <w:right w:w="100" w:type="dxa"/>
            </w:tcMar>
          </w:tcPr>
          <w:p w14:paraId="5DCE269E" w14:textId="77777777" w:rsidR="009B6F0C" w:rsidRDefault="00000000">
            <w:pPr>
              <w:widowControl w:val="0"/>
              <w:tabs>
                <w:tab w:val="right" w:pos="9637"/>
              </w:tabs>
              <w:spacing w:before="60" w:line="240" w:lineRule="auto"/>
              <w:rPr>
                <w:rFonts w:ascii="Times New Roman" w:eastAsia="Times New Roman" w:hAnsi="Times New Roman" w:cs="Times New Roman"/>
                <w:sz w:val="24"/>
                <w:szCs w:val="24"/>
              </w:rPr>
            </w:pPr>
            <w:hyperlink w:anchor="_f5ric9caubkj">
              <w:r>
                <w:rPr>
                  <w:rFonts w:ascii="Times New Roman" w:eastAsia="Times New Roman" w:hAnsi="Times New Roman" w:cs="Times New Roman"/>
                  <w:sz w:val="24"/>
                  <w:szCs w:val="24"/>
                </w:rPr>
                <w:t>QUESTION 7. Stereotypes and harmful practices (under Article 5)</w:t>
              </w:r>
              <w:r>
                <w:rPr>
                  <w:rFonts w:ascii="Times New Roman" w:eastAsia="Times New Roman" w:hAnsi="Times New Roman" w:cs="Times New Roman"/>
                  <w:sz w:val="24"/>
                  <w:szCs w:val="24"/>
                </w:rPr>
                <w:tab/>
              </w:r>
            </w:hyperlink>
          </w:p>
        </w:tc>
        <w:tc>
          <w:tcPr>
            <w:tcW w:w="690" w:type="dxa"/>
            <w:shd w:val="clear" w:color="auto" w:fill="auto"/>
            <w:tcMar>
              <w:top w:w="100" w:type="dxa"/>
              <w:left w:w="100" w:type="dxa"/>
              <w:bottom w:w="100" w:type="dxa"/>
              <w:right w:w="100" w:type="dxa"/>
            </w:tcMar>
          </w:tcPr>
          <w:p w14:paraId="48AC68DE"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p.5</w:t>
            </w:r>
          </w:p>
        </w:tc>
      </w:tr>
      <w:tr w:rsidR="009B6F0C" w14:paraId="389E23F7" w14:textId="77777777">
        <w:trPr>
          <w:trHeight w:val="440"/>
        </w:trPr>
        <w:tc>
          <w:tcPr>
            <w:tcW w:w="435" w:type="dxa"/>
            <w:shd w:val="clear" w:color="auto" w:fill="auto"/>
            <w:tcMar>
              <w:top w:w="100" w:type="dxa"/>
              <w:left w:w="100" w:type="dxa"/>
              <w:bottom w:w="100" w:type="dxa"/>
              <w:right w:w="100" w:type="dxa"/>
            </w:tcMar>
          </w:tcPr>
          <w:p w14:paraId="45A4E21F"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920" w:type="dxa"/>
            <w:shd w:val="clear" w:color="auto" w:fill="auto"/>
            <w:tcMar>
              <w:top w:w="100" w:type="dxa"/>
              <w:left w:w="100" w:type="dxa"/>
              <w:bottom w:w="100" w:type="dxa"/>
              <w:right w:w="100" w:type="dxa"/>
            </w:tcMar>
          </w:tcPr>
          <w:p w14:paraId="6183A2EA" w14:textId="77777777" w:rsidR="009B6F0C" w:rsidRDefault="00000000">
            <w:pPr>
              <w:widowControl w:val="0"/>
              <w:tabs>
                <w:tab w:val="right" w:pos="9637"/>
              </w:tabs>
              <w:spacing w:before="60" w:line="240" w:lineRule="auto"/>
              <w:rPr>
                <w:rFonts w:ascii="Times New Roman" w:eastAsia="Times New Roman" w:hAnsi="Times New Roman" w:cs="Times New Roman"/>
                <w:color w:val="170A19"/>
                <w:sz w:val="24"/>
                <w:szCs w:val="24"/>
              </w:rPr>
            </w:pPr>
            <w:hyperlink w:anchor="_7q74zhb7impm">
              <w:r>
                <w:rPr>
                  <w:rFonts w:ascii="Times New Roman" w:eastAsia="Times New Roman" w:hAnsi="Times New Roman" w:cs="Times New Roman"/>
                  <w:sz w:val="24"/>
                  <w:szCs w:val="24"/>
                </w:rPr>
                <w:t>QUESTION 10. Gender based violence against women</w:t>
              </w:r>
              <w:r>
                <w:rPr>
                  <w:rFonts w:ascii="Times New Roman" w:eastAsia="Times New Roman" w:hAnsi="Times New Roman" w:cs="Times New Roman"/>
                  <w:sz w:val="24"/>
                  <w:szCs w:val="24"/>
                </w:rPr>
                <w:tab/>
              </w:r>
            </w:hyperlink>
          </w:p>
        </w:tc>
        <w:tc>
          <w:tcPr>
            <w:tcW w:w="690" w:type="dxa"/>
            <w:shd w:val="clear" w:color="auto" w:fill="auto"/>
            <w:tcMar>
              <w:top w:w="100" w:type="dxa"/>
              <w:left w:w="100" w:type="dxa"/>
              <w:bottom w:w="100" w:type="dxa"/>
              <w:right w:w="100" w:type="dxa"/>
            </w:tcMar>
          </w:tcPr>
          <w:p w14:paraId="120DDB2E"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p.5</w:t>
            </w:r>
          </w:p>
        </w:tc>
      </w:tr>
      <w:tr w:rsidR="009B6F0C" w14:paraId="5C327004" w14:textId="77777777">
        <w:trPr>
          <w:trHeight w:val="440"/>
        </w:trPr>
        <w:tc>
          <w:tcPr>
            <w:tcW w:w="435" w:type="dxa"/>
            <w:vMerge w:val="restart"/>
            <w:shd w:val="clear" w:color="auto" w:fill="auto"/>
            <w:tcMar>
              <w:top w:w="100" w:type="dxa"/>
              <w:left w:w="100" w:type="dxa"/>
              <w:bottom w:w="100" w:type="dxa"/>
              <w:right w:w="100" w:type="dxa"/>
            </w:tcMar>
          </w:tcPr>
          <w:p w14:paraId="25D693AC"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7920" w:type="dxa"/>
            <w:shd w:val="clear" w:color="auto" w:fill="auto"/>
            <w:tcMar>
              <w:top w:w="100" w:type="dxa"/>
              <w:left w:w="100" w:type="dxa"/>
              <w:bottom w:w="100" w:type="dxa"/>
              <w:right w:w="100" w:type="dxa"/>
            </w:tcMar>
          </w:tcPr>
          <w:p w14:paraId="33EBF844" w14:textId="77777777" w:rsidR="009B6F0C" w:rsidRDefault="00000000">
            <w:pPr>
              <w:widowControl w:val="0"/>
              <w:tabs>
                <w:tab w:val="right" w:pos="9637"/>
              </w:tabs>
              <w:spacing w:before="60" w:line="240" w:lineRule="auto"/>
              <w:rPr>
                <w:rFonts w:ascii="Times New Roman" w:eastAsia="Times New Roman" w:hAnsi="Times New Roman" w:cs="Times New Roman"/>
                <w:sz w:val="24"/>
                <w:szCs w:val="24"/>
              </w:rPr>
            </w:pPr>
            <w:hyperlink w:anchor="_sjky73dtv76c">
              <w:r>
                <w:rPr>
                  <w:rFonts w:ascii="Times New Roman" w:eastAsia="Times New Roman" w:hAnsi="Times New Roman" w:cs="Times New Roman"/>
                </w:rPr>
                <w:t>QUESTION 12. Participation in political and public life (under Article 7)</w:t>
              </w:r>
            </w:hyperlink>
          </w:p>
        </w:tc>
        <w:tc>
          <w:tcPr>
            <w:tcW w:w="690" w:type="dxa"/>
            <w:shd w:val="clear" w:color="auto" w:fill="auto"/>
            <w:tcMar>
              <w:top w:w="100" w:type="dxa"/>
              <w:left w:w="100" w:type="dxa"/>
              <w:bottom w:w="100" w:type="dxa"/>
              <w:right w:w="100" w:type="dxa"/>
            </w:tcMar>
          </w:tcPr>
          <w:p w14:paraId="7EA006D1"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p.7</w:t>
            </w:r>
          </w:p>
        </w:tc>
      </w:tr>
      <w:tr w:rsidR="009B6F0C" w14:paraId="52A7504E" w14:textId="77777777">
        <w:trPr>
          <w:trHeight w:val="440"/>
        </w:trPr>
        <w:tc>
          <w:tcPr>
            <w:tcW w:w="435" w:type="dxa"/>
            <w:vMerge/>
            <w:shd w:val="clear" w:color="auto" w:fill="auto"/>
            <w:tcMar>
              <w:top w:w="100" w:type="dxa"/>
              <w:left w:w="100" w:type="dxa"/>
              <w:bottom w:w="100" w:type="dxa"/>
              <w:right w:w="100" w:type="dxa"/>
            </w:tcMar>
          </w:tcPr>
          <w:p w14:paraId="16003F78" w14:textId="77777777" w:rsidR="009B6F0C" w:rsidRDefault="009B6F0C">
            <w:pPr>
              <w:widowControl w:val="0"/>
              <w:rPr>
                <w:rFonts w:ascii="Times New Roman" w:eastAsia="Times New Roman" w:hAnsi="Times New Roman" w:cs="Times New Roman"/>
                <w:sz w:val="24"/>
                <w:szCs w:val="24"/>
              </w:rPr>
            </w:pPr>
          </w:p>
        </w:tc>
        <w:tc>
          <w:tcPr>
            <w:tcW w:w="7920" w:type="dxa"/>
            <w:shd w:val="clear" w:color="auto" w:fill="auto"/>
            <w:tcMar>
              <w:top w:w="100" w:type="dxa"/>
              <w:left w:w="100" w:type="dxa"/>
              <w:bottom w:w="100" w:type="dxa"/>
              <w:right w:w="100" w:type="dxa"/>
            </w:tcMar>
          </w:tcPr>
          <w:p w14:paraId="228F954B" w14:textId="77777777" w:rsidR="009B6F0C" w:rsidRDefault="00000000">
            <w:pPr>
              <w:widowControl w:val="0"/>
              <w:tabs>
                <w:tab w:val="right" w:pos="9637"/>
              </w:tabs>
              <w:spacing w:before="60" w:line="240" w:lineRule="auto"/>
              <w:rPr>
                <w:rFonts w:ascii="Times New Roman" w:eastAsia="Times New Roman" w:hAnsi="Times New Roman" w:cs="Times New Roman"/>
                <w:color w:val="170A19"/>
                <w:sz w:val="24"/>
                <w:szCs w:val="24"/>
              </w:rPr>
            </w:pPr>
            <w:hyperlink w:anchor="_gnii3gfpfvon">
              <w:r>
                <w:rPr>
                  <w:rFonts w:ascii="Times New Roman" w:eastAsia="Times New Roman" w:hAnsi="Times New Roman" w:cs="Times New Roman"/>
                </w:rPr>
                <w:t>(a) Challenges to registration and operation of CSOs advocating for LBQT women’s rights</w:t>
              </w:r>
            </w:hyperlink>
          </w:p>
        </w:tc>
        <w:tc>
          <w:tcPr>
            <w:tcW w:w="690" w:type="dxa"/>
            <w:shd w:val="clear" w:color="auto" w:fill="auto"/>
            <w:tcMar>
              <w:top w:w="100" w:type="dxa"/>
              <w:left w:w="100" w:type="dxa"/>
              <w:bottom w:w="100" w:type="dxa"/>
              <w:right w:w="100" w:type="dxa"/>
            </w:tcMar>
          </w:tcPr>
          <w:p w14:paraId="795F28A6"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p.7</w:t>
            </w:r>
          </w:p>
        </w:tc>
      </w:tr>
      <w:tr w:rsidR="009B6F0C" w14:paraId="1A62F264" w14:textId="77777777">
        <w:trPr>
          <w:trHeight w:val="440"/>
        </w:trPr>
        <w:tc>
          <w:tcPr>
            <w:tcW w:w="435" w:type="dxa"/>
            <w:vMerge/>
            <w:shd w:val="clear" w:color="auto" w:fill="auto"/>
            <w:tcMar>
              <w:top w:w="100" w:type="dxa"/>
              <w:left w:w="100" w:type="dxa"/>
              <w:bottom w:w="100" w:type="dxa"/>
              <w:right w:w="100" w:type="dxa"/>
            </w:tcMar>
          </w:tcPr>
          <w:p w14:paraId="77C09EAB" w14:textId="77777777" w:rsidR="009B6F0C" w:rsidRDefault="009B6F0C">
            <w:pPr>
              <w:widowControl w:val="0"/>
              <w:rPr>
                <w:rFonts w:ascii="Times New Roman" w:eastAsia="Times New Roman" w:hAnsi="Times New Roman" w:cs="Times New Roman"/>
                <w:sz w:val="24"/>
                <w:szCs w:val="24"/>
              </w:rPr>
            </w:pPr>
          </w:p>
        </w:tc>
        <w:tc>
          <w:tcPr>
            <w:tcW w:w="7920" w:type="dxa"/>
            <w:shd w:val="clear" w:color="auto" w:fill="auto"/>
            <w:tcMar>
              <w:top w:w="100" w:type="dxa"/>
              <w:left w:w="100" w:type="dxa"/>
              <w:bottom w:w="100" w:type="dxa"/>
              <w:right w:w="100" w:type="dxa"/>
            </w:tcMar>
          </w:tcPr>
          <w:p w14:paraId="3393FA43" w14:textId="77777777" w:rsidR="009B6F0C" w:rsidRDefault="00000000">
            <w:pPr>
              <w:widowControl w:val="0"/>
              <w:tabs>
                <w:tab w:val="right" w:pos="9637"/>
              </w:tabs>
              <w:spacing w:before="60" w:line="240" w:lineRule="auto"/>
              <w:rPr>
                <w:rFonts w:ascii="Times New Roman" w:eastAsia="Times New Roman" w:hAnsi="Times New Roman" w:cs="Times New Roman"/>
                <w:color w:val="170A19"/>
                <w:sz w:val="24"/>
                <w:szCs w:val="24"/>
              </w:rPr>
            </w:pPr>
            <w:hyperlink w:anchor="_5cngsnoq4qmm">
              <w:r>
                <w:rPr>
                  <w:rFonts w:ascii="Times New Roman" w:eastAsia="Times New Roman" w:hAnsi="Times New Roman" w:cs="Times New Roman"/>
                </w:rPr>
                <w:t>(b) Challenges to peaceful assembly of feminist groups advocating for LBQT women’s rights</w:t>
              </w:r>
            </w:hyperlink>
          </w:p>
        </w:tc>
        <w:tc>
          <w:tcPr>
            <w:tcW w:w="690" w:type="dxa"/>
            <w:shd w:val="clear" w:color="auto" w:fill="auto"/>
            <w:tcMar>
              <w:top w:w="100" w:type="dxa"/>
              <w:left w:w="100" w:type="dxa"/>
              <w:bottom w:w="100" w:type="dxa"/>
              <w:right w:w="100" w:type="dxa"/>
            </w:tcMar>
          </w:tcPr>
          <w:p w14:paraId="4EF4A4CB" w14:textId="77777777" w:rsidR="009B6F0C"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p.8</w:t>
            </w:r>
          </w:p>
        </w:tc>
      </w:tr>
    </w:tbl>
    <w:p w14:paraId="60F9965B" w14:textId="77777777" w:rsidR="009B6F0C" w:rsidRDefault="009B6F0C">
      <w:pPr>
        <w:spacing w:line="240" w:lineRule="auto"/>
        <w:ind w:left="360"/>
        <w:jc w:val="both"/>
        <w:rPr>
          <w:rFonts w:ascii="Times New Roman" w:eastAsia="Times New Roman" w:hAnsi="Times New Roman" w:cs="Times New Roman"/>
          <w:sz w:val="24"/>
          <w:szCs w:val="24"/>
        </w:rPr>
      </w:pPr>
    </w:p>
    <w:p w14:paraId="620A0B74" w14:textId="77777777" w:rsidR="009B6F0C" w:rsidRDefault="009B6F0C">
      <w:pPr>
        <w:jc w:val="both"/>
        <w:rPr>
          <w:rFonts w:ascii="Times New Roman" w:eastAsia="Times New Roman" w:hAnsi="Times New Roman" w:cs="Times New Roman"/>
          <w:sz w:val="28"/>
          <w:szCs w:val="28"/>
        </w:rPr>
      </w:pPr>
    </w:p>
    <w:p w14:paraId="36665EA5" w14:textId="77777777" w:rsidR="009B6F0C" w:rsidRDefault="00000000">
      <w:pPr>
        <w:jc w:val="both"/>
        <w:rPr>
          <w:rFonts w:ascii="Times New Roman" w:eastAsia="Times New Roman" w:hAnsi="Times New Roman" w:cs="Times New Roman"/>
          <w:sz w:val="28"/>
          <w:szCs w:val="28"/>
        </w:rPr>
      </w:pPr>
      <w:r>
        <w:br w:type="page"/>
      </w:r>
    </w:p>
    <w:p w14:paraId="1049C34D" w14:textId="77777777" w:rsidR="009B6F0C" w:rsidRDefault="00000000">
      <w:pPr>
        <w:pStyle w:val="Heading1"/>
        <w:spacing w:after="200"/>
        <w:jc w:val="both"/>
        <w:rPr>
          <w:rFonts w:ascii="Times New Roman" w:eastAsia="Times New Roman" w:hAnsi="Times New Roman" w:cs="Times New Roman"/>
          <w:b/>
          <w:sz w:val="24"/>
          <w:szCs w:val="24"/>
        </w:rPr>
      </w:pPr>
      <w:bookmarkStart w:id="0" w:name="_37jyonosltv" w:colFirst="0" w:colLast="0"/>
      <w:bookmarkEnd w:id="0"/>
      <w:r>
        <w:rPr>
          <w:rFonts w:ascii="Times New Roman" w:eastAsia="Times New Roman" w:hAnsi="Times New Roman" w:cs="Times New Roman"/>
          <w:b/>
          <w:sz w:val="24"/>
          <w:szCs w:val="24"/>
        </w:rPr>
        <w:lastRenderedPageBreak/>
        <w:t>Suggested recommendations for the Concluding Observations</w:t>
      </w:r>
    </w:p>
    <w:p w14:paraId="78D60EE7"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w:t>
      </w:r>
      <w:r>
        <w:rPr>
          <w:rFonts w:ascii="Times New Roman" w:eastAsia="Times New Roman" w:hAnsi="Times New Roman" w:cs="Times New Roman"/>
          <w:b/>
          <w:sz w:val="24"/>
          <w:szCs w:val="24"/>
        </w:rPr>
        <w:t>adopt comprehensive anti-discrimination legislation</w:t>
      </w:r>
      <w:r>
        <w:rPr>
          <w:rFonts w:ascii="Times New Roman" w:eastAsia="Times New Roman" w:hAnsi="Times New Roman" w:cs="Times New Roman"/>
          <w:sz w:val="24"/>
          <w:szCs w:val="24"/>
        </w:rPr>
        <w:t xml:space="preserve"> based on best practices that addresses direct and indirect discrimination and encompasses all the prohibited grounds of discrimination, including sexual orientation and gender identity.  </w:t>
      </w:r>
    </w:p>
    <w:p w14:paraId="47069B05"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review and </w:t>
      </w:r>
      <w:r>
        <w:rPr>
          <w:rFonts w:ascii="Times New Roman" w:eastAsia="Times New Roman" w:hAnsi="Times New Roman" w:cs="Times New Roman"/>
          <w:b/>
          <w:sz w:val="24"/>
          <w:szCs w:val="24"/>
        </w:rPr>
        <w:t>repeal all discriminatory provisions on the grounds of SOGI from the national legislation</w:t>
      </w:r>
      <w:r>
        <w:rPr>
          <w:rFonts w:ascii="Times New Roman" w:eastAsia="Times New Roman" w:hAnsi="Times New Roman" w:cs="Times New Roman"/>
          <w:sz w:val="24"/>
          <w:szCs w:val="24"/>
        </w:rPr>
        <w:t xml:space="preserve">, including provisions on “sodomy” and “lesbianism” in Articles 121, 122, 123 of the Criminal Code </w:t>
      </w:r>
      <w:r>
        <w:rPr>
          <w:rFonts w:ascii="Times New Roman" w:eastAsia="Times New Roman" w:hAnsi="Times New Roman" w:cs="Times New Roman"/>
          <w:i/>
          <w:sz w:val="24"/>
          <w:szCs w:val="24"/>
        </w:rPr>
        <w:t>(please see the section on Question 10 on pp.5-6 of this report)</w:t>
      </w:r>
      <w:r>
        <w:rPr>
          <w:rFonts w:ascii="Times New Roman" w:eastAsia="Times New Roman" w:hAnsi="Times New Roman" w:cs="Times New Roman"/>
          <w:sz w:val="24"/>
          <w:szCs w:val="24"/>
        </w:rPr>
        <w:t>.</w:t>
      </w:r>
    </w:p>
    <w:p w14:paraId="6375E642"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should take the necessary legislative, administrative and other measures to guarantee respect for the autonomy and physical and psychological integrity of transgender people, including by</w:t>
      </w:r>
      <w:r>
        <w:rPr>
          <w:rFonts w:ascii="Times New Roman" w:eastAsia="Times New Roman" w:hAnsi="Times New Roman" w:cs="Times New Roman"/>
          <w:b/>
          <w:sz w:val="24"/>
          <w:szCs w:val="24"/>
        </w:rPr>
        <w:t xml:space="preserve"> repealing</w:t>
      </w:r>
      <w:r>
        <w:rPr>
          <w:rFonts w:ascii="Times New Roman" w:eastAsia="Times New Roman" w:hAnsi="Times New Roman" w:cs="Times New Roman"/>
          <w:sz w:val="24"/>
          <w:szCs w:val="24"/>
        </w:rPr>
        <w:t xml:space="preserve"> all provisions on </w:t>
      </w:r>
      <w:r>
        <w:rPr>
          <w:rFonts w:ascii="Times New Roman" w:eastAsia="Times New Roman" w:hAnsi="Times New Roman" w:cs="Times New Roman"/>
          <w:b/>
          <w:sz w:val="24"/>
          <w:szCs w:val="24"/>
        </w:rPr>
        <w:t>sex reassignment and coerced sterilisation surgeries from the list of requirements for legal gender recognition</w:t>
      </w:r>
      <w:r>
        <w:rPr>
          <w:rFonts w:ascii="Times New Roman" w:eastAsia="Times New Roman" w:hAnsi="Times New Roman" w:cs="Times New Roman"/>
          <w:sz w:val="24"/>
          <w:szCs w:val="24"/>
        </w:rPr>
        <w:t>, i.e. changing the last, first and patronymic names and the gender marker by transgender people, in particular from Article 257, Subsection 13 of the Family Code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w:t>
      </w:r>
    </w:p>
    <w:p w14:paraId="3D0F4AD8"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w:t>
      </w:r>
      <w:r>
        <w:rPr>
          <w:rFonts w:ascii="Times New Roman" w:eastAsia="Times New Roman" w:hAnsi="Times New Roman" w:cs="Times New Roman"/>
          <w:b/>
          <w:sz w:val="24"/>
          <w:szCs w:val="24"/>
        </w:rPr>
        <w:t>guarantee an enabling environment for civil society organisations (CSOs) and human rights defenders (HRDs)</w:t>
      </w:r>
      <w:r>
        <w:rPr>
          <w:rFonts w:ascii="Times New Roman" w:eastAsia="Times New Roman" w:hAnsi="Times New Roman" w:cs="Times New Roman"/>
          <w:sz w:val="24"/>
          <w:szCs w:val="24"/>
        </w:rPr>
        <w:t xml:space="preserve"> engaged in the advocacy and protection of the LBQT women’s rights, including by ensuring a functional and accommodating registration procedure </w:t>
      </w:r>
      <w:r>
        <w:rPr>
          <w:rFonts w:ascii="Times New Roman" w:eastAsia="Times New Roman" w:hAnsi="Times New Roman" w:cs="Times New Roman"/>
          <w:i/>
          <w:sz w:val="24"/>
          <w:szCs w:val="24"/>
        </w:rPr>
        <w:t>(please see the section on Question 12 on pp.7-9 of this report)</w:t>
      </w:r>
      <w:r>
        <w:rPr>
          <w:rFonts w:ascii="Times New Roman" w:eastAsia="Times New Roman" w:hAnsi="Times New Roman" w:cs="Times New Roman"/>
          <w:sz w:val="24"/>
          <w:szCs w:val="24"/>
        </w:rPr>
        <w:t>.</w:t>
      </w:r>
    </w:p>
    <w:p w14:paraId="0EB70448"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should guarantee the right to</w:t>
      </w:r>
      <w:r>
        <w:rPr>
          <w:rFonts w:ascii="Times New Roman" w:eastAsia="Times New Roman" w:hAnsi="Times New Roman" w:cs="Times New Roman"/>
          <w:b/>
          <w:sz w:val="24"/>
          <w:szCs w:val="24"/>
        </w:rPr>
        <w:t xml:space="preserve"> freedom of assembly of feminist and LBQT rights groups</w:t>
      </w:r>
      <w:r>
        <w:rPr>
          <w:rFonts w:ascii="Times New Roman" w:eastAsia="Times New Roman" w:hAnsi="Times New Roman" w:cs="Times New Roman"/>
          <w:sz w:val="24"/>
          <w:szCs w:val="24"/>
        </w:rPr>
        <w:t xml:space="preserve"> by allowing them to hold peaceful assemblies and women’s marches in practice </w:t>
      </w:r>
      <w:r>
        <w:rPr>
          <w:rFonts w:ascii="Times New Roman" w:eastAsia="Times New Roman" w:hAnsi="Times New Roman" w:cs="Times New Roman"/>
          <w:b/>
          <w:sz w:val="24"/>
          <w:szCs w:val="24"/>
        </w:rPr>
        <w:t>without discrimination on the basis of SOGI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(please see the section on Question 12 (b) on pp.8-9 of this report)</w:t>
      </w:r>
      <w:r>
        <w:rPr>
          <w:rFonts w:ascii="Times New Roman" w:eastAsia="Times New Roman" w:hAnsi="Times New Roman" w:cs="Times New Roman"/>
          <w:sz w:val="24"/>
          <w:szCs w:val="24"/>
        </w:rPr>
        <w:t>.</w:t>
      </w:r>
    </w:p>
    <w:p w14:paraId="1E2C0065"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w:t>
      </w:r>
      <w:r>
        <w:rPr>
          <w:rFonts w:ascii="Times New Roman" w:eastAsia="Times New Roman" w:hAnsi="Times New Roman" w:cs="Times New Roman"/>
          <w:b/>
          <w:sz w:val="24"/>
          <w:szCs w:val="24"/>
        </w:rPr>
        <w:t>withdraw from any future attempt to adopt and (or) reintroduce legislation banning so-called “propaganda of non-traditional sexual orientation”</w:t>
      </w:r>
      <w:r>
        <w:rPr>
          <w:rFonts w:ascii="Times New Roman" w:eastAsia="Times New Roman" w:hAnsi="Times New Roman" w:cs="Times New Roman"/>
          <w:sz w:val="24"/>
          <w:szCs w:val="24"/>
        </w:rPr>
        <w:t xml:space="preserve"> which impede the right to freedom of expression of LBQT women and rights groups.</w:t>
      </w:r>
    </w:p>
    <w:p w14:paraId="1917EC0D"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should take all the necessary steps to (1)</w:t>
      </w:r>
      <w:r>
        <w:rPr>
          <w:rFonts w:ascii="Times New Roman" w:eastAsia="Times New Roman" w:hAnsi="Times New Roman" w:cs="Times New Roman"/>
          <w:b/>
          <w:sz w:val="24"/>
          <w:szCs w:val="24"/>
        </w:rPr>
        <w:t xml:space="preserve"> prevent and combat hate crimes on the basis of SOGI</w:t>
      </w:r>
      <w:r>
        <w:rPr>
          <w:rFonts w:ascii="Times New Roman" w:eastAsia="Times New Roman" w:hAnsi="Times New Roman" w:cs="Times New Roman"/>
          <w:sz w:val="24"/>
          <w:szCs w:val="24"/>
        </w:rPr>
        <w:t>, (2) enact tailored legal protections of LBQT women against attacks and harassment, and (3) ensure their equal access to justice and effective remedy.</w:t>
      </w:r>
    </w:p>
    <w:p w14:paraId="45C75B88"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(1) </w:t>
      </w:r>
      <w:r>
        <w:rPr>
          <w:rFonts w:ascii="Times New Roman" w:eastAsia="Times New Roman" w:hAnsi="Times New Roman" w:cs="Times New Roman"/>
          <w:b/>
          <w:sz w:val="24"/>
          <w:szCs w:val="24"/>
        </w:rPr>
        <w:t>criminalise all forms domestic violence</w:t>
      </w:r>
      <w:r>
        <w:rPr>
          <w:rFonts w:ascii="Times New Roman" w:eastAsia="Times New Roman" w:hAnsi="Times New Roman" w:cs="Times New Roman"/>
          <w:sz w:val="24"/>
          <w:szCs w:val="24"/>
        </w:rPr>
        <w:t xml:space="preserve">, (2) </w:t>
      </w:r>
      <w:r>
        <w:rPr>
          <w:rFonts w:ascii="Times New Roman" w:eastAsia="Times New Roman" w:hAnsi="Times New Roman" w:cs="Times New Roman"/>
          <w:b/>
          <w:sz w:val="24"/>
          <w:szCs w:val="24"/>
        </w:rPr>
        <w:t>introduce a mechanism of protective orders</w:t>
      </w:r>
      <w:r>
        <w:rPr>
          <w:rFonts w:ascii="Times New Roman" w:eastAsia="Times New Roman" w:hAnsi="Times New Roman" w:cs="Times New Roman"/>
          <w:sz w:val="24"/>
          <w:szCs w:val="24"/>
        </w:rPr>
        <w:t xml:space="preserve">, (3) </w:t>
      </w:r>
      <w:r>
        <w:rPr>
          <w:rFonts w:ascii="Times New Roman" w:eastAsia="Times New Roman" w:hAnsi="Times New Roman" w:cs="Times New Roman"/>
          <w:b/>
          <w:sz w:val="24"/>
          <w:szCs w:val="24"/>
        </w:rPr>
        <w:t>classify all gender-based violence crimes as crimes of public accusation</w:t>
      </w:r>
      <w:r>
        <w:rPr>
          <w:rFonts w:ascii="Times New Roman" w:eastAsia="Times New Roman" w:hAnsi="Times New Roman" w:cs="Times New Roman"/>
          <w:sz w:val="24"/>
          <w:szCs w:val="24"/>
        </w:rPr>
        <w:t xml:space="preserve">, and (4) </w:t>
      </w:r>
      <w:r>
        <w:rPr>
          <w:rFonts w:ascii="Times New Roman" w:eastAsia="Times New Roman" w:hAnsi="Times New Roman" w:cs="Times New Roman"/>
          <w:b/>
          <w:sz w:val="24"/>
          <w:szCs w:val="24"/>
        </w:rPr>
        <w:t>remove the provisions which require prosecutions to end or relieve individuals of responsibility for rape</w:t>
      </w:r>
      <w:r>
        <w:rPr>
          <w:rFonts w:ascii="Times New Roman" w:eastAsia="Times New Roman" w:hAnsi="Times New Roman" w:cs="Times New Roman"/>
          <w:sz w:val="24"/>
          <w:szCs w:val="24"/>
        </w:rPr>
        <w:t xml:space="preserve"> or any other form of gender based violence on grounds of reconciliation.</w:t>
      </w:r>
    </w:p>
    <w:p w14:paraId="0C0F3BB6"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adopt a Gender Equality Strategy with a temporary special measure of </w:t>
      </w:r>
      <w:r>
        <w:rPr>
          <w:rFonts w:ascii="Times New Roman" w:eastAsia="Times New Roman" w:hAnsi="Times New Roman" w:cs="Times New Roman"/>
          <w:b/>
          <w:sz w:val="24"/>
          <w:szCs w:val="24"/>
        </w:rPr>
        <w:t>50% for female candidates in elections for local councils and in the lower chamber of Parliament</w:t>
      </w:r>
      <w:r>
        <w:rPr>
          <w:rFonts w:ascii="Times New Roman" w:eastAsia="Times New Roman" w:hAnsi="Times New Roman" w:cs="Times New Roman"/>
          <w:sz w:val="24"/>
          <w:szCs w:val="24"/>
        </w:rPr>
        <w:t xml:space="preserve"> until 2030, separate from young candidates and candidates with disabilities and any other social groups. </w:t>
      </w:r>
    </w:p>
    <w:p w14:paraId="3F727DA6"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State party should adopt a Gender Equality Strategy with a temporary special measure of </w:t>
      </w:r>
      <w:r>
        <w:rPr>
          <w:rFonts w:ascii="Times New Roman" w:eastAsia="Times New Roman" w:hAnsi="Times New Roman" w:cs="Times New Roman"/>
          <w:b/>
          <w:sz w:val="24"/>
          <w:szCs w:val="24"/>
        </w:rPr>
        <w:t>50% for female candidates in elections</w:t>
      </w:r>
      <w:r>
        <w:rPr>
          <w:rFonts w:ascii="Times New Roman" w:eastAsia="Times New Roman" w:hAnsi="Times New Roman" w:cs="Times New Roman"/>
          <w:sz w:val="24"/>
          <w:szCs w:val="24"/>
        </w:rPr>
        <w:t xml:space="preserve"> or appointments by the president for mayors (akims) and ministers until 2030. </w:t>
      </w:r>
    </w:p>
    <w:p w14:paraId="264B1C8D"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an article to the Law on equal opportunities for women and men a requirement to adopt a plan every 4 year, determine methods and measures for the promotion of a more </w:t>
      </w:r>
      <w:r>
        <w:rPr>
          <w:rFonts w:ascii="Times New Roman" w:eastAsia="Times New Roman" w:hAnsi="Times New Roman" w:cs="Times New Roman"/>
          <w:b/>
          <w:sz w:val="24"/>
          <w:szCs w:val="24"/>
        </w:rPr>
        <w:t>balanced representation of women and men within bodies of the party</w:t>
      </w:r>
      <w:r>
        <w:rPr>
          <w:rFonts w:ascii="Times New Roman" w:eastAsia="Times New Roman" w:hAnsi="Times New Roman" w:cs="Times New Roman"/>
          <w:sz w:val="24"/>
          <w:szCs w:val="24"/>
        </w:rPr>
        <w:t xml:space="preserve">, on candidate list for elections to bodies of local councils (maslikhats), lower (Mazhilis) and higher (Senate) chambers of Parliament as well as for the elections of the President of the Republic. </w:t>
      </w:r>
    </w:p>
    <w:p w14:paraId="2A931F7F"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Immediately cease political persecutions and drop all criminal charges against women's rights activist and leader of the Nemolchi movement D. T. </w:t>
      </w:r>
      <w:r>
        <w:rPr>
          <w:rFonts w:ascii="Times New Roman" w:eastAsia="Times New Roman" w:hAnsi="Times New Roman" w:cs="Times New Roman"/>
          <w:i/>
          <w:sz w:val="24"/>
          <w:szCs w:val="24"/>
        </w:rPr>
        <w:t>(please see the section on Question 10 on p.6 of this report)</w:t>
      </w:r>
      <w:r>
        <w:rPr>
          <w:rFonts w:ascii="Times New Roman" w:eastAsia="Times New Roman" w:hAnsi="Times New Roman" w:cs="Times New Roman"/>
          <w:sz w:val="24"/>
          <w:szCs w:val="24"/>
        </w:rPr>
        <w:t>.</w:t>
      </w:r>
    </w:p>
    <w:p w14:paraId="692C0F8B" w14:textId="77777777" w:rsidR="009B6F0C" w:rsidRDefault="00000000">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the article on violations of the equality of people and citizens (article 145) of the Criminal Code to explicitly and separately include </w:t>
      </w:r>
      <w:r>
        <w:rPr>
          <w:rFonts w:ascii="Times New Roman" w:eastAsia="Times New Roman" w:hAnsi="Times New Roman" w:cs="Times New Roman"/>
          <w:b/>
          <w:sz w:val="24"/>
          <w:szCs w:val="24"/>
        </w:rPr>
        <w:t>“sexual orientation” and “gender identity” as protected characteristics</w:t>
      </w:r>
      <w:r>
        <w:rPr>
          <w:rFonts w:ascii="Times New Roman" w:eastAsia="Times New Roman" w:hAnsi="Times New Roman" w:cs="Times New Roman"/>
          <w:sz w:val="24"/>
          <w:szCs w:val="24"/>
        </w:rPr>
        <w:t xml:space="preserve">. </w:t>
      </w:r>
    </w:p>
    <w:p w14:paraId="5A5D417A" w14:textId="77777777" w:rsidR="009B6F0C" w:rsidRDefault="00000000">
      <w:pPr>
        <w:jc w:val="both"/>
        <w:rPr>
          <w:rFonts w:ascii="Times New Roman" w:eastAsia="Times New Roman" w:hAnsi="Times New Roman" w:cs="Times New Roman"/>
          <w:b/>
          <w:sz w:val="24"/>
          <w:szCs w:val="24"/>
        </w:rPr>
      </w:pPr>
      <w:r>
        <w:br w:type="page"/>
      </w:r>
    </w:p>
    <w:p w14:paraId="46A5DA6F" w14:textId="77777777" w:rsidR="009B6F0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Comments on the List of issues and questions in relation to the sixth periodic report of Kazakhstan</w:t>
      </w:r>
    </w:p>
    <w:p w14:paraId="63B9AA7D" w14:textId="77777777" w:rsidR="009B6F0C" w:rsidRDefault="00000000">
      <w:pPr>
        <w:pStyle w:val="Heading1"/>
        <w:spacing w:after="220" w:line="240" w:lineRule="auto"/>
        <w:jc w:val="both"/>
        <w:rPr>
          <w:rFonts w:ascii="Times New Roman" w:eastAsia="Times New Roman" w:hAnsi="Times New Roman" w:cs="Times New Roman"/>
          <w:b/>
          <w:sz w:val="24"/>
          <w:szCs w:val="24"/>
        </w:rPr>
      </w:pPr>
      <w:bookmarkStart w:id="1" w:name="_f5ric9caubkj" w:colFirst="0" w:colLast="0"/>
      <w:bookmarkEnd w:id="1"/>
      <w:r>
        <w:rPr>
          <w:rFonts w:ascii="Times New Roman" w:eastAsia="Times New Roman" w:hAnsi="Times New Roman" w:cs="Times New Roman"/>
          <w:b/>
          <w:sz w:val="24"/>
          <w:szCs w:val="24"/>
        </w:rPr>
        <w:t>QUESTION 7. Stereotypes and harmful practices (under Article 5)</w:t>
      </w:r>
    </w:p>
    <w:p w14:paraId="64CE7944" w14:textId="77777777" w:rsidR="009B6F0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for Gender Equality for 10 years starting from 2006 has ended in 2016. Unfortunately, there has been no effective national plan to enhance the participation of women in decision-making roles in political life since 2017. </w:t>
      </w:r>
    </w:p>
    <w:p w14:paraId="600F0935" w14:textId="77777777" w:rsidR="009B6F0C" w:rsidRDefault="009B6F0C">
      <w:pPr>
        <w:rPr>
          <w:rFonts w:ascii="Times New Roman" w:eastAsia="Times New Roman" w:hAnsi="Times New Roman" w:cs="Times New Roman"/>
          <w:sz w:val="24"/>
          <w:szCs w:val="24"/>
        </w:rPr>
      </w:pPr>
    </w:p>
    <w:p w14:paraId="3BE1187C"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state has the obligation to protect the rights of all people, the Kazakhstani government’s deafening silence on the human rights of LBQT women, combined with the acerbic homophobic rhetoric of some members of parliament, has contributed to the social sanctioning of discrimination against people based on their real or perceived sexual orientation and gender identity. Negative stereotyping, shaming and moral policing by wider public remain persistent in the Kazakhstani society.</w:t>
      </w:r>
    </w:p>
    <w:p w14:paraId="45752BE8" w14:textId="77777777" w:rsidR="009B6F0C" w:rsidRDefault="009B6F0C">
      <w:pPr>
        <w:rPr>
          <w:rFonts w:ascii="Times New Roman" w:eastAsia="Times New Roman" w:hAnsi="Times New Roman" w:cs="Times New Roman"/>
          <w:b/>
          <w:sz w:val="24"/>
          <w:szCs w:val="24"/>
        </w:rPr>
      </w:pPr>
    </w:p>
    <w:p w14:paraId="3B223B79" w14:textId="77777777" w:rsidR="009B6F0C" w:rsidRDefault="00000000">
      <w:pPr>
        <w:ind w:left="720"/>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Case of hate speech by the Member of Parliament. </w:t>
      </w:r>
      <w:r>
        <w:rPr>
          <w:rFonts w:ascii="Times New Roman" w:eastAsia="Times New Roman" w:hAnsi="Times New Roman" w:cs="Times New Roman"/>
          <w:i/>
          <w:sz w:val="24"/>
          <w:szCs w:val="24"/>
        </w:rPr>
        <w:t>Deputy B. claimed that "Family conflicts arise because of the length of a woman's tongue" in his speech in the lower chamber of Parliament</w:t>
      </w:r>
      <w:r>
        <w:rPr>
          <w:rFonts w:ascii="Times New Roman" w:eastAsia="Times New Roman" w:hAnsi="Times New Roman" w:cs="Times New Roman"/>
          <w:i/>
          <w:sz w:val="24"/>
          <w:szCs w:val="24"/>
          <w:vertAlign w:val="superscript"/>
        </w:rPr>
        <w:footnoteReference w:id="3"/>
      </w:r>
      <w:r>
        <w:rPr>
          <w:rFonts w:ascii="Times New Roman" w:eastAsia="Times New Roman" w:hAnsi="Times New Roman" w:cs="Times New Roman"/>
          <w:i/>
          <w:sz w:val="24"/>
          <w:szCs w:val="24"/>
        </w:rPr>
        <w:t xml:space="preserve">. After receiving backlash, he claimed that there are “invisible” forces that engage in feminist propaganda in Kazakhstan. </w:t>
      </w:r>
    </w:p>
    <w:p w14:paraId="2B5062C8" w14:textId="77777777" w:rsidR="009B6F0C" w:rsidRDefault="009B6F0C">
      <w:pPr>
        <w:jc w:val="both"/>
        <w:rPr>
          <w:rFonts w:ascii="Times New Roman" w:eastAsia="Times New Roman" w:hAnsi="Times New Roman" w:cs="Times New Roman"/>
          <w:sz w:val="24"/>
          <w:szCs w:val="24"/>
        </w:rPr>
      </w:pPr>
    </w:p>
    <w:p w14:paraId="45EA539E"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«Feminita» was called by the Member of Parliament to be recognized as an extremist organization. The parliamentarian's speech included inflammatory phrases such as "global evil organization," contributing to the stigmatization of the group. Such rhetoric not only undermines the organization’s efforts to advocate for LBTQ+ women’s rights but also exposes its members to increased hostility and threats from the public. </w:t>
      </w:r>
    </w:p>
    <w:p w14:paraId="4996C0BF" w14:textId="77777777" w:rsidR="009B6F0C" w:rsidRDefault="009B6F0C">
      <w:pPr>
        <w:jc w:val="both"/>
        <w:rPr>
          <w:rFonts w:ascii="Times New Roman" w:eastAsia="Times New Roman" w:hAnsi="Times New Roman" w:cs="Times New Roman"/>
          <w:sz w:val="24"/>
          <w:szCs w:val="24"/>
        </w:rPr>
      </w:pPr>
    </w:p>
    <w:p w14:paraId="376D2BE4" w14:textId="77777777" w:rsidR="009B6F0C" w:rsidRDefault="00000000">
      <w:pPr>
        <w:ind w:left="720"/>
        <w:rPr>
          <w:rFonts w:ascii="Times New Roman" w:eastAsia="Times New Roman" w:hAnsi="Times New Roman" w:cs="Times New Roman"/>
          <w:i/>
          <w:color w:val="170A19"/>
          <w:sz w:val="24"/>
          <w:szCs w:val="24"/>
        </w:rPr>
      </w:pPr>
      <w:r>
        <w:rPr>
          <w:rFonts w:ascii="Times New Roman" w:eastAsia="Times New Roman" w:hAnsi="Times New Roman" w:cs="Times New Roman"/>
          <w:b/>
          <w:i/>
          <w:sz w:val="24"/>
          <w:szCs w:val="24"/>
        </w:rPr>
        <w:t>Case of petition to "Ban LGBT propaganda".</w:t>
      </w:r>
      <w:r>
        <w:rPr>
          <w:rFonts w:ascii="Times New Roman" w:eastAsia="Times New Roman" w:hAnsi="Times New Roman" w:cs="Times New Roman"/>
          <w:i/>
          <w:sz w:val="24"/>
          <w:szCs w:val="24"/>
        </w:rPr>
        <w:t xml:space="preserve"> The Kazakhstani Ministry of Culture partially supported the petition against LGBT propaganda</w:t>
      </w:r>
      <w:r>
        <w:rPr>
          <w:rFonts w:ascii="Times New Roman" w:eastAsia="Times New Roman" w:hAnsi="Times New Roman" w:cs="Times New Roman"/>
          <w:i/>
          <w:sz w:val="24"/>
          <w:szCs w:val="24"/>
          <w:vertAlign w:val="superscript"/>
        </w:rPr>
        <w:footnoteReference w:id="4"/>
      </w:r>
      <w:r>
        <w:rPr>
          <w:rFonts w:ascii="Times New Roman" w:eastAsia="Times New Roman" w:hAnsi="Times New Roman" w:cs="Times New Roman"/>
          <w:i/>
          <w:sz w:val="24"/>
          <w:szCs w:val="24"/>
        </w:rPr>
        <w:t xml:space="preserve"> in 2024. During the petition hearings, supporters of the petition, including 4 members of Parliament, engaged in hate speech against LGBTIQ community in Kazakhstan. A representative of the Ministry of Foreign Affairs was verbally attacked by a Parliament member for stating the obligations of Kazakhstan to protect human rights. The result of all 3 public hearings was a decision to conduct a study on how information about sexual relationships affects children and the law of banning “LGBT propaganda”may pass in 2025 (Recommendation 6).</w:t>
      </w:r>
    </w:p>
    <w:p w14:paraId="72398EC2" w14:textId="77777777" w:rsidR="009B6F0C" w:rsidRDefault="00000000">
      <w:pPr>
        <w:pStyle w:val="Heading1"/>
        <w:spacing w:after="200" w:line="240" w:lineRule="auto"/>
        <w:jc w:val="both"/>
        <w:rPr>
          <w:rFonts w:ascii="Times New Roman" w:eastAsia="Times New Roman" w:hAnsi="Times New Roman" w:cs="Times New Roman"/>
          <w:b/>
          <w:color w:val="170A19"/>
          <w:sz w:val="24"/>
          <w:szCs w:val="24"/>
        </w:rPr>
      </w:pPr>
      <w:bookmarkStart w:id="2" w:name="_7q74zhb7impm" w:colFirst="0" w:colLast="0"/>
      <w:bookmarkEnd w:id="2"/>
      <w:r>
        <w:rPr>
          <w:rFonts w:ascii="Times New Roman" w:eastAsia="Times New Roman" w:hAnsi="Times New Roman" w:cs="Times New Roman"/>
          <w:b/>
          <w:sz w:val="24"/>
          <w:szCs w:val="24"/>
        </w:rPr>
        <w:t>QUESTION 10. Gender based violence against women</w:t>
      </w:r>
    </w:p>
    <w:p w14:paraId="2526ACE0" w14:textId="77777777" w:rsidR="009B6F0C" w:rsidRDefault="00000000">
      <w:pPr>
        <w:spacing w:after="200"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As noted in “Feminita”s alternative report to the 72rd PSWG of the CEDAW</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although consensual same-sex relationships were decriminalised in Kazakhstan after the disintegration of the Soviet Union with adoption of the Criminal Code in 1999, at the same time the legislator introduced criminal </w:t>
      </w:r>
      <w:r>
        <w:rPr>
          <w:rFonts w:ascii="Times New Roman" w:eastAsia="Times New Roman" w:hAnsi="Times New Roman" w:cs="Times New Roman"/>
          <w:sz w:val="24"/>
          <w:szCs w:val="24"/>
        </w:rPr>
        <w:lastRenderedPageBreak/>
        <w:t xml:space="preserve">liability for “lesbianism” and “sodomy” under Articles 121, 122, and 123 which discriminate on the basis of sexual orientation and still remain in the Kazakhstan’s updated Criminal Code of 2014. </w:t>
      </w:r>
    </w:p>
    <w:p w14:paraId="57C2E5B7" w14:textId="77777777" w:rsidR="009B6F0C" w:rsidRDefault="00000000">
      <w:pPr>
        <w:spacing w:before="240" w:line="240" w:lineRule="auto"/>
        <w:ind w:left="720"/>
        <w:jc w:val="both"/>
        <w:rPr>
          <w:rFonts w:ascii="Times New Roman" w:eastAsia="Times New Roman" w:hAnsi="Times New Roman" w:cs="Times New Roman"/>
          <w:b/>
          <w:i/>
          <w:color w:val="222222"/>
          <w:sz w:val="24"/>
          <w:szCs w:val="24"/>
        </w:rPr>
      </w:pPr>
      <w:r>
        <w:rPr>
          <w:rFonts w:ascii="Times New Roman" w:eastAsia="Times New Roman" w:hAnsi="Times New Roman" w:cs="Times New Roman"/>
          <w:b/>
          <w:i/>
          <w:sz w:val="24"/>
          <w:szCs w:val="24"/>
        </w:rPr>
        <w:t xml:space="preserve">Article 121. </w:t>
      </w:r>
      <w:r>
        <w:rPr>
          <w:rFonts w:ascii="Times New Roman" w:eastAsia="Times New Roman" w:hAnsi="Times New Roman" w:cs="Times New Roman"/>
          <w:b/>
          <w:i/>
          <w:color w:val="222222"/>
          <w:sz w:val="24"/>
          <w:szCs w:val="24"/>
        </w:rPr>
        <w:t>Violent acts of a sexual nature.</w:t>
      </w:r>
    </w:p>
    <w:p w14:paraId="6AF37D3D" w14:textId="77777777" w:rsidR="009B6F0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“1. Sodomy, lesbianism or other acts of a sexual nature with use of force or with threat of use of force</w:t>
      </w:r>
      <w:r>
        <w:rPr>
          <w:rFonts w:ascii="Times New Roman" w:eastAsia="Times New Roman" w:hAnsi="Times New Roman" w:cs="Times New Roman"/>
          <w:i/>
          <w:sz w:val="24"/>
          <w:szCs w:val="24"/>
          <w:vertAlign w:val="superscript"/>
        </w:rPr>
        <w:footnoteReference w:id="6"/>
      </w:r>
      <w:r>
        <w:rPr>
          <w:rFonts w:ascii="Times New Roman" w:eastAsia="Times New Roman" w:hAnsi="Times New Roman" w:cs="Times New Roman"/>
          <w:i/>
          <w:sz w:val="24"/>
          <w:szCs w:val="24"/>
        </w:rPr>
        <w:t xml:space="preserve"> in relation to a victim or other persons or with using the helpless state of a victim is punishable by imprisonment for a period from 3 to 5 years”</w:t>
      </w:r>
      <w:r>
        <w:rPr>
          <w:rFonts w:ascii="Times New Roman" w:eastAsia="Times New Roman" w:hAnsi="Times New Roman" w:cs="Times New Roman"/>
          <w:i/>
          <w:sz w:val="24"/>
          <w:szCs w:val="24"/>
          <w:vertAlign w:val="superscript"/>
        </w:rPr>
        <w:footnoteReference w:id="7"/>
      </w:r>
      <w:r>
        <w:rPr>
          <w:rFonts w:ascii="Times New Roman" w:eastAsia="Times New Roman" w:hAnsi="Times New Roman" w:cs="Times New Roman"/>
          <w:i/>
          <w:sz w:val="24"/>
          <w:szCs w:val="24"/>
        </w:rPr>
        <w:t>.</w:t>
      </w:r>
    </w:p>
    <w:p w14:paraId="1A186C3F" w14:textId="77777777" w:rsidR="009B6F0C" w:rsidRDefault="00000000">
      <w:pPr>
        <w:spacing w:before="240" w:line="240" w:lineRule="auto"/>
        <w:ind w:left="72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Article 122. Sexual intercourse and other acts of a sexual nature with a person under the age of sixteen.</w:t>
      </w:r>
    </w:p>
    <w:p w14:paraId="35FD73B2" w14:textId="77777777" w:rsidR="009B6F0C" w:rsidRDefault="00000000">
      <w:pPr>
        <w:spacing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“1. Sexual intercourse, sodomy, lesbianism and other acts of sexual nature with a person under the age of sixteen is punishable by restriction of freedom for up to 5 years or imprisonment for the same period”</w:t>
      </w:r>
      <w:r>
        <w:rPr>
          <w:rFonts w:ascii="Times New Roman" w:eastAsia="Times New Roman" w:hAnsi="Times New Roman" w:cs="Times New Roman"/>
          <w:i/>
          <w:sz w:val="24"/>
          <w:szCs w:val="24"/>
          <w:vertAlign w:val="superscript"/>
        </w:rPr>
        <w:footnoteReference w:id="8"/>
      </w:r>
      <w:r>
        <w:rPr>
          <w:rFonts w:ascii="Times New Roman" w:eastAsia="Times New Roman" w:hAnsi="Times New Roman" w:cs="Times New Roman"/>
          <w:i/>
          <w:sz w:val="24"/>
          <w:szCs w:val="24"/>
        </w:rPr>
        <w:t>.</w:t>
      </w:r>
    </w:p>
    <w:p w14:paraId="574C4017" w14:textId="77777777" w:rsidR="009B6F0C" w:rsidRDefault="00000000">
      <w:pPr>
        <w:spacing w:before="240" w:line="240" w:lineRule="auto"/>
        <w:ind w:left="72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Article 123. Coercion to sexual intercourse, sodomy, lesbianism or other acts of sexual nature.</w:t>
      </w:r>
    </w:p>
    <w:p w14:paraId="234396B0" w14:textId="77777777" w:rsidR="009B6F0C" w:rsidRDefault="00000000">
      <w:pPr>
        <w:spacing w:after="20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“1. Coercion to sexual intercourse, sodomy, lesbianism or other acts of sexual nature by use of blackmail, threats of destruction, damage or seizure of property or use of material or other dependence of a victim is punishable by a fine in the amount of up to 1 000 monthly calculation index</w:t>
      </w:r>
      <w:r>
        <w:rPr>
          <w:rFonts w:ascii="Times New Roman" w:eastAsia="Times New Roman" w:hAnsi="Times New Roman" w:cs="Times New Roman"/>
          <w:i/>
          <w:sz w:val="24"/>
          <w:szCs w:val="24"/>
          <w:vertAlign w:val="superscript"/>
        </w:rPr>
        <w:footnoteReference w:id="9"/>
      </w:r>
      <w:r>
        <w:rPr>
          <w:rFonts w:ascii="Times New Roman" w:eastAsia="Times New Roman" w:hAnsi="Times New Roman" w:cs="Times New Roman"/>
          <w:i/>
          <w:sz w:val="24"/>
          <w:szCs w:val="24"/>
        </w:rPr>
        <w:t>, or corrective labour in the same amount, or restriction of freedom for up to 1 year or imprisonment for the same period”</w:t>
      </w:r>
      <w:r>
        <w:rPr>
          <w:rFonts w:ascii="Times New Roman" w:eastAsia="Times New Roman" w:hAnsi="Times New Roman" w:cs="Times New Roman"/>
          <w:i/>
          <w:sz w:val="24"/>
          <w:szCs w:val="24"/>
          <w:vertAlign w:val="superscript"/>
        </w:rPr>
        <w:footnoteReference w:id="10"/>
      </w:r>
      <w:r>
        <w:rPr>
          <w:rFonts w:ascii="Times New Roman" w:eastAsia="Times New Roman" w:hAnsi="Times New Roman" w:cs="Times New Roman"/>
          <w:i/>
          <w:sz w:val="24"/>
          <w:szCs w:val="24"/>
        </w:rPr>
        <w:t>.</w:t>
      </w:r>
    </w:p>
    <w:p w14:paraId="72F899BA" w14:textId="77777777" w:rsidR="009B6F0C"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having a specific article setting the criminal liability for rape under Article 120</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 Kazakhstani legislator singles out “lesbianism” and “sodomy” in a separate Article 121. In Article 122 the legislator appends “lesbianism” and “sodomy” to a separate </w:t>
      </w:r>
      <w:r>
        <w:rPr>
          <w:rFonts w:ascii="Times New Roman" w:eastAsia="Times New Roman" w:hAnsi="Times New Roman" w:cs="Times New Roman"/>
          <w:i/>
          <w:sz w:val="24"/>
          <w:szCs w:val="24"/>
        </w:rPr>
        <w:t>corpus delicti</w:t>
      </w:r>
      <w:r>
        <w:rPr>
          <w:rFonts w:ascii="Times New Roman" w:eastAsia="Times New Roman" w:hAnsi="Times New Roman" w:cs="Times New Roman"/>
          <w:sz w:val="24"/>
          <w:szCs w:val="24"/>
        </w:rPr>
        <w:t xml:space="preserve">, namely, sexual intercourse with minors. Similarly, in Article 123 it appends “lesbianism” and “sodomy” to </w:t>
      </w:r>
      <w:r>
        <w:rPr>
          <w:rFonts w:ascii="Times New Roman" w:eastAsia="Times New Roman" w:hAnsi="Times New Roman" w:cs="Times New Roman"/>
          <w:i/>
          <w:sz w:val="24"/>
          <w:szCs w:val="24"/>
        </w:rPr>
        <w:t xml:space="preserve">corpus delicti </w:t>
      </w:r>
      <w:r>
        <w:rPr>
          <w:rFonts w:ascii="Times New Roman" w:eastAsia="Times New Roman" w:hAnsi="Times New Roman" w:cs="Times New Roman"/>
          <w:sz w:val="24"/>
          <w:szCs w:val="24"/>
        </w:rPr>
        <w:t xml:space="preserve">of “coercion to sexual intercourse”. </w:t>
      </w:r>
    </w:p>
    <w:p w14:paraId="462E72D3" w14:textId="77777777" w:rsidR="009B6F0C"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upcoming review of criminal liability under articles 121, 122, and 123 of the Criminal Code, we invite the State party to repeal discriminatory liability for “lesbianism” and “sodomy” from the Criminal Code which singles out people based on their sexual orientation </w:t>
      </w:r>
      <w:r>
        <w:rPr>
          <w:rFonts w:ascii="Times New Roman" w:eastAsia="Times New Roman" w:hAnsi="Times New Roman" w:cs="Times New Roman"/>
          <w:i/>
          <w:sz w:val="24"/>
          <w:szCs w:val="24"/>
        </w:rPr>
        <w:t>(Recommendation 2)</w:t>
      </w:r>
      <w:r>
        <w:rPr>
          <w:rFonts w:ascii="Times New Roman" w:eastAsia="Times New Roman" w:hAnsi="Times New Roman" w:cs="Times New Roman"/>
          <w:sz w:val="24"/>
          <w:szCs w:val="24"/>
        </w:rPr>
        <w:t>. The State party should ensure systematic consultations with the local civil society and interest groups, including feminist and LBQT advocacy groups, at all stages of this legislative and policy making process.</w:t>
      </w:r>
    </w:p>
    <w:p w14:paraId="7EF7E509" w14:textId="77777777" w:rsidR="009B6F0C"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Kazakhstani authorities continue silencing activists speaking up about violence against women.</w:t>
      </w:r>
    </w:p>
    <w:p w14:paraId="071A890D" w14:textId="77777777" w:rsidR="009B6F0C" w:rsidRDefault="00000000">
      <w:pPr>
        <w:ind w:left="720"/>
        <w:rPr>
          <w:rFonts w:ascii="Times New Roman" w:eastAsia="Times New Roman" w:hAnsi="Times New Roman" w:cs="Times New Roman"/>
          <w:b/>
          <w:i/>
          <w:color w:val="170A19"/>
          <w:sz w:val="24"/>
          <w:szCs w:val="24"/>
        </w:rPr>
      </w:pPr>
      <w:r>
        <w:rPr>
          <w:rFonts w:ascii="Times New Roman" w:eastAsia="Times New Roman" w:hAnsi="Times New Roman" w:cs="Times New Roman"/>
          <w:b/>
          <w:i/>
          <w:sz w:val="24"/>
          <w:szCs w:val="24"/>
        </w:rPr>
        <w:t>Case of criminal persecution of a women’s rights activist.</w:t>
      </w:r>
      <w:r>
        <w:rPr>
          <w:rFonts w:ascii="Times New Roman" w:eastAsia="Times New Roman" w:hAnsi="Times New Roman" w:cs="Times New Roman"/>
          <w:i/>
          <w:sz w:val="24"/>
          <w:szCs w:val="24"/>
        </w:rPr>
        <w:t xml:space="preserve"> Head of the public foundation “Nemolchi”, D. T., is facing 6 criminal charges and is currently seeking political asylum in Montenegro</w:t>
      </w:r>
      <w:r>
        <w:rPr>
          <w:rFonts w:ascii="Times New Roman" w:eastAsia="Times New Roman" w:hAnsi="Times New Roman" w:cs="Times New Roman"/>
          <w:i/>
          <w:sz w:val="24"/>
          <w:szCs w:val="24"/>
          <w:vertAlign w:val="superscript"/>
        </w:rPr>
        <w:footnoteReference w:id="12"/>
      </w:r>
      <w:r>
        <w:rPr>
          <w:rFonts w:ascii="Times New Roman" w:eastAsia="Times New Roman" w:hAnsi="Times New Roman" w:cs="Times New Roman"/>
          <w:i/>
          <w:sz w:val="24"/>
          <w:szCs w:val="24"/>
        </w:rPr>
        <w:t>. She is accused of fraud and dissemination of false information, which is acknowledged as a provision used against activists by human rights defenders and is not in line with international standards</w:t>
      </w:r>
      <w:r>
        <w:rPr>
          <w:rFonts w:ascii="Times New Roman" w:eastAsia="Times New Roman" w:hAnsi="Times New Roman" w:cs="Times New Roman"/>
          <w:i/>
          <w:sz w:val="24"/>
          <w:szCs w:val="24"/>
          <w:vertAlign w:val="superscript"/>
        </w:rPr>
        <w:footnoteReference w:id="13"/>
      </w:r>
      <w:r>
        <w:rPr>
          <w:rFonts w:ascii="Times New Roman" w:eastAsia="Times New Roman" w:hAnsi="Times New Roman" w:cs="Times New Roman"/>
          <w:i/>
          <w:sz w:val="24"/>
          <w:szCs w:val="24"/>
        </w:rPr>
        <w:t xml:space="preserve"> (Recommendation 12). </w:t>
      </w:r>
    </w:p>
    <w:p w14:paraId="20087817" w14:textId="77777777" w:rsidR="009B6F0C" w:rsidRDefault="009B6F0C">
      <w:pPr>
        <w:pStyle w:val="Heading1"/>
        <w:keepNext w:val="0"/>
        <w:keepLines w:val="0"/>
        <w:spacing w:before="280" w:after="200" w:line="240" w:lineRule="auto"/>
        <w:jc w:val="both"/>
        <w:rPr>
          <w:rFonts w:ascii="Times New Roman" w:eastAsia="Times New Roman" w:hAnsi="Times New Roman" w:cs="Times New Roman"/>
          <w:b/>
          <w:sz w:val="24"/>
          <w:szCs w:val="24"/>
        </w:rPr>
      </w:pPr>
      <w:bookmarkStart w:id="3" w:name="_a6op8n3asr8c" w:colFirst="0" w:colLast="0"/>
      <w:bookmarkEnd w:id="3"/>
    </w:p>
    <w:p w14:paraId="7FF3BEF4" w14:textId="77777777" w:rsidR="009B6F0C" w:rsidRDefault="009B6F0C">
      <w:pPr>
        <w:pStyle w:val="Heading1"/>
        <w:keepNext w:val="0"/>
        <w:keepLines w:val="0"/>
        <w:spacing w:before="280" w:after="200" w:line="240" w:lineRule="auto"/>
        <w:jc w:val="both"/>
        <w:rPr>
          <w:rFonts w:ascii="Times New Roman" w:eastAsia="Times New Roman" w:hAnsi="Times New Roman" w:cs="Times New Roman"/>
          <w:b/>
          <w:sz w:val="24"/>
          <w:szCs w:val="24"/>
        </w:rPr>
      </w:pPr>
      <w:bookmarkStart w:id="4" w:name="_rk0er32v974q" w:colFirst="0" w:colLast="0"/>
      <w:bookmarkEnd w:id="4"/>
    </w:p>
    <w:p w14:paraId="44F1841C" w14:textId="77777777" w:rsidR="009B6F0C" w:rsidRDefault="00000000">
      <w:pPr>
        <w:pStyle w:val="Heading1"/>
        <w:keepNext w:val="0"/>
        <w:keepLines w:val="0"/>
        <w:spacing w:before="280" w:after="200" w:line="240" w:lineRule="auto"/>
        <w:jc w:val="both"/>
        <w:rPr>
          <w:rFonts w:ascii="Times New Roman" w:eastAsia="Times New Roman" w:hAnsi="Times New Roman" w:cs="Times New Roman"/>
          <w:b/>
          <w:sz w:val="24"/>
          <w:szCs w:val="24"/>
        </w:rPr>
      </w:pPr>
      <w:bookmarkStart w:id="5" w:name="_sjky73dtv76c" w:colFirst="0" w:colLast="0"/>
      <w:bookmarkEnd w:id="5"/>
      <w:r>
        <w:rPr>
          <w:rFonts w:ascii="Times New Roman" w:eastAsia="Times New Roman" w:hAnsi="Times New Roman" w:cs="Times New Roman"/>
          <w:b/>
          <w:sz w:val="24"/>
          <w:szCs w:val="24"/>
        </w:rPr>
        <w:t>QUESTION 12. Participation in political and public life (under Article 7)</w:t>
      </w:r>
    </w:p>
    <w:p w14:paraId="00660E8D" w14:textId="77777777" w:rsidR="009B6F0C" w:rsidRDefault="00000000">
      <w:pPr>
        <w:pStyle w:val="Heading1"/>
        <w:spacing w:after="200" w:line="240" w:lineRule="auto"/>
        <w:jc w:val="both"/>
        <w:rPr>
          <w:rFonts w:ascii="Times New Roman" w:eastAsia="Times New Roman" w:hAnsi="Times New Roman" w:cs="Times New Roman"/>
          <w:b/>
          <w:sz w:val="24"/>
          <w:szCs w:val="24"/>
        </w:rPr>
      </w:pPr>
      <w:bookmarkStart w:id="6" w:name="_gnii3gfpfvon" w:colFirst="0" w:colLast="0"/>
      <w:bookmarkEnd w:id="6"/>
      <w:r>
        <w:rPr>
          <w:rFonts w:ascii="Times New Roman" w:eastAsia="Times New Roman" w:hAnsi="Times New Roman" w:cs="Times New Roman"/>
          <w:b/>
          <w:sz w:val="24"/>
          <w:szCs w:val="24"/>
        </w:rPr>
        <w:t>(a) Challenges to registration and operation of CSOs advocating for LBQT women’s rights</w:t>
      </w:r>
    </w:p>
    <w:p w14:paraId="6648EBAC" w14:textId="77777777" w:rsidR="009B6F0C"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Kazakhstan receiving recommendations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to ensure the registration of CSOs advocating for LBQT women’s rights, the situation gets worse. Kazakhstani Feminist Initiative “Feminita” received more than 15 rejections for official legal registration from the Almaty Justice Department. The court did not help “Feminita” restore its right to registration </w:t>
      </w:r>
      <w:r>
        <w:rPr>
          <w:rFonts w:ascii="Times New Roman" w:eastAsia="Times New Roman" w:hAnsi="Times New Roman" w:cs="Times New Roman"/>
          <w:i/>
          <w:sz w:val="24"/>
          <w:szCs w:val="24"/>
        </w:rPr>
        <w:t>(Recommendation 4)</w:t>
      </w:r>
      <w:r>
        <w:rPr>
          <w:rFonts w:ascii="Times New Roman" w:eastAsia="Times New Roman" w:hAnsi="Times New Roman" w:cs="Times New Roman"/>
          <w:sz w:val="24"/>
          <w:szCs w:val="24"/>
        </w:rPr>
        <w:t xml:space="preserve">. </w:t>
      </w:r>
    </w:p>
    <w:p w14:paraId="16860506"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February 19th, 2025, Members of the initiative, G.S. and Zh.S., were fined for participation in an unregistered organization under Article 489 of the Code of Administrative Offences. The fine amounted to about $790 for each. During one of the trials, the police inspector claimed that org.“Feminita” can lead to the destabilization of society due to “propaganda of untraditional sexual orientation,” while also arguing that “destructive LGBT ideas are aimed at the destruction of the traditional family foundations.”</w:t>
      </w:r>
      <w:r>
        <w:rPr>
          <w:rFonts w:ascii="Times New Roman" w:eastAsia="Times New Roman" w:hAnsi="Times New Roman" w:cs="Times New Roman"/>
          <w:sz w:val="24"/>
          <w:szCs w:val="24"/>
          <w:vertAlign w:val="superscript"/>
        </w:rPr>
        <w:footnoteReference w:id="15"/>
      </w:r>
    </w:p>
    <w:p w14:paraId="2E7B6962" w14:textId="77777777" w:rsidR="009B6F0C" w:rsidRDefault="009B6F0C">
      <w:pPr>
        <w:jc w:val="both"/>
        <w:rPr>
          <w:rFonts w:ascii="Times New Roman" w:eastAsia="Times New Roman" w:hAnsi="Times New Roman" w:cs="Times New Roman"/>
          <w:sz w:val="24"/>
          <w:szCs w:val="24"/>
        </w:rPr>
      </w:pPr>
    </w:p>
    <w:p w14:paraId="4F86A2E7"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UPR meeting held by the Ministry of External Affairs, the Ministry representative falsely suggested that “Feminita” was not registered because it did not continue the registration process, while the GONGO representative suggested that “Feminita” was not continuing registration because it helps the organization receive more funding. </w:t>
      </w:r>
    </w:p>
    <w:p w14:paraId="7B244AA3" w14:textId="77777777" w:rsidR="009B6F0C" w:rsidRDefault="009B6F0C">
      <w:pPr>
        <w:jc w:val="both"/>
        <w:rPr>
          <w:rFonts w:ascii="Times New Roman" w:eastAsia="Times New Roman" w:hAnsi="Times New Roman" w:cs="Times New Roman"/>
          <w:sz w:val="24"/>
          <w:szCs w:val="24"/>
        </w:rPr>
      </w:pPr>
    </w:p>
    <w:p w14:paraId="3A503D6F"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Kazakhstan is planning to draft a Law on Non-Governmental Organizations, which can create further challenges for the operation of CSOs advocating for LBQT women. Prior to that, members of the lower Chamber of the Parliament raised concerns regarding the foreign influence on Kazakhstani politics through funding and NGOs, claiming that ideologies of radical feminism and LGBT threaten national stability. The Prime Minister claimed that questions raised in this deputy request will be considered when drafting the law.</w:t>
      </w:r>
      <w:r>
        <w:rPr>
          <w:rFonts w:ascii="Times New Roman" w:eastAsia="Times New Roman" w:hAnsi="Times New Roman" w:cs="Times New Roman"/>
          <w:sz w:val="24"/>
          <w:szCs w:val="24"/>
          <w:vertAlign w:val="superscript"/>
        </w:rPr>
        <w:footnoteReference w:id="16"/>
      </w:r>
    </w:p>
    <w:p w14:paraId="3351ACA8" w14:textId="77777777" w:rsidR="009B6F0C" w:rsidRDefault="009B6F0C">
      <w:pPr>
        <w:jc w:val="both"/>
        <w:rPr>
          <w:rFonts w:ascii="Times New Roman" w:eastAsia="Times New Roman" w:hAnsi="Times New Roman" w:cs="Times New Roman"/>
          <w:sz w:val="24"/>
          <w:szCs w:val="24"/>
        </w:rPr>
      </w:pPr>
    </w:p>
    <w:p w14:paraId="5F5980FF"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Strategy for Gender Equality for 10 years starting from 2006 has ended in 2016. Unfortunately, there has been no effective national plan to enhance the participation of women in decision-making roles in political life since 2017</w:t>
      </w:r>
      <w:r>
        <w:rPr>
          <w:rFonts w:ascii="Times New Roman" w:eastAsia="Times New Roman" w:hAnsi="Times New Roman" w:cs="Times New Roman"/>
          <w:i/>
          <w:sz w:val="24"/>
          <w:szCs w:val="24"/>
        </w:rPr>
        <w:t xml:space="preserve"> (Recommendation 1)</w:t>
      </w:r>
      <w:r>
        <w:rPr>
          <w:rFonts w:ascii="Times New Roman" w:eastAsia="Times New Roman" w:hAnsi="Times New Roman" w:cs="Times New Roman"/>
          <w:sz w:val="24"/>
          <w:szCs w:val="24"/>
        </w:rPr>
        <w:t>. Despite a variety of female movements such as feminist movement (started in 2015) and mothers movement (started in 2019) in all cities, there was no explicit plan and/or efforts made by the State to increase women’s participation in decision making levels.</w:t>
      </w:r>
    </w:p>
    <w:p w14:paraId="07B699EC" w14:textId="77777777" w:rsidR="009B6F0C" w:rsidRDefault="009B6F0C">
      <w:pPr>
        <w:jc w:val="both"/>
        <w:rPr>
          <w:rFonts w:ascii="Times New Roman" w:eastAsia="Times New Roman" w:hAnsi="Times New Roman" w:cs="Times New Roman"/>
          <w:sz w:val="24"/>
          <w:szCs w:val="24"/>
        </w:rPr>
      </w:pPr>
    </w:p>
    <w:p w14:paraId="033B99B3"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Doors of political parties are shut for women </w:t>
      </w:r>
      <w:r>
        <w:rPr>
          <w:rFonts w:ascii="Times New Roman" w:eastAsia="Times New Roman" w:hAnsi="Times New Roman" w:cs="Times New Roman"/>
          <w:i/>
          <w:sz w:val="24"/>
          <w:szCs w:val="24"/>
        </w:rPr>
        <w:t>(Recommendations 9, 10, 11)</w:t>
      </w:r>
      <w:r>
        <w:rPr>
          <w:rFonts w:ascii="Times New Roman" w:eastAsia="Times New Roman" w:hAnsi="Times New Roman" w:cs="Times New Roman"/>
          <w:sz w:val="24"/>
          <w:szCs w:val="24"/>
        </w:rPr>
        <w:t xml:space="preserve">. No policies to comply with the law on gender equality such as the requirement for political parties to improve the status of women for balanced representation of women and men. In the 31 years of Kazakhstan's independence, only 3 women were candidates for the presidential election. Only one woman was appointed as a head of the region in 2020 and released from her position in 2022. Absence of neither national action plan </w:t>
      </w:r>
      <w:r>
        <w:rPr>
          <w:rFonts w:ascii="Times New Roman" w:eastAsia="Times New Roman" w:hAnsi="Times New Roman" w:cs="Times New Roman"/>
          <w:sz w:val="24"/>
          <w:szCs w:val="24"/>
        </w:rPr>
        <w:lastRenderedPageBreak/>
        <w:t>nor measures to combat gender inequality ended with a record drop to 19,4% on representation of women in Parliament in 2023</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w:t>
      </w:r>
    </w:p>
    <w:p w14:paraId="20842CE4" w14:textId="77777777" w:rsidR="009B6F0C" w:rsidRDefault="00000000">
      <w:pPr>
        <w:pStyle w:val="Heading1"/>
        <w:spacing w:after="200" w:line="240" w:lineRule="auto"/>
        <w:jc w:val="both"/>
        <w:rPr>
          <w:rFonts w:ascii="Times New Roman" w:eastAsia="Times New Roman" w:hAnsi="Times New Roman" w:cs="Times New Roman"/>
          <w:b/>
          <w:sz w:val="24"/>
          <w:szCs w:val="24"/>
        </w:rPr>
      </w:pPr>
      <w:bookmarkStart w:id="7" w:name="_5cngsnoq4qmm" w:colFirst="0" w:colLast="0"/>
      <w:bookmarkEnd w:id="7"/>
      <w:r>
        <w:rPr>
          <w:rFonts w:ascii="Times New Roman" w:eastAsia="Times New Roman" w:hAnsi="Times New Roman" w:cs="Times New Roman"/>
          <w:b/>
          <w:sz w:val="24"/>
          <w:szCs w:val="24"/>
        </w:rPr>
        <w:t>(b) Challenges to peaceful assembly of feminist groups advocating for LBQT women’s rights</w:t>
      </w:r>
    </w:p>
    <w:p w14:paraId="09BAD78A"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feminist and queer activists start preparing for the rally on March 8, the international day for women’s rights well before the date. They started to get denial from the city administration in the end of 2023 and the beginning of 2024. </w:t>
      </w:r>
    </w:p>
    <w:p w14:paraId="5FEB6FCB" w14:textId="77777777" w:rsidR="009B6F0C" w:rsidRDefault="009B6F0C">
      <w:pPr>
        <w:rPr>
          <w:rFonts w:ascii="Times New Roman" w:eastAsia="Times New Roman" w:hAnsi="Times New Roman" w:cs="Times New Roman"/>
          <w:sz w:val="24"/>
          <w:szCs w:val="24"/>
        </w:rPr>
      </w:pPr>
    </w:p>
    <w:p w14:paraId="662CB475" w14:textId="77777777" w:rsidR="009B6F0C" w:rsidRDefault="00000000">
      <w:pPr>
        <w:ind w:left="720"/>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Case of violation of the right for peaceful rallies.</w:t>
      </w:r>
      <w:r>
        <w:rPr>
          <w:rFonts w:ascii="Times New Roman" w:eastAsia="Times New Roman" w:hAnsi="Times New Roman" w:cs="Times New Roman"/>
          <w:i/>
          <w:sz w:val="24"/>
          <w:szCs w:val="24"/>
        </w:rPr>
        <w:t xml:space="preserve"> G.S. received a refusal from the State Institution Department of Public Development stating that all places approved by the city Maslikhat (council) for holding peaceful assemblies are occupied, so they refuse to hold a rally on 05/27/2024. According to Article 8 of the law on holding peaceful assemblies, this department must post information about the occupancy of places, but there was no information on their website about occupancy at the time of filing the application. This case is one of many examples of violation of the right to peaceful rallies in accordance with the law on peaceful assemblies.</w:t>
      </w:r>
    </w:p>
    <w:p w14:paraId="5C13D40E" w14:textId="77777777" w:rsidR="009B6F0C" w:rsidRDefault="009B6F0C">
      <w:pPr>
        <w:rPr>
          <w:rFonts w:ascii="Times New Roman" w:eastAsia="Times New Roman" w:hAnsi="Times New Roman" w:cs="Times New Roman"/>
          <w:sz w:val="24"/>
          <w:szCs w:val="24"/>
        </w:rPr>
      </w:pPr>
    </w:p>
    <w:p w14:paraId="7FBAF7F8"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city administration ended up holding a rally on March 7, 2024 for those groups of women and men who openly spread hate against lesbians and feminists. The group of the activists consists of representatives of registered NGOs such as Public Fund “Kazakhstan’s Parent Union”, some civil society groups of so-called “Veterans of Afghan War” and participants of “Zheltoqsan’86” movement. </w:t>
      </w:r>
    </w:p>
    <w:p w14:paraId="42C7F1F6" w14:textId="77777777" w:rsidR="009B6F0C" w:rsidRDefault="009B6F0C">
      <w:pPr>
        <w:rPr>
          <w:rFonts w:ascii="Times New Roman" w:eastAsia="Times New Roman" w:hAnsi="Times New Roman" w:cs="Times New Roman"/>
          <w:sz w:val="24"/>
          <w:szCs w:val="24"/>
        </w:rPr>
      </w:pPr>
    </w:p>
    <w:p w14:paraId="0B9A306E"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these movements have come to existence due to social and political issues during 30 years of independence of the Republic of Kazakhstan. Activists of these movements were co-opted with the local city administration’s internal affairs department and time-to-time used to suppress politically opposing movements such as unregistered political parties and/or feminist movements. </w:t>
      </w:r>
    </w:p>
    <w:p w14:paraId="35409912" w14:textId="77777777" w:rsidR="009B6F0C" w:rsidRDefault="009B6F0C">
      <w:pPr>
        <w:jc w:val="both"/>
        <w:rPr>
          <w:rFonts w:ascii="Times New Roman" w:eastAsia="Times New Roman" w:hAnsi="Times New Roman" w:cs="Times New Roman"/>
          <w:sz w:val="24"/>
          <w:szCs w:val="24"/>
        </w:rPr>
      </w:pPr>
    </w:p>
    <w:p w14:paraId="0A3D085B"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some evidence that the anti-gender movement actors try to co-opt rhetoric of the mother’s movement. The Mother’s movement phenomenon is also a part of reality conditioned by continuous violation of political, economic, and social rights women and children face in Kazakhstan. Overall, mothers and children were thought to have societal support, however due to the government’s lack of providing social services to meet families needs, a variety of women throughout the country pushed to be politically active.  Unfortunately, their activism sometimes might be used against feminist movements. </w:t>
      </w:r>
    </w:p>
    <w:p w14:paraId="6276431A" w14:textId="77777777" w:rsidR="009B6F0C" w:rsidRDefault="009B6F0C">
      <w:pPr>
        <w:jc w:val="both"/>
        <w:rPr>
          <w:rFonts w:ascii="Times New Roman" w:eastAsia="Times New Roman" w:hAnsi="Times New Roman" w:cs="Times New Roman"/>
          <w:sz w:val="24"/>
          <w:szCs w:val="24"/>
        </w:rPr>
      </w:pPr>
    </w:p>
    <w:p w14:paraId="6DF9378D"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the new way of discrimination against LGBTIQ+ community is played by these civil society groups to make the direct discrimination of the city administration and the government bodies more blurry </w:t>
      </w:r>
      <w:r>
        <w:rPr>
          <w:rFonts w:ascii="Times New Roman" w:eastAsia="Times New Roman" w:hAnsi="Times New Roman" w:cs="Times New Roman"/>
          <w:i/>
          <w:sz w:val="24"/>
          <w:szCs w:val="24"/>
        </w:rPr>
        <w:t>(Recommendation 5)</w:t>
      </w:r>
      <w:r>
        <w:rPr>
          <w:rFonts w:ascii="Times New Roman" w:eastAsia="Times New Roman" w:hAnsi="Times New Roman" w:cs="Times New Roman"/>
          <w:sz w:val="24"/>
          <w:szCs w:val="24"/>
        </w:rPr>
        <w:t>.</w:t>
      </w:r>
    </w:p>
    <w:p w14:paraId="0CD506C6" w14:textId="77777777" w:rsidR="009B6F0C" w:rsidRDefault="009B6F0C">
      <w:pPr>
        <w:jc w:val="both"/>
        <w:rPr>
          <w:rFonts w:ascii="Times New Roman" w:eastAsia="Times New Roman" w:hAnsi="Times New Roman" w:cs="Times New Roman"/>
          <w:sz w:val="24"/>
          <w:szCs w:val="24"/>
        </w:rPr>
      </w:pPr>
    </w:p>
    <w:p w14:paraId="637198CB"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Police officers, alongside homophobic men and women, have frequently targeted peaceful assemblies. Since 2024, notable violations include:</w:t>
      </w:r>
    </w:p>
    <w:p w14:paraId="17FF8CCC" w14:textId="77777777" w:rsidR="009B6F0C"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3 attacks by police officers during peaceful protests;</w:t>
      </w:r>
    </w:p>
    <w:p w14:paraId="41C93AE9" w14:textId="77777777" w:rsidR="009B6F0C"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 instances of denied venue rentals for LBTQ+ or feminist events;</w:t>
      </w:r>
    </w:p>
    <w:p w14:paraId="5FE5DD73" w14:textId="77777777" w:rsidR="009B6F0C"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1 case of electricity being intentionally cut off to sabotage an event;</w:t>
      </w:r>
    </w:p>
    <w:p w14:paraId="106D78B2" w14:textId="77777777" w:rsidR="009B6F0C"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instances of digital surveillance and intimidation, including pressure on local businesses to deny services to activists;</w:t>
      </w:r>
    </w:p>
    <w:p w14:paraId="52BBF810" w14:textId="77777777" w:rsidR="009B6F0C"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Over 10 cases of unlawful detentions of LBTQ+ individuals following peaceful assemblies.</w:t>
      </w:r>
    </w:p>
    <w:p w14:paraId="10286EE2" w14:textId="77777777" w:rsidR="009B6F0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 of the cases of unlawful detentions, harassment and hate crimes against LBQT feminist activists were investigated. </w:t>
      </w:r>
    </w:p>
    <w:p w14:paraId="7A328B3F" w14:textId="77777777" w:rsidR="009B6F0C" w:rsidRDefault="009B6F0C">
      <w:pPr>
        <w:jc w:val="both"/>
        <w:rPr>
          <w:rFonts w:ascii="Times New Roman" w:eastAsia="Times New Roman" w:hAnsi="Times New Roman" w:cs="Times New Roman"/>
          <w:sz w:val="24"/>
          <w:szCs w:val="24"/>
        </w:rPr>
      </w:pPr>
    </w:p>
    <w:p w14:paraId="0014E41B" w14:textId="77777777" w:rsidR="009B6F0C" w:rsidRDefault="00000000">
      <w:pPr>
        <w:ind w:left="720"/>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Case of attacks on peaceful assembly.</w:t>
      </w:r>
      <w:r>
        <w:rPr>
          <w:rFonts w:ascii="Times New Roman" w:eastAsia="Times New Roman" w:hAnsi="Times New Roman" w:cs="Times New Roman"/>
          <w:i/>
          <w:sz w:val="24"/>
          <w:szCs w:val="24"/>
        </w:rPr>
        <w:t xml:space="preserve"> A group of anti gender activists wanted to disrupt the event of “Feminita’s” Lesbian Quryltai (assembly). They called the police, accusing “Feminita” of corrupting minors. They physically attacked the participants of Quryltai. The police arrived, took away Zh., G., A. and the complainants.</w:t>
      </w:r>
    </w:p>
    <w:p w14:paraId="3C7F88CB" w14:textId="77777777" w:rsidR="009B6F0C" w:rsidRDefault="009B6F0C">
      <w:pPr>
        <w:ind w:left="720"/>
        <w:rPr>
          <w:rFonts w:ascii="Times New Roman" w:eastAsia="Times New Roman" w:hAnsi="Times New Roman" w:cs="Times New Roman"/>
          <w:b/>
          <w:i/>
          <w:sz w:val="24"/>
          <w:szCs w:val="24"/>
        </w:rPr>
      </w:pPr>
    </w:p>
    <w:p w14:paraId="03AFBB4D" w14:textId="77777777" w:rsidR="009B6F0C" w:rsidRDefault="00000000">
      <w:pPr>
        <w:ind w:left="720"/>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Case of surveillance of Feminita’s social media account by police.</w:t>
      </w:r>
      <w:r>
        <w:rPr>
          <w:rFonts w:ascii="Times New Roman" w:eastAsia="Times New Roman" w:hAnsi="Times New Roman" w:cs="Times New Roman"/>
          <w:i/>
          <w:sz w:val="24"/>
          <w:szCs w:val="24"/>
        </w:rPr>
        <w:t xml:space="preserve"> G.S. received a summons and was taken to the police station by district police officers to be charged as an offender under Article 488, Part 7 of the Code of the Republic of Kazakhstan on Administrative Offenses. During the presentation, the police reported that the offense was discovered during monitoring of the Instagram page @feminita_kz, where the accused participated in an unauthorized march. As a result, G.S. was fined ~363$.</w:t>
      </w:r>
      <w:r>
        <w:rPr>
          <w:rFonts w:ascii="Times New Roman" w:eastAsia="Times New Roman" w:hAnsi="Times New Roman" w:cs="Times New Roman"/>
          <w:i/>
          <w:sz w:val="24"/>
          <w:szCs w:val="24"/>
          <w:vertAlign w:val="superscript"/>
        </w:rPr>
        <w:footnoteReference w:id="18"/>
      </w:r>
      <w:r>
        <w:rPr>
          <w:rFonts w:ascii="Times New Roman" w:eastAsia="Times New Roman" w:hAnsi="Times New Roman" w:cs="Times New Roman"/>
          <w:i/>
          <w:sz w:val="24"/>
          <w:szCs w:val="24"/>
        </w:rPr>
        <w:t xml:space="preserve"> </w:t>
      </w:r>
    </w:p>
    <w:p w14:paraId="07B13B23" w14:textId="77777777" w:rsidR="009B6F0C" w:rsidRDefault="009B6F0C">
      <w:pPr>
        <w:jc w:val="both"/>
        <w:rPr>
          <w:rFonts w:ascii="Times New Roman" w:eastAsia="Times New Roman" w:hAnsi="Times New Roman" w:cs="Times New Roman"/>
          <w:i/>
          <w:sz w:val="24"/>
          <w:szCs w:val="24"/>
        </w:rPr>
      </w:pPr>
    </w:p>
    <w:p w14:paraId="3536701A" w14:textId="77777777" w:rsidR="009B6F0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in 2024 according to recent legislative changes under the Law on Education, Mentorship, and Child Safety, LBTQ+individuals will be prohibited from serving as mentors for children in orphanages. These discriminatory amendments codify homophobia into law, denying children the opportunity to benefit from diverse, competent, and compassionate mentors solely based on sexual orientation. This legislation exacerbates existing stigmas, fosters inequality, and limits the emotional and social growth of children who could benefit from inclusive role models</w:t>
      </w:r>
      <w:r>
        <w:rPr>
          <w:rFonts w:ascii="Times New Roman" w:eastAsia="Times New Roman" w:hAnsi="Times New Roman" w:cs="Times New Roman"/>
          <w:i/>
          <w:sz w:val="24"/>
          <w:szCs w:val="24"/>
          <w:vertAlign w:val="superscript"/>
        </w:rPr>
        <w:footnoteReference w:id="19"/>
      </w:r>
      <w:r>
        <w:rPr>
          <w:rFonts w:ascii="Times New Roman" w:eastAsia="Times New Roman" w:hAnsi="Times New Roman" w:cs="Times New Roman"/>
          <w:sz w:val="24"/>
          <w:szCs w:val="24"/>
        </w:rPr>
        <w:t>.</w:t>
      </w:r>
    </w:p>
    <w:p w14:paraId="04776CBE" w14:textId="77777777" w:rsidR="009B6F0C" w:rsidRDefault="009B6F0C">
      <w:pPr>
        <w:jc w:val="both"/>
        <w:rPr>
          <w:rFonts w:ascii="Times New Roman" w:eastAsia="Times New Roman" w:hAnsi="Times New Roman" w:cs="Times New Roman"/>
          <w:sz w:val="24"/>
          <w:szCs w:val="24"/>
        </w:rPr>
      </w:pPr>
    </w:p>
    <w:sectPr w:rsidR="009B6F0C">
      <w:headerReference w:type="even" r:id="rId9"/>
      <w:headerReference w:type="default" r:id="rId10"/>
      <w:footerReference w:type="even" r:id="rId11"/>
      <w:footerReference w:type="default" r:id="rId12"/>
      <w:headerReference w:type="first" r:id="rId13"/>
      <w:footerReference w:type="first" r:id="rId14"/>
      <w:pgSz w:w="11906" w:h="16838"/>
      <w:pgMar w:top="1133" w:right="566" w:bottom="1133" w:left="17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9B52E" w14:textId="77777777" w:rsidR="0017434D" w:rsidRDefault="0017434D">
      <w:pPr>
        <w:spacing w:line="240" w:lineRule="auto"/>
      </w:pPr>
      <w:r>
        <w:separator/>
      </w:r>
    </w:p>
  </w:endnote>
  <w:endnote w:type="continuationSeparator" w:id="0">
    <w:p w14:paraId="0A5F86F9" w14:textId="77777777" w:rsidR="0017434D" w:rsidRDefault="001743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903FB" w14:textId="77777777" w:rsidR="00D700F5" w:rsidRDefault="00D700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FAF9" w14:textId="08D16BF4" w:rsidR="009B6F0C" w:rsidRDefault="00000000">
    <w:pPr>
      <w:jc w:val="right"/>
      <w:rPr>
        <w:sz w:val="18"/>
        <w:szCs w:val="18"/>
      </w:rPr>
    </w:pPr>
    <w:r>
      <w:rPr>
        <w:sz w:val="18"/>
        <w:szCs w:val="18"/>
      </w:rPr>
      <w:fldChar w:fldCharType="begin"/>
    </w:r>
    <w:r>
      <w:rPr>
        <w:sz w:val="18"/>
        <w:szCs w:val="18"/>
      </w:rPr>
      <w:instrText>PAGE</w:instrText>
    </w:r>
    <w:r>
      <w:rPr>
        <w:sz w:val="18"/>
        <w:szCs w:val="18"/>
      </w:rPr>
      <w:fldChar w:fldCharType="separate"/>
    </w:r>
    <w:r w:rsidR="00D700F5">
      <w:rPr>
        <w:noProof/>
        <w:sz w:val="18"/>
        <w:szCs w:val="18"/>
      </w:rPr>
      <w:t>2</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400E7" w14:textId="77777777" w:rsidR="009B6F0C" w:rsidRDefault="009B6F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EFBC7" w14:textId="77777777" w:rsidR="0017434D" w:rsidRDefault="0017434D">
      <w:pPr>
        <w:spacing w:line="240" w:lineRule="auto"/>
      </w:pPr>
      <w:r>
        <w:separator/>
      </w:r>
    </w:p>
  </w:footnote>
  <w:footnote w:type="continuationSeparator" w:id="0">
    <w:p w14:paraId="0AE6B509" w14:textId="77777777" w:rsidR="0017434D" w:rsidRDefault="0017434D">
      <w:pPr>
        <w:spacing w:line="240" w:lineRule="auto"/>
      </w:pPr>
      <w:r>
        <w:continuationSeparator/>
      </w:r>
    </w:p>
  </w:footnote>
  <w:footnote w:id="1">
    <w:p w14:paraId="6C27A060" w14:textId="77777777" w:rsidR="009B6F0C"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CEDAW, List of Issues, </w:t>
      </w:r>
      <w:hyperlink r:id="rId1">
        <w:r>
          <w:rPr>
            <w:rFonts w:ascii="Times New Roman" w:eastAsia="Times New Roman" w:hAnsi="Times New Roman" w:cs="Times New Roman"/>
            <w:color w:val="1155CC"/>
            <w:sz w:val="20"/>
            <w:szCs w:val="20"/>
            <w:u w:val="single"/>
          </w:rPr>
          <w:t>CEDAW/C/KAZ/Q/5</w:t>
        </w:r>
      </w:hyperlink>
      <w:r>
        <w:rPr>
          <w:rFonts w:ascii="Times New Roman" w:eastAsia="Times New Roman" w:hAnsi="Times New Roman" w:cs="Times New Roman"/>
          <w:sz w:val="20"/>
          <w:szCs w:val="20"/>
        </w:rPr>
        <w:t>, 18 March 2019.</w:t>
      </w:r>
    </w:p>
  </w:footnote>
  <w:footnote w:id="2">
    <w:p w14:paraId="47407777" w14:textId="77777777" w:rsidR="009B6F0C"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Human Rights Committee, Concluding Observations on Kazakhstan, </w:t>
      </w:r>
      <w:hyperlink r:id="rId2">
        <w:r>
          <w:rPr>
            <w:rFonts w:ascii="Times New Roman" w:eastAsia="Times New Roman" w:hAnsi="Times New Roman" w:cs="Times New Roman"/>
            <w:color w:val="1155CC"/>
            <w:sz w:val="20"/>
            <w:szCs w:val="20"/>
            <w:u w:val="single"/>
          </w:rPr>
          <w:t>CCPR/C/KAZ/CO/2</w:t>
        </w:r>
      </w:hyperlink>
      <w:r>
        <w:rPr>
          <w:rFonts w:ascii="Times New Roman" w:eastAsia="Times New Roman" w:hAnsi="Times New Roman" w:cs="Times New Roman"/>
          <w:sz w:val="20"/>
          <w:szCs w:val="20"/>
        </w:rPr>
        <w:t>, 9 August 2016, para.10.</w:t>
      </w:r>
    </w:p>
  </w:footnote>
  <w:footnote w:id="3">
    <w:p w14:paraId="0F33DBFC"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3">
        <w:r>
          <w:rPr>
            <w:rFonts w:ascii="Times New Roman" w:eastAsia="Times New Roman" w:hAnsi="Times New Roman" w:cs="Times New Roman"/>
            <w:color w:val="1155CC"/>
            <w:sz w:val="20"/>
            <w:szCs w:val="20"/>
            <w:u w:val="single"/>
          </w:rPr>
          <w:t>BesMedia</w:t>
        </w:r>
      </w:hyperlink>
      <w:r>
        <w:rPr>
          <w:rFonts w:ascii="Times New Roman" w:eastAsia="Times New Roman" w:hAnsi="Times New Roman" w:cs="Times New Roman"/>
          <w:sz w:val="20"/>
          <w:szCs w:val="20"/>
        </w:rPr>
        <w:t>, “Conflicts in the family arise because of the length of a woman's tongue” - Deputy Bakkozhaev, February 8, 2024</w:t>
      </w:r>
    </w:p>
  </w:footnote>
  <w:footnote w:id="4">
    <w:p w14:paraId="538B1E86"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4">
        <w:r>
          <w:rPr>
            <w:rFonts w:ascii="Times New Roman" w:eastAsia="Times New Roman" w:hAnsi="Times New Roman" w:cs="Times New Roman"/>
            <w:color w:val="1155CC"/>
            <w:sz w:val="20"/>
            <w:szCs w:val="20"/>
            <w:u w:val="single"/>
          </w:rPr>
          <w:t>Azattyq</w:t>
        </w:r>
      </w:hyperlink>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1155CC"/>
            <w:sz w:val="20"/>
            <w:szCs w:val="20"/>
            <w:u w:val="single"/>
          </w:rPr>
          <w:t>Youth.kz</w:t>
        </w:r>
      </w:hyperlink>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Orda</w:t>
        </w:r>
      </w:hyperlink>
      <w:r>
        <w:rPr>
          <w:rFonts w:ascii="Times New Roman" w:eastAsia="Times New Roman" w:hAnsi="Times New Roman" w:cs="Times New Roman"/>
          <w:sz w:val="20"/>
          <w:szCs w:val="20"/>
        </w:rPr>
        <w:t>, The petition to “ban LGBT propaganda” was partially supported, August 2, 2024</w:t>
      </w:r>
    </w:p>
  </w:footnote>
  <w:footnote w:id="5">
    <w:p w14:paraId="1B1EDB91" w14:textId="77777777" w:rsidR="009B6F0C" w:rsidRDefault="00000000">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Kazakhstan Feminist Initiative “Feminita”, </w:t>
      </w:r>
      <w:hyperlink r:id="rId7">
        <w:r>
          <w:rPr>
            <w:rFonts w:ascii="Times New Roman" w:eastAsia="Times New Roman" w:hAnsi="Times New Roman" w:cs="Times New Roman"/>
            <w:color w:val="1155CC"/>
            <w:sz w:val="20"/>
            <w:szCs w:val="20"/>
            <w:u w:val="single"/>
          </w:rPr>
          <w:t>Alternative Report on Implementation of the Convention on the Elimination of All Forms of Discrimination Against Women in Kazakhstan</w:t>
        </w:r>
      </w:hyperlink>
      <w:r>
        <w:rPr>
          <w:rFonts w:ascii="Times New Roman" w:eastAsia="Times New Roman" w:hAnsi="Times New Roman" w:cs="Times New Roman"/>
          <w:sz w:val="20"/>
          <w:szCs w:val="20"/>
        </w:rPr>
        <w:t>, January 2019, p. 6.</w:t>
      </w:r>
    </w:p>
  </w:footnote>
  <w:footnote w:id="6">
    <w:p w14:paraId="09D9F7D6" w14:textId="77777777" w:rsidR="009B6F0C" w:rsidRDefault="00000000">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w:t>
      </w:r>
      <w:hyperlink r:id="rId8" w:anchor="pos=0;164">
        <w:r>
          <w:rPr>
            <w:rFonts w:ascii="Times New Roman" w:eastAsia="Times New Roman" w:hAnsi="Times New Roman" w:cs="Times New Roman"/>
            <w:color w:val="1155CC"/>
            <w:sz w:val="20"/>
            <w:szCs w:val="20"/>
            <w:u w:val="single"/>
          </w:rPr>
          <w:t>The Normative Decree of the Supreme Court of the Republic of Kazakhstan</w:t>
        </w:r>
      </w:hyperlink>
      <w:r>
        <w:rPr>
          <w:rFonts w:ascii="Times New Roman" w:eastAsia="Times New Roman" w:hAnsi="Times New Roman" w:cs="Times New Roman"/>
          <w:sz w:val="20"/>
          <w:szCs w:val="20"/>
        </w:rPr>
        <w:t xml:space="preserve">. </w:t>
      </w:r>
    </w:p>
  </w:footnote>
  <w:footnote w:id="7">
    <w:p w14:paraId="0A057C07" w14:textId="77777777" w:rsidR="009B6F0C" w:rsidRDefault="00000000">
      <w:pPr>
        <w:spacing w:line="240" w:lineRule="auto"/>
        <w:rPr>
          <w:sz w:val="20"/>
          <w:szCs w:val="20"/>
        </w:rPr>
      </w:pPr>
      <w:r>
        <w:rPr>
          <w:vertAlign w:val="superscript"/>
        </w:rPr>
        <w:footnoteRef/>
      </w:r>
      <w:r>
        <w:rPr>
          <w:sz w:val="20"/>
          <w:szCs w:val="20"/>
        </w:rPr>
        <w:t xml:space="preserve"> </w:t>
      </w:r>
      <w:hyperlink r:id="rId9"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121.</w:t>
      </w:r>
    </w:p>
  </w:footnote>
  <w:footnote w:id="8">
    <w:p w14:paraId="0F73BD43" w14:textId="77777777" w:rsidR="009B6F0C" w:rsidRDefault="00000000">
      <w:pPr>
        <w:spacing w:line="240" w:lineRule="auto"/>
        <w:rPr>
          <w:sz w:val="20"/>
          <w:szCs w:val="20"/>
        </w:rPr>
      </w:pPr>
      <w:r>
        <w:rPr>
          <w:vertAlign w:val="superscript"/>
        </w:rPr>
        <w:footnoteRef/>
      </w:r>
      <w:r>
        <w:rPr>
          <w:sz w:val="20"/>
          <w:szCs w:val="20"/>
        </w:rPr>
        <w:t xml:space="preserve"> </w:t>
      </w:r>
      <w:hyperlink r:id="rId10"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122.</w:t>
      </w:r>
    </w:p>
  </w:footnote>
  <w:footnote w:id="9">
    <w:p w14:paraId="663066F7" w14:textId="77777777" w:rsidR="009B6F0C"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1 monthly calculation index (MCI) in 2025  amounts to 3 932 KZT, approximately 7,7 USD.</w:t>
      </w:r>
    </w:p>
  </w:footnote>
  <w:footnote w:id="10">
    <w:p w14:paraId="69EAF156" w14:textId="77777777" w:rsidR="009B6F0C" w:rsidRDefault="00000000">
      <w:pPr>
        <w:spacing w:line="240" w:lineRule="auto"/>
        <w:rPr>
          <w:sz w:val="20"/>
          <w:szCs w:val="20"/>
        </w:rPr>
      </w:pPr>
      <w:r>
        <w:rPr>
          <w:vertAlign w:val="superscript"/>
        </w:rPr>
        <w:footnoteRef/>
      </w:r>
      <w:r>
        <w:rPr>
          <w:sz w:val="20"/>
          <w:szCs w:val="20"/>
        </w:rPr>
        <w:t xml:space="preserve"> </w:t>
      </w:r>
      <w:hyperlink r:id="rId11"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123.</w:t>
      </w:r>
    </w:p>
  </w:footnote>
  <w:footnote w:id="11">
    <w:p w14:paraId="753967C0"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2"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120.</w:t>
      </w:r>
    </w:p>
  </w:footnote>
  <w:footnote w:id="12">
    <w:p w14:paraId="364E2617"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3">
        <w:r>
          <w:rPr>
            <w:rFonts w:ascii="Times New Roman" w:eastAsia="Times New Roman" w:hAnsi="Times New Roman" w:cs="Times New Roman"/>
            <w:color w:val="1155CC"/>
            <w:sz w:val="20"/>
            <w:szCs w:val="20"/>
            <w:u w:val="single"/>
          </w:rPr>
          <w:t>Orda</w:t>
        </w:r>
      </w:hyperlink>
      <w:r>
        <w:rPr>
          <w:rFonts w:ascii="Times New Roman" w:eastAsia="Times New Roman" w:hAnsi="Times New Roman" w:cs="Times New Roman"/>
          <w:sz w:val="20"/>
          <w:szCs w:val="20"/>
        </w:rPr>
        <w:t xml:space="preserve">, NeMolchi Founder D. T. Released Following Detention, April 15, 2025 </w:t>
      </w:r>
    </w:p>
  </w:footnote>
  <w:footnote w:id="13">
    <w:p w14:paraId="6F180536"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4">
        <w:r>
          <w:rPr>
            <w:rFonts w:ascii="Times New Roman" w:eastAsia="Times New Roman" w:hAnsi="Times New Roman" w:cs="Times New Roman"/>
            <w:color w:val="1155CC"/>
            <w:sz w:val="20"/>
            <w:szCs w:val="20"/>
            <w:u w:val="single"/>
          </w:rPr>
          <w:t>HRW</w:t>
        </w:r>
      </w:hyperlink>
      <w:r>
        <w:rPr>
          <w:rFonts w:ascii="Times New Roman" w:eastAsia="Times New Roman" w:hAnsi="Times New Roman" w:cs="Times New Roman"/>
          <w:sz w:val="20"/>
          <w:szCs w:val="20"/>
        </w:rPr>
        <w:t>, Human Rights Watch Submission to the Universal Periodic Review of Kazakhstan, July 2025</w:t>
      </w:r>
    </w:p>
  </w:footnote>
  <w:footnote w:id="14">
    <w:p w14:paraId="078CE60D" w14:textId="77777777" w:rsidR="009B6F0C"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Committee on Economic, Social and Cultural Rights, Concluding Observations on Kazakhstan, </w:t>
      </w:r>
      <w:hyperlink r:id="rId15">
        <w:r>
          <w:rPr>
            <w:rFonts w:ascii="Times New Roman" w:eastAsia="Times New Roman" w:hAnsi="Times New Roman" w:cs="Times New Roman"/>
            <w:color w:val="1155CC"/>
            <w:sz w:val="20"/>
            <w:szCs w:val="20"/>
            <w:u w:val="single"/>
          </w:rPr>
          <w:t>E/C.12/KAZ/CO/2</w:t>
        </w:r>
      </w:hyperlink>
      <w:r>
        <w:rPr>
          <w:rFonts w:ascii="Times New Roman" w:eastAsia="Times New Roman" w:hAnsi="Times New Roman" w:cs="Times New Roman"/>
          <w:sz w:val="20"/>
          <w:szCs w:val="20"/>
        </w:rPr>
        <w:t>, 29 March 2019, para. 9.</w:t>
      </w:r>
    </w:p>
  </w:footnote>
  <w:footnote w:id="15">
    <w:p w14:paraId="436236E5"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6">
        <w:r>
          <w:rPr>
            <w:rFonts w:ascii="Times New Roman" w:eastAsia="Times New Roman" w:hAnsi="Times New Roman" w:cs="Times New Roman"/>
            <w:color w:val="1155CC"/>
            <w:sz w:val="20"/>
            <w:szCs w:val="20"/>
            <w:u w:val="single"/>
          </w:rPr>
          <w:t>Azattyq</w:t>
        </w:r>
      </w:hyperlink>
      <w:r>
        <w:rPr>
          <w:rFonts w:ascii="Times New Roman" w:eastAsia="Times New Roman" w:hAnsi="Times New Roman" w:cs="Times New Roman"/>
          <w:sz w:val="20"/>
          <w:szCs w:val="20"/>
        </w:rPr>
        <w:t>, Court fined Feminita co-founder Zh. S. after she stated that her event had been disrupted, February 21, 2025</w:t>
      </w:r>
    </w:p>
  </w:footnote>
  <w:footnote w:id="16">
    <w:p w14:paraId="29E0D58C"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7">
        <w:r>
          <w:rPr>
            <w:rFonts w:ascii="Times New Roman" w:eastAsia="Times New Roman" w:hAnsi="Times New Roman" w:cs="Times New Roman"/>
            <w:color w:val="1155CC"/>
            <w:sz w:val="20"/>
            <w:szCs w:val="20"/>
            <w:u w:val="single"/>
          </w:rPr>
          <w:t>KazTAG</w:t>
        </w:r>
      </w:hyperlink>
      <w:r>
        <w:rPr>
          <w:rFonts w:ascii="Times New Roman" w:eastAsia="Times New Roman" w:hAnsi="Times New Roman" w:cs="Times New Roman"/>
          <w:sz w:val="20"/>
          <w:szCs w:val="20"/>
        </w:rPr>
        <w:t xml:space="preserve">, A working group to draft a law on NGOs has been established in Kazakhstan, May 7, 2025 </w:t>
      </w:r>
    </w:p>
  </w:footnote>
  <w:footnote w:id="17">
    <w:p w14:paraId="316D13FB" w14:textId="77777777" w:rsidR="009B6F0C"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8">
        <w:r>
          <w:rPr>
            <w:rFonts w:ascii="Times New Roman" w:eastAsia="Times New Roman" w:hAnsi="Times New Roman" w:cs="Times New Roman"/>
            <w:color w:val="1155CC"/>
            <w:sz w:val="20"/>
            <w:szCs w:val="20"/>
            <w:u w:val="single"/>
          </w:rPr>
          <w:t>Stat.gov</w:t>
        </w:r>
      </w:hyperlink>
      <w:r>
        <w:rPr>
          <w:rFonts w:ascii="Times New Roman" w:eastAsia="Times New Roman" w:hAnsi="Times New Roman" w:cs="Times New Roman"/>
          <w:sz w:val="20"/>
          <w:szCs w:val="20"/>
        </w:rPr>
        <w:t>, Share of seats held by women in the Parliament of the Republic of Kazakhstan (Senate, Majilis)</w:t>
      </w:r>
    </w:p>
  </w:footnote>
  <w:footnote w:id="18">
    <w:p w14:paraId="40A45FE5" w14:textId="77777777" w:rsidR="009B6F0C"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Cases documented by Kazakhstan Feminist Initiative “Feminita”.</w:t>
      </w:r>
    </w:p>
  </w:footnote>
  <w:footnote w:id="19">
    <w:p w14:paraId="7CFFBA9D" w14:textId="77777777" w:rsidR="009B6F0C" w:rsidRDefault="00000000">
      <w:pPr>
        <w:spacing w:line="240" w:lineRule="auto"/>
        <w:rPr>
          <w:sz w:val="16"/>
          <w:szCs w:val="16"/>
        </w:rPr>
      </w:pPr>
      <w:r>
        <w:rPr>
          <w:vertAlign w:val="superscript"/>
        </w:rPr>
        <w:footnoteRef/>
      </w:r>
      <w:r>
        <w:rPr>
          <w:sz w:val="20"/>
          <w:szCs w:val="20"/>
        </w:rPr>
        <w:t xml:space="preserve"> </w:t>
      </w:r>
      <w:hyperlink r:id="rId19">
        <w:r>
          <w:rPr>
            <w:rFonts w:ascii="Times New Roman" w:eastAsia="Times New Roman" w:hAnsi="Times New Roman" w:cs="Times New Roman"/>
            <w:color w:val="1155CC"/>
            <w:sz w:val="20"/>
            <w:szCs w:val="20"/>
            <w:u w:val="single"/>
          </w:rPr>
          <w:t>Azattyk</w:t>
        </w:r>
      </w:hyperlink>
      <w:r>
        <w:rPr>
          <w:rFonts w:ascii="Times New Roman" w:eastAsia="Times New Roman" w:hAnsi="Times New Roman" w:cs="Times New Roman"/>
          <w:sz w:val="20"/>
          <w:szCs w:val="20"/>
        </w:rPr>
        <w:t>. Tokayev signs law banning LGBT+ adoption and mentoring of orphans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19E1C" w14:textId="77777777" w:rsidR="00D700F5" w:rsidRDefault="00D700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F652" w14:textId="77777777" w:rsidR="009B6F0C" w:rsidRDefault="009B6F0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E6F52" w14:textId="77777777" w:rsidR="00D700F5" w:rsidRDefault="00D700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7A4F2C"/>
    <w:multiLevelType w:val="multilevel"/>
    <w:tmpl w:val="3C329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CA550AE"/>
    <w:multiLevelType w:val="multilevel"/>
    <w:tmpl w:val="DEC02A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66620980">
    <w:abstractNumId w:val="0"/>
  </w:num>
  <w:num w:numId="2" w16cid:durableId="377583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F0C"/>
    <w:rsid w:val="0017434D"/>
    <w:rsid w:val="00464C7C"/>
    <w:rsid w:val="009B6F0C"/>
    <w:rsid w:val="00D700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443A4"/>
  <w15:docId w15:val="{FA94E6EE-6507-2841-BC8C-A7E2409B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700F5"/>
    <w:pPr>
      <w:tabs>
        <w:tab w:val="center" w:pos="4680"/>
        <w:tab w:val="right" w:pos="9360"/>
      </w:tabs>
      <w:spacing w:line="240" w:lineRule="auto"/>
    </w:pPr>
  </w:style>
  <w:style w:type="character" w:customStyle="1" w:styleId="HeaderChar">
    <w:name w:val="Header Char"/>
    <w:basedOn w:val="DefaultParagraphFont"/>
    <w:link w:val="Header"/>
    <w:uiPriority w:val="99"/>
    <w:rsid w:val="00D700F5"/>
  </w:style>
  <w:style w:type="paragraph" w:styleId="Footer">
    <w:name w:val="footer"/>
    <w:basedOn w:val="Normal"/>
    <w:link w:val="FooterChar"/>
    <w:uiPriority w:val="99"/>
    <w:unhideWhenUsed/>
    <w:rsid w:val="00D700F5"/>
    <w:pPr>
      <w:tabs>
        <w:tab w:val="center" w:pos="4680"/>
        <w:tab w:val="right" w:pos="9360"/>
      </w:tabs>
      <w:spacing w:line="240" w:lineRule="auto"/>
    </w:pPr>
  </w:style>
  <w:style w:type="character" w:customStyle="1" w:styleId="FooterChar">
    <w:name w:val="Footer Char"/>
    <w:basedOn w:val="DefaultParagraphFont"/>
    <w:link w:val="Footer"/>
    <w:uiPriority w:val="99"/>
    <w:rsid w:val="00D70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online.zakon.kz/Document/?doc_id=30105463" TargetMode="External"/><Relationship Id="rId13" Type="http://schemas.openxmlformats.org/officeDocument/2006/relationships/hyperlink" Target="https://en.orda.kz/nemolchi-founder-dina-tansari-released-following-detention-5979/" TargetMode="External"/><Relationship Id="rId18" Type="http://schemas.openxmlformats.org/officeDocument/2006/relationships/hyperlink" Target="http://stat.gov" TargetMode="External"/><Relationship Id="rId3" Type="http://schemas.openxmlformats.org/officeDocument/2006/relationships/hyperlink" Target="https://bes.media/news/konflikti-v-seme-voznikayut-iz-za-dlini-zhenskogo-yazika-deputat-bakkozhaev-obyasnil-svoyo-vistuplenie-v-mazhilise/" TargetMode="External"/><Relationship Id="rId7" Type="http://schemas.openxmlformats.org/officeDocument/2006/relationships/hyperlink" Target="https://tbinternet.ohchr.org/_layouts/15/treatybodyexternal/Download.aspx?symbolno=INT%2fCEDAW%2fCSS%2fKAZ%2f33738&amp;Lang=en" TargetMode="External"/><Relationship Id="rId12" Type="http://schemas.openxmlformats.org/officeDocument/2006/relationships/hyperlink" Target="https://online.zakon.kz/document/?doc_id=31575252" TargetMode="External"/><Relationship Id="rId17" Type="http://schemas.openxmlformats.org/officeDocument/2006/relationships/hyperlink" Target="https://kaztag.kz/ru/news-of-the-day/rabochaya-gruppa-po-razrabotke-zakona-ob-npo-sozdana-v-kazakhstane" TargetMode="External"/><Relationship Id="rId2" Type="http://schemas.openxmlformats.org/officeDocument/2006/relationships/hyperlink" Target="http://docstore.ohchr.org/SelfServices/FilesHandler.ashx?enc=6QkG1d%2fPPRiCAqhKb7yhsnVLXh7tWotjakJ2A4dlu%2fy2qfDftERdCyCiDGloD6fvzZPyCZ0wxIQtC5PKOS88usA9KTALCc%2bvYBxRUcrhBBAppOyS%2foU4aLnMIOYiy%2blt" TargetMode="External"/><Relationship Id="rId16" Type="http://schemas.openxmlformats.org/officeDocument/2006/relationships/hyperlink" Target="https://rus.azattyq.org/a/33322971.html" TargetMode="External"/><Relationship Id="rId1" Type="http://schemas.openxmlformats.org/officeDocument/2006/relationships/hyperlink" Target="http://docstore.ohchr.org/SelfServices/FilesHandler.ashx?enc=6QkG1d%2fPPRiCAqhKb7yhsglff%2fiazrVw%2bcyfdY9GxZ4SlgyEN%2fE1QlJ4l%2ftVDUdRXm4pBWo%2fklFbBMKlYb6IssBIHhPy1ZxB46AMAx%2fTGeP4a1PWRbyn9ScBacdzTJvK" TargetMode="External"/><Relationship Id="rId6" Type="http://schemas.openxmlformats.org/officeDocument/2006/relationships/hyperlink" Target="https://orda.kz/pod-natiskom-mrakobesija-kak-proshlo-obsuzhdenie-peticii-protiv-propagandy-lgbt-389922/" TargetMode="External"/><Relationship Id="rId11" Type="http://schemas.openxmlformats.org/officeDocument/2006/relationships/hyperlink" Target="https://online.zakon.kz/document/?doc_id=31575252" TargetMode="External"/><Relationship Id="rId5" Type="http://schemas.openxmlformats.org/officeDocument/2006/relationships/hyperlink" Target="https://youth.kz/article/obsuzhdenie-zapreta-propagandy-lgbtk-podmena-faktov-i-formalnyj-dialog-U1ChhAae6kspiIfLgVze" TargetMode="External"/><Relationship Id="rId15" Type="http://schemas.openxmlformats.org/officeDocument/2006/relationships/hyperlink" Target="http://docstore.ohchr.org/SelfServices/FilesHandler.ashx?enc=4slQ6QSmlBEDzFEovLCuWzkLn5QA2sHMzcgILbdGh1o%2bE7e9LVeibvxLDw2%2fH%2fjPni2eASbE%2fkqCDqg6MHosDf09Fh%2fsxpFX2J88euyqRo2oPCtKtlf1q%2fNtZJtYwSgV" TargetMode="External"/><Relationship Id="rId10" Type="http://schemas.openxmlformats.org/officeDocument/2006/relationships/hyperlink" Target="https://online.zakon.kz/document/?doc_id=31575252" TargetMode="External"/><Relationship Id="rId19" Type="http://schemas.openxmlformats.org/officeDocument/2006/relationships/hyperlink" Target="https://rus.azattyq.org/a/32832434.html" TargetMode="External"/><Relationship Id="rId4" Type="http://schemas.openxmlformats.org/officeDocument/2006/relationships/hyperlink" Target="https://rus.azattyq.org/a/33060858.html" TargetMode="External"/><Relationship Id="rId9" Type="http://schemas.openxmlformats.org/officeDocument/2006/relationships/hyperlink" Target="https://online.zakon.kz/document/?doc_id=31575252" TargetMode="External"/><Relationship Id="rId14" Type="http://schemas.openxmlformats.org/officeDocument/2006/relationships/hyperlink" Target="https://www.hrw.org/news/2025/01/10/human-rights-watch-submission-universal-periodic-review-kazakhs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2960</Words>
  <Characters>16872</Characters>
  <Application>Microsoft Office Word</Application>
  <DocSecurity>0</DocSecurity>
  <Lines>140</Lines>
  <Paragraphs>39</Paragraphs>
  <ScaleCrop>false</ScaleCrop>
  <Company/>
  <LinksUpToDate>false</LinksUpToDate>
  <CharactersWithSpaces>19793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Sekerbayeva Zhanar</cp:lastModifiedBy>
  <cp:revision>2</cp:revision>
  <dcterms:created xsi:type="dcterms:W3CDTF">2025-05-23T11:39:00Z</dcterms:created>
  <dcterms:modified xsi:type="dcterms:W3CDTF">2025-05-23T11:39:00Z</dcterms:modified>
</cp:coreProperties>
</file>