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276" w:lineRule="auto"/>
        <w:ind w:left="0" w:firstLine="0"/>
        <w:jc w:val="left"/>
        <w:rPr/>
      </w:pPr>
      <w:bookmarkStart w:colFirst="0" w:colLast="0" w:name="_heading=h.r3wwp8mp5kmy" w:id="0"/>
      <w:bookmarkEnd w:id="0"/>
      <w:r w:rsidDel="00000000" w:rsidR="00000000" w:rsidRPr="00000000">
        <w:rPr>
          <w:rtl w:val="0"/>
        </w:rPr>
        <w:t xml:space="preserve">Information on The Republic of India for consideration by the Committee on the Elimination of Discrimination against Women during the 94th Pre-Sessional Working Group (27 October - 31st October 2025)</w:t>
      </w:r>
    </w:p>
    <w:p w:rsidR="00000000" w:rsidDel="00000000" w:rsidP="00000000" w:rsidRDefault="00000000" w:rsidRPr="00000000" w14:paraId="00000002">
      <w:pPr>
        <w:spacing w:line="276"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Introduction</w:t>
      </w:r>
    </w:p>
    <w:p w:rsidR="00000000" w:rsidDel="00000000" w:rsidP="00000000" w:rsidRDefault="00000000" w:rsidRPr="00000000" w14:paraId="00000003">
      <w:pPr>
        <w:numPr>
          <w:ilvl w:val="0"/>
          <w:numId w:val="4"/>
        </w:numPr>
        <w:ind w:left="5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We respectfully submit this report to the Committee on the Elimination of Discrimination Against Women (“the Committee”) to complement its preparation of the List of Issues in relation to India’s review by the Committee.</w:t>
      </w:r>
    </w:p>
    <w:p w:rsidR="00000000" w:rsidDel="00000000" w:rsidP="00000000" w:rsidRDefault="00000000" w:rsidRPr="00000000" w14:paraId="00000004">
      <w:pPr>
        <w:numPr>
          <w:ilvl w:val="0"/>
          <w:numId w:val="4"/>
        </w:numPr>
        <w:ind w:left="5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Global Campaign for Equality in Family Law (GCEFL) was launched by eight women’s rights</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human rights and faith based organisations in 2020. The overarching goal of the GCEFL is equality for all women and girls and other marginalised groups under law, policy, and practice in matters relating to families in all their diversity, regardless of religion and culture. </w:t>
      </w:r>
    </w:p>
    <w:p w:rsidR="00000000" w:rsidDel="00000000" w:rsidP="00000000" w:rsidRDefault="00000000" w:rsidRPr="00000000" w14:paraId="00000005">
      <w:pPr>
        <w:numPr>
          <w:ilvl w:val="0"/>
          <w:numId w:val="4"/>
        </w:numPr>
        <w:ind w:left="5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We remain deeply concerned about India’s failure to respect its obligation to submit periodic reports to the CEDAW committee every four years. We hope that India will exhibit more willingness to engage in a constructive dialogue with the CEDAW committee in future.</w:t>
      </w:r>
    </w:p>
    <w:p w:rsidR="00000000" w:rsidDel="00000000" w:rsidP="00000000" w:rsidRDefault="00000000" w:rsidRPr="00000000" w14:paraId="00000006">
      <w:pPr>
        <w:numPr>
          <w:ilvl w:val="0"/>
          <w:numId w:val="4"/>
        </w:numPr>
        <w:ind w:left="54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 this report</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vertAlign w:val="superscript"/>
          <w:rtl w:val="0"/>
        </w:rPr>
        <w:t xml:space="preserve"> </w:t>
      </w:r>
      <w:r w:rsidDel="00000000" w:rsidR="00000000" w:rsidRPr="00000000">
        <w:rPr>
          <w:rFonts w:ascii="Arial" w:cs="Arial" w:eastAsia="Arial" w:hAnsi="Arial"/>
          <w:sz w:val="20"/>
          <w:szCs w:val="20"/>
          <w:rtl w:val="0"/>
        </w:rPr>
        <w:t xml:space="preserve">GCEFL suggests a number of questions for the Committee to consider when formulating its List of Issues and Questions to the government of India to address the status of the implementation of the Convention on the Elimination of All Forms of Discrimination against Women (CEDAW Convention) in India. The issues and practices detailed in our report highlight the State's violations including: </w:t>
      </w:r>
    </w:p>
    <w:p w:rsidR="00000000" w:rsidDel="00000000" w:rsidP="00000000" w:rsidRDefault="00000000" w:rsidRPr="00000000" w14:paraId="00000007">
      <w:pPr>
        <w:numPr>
          <w:ilvl w:val="1"/>
          <w:numId w:val="4"/>
        </w:numPr>
        <w:spacing w:after="0"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Restrictions on the right to freely choose a spouse or intimate partner</w:t>
      </w:r>
      <w:r w:rsidDel="00000000" w:rsidR="00000000" w:rsidRPr="00000000">
        <w:rPr>
          <w:rtl w:val="0"/>
        </w:rPr>
      </w:r>
    </w:p>
    <w:p w:rsidR="00000000" w:rsidDel="00000000" w:rsidP="00000000" w:rsidRDefault="00000000" w:rsidRPr="00000000" w14:paraId="00000008">
      <w:pPr>
        <w:numPr>
          <w:ilvl w:val="1"/>
          <w:numId w:val="4"/>
        </w:numPr>
        <w:spacing w:after="0"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Requirement of performance of ceremonies for validity of Hindu marriage - ramifications for women</w:t>
      </w:r>
      <w:r w:rsidDel="00000000" w:rsidR="00000000" w:rsidRPr="00000000">
        <w:rPr>
          <w:rtl w:val="0"/>
        </w:rPr>
      </w:r>
    </w:p>
    <w:p w:rsidR="00000000" w:rsidDel="00000000" w:rsidP="00000000" w:rsidRDefault="00000000" w:rsidRPr="00000000" w14:paraId="00000009">
      <w:pPr>
        <w:numPr>
          <w:ilvl w:val="1"/>
          <w:numId w:val="4"/>
        </w:numPr>
        <w:spacing w:after="0"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Restitution of conjugal rights and lack of bodily autonomy of women</w:t>
      </w:r>
      <w:r w:rsidDel="00000000" w:rsidR="00000000" w:rsidRPr="00000000">
        <w:rPr>
          <w:rtl w:val="0"/>
        </w:rPr>
      </w:r>
    </w:p>
    <w:p w:rsidR="00000000" w:rsidDel="00000000" w:rsidP="00000000" w:rsidRDefault="00000000" w:rsidRPr="00000000" w14:paraId="0000000A">
      <w:pPr>
        <w:numPr>
          <w:ilvl w:val="1"/>
          <w:numId w:val="4"/>
        </w:numPr>
        <w:spacing w:after="0" w:lineRule="auto"/>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Gender discrimination in guardianship laws</w:t>
      </w:r>
      <w:r w:rsidDel="00000000" w:rsidR="00000000" w:rsidRPr="00000000">
        <w:rPr>
          <w:rtl w:val="0"/>
        </w:rPr>
      </w:r>
    </w:p>
    <w:p w:rsidR="00000000" w:rsidDel="00000000" w:rsidP="00000000" w:rsidRDefault="00000000" w:rsidRPr="00000000" w14:paraId="0000000B">
      <w:pPr>
        <w:numPr>
          <w:ilvl w:val="1"/>
          <w:numId w:val="4"/>
        </w:numPr>
        <w:ind w:left="144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Lack of economic rights of women within family laws</w:t>
      </w:r>
      <w:r w:rsidDel="00000000" w:rsidR="00000000" w:rsidRPr="00000000">
        <w:rPr>
          <w:rtl w:val="0"/>
        </w:rPr>
      </w:r>
    </w:p>
    <w:p w:rsidR="00000000" w:rsidDel="00000000" w:rsidP="00000000" w:rsidRDefault="00000000" w:rsidRPr="00000000" w14:paraId="0000000C">
      <w:pPr>
        <w:ind w:left="144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pStyle w:val="Title"/>
        <w:numPr>
          <w:ilvl w:val="0"/>
          <w:numId w:val="1"/>
        </w:numPr>
        <w:spacing w:line="276" w:lineRule="auto"/>
        <w:ind w:left="720" w:hanging="360"/>
        <w:jc w:val="left"/>
        <w:rPr>
          <w:u w:val="none"/>
        </w:rPr>
      </w:pPr>
      <w:bookmarkStart w:colFirst="0" w:colLast="0" w:name="_heading=h.bs4pujafdpqf" w:id="1"/>
      <w:bookmarkEnd w:id="1"/>
      <w:r w:rsidDel="00000000" w:rsidR="00000000" w:rsidRPr="00000000">
        <w:rPr>
          <w:rtl w:val="0"/>
        </w:rPr>
        <w:t xml:space="preserve">Background on Family Laws in India</w:t>
      </w:r>
      <w:r w:rsidDel="00000000" w:rsidR="00000000" w:rsidRPr="00000000">
        <w:rPr>
          <w:rtl w:val="0"/>
        </w:rPr>
      </w:r>
    </w:p>
    <w:p w:rsidR="00000000" w:rsidDel="00000000" w:rsidP="00000000" w:rsidRDefault="00000000" w:rsidRPr="00000000" w14:paraId="0000000E">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India has a plural family law system, which, despite constitutional guarantees of gender equality, remains marked by significant discriminatory provisions that  disadvantage women from all communities. The tension between constitutional principles and traditional religious practices has created a complex web of legal inconsistencies affecting millions of citizens. </w:t>
      </w:r>
    </w:p>
    <w:p w:rsidR="00000000" w:rsidDel="00000000" w:rsidP="00000000" w:rsidRDefault="00000000" w:rsidRPr="00000000" w14:paraId="0000000F">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personal/family law system includes Hindu law (applicable to Hindus, Buddhists, Sikhs, and Jains), Muslim law, Christian law, Parsi law, and Jewish law. Each system has evolved differently, leading to varying standards of rights and protections, particularly for women and children. Secular family laws that are optional in nature coexist and are available to all citizens, however there is usually significant pressure on women to follow family laws and practices of their religious community. </w:t>
      </w:r>
    </w:p>
    <w:p w:rsidR="00000000" w:rsidDel="00000000" w:rsidP="00000000" w:rsidRDefault="00000000" w:rsidRPr="00000000" w14:paraId="00000010">
      <w:pPr>
        <w:spacing w:line="276"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Concerns with the Uniform Civil Code (UCC)</w:t>
      </w:r>
    </w:p>
    <w:p w:rsidR="00000000" w:rsidDel="00000000" w:rsidP="00000000" w:rsidRDefault="00000000" w:rsidRPr="00000000" w14:paraId="00000011">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There has been a move towards implementing a Uniform Civil Code (UCC) in the state of Uttarakhand enacted in 2024, consisting of family law provisions applicable to all religious communities, however, women’s rights activists and groups working at the grassroots have raised </w:t>
      </w:r>
      <w:r w:rsidDel="00000000" w:rsidR="00000000" w:rsidRPr="00000000">
        <w:rPr>
          <w:rFonts w:ascii="Arial" w:cs="Arial" w:eastAsia="Arial" w:hAnsi="Arial"/>
          <w:sz w:val="20"/>
          <w:szCs w:val="20"/>
          <w:u w:val="single"/>
          <w:rtl w:val="0"/>
        </w:rPr>
        <w:t xml:space="preserve">serious concerns</w:t>
      </w:r>
      <w:r w:rsidDel="00000000" w:rsidR="00000000" w:rsidRPr="00000000">
        <w:rPr>
          <w:rFonts w:ascii="Arial" w:cs="Arial" w:eastAsia="Arial" w:hAnsi="Arial"/>
          <w:sz w:val="20"/>
          <w:szCs w:val="20"/>
          <w:rtl w:val="0"/>
        </w:rPr>
        <w:t xml:space="preserve"> generally about the UCC and particularly about the Uttarakhand UCC (UKUCC). They have questioned the political intent behind the initiative towards enacting the UCC</w:t>
      </w:r>
      <w:r w:rsidDel="00000000" w:rsidR="00000000" w:rsidRPr="00000000">
        <w:rPr>
          <w:rFonts w:ascii="Arial" w:cs="Arial" w:eastAsia="Arial" w:hAnsi="Arial"/>
          <w:sz w:val="20"/>
          <w:szCs w:val="20"/>
          <w:vertAlign w:val="superscript"/>
        </w:rPr>
        <w:footnoteReference w:customMarkFollows="0" w:id="2"/>
      </w:r>
      <w:r w:rsidDel="00000000" w:rsidR="00000000" w:rsidRPr="00000000">
        <w:rPr>
          <w:rFonts w:ascii="Arial" w:cs="Arial" w:eastAsia="Arial" w:hAnsi="Arial"/>
          <w:sz w:val="20"/>
          <w:szCs w:val="20"/>
          <w:rtl w:val="0"/>
        </w:rPr>
        <w:t xml:space="preserve"> and the commitment to gender justice.</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They question the assumption that uniformity will implicitly bring about gender equality.</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The Law Commission of India, after an extensive study, concluded that the UCC was </w:t>
      </w:r>
      <w:r w:rsidDel="00000000" w:rsidR="00000000" w:rsidRPr="00000000">
        <w:rPr>
          <w:rFonts w:ascii="Arial" w:cs="Arial" w:eastAsia="Arial" w:hAnsi="Arial"/>
          <w:sz w:val="20"/>
          <w:szCs w:val="20"/>
          <w:u w:val="single"/>
          <w:rtl w:val="0"/>
        </w:rPr>
        <w:t xml:space="preserve">neither feasible nor desirable in the complex socio-legal terrain of India,</w:t>
      </w:r>
      <w:r w:rsidDel="00000000" w:rsidR="00000000" w:rsidRPr="00000000">
        <w:rPr>
          <w:rFonts w:ascii="Arial" w:cs="Arial" w:eastAsia="Arial" w:hAnsi="Arial"/>
          <w:sz w:val="20"/>
          <w:szCs w:val="20"/>
          <w:rtl w:val="0"/>
        </w:rPr>
        <w:t xml:space="preserve"> and recommended prioritising elimination of gender discriminatory provisions in each set of laws governing the religious communities.</w:t>
      </w:r>
      <w:r w:rsidDel="00000000" w:rsidR="00000000" w:rsidRPr="00000000">
        <w:rPr>
          <w:rFonts w:ascii="Arial" w:cs="Arial" w:eastAsia="Arial" w:hAnsi="Arial"/>
          <w:sz w:val="20"/>
          <w:szCs w:val="20"/>
          <w:vertAlign w:val="superscript"/>
        </w:rPr>
        <w:footnoteReference w:customMarkFollows="0" w:id="5"/>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2">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CEDAW committee's last concluding observations for India included key recommendations on family law matters. The Committee raised concerns about the lack of uniform application of the Prevention of Child Marriages Act to all communities, particularly Muslims, urging mandatory marriage registration and exception-free implementation; procedural barriers in the Special Marriage Act that hinder civil marriages, especially for women, need to review marital property laws to protect women's rights and multiple coexisting legal systems creating persistent discrimination against women. Most key recommendations have not been acted upon in the intervening years.</w:t>
      </w:r>
    </w:p>
    <w:p w:rsidR="00000000" w:rsidDel="00000000" w:rsidP="00000000" w:rsidRDefault="00000000" w:rsidRPr="00000000" w14:paraId="00000013">
      <w:pPr>
        <w:spacing w:after="240" w:before="240" w:line="276" w:lineRule="auto"/>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14">
      <w:pPr>
        <w:pStyle w:val="Title"/>
        <w:numPr>
          <w:ilvl w:val="0"/>
          <w:numId w:val="1"/>
        </w:numPr>
        <w:spacing w:line="276" w:lineRule="auto"/>
        <w:ind w:left="720" w:hanging="360"/>
        <w:rPr>
          <w:u w:val="none"/>
        </w:rPr>
      </w:pPr>
      <w:bookmarkStart w:colFirst="0" w:colLast="0" w:name="_heading=h.gk9thntomjv3" w:id="2"/>
      <w:bookmarkEnd w:id="2"/>
      <w:r w:rsidDel="00000000" w:rsidR="00000000" w:rsidRPr="00000000">
        <w:rPr>
          <w:rtl w:val="0"/>
        </w:rPr>
        <w:t xml:space="preserve">Restrictions on the right to freely choose a spouse or intimate partner</w:t>
      </w:r>
      <w:r w:rsidDel="00000000" w:rsidR="00000000" w:rsidRPr="00000000">
        <w:rPr>
          <w:rtl w:val="0"/>
        </w:rPr>
      </w:r>
    </w:p>
    <w:p w:rsidR="00000000" w:rsidDel="00000000" w:rsidP="00000000" w:rsidRDefault="00000000" w:rsidRPr="00000000" w14:paraId="00000015">
      <w:pPr>
        <w:pStyle w:val="Subtitle"/>
        <w:jc w:val="left"/>
        <w:rPr>
          <w:rFonts w:ascii="Arial" w:cs="Arial" w:eastAsia="Arial" w:hAnsi="Arial"/>
          <w:b w:val="1"/>
          <w:color w:val="000000"/>
          <w:sz w:val="20"/>
          <w:szCs w:val="20"/>
        </w:rPr>
      </w:pPr>
      <w:bookmarkStart w:colFirst="0" w:colLast="0" w:name="_heading=h.10rizq9uvmo1" w:id="3"/>
      <w:bookmarkEnd w:id="3"/>
      <w:r w:rsidDel="00000000" w:rsidR="00000000" w:rsidRPr="00000000">
        <w:rPr>
          <w:rtl w:val="0"/>
        </w:rPr>
        <w:t xml:space="preserve">1. Impact of Anti-Conversion Laws on Women’s Decisional Autonomy</w:t>
      </w:r>
      <w:r w:rsidDel="00000000" w:rsidR="00000000" w:rsidRPr="00000000">
        <w:rPr>
          <w:rtl w:val="0"/>
        </w:rPr>
      </w:r>
    </w:p>
    <w:p w:rsidR="00000000" w:rsidDel="00000000" w:rsidP="00000000" w:rsidRDefault="00000000" w:rsidRPr="00000000" w14:paraId="00000016">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Various states in India have enacted a spate of legislation that deter or prevent religious conversions, couched in the language of “Freedom of Religion” Acts.</w:t>
      </w:r>
      <w:r w:rsidDel="00000000" w:rsidR="00000000" w:rsidRPr="00000000">
        <w:rPr>
          <w:rFonts w:ascii="Arial" w:cs="Arial" w:eastAsia="Arial" w:hAnsi="Arial"/>
          <w:sz w:val="20"/>
          <w:szCs w:val="20"/>
          <w:vertAlign w:val="superscript"/>
        </w:rPr>
        <w:footnoteReference w:customMarkFollows="0" w:id="6"/>
      </w:r>
      <w:r w:rsidDel="00000000" w:rsidR="00000000" w:rsidRPr="00000000">
        <w:rPr>
          <w:rFonts w:ascii="Arial" w:cs="Arial" w:eastAsia="Arial" w:hAnsi="Arial"/>
          <w:sz w:val="20"/>
          <w:szCs w:val="20"/>
          <w:rtl w:val="0"/>
        </w:rPr>
        <w:t xml:space="preserve"> While these laws are justified by </w:t>
      </w:r>
      <w:r w:rsidDel="00000000" w:rsidR="00000000" w:rsidRPr="00000000">
        <w:rPr>
          <w:rFonts w:ascii="Arial" w:cs="Arial" w:eastAsia="Arial" w:hAnsi="Arial"/>
          <w:sz w:val="20"/>
          <w:szCs w:val="20"/>
          <w:highlight w:val="white"/>
          <w:rtl w:val="0"/>
        </w:rPr>
        <w:t xml:space="preserve">criminalising forced, fraudulent, or induced religious conversions, </w:t>
      </w:r>
      <w:r w:rsidDel="00000000" w:rsidR="00000000" w:rsidRPr="00000000">
        <w:rPr>
          <w:rFonts w:ascii="Arial" w:cs="Arial" w:eastAsia="Arial" w:hAnsi="Arial"/>
          <w:sz w:val="20"/>
          <w:szCs w:val="20"/>
          <w:rtl w:val="0"/>
        </w:rPr>
        <w:t xml:space="preserve">they also effectively criminalise voluntary conversions made in connection with marriage and make those marriages void.  For instance, while Section 3 of the Uttar Pradesh law</w:t>
      </w:r>
      <w:r w:rsidDel="00000000" w:rsidR="00000000" w:rsidRPr="00000000">
        <w:rPr>
          <w:rFonts w:ascii="Arial" w:cs="Arial" w:eastAsia="Arial" w:hAnsi="Arial"/>
          <w:sz w:val="20"/>
          <w:szCs w:val="20"/>
          <w:vertAlign w:val="superscript"/>
        </w:rPr>
        <w:footnoteReference w:customMarkFollows="0" w:id="7"/>
      </w:r>
      <w:r w:rsidDel="00000000" w:rsidR="00000000" w:rsidRPr="00000000">
        <w:rPr>
          <w:rFonts w:ascii="Arial" w:cs="Arial" w:eastAsia="Arial" w:hAnsi="Arial"/>
          <w:sz w:val="20"/>
          <w:szCs w:val="20"/>
          <w:rtl w:val="0"/>
        </w:rPr>
        <w:t xml:space="preserve"> prohibits religious conversions through force, fraud, etc, which lack consent, marriage is added as an</w:t>
      </w:r>
      <w:r w:rsidDel="00000000" w:rsidR="00000000" w:rsidRPr="00000000">
        <w:rPr>
          <w:rFonts w:ascii="Arial" w:cs="Arial" w:eastAsia="Arial" w:hAnsi="Arial"/>
          <w:sz w:val="20"/>
          <w:szCs w:val="20"/>
          <w:u w:val="single"/>
          <w:rtl w:val="0"/>
        </w:rPr>
        <w:t xml:space="preserve"> </w:t>
      </w:r>
      <w:r w:rsidDel="00000000" w:rsidR="00000000" w:rsidRPr="00000000">
        <w:rPr>
          <w:rFonts w:ascii="Arial" w:cs="Arial" w:eastAsia="Arial" w:hAnsi="Arial"/>
          <w:sz w:val="20"/>
          <w:szCs w:val="20"/>
          <w:rtl w:val="0"/>
        </w:rPr>
        <w:t xml:space="preserve">independent ground where consent is immaterial. This causes mandatory scrutiny of every conversion for marriage despite informed consent.</w:t>
      </w:r>
      <w:r w:rsidDel="00000000" w:rsidR="00000000" w:rsidRPr="00000000">
        <w:rPr>
          <w:rFonts w:ascii="Arial" w:cs="Arial" w:eastAsia="Arial" w:hAnsi="Arial"/>
          <w:sz w:val="20"/>
          <w:szCs w:val="20"/>
          <w:vertAlign w:val="superscript"/>
        </w:rPr>
        <w:footnoteReference w:customMarkFollows="0" w:id="8"/>
      </w:r>
      <w:r w:rsidDel="00000000" w:rsidR="00000000" w:rsidRPr="00000000">
        <w:rPr>
          <w:rFonts w:ascii="Arial" w:cs="Arial" w:eastAsia="Arial" w:hAnsi="Arial"/>
          <w:sz w:val="20"/>
          <w:szCs w:val="20"/>
          <w:rtl w:val="0"/>
        </w:rPr>
        <w:t xml:space="preserve"> These laws make no exceptions for cases registered under the Special Marriage Act, 1954 - a secular legislation providing for civil marriages.</w:t>
      </w:r>
    </w:p>
    <w:p w:rsidR="00000000" w:rsidDel="00000000" w:rsidP="00000000" w:rsidRDefault="00000000" w:rsidRPr="00000000" w14:paraId="00000017">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Despite being facially gender neutral, ramifications of such provisions on the autonomy of women to choose a marital partner are adverse, given India’s patriarchal context. Lived experiences of women in inter-faith marriages indicate that they are subjected to abduction and attacks by vigilante groups, compelling courts to issue protection orders.</w:t>
      </w:r>
      <w:r w:rsidDel="00000000" w:rsidR="00000000" w:rsidRPr="00000000">
        <w:rPr>
          <w:rFonts w:ascii="Arial" w:cs="Arial" w:eastAsia="Arial" w:hAnsi="Arial"/>
          <w:sz w:val="20"/>
          <w:szCs w:val="20"/>
          <w:vertAlign w:val="superscript"/>
        </w:rPr>
        <w:footnoteReference w:customMarkFollows="0" w:id="9"/>
      </w:r>
      <w:r w:rsidDel="00000000" w:rsidR="00000000" w:rsidRPr="00000000">
        <w:rPr>
          <w:rFonts w:ascii="Arial" w:cs="Arial" w:eastAsia="Arial" w:hAnsi="Arial"/>
          <w:sz w:val="20"/>
          <w:szCs w:val="20"/>
          <w:rtl w:val="0"/>
        </w:rPr>
        <w:t xml:space="preserve">  Provisions prohibiting conversion in connection with marriage are based on a protectionist approach towards women, founded on gender stereotypes of women as gullible, naive and objects of seduction - an anathema to CEDAW.  </w:t>
      </w:r>
    </w:p>
    <w:p w:rsidR="00000000" w:rsidDel="00000000" w:rsidP="00000000" w:rsidRDefault="00000000" w:rsidRPr="00000000" w14:paraId="00000018">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These provisions also contradict preceding judgments of the Supreme Court of India which recognize decisional autonomy of adult women to undertake religious conversion, as well as choice in marriage.</w:t>
      </w:r>
      <w:r w:rsidDel="00000000" w:rsidR="00000000" w:rsidRPr="00000000">
        <w:rPr>
          <w:rFonts w:ascii="Arial" w:cs="Arial" w:eastAsia="Arial" w:hAnsi="Arial"/>
          <w:sz w:val="20"/>
          <w:szCs w:val="20"/>
          <w:vertAlign w:val="superscript"/>
        </w:rPr>
        <w:footnoteReference w:customMarkFollows="0" w:id="10"/>
      </w:r>
      <w:r w:rsidDel="00000000" w:rsidR="00000000" w:rsidRPr="00000000">
        <w:rPr>
          <w:rFonts w:ascii="Arial" w:cs="Arial" w:eastAsia="Arial" w:hAnsi="Arial"/>
          <w:sz w:val="20"/>
          <w:szCs w:val="20"/>
          <w:rtl w:val="0"/>
        </w:rPr>
        <w:t xml:space="preserve"> A petition challenging the constitutional validity of recently enacted anti-conversion laws, including prohibition on converting for the sake of marriage out of one’s own free will and exercise of decisional autonomy, remains </w:t>
      </w:r>
      <w:r w:rsidDel="00000000" w:rsidR="00000000" w:rsidRPr="00000000">
        <w:rPr>
          <w:rFonts w:ascii="Arial" w:cs="Arial" w:eastAsia="Arial" w:hAnsi="Arial"/>
          <w:sz w:val="20"/>
          <w:szCs w:val="20"/>
          <w:rtl w:val="0"/>
        </w:rPr>
        <w:t xml:space="preserve">pending</w:t>
      </w:r>
      <w:r w:rsidDel="00000000" w:rsidR="00000000" w:rsidRPr="00000000">
        <w:rPr>
          <w:rFonts w:ascii="Arial" w:cs="Arial" w:eastAsia="Arial" w:hAnsi="Arial"/>
          <w:sz w:val="20"/>
          <w:szCs w:val="20"/>
          <w:rtl w:val="0"/>
        </w:rPr>
        <w:t xml:space="preserve"> before the Supreme Court of India.</w:t>
      </w:r>
      <w:r w:rsidDel="00000000" w:rsidR="00000000" w:rsidRPr="00000000">
        <w:rPr>
          <w:rFonts w:ascii="Arial" w:cs="Arial" w:eastAsia="Arial" w:hAnsi="Arial"/>
          <w:sz w:val="20"/>
          <w:szCs w:val="20"/>
          <w:vertAlign w:val="superscript"/>
        </w:rPr>
        <w:footnoteReference w:customMarkFollows="0" w:id="11"/>
      </w:r>
      <w:r w:rsidDel="00000000" w:rsidR="00000000" w:rsidRPr="00000000">
        <w:rPr>
          <w:rFonts w:ascii="Arial" w:cs="Arial" w:eastAsia="Arial" w:hAnsi="Arial"/>
          <w:sz w:val="20"/>
          <w:szCs w:val="20"/>
          <w:rtl w:val="0"/>
        </w:rPr>
        <w:t xml:space="preserve"> Irrespective of the outcome of the petition, the government is bound by the provisions of CEDAW, which warrant ensuring women’s right to choice of spouse (Art.16(1)(b), which the anti-conversion laws violate.</w:t>
      </w:r>
    </w:p>
    <w:p w:rsidR="00000000" w:rsidDel="00000000" w:rsidP="00000000" w:rsidRDefault="00000000" w:rsidRPr="00000000" w14:paraId="00000019">
      <w:pPr>
        <w:spacing w:after="280" w:before="280" w:line="276" w:lineRule="auto"/>
        <w:ind w:left="0" w:firstLine="0"/>
        <w:rPr>
          <w:rFonts w:ascii="Arial" w:cs="Arial" w:eastAsia="Arial" w:hAnsi="Arial"/>
          <w:b w:val="1"/>
          <w:i w:val="1"/>
          <w:sz w:val="20"/>
          <w:szCs w:val="20"/>
          <w:highlight w:val="yellow"/>
        </w:rPr>
      </w:pPr>
      <w:r w:rsidDel="00000000" w:rsidR="00000000" w:rsidRPr="00000000">
        <w:rPr>
          <w:rFonts w:ascii="Arial" w:cs="Arial" w:eastAsia="Arial" w:hAnsi="Arial"/>
          <w:b w:val="1"/>
          <w:i w:val="1"/>
          <w:sz w:val="20"/>
          <w:szCs w:val="20"/>
          <w:rtl w:val="0"/>
        </w:rPr>
        <w:t xml:space="preserve">2. Mandatory Registration and Monitoring of Non-marital Unions</w:t>
      </w:r>
      <w:r w:rsidDel="00000000" w:rsidR="00000000" w:rsidRPr="00000000">
        <w:rPr>
          <w:rtl w:val="0"/>
        </w:rPr>
      </w:r>
    </w:p>
    <w:p w:rsidR="00000000" w:rsidDel="00000000" w:rsidP="00000000" w:rsidRDefault="00000000" w:rsidRPr="00000000" w14:paraId="0000001A">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 significant development within the Uniform Civil Code in Uttarakhand (UKUCC), was the legislative recognition and mandatory registration of non-marital unions. Until the UKUCC the only legislative recognition of non-marital unions was found in the Protection of Women from Domestic Violence Act, 2005 where women in “relationships in the nature of marriage” could bring domestic violence cases against their partners. </w:t>
      </w:r>
    </w:p>
    <w:p w:rsidR="00000000" w:rsidDel="00000000" w:rsidP="00000000" w:rsidRDefault="00000000" w:rsidRPr="00000000" w14:paraId="0000001B">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The law requires all cohabiting couples to register their relationships with the government. The quasi-judicial powers of registrars allows them to inquire into personal matters through a ‘summary enquiry’ and summon ‘any person for verification’. In addition, a statement of termination of the relationship is required to dissolve the union. Further, a penalty amounting to imprisonment is attached to those couples who are in a live-in arrangement for more than a month without submitting a statement under section 381. These provisions allow the state to monitor couples’ personal relationships, including inter-caste and inter-religious live-in relationships,  even if the couple had deliberately avoided official recognition. </w:t>
      </w:r>
    </w:p>
    <w:p w:rsidR="00000000" w:rsidDel="00000000" w:rsidP="00000000" w:rsidRDefault="00000000" w:rsidRPr="00000000" w14:paraId="0000001C">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Women’s organizations  have filed a petition in the Uttarakhand High Court, challenging the constitutional validity of the UKUCC. They have highlighted violation of various constitutional rights caused by the UKUCC, including right to privacy, decisional autonomy, and life with dignity.</w:t>
      </w:r>
      <w:r w:rsidDel="00000000" w:rsidR="00000000" w:rsidRPr="00000000">
        <w:rPr>
          <w:rFonts w:ascii="Arial" w:cs="Arial" w:eastAsia="Arial" w:hAnsi="Arial"/>
          <w:sz w:val="20"/>
          <w:szCs w:val="20"/>
          <w:vertAlign w:val="superscript"/>
        </w:rPr>
        <w:footnoteReference w:customMarkFollows="0" w:id="12"/>
      </w:r>
      <w:r w:rsidDel="00000000" w:rsidR="00000000" w:rsidRPr="00000000">
        <w:rPr>
          <w:rFonts w:ascii="Arial" w:cs="Arial" w:eastAsia="Arial" w:hAnsi="Arial"/>
          <w:sz w:val="20"/>
          <w:szCs w:val="20"/>
          <w:rtl w:val="0"/>
        </w:rPr>
        <w:t xml:space="preserve">  The petition remains pending in court.     </w:t>
      </w:r>
    </w:p>
    <w:p w:rsidR="00000000" w:rsidDel="00000000" w:rsidP="00000000" w:rsidRDefault="00000000" w:rsidRPr="00000000" w14:paraId="0000001D">
      <w:pPr>
        <w:pStyle w:val="Subtitle"/>
        <w:spacing w:after="280" w:before="280" w:line="276" w:lineRule="auto"/>
        <w:jc w:val="left"/>
        <w:rPr/>
      </w:pPr>
      <w:bookmarkStart w:colFirst="0" w:colLast="0" w:name="_heading=h.5lb2ywffir6j" w:id="4"/>
      <w:bookmarkEnd w:id="4"/>
      <w:r w:rsidDel="00000000" w:rsidR="00000000" w:rsidRPr="00000000">
        <w:rPr>
          <w:rtl w:val="0"/>
        </w:rPr>
        <w:t xml:space="preserve">3. Denial of Legal Recognition of Marriage Among LGBTQIA+ Persons </w:t>
      </w:r>
    </w:p>
    <w:p w:rsidR="00000000" w:rsidDel="00000000" w:rsidP="00000000" w:rsidRDefault="00000000" w:rsidRPr="00000000" w14:paraId="0000001E">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 judgment delivered by a five judge bench of the Supreme Court of India in 2023 stated that recognising marital unions between same-sex couples was outside of the court’s powers, and no existing legal framework can incorporate such an “expansion” of rights.</w:t>
      </w:r>
      <w:r w:rsidDel="00000000" w:rsidR="00000000" w:rsidRPr="00000000">
        <w:rPr>
          <w:rFonts w:ascii="Arial" w:cs="Arial" w:eastAsia="Arial" w:hAnsi="Arial"/>
          <w:sz w:val="20"/>
          <w:szCs w:val="20"/>
          <w:vertAlign w:val="superscript"/>
        </w:rPr>
        <w:footnoteReference w:customMarkFollows="0" w:id="13"/>
      </w:r>
      <w:r w:rsidDel="00000000" w:rsidR="00000000" w:rsidRPr="00000000">
        <w:rPr>
          <w:rFonts w:ascii="Arial" w:cs="Arial" w:eastAsia="Arial" w:hAnsi="Arial"/>
          <w:sz w:val="20"/>
          <w:szCs w:val="20"/>
          <w:rtl w:val="0"/>
        </w:rPr>
        <w:t xml:space="preserve">  However, the Court expanded the right to intimate association based on a previous judgment on decisional autonomy to “intimate personal choices”.</w:t>
      </w:r>
      <w:r w:rsidDel="00000000" w:rsidR="00000000" w:rsidRPr="00000000">
        <w:rPr>
          <w:rFonts w:ascii="Arial" w:cs="Arial" w:eastAsia="Arial" w:hAnsi="Arial"/>
          <w:sz w:val="20"/>
          <w:szCs w:val="20"/>
          <w:vertAlign w:val="superscript"/>
        </w:rPr>
        <w:footnoteReference w:customMarkFollows="0" w:id="14"/>
      </w:r>
      <w:r w:rsidDel="00000000" w:rsidR="00000000" w:rsidRPr="00000000">
        <w:rPr>
          <w:rFonts w:ascii="Arial" w:cs="Arial" w:eastAsia="Arial" w:hAnsi="Arial"/>
          <w:sz w:val="20"/>
          <w:szCs w:val="20"/>
          <w:rtl w:val="0"/>
        </w:rPr>
        <w:t xml:space="preserve"> This implies that queer couples may live together but their intimate relationship will not be legally recognized in family law, with legal rights and responsibilities flowing from such a relationship.</w:t>
      </w:r>
    </w:p>
    <w:p w:rsidR="00000000" w:rsidDel="00000000" w:rsidP="00000000" w:rsidRDefault="00000000" w:rsidRPr="00000000" w14:paraId="0000001F">
      <w:pPr>
        <w:spacing w:after="280" w:before="280" w:line="276" w:lineRule="auto"/>
        <w:ind w:left="0" w:firstLine="0"/>
        <w:rPr>
          <w:rFonts w:ascii="Arial" w:cs="Arial" w:eastAsia="Arial" w:hAnsi="Arial"/>
          <w:b w:val="1"/>
          <w:sz w:val="20"/>
          <w:szCs w:val="20"/>
        </w:rPr>
      </w:pPr>
      <w:r w:rsidDel="00000000" w:rsidR="00000000" w:rsidRPr="00000000">
        <w:rPr>
          <w:rFonts w:ascii="Arial" w:cs="Arial" w:eastAsia="Arial" w:hAnsi="Arial"/>
          <w:sz w:val="20"/>
          <w:szCs w:val="20"/>
          <w:rtl w:val="0"/>
        </w:rPr>
        <w:t xml:space="preserve">Prior to 2023, the state-level Madras High Court</w:t>
      </w:r>
      <w:r w:rsidDel="00000000" w:rsidR="00000000" w:rsidRPr="00000000">
        <w:rPr>
          <w:rFonts w:ascii="Arial" w:cs="Arial" w:eastAsia="Arial" w:hAnsi="Arial"/>
          <w:sz w:val="20"/>
          <w:szCs w:val="20"/>
          <w:vertAlign w:val="superscript"/>
        </w:rPr>
        <w:footnoteReference w:customMarkFollows="0" w:id="15"/>
      </w:r>
      <w:r w:rsidDel="00000000" w:rsidR="00000000" w:rsidRPr="00000000">
        <w:rPr>
          <w:rFonts w:ascii="Arial" w:cs="Arial" w:eastAsia="Arial" w:hAnsi="Arial"/>
          <w:sz w:val="20"/>
          <w:szCs w:val="20"/>
          <w:rtl w:val="0"/>
        </w:rPr>
        <w:t xml:space="preserve"> recognised the right of self-determination of gender identity, and to identify as either ‘bride’ or ‘bridegroom’ under the provisions of the Hindu Marriage Act (HMA)</w:t>
      </w:r>
      <w:r w:rsidDel="00000000" w:rsidR="00000000" w:rsidRPr="00000000">
        <w:rPr>
          <w:rFonts w:ascii="Arial" w:cs="Arial" w:eastAsia="Arial" w:hAnsi="Arial"/>
          <w:sz w:val="20"/>
          <w:szCs w:val="20"/>
          <w:vertAlign w:val="superscript"/>
        </w:rPr>
        <w:footnoteReference w:customMarkFollows="0" w:id="16"/>
      </w:r>
      <w:r w:rsidDel="00000000" w:rsidR="00000000" w:rsidRPr="00000000">
        <w:rPr>
          <w:rFonts w:ascii="Arial" w:cs="Arial" w:eastAsia="Arial" w:hAnsi="Arial"/>
          <w:sz w:val="20"/>
          <w:szCs w:val="20"/>
          <w:rtl w:val="0"/>
        </w:rPr>
        <w:t xml:space="preserve">, irrespective of the gender assigned at birth. This expanded the possibility of trans and intersex persons to solemnise heterosexual marital unions under the HMA. It is clear that though India has made some progress,  neither the judiciary nor the legislature has given recognition to the right of individuals to be in non-heterosexual marriages or any other form of civil unions.</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20">
      <w:pPr>
        <w:pStyle w:val="Title"/>
        <w:spacing w:after="280" w:before="280" w:line="276" w:lineRule="auto"/>
        <w:jc w:val="left"/>
        <w:rPr/>
      </w:pPr>
      <w:bookmarkStart w:colFirst="0" w:colLast="0" w:name="_heading=h.vha0iqxrnwor" w:id="5"/>
      <w:bookmarkEnd w:id="5"/>
      <w:r w:rsidDel="00000000" w:rsidR="00000000" w:rsidRPr="00000000">
        <w:rPr>
          <w:rtl w:val="0"/>
        </w:rPr>
        <w:t xml:space="preserve">C. Requirement of Performance of Ceremonies for Validity of Hindu Marriage -  Ramifications for Women</w:t>
      </w:r>
    </w:p>
    <w:p w:rsidR="00000000" w:rsidDel="00000000" w:rsidP="00000000" w:rsidRDefault="00000000" w:rsidRPr="00000000" w14:paraId="00000021">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Hindu marriages rely on specific ceremonies as a basis for legal recognition. These ceremonies are recognised under section 7 of the Hindu Marriage Act, 1956.  This section was interpreted by the Supreme Court narrowly to de-recognise any ‘custom’ that is not one of the recognised ceremonies.</w:t>
      </w:r>
      <w:r w:rsidDel="00000000" w:rsidR="00000000" w:rsidRPr="00000000">
        <w:rPr>
          <w:rFonts w:ascii="Arial" w:cs="Arial" w:eastAsia="Arial" w:hAnsi="Arial"/>
          <w:sz w:val="20"/>
          <w:szCs w:val="20"/>
          <w:vertAlign w:val="superscript"/>
        </w:rPr>
        <w:footnoteReference w:customMarkFollows="0" w:id="17"/>
      </w:r>
      <w:r w:rsidDel="00000000" w:rsidR="00000000" w:rsidRPr="00000000">
        <w:rPr>
          <w:rFonts w:ascii="Arial" w:cs="Arial" w:eastAsia="Arial" w:hAnsi="Arial"/>
          <w:sz w:val="20"/>
          <w:szCs w:val="20"/>
          <w:rtl w:val="0"/>
        </w:rPr>
        <w:t xml:space="preserve"> The lack of legal recognition of certain ceremonies causes some Hindu women to have no marital rights. Many Hindu men, on the other hand, enter into marriages that are not recognised by law, thereby escaping from penal sanctions, such as for bigamy. </w:t>
      </w:r>
    </w:p>
    <w:p w:rsidR="00000000" w:rsidDel="00000000" w:rsidP="00000000" w:rsidRDefault="00000000" w:rsidRPr="00000000" w14:paraId="00000022">
      <w:pPr>
        <w:pStyle w:val="Title"/>
        <w:spacing w:after="280" w:before="280" w:line="276" w:lineRule="auto"/>
        <w:jc w:val="left"/>
        <w:rPr>
          <w:b w:val="1"/>
          <w:vertAlign w:val="baseline"/>
        </w:rPr>
      </w:pPr>
      <w:bookmarkStart w:colFirst="0" w:colLast="0" w:name="_heading=h.q455b9iqx5kw" w:id="6"/>
      <w:bookmarkEnd w:id="6"/>
      <w:r w:rsidDel="00000000" w:rsidR="00000000" w:rsidRPr="00000000">
        <w:rPr>
          <w:rtl w:val="0"/>
        </w:rPr>
        <w:t xml:space="preserve">D. </w:t>
      </w:r>
      <w:r w:rsidDel="00000000" w:rsidR="00000000" w:rsidRPr="00000000">
        <w:rPr>
          <w:b w:val="1"/>
          <w:vertAlign w:val="baseline"/>
          <w:rtl w:val="0"/>
        </w:rPr>
        <w:t xml:space="preserve">Restitution of Conjugal Rights and Lack of Bodily Autonomy of Women </w:t>
      </w:r>
    </w:p>
    <w:p w:rsidR="00000000" w:rsidDel="00000000" w:rsidP="00000000" w:rsidRDefault="00000000" w:rsidRPr="00000000" w14:paraId="00000023">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Restitution of Conjugal Rights (RCR) is an antiquated matrimonial remedy  that exists under various family laws in India.</w:t>
      </w:r>
      <w:r w:rsidDel="00000000" w:rsidR="00000000" w:rsidRPr="00000000">
        <w:rPr>
          <w:rFonts w:ascii="Arial" w:cs="Arial" w:eastAsia="Arial" w:hAnsi="Arial"/>
          <w:sz w:val="20"/>
          <w:szCs w:val="20"/>
          <w:vertAlign w:val="superscript"/>
        </w:rPr>
        <w:footnoteReference w:customMarkFollows="0" w:id="18"/>
      </w:r>
      <w:r w:rsidDel="00000000" w:rsidR="00000000" w:rsidRPr="00000000">
        <w:rPr>
          <w:rFonts w:ascii="Arial" w:cs="Arial" w:eastAsia="Arial" w:hAnsi="Arial"/>
          <w:sz w:val="20"/>
          <w:szCs w:val="20"/>
          <w:rtl w:val="0"/>
        </w:rPr>
        <w:t xml:space="preserve"> It is a remedy sought by a spouse to compel the unwilling partner to return to their company. The Indian judiciary has interpreted ‘conjugal rights’ to include shared residence as well as sexual intercourse.  The State may exercise its coercive power, mandated by law, to attach the property of the spouse who disobeys its order for RCR. Given the absence of recognition of marital rape in criminal law, RCR in Indian family laws disproportionately impacts  women due to their sexual and reproductive functions, despite its gender-neutral form. </w:t>
      </w:r>
    </w:p>
    <w:p w:rsidR="00000000" w:rsidDel="00000000" w:rsidP="00000000" w:rsidRDefault="00000000" w:rsidRPr="00000000" w14:paraId="00000024">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Some high courts have upheld the unilateral right of the husband to determine the location of the matrimonial home (where he works and resides), based on gendered notions of an ideal wife.</w:t>
      </w:r>
      <w:r w:rsidDel="00000000" w:rsidR="00000000" w:rsidRPr="00000000">
        <w:rPr>
          <w:rFonts w:ascii="Arial" w:cs="Arial" w:eastAsia="Arial" w:hAnsi="Arial"/>
          <w:sz w:val="20"/>
          <w:szCs w:val="20"/>
          <w:vertAlign w:val="superscript"/>
        </w:rPr>
        <w:footnoteReference w:customMarkFollows="0" w:id="19"/>
      </w:r>
      <w:r w:rsidDel="00000000" w:rsidR="00000000" w:rsidRPr="00000000">
        <w:rPr>
          <w:rFonts w:ascii="Arial" w:cs="Arial" w:eastAsia="Arial" w:hAnsi="Arial"/>
          <w:sz w:val="20"/>
          <w:szCs w:val="20"/>
          <w:rtl w:val="0"/>
        </w:rPr>
        <w:t xml:space="preserve"> Thus, RCR compels  married women working in another city to abandon their jobs and return to the matrimonial home determined by the husband. While hearing a petition of divorce, the Bombay High Court suggested that women should be like ‘Sita’ (a Hindu goddess) and follow their husbands everywhere.</w:t>
      </w:r>
      <w:r w:rsidDel="00000000" w:rsidR="00000000" w:rsidRPr="00000000">
        <w:rPr>
          <w:rFonts w:ascii="Arial" w:cs="Arial" w:eastAsia="Arial" w:hAnsi="Arial"/>
          <w:sz w:val="20"/>
          <w:szCs w:val="20"/>
          <w:vertAlign w:val="superscript"/>
        </w:rPr>
        <w:footnoteReference w:customMarkFollows="0" w:id="20"/>
      </w:r>
      <w:r w:rsidDel="00000000" w:rsidR="00000000" w:rsidRPr="00000000">
        <w:rPr>
          <w:rFonts w:ascii="Arial" w:cs="Arial" w:eastAsia="Arial" w:hAnsi="Arial"/>
          <w:sz w:val="20"/>
          <w:szCs w:val="20"/>
          <w:rtl w:val="0"/>
        </w:rPr>
        <w:t xml:space="preserve"> In another judgment, the Supreme Court cited women‘s focus on their careers as a neglect‘ of their household responsibilities.</w:t>
      </w:r>
      <w:r w:rsidDel="00000000" w:rsidR="00000000" w:rsidRPr="00000000">
        <w:rPr>
          <w:rFonts w:ascii="Arial" w:cs="Arial" w:eastAsia="Arial" w:hAnsi="Arial"/>
          <w:sz w:val="20"/>
          <w:szCs w:val="20"/>
          <w:vertAlign w:val="superscript"/>
        </w:rPr>
        <w:footnoteReference w:customMarkFollows="0" w:id="21"/>
      </w:r>
      <w:r w:rsidDel="00000000" w:rsidR="00000000" w:rsidRPr="00000000">
        <w:rPr>
          <w:rtl w:val="0"/>
        </w:rPr>
      </w:r>
    </w:p>
    <w:p w:rsidR="00000000" w:rsidDel="00000000" w:rsidP="00000000" w:rsidRDefault="00000000" w:rsidRPr="00000000" w14:paraId="00000025">
      <w:pPr>
        <w:spacing w:after="280" w:before="280" w:line="276" w:lineRule="auto"/>
        <w:ind w:left="0" w:firstLine="0"/>
        <w:rPr>
          <w:rFonts w:ascii="Arial" w:cs="Arial" w:eastAsia="Arial" w:hAnsi="Arial"/>
          <w:sz w:val="20"/>
          <w:szCs w:val="20"/>
          <w:vertAlign w:val="superscript"/>
        </w:rPr>
      </w:pPr>
      <w:r w:rsidDel="00000000" w:rsidR="00000000" w:rsidRPr="00000000">
        <w:rPr>
          <w:rFonts w:ascii="Arial" w:cs="Arial" w:eastAsia="Arial" w:hAnsi="Arial"/>
          <w:sz w:val="20"/>
          <w:szCs w:val="20"/>
          <w:rtl w:val="0"/>
        </w:rPr>
        <w:t xml:space="preserve">In 1983, the Andhra Pradesh High Court recognised the unequal impact of RCR on women, stating that RCR is constitutionally invalid and violates rights of equality, liberty, privacy, sexual autonomy, and bodily integrity.</w:t>
      </w:r>
      <w:r w:rsidDel="00000000" w:rsidR="00000000" w:rsidRPr="00000000">
        <w:rPr>
          <w:rFonts w:ascii="Arial" w:cs="Arial" w:eastAsia="Arial" w:hAnsi="Arial"/>
          <w:sz w:val="20"/>
          <w:szCs w:val="20"/>
          <w:vertAlign w:val="superscript"/>
        </w:rPr>
        <w:footnoteReference w:customMarkFollows="0" w:id="22"/>
      </w:r>
      <w:r w:rsidDel="00000000" w:rsidR="00000000" w:rsidRPr="00000000">
        <w:rPr>
          <w:rFonts w:ascii="Arial" w:cs="Arial" w:eastAsia="Arial" w:hAnsi="Arial"/>
          <w:sz w:val="20"/>
          <w:szCs w:val="20"/>
          <w:rtl w:val="0"/>
        </w:rPr>
        <w:t xml:space="preserve"> However, the Delhi High Court, and thereafter the Supreme Court, reversed this analysis by giving preferential treatment to preserving marriages as opposed to bodily integrity and autonomy of women.</w:t>
      </w:r>
      <w:r w:rsidDel="00000000" w:rsidR="00000000" w:rsidRPr="00000000">
        <w:rPr>
          <w:rFonts w:ascii="Arial" w:cs="Arial" w:eastAsia="Arial" w:hAnsi="Arial"/>
          <w:sz w:val="20"/>
          <w:szCs w:val="20"/>
          <w:vertAlign w:val="superscript"/>
        </w:rPr>
        <w:footnoteReference w:customMarkFollows="0" w:id="23"/>
      </w:r>
      <w:r w:rsidDel="00000000" w:rsidR="00000000" w:rsidRPr="00000000">
        <w:rPr>
          <w:rFonts w:ascii="Arial" w:cs="Arial" w:eastAsia="Arial" w:hAnsi="Arial"/>
          <w:sz w:val="20"/>
          <w:szCs w:val="20"/>
          <w:rtl w:val="0"/>
        </w:rPr>
        <w:t xml:space="preserve"> Notably, RCR was introduced in India by the British during colonial rule, and the UK abolished RCR in 1970. A report by a government-appointed High Level Committee on Status of Women (2015) as well as the Law Commission of India’s consultation paper (2018) recommended deletion of RCR from the family law statutes.</w:t>
      </w:r>
      <w:r w:rsidDel="00000000" w:rsidR="00000000" w:rsidRPr="00000000">
        <w:rPr>
          <w:rFonts w:ascii="Arial" w:cs="Arial" w:eastAsia="Arial" w:hAnsi="Arial"/>
          <w:sz w:val="20"/>
          <w:szCs w:val="20"/>
          <w:vertAlign w:val="superscript"/>
        </w:rPr>
        <w:footnoteReference w:customMarkFollows="0" w:id="24"/>
      </w:r>
      <w:r w:rsidDel="00000000" w:rsidR="00000000" w:rsidRPr="00000000">
        <w:rPr>
          <w:rFonts w:ascii="Arial" w:cs="Arial" w:eastAsia="Arial" w:hAnsi="Arial"/>
          <w:sz w:val="20"/>
          <w:szCs w:val="20"/>
          <w:rtl w:val="0"/>
        </w:rPr>
        <w:t xml:space="preserve"> These recommendations have not been acted upon. It is currently facing a constitutional challenge in the Supreme Court of India.</w:t>
      </w:r>
      <w:r w:rsidDel="00000000" w:rsidR="00000000" w:rsidRPr="00000000">
        <w:rPr>
          <w:rFonts w:ascii="Arial" w:cs="Arial" w:eastAsia="Arial" w:hAnsi="Arial"/>
          <w:sz w:val="20"/>
          <w:szCs w:val="20"/>
          <w:vertAlign w:val="superscript"/>
        </w:rPr>
        <w:footnoteReference w:customMarkFollows="0" w:id="25"/>
      </w:r>
      <w:r w:rsidDel="00000000" w:rsidR="00000000" w:rsidRPr="00000000">
        <w:rPr>
          <w:rtl w:val="0"/>
        </w:rPr>
      </w:r>
    </w:p>
    <w:p w:rsidR="00000000" w:rsidDel="00000000" w:rsidP="00000000" w:rsidRDefault="00000000" w:rsidRPr="00000000" w14:paraId="00000026">
      <w:pPr>
        <w:pStyle w:val="Title"/>
        <w:spacing w:after="280" w:before="280" w:line="276" w:lineRule="auto"/>
        <w:ind w:left="284.00000000000006" w:firstLine="0"/>
        <w:jc w:val="left"/>
        <w:rPr/>
      </w:pPr>
      <w:bookmarkStart w:colFirst="0" w:colLast="0" w:name="_heading=h.m4ti34vreae2" w:id="7"/>
      <w:bookmarkEnd w:id="7"/>
      <w:r w:rsidDel="00000000" w:rsidR="00000000" w:rsidRPr="00000000">
        <w:rPr>
          <w:rtl w:val="0"/>
        </w:rPr>
        <w:t xml:space="preserve">E. Gender Discrimination in Guardianship Laws </w:t>
      </w:r>
    </w:p>
    <w:p w:rsidR="00000000" w:rsidDel="00000000" w:rsidP="00000000" w:rsidRDefault="00000000" w:rsidRPr="00000000" w14:paraId="00000027">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The Hindu Minority and Guardianship Act, 1956 (HMGA) codified the principles relating to custody and guardianship of Hindu children. Section 6(a) of the Act states that the father is the natural guardian and “after him” the mother. The only situation in which the mother is considered the natural guardian of the minor is if the child is illegitimate(S.6(b)). These provisions, read together, have embedded gender discrimination by not considering the mother as a natural guardian on par with the father except in the case of illegitimate children. </w:t>
      </w:r>
    </w:p>
    <w:p w:rsidR="00000000" w:rsidDel="00000000" w:rsidP="00000000" w:rsidRDefault="00000000" w:rsidRPr="00000000" w14:paraId="00000028">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The Supreme Court attempted to provide a broader interpretation of the words “after him” and stated that it should be read as “in the absence of him” - that is, in the absence of the father’s care for the minor’s person or property for any reason, including physical or mental incapacity.</w:t>
      </w:r>
      <w:r w:rsidDel="00000000" w:rsidR="00000000" w:rsidRPr="00000000">
        <w:rPr>
          <w:rFonts w:ascii="Arial" w:cs="Arial" w:eastAsia="Arial" w:hAnsi="Arial"/>
          <w:sz w:val="20"/>
          <w:szCs w:val="20"/>
          <w:vertAlign w:val="superscript"/>
        </w:rPr>
        <w:footnoteReference w:customMarkFollows="0" w:id="26"/>
      </w:r>
      <w:r w:rsidDel="00000000" w:rsidR="00000000" w:rsidRPr="00000000">
        <w:rPr>
          <w:rFonts w:ascii="Arial" w:cs="Arial" w:eastAsia="Arial" w:hAnsi="Arial"/>
          <w:sz w:val="20"/>
          <w:szCs w:val="20"/>
          <w:rtl w:val="0"/>
        </w:rPr>
        <w:t xml:space="preserve"> Despite this the law considers the father to be the default guardian when he is alive and is able and willing to take care of the minor. The Law Commission of India (LCI), in its 133rd report (1989), opined that this provision was “extremely unfair and unjust and has become irrelevant and obsolete with the changing times”</w:t>
      </w:r>
      <w:r w:rsidDel="00000000" w:rsidR="00000000" w:rsidRPr="00000000">
        <w:rPr>
          <w:rFonts w:ascii="Arial" w:cs="Arial" w:eastAsia="Arial" w:hAnsi="Arial"/>
          <w:sz w:val="20"/>
          <w:szCs w:val="20"/>
          <w:vertAlign w:val="superscript"/>
        </w:rPr>
        <w:footnoteReference w:customMarkFollows="0" w:id="27"/>
      </w:r>
      <w:r w:rsidDel="00000000" w:rsidR="00000000" w:rsidRPr="00000000">
        <w:rPr>
          <w:rFonts w:ascii="Arial" w:cs="Arial" w:eastAsia="Arial" w:hAnsi="Arial"/>
          <w:sz w:val="20"/>
          <w:szCs w:val="20"/>
          <w:rtl w:val="0"/>
        </w:rPr>
        <w:t xml:space="preserve"> However, there is no amendment in the provision. Section 19 (b) of the Guardians and Wards Act, 1890, which had a similar provision,  was amended in 2010.</w:t>
      </w:r>
      <w:r w:rsidDel="00000000" w:rsidR="00000000" w:rsidRPr="00000000">
        <w:rPr>
          <w:rFonts w:ascii="Arial" w:cs="Arial" w:eastAsia="Arial" w:hAnsi="Arial"/>
          <w:sz w:val="20"/>
          <w:szCs w:val="20"/>
          <w:vertAlign w:val="superscript"/>
        </w:rPr>
        <w:footnoteReference w:customMarkFollows="0" w:id="28"/>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9">
      <w:pPr>
        <w:spacing w:after="280" w:before="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Additionally, Section 6 also contemplates that an unmarried woman must be under the guardianship of her father and a married woman must be under the guardianship of her husband. A plain reading of the provision indicates that a woman will remain in guardianship for perpetuity - either of her father or husband. This contradicts several judgments of the Supreme Court of India that have affirmed a woman’s autonomy upon reaching the age of majority.</w:t>
      </w:r>
      <w:r w:rsidDel="00000000" w:rsidR="00000000" w:rsidRPr="00000000">
        <w:rPr>
          <w:rFonts w:ascii="Arial" w:cs="Arial" w:eastAsia="Arial" w:hAnsi="Arial"/>
          <w:b w:val="1"/>
          <w:sz w:val="20"/>
          <w:szCs w:val="20"/>
          <w:vertAlign w:val="superscript"/>
        </w:rPr>
        <w:footnoteReference w:customMarkFollows="0" w:id="29"/>
      </w:r>
      <w:r w:rsidDel="00000000" w:rsidR="00000000" w:rsidRPr="00000000">
        <w:rPr>
          <w:rFonts w:ascii="Arial" w:cs="Arial" w:eastAsia="Arial" w:hAnsi="Arial"/>
          <w:sz w:val="20"/>
          <w:szCs w:val="20"/>
          <w:rtl w:val="0"/>
        </w:rPr>
        <w:t xml:space="preserve"> The LCI, in its consultation paper (2018), recommended that Section 6(c) be deleted and the word “unmarried” be omitted from the section.</w:t>
      </w:r>
      <w:r w:rsidDel="00000000" w:rsidR="00000000" w:rsidRPr="00000000">
        <w:rPr>
          <w:rFonts w:ascii="Arial" w:cs="Arial" w:eastAsia="Arial" w:hAnsi="Arial"/>
          <w:i w:val="1"/>
          <w:sz w:val="20"/>
          <w:szCs w:val="20"/>
          <w:vertAlign w:val="superscript"/>
        </w:rPr>
        <w:footnoteReference w:customMarkFollows="0" w:id="30"/>
      </w:r>
      <w:r w:rsidDel="00000000" w:rsidR="00000000" w:rsidRPr="00000000">
        <w:rPr>
          <w:rFonts w:ascii="Arial" w:cs="Arial" w:eastAsia="Arial" w:hAnsi="Arial"/>
          <w:sz w:val="20"/>
          <w:szCs w:val="20"/>
          <w:rtl w:val="0"/>
        </w:rPr>
        <w:t xml:space="preserve">  No legislative amendment has been made in pursuance of this recommendation.</w:t>
      </w:r>
    </w:p>
    <w:p w:rsidR="00000000" w:rsidDel="00000000" w:rsidP="00000000" w:rsidRDefault="00000000" w:rsidRPr="00000000" w14:paraId="0000002A">
      <w:pPr>
        <w:spacing w:after="280" w:before="280" w:line="276" w:lineRule="auto"/>
        <w:ind w:left="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pStyle w:val="Title"/>
        <w:spacing w:after="0" w:before="280" w:line="276" w:lineRule="auto"/>
        <w:jc w:val="left"/>
        <w:rPr/>
      </w:pPr>
      <w:bookmarkStart w:colFirst="0" w:colLast="0" w:name="_heading=h.19z0c66ce5he" w:id="8"/>
      <w:bookmarkEnd w:id="8"/>
      <w:r w:rsidDel="00000000" w:rsidR="00000000" w:rsidRPr="00000000">
        <w:rPr>
          <w:rtl w:val="0"/>
        </w:rPr>
        <w:t xml:space="preserve">F</w:t>
      </w:r>
      <w:r w:rsidDel="00000000" w:rsidR="00000000" w:rsidRPr="00000000">
        <w:rPr>
          <w:b w:val="1"/>
          <w:rtl w:val="0"/>
        </w:rPr>
        <w:t xml:space="preserve">.</w:t>
      </w:r>
      <w:r w:rsidDel="00000000" w:rsidR="00000000" w:rsidRPr="00000000">
        <w:rPr>
          <w:b w:val="1"/>
          <w:i w:val="1"/>
          <w:rtl w:val="0"/>
        </w:rPr>
        <w:t xml:space="preserve"> </w:t>
      </w:r>
      <w:r w:rsidDel="00000000" w:rsidR="00000000" w:rsidRPr="00000000">
        <w:rPr>
          <w:rtl w:val="0"/>
        </w:rPr>
        <w:t xml:space="preserve">Lack of</w:t>
      </w:r>
      <w:r w:rsidDel="00000000" w:rsidR="00000000" w:rsidRPr="00000000">
        <w:rPr>
          <w:b w:val="1"/>
          <w:rtl w:val="0"/>
        </w:rPr>
        <w:t xml:space="preserve"> Economic Rights of Women within Family Laws  </w:t>
      </w:r>
      <w:r w:rsidDel="00000000" w:rsidR="00000000" w:rsidRPr="00000000">
        <w:rPr>
          <w:rtl w:val="0"/>
        </w:rPr>
        <w:t xml:space="preserve">     </w:t>
      </w:r>
    </w:p>
    <w:p w:rsidR="00000000" w:rsidDel="00000000" w:rsidP="00000000" w:rsidRDefault="00000000" w:rsidRPr="00000000" w14:paraId="0000002C">
      <w:pPr>
        <w:spacing w:after="280" w:line="276"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Economic inequality of women is embedded in the family laws of India. This section highlights women’s lack of property rights a) upon marriage; b) during marriage and upon divorce; c) upon death.</w:t>
      </w:r>
    </w:p>
    <w:p w:rsidR="00000000" w:rsidDel="00000000" w:rsidP="00000000" w:rsidRDefault="00000000" w:rsidRPr="00000000" w14:paraId="0000002D">
      <w:pPr>
        <w:pStyle w:val="Subtitle"/>
        <w:spacing w:line="276" w:lineRule="auto"/>
        <w:jc w:val="left"/>
        <w:rPr/>
      </w:pPr>
      <w:bookmarkStart w:colFirst="0" w:colLast="0" w:name="_heading=h.c6yugatm4uvs" w:id="9"/>
      <w:bookmarkEnd w:id="9"/>
      <w:r w:rsidDel="00000000" w:rsidR="00000000" w:rsidRPr="00000000">
        <w:rPr>
          <w:rtl w:val="0"/>
        </w:rPr>
        <w:t xml:space="preserve">1. Women’s Lack of Economic Rights Upon Marriage: Stridhan and Dowry </w:t>
      </w:r>
    </w:p>
    <w:p w:rsidR="00000000" w:rsidDel="00000000" w:rsidP="00000000" w:rsidRDefault="00000000" w:rsidRPr="00000000" w14:paraId="0000002E">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Traditionally a Hindu woman had a right to movable property gifted to her by her parents, family members, relatives and the husband in connection with marriage and during significant times subsequently. Derived from the Sanskrit word ‘stri’ (woman) and ‘dhan’ (wealth), </w:t>
      </w:r>
      <w:r w:rsidDel="00000000" w:rsidR="00000000" w:rsidRPr="00000000">
        <w:rPr>
          <w:rFonts w:ascii="Arial" w:cs="Arial" w:eastAsia="Arial" w:hAnsi="Arial"/>
          <w:i w:val="1"/>
          <w:sz w:val="20"/>
          <w:szCs w:val="20"/>
          <w:rtl w:val="0"/>
        </w:rPr>
        <w:t xml:space="preserve">stridhan</w:t>
      </w:r>
      <w:r w:rsidDel="00000000" w:rsidR="00000000" w:rsidRPr="00000000">
        <w:rPr>
          <w:rFonts w:ascii="Arial" w:cs="Arial" w:eastAsia="Arial" w:hAnsi="Arial"/>
          <w:sz w:val="20"/>
          <w:szCs w:val="20"/>
          <w:rtl w:val="0"/>
        </w:rPr>
        <w:t xml:space="preserve"> refers to the exclusive property of a married woman, over which she has absolute right of ownership. Over the last several decades, however, fuelled by consumerism, the practice of </w:t>
      </w:r>
      <w:r w:rsidDel="00000000" w:rsidR="00000000" w:rsidRPr="00000000">
        <w:rPr>
          <w:rFonts w:ascii="Arial" w:cs="Arial" w:eastAsia="Arial" w:hAnsi="Arial"/>
          <w:i w:val="1"/>
          <w:sz w:val="20"/>
          <w:szCs w:val="20"/>
          <w:rtl w:val="0"/>
        </w:rPr>
        <w:t xml:space="preserve">stridhan </w:t>
      </w:r>
      <w:r w:rsidDel="00000000" w:rsidR="00000000" w:rsidRPr="00000000">
        <w:rPr>
          <w:rFonts w:ascii="Arial" w:cs="Arial" w:eastAsia="Arial" w:hAnsi="Arial"/>
          <w:sz w:val="20"/>
          <w:szCs w:val="20"/>
          <w:rtl w:val="0"/>
        </w:rPr>
        <w:t xml:space="preserve">seems to have been replaced with the practice of dowry - “gifts” in cash and kind paid to the bridegroom’s family by the bride’s family.  The practice of dowry exists in all religious communities in India.</w:t>
      </w:r>
      <w:r w:rsidDel="00000000" w:rsidR="00000000" w:rsidRPr="00000000">
        <w:rPr>
          <w:rFonts w:ascii="Arial" w:cs="Arial" w:eastAsia="Arial" w:hAnsi="Arial"/>
          <w:sz w:val="20"/>
          <w:szCs w:val="20"/>
          <w:vertAlign w:val="superscript"/>
        </w:rPr>
        <w:footnoteReference w:customMarkFollows="0" w:id="31"/>
      </w:r>
      <w:r w:rsidDel="00000000" w:rsidR="00000000" w:rsidRPr="00000000">
        <w:rPr>
          <w:rFonts w:ascii="Arial" w:cs="Arial" w:eastAsia="Arial" w:hAnsi="Arial"/>
          <w:sz w:val="20"/>
          <w:szCs w:val="20"/>
          <w:rtl w:val="0"/>
        </w:rPr>
        <w:t xml:space="preserve">  While </w:t>
      </w:r>
      <w:r w:rsidDel="00000000" w:rsidR="00000000" w:rsidRPr="00000000">
        <w:rPr>
          <w:rFonts w:ascii="Arial" w:cs="Arial" w:eastAsia="Arial" w:hAnsi="Arial"/>
          <w:i w:val="1"/>
          <w:sz w:val="20"/>
          <w:szCs w:val="20"/>
          <w:rtl w:val="0"/>
        </w:rPr>
        <w:t xml:space="preserve">stridhan </w:t>
      </w:r>
      <w:r w:rsidDel="00000000" w:rsidR="00000000" w:rsidRPr="00000000">
        <w:rPr>
          <w:rFonts w:ascii="Arial" w:cs="Arial" w:eastAsia="Arial" w:hAnsi="Arial"/>
          <w:sz w:val="20"/>
          <w:szCs w:val="20"/>
          <w:rtl w:val="0"/>
        </w:rPr>
        <w:t xml:space="preserve">provided  economic security for married women, dowry, which is not in the control of the married woman, has become a source of extreme physical and psychological violence, leading to married women being killed or driven to suicide in their marital homes. </w:t>
      </w:r>
    </w:p>
    <w:p w:rsidR="00000000" w:rsidDel="00000000" w:rsidP="00000000" w:rsidRDefault="00000000" w:rsidRPr="00000000" w14:paraId="0000002F">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Dowry Prohibition Act of 1961 enacted to address the issue, made giving and taking dowry in connection with marriage a punishable offence. Criminal laws have made ‘dowry death’ and ‘abetment to suicide’ as punishable offences.</w:t>
      </w:r>
      <w:r w:rsidDel="00000000" w:rsidR="00000000" w:rsidRPr="00000000">
        <w:rPr>
          <w:rFonts w:ascii="Arial" w:cs="Arial" w:eastAsia="Arial" w:hAnsi="Arial"/>
          <w:sz w:val="20"/>
          <w:szCs w:val="20"/>
          <w:vertAlign w:val="superscript"/>
        </w:rPr>
        <w:footnoteReference w:customMarkFollows="0" w:id="32"/>
      </w:r>
      <w:r w:rsidDel="00000000" w:rsidR="00000000" w:rsidRPr="00000000">
        <w:rPr>
          <w:rFonts w:ascii="Arial" w:cs="Arial" w:eastAsia="Arial" w:hAnsi="Arial"/>
          <w:sz w:val="20"/>
          <w:szCs w:val="20"/>
          <w:rtl w:val="0"/>
        </w:rPr>
        <w:t xml:space="preserve"> The Supreme Court of India has delivered judgments distinguishing between </w:t>
      </w:r>
      <w:r w:rsidDel="00000000" w:rsidR="00000000" w:rsidRPr="00000000">
        <w:rPr>
          <w:rFonts w:ascii="Arial" w:cs="Arial" w:eastAsia="Arial" w:hAnsi="Arial"/>
          <w:i w:val="1"/>
          <w:sz w:val="20"/>
          <w:szCs w:val="20"/>
          <w:rtl w:val="0"/>
        </w:rPr>
        <w:t xml:space="preserve">stridhan</w:t>
      </w:r>
      <w:r w:rsidDel="00000000" w:rsidR="00000000" w:rsidRPr="00000000">
        <w:rPr>
          <w:rFonts w:ascii="Arial" w:cs="Arial" w:eastAsia="Arial" w:hAnsi="Arial"/>
          <w:sz w:val="20"/>
          <w:szCs w:val="20"/>
          <w:rtl w:val="0"/>
        </w:rPr>
        <w:t xml:space="preserve"> (lawful) and dowry (unlawful), and tried to reinforce a married woman’s property right over gifts given in connection with marriage, and imposed criminal liability for its non-return by the husband and his relatives.</w:t>
      </w:r>
      <w:r w:rsidDel="00000000" w:rsidR="00000000" w:rsidRPr="00000000">
        <w:rPr>
          <w:rFonts w:ascii="Arial" w:cs="Arial" w:eastAsia="Arial" w:hAnsi="Arial"/>
          <w:sz w:val="20"/>
          <w:szCs w:val="20"/>
          <w:vertAlign w:val="superscript"/>
        </w:rPr>
        <w:footnoteReference w:customMarkFollows="0" w:id="33"/>
      </w:r>
      <w:r w:rsidDel="00000000" w:rsidR="00000000" w:rsidRPr="00000000">
        <w:rPr>
          <w:rFonts w:ascii="Arial" w:cs="Arial" w:eastAsia="Arial" w:hAnsi="Arial"/>
          <w:sz w:val="20"/>
          <w:szCs w:val="20"/>
          <w:rtl w:val="0"/>
        </w:rPr>
        <w:t xml:space="preserve"> Despite these well-intentioned legal reforms, implementation of the laws has been poor; married women continue to face physical and psychological violence in their homes on account of their families’ inability to meet the demands of the husband and his family members for dowry.</w:t>
      </w:r>
      <w:r w:rsidDel="00000000" w:rsidR="00000000" w:rsidRPr="00000000">
        <w:rPr>
          <w:rFonts w:ascii="Arial" w:cs="Arial" w:eastAsia="Arial" w:hAnsi="Arial"/>
          <w:sz w:val="20"/>
          <w:szCs w:val="20"/>
          <w:vertAlign w:val="superscript"/>
        </w:rPr>
        <w:footnoteReference w:customMarkFollows="0" w:id="34"/>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0">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spate of dowry-related murders in 2025 has put the spotlight back on the illegal practice, where investigations are prolonged and convictions are rare.</w:t>
      </w:r>
      <w:r w:rsidDel="00000000" w:rsidR="00000000" w:rsidRPr="00000000">
        <w:rPr>
          <w:rFonts w:ascii="Arial" w:cs="Arial" w:eastAsia="Arial" w:hAnsi="Arial"/>
          <w:sz w:val="20"/>
          <w:szCs w:val="20"/>
          <w:vertAlign w:val="superscript"/>
        </w:rPr>
        <w:footnoteReference w:customMarkFollows="0" w:id="35"/>
      </w:r>
      <w:r w:rsidDel="00000000" w:rsidR="00000000" w:rsidRPr="00000000">
        <w:rPr>
          <w:rFonts w:ascii="Arial" w:cs="Arial" w:eastAsia="Arial" w:hAnsi="Arial"/>
          <w:sz w:val="20"/>
          <w:szCs w:val="20"/>
          <w:rtl w:val="0"/>
        </w:rPr>
        <w:t xml:space="preserve"> In short, the prevalent practice of dowry places the married woman in a precarious situation in her marital home, where she remains vulnerable to psychological and physical violence.  </w:t>
      </w:r>
    </w:p>
    <w:p w:rsidR="00000000" w:rsidDel="00000000" w:rsidP="00000000" w:rsidRDefault="00000000" w:rsidRPr="00000000" w14:paraId="00000031">
      <w:pPr>
        <w:pStyle w:val="Subtitle"/>
        <w:spacing w:line="276" w:lineRule="auto"/>
        <w:jc w:val="left"/>
        <w:rPr/>
      </w:pPr>
      <w:bookmarkStart w:colFirst="0" w:colLast="0" w:name="_heading=h.e5gloanoyti6" w:id="10"/>
      <w:bookmarkEnd w:id="10"/>
      <w:r w:rsidDel="00000000" w:rsidR="00000000" w:rsidRPr="00000000">
        <w:rPr>
          <w:rtl w:val="0"/>
        </w:rPr>
        <w:t xml:space="preserve">     </w:t>
      </w:r>
      <w:r w:rsidDel="00000000" w:rsidR="00000000" w:rsidRPr="00000000">
        <w:rPr>
          <w:b w:val="1"/>
          <w:i w:val="1"/>
          <w:rtl w:val="0"/>
        </w:rPr>
        <w:t xml:space="preserve">2. Absence of a Law on Matrimonial Property and Payment for </w:t>
      </w:r>
      <w:r w:rsidDel="00000000" w:rsidR="00000000" w:rsidRPr="00000000">
        <w:rPr>
          <w:rtl w:val="0"/>
        </w:rPr>
        <w:t xml:space="preserve">Unpaid Care Work</w:t>
      </w:r>
    </w:p>
    <w:p w:rsidR="00000000" w:rsidDel="00000000" w:rsidP="00000000" w:rsidRDefault="00000000" w:rsidRPr="00000000" w14:paraId="00000032">
      <w:pPr>
        <w:spacing w:line="276" w:lineRule="auto"/>
        <w:rPr>
          <w:rFonts w:ascii="Arial" w:cs="Arial" w:eastAsia="Arial" w:hAnsi="Arial"/>
          <w:sz w:val="20"/>
          <w:szCs w:val="20"/>
          <w:highlight w:val="white"/>
        </w:rPr>
      </w:pPr>
      <w:r w:rsidDel="00000000" w:rsidR="00000000" w:rsidRPr="00000000">
        <w:rPr>
          <w:rFonts w:ascii="Arial" w:cs="Arial" w:eastAsia="Arial" w:hAnsi="Arial"/>
          <w:sz w:val="20"/>
          <w:szCs w:val="20"/>
          <w:rtl w:val="0"/>
        </w:rPr>
        <w:t xml:space="preserve">Indian family laws do not acknowledge and compensate married women for their housework and care work, although the Time Use Survey by the National Statistics Office indicates that in 2024, women spent disproportionately more time on unpaid domestic and caregiving services</w:t>
      </w:r>
      <w:r w:rsidDel="00000000" w:rsidR="00000000" w:rsidRPr="00000000">
        <w:rPr>
          <w:rFonts w:ascii="Arial" w:cs="Arial" w:eastAsia="Arial" w:hAnsi="Arial"/>
          <w:b w:val="1"/>
          <w:i w:val="1"/>
          <w:sz w:val="20"/>
          <w:szCs w:val="20"/>
          <w:rtl w:val="0"/>
        </w:rPr>
        <w:t xml:space="preserve">.</w:t>
      </w:r>
      <w:r w:rsidDel="00000000" w:rsidR="00000000" w:rsidRPr="00000000">
        <w:rPr>
          <w:rFonts w:ascii="Arial" w:cs="Arial" w:eastAsia="Arial" w:hAnsi="Arial"/>
          <w:b w:val="1"/>
          <w:sz w:val="20"/>
          <w:szCs w:val="20"/>
          <w:vertAlign w:val="superscript"/>
        </w:rPr>
        <w:footnoteReference w:customMarkFollows="0" w:id="36"/>
      </w:r>
      <w:r w:rsidDel="00000000" w:rsidR="00000000" w:rsidRPr="00000000">
        <w:rPr>
          <w:rFonts w:ascii="Arial" w:cs="Arial" w:eastAsia="Arial" w:hAnsi="Arial"/>
          <w:sz w:val="20"/>
          <w:szCs w:val="20"/>
          <w:rtl w:val="0"/>
        </w:rPr>
        <w:t xml:space="preserve">  Indian courts have begun recognizing the financial value of homemakers’ work, this has primarily been in insurance claims related to motor vehicle accidents.</w:t>
      </w:r>
      <w:r w:rsidDel="00000000" w:rsidR="00000000" w:rsidRPr="00000000">
        <w:rPr>
          <w:rFonts w:ascii="Arial" w:cs="Arial" w:eastAsia="Arial" w:hAnsi="Arial"/>
          <w:b w:val="1"/>
          <w:sz w:val="20"/>
          <w:szCs w:val="20"/>
          <w:vertAlign w:val="superscript"/>
        </w:rPr>
        <w:footnoteReference w:customMarkFollows="0" w:id="37"/>
      </w:r>
      <w:r w:rsidDel="00000000" w:rsidR="00000000" w:rsidRPr="00000000">
        <w:rPr>
          <w:rFonts w:ascii="Arial" w:cs="Arial" w:eastAsia="Arial" w:hAnsi="Arial"/>
          <w:sz w:val="20"/>
          <w:szCs w:val="20"/>
          <w:rtl w:val="0"/>
        </w:rPr>
        <w:t xml:space="preserve"> In a significant development in 2023, a Madras High Court judgment </w:t>
      </w:r>
      <w:r w:rsidDel="00000000" w:rsidR="00000000" w:rsidRPr="00000000">
        <w:rPr>
          <w:rFonts w:ascii="Arial" w:cs="Arial" w:eastAsia="Arial" w:hAnsi="Arial"/>
          <w:sz w:val="20"/>
          <w:szCs w:val="20"/>
          <w:highlight w:val="white"/>
          <w:rtl w:val="0"/>
        </w:rPr>
        <w:t xml:space="preserve">recognized the contribution of the wife through unpaid domestic labour and converted it into a share of the deceased husband's properties and assets.</w:t>
      </w:r>
      <w:r w:rsidDel="00000000" w:rsidR="00000000" w:rsidRPr="00000000">
        <w:rPr>
          <w:rFonts w:ascii="Arial" w:cs="Arial" w:eastAsia="Arial" w:hAnsi="Arial"/>
          <w:b w:val="1"/>
          <w:sz w:val="20"/>
          <w:szCs w:val="20"/>
          <w:vertAlign w:val="superscript"/>
        </w:rPr>
        <w:footnoteReference w:customMarkFollows="0" w:id="38"/>
      </w:r>
      <w:r w:rsidDel="00000000" w:rsidR="00000000" w:rsidRPr="00000000">
        <w:rPr>
          <w:rFonts w:ascii="Arial" w:cs="Arial" w:eastAsia="Arial" w:hAnsi="Arial"/>
          <w:sz w:val="20"/>
          <w:szCs w:val="20"/>
          <w:highlight w:val="white"/>
          <w:rtl w:val="0"/>
        </w:rPr>
        <w:t xml:space="preserve">  It reasoned that the woman who had discharged care responsibilities towards the family had equal share to her husband’s properties even if they were acquired in his own name, with his earnings. </w:t>
      </w:r>
    </w:p>
    <w:p w:rsidR="00000000" w:rsidDel="00000000" w:rsidP="00000000" w:rsidRDefault="00000000" w:rsidRPr="00000000" w14:paraId="00000033">
      <w:pPr>
        <w:spacing w:line="276" w:lineRule="auto"/>
        <w:rPr>
          <w:rFonts w:ascii="Arial" w:cs="Arial" w:eastAsia="Arial" w:hAnsi="Arial"/>
          <w:sz w:val="20"/>
          <w:szCs w:val="20"/>
        </w:rPr>
      </w:pPr>
      <w:r w:rsidDel="00000000" w:rsidR="00000000" w:rsidRPr="00000000">
        <w:rPr>
          <w:rFonts w:ascii="Arial" w:cs="Arial" w:eastAsia="Arial" w:hAnsi="Arial"/>
          <w:sz w:val="20"/>
          <w:szCs w:val="20"/>
          <w:highlight w:val="white"/>
          <w:rtl w:val="0"/>
        </w:rPr>
        <w:t xml:space="preserve">While this judgment is laudable, such positive judgments are judge-dependent, in the absence of clear legal provisions recognizing </w:t>
      </w:r>
      <w:r w:rsidDel="00000000" w:rsidR="00000000" w:rsidRPr="00000000">
        <w:rPr>
          <w:rFonts w:ascii="Arial" w:cs="Arial" w:eastAsia="Arial" w:hAnsi="Arial"/>
          <w:sz w:val="20"/>
          <w:szCs w:val="20"/>
          <w:rtl w:val="0"/>
        </w:rPr>
        <w:t xml:space="preserve">the concept of matrimonial property or its equitable distribution. The only exception is in the state of Goa, where the influence of Portuguese Civil Code has led to a default regime of the “communion of acquired property” i.e. community of property, by which each spouse becomes a co-owner of assets acquired during marriage. These provisions do not exist in any other part of India, foregrounding the need for legal recognition of matrimonial property and non-financial contributions of women within family laws.</w:t>
      </w:r>
    </w:p>
    <w:p w:rsidR="00000000" w:rsidDel="00000000" w:rsidP="00000000" w:rsidRDefault="00000000" w:rsidRPr="00000000" w14:paraId="00000034">
      <w:pPr>
        <w:pStyle w:val="Subtitle"/>
        <w:spacing w:line="276" w:lineRule="auto"/>
        <w:jc w:val="left"/>
        <w:rPr>
          <w:b w:val="1"/>
          <w:i w:val="1"/>
        </w:rPr>
      </w:pPr>
      <w:bookmarkStart w:colFirst="0" w:colLast="0" w:name="_heading=h.phchvmzh2hkq" w:id="11"/>
      <w:bookmarkEnd w:id="11"/>
      <w:r w:rsidDel="00000000" w:rsidR="00000000" w:rsidRPr="00000000">
        <w:rPr>
          <w:rtl w:val="0"/>
        </w:rPr>
        <w:t xml:space="preserve">     </w:t>
      </w:r>
      <w:r w:rsidDel="00000000" w:rsidR="00000000" w:rsidRPr="00000000">
        <w:rPr>
          <w:b w:val="1"/>
          <w:i w:val="1"/>
          <w:rtl w:val="0"/>
        </w:rPr>
        <w:t xml:space="preserve">3. Women’s Lack of Economic Rights Through Intestate and Testamentary Succession </w:t>
      </w:r>
    </w:p>
    <w:p w:rsidR="00000000" w:rsidDel="00000000" w:rsidP="00000000" w:rsidRDefault="00000000" w:rsidRPr="00000000" w14:paraId="00000035">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Generally, women may inherit property through intestate succession (where the deceased has left no will) or through testamentary succession (where a valid will exists). In cases of testamentary succession, except under Muslim family law, no ceiling limit exists for willingly giving away one’s property to another. A Hindu, Christian and Parsi are therefore free to dispose of any property in its entirety to any person, without providing for the dependant spouse, daughter and other dependants. </w:t>
      </w:r>
    </w:p>
    <w:p w:rsidR="00000000" w:rsidDel="00000000" w:rsidP="00000000" w:rsidRDefault="00000000" w:rsidRPr="00000000" w14:paraId="00000036">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Despite daughters having an equal right to inherit a father’s share of ancestral property and her parents’ separate property, in Hindu law (through an amendment made to Hindu Succession Act in 2005), the father may circumvent this right and disinherit her completely.  This is a clear possibility in the Indian patriarchal context. The Law Commission of India, in its consultation paper on reforms in family law (2018), recommended that some portions must be fixed by law for widows, unmarried daughters and other dependants under Hindu law.</w:t>
      </w:r>
      <w:r w:rsidDel="00000000" w:rsidR="00000000" w:rsidRPr="00000000">
        <w:rPr>
          <w:rFonts w:ascii="Arial" w:cs="Arial" w:eastAsia="Arial" w:hAnsi="Arial"/>
          <w:sz w:val="20"/>
          <w:szCs w:val="20"/>
          <w:vertAlign w:val="superscript"/>
        </w:rPr>
        <w:footnoteReference w:customMarkFollows="0" w:id="39"/>
      </w:r>
      <w:r w:rsidDel="00000000" w:rsidR="00000000" w:rsidRPr="00000000">
        <w:rPr>
          <w:rFonts w:ascii="Arial" w:cs="Arial" w:eastAsia="Arial" w:hAnsi="Arial"/>
          <w:sz w:val="20"/>
          <w:szCs w:val="20"/>
          <w:rtl w:val="0"/>
        </w:rPr>
        <w:t xml:space="preserve"> A similar recommendation was made under Parsi law</w:t>
      </w:r>
      <w:r w:rsidDel="00000000" w:rsidR="00000000" w:rsidRPr="00000000">
        <w:rPr>
          <w:rFonts w:ascii="Arial" w:cs="Arial" w:eastAsia="Arial" w:hAnsi="Arial"/>
          <w:sz w:val="20"/>
          <w:szCs w:val="20"/>
          <w:vertAlign w:val="superscript"/>
        </w:rPr>
        <w:footnoteReference w:customMarkFollows="0" w:id="40"/>
      </w:r>
      <w:r w:rsidDel="00000000" w:rsidR="00000000" w:rsidRPr="00000000">
        <w:rPr>
          <w:rFonts w:ascii="Arial" w:cs="Arial" w:eastAsia="Arial" w:hAnsi="Arial"/>
          <w:sz w:val="20"/>
          <w:szCs w:val="20"/>
          <w:rtl w:val="0"/>
        </w:rPr>
        <w:t xml:space="preserve"> and Christian family law.</w:t>
      </w:r>
      <w:r w:rsidDel="00000000" w:rsidR="00000000" w:rsidRPr="00000000">
        <w:rPr>
          <w:rFonts w:ascii="Arial" w:cs="Arial" w:eastAsia="Arial" w:hAnsi="Arial"/>
          <w:sz w:val="20"/>
          <w:szCs w:val="20"/>
          <w:vertAlign w:val="superscript"/>
        </w:rPr>
        <w:footnoteReference w:customMarkFollows="0" w:id="41"/>
      </w:r>
      <w:r w:rsidDel="00000000" w:rsidR="00000000" w:rsidRPr="00000000">
        <w:rPr>
          <w:rFonts w:ascii="Arial" w:cs="Arial" w:eastAsia="Arial" w:hAnsi="Arial"/>
          <w:sz w:val="20"/>
          <w:szCs w:val="20"/>
          <w:rtl w:val="0"/>
        </w:rPr>
        <w:t xml:space="preserve"> However, the Indian government has failed to act upon this recommendation till date.  </w:t>
      </w:r>
    </w:p>
    <w:p w:rsidR="00000000" w:rsidDel="00000000" w:rsidP="00000000" w:rsidRDefault="00000000" w:rsidRPr="00000000" w14:paraId="00000037">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Hindu Succession Act (HSA), 1956 provides the legal framework for devolution of property of a Hindu intestate, who dies without leaving a valid will. This law contained several gender discriminatory provisions, some of which were amended through the Hindu Succession (Amendment) Act, 2005, notably providing for an equal right of daughters to inherit their father’s share of ancestral property. Despite these significant amendments, gender discriminatory provisions persist, including the following:</w:t>
      </w:r>
      <w:r w:rsidDel="00000000" w:rsidR="00000000" w:rsidRPr="00000000">
        <w:rPr>
          <w:rFonts w:ascii="Arial" w:cs="Arial" w:eastAsia="Arial" w:hAnsi="Arial"/>
          <w:sz w:val="20"/>
          <w:szCs w:val="20"/>
          <w:vertAlign w:val="superscript"/>
        </w:rPr>
        <w:footnoteReference w:customMarkFollows="0" w:id="42"/>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270"/>
        <w:rPr>
          <w:rFonts w:ascii="Arial" w:cs="Arial" w:eastAsia="Arial" w:hAnsi="Arial"/>
          <w:i w:val="0"/>
          <w:smallCaps w:val="0"/>
          <w:strike w:val="0"/>
          <w:sz w:val="20"/>
          <w:szCs w:val="20"/>
          <w:u w:val="none"/>
          <w:shd w:fill="auto" w:val="clear"/>
          <w:vertAlign w:val="baseline"/>
        </w:rPr>
      </w:pPr>
      <w:r w:rsidDel="00000000" w:rsidR="00000000" w:rsidRPr="00000000">
        <w:rPr>
          <w:rFonts w:ascii="Arial" w:cs="Arial" w:eastAsia="Arial" w:hAnsi="Arial"/>
          <w:i w:val="0"/>
          <w:smallCaps w:val="0"/>
          <w:strike w:val="0"/>
          <w:sz w:val="20"/>
          <w:szCs w:val="20"/>
          <w:u w:val="none"/>
          <w:shd w:fill="auto" w:val="clear"/>
          <w:vertAlign w:val="baseline"/>
          <w:rtl w:val="0"/>
        </w:rPr>
        <w:t xml:space="preserve">The Hindu law of coparcenary (joint heirship) has traditionally been a patriarchal institution that provided a birth right in the property to all male members of the Hindu joint family within three generations after the last holder of property. The 2005 amendment made an important inroad and provided coparcenary rights by birth for daughters, but excluded all other women in the Hindu joint family</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0"/>
          <w:smallCaps w:val="0"/>
          <w:strike w:val="0"/>
          <w:sz w:val="20"/>
          <w:szCs w:val="20"/>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360"/>
        <w:rPr>
          <w:rFonts w:ascii="Arial" w:cs="Arial" w:eastAsia="Arial" w:hAnsi="Arial"/>
          <w:i w:val="0"/>
          <w:smallCaps w:val="0"/>
          <w:strike w:val="0"/>
          <w:sz w:val="20"/>
          <w:szCs w:val="20"/>
          <w:shd w:fill="auto" w:val="clear"/>
          <w:vertAlign w:val="baseline"/>
        </w:rPr>
      </w:pPr>
      <w:r w:rsidDel="00000000" w:rsidR="00000000" w:rsidRPr="00000000">
        <w:rPr>
          <w:rFonts w:ascii="Arial" w:cs="Arial" w:eastAsia="Arial" w:hAnsi="Arial"/>
          <w:i w:val="0"/>
          <w:smallCaps w:val="0"/>
          <w:strike w:val="0"/>
          <w:sz w:val="20"/>
          <w:szCs w:val="20"/>
          <w:u w:val="none"/>
          <w:shd w:fill="auto" w:val="clear"/>
          <w:vertAlign w:val="baseline"/>
          <w:rtl w:val="0"/>
        </w:rPr>
        <w:t xml:space="preserve">The HSA has two separate schemes of succession for men and women, which is blatantly gender discriminatory. </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360"/>
        <w:rPr>
          <w:rFonts w:ascii="Arial" w:cs="Arial" w:eastAsia="Arial" w:hAnsi="Arial"/>
          <w:i w:val="0"/>
          <w:smallCaps w:val="0"/>
          <w:strike w:val="0"/>
          <w:sz w:val="20"/>
          <w:szCs w:val="20"/>
          <w:shd w:fill="auto" w:val="clear"/>
          <w:vertAlign w:val="baseline"/>
        </w:rPr>
      </w:pPr>
      <w:r w:rsidDel="00000000" w:rsidR="00000000" w:rsidRPr="00000000">
        <w:rPr>
          <w:rFonts w:ascii="Arial" w:cs="Arial" w:eastAsia="Arial" w:hAnsi="Arial"/>
          <w:i w:val="0"/>
          <w:smallCaps w:val="0"/>
          <w:strike w:val="0"/>
          <w:sz w:val="20"/>
          <w:szCs w:val="20"/>
          <w:u w:val="none"/>
          <w:shd w:fill="auto" w:val="clear"/>
          <w:vertAlign w:val="baseline"/>
          <w:rtl w:val="0"/>
        </w:rPr>
        <w:t xml:space="preserve">In the scheme for women intestates, differential rules exist for inheritance based on the source of the woman’s property (whether inherited from parents or husband/father-in-law) and based on the presence of children, which does not exist for male intestates.  </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360"/>
        <w:rPr>
          <w:rFonts w:ascii="Times New Roman" w:cs="Times New Roman" w:eastAsia="Times New Roman" w:hAnsi="Times New Roman"/>
          <w:b w:val="0"/>
          <w:i w:val="0"/>
          <w:smallCaps w:val="0"/>
          <w:strike w:val="0"/>
          <w:sz w:val="20"/>
          <w:szCs w:val="20"/>
          <w:shd w:fill="auto" w:val="clear"/>
          <w:vertAlign w:val="baseline"/>
        </w:rPr>
      </w:pPr>
      <w:r w:rsidDel="00000000" w:rsidR="00000000" w:rsidRPr="00000000">
        <w:rPr>
          <w:rFonts w:ascii="Arial" w:cs="Arial" w:eastAsia="Arial" w:hAnsi="Arial"/>
          <w:i w:val="0"/>
          <w:smallCaps w:val="0"/>
          <w:strike w:val="0"/>
          <w:sz w:val="20"/>
          <w:szCs w:val="20"/>
          <w:u w:val="none"/>
          <w:shd w:fill="auto" w:val="clear"/>
          <w:vertAlign w:val="baseline"/>
          <w:rtl w:val="0"/>
        </w:rPr>
        <w:t xml:space="preserve">In the absence of her husband and children, her husband’s heirs are given preference over her parents and siblings for inheriting her property, in accordance with Section 15(1)(b) of HSA.  This is not the case for Hindu men. The Supreme Court, in </w:t>
      </w:r>
      <w:r w:rsidDel="00000000" w:rsidR="00000000" w:rsidRPr="00000000">
        <w:rPr>
          <w:rFonts w:ascii="Arial" w:cs="Arial" w:eastAsia="Arial" w:hAnsi="Arial"/>
          <w:i w:val="1"/>
          <w:smallCaps w:val="0"/>
          <w:strike w:val="0"/>
          <w:sz w:val="20"/>
          <w:szCs w:val="20"/>
          <w:u w:val="none"/>
          <w:shd w:fill="auto" w:val="clear"/>
          <w:vertAlign w:val="baseline"/>
          <w:rtl w:val="0"/>
        </w:rPr>
        <w:t xml:space="preserve">Om Prakash vs. Radhacharan</w:t>
      </w:r>
      <w:r w:rsidDel="00000000" w:rsidR="00000000" w:rsidRPr="00000000">
        <w:rPr>
          <w:rFonts w:ascii="Arial" w:cs="Arial" w:eastAsia="Arial" w:hAnsi="Arial"/>
          <w:i w:val="0"/>
          <w:smallCaps w:val="0"/>
          <w:strike w:val="0"/>
          <w:sz w:val="20"/>
          <w:szCs w:val="20"/>
          <w:u w:val="none"/>
          <w:shd w:fill="auto" w:val="clear"/>
          <w:vertAlign w:val="baseline"/>
          <w:rtl w:val="0"/>
        </w:rPr>
        <w:t xml:space="preserve">, affirmed and applied this provision to the woman’s self-acquired property.</w:t>
      </w:r>
      <w:r w:rsidDel="00000000" w:rsidR="00000000" w:rsidRPr="00000000">
        <w:rPr>
          <w:rFonts w:ascii="Arial" w:cs="Arial" w:eastAsia="Arial" w:hAnsi="Arial"/>
          <w:b w:val="1"/>
          <w:i w:val="1"/>
          <w:smallCaps w:val="0"/>
          <w:strike w:val="0"/>
          <w:sz w:val="20"/>
          <w:szCs w:val="20"/>
          <w:u w:val="none"/>
          <w:shd w:fill="auto" w:val="clear"/>
          <w:vertAlign w:val="superscript"/>
        </w:rPr>
        <w:footnoteReference w:customMarkFollows="0" w:id="43"/>
      </w:r>
      <w:r w:rsidDel="00000000" w:rsidR="00000000" w:rsidRPr="00000000">
        <w:rPr>
          <w:rFonts w:ascii="Arial" w:cs="Arial" w:eastAsia="Arial" w:hAnsi="Arial"/>
          <w:i w:val="0"/>
          <w:smallCaps w:val="0"/>
          <w:strike w:val="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50" w:right="0" w:hanging="360"/>
        <w:rPr>
          <w:rFonts w:ascii="Arial" w:cs="Arial" w:eastAsia="Arial" w:hAnsi="Arial"/>
          <w:i w:val="0"/>
          <w:smallCaps w:val="0"/>
          <w:strike w:val="0"/>
          <w:sz w:val="20"/>
          <w:szCs w:val="20"/>
          <w:shd w:fill="auto" w:val="clear"/>
          <w:vertAlign w:val="baseline"/>
        </w:rPr>
      </w:pPr>
      <w:r w:rsidDel="00000000" w:rsidR="00000000" w:rsidRPr="00000000">
        <w:rPr>
          <w:rFonts w:ascii="Arial" w:cs="Arial" w:eastAsia="Arial" w:hAnsi="Arial"/>
          <w:i w:val="0"/>
          <w:smallCaps w:val="0"/>
          <w:strike w:val="0"/>
          <w:sz w:val="20"/>
          <w:szCs w:val="20"/>
          <w:u w:val="none"/>
          <w:shd w:fill="auto" w:val="clear"/>
          <w:vertAlign w:val="baseline"/>
          <w:rtl w:val="0"/>
        </w:rPr>
        <w:t xml:space="preserve">No explicit provision exists for inheritance of a woman intestate’s self-acquired property, clearly demonstrating that women are not viewed as independent </w:t>
      </w:r>
      <w:r w:rsidDel="00000000" w:rsidR="00000000" w:rsidRPr="00000000">
        <w:rPr>
          <w:rFonts w:ascii="Arial" w:cs="Arial" w:eastAsia="Arial" w:hAnsi="Arial"/>
          <w:sz w:val="20"/>
          <w:szCs w:val="20"/>
          <w:rtl w:val="0"/>
        </w:rPr>
        <w:t xml:space="preserve">people</w:t>
      </w:r>
      <w:r w:rsidDel="00000000" w:rsidR="00000000" w:rsidRPr="00000000">
        <w:rPr>
          <w:rFonts w:ascii="Arial" w:cs="Arial" w:eastAsia="Arial" w:hAnsi="Arial"/>
          <w:i w:val="0"/>
          <w:smallCaps w:val="0"/>
          <w:strike w:val="0"/>
          <w:sz w:val="20"/>
          <w:szCs w:val="20"/>
          <w:u w:val="none"/>
          <w:shd w:fill="auto" w:val="clear"/>
          <w:vertAlign w:val="baseline"/>
          <w:rtl w:val="0"/>
        </w:rPr>
        <w:t xml:space="preserve"> who are capable of acquiring, owning and managing property. </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E">
      <w:pPr>
        <w:pStyle w:val="Title"/>
        <w:spacing w:line="276" w:lineRule="auto"/>
        <w:ind w:left="0" w:firstLine="0"/>
        <w:jc w:val="left"/>
        <w:rPr/>
      </w:pPr>
      <w:bookmarkStart w:colFirst="0" w:colLast="0" w:name="_heading=h.11b7ty1081ut" w:id="12"/>
      <w:bookmarkEnd w:id="12"/>
      <w:r w:rsidDel="00000000" w:rsidR="00000000" w:rsidRPr="00000000">
        <w:rPr>
          <w:rtl w:val="0"/>
        </w:rPr>
        <w:t xml:space="preserve">Suggested Questions to the State Party</w:t>
      </w:r>
    </w:p>
    <w:p w:rsidR="00000000" w:rsidDel="00000000" w:rsidP="00000000" w:rsidRDefault="00000000" w:rsidRPr="00000000" w14:paraId="0000003F">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 respectfully urge the Committee to raise with the Government of India the following questions:</w:t>
      </w:r>
    </w:p>
    <w:p w:rsidR="00000000" w:rsidDel="00000000" w:rsidP="00000000" w:rsidRDefault="00000000" w:rsidRPr="00000000" w14:paraId="00000040">
      <w:pPr>
        <w:numPr>
          <w:ilvl w:val="0"/>
          <w:numId w:val="2"/>
        </w:numPr>
        <w:spacing w:after="0" w:line="276" w:lineRule="auto"/>
        <w:ind w:left="45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Please state the timeline for reform of community-related personal / family laws of the country, including the codification of an egalitarian Muslim family law, to ensure that they guarantee equality, justice and uniformity of rights for all women and families. </w:t>
      </w:r>
      <w:r w:rsidDel="00000000" w:rsidR="00000000" w:rsidRPr="00000000">
        <w:rPr>
          <w:rtl w:val="0"/>
        </w:rPr>
      </w:r>
    </w:p>
    <w:p w:rsidR="00000000" w:rsidDel="00000000" w:rsidP="00000000" w:rsidRDefault="00000000" w:rsidRPr="00000000" w14:paraId="00000041">
      <w:pPr>
        <w:numPr>
          <w:ilvl w:val="0"/>
          <w:numId w:val="2"/>
        </w:numPr>
        <w:spacing w:after="0" w:line="276" w:lineRule="auto"/>
        <w:ind w:left="4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Please provide the steps being taken to address the concerns raised regarding monitoring of women’s intimate relationships through mandatory registration under  the Uttarakhand Uniform Civil Code. </w:t>
      </w:r>
    </w:p>
    <w:p w:rsidR="00000000" w:rsidDel="00000000" w:rsidP="00000000" w:rsidRDefault="00000000" w:rsidRPr="00000000" w14:paraId="00000042">
      <w:pPr>
        <w:numPr>
          <w:ilvl w:val="0"/>
          <w:numId w:val="2"/>
        </w:numPr>
        <w:spacing w:after="0" w:line="276" w:lineRule="auto"/>
        <w:ind w:left="4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Please provide details on the steps that the Government is taking to eliminate gender discrimination in Hindu family laws, including ensuring equal guardianship rights for mothers under the Hindu Minority and Guardianship Act, 1956 (HMGA) and equal equitable distribution of inheritance for women under the Hindu Succession Act (HSA), 1956. </w:t>
      </w:r>
    </w:p>
    <w:p w:rsidR="00000000" w:rsidDel="00000000" w:rsidP="00000000" w:rsidRDefault="00000000" w:rsidRPr="00000000" w14:paraId="00000043">
      <w:pPr>
        <w:numPr>
          <w:ilvl w:val="0"/>
          <w:numId w:val="2"/>
        </w:numPr>
        <w:spacing w:after="0" w:line="276" w:lineRule="auto"/>
        <w:ind w:left="45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Please provide details on steps that the Government is taking to abolish the discriminatory concept of ‘Restitution of Conjugal Rights (RCR)’ under Indian family laws. </w:t>
      </w:r>
    </w:p>
    <w:p w:rsidR="00000000" w:rsidDel="00000000" w:rsidP="00000000" w:rsidRDefault="00000000" w:rsidRPr="00000000" w14:paraId="00000044">
      <w:pPr>
        <w:numPr>
          <w:ilvl w:val="0"/>
          <w:numId w:val="2"/>
        </w:numPr>
        <w:spacing w:after="0" w:line="276" w:lineRule="auto"/>
        <w:ind w:left="45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Please provide information on the Government’s plans for economic empowerment of all Indian women within marriage and after its dissolution, in the form of equal inheritance rights, legal recognition of matrimonial property rights and non-financial contribution of women. </w:t>
      </w:r>
      <w:r w:rsidDel="00000000" w:rsidR="00000000" w:rsidRPr="00000000">
        <w:rPr>
          <w:rtl w:val="0"/>
        </w:rPr>
      </w:r>
    </w:p>
    <w:p w:rsidR="00000000" w:rsidDel="00000000" w:rsidP="00000000" w:rsidRDefault="00000000" w:rsidRPr="00000000" w14:paraId="00000045">
      <w:pPr>
        <w:numPr>
          <w:ilvl w:val="0"/>
          <w:numId w:val="2"/>
        </w:numPr>
        <w:spacing w:after="0" w:line="276" w:lineRule="auto"/>
        <w:ind w:left="45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Please provide the steps being taken to make Indian family laws inclusive of LGBTQIA+ persons’ rights.</w:t>
      </w:r>
      <w:r w:rsidDel="00000000" w:rsidR="00000000" w:rsidRPr="00000000">
        <w:rPr>
          <w:rtl w:val="0"/>
        </w:rPr>
      </w:r>
    </w:p>
    <w:p w:rsidR="00000000" w:rsidDel="00000000" w:rsidP="00000000" w:rsidRDefault="00000000" w:rsidRPr="00000000" w14:paraId="00000046">
      <w:pPr>
        <w:numPr>
          <w:ilvl w:val="0"/>
          <w:numId w:val="2"/>
        </w:numPr>
        <w:spacing w:after="0" w:line="276" w:lineRule="auto"/>
        <w:ind w:left="45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Please provide the steps being taken to ensure the effective implementation of the Dowry Prohibition Act 1961 in order that women live in their matrimonial homes, without fear of physical and psychological violence. </w:t>
      </w: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jc w:val="center"/>
      <w:rPr>
        <w:rFonts w:ascii="Times New Roman" w:cs="Times New Roman" w:eastAsia="Times New Roman" w:hAnsi="Times New Roman"/>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
    <w:p w:rsidR="00000000" w:rsidDel="00000000" w:rsidP="00000000" w:rsidRDefault="00000000" w:rsidRPr="00000000" w14:paraId="0000004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Abhay Kumar (2023). </w:t>
      </w:r>
      <w:r w:rsidDel="00000000" w:rsidR="00000000" w:rsidRPr="00000000">
        <w:rPr>
          <w:rFonts w:ascii="Arial" w:cs="Arial" w:eastAsia="Arial" w:hAnsi="Arial"/>
          <w:i w:val="1"/>
          <w:sz w:val="18"/>
          <w:szCs w:val="18"/>
          <w:rtl w:val="0"/>
        </w:rPr>
        <w:t xml:space="preserve">The UCC Bogey Is Raked Up for Muslim Bashing and to Serve Electoral Needs: Flavia Agnes.</w:t>
      </w:r>
      <w:r w:rsidDel="00000000" w:rsidR="00000000" w:rsidRPr="00000000">
        <w:rPr>
          <w:rFonts w:ascii="Arial" w:cs="Arial" w:eastAsia="Arial" w:hAnsi="Arial"/>
          <w:sz w:val="18"/>
          <w:szCs w:val="18"/>
          <w:rtl w:val="0"/>
        </w:rPr>
        <w:t xml:space="preserve"> The Wire. </w:t>
      </w:r>
      <w:hyperlink r:id="rId1">
        <w:r w:rsidDel="00000000" w:rsidR="00000000" w:rsidRPr="00000000">
          <w:rPr>
            <w:rFonts w:ascii="Arial" w:cs="Arial" w:eastAsia="Arial" w:hAnsi="Arial"/>
            <w:color w:val="1155cc"/>
            <w:sz w:val="18"/>
            <w:szCs w:val="18"/>
            <w:u w:val="single"/>
            <w:rtl w:val="0"/>
          </w:rPr>
          <w:t xml:space="preserve">https://m.thewire.in/article/government/ucc-bogey-muslim-bashing-electoral-needs-flavia-agnes/amp?utm=relatedarticles</w:t>
        </w:r>
      </w:hyperlink>
      <w:r w:rsidDel="00000000" w:rsidR="00000000" w:rsidRPr="00000000">
        <w:rPr>
          <w:sz w:val="20"/>
          <w:szCs w:val="20"/>
          <w:rtl w:val="0"/>
        </w:rPr>
        <w:t xml:space="preserve"> </w:t>
      </w:r>
    </w:p>
  </w:footnote>
  <w:footnote w:id="3">
    <w:p w:rsidR="00000000" w:rsidDel="00000000" w:rsidP="00000000" w:rsidRDefault="00000000" w:rsidRPr="00000000" w14:paraId="00000048">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Saumya Uma (2024). </w:t>
      </w:r>
      <w:r w:rsidDel="00000000" w:rsidR="00000000" w:rsidRPr="00000000">
        <w:rPr>
          <w:rFonts w:ascii="Arial" w:cs="Arial" w:eastAsia="Arial" w:hAnsi="Arial"/>
          <w:i w:val="1"/>
          <w:sz w:val="18"/>
          <w:szCs w:val="18"/>
          <w:rtl w:val="0"/>
        </w:rPr>
        <w:t xml:space="preserve">Not in the Name of Gender Justice: Reflections on Uttarakhand’s UCC.</w:t>
      </w:r>
      <w:r w:rsidDel="00000000" w:rsidR="00000000" w:rsidRPr="00000000">
        <w:rPr>
          <w:rFonts w:ascii="Arial" w:cs="Arial" w:eastAsia="Arial" w:hAnsi="Arial"/>
          <w:sz w:val="18"/>
          <w:szCs w:val="18"/>
          <w:rtl w:val="0"/>
        </w:rPr>
        <w:t xml:space="preserve"> The Wire. February 9. </w:t>
      </w:r>
      <w:hyperlink r:id="rId2">
        <w:r w:rsidDel="00000000" w:rsidR="00000000" w:rsidRPr="00000000">
          <w:rPr>
            <w:rFonts w:ascii="Arial" w:cs="Arial" w:eastAsia="Arial" w:hAnsi="Arial"/>
            <w:color w:val="1155cc"/>
            <w:sz w:val="18"/>
            <w:szCs w:val="18"/>
            <w:u w:val="single"/>
            <w:rtl w:val="0"/>
          </w:rPr>
          <w:t xml:space="preserve">https://thewire.in/rights/not-in-the-name-of-gender-justice-reflections-on-the-uttarakhands-ucc</w:t>
        </w:r>
      </w:hyperlink>
      <w:r w:rsidDel="00000000" w:rsidR="00000000" w:rsidRPr="00000000">
        <w:rPr>
          <w:rFonts w:ascii="Arial" w:cs="Arial" w:eastAsia="Arial" w:hAnsi="Arial"/>
          <w:sz w:val="18"/>
          <w:szCs w:val="18"/>
          <w:rtl w:val="0"/>
        </w:rPr>
        <w:t xml:space="preserve"> </w:t>
      </w:r>
    </w:p>
  </w:footnote>
  <w:footnote w:id="4">
    <w:p w:rsidR="00000000" w:rsidDel="00000000" w:rsidP="00000000" w:rsidRDefault="00000000" w:rsidRPr="00000000" w14:paraId="00000049">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Albertina Almeida (2016). </w:t>
      </w:r>
      <w:r w:rsidDel="00000000" w:rsidR="00000000" w:rsidRPr="00000000">
        <w:rPr>
          <w:rFonts w:ascii="Arial" w:cs="Arial" w:eastAsia="Arial" w:hAnsi="Arial"/>
          <w:i w:val="1"/>
          <w:sz w:val="18"/>
          <w:szCs w:val="18"/>
          <w:rtl w:val="0"/>
        </w:rPr>
        <w:t xml:space="preserve">Goa's Civil Code Shows That Uniformity Does Not Always Mean Equality. </w:t>
      </w:r>
      <w:r w:rsidDel="00000000" w:rsidR="00000000" w:rsidRPr="00000000">
        <w:rPr>
          <w:rFonts w:ascii="Arial" w:cs="Arial" w:eastAsia="Arial" w:hAnsi="Arial"/>
          <w:sz w:val="18"/>
          <w:szCs w:val="18"/>
          <w:rtl w:val="0"/>
        </w:rPr>
        <w:t xml:space="preserve">The Wire. August 8. </w:t>
      </w:r>
      <w:hyperlink r:id="rId3">
        <w:r w:rsidDel="00000000" w:rsidR="00000000" w:rsidRPr="00000000">
          <w:rPr>
            <w:rFonts w:ascii="Arial" w:cs="Arial" w:eastAsia="Arial" w:hAnsi="Arial"/>
            <w:color w:val="1155cc"/>
            <w:sz w:val="18"/>
            <w:szCs w:val="18"/>
            <w:u w:val="single"/>
            <w:rtl w:val="0"/>
          </w:rPr>
          <w:t xml:space="preserve">https://thewire.in/law/goas-uniform-civil-code-is-not-the-greatest-model-to-follow</w:t>
        </w:r>
      </w:hyperlink>
      <w:r w:rsidDel="00000000" w:rsidR="00000000" w:rsidRPr="00000000">
        <w:rPr>
          <w:rFonts w:ascii="Arial" w:cs="Arial" w:eastAsia="Arial" w:hAnsi="Arial"/>
          <w:sz w:val="18"/>
          <w:szCs w:val="18"/>
          <w:rtl w:val="0"/>
        </w:rPr>
        <w:t xml:space="preserve"> </w:t>
      </w:r>
    </w:p>
  </w:footnote>
  <w:footnote w:id="5">
    <w:p w:rsidR="00000000" w:rsidDel="00000000" w:rsidP="00000000" w:rsidRDefault="00000000" w:rsidRPr="00000000" w14:paraId="0000004A">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Law Commission of India (2018). </w:t>
      </w:r>
      <w:r w:rsidDel="00000000" w:rsidR="00000000" w:rsidRPr="00000000">
        <w:rPr>
          <w:rFonts w:ascii="Arial" w:cs="Arial" w:eastAsia="Arial" w:hAnsi="Arial"/>
          <w:i w:val="1"/>
          <w:sz w:val="18"/>
          <w:szCs w:val="18"/>
          <w:rtl w:val="0"/>
        </w:rPr>
        <w:t xml:space="preserve">Consultation Paper on Reform of Family Law. Ministry of Law and Justice, Government of India. </w:t>
      </w:r>
      <w:r w:rsidDel="00000000" w:rsidR="00000000" w:rsidRPr="00000000">
        <w:rPr>
          <w:rFonts w:ascii="Arial" w:cs="Arial" w:eastAsia="Arial" w:hAnsi="Arial"/>
          <w:sz w:val="18"/>
          <w:szCs w:val="18"/>
          <w:rtl w:val="0"/>
        </w:rPr>
        <w:t xml:space="preserve">Para 3.31 </w:t>
      </w:r>
      <w:hyperlink r:id="rId4">
        <w:r w:rsidDel="00000000" w:rsidR="00000000" w:rsidRPr="00000000">
          <w:rPr>
            <w:rFonts w:ascii="Arial" w:cs="Arial" w:eastAsia="Arial" w:hAnsi="Arial"/>
            <w:color w:val="1155cc"/>
            <w:sz w:val="18"/>
            <w:szCs w:val="18"/>
            <w:u w:val="single"/>
            <w:rtl w:val="0"/>
          </w:rPr>
          <w:t xml:space="preserve">https://archive.pib.gov.in/documents/rlink/2018/aug/p201883101.pdf</w:t>
        </w:r>
      </w:hyperlink>
      <w:r w:rsidDel="00000000" w:rsidR="00000000" w:rsidRPr="00000000">
        <w:rPr>
          <w:rFonts w:ascii="Arial" w:cs="Arial" w:eastAsia="Arial" w:hAnsi="Arial"/>
          <w:sz w:val="18"/>
          <w:szCs w:val="18"/>
          <w:rtl w:val="0"/>
        </w:rPr>
        <w:t xml:space="preserve"> </w:t>
      </w:r>
    </w:p>
  </w:footnote>
  <w:footnote w:id="6">
    <w:p w:rsidR="00000000" w:rsidDel="00000000" w:rsidP="00000000" w:rsidRDefault="00000000" w:rsidRPr="00000000" w14:paraId="0000004B">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These include The Uttar Pradesh Prohibition of Unlawful Conversion of Religion Act, 2021;  </w:t>
      </w:r>
      <w:r w:rsidDel="00000000" w:rsidR="00000000" w:rsidRPr="00000000">
        <w:rPr>
          <w:rFonts w:ascii="Arial" w:cs="Arial" w:eastAsia="Arial" w:hAnsi="Arial"/>
          <w:sz w:val="18"/>
          <w:szCs w:val="18"/>
          <w:highlight w:val="white"/>
          <w:rtl w:val="0"/>
        </w:rPr>
        <w:t xml:space="preserve">Gujarat Freedom of Religion (Amendment) Act, 2021; The Haryana Prevention of Unlawful Conversion of Religion Act, 2022; The Himachal Pradesh Freedom of Religion (Amendment) Act, 2022. </w:t>
      </w:r>
      <w:r w:rsidDel="00000000" w:rsidR="00000000" w:rsidRPr="00000000">
        <w:rPr>
          <w:rtl w:val="0"/>
        </w:rPr>
      </w:r>
    </w:p>
  </w:footnote>
  <w:footnote w:id="7">
    <w:p w:rsidR="00000000" w:rsidDel="00000000" w:rsidP="00000000" w:rsidRDefault="00000000" w:rsidRPr="00000000" w14:paraId="0000004C">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Uttar Pradesh Prohibition of Unlawful Conversion of Religion Act, 2021</w:t>
      </w:r>
    </w:p>
  </w:footnote>
  <w:footnote w:id="8">
    <w:p w:rsidR="00000000" w:rsidDel="00000000" w:rsidP="00000000" w:rsidRDefault="00000000" w:rsidRPr="00000000" w14:paraId="0000004D">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highlight w:val="white"/>
          <w:rtl w:val="0"/>
        </w:rPr>
        <w:t xml:space="preserve"> </w:t>
      </w:r>
      <w:r w:rsidDel="00000000" w:rsidR="00000000" w:rsidRPr="00000000">
        <w:rPr>
          <w:rFonts w:ascii="Arial" w:cs="Arial" w:eastAsia="Arial" w:hAnsi="Arial"/>
          <w:sz w:val="18"/>
          <w:szCs w:val="18"/>
          <w:highlight w:val="white"/>
          <w:rtl w:val="0"/>
        </w:rPr>
        <w:t xml:space="preserve">Saumya Uma &amp; Niti Saxena (2021). </w:t>
      </w:r>
      <w:r w:rsidDel="00000000" w:rsidR="00000000" w:rsidRPr="00000000">
        <w:rPr>
          <w:rFonts w:ascii="Arial" w:cs="Arial" w:eastAsia="Arial" w:hAnsi="Arial"/>
          <w:i w:val="1"/>
          <w:sz w:val="18"/>
          <w:szCs w:val="18"/>
          <w:highlight w:val="white"/>
          <w:rtl w:val="0"/>
        </w:rPr>
        <w:t xml:space="preserve">Rights and Wrongs of Anti-Conversion Law(s): Juxtaposing 'Honour' with Women's Agency, E</w:t>
      </w:r>
      <w:r w:rsidDel="00000000" w:rsidR="00000000" w:rsidRPr="00000000">
        <w:rPr>
          <w:rFonts w:ascii="Arial" w:cs="Arial" w:eastAsia="Arial" w:hAnsi="Arial"/>
          <w:i w:val="1"/>
          <w:sz w:val="18"/>
          <w:szCs w:val="18"/>
          <w:rtl w:val="0"/>
        </w:rPr>
        <w:t xml:space="preserve">conomic</w:t>
      </w:r>
      <w:r w:rsidDel="00000000" w:rsidR="00000000" w:rsidRPr="00000000">
        <w:rPr>
          <w:rFonts w:ascii="Arial" w:cs="Arial" w:eastAsia="Arial" w:hAnsi="Arial"/>
          <w:sz w:val="18"/>
          <w:szCs w:val="18"/>
          <w:rtl w:val="0"/>
        </w:rPr>
        <w:t xml:space="preserve"> and Political Weekly. </w:t>
      </w:r>
      <w:hyperlink r:id="rId5">
        <w:r w:rsidDel="00000000" w:rsidR="00000000" w:rsidRPr="00000000">
          <w:rPr>
            <w:rFonts w:ascii="Arial" w:cs="Arial" w:eastAsia="Arial" w:hAnsi="Arial"/>
            <w:sz w:val="18"/>
            <w:szCs w:val="18"/>
            <w:highlight w:val="white"/>
            <w:rtl w:val="0"/>
          </w:rPr>
          <w:t xml:space="preserve">Vol. 56, Issue No. 1, 02 Jan, 2021</w:t>
        </w:r>
      </w:hyperlink>
      <w:r w:rsidDel="00000000" w:rsidR="00000000" w:rsidRPr="00000000">
        <w:rPr>
          <w:rtl w:val="0"/>
        </w:rPr>
      </w:r>
    </w:p>
  </w:footnote>
  <w:footnote w:id="9">
    <w:p w:rsidR="00000000" w:rsidDel="00000000" w:rsidP="00000000" w:rsidRDefault="00000000" w:rsidRPr="00000000" w14:paraId="0000004E">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For details, see </w:t>
      </w:r>
      <w:r w:rsidDel="00000000" w:rsidR="00000000" w:rsidRPr="00000000">
        <w:rPr>
          <w:rFonts w:ascii="Arial" w:cs="Arial" w:eastAsia="Arial" w:hAnsi="Arial"/>
          <w:sz w:val="18"/>
          <w:szCs w:val="18"/>
          <w:highlight w:val="white"/>
          <w:rtl w:val="0"/>
        </w:rPr>
        <w:t xml:space="preserve">Saumya Uma &amp; Niti Saxena (2021) ibid</w:t>
      </w:r>
      <w:r w:rsidDel="00000000" w:rsidR="00000000" w:rsidRPr="00000000">
        <w:rPr>
          <w:rtl w:val="0"/>
        </w:rPr>
      </w:r>
    </w:p>
  </w:footnote>
  <w:footnote w:id="10">
    <w:p w:rsidR="00000000" w:rsidDel="00000000" w:rsidP="00000000" w:rsidRDefault="00000000" w:rsidRPr="00000000" w14:paraId="0000004F">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sz w:val="18"/>
          <w:szCs w:val="18"/>
          <w:rtl w:val="0"/>
        </w:rPr>
        <w:t xml:space="preserve">Shafin Jahan vs. Asokan K.M.</w:t>
      </w:r>
      <w:r w:rsidDel="00000000" w:rsidR="00000000" w:rsidRPr="00000000">
        <w:rPr>
          <w:rFonts w:ascii="Arial" w:cs="Arial" w:eastAsia="Arial" w:hAnsi="Arial"/>
          <w:sz w:val="18"/>
          <w:szCs w:val="18"/>
          <w:rtl w:val="0"/>
        </w:rPr>
        <w:t xml:space="preserve"> AIR Online 2018 SC 1136</w:t>
      </w:r>
    </w:p>
  </w:footnote>
  <w:footnote w:id="11">
    <w:p w:rsidR="00000000" w:rsidDel="00000000" w:rsidP="00000000" w:rsidRDefault="00000000" w:rsidRPr="00000000" w14:paraId="00000050">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Centre for Justice and Peace vs. State of UP and Others Writ Petition (Criminal) 428/2020 </w:t>
      </w:r>
      <w:hyperlink r:id="rId6">
        <w:r w:rsidDel="00000000" w:rsidR="00000000" w:rsidRPr="00000000">
          <w:rPr>
            <w:rFonts w:ascii="Arial" w:cs="Arial" w:eastAsia="Arial" w:hAnsi="Arial"/>
            <w:color w:val="1155cc"/>
            <w:sz w:val="18"/>
            <w:szCs w:val="18"/>
            <w:u w:val="single"/>
            <w:rtl w:val="0"/>
          </w:rPr>
          <w:t xml:space="preserve">https://www.scobserver.in/cases/cjp-v-state-of-up-constitutionality-of-anti-conversion-laws-case-background/</w:t>
        </w:r>
      </w:hyperlink>
      <w:r w:rsidDel="00000000" w:rsidR="00000000" w:rsidRPr="00000000">
        <w:rPr>
          <w:rFonts w:ascii="Arial" w:cs="Arial" w:eastAsia="Arial" w:hAnsi="Arial"/>
          <w:sz w:val="18"/>
          <w:szCs w:val="18"/>
          <w:rtl w:val="0"/>
        </w:rPr>
        <w:t xml:space="preserve"> </w:t>
      </w:r>
    </w:p>
  </w:footnote>
  <w:footnote w:id="12">
    <w:p w:rsidR="00000000" w:rsidDel="00000000" w:rsidP="00000000" w:rsidRDefault="00000000" w:rsidRPr="00000000" w14:paraId="00000051">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sz w:val="18"/>
          <w:szCs w:val="18"/>
          <w:rtl w:val="0"/>
        </w:rPr>
        <w:t xml:space="preserve">Dr. Uma Bhatt &amp; Others vs. State of Uttarakhand</w:t>
      </w:r>
      <w:r w:rsidDel="00000000" w:rsidR="00000000" w:rsidRPr="00000000">
        <w:rPr>
          <w:rFonts w:ascii="Arial" w:cs="Arial" w:eastAsia="Arial" w:hAnsi="Arial"/>
          <w:sz w:val="18"/>
          <w:szCs w:val="18"/>
          <w:rtl w:val="0"/>
        </w:rPr>
        <w:t xml:space="preserve">  </w:t>
      </w:r>
      <w:hyperlink r:id="rId7">
        <w:r w:rsidDel="00000000" w:rsidR="00000000" w:rsidRPr="00000000">
          <w:rPr>
            <w:rFonts w:ascii="Arial" w:cs="Arial" w:eastAsia="Arial" w:hAnsi="Arial"/>
            <w:color w:val="1155cc"/>
            <w:sz w:val="18"/>
            <w:szCs w:val="18"/>
            <w:u w:val="single"/>
            <w:rtl w:val="0"/>
          </w:rPr>
          <w:t xml:space="preserve">https://www.aninews.in/news/national/general-news/pil-filed-in-nainital-high-court-challenging-constitutional-validity-of-ucc-act-and-its-rules20250227111631/</w:t>
        </w:r>
      </w:hyperlink>
      <w:r w:rsidDel="00000000" w:rsidR="00000000" w:rsidRPr="00000000">
        <w:rPr>
          <w:rFonts w:ascii="Arial" w:cs="Arial" w:eastAsia="Arial" w:hAnsi="Arial"/>
          <w:sz w:val="18"/>
          <w:szCs w:val="18"/>
          <w:rtl w:val="0"/>
        </w:rPr>
        <w:t xml:space="preserve"> </w:t>
      </w:r>
    </w:p>
  </w:footnote>
  <w:footnote w:id="13">
    <w:p w:rsidR="00000000" w:rsidDel="00000000" w:rsidP="00000000" w:rsidRDefault="00000000" w:rsidRPr="00000000" w14:paraId="00000052">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i w:val="1"/>
          <w:sz w:val="20"/>
          <w:szCs w:val="20"/>
          <w:rtl w:val="0"/>
        </w:rPr>
        <w:t xml:space="preserve"> </w:t>
      </w:r>
      <w:r w:rsidDel="00000000" w:rsidR="00000000" w:rsidRPr="00000000">
        <w:rPr>
          <w:rFonts w:ascii="Arial" w:cs="Arial" w:eastAsia="Arial" w:hAnsi="Arial"/>
          <w:i w:val="1"/>
          <w:sz w:val="18"/>
          <w:szCs w:val="18"/>
          <w:rtl w:val="0"/>
        </w:rPr>
        <w:t xml:space="preserve">Supriyo vs. Union of India</w:t>
      </w:r>
      <w:r w:rsidDel="00000000" w:rsidR="00000000" w:rsidRPr="00000000">
        <w:rPr>
          <w:rFonts w:ascii="Arial" w:cs="Arial" w:eastAsia="Arial" w:hAnsi="Arial"/>
          <w:sz w:val="18"/>
          <w:szCs w:val="18"/>
          <w:rtl w:val="0"/>
        </w:rPr>
        <w:t xml:space="preserve"> (2023) SCC Online SC 1348 para. 52.</w:t>
      </w:r>
    </w:p>
  </w:footnote>
  <w:footnote w:id="14">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i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18"/>
          <w:szCs w:val="18"/>
          <w:u w:val="none"/>
          <w:shd w:fill="auto" w:val="clear"/>
          <w:vertAlign w:val="baseline"/>
          <w:rtl w:val="0"/>
        </w:rPr>
        <w:t xml:space="preserve">Justice K. S. Puttaswamy (Retd.) and Anr. vs Union Of India And Ors.</w:t>
      </w:r>
      <w:r w:rsidDel="00000000" w:rsidR="00000000" w:rsidRPr="00000000">
        <w:rPr>
          <w:rFonts w:ascii="Arial" w:cs="Arial" w:eastAsia="Arial" w:hAnsi="Arial"/>
          <w:i w:val="0"/>
          <w:smallCaps w:val="0"/>
          <w:strike w:val="0"/>
          <w:color w:val="000000"/>
          <w:sz w:val="18"/>
          <w:szCs w:val="18"/>
          <w:u w:val="none"/>
          <w:shd w:fill="auto" w:val="clear"/>
          <w:vertAlign w:val="baseline"/>
          <w:rtl w:val="0"/>
        </w:rPr>
        <w:t xml:space="preserve"> (2017) 10 SCC 1</w:t>
      </w:r>
    </w:p>
  </w:footnote>
  <w:footnote w:id="15">
    <w:p w:rsidR="00000000" w:rsidDel="00000000" w:rsidP="00000000" w:rsidRDefault="00000000" w:rsidRPr="00000000" w14:paraId="00000054">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Arunkumar and Sreeja v. Inspector General of Registration and Others</w:t>
      </w:r>
      <w:r w:rsidDel="00000000" w:rsidR="00000000" w:rsidRPr="00000000">
        <w:rPr>
          <w:rFonts w:ascii="Arial" w:cs="Arial" w:eastAsia="Arial" w:hAnsi="Arial"/>
          <w:sz w:val="18"/>
          <w:szCs w:val="18"/>
          <w:rtl w:val="0"/>
        </w:rPr>
        <w:t xml:space="preserve">, W.P.(MD) No.4125 of 2019 </w:t>
      </w:r>
    </w:p>
  </w:footnote>
  <w:footnote w:id="16">
    <w:p w:rsidR="00000000" w:rsidDel="00000000" w:rsidP="00000000" w:rsidRDefault="00000000" w:rsidRPr="00000000" w14:paraId="00000055">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Hindu Marriage Act 1956 Section 5. </w:t>
      </w:r>
    </w:p>
  </w:footnote>
  <w:footnote w:id="17">
    <w:p w:rsidR="00000000" w:rsidDel="00000000" w:rsidP="00000000" w:rsidRDefault="00000000" w:rsidRPr="00000000" w14:paraId="00000056">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Bhaurao Lokhande v. State of Maharashtra AIR 1965 SC 1564 </w:t>
      </w:r>
    </w:p>
  </w:footnote>
  <w:footnote w:id="22">
    <w:p w:rsidR="00000000" w:rsidDel="00000000" w:rsidP="00000000" w:rsidRDefault="00000000" w:rsidRPr="00000000" w14:paraId="00000057">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sz w:val="18"/>
          <w:szCs w:val="18"/>
          <w:rtl w:val="0"/>
        </w:rPr>
        <w:t xml:space="preserve">T. Sareetha v. T.Venkata Subbaih</w:t>
      </w:r>
      <w:r w:rsidDel="00000000" w:rsidR="00000000" w:rsidRPr="00000000">
        <w:rPr>
          <w:rFonts w:ascii="Arial" w:cs="Arial" w:eastAsia="Arial" w:hAnsi="Arial"/>
          <w:sz w:val="18"/>
          <w:szCs w:val="18"/>
          <w:rtl w:val="0"/>
        </w:rPr>
        <w:t xml:space="preserve"> AIR 1983 AP 356 </w:t>
      </w:r>
    </w:p>
  </w:footnote>
  <w:footnote w:id="23">
    <w:p w:rsidR="00000000" w:rsidDel="00000000" w:rsidP="00000000" w:rsidRDefault="00000000" w:rsidRPr="00000000" w14:paraId="00000058">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sz w:val="18"/>
          <w:szCs w:val="18"/>
          <w:rtl w:val="0"/>
        </w:rPr>
        <w:t xml:space="preserve">Harvinder Kaur v. Harmander Singh AIR 1984 Del 66; Saroj Rani v. Sudershan Kumar AIR 1984 SC 1562 </w:t>
      </w:r>
      <w:r w:rsidDel="00000000" w:rsidR="00000000" w:rsidRPr="00000000">
        <w:rPr>
          <w:rtl w:val="0"/>
        </w:rPr>
      </w:r>
    </w:p>
  </w:footnote>
  <w:footnote w:id="25">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18"/>
          <w:szCs w:val="18"/>
          <w:u w:val="none"/>
          <w:shd w:fill="auto" w:val="clear"/>
          <w:vertAlign w:val="baseline"/>
          <w:rtl w:val="0"/>
        </w:rPr>
        <w:t xml:space="preserve">Ojaswa Pathak &amp; Another vs. Union of India</w:t>
      </w:r>
      <w:r w:rsidDel="00000000" w:rsidR="00000000" w:rsidRPr="00000000">
        <w:rPr>
          <w:rFonts w:ascii="Arial" w:cs="Arial" w:eastAsia="Arial" w:hAnsi="Arial"/>
          <w:i w:val="0"/>
          <w:smallCaps w:val="0"/>
          <w:strike w:val="0"/>
          <w:color w:val="000000"/>
          <w:sz w:val="18"/>
          <w:szCs w:val="18"/>
          <w:u w:val="none"/>
          <w:shd w:fill="auto" w:val="clear"/>
          <w:vertAlign w:val="baseline"/>
          <w:rtl w:val="0"/>
        </w:rPr>
        <w:t xml:space="preserve"> Writ Petition (Civil) No. 250/2019</w:t>
      </w:r>
    </w:p>
  </w:footnote>
  <w:footnote w:id="26">
    <w:p w:rsidR="00000000" w:rsidDel="00000000" w:rsidP="00000000" w:rsidRDefault="00000000" w:rsidRPr="00000000" w14:paraId="0000005A">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sz w:val="18"/>
          <w:szCs w:val="18"/>
          <w:rtl w:val="0"/>
        </w:rPr>
        <w:t xml:space="preserve">Githa Hariharan vs. Reserve Bank of India</w:t>
      </w:r>
      <w:r w:rsidDel="00000000" w:rsidR="00000000" w:rsidRPr="00000000">
        <w:rPr>
          <w:rFonts w:ascii="Arial" w:cs="Arial" w:eastAsia="Arial" w:hAnsi="Arial"/>
          <w:sz w:val="18"/>
          <w:szCs w:val="18"/>
          <w:rtl w:val="0"/>
        </w:rPr>
        <w:t xml:space="preserve"> (1999) 2 SCC 228</w:t>
      </w:r>
    </w:p>
  </w:footnote>
  <w:footnote w:id="27">
    <w:p w:rsidR="00000000" w:rsidDel="00000000" w:rsidP="00000000" w:rsidRDefault="00000000" w:rsidRPr="00000000" w14:paraId="0000005B">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Law Commission of India (1989). 133rd report on Removal of Discrimination Against Women in Matters Relating to Guardianship and Custody of Minor Children and Elaboration of The Welfare</w:t>
      </w:r>
    </w:p>
    <w:p w:rsidR="00000000" w:rsidDel="00000000" w:rsidP="00000000" w:rsidRDefault="00000000" w:rsidRPr="00000000" w14:paraId="0000005C">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Principle.‘ Ministry of Law and Justice, Government of India. Para 4.3 </w:t>
      </w:r>
      <w:hyperlink r:id="rId8">
        <w:r w:rsidDel="00000000" w:rsidR="00000000" w:rsidRPr="00000000">
          <w:rPr>
            <w:rFonts w:ascii="Arial" w:cs="Arial" w:eastAsia="Arial" w:hAnsi="Arial"/>
            <w:color w:val="1155cc"/>
            <w:sz w:val="18"/>
            <w:szCs w:val="18"/>
            <w:u w:val="single"/>
            <w:rtl w:val="0"/>
          </w:rPr>
          <w:t xml:space="preserve">https://cdnbbsr.s3waas.gov.in/s3ca0daec69b5adc880fb464895726dbdf/uploads/2022/08/2022080845.pdf</w:t>
        </w:r>
      </w:hyperlink>
      <w:r w:rsidDel="00000000" w:rsidR="00000000" w:rsidRPr="00000000">
        <w:rPr>
          <w:rFonts w:ascii="Arial" w:cs="Arial" w:eastAsia="Arial" w:hAnsi="Arial"/>
          <w:sz w:val="18"/>
          <w:szCs w:val="18"/>
          <w:rtl w:val="0"/>
        </w:rPr>
        <w:t xml:space="preserve">. This was reiterated in its 257th report (2015)</w:t>
      </w:r>
      <w:r w:rsidDel="00000000" w:rsidR="00000000" w:rsidRPr="00000000">
        <w:rPr>
          <w:rFonts w:ascii="Arial" w:cs="Arial" w:eastAsia="Arial" w:hAnsi="Arial"/>
          <w:sz w:val="18"/>
          <w:szCs w:val="18"/>
          <w:vertAlign w:val="superscript"/>
          <w:rtl w:val="0"/>
        </w:rPr>
        <w:t xml:space="preserve">#</w:t>
      </w:r>
      <w:r w:rsidDel="00000000" w:rsidR="00000000" w:rsidRPr="00000000">
        <w:rPr>
          <w:rFonts w:ascii="Arial" w:cs="Arial" w:eastAsia="Arial" w:hAnsi="Arial"/>
          <w:sz w:val="18"/>
          <w:szCs w:val="18"/>
          <w:rtl w:val="0"/>
        </w:rPr>
        <w:t xml:space="preserve"> and in its consultation paper on reform of family law (2018) - Law Commission of India (2018). Consultation Paper on Reform of Family Law. Ministry of Law and Justice, Government of India. Para 3.31 </w:t>
      </w:r>
      <w:hyperlink r:id="rId9">
        <w:r w:rsidDel="00000000" w:rsidR="00000000" w:rsidRPr="00000000">
          <w:rPr>
            <w:rFonts w:ascii="Arial" w:cs="Arial" w:eastAsia="Arial" w:hAnsi="Arial"/>
            <w:color w:val="1155cc"/>
            <w:sz w:val="18"/>
            <w:szCs w:val="18"/>
            <w:u w:val="single"/>
            <w:rtl w:val="0"/>
          </w:rPr>
          <w:t xml:space="preserve">https://archive.pib.gov.in/documents/rlink/2018/aug/p201883101.pdf</w:t>
        </w:r>
      </w:hyperlink>
      <w:r w:rsidDel="00000000" w:rsidR="00000000" w:rsidRPr="00000000">
        <w:rPr>
          <w:rFonts w:ascii="Arial" w:cs="Arial" w:eastAsia="Arial" w:hAnsi="Arial"/>
          <w:sz w:val="18"/>
          <w:szCs w:val="18"/>
          <w:rtl w:val="0"/>
        </w:rPr>
        <w:t xml:space="preserve"> </w:t>
      </w:r>
    </w:p>
  </w:footnote>
  <w:footnote w:id="28">
    <w:p w:rsidR="00000000" w:rsidDel="00000000" w:rsidP="00000000" w:rsidRDefault="00000000" w:rsidRPr="00000000" w14:paraId="0000005D">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sz w:val="20"/>
            <w:szCs w:val="20"/>
            <w:highlight w:val="white"/>
            <w:rtl w:val="0"/>
          </w:rPr>
          <w:t xml:space="preserve">P</w:t>
        </w:r>
      </w:hyperlink>
      <w:hyperlink r:id="rId11">
        <w:r w:rsidDel="00000000" w:rsidR="00000000" w:rsidRPr="00000000">
          <w:rPr>
            <w:rFonts w:ascii="Arial" w:cs="Arial" w:eastAsia="Arial" w:hAnsi="Arial"/>
            <w:sz w:val="18"/>
            <w:szCs w:val="18"/>
            <w:highlight w:val="white"/>
            <w:rtl w:val="0"/>
          </w:rPr>
          <w:t xml:space="preserve">ersonal Laws (Amendment) Act, 2010</w:t>
        </w:r>
      </w:hyperlink>
      <w:r w:rsidDel="00000000" w:rsidR="00000000" w:rsidRPr="00000000">
        <w:rPr>
          <w:rtl w:val="0"/>
        </w:rPr>
      </w:r>
    </w:p>
  </w:footnote>
  <w:footnote w:id="29">
    <w:p w:rsidR="00000000" w:rsidDel="00000000" w:rsidP="00000000" w:rsidRDefault="00000000" w:rsidRPr="00000000" w14:paraId="0000005E">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sz w:val="18"/>
          <w:szCs w:val="18"/>
          <w:rtl w:val="0"/>
        </w:rPr>
        <w:t xml:space="preserve">Lata Singh vs. State of Uttar Pradesh</w:t>
      </w:r>
      <w:r w:rsidDel="00000000" w:rsidR="00000000" w:rsidRPr="00000000">
        <w:rPr>
          <w:rFonts w:ascii="Arial" w:cs="Arial" w:eastAsia="Arial" w:hAnsi="Arial"/>
          <w:sz w:val="18"/>
          <w:szCs w:val="18"/>
          <w:rtl w:val="0"/>
        </w:rPr>
        <w:t xml:space="preserve"> AIR 2006 SC 2522; </w:t>
      </w:r>
      <w:r w:rsidDel="00000000" w:rsidR="00000000" w:rsidRPr="00000000">
        <w:rPr>
          <w:rFonts w:ascii="Arial" w:cs="Arial" w:eastAsia="Arial" w:hAnsi="Arial"/>
          <w:i w:val="1"/>
          <w:sz w:val="18"/>
          <w:szCs w:val="18"/>
          <w:rtl w:val="0"/>
        </w:rPr>
        <w:t xml:space="preserve">S. Khushboo vs. Kannimal </w:t>
      </w:r>
      <w:r w:rsidDel="00000000" w:rsidR="00000000" w:rsidRPr="00000000">
        <w:rPr>
          <w:rFonts w:ascii="Arial" w:cs="Arial" w:eastAsia="Arial" w:hAnsi="Arial"/>
          <w:sz w:val="18"/>
          <w:szCs w:val="18"/>
          <w:rtl w:val="0"/>
        </w:rPr>
        <w:t xml:space="preserve">AIR 2010 SC 3196; </w:t>
      </w:r>
      <w:r w:rsidDel="00000000" w:rsidR="00000000" w:rsidRPr="00000000">
        <w:rPr>
          <w:rFonts w:ascii="Arial" w:cs="Arial" w:eastAsia="Arial" w:hAnsi="Arial"/>
          <w:i w:val="1"/>
          <w:sz w:val="18"/>
          <w:szCs w:val="18"/>
          <w:rtl w:val="0"/>
        </w:rPr>
        <w:t xml:space="preserve">Shakti Vahini vs. Union of India</w:t>
      </w:r>
      <w:r w:rsidDel="00000000" w:rsidR="00000000" w:rsidRPr="00000000">
        <w:rPr>
          <w:rFonts w:ascii="Arial" w:cs="Arial" w:eastAsia="Arial" w:hAnsi="Arial"/>
          <w:sz w:val="18"/>
          <w:szCs w:val="18"/>
          <w:rtl w:val="0"/>
        </w:rPr>
        <w:t xml:space="preserve"> AIR 2018 SC 1601; </w:t>
      </w:r>
      <w:r w:rsidDel="00000000" w:rsidR="00000000" w:rsidRPr="00000000">
        <w:rPr>
          <w:rFonts w:ascii="Arial" w:cs="Arial" w:eastAsia="Arial" w:hAnsi="Arial"/>
          <w:i w:val="1"/>
          <w:sz w:val="18"/>
          <w:szCs w:val="18"/>
          <w:rtl w:val="0"/>
        </w:rPr>
        <w:t xml:space="preserve">Shafin Jahan vs. Asokan K.M.</w:t>
      </w:r>
      <w:r w:rsidDel="00000000" w:rsidR="00000000" w:rsidRPr="00000000">
        <w:rPr>
          <w:rFonts w:ascii="Arial" w:cs="Arial" w:eastAsia="Arial" w:hAnsi="Arial"/>
          <w:sz w:val="18"/>
          <w:szCs w:val="18"/>
          <w:rtl w:val="0"/>
        </w:rPr>
        <w:t xml:space="preserve"> AIR Online 2018 SC 1136</w:t>
      </w:r>
    </w:p>
  </w:footnote>
  <w:footnote w:id="30">
    <w:p w:rsidR="00000000" w:rsidDel="00000000" w:rsidP="00000000" w:rsidRDefault="00000000" w:rsidRPr="00000000" w14:paraId="0000005F">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Law Commission of India (2018). Consultation Paper on Reform of Family Law. (supra n. 21) para 3.43</w:t>
      </w:r>
    </w:p>
  </w:footnote>
  <w:footnote w:id="31">
    <w:p w:rsidR="00000000" w:rsidDel="00000000" w:rsidP="00000000" w:rsidRDefault="00000000" w:rsidRPr="00000000" w14:paraId="00000060">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See</w:t>
      </w:r>
      <w:r w:rsidDel="00000000" w:rsidR="00000000" w:rsidRPr="00000000">
        <w:rPr>
          <w:rFonts w:ascii="Arial" w:cs="Arial" w:eastAsia="Arial" w:hAnsi="Arial"/>
          <w:sz w:val="18"/>
          <w:szCs w:val="18"/>
          <w:rtl w:val="0"/>
        </w:rPr>
        <w:t xml:space="preserve"> Surojit Gupta (2021).</w:t>
      </w:r>
      <w:r w:rsidDel="00000000" w:rsidR="00000000" w:rsidRPr="00000000">
        <w:rPr>
          <w:rFonts w:ascii="Arial" w:cs="Arial" w:eastAsia="Arial" w:hAnsi="Arial"/>
          <w:i w:val="1"/>
          <w:sz w:val="18"/>
          <w:szCs w:val="18"/>
          <w:rtl w:val="0"/>
        </w:rPr>
        <w:t xml:space="preserve"> Christians and Sikhs Show Increase in Dowry Payments in Rural India:</w:t>
      </w:r>
      <w:r w:rsidDel="00000000" w:rsidR="00000000" w:rsidRPr="00000000">
        <w:rPr>
          <w:rFonts w:ascii="Arial" w:cs="Arial" w:eastAsia="Arial" w:hAnsi="Arial"/>
          <w:sz w:val="18"/>
          <w:szCs w:val="18"/>
          <w:rtl w:val="0"/>
        </w:rPr>
        <w:t xml:space="preserve"> World Bank Blog. Times of India. 2 July. </w:t>
      </w:r>
      <w:hyperlink r:id="rId12">
        <w:r w:rsidDel="00000000" w:rsidR="00000000" w:rsidRPr="00000000">
          <w:rPr>
            <w:rFonts w:ascii="Arial" w:cs="Arial" w:eastAsia="Arial" w:hAnsi="Arial"/>
            <w:color w:val="1155cc"/>
            <w:sz w:val="18"/>
            <w:szCs w:val="18"/>
            <w:u w:val="single"/>
            <w:rtl w:val="0"/>
          </w:rPr>
          <w:t xml:space="preserve">https://timesofindia.indiatimes.com/business/india-business/christians-and-sikhs-show-increase-in-dowry-payments-in-rural-india-world-bank-blog/articleshow/84062515.cms</w:t>
        </w:r>
      </w:hyperlink>
      <w:r w:rsidDel="00000000" w:rsidR="00000000" w:rsidRPr="00000000">
        <w:rPr>
          <w:rFonts w:ascii="Arial" w:cs="Arial" w:eastAsia="Arial" w:hAnsi="Arial"/>
          <w:sz w:val="18"/>
          <w:szCs w:val="18"/>
          <w:rtl w:val="0"/>
        </w:rPr>
        <w:t xml:space="preserve"> and Abdul Waheed (2009). Dowry Among Indian Muslims. Indian Journal of Gender Studies. Vol. 16. DOI 10.1177/097152150801600103 </w:t>
      </w:r>
    </w:p>
  </w:footnote>
  <w:footnote w:id="32">
    <w:p w:rsidR="00000000" w:rsidDel="00000000" w:rsidP="00000000" w:rsidRDefault="00000000" w:rsidRPr="00000000" w14:paraId="00000061">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S. 80, S. 85 and S. 108 of Bharatiya Nyaya Sanhita (India’s penal legislation).</w:t>
      </w:r>
    </w:p>
  </w:footnote>
  <w:footnote w:id="33">
    <w:p w:rsidR="00000000" w:rsidDel="00000000" w:rsidP="00000000" w:rsidRDefault="00000000" w:rsidRPr="00000000" w14:paraId="00000062">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color w:val="050505"/>
          <w:sz w:val="18"/>
          <w:szCs w:val="18"/>
          <w:highlight w:val="white"/>
          <w:rtl w:val="0"/>
        </w:rPr>
        <w:t xml:space="preserve">Pratibha Rani v. Suraj Kumar</w:t>
      </w:r>
      <w:r w:rsidDel="00000000" w:rsidR="00000000" w:rsidRPr="00000000">
        <w:rPr>
          <w:rFonts w:ascii="Arial" w:cs="Arial" w:eastAsia="Arial" w:hAnsi="Arial"/>
          <w:color w:val="050505"/>
          <w:sz w:val="18"/>
          <w:szCs w:val="18"/>
          <w:highlight w:val="white"/>
          <w:rtl w:val="0"/>
        </w:rPr>
        <w:t xml:space="preserve"> AIR 1985 SC 628; Rashmi Kumar v. Mahesh Kumar Bhada AIR 1997 SC 113</w:t>
      </w:r>
      <w:r w:rsidDel="00000000" w:rsidR="00000000" w:rsidRPr="00000000">
        <w:rPr>
          <w:rtl w:val="0"/>
        </w:rPr>
      </w:r>
    </w:p>
  </w:footnote>
  <w:footnote w:id="34">
    <w:p w:rsidR="00000000" w:rsidDel="00000000" w:rsidP="00000000" w:rsidRDefault="00000000" w:rsidRPr="00000000" w14:paraId="0000006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National Crime Records Bureau statistics indicate that in 2022 alone, there were 6516 dowry deaths and 144,593 cases of dowry harassment. See - Vismay Basu (2025). </w:t>
      </w:r>
      <w:r w:rsidDel="00000000" w:rsidR="00000000" w:rsidRPr="00000000">
        <w:rPr>
          <w:rFonts w:ascii="Arial" w:cs="Arial" w:eastAsia="Arial" w:hAnsi="Arial"/>
          <w:i w:val="1"/>
          <w:sz w:val="18"/>
          <w:szCs w:val="18"/>
          <w:rtl w:val="0"/>
        </w:rPr>
        <w:t xml:space="preserve">Dowry Deaths Remain a Grim Reality.</w:t>
      </w:r>
      <w:r w:rsidDel="00000000" w:rsidR="00000000" w:rsidRPr="00000000">
        <w:rPr>
          <w:rFonts w:ascii="Arial" w:cs="Arial" w:eastAsia="Arial" w:hAnsi="Arial"/>
          <w:sz w:val="18"/>
          <w:szCs w:val="18"/>
          <w:rtl w:val="0"/>
        </w:rPr>
        <w:t xml:space="preserve"> The New Indian Express. 27 August. </w:t>
      </w:r>
      <w:hyperlink r:id="rId13">
        <w:r w:rsidDel="00000000" w:rsidR="00000000" w:rsidRPr="00000000">
          <w:rPr>
            <w:rFonts w:ascii="Arial" w:cs="Arial" w:eastAsia="Arial" w:hAnsi="Arial"/>
            <w:color w:val="1155cc"/>
            <w:sz w:val="18"/>
            <w:szCs w:val="18"/>
            <w:u w:val="single"/>
            <w:rtl w:val="0"/>
          </w:rPr>
          <w:t xml:space="preserve">https://www.newindianexpress.com/nation/2025/Aug/27/dowry-deaths-remain-a-grim-reality</w:t>
        </w:r>
      </w:hyperlink>
      <w:r w:rsidDel="00000000" w:rsidR="00000000" w:rsidRPr="00000000">
        <w:rPr>
          <w:sz w:val="20"/>
          <w:szCs w:val="20"/>
          <w:rtl w:val="0"/>
        </w:rPr>
        <w:t xml:space="preserve"> </w:t>
      </w:r>
    </w:p>
  </w:footnote>
  <w:footnote w:id="35">
    <w:p w:rsidR="00000000" w:rsidDel="00000000" w:rsidP="00000000" w:rsidRDefault="00000000" w:rsidRPr="00000000" w14:paraId="00000064">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highlight w:val="white"/>
          <w:rtl w:val="0"/>
        </w:rPr>
        <w:t xml:space="preserve">Devyanshi Bihani &amp; Vignesh Radhakrishnan</w:t>
      </w:r>
      <w:r w:rsidDel="00000000" w:rsidR="00000000" w:rsidRPr="00000000">
        <w:rPr>
          <w:rFonts w:ascii="Arial" w:cs="Arial" w:eastAsia="Arial" w:hAnsi="Arial"/>
          <w:sz w:val="18"/>
          <w:szCs w:val="18"/>
          <w:rtl w:val="0"/>
        </w:rPr>
        <w:t xml:space="preserve"> (2025). Dowry deaths in India: Long investigations, rare convictions. The Hindu. July 17. </w:t>
      </w:r>
      <w:hyperlink r:id="rId14">
        <w:r w:rsidDel="00000000" w:rsidR="00000000" w:rsidRPr="00000000">
          <w:rPr>
            <w:rFonts w:ascii="Arial" w:cs="Arial" w:eastAsia="Arial" w:hAnsi="Arial"/>
            <w:color w:val="1155cc"/>
            <w:sz w:val="18"/>
            <w:szCs w:val="18"/>
            <w:u w:val="single"/>
            <w:rtl w:val="0"/>
          </w:rPr>
          <w:t xml:space="preserve">https://www.thehindu.com/data/dowry-deaths-in-india-long-investigations-rare-convictions/article69814491.ece</w:t>
        </w:r>
      </w:hyperlink>
      <w:r w:rsidDel="00000000" w:rsidR="00000000" w:rsidRPr="00000000">
        <w:rPr>
          <w:rFonts w:ascii="Arial" w:cs="Arial" w:eastAsia="Arial" w:hAnsi="Arial"/>
          <w:sz w:val="18"/>
          <w:szCs w:val="18"/>
          <w:rtl w:val="0"/>
        </w:rPr>
        <w:t xml:space="preserve"> </w:t>
      </w:r>
    </w:p>
  </w:footnote>
  <w:footnote w:id="36">
    <w:p w:rsidR="00000000" w:rsidDel="00000000" w:rsidP="00000000" w:rsidRDefault="00000000" w:rsidRPr="00000000" w14:paraId="00000065">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Ministry of Statistics &amp; Programme Implementation. (2025, February 25). Time Use Survey (TUS) (January – December, 2024): "Increase in women participation in employment-related activities." </w:t>
      </w:r>
      <w:r w:rsidDel="00000000" w:rsidR="00000000" w:rsidRPr="00000000">
        <w:rPr>
          <w:rFonts w:ascii="Arial" w:cs="Arial" w:eastAsia="Arial" w:hAnsi="Arial"/>
          <w:i w:val="1"/>
          <w:sz w:val="18"/>
          <w:szCs w:val="18"/>
          <w:rtl w:val="0"/>
        </w:rPr>
        <w:t xml:space="preserve">Press Information Bureau, Government of India</w:t>
      </w:r>
      <w:r w:rsidDel="00000000" w:rsidR="00000000" w:rsidRPr="00000000">
        <w:rPr>
          <w:rFonts w:ascii="Arial" w:cs="Arial" w:eastAsia="Arial" w:hAnsi="Arial"/>
          <w:sz w:val="18"/>
          <w:szCs w:val="18"/>
          <w:rtl w:val="0"/>
        </w:rPr>
        <w:t xml:space="preserve">.</w:t>
      </w:r>
      <w:hyperlink r:id="rId15">
        <w:r w:rsidDel="00000000" w:rsidR="00000000" w:rsidRPr="00000000">
          <w:rPr>
            <w:rFonts w:ascii="Arial" w:cs="Arial" w:eastAsia="Arial" w:hAnsi="Arial"/>
            <w:sz w:val="18"/>
            <w:szCs w:val="18"/>
            <w:rtl w:val="0"/>
          </w:rPr>
          <w:t xml:space="preserve"> </w:t>
        </w:r>
      </w:hyperlink>
      <w:hyperlink r:id="rId16">
        <w:r w:rsidDel="00000000" w:rsidR="00000000" w:rsidRPr="00000000">
          <w:rPr>
            <w:rFonts w:ascii="Arial" w:cs="Arial" w:eastAsia="Arial" w:hAnsi="Arial"/>
            <w:color w:val="1155cc"/>
            <w:sz w:val="18"/>
            <w:szCs w:val="18"/>
            <w:u w:val="single"/>
            <w:rtl w:val="0"/>
          </w:rPr>
          <w:t xml:space="preserve">https://www.pib.gov.in/PressReleasePage.aspx?PRID=2106113</w:t>
        </w:r>
      </w:hyperlink>
      <w:r w:rsidDel="00000000" w:rsidR="00000000" w:rsidRPr="00000000">
        <w:rPr>
          <w:rtl w:val="0"/>
        </w:rPr>
      </w:r>
    </w:p>
  </w:footnote>
  <w:footnote w:id="37">
    <w:p w:rsidR="00000000" w:rsidDel="00000000" w:rsidP="00000000" w:rsidRDefault="00000000" w:rsidRPr="00000000" w14:paraId="00000066">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rtl w:val="0"/>
        </w:rPr>
        <w:t xml:space="preserve">Arun Kumar Agrawal &amp; Anr vs National Insurance Co. Ltd. &amp; Ors </w:t>
      </w:r>
      <w:r w:rsidDel="00000000" w:rsidR="00000000" w:rsidRPr="00000000">
        <w:rPr>
          <w:rFonts w:ascii="Arial" w:cs="Arial" w:eastAsia="Arial" w:hAnsi="Arial"/>
          <w:sz w:val="18"/>
          <w:szCs w:val="18"/>
          <w:rtl w:val="0"/>
        </w:rPr>
        <w:t xml:space="preserve">AIR 2010 SC 3426; Arvind Kumar Pandey &amp; Ors vs. Girish Pandey &amp; Anr.</w:t>
      </w:r>
      <w:r w:rsidDel="00000000" w:rsidR="00000000" w:rsidRPr="00000000">
        <w:rPr>
          <w:rFonts w:ascii="Arial" w:cs="Arial" w:eastAsia="Arial" w:hAnsi="Arial"/>
          <w:color w:val="222222"/>
          <w:sz w:val="18"/>
          <w:szCs w:val="18"/>
          <w:highlight w:val="white"/>
          <w:rtl w:val="0"/>
        </w:rPr>
        <w:t xml:space="preserve"> (2025) 2 SCC 145</w:t>
      </w:r>
      <w:r w:rsidDel="00000000" w:rsidR="00000000" w:rsidRPr="00000000">
        <w:rPr>
          <w:rtl w:val="0"/>
        </w:rPr>
      </w:r>
    </w:p>
  </w:footnote>
  <w:footnote w:id="38">
    <w:p w:rsidR="00000000" w:rsidDel="00000000" w:rsidP="00000000" w:rsidRDefault="00000000" w:rsidRPr="00000000" w14:paraId="00000067">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i w:val="1"/>
          <w:sz w:val="18"/>
          <w:szCs w:val="18"/>
          <w:highlight w:val="white"/>
          <w:rtl w:val="0"/>
        </w:rPr>
        <w:t xml:space="preserve">Kannaian Naidu v Kamsala Ammal</w:t>
      </w:r>
      <w:r w:rsidDel="00000000" w:rsidR="00000000" w:rsidRPr="00000000">
        <w:rPr>
          <w:rFonts w:ascii="Arial" w:cs="Arial" w:eastAsia="Arial" w:hAnsi="Arial"/>
          <w:sz w:val="18"/>
          <w:szCs w:val="18"/>
          <w:highlight w:val="white"/>
          <w:rtl w:val="0"/>
        </w:rPr>
        <w:t xml:space="preserve"> 2023 SCC OnLine Mad 4077</w:t>
      </w:r>
      <w:r w:rsidDel="00000000" w:rsidR="00000000" w:rsidRPr="00000000">
        <w:rPr>
          <w:rtl w:val="0"/>
        </w:rPr>
      </w:r>
    </w:p>
  </w:footnote>
  <w:footnote w:id="39">
    <w:p w:rsidR="00000000" w:rsidDel="00000000" w:rsidP="00000000" w:rsidRDefault="00000000" w:rsidRPr="00000000" w14:paraId="00000068">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Law Commission of India (2018). Reform of Family Law. Ministry of Law and Justice, Government of India. Para 5.66</w:t>
      </w:r>
    </w:p>
  </w:footnote>
  <w:footnote w:id="40">
    <w:p w:rsidR="00000000" w:rsidDel="00000000" w:rsidP="00000000" w:rsidRDefault="00000000" w:rsidRPr="00000000" w14:paraId="00000069">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Ibid, para 5.142</w:t>
      </w:r>
    </w:p>
  </w:footnote>
  <w:footnote w:id="41">
    <w:p w:rsidR="00000000" w:rsidDel="00000000" w:rsidP="00000000" w:rsidRDefault="00000000" w:rsidRPr="00000000" w14:paraId="0000006A">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Ibid, para 5.127</w:t>
      </w:r>
    </w:p>
  </w:footnote>
  <w:footnote w:id="42">
    <w:p w:rsidR="00000000" w:rsidDel="00000000" w:rsidP="00000000" w:rsidRDefault="00000000" w:rsidRPr="00000000" w14:paraId="0000006B">
      <w:pPr>
        <w:spacing w:after="0" w:line="240" w:lineRule="auto"/>
        <w:rPr>
          <w:rFonts w:ascii="Arial" w:cs="Arial" w:eastAsia="Arial" w:hAnsi="Arial"/>
          <w:color w:val="0000ff"/>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Summarised from V.Venkatesan (2020). </w:t>
      </w:r>
      <w:r w:rsidDel="00000000" w:rsidR="00000000" w:rsidRPr="00000000">
        <w:rPr>
          <w:rFonts w:ascii="Arial" w:cs="Arial" w:eastAsia="Arial" w:hAnsi="Arial"/>
          <w:color w:val="1c1d1a"/>
          <w:sz w:val="18"/>
          <w:szCs w:val="18"/>
          <w:rtl w:val="0"/>
        </w:rPr>
        <w:t xml:space="preserve">Interview: </w:t>
      </w:r>
      <w:r w:rsidDel="00000000" w:rsidR="00000000" w:rsidRPr="00000000">
        <w:rPr>
          <w:rFonts w:ascii="Arial" w:cs="Arial" w:eastAsia="Arial" w:hAnsi="Arial"/>
          <w:i w:val="1"/>
          <w:color w:val="1c1d1a"/>
          <w:sz w:val="18"/>
          <w:szCs w:val="18"/>
          <w:rtl w:val="0"/>
        </w:rPr>
        <w:t xml:space="preserve">‘The Project of Reforming the Hindu Succession Act Is Far From Over’:</w:t>
      </w:r>
      <w:r w:rsidDel="00000000" w:rsidR="00000000" w:rsidRPr="00000000">
        <w:rPr>
          <w:rFonts w:ascii="Arial" w:cs="Arial" w:eastAsia="Arial" w:hAnsi="Arial"/>
          <w:color w:val="1c1d1a"/>
          <w:sz w:val="18"/>
          <w:szCs w:val="18"/>
          <w:rtl w:val="0"/>
        </w:rPr>
        <w:t xml:space="preserve"> Dr Saumya Uma. The Wire. </w:t>
      </w:r>
      <w:hyperlink r:id="rId17">
        <w:r w:rsidDel="00000000" w:rsidR="00000000" w:rsidRPr="00000000">
          <w:rPr>
            <w:rFonts w:ascii="Arial" w:cs="Arial" w:eastAsia="Arial" w:hAnsi="Arial"/>
            <w:color w:val="1155cc"/>
            <w:sz w:val="18"/>
            <w:szCs w:val="18"/>
            <w:u w:val="single"/>
            <w:rtl w:val="0"/>
          </w:rPr>
          <w:t xml:space="preserve">https://thewire.in/law/hindu-succession-act-women-supreme-court</w:t>
        </w:r>
      </w:hyperlink>
      <w:r w:rsidDel="00000000" w:rsidR="00000000" w:rsidRPr="00000000">
        <w:rPr>
          <w:rFonts w:ascii="Arial" w:cs="Arial" w:eastAsia="Arial" w:hAnsi="Arial"/>
          <w:color w:val="1c1d1a"/>
          <w:sz w:val="18"/>
          <w:szCs w:val="18"/>
          <w:rtl w:val="0"/>
        </w:rPr>
        <w:t xml:space="preserve">  For further details, see Saumya Uma (2023). </w:t>
      </w:r>
      <w:r w:rsidDel="00000000" w:rsidR="00000000" w:rsidRPr="00000000">
        <w:rPr>
          <w:rFonts w:ascii="Arial" w:cs="Arial" w:eastAsia="Arial" w:hAnsi="Arial"/>
          <w:color w:val="1c1d1a"/>
          <w:sz w:val="18"/>
          <w:szCs w:val="18"/>
          <w:highlight w:val="white"/>
          <w:rtl w:val="0"/>
        </w:rPr>
        <w:t xml:space="preserve">Lesser Than Equal? A Feminist Analysis of Hindu Family Law in India. (2023). </w:t>
      </w:r>
      <w:r w:rsidDel="00000000" w:rsidR="00000000" w:rsidRPr="00000000">
        <w:rPr>
          <w:rFonts w:ascii="Arial" w:cs="Arial" w:eastAsia="Arial" w:hAnsi="Arial"/>
          <w:i w:val="1"/>
          <w:color w:val="1c1d1a"/>
          <w:sz w:val="18"/>
          <w:szCs w:val="18"/>
          <w:highlight w:val="white"/>
          <w:rtl w:val="0"/>
        </w:rPr>
        <w:t xml:space="preserve">African Journal of Gender and Religion</w:t>
      </w:r>
      <w:r w:rsidDel="00000000" w:rsidR="00000000" w:rsidRPr="00000000">
        <w:rPr>
          <w:rFonts w:ascii="Arial" w:cs="Arial" w:eastAsia="Arial" w:hAnsi="Arial"/>
          <w:color w:val="1c1d1a"/>
          <w:sz w:val="18"/>
          <w:szCs w:val="18"/>
          <w:highlight w:val="white"/>
          <w:rtl w:val="0"/>
        </w:rPr>
        <w:t xml:space="preserve">, </w:t>
      </w:r>
      <w:r w:rsidDel="00000000" w:rsidR="00000000" w:rsidRPr="00000000">
        <w:rPr>
          <w:rFonts w:ascii="Arial" w:cs="Arial" w:eastAsia="Arial" w:hAnsi="Arial"/>
          <w:i w:val="1"/>
          <w:color w:val="1c1d1a"/>
          <w:sz w:val="18"/>
          <w:szCs w:val="18"/>
          <w:highlight w:val="white"/>
          <w:rtl w:val="0"/>
        </w:rPr>
        <w:t xml:space="preserve">28</w:t>
      </w:r>
      <w:r w:rsidDel="00000000" w:rsidR="00000000" w:rsidRPr="00000000">
        <w:rPr>
          <w:rFonts w:ascii="Arial" w:cs="Arial" w:eastAsia="Arial" w:hAnsi="Arial"/>
          <w:color w:val="1c1d1a"/>
          <w:sz w:val="18"/>
          <w:szCs w:val="18"/>
          <w:highlight w:val="white"/>
          <w:rtl w:val="0"/>
        </w:rPr>
        <w:t xml:space="preserve">(2) </w:t>
      </w:r>
      <w:hyperlink r:id="rId18">
        <w:r w:rsidDel="00000000" w:rsidR="00000000" w:rsidRPr="00000000">
          <w:rPr>
            <w:rFonts w:ascii="Arial" w:cs="Arial" w:eastAsia="Arial" w:hAnsi="Arial"/>
            <w:color w:val="1155cc"/>
            <w:sz w:val="18"/>
            <w:szCs w:val="18"/>
            <w:highlight w:val="white"/>
            <w:u w:val="single"/>
            <w:rtl w:val="0"/>
          </w:rPr>
          <w:t xml:space="preserve">https://doi.org/10.36615/ajgr.v28i2.1485</w:t>
        </w:r>
      </w:hyperlink>
      <w:r w:rsidDel="00000000" w:rsidR="00000000" w:rsidRPr="00000000">
        <w:rPr>
          <w:rFonts w:ascii="Arial" w:cs="Arial" w:eastAsia="Arial" w:hAnsi="Arial"/>
          <w:color w:val="0000ff"/>
          <w:sz w:val="18"/>
          <w:szCs w:val="18"/>
          <w:rtl w:val="0"/>
        </w:rPr>
        <w:t xml:space="preserve">  </w:t>
      </w:r>
    </w:p>
  </w:footnote>
  <w:footnote w:id="43">
    <w:p w:rsidR="00000000" w:rsidDel="00000000" w:rsidP="00000000" w:rsidRDefault="00000000" w:rsidRPr="00000000" w14:paraId="0000006C">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2009 (15) SCC 66</w:t>
      </w:r>
    </w:p>
  </w:footnote>
  <w:footnote w:id="0">
    <w:p w:rsidR="00000000" w:rsidDel="00000000" w:rsidP="00000000" w:rsidRDefault="00000000" w:rsidRPr="00000000" w14:paraId="0000006D">
      <w:pPr>
        <w:spacing w:after="0" w:line="240" w:lineRule="auto"/>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GCEFL is led by a Coordinating Committee of eight leading women’s rights, human rights and faith-based organisations –</w:t>
      </w:r>
      <w:hyperlink r:id="rId19">
        <w:r w:rsidDel="00000000" w:rsidR="00000000" w:rsidRPr="00000000">
          <w:rPr>
            <w:rFonts w:ascii="Arial" w:cs="Arial" w:eastAsia="Arial" w:hAnsi="Arial"/>
            <w:color w:val="1155cc"/>
            <w:sz w:val="18"/>
            <w:szCs w:val="18"/>
            <w:u w:val="single"/>
            <w:rtl w:val="0"/>
          </w:rPr>
          <w:t xml:space="preserve"> Equality Now</w:t>
        </w:r>
      </w:hyperlink>
      <w:r w:rsidDel="00000000" w:rsidR="00000000" w:rsidRPr="00000000">
        <w:rPr>
          <w:rFonts w:ascii="Arial" w:cs="Arial" w:eastAsia="Arial" w:hAnsi="Arial"/>
          <w:sz w:val="18"/>
          <w:szCs w:val="18"/>
          <w:rtl w:val="0"/>
        </w:rPr>
        <w:t xml:space="preserve"> (current Secretariat), </w:t>
      </w:r>
      <w:hyperlink r:id="rId20">
        <w:r w:rsidDel="00000000" w:rsidR="00000000" w:rsidRPr="00000000">
          <w:rPr>
            <w:rFonts w:ascii="Arial" w:cs="Arial" w:eastAsia="Arial" w:hAnsi="Arial"/>
            <w:color w:val="1155cc"/>
            <w:sz w:val="18"/>
            <w:szCs w:val="18"/>
            <w:u w:val="single"/>
            <w:rtl w:val="0"/>
          </w:rPr>
          <w:t xml:space="preserve">Act Church of Sweden</w:t>
        </w:r>
      </w:hyperlink>
      <w:r w:rsidDel="00000000" w:rsidR="00000000" w:rsidRPr="00000000">
        <w:rPr>
          <w:rFonts w:ascii="Arial" w:cs="Arial" w:eastAsia="Arial" w:hAnsi="Arial"/>
          <w:sz w:val="18"/>
          <w:szCs w:val="18"/>
          <w:rtl w:val="0"/>
        </w:rPr>
        <w:t xml:space="preserve">, </w:t>
      </w:r>
      <w:hyperlink r:id="rId21">
        <w:r w:rsidDel="00000000" w:rsidR="00000000" w:rsidRPr="00000000">
          <w:rPr>
            <w:rFonts w:ascii="Arial" w:cs="Arial" w:eastAsia="Arial" w:hAnsi="Arial"/>
            <w:color w:val="1155cc"/>
            <w:sz w:val="18"/>
            <w:szCs w:val="18"/>
            <w:u w:val="single"/>
            <w:rtl w:val="0"/>
          </w:rPr>
          <w:t xml:space="preserve">Latin American and Caribbean Committee for the Defense of Women’s Rights (CLADEM)</w:t>
        </w:r>
      </w:hyperlink>
      <w:r w:rsidDel="00000000" w:rsidR="00000000" w:rsidRPr="00000000">
        <w:rPr>
          <w:rFonts w:ascii="Arial" w:cs="Arial" w:eastAsia="Arial" w:hAnsi="Arial"/>
          <w:sz w:val="18"/>
          <w:szCs w:val="18"/>
          <w:rtl w:val="0"/>
        </w:rPr>
        <w:t xml:space="preserve">, </w:t>
      </w:r>
      <w:hyperlink r:id="rId22">
        <w:r w:rsidDel="00000000" w:rsidR="00000000" w:rsidRPr="00000000">
          <w:rPr>
            <w:rFonts w:ascii="Arial" w:cs="Arial" w:eastAsia="Arial" w:hAnsi="Arial"/>
            <w:color w:val="1155cc"/>
            <w:sz w:val="18"/>
            <w:szCs w:val="18"/>
            <w:u w:val="single"/>
            <w:rtl w:val="0"/>
          </w:rPr>
          <w:t xml:space="preserve">Musawah</w:t>
        </w:r>
      </w:hyperlink>
      <w:r w:rsidDel="00000000" w:rsidR="00000000" w:rsidRPr="00000000">
        <w:rPr>
          <w:rFonts w:ascii="Arial" w:cs="Arial" w:eastAsia="Arial" w:hAnsi="Arial"/>
          <w:sz w:val="18"/>
          <w:szCs w:val="18"/>
          <w:rtl w:val="0"/>
        </w:rPr>
        <w:t xml:space="preserve">, </w:t>
      </w:r>
      <w:hyperlink r:id="rId23">
        <w:r w:rsidDel="00000000" w:rsidR="00000000" w:rsidRPr="00000000">
          <w:rPr>
            <w:rFonts w:ascii="Arial" w:cs="Arial" w:eastAsia="Arial" w:hAnsi="Arial"/>
            <w:color w:val="1155cc"/>
            <w:sz w:val="18"/>
            <w:szCs w:val="18"/>
            <w:u w:val="single"/>
            <w:rtl w:val="0"/>
          </w:rPr>
          <w:t xml:space="preserve">Muslims for Progressive Values</w:t>
        </w:r>
      </w:hyperlink>
      <w:r w:rsidDel="00000000" w:rsidR="00000000" w:rsidRPr="00000000">
        <w:rPr>
          <w:rFonts w:ascii="Arial" w:cs="Arial" w:eastAsia="Arial" w:hAnsi="Arial"/>
          <w:sz w:val="18"/>
          <w:szCs w:val="18"/>
          <w:rtl w:val="0"/>
        </w:rPr>
        <w:t xml:space="preserve">, Solidarity for African Women’s Rights (SOAWR) represented by the African Women’s Development and Communication Network (FEMNET), </w:t>
      </w:r>
      <w:hyperlink r:id="rId24">
        <w:r w:rsidDel="00000000" w:rsidR="00000000" w:rsidRPr="00000000">
          <w:rPr>
            <w:rFonts w:ascii="Arial" w:cs="Arial" w:eastAsia="Arial" w:hAnsi="Arial"/>
            <w:color w:val="1155cc"/>
            <w:sz w:val="18"/>
            <w:szCs w:val="18"/>
            <w:u w:val="single"/>
            <w:rtl w:val="0"/>
          </w:rPr>
          <w:t xml:space="preserve">Women’s Learning Partnership</w:t>
        </w:r>
      </w:hyperlink>
      <w:r w:rsidDel="00000000" w:rsidR="00000000" w:rsidRPr="00000000">
        <w:rPr>
          <w:rFonts w:ascii="Arial" w:cs="Arial" w:eastAsia="Arial" w:hAnsi="Arial"/>
          <w:sz w:val="18"/>
          <w:szCs w:val="18"/>
          <w:rtl w:val="0"/>
        </w:rPr>
        <w:t xml:space="preserve">, and </w:t>
      </w:r>
      <w:hyperlink r:id="rId25">
        <w:r w:rsidDel="00000000" w:rsidR="00000000" w:rsidRPr="00000000">
          <w:rPr>
            <w:rFonts w:ascii="Arial" w:cs="Arial" w:eastAsia="Arial" w:hAnsi="Arial"/>
            <w:color w:val="1155cc"/>
            <w:sz w:val="18"/>
            <w:szCs w:val="18"/>
            <w:u w:val="single"/>
            <w:rtl w:val="0"/>
          </w:rPr>
          <w:t xml:space="preserve">UN Women</w:t>
        </w:r>
      </w:hyperlink>
      <w:r w:rsidDel="00000000" w:rsidR="00000000" w:rsidRPr="00000000">
        <w:rPr>
          <w:rFonts w:ascii="Arial" w:cs="Arial" w:eastAsia="Arial" w:hAnsi="Arial"/>
          <w:sz w:val="18"/>
          <w:szCs w:val="18"/>
          <w:rtl w:val="0"/>
        </w:rPr>
        <w:t xml:space="preserve">. The broader coalition of members includes national, regional and global organisations and networks. More info: </w:t>
      </w:r>
      <w:hyperlink r:id="rId26">
        <w:r w:rsidDel="00000000" w:rsidR="00000000" w:rsidRPr="00000000">
          <w:rPr>
            <w:rFonts w:ascii="Arial" w:cs="Arial" w:eastAsia="Arial" w:hAnsi="Arial"/>
            <w:color w:val="1155cc"/>
            <w:sz w:val="18"/>
            <w:szCs w:val="18"/>
            <w:u w:val="single"/>
            <w:rtl w:val="0"/>
          </w:rPr>
          <w:t xml:space="preserve">www.equalfamilylaws.org</w:t>
        </w:r>
      </w:hyperlink>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6E">
      <w:pPr>
        <w:spacing w:after="0" w:line="240" w:lineRule="auto"/>
        <w:rPr>
          <w:rFonts w:ascii="Arial" w:cs="Arial" w:eastAsia="Arial" w:hAnsi="Arial"/>
          <w:sz w:val="18"/>
          <w:szCs w:val="18"/>
        </w:rPr>
      </w:pPr>
      <w:r w:rsidDel="00000000" w:rsidR="00000000" w:rsidRPr="00000000">
        <w:rPr>
          <w:rtl w:val="0"/>
        </w:rPr>
      </w:r>
    </w:p>
  </w:footnote>
  <w:footnote w:id="18">
    <w:p w:rsidR="00000000" w:rsidDel="00000000" w:rsidP="00000000" w:rsidRDefault="00000000" w:rsidRPr="00000000" w14:paraId="0000006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20"/>
          <w:szCs w:val="20"/>
          <w:rtl w:val="0"/>
        </w:rPr>
        <w:t xml:space="preserve">Section 9 of the Hindu Marriage Act, under s.32 of the Indian Divorce Act, 1869 for Christians, and through various judgements within Muslim Law.</w:t>
      </w:r>
      <w:r w:rsidDel="00000000" w:rsidR="00000000" w:rsidRPr="00000000">
        <w:rPr>
          <w:rtl w:val="0"/>
        </w:rPr>
      </w:r>
    </w:p>
  </w:footnote>
  <w:footnote w:id="19">
    <w:p w:rsidR="00000000" w:rsidDel="00000000" w:rsidP="00000000" w:rsidRDefault="00000000" w:rsidRPr="00000000" w14:paraId="0000007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Kailashwati v. Ayodhia Prakash</w:t>
      </w:r>
      <w:r w:rsidDel="00000000" w:rsidR="00000000" w:rsidRPr="00000000">
        <w:rPr>
          <w:sz w:val="20"/>
          <w:szCs w:val="20"/>
          <w:rtl w:val="0"/>
        </w:rPr>
        <w:t xml:space="preserve"> (1977) 79 PLR 216; </w:t>
      </w:r>
    </w:p>
  </w:footnote>
  <w:footnote w:id="20">
    <w:p w:rsidR="00000000" w:rsidDel="00000000" w:rsidP="00000000" w:rsidRDefault="00000000" w:rsidRPr="00000000" w14:paraId="0000007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Law Commission of India (2018). </w:t>
      </w:r>
      <w:r w:rsidDel="00000000" w:rsidR="00000000" w:rsidRPr="00000000">
        <w:rPr>
          <w:rFonts w:ascii="Arial" w:cs="Arial" w:eastAsia="Arial" w:hAnsi="Arial"/>
          <w:i w:val="1"/>
          <w:sz w:val="18"/>
          <w:szCs w:val="18"/>
          <w:rtl w:val="0"/>
        </w:rPr>
        <w:t xml:space="preserve">Consultation Paper on Reform of Family Law </w:t>
      </w:r>
      <w:r w:rsidDel="00000000" w:rsidR="00000000" w:rsidRPr="00000000">
        <w:rPr>
          <w:rFonts w:ascii="Arial" w:cs="Arial" w:eastAsia="Arial" w:hAnsi="Arial"/>
          <w:sz w:val="18"/>
          <w:szCs w:val="18"/>
          <w:rtl w:val="0"/>
        </w:rPr>
        <w:t xml:space="preserve">(supra n. 5), para 2.59</w:t>
      </w:r>
      <w:r w:rsidDel="00000000" w:rsidR="00000000" w:rsidRPr="00000000">
        <w:rPr>
          <w:rtl w:val="0"/>
        </w:rPr>
      </w:r>
    </w:p>
  </w:footnote>
  <w:footnote w:id="24">
    <w:p w:rsidR="00000000" w:rsidDel="00000000" w:rsidP="00000000" w:rsidRDefault="00000000" w:rsidRPr="00000000" w14:paraId="0000007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Law Commission of India (2018). </w:t>
      </w:r>
      <w:r w:rsidDel="00000000" w:rsidR="00000000" w:rsidRPr="00000000">
        <w:rPr>
          <w:rFonts w:ascii="Arial" w:cs="Arial" w:eastAsia="Arial" w:hAnsi="Arial"/>
          <w:i w:val="1"/>
          <w:sz w:val="18"/>
          <w:szCs w:val="18"/>
          <w:rtl w:val="0"/>
        </w:rPr>
        <w:t xml:space="preserve">Consultation Paper on Reform of Family Law </w:t>
      </w:r>
      <w:r w:rsidDel="00000000" w:rsidR="00000000" w:rsidRPr="00000000">
        <w:rPr>
          <w:rFonts w:ascii="Arial" w:cs="Arial" w:eastAsia="Arial" w:hAnsi="Arial"/>
          <w:sz w:val="18"/>
          <w:szCs w:val="18"/>
          <w:rtl w:val="0"/>
        </w:rPr>
        <w:t xml:space="preserve">(supra n. 5), para 2.62</w:t>
      </w:r>
      <w:r w:rsidDel="00000000" w:rsidR="00000000" w:rsidRPr="00000000">
        <w:rPr>
          <w:rtl w:val="0"/>
        </w:rPr>
      </w:r>
    </w:p>
  </w:footnote>
  <w:footnote w:id="21">
    <w:p w:rsidR="00000000" w:rsidDel="00000000" w:rsidP="00000000" w:rsidRDefault="00000000" w:rsidRPr="00000000" w14:paraId="0000007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Suman Kapur v.Sudhir Kapoor</w:t>
      </w:r>
      <w:r w:rsidDel="00000000" w:rsidR="00000000" w:rsidRPr="00000000">
        <w:rPr>
          <w:sz w:val="20"/>
          <w:szCs w:val="20"/>
          <w:rtl w:val="0"/>
        </w:rPr>
        <w:t xml:space="preserve"> AIR 2009 SC 589</w:t>
      </w:r>
    </w:p>
  </w:footnote>
  <w:footnote w:id="1">
    <w:p w:rsidR="00000000" w:rsidDel="00000000" w:rsidP="00000000" w:rsidRDefault="00000000" w:rsidRPr="00000000" w14:paraId="0000007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We acknowledge and appreciate inputs and research assistance provided by family law experts in India, including from the Centre for Women’s Rights at Jindal Global Law School, O.P.Jindal Global University, India.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jc w:val="center"/>
      <w:rPr/>
    </w:pPr>
    <w:r w:rsidDel="00000000" w:rsidR="00000000" w:rsidRPr="00000000">
      <w:rPr/>
      <w:drawing>
        <wp:inline distB="114300" distT="114300" distL="114300" distR="114300">
          <wp:extent cx="3967163" cy="115983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967163" cy="11598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18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18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18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280" w:before="280" w:line="276" w:lineRule="auto"/>
      <w:ind w:left="644" w:hanging="360"/>
      <w:jc w:val="both"/>
    </w:pPr>
    <w:rPr>
      <w:rFonts w:ascii="Arial" w:cs="Arial" w:eastAsia="Arial" w:hAnsi="Arial"/>
      <w:b w:val="1"/>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TitleChar" w:customStyle="1">
    <w:name w:val="Title Char"/>
    <w:basedOn w:val="DefaultParagraphFont"/>
    <w:link w:val="Title"/>
    <w:uiPriority w:val="10"/>
    <w:rsid w:val="00C46A44"/>
    <w:rPr>
      <w:rFonts w:asciiTheme="majorHAnsi" w:cstheme="majorBidi" w:eastAsiaTheme="majorEastAsia" w:hAnsiTheme="majorHAnsi"/>
      <w:spacing w:val="-10"/>
      <w:kern w:val="28"/>
      <w:sz w:val="56"/>
      <w:szCs w:val="56"/>
    </w:rPr>
  </w:style>
  <w:style w:type="paragraph" w:styleId="ListParagraph">
    <w:name w:val="List Paragraph"/>
    <w:basedOn w:val="Normal"/>
    <w:uiPriority w:val="34"/>
    <w:qFormat w:val="1"/>
    <w:rsid w:val="00C23CF9"/>
    <w:pPr>
      <w:ind w:left="720"/>
      <w:contextualSpacing w:val="1"/>
    </w:pPr>
  </w:style>
  <w:style w:type="paragraph" w:styleId="CommentText">
    <w:name w:val="annotation text"/>
    <w:basedOn w:val="Normal"/>
    <w:link w:val="CommentTextChar"/>
    <w:uiPriority w:val="99"/>
    <w:unhideWhenUsed w:val="1"/>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6B1708"/>
    <w:rPr>
      <w:b w:val="1"/>
      <w:bCs w:val="1"/>
    </w:rPr>
  </w:style>
  <w:style w:type="character" w:styleId="CommentSubjectChar" w:customStyle="1">
    <w:name w:val="Comment Subject Char"/>
    <w:basedOn w:val="CommentTextChar"/>
    <w:link w:val="CommentSubject"/>
    <w:uiPriority w:val="99"/>
    <w:semiHidden w:val="1"/>
    <w:rsid w:val="006B1708"/>
    <w:rPr>
      <w:b w:val="1"/>
      <w:bCs w:val="1"/>
      <w:sz w:val="20"/>
      <w:szCs w:val="20"/>
    </w:rPr>
  </w:style>
  <w:style w:type="character" w:styleId="Hyperlink">
    <w:name w:val="Hyperlink"/>
    <w:basedOn w:val="DefaultParagraphFont"/>
    <w:uiPriority w:val="99"/>
    <w:unhideWhenUsed w:val="1"/>
    <w:rsid w:val="00635A92"/>
    <w:rPr>
      <w:color w:val="0563c1" w:themeColor="hyperlink"/>
      <w:u w:val="single"/>
    </w:rPr>
  </w:style>
  <w:style w:type="character" w:styleId="UnresolvedMention">
    <w:name w:val="Unresolved Mention"/>
    <w:basedOn w:val="DefaultParagraphFont"/>
    <w:uiPriority w:val="99"/>
    <w:semiHidden w:val="1"/>
    <w:unhideWhenUsed w:val="1"/>
    <w:rsid w:val="00635A92"/>
    <w:rPr>
      <w:color w:val="605e5c"/>
      <w:shd w:color="auto" w:fill="e1dfdd" w:val="clear"/>
    </w:rPr>
  </w:style>
  <w:style w:type="paragraph" w:styleId="Header">
    <w:name w:val="header"/>
    <w:basedOn w:val="Normal"/>
    <w:link w:val="HeaderChar"/>
    <w:uiPriority w:val="99"/>
    <w:unhideWhenUsed w:val="1"/>
    <w:rsid w:val="002A067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0676"/>
  </w:style>
  <w:style w:type="paragraph" w:styleId="Footer">
    <w:name w:val="footer"/>
    <w:basedOn w:val="Normal"/>
    <w:link w:val="FooterChar"/>
    <w:uiPriority w:val="99"/>
    <w:unhideWhenUsed w:val="1"/>
    <w:rsid w:val="002A067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0676"/>
  </w:style>
  <w:style w:type="paragraph" w:styleId="FootnoteText">
    <w:name w:val="footnote text"/>
    <w:basedOn w:val="Normal"/>
    <w:link w:val="FootnoteTextChar"/>
    <w:uiPriority w:val="99"/>
    <w:semiHidden w:val="1"/>
    <w:unhideWhenUsed w:val="1"/>
    <w:rsid w:val="00981E26"/>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981E26"/>
    <w:rPr>
      <w:sz w:val="20"/>
      <w:szCs w:val="20"/>
    </w:rPr>
  </w:style>
  <w:style w:type="character" w:styleId="FootnoteReference">
    <w:name w:val="footnote reference"/>
    <w:basedOn w:val="DefaultParagraphFont"/>
    <w:uiPriority w:val="99"/>
    <w:semiHidden w:val="1"/>
    <w:unhideWhenUsed w:val="1"/>
    <w:rsid w:val="00981E26"/>
    <w:rPr>
      <w:vertAlign w:val="superscript"/>
    </w:rPr>
  </w:style>
  <w:style w:type="paragraph" w:styleId="Revision">
    <w:name w:val="Revision"/>
    <w:hidden w:val="1"/>
    <w:uiPriority w:val="99"/>
    <w:semiHidden w:val="1"/>
    <w:rsid w:val="001A3E09"/>
    <w:pPr>
      <w:spacing w:after="0" w:line="240" w:lineRule="auto"/>
    </w:pPr>
  </w:style>
  <w:style w:type="paragraph" w:styleId="HTMLPreformatted">
    <w:name w:val="HTML Preformatted"/>
    <w:basedOn w:val="Normal"/>
    <w:link w:val="HTMLPreformattedChar"/>
    <w:uiPriority w:val="99"/>
    <w:semiHidden w:val="1"/>
    <w:unhideWhenUsed w:val="1"/>
    <w:rsid w:val="007C333F"/>
    <w:pPr>
      <w:spacing w:after="0" w:line="240" w:lineRule="auto"/>
    </w:pPr>
    <w:rPr>
      <w:rFonts w:ascii="Consolas" w:hAnsi="Consolas"/>
      <w:sz w:val="20"/>
      <w:szCs w:val="20"/>
    </w:rPr>
  </w:style>
  <w:style w:type="character" w:styleId="HTMLPreformattedChar" w:customStyle="1">
    <w:name w:val="HTML Preformatted Char"/>
    <w:basedOn w:val="DefaultParagraphFont"/>
    <w:link w:val="HTMLPreformatted"/>
    <w:uiPriority w:val="99"/>
    <w:semiHidden w:val="1"/>
    <w:rsid w:val="007C333F"/>
    <w:rPr>
      <w:rFonts w:ascii="Consolas" w:hAnsi="Consolas"/>
      <w:sz w:val="20"/>
      <w:szCs w:val="20"/>
    </w:rPr>
  </w:style>
  <w:style w:type="paragraph" w:styleId="Subtitle">
    <w:name w:val="Subtitle"/>
    <w:basedOn w:val="Normal"/>
    <w:next w:val="Normal"/>
    <w:pPr>
      <w:keepNext w:val="1"/>
      <w:keepLines w:val="1"/>
      <w:spacing w:after="280" w:before="280" w:line="276" w:lineRule="auto"/>
      <w:jc w:val="both"/>
    </w:pPr>
    <w:rPr>
      <w:rFonts w:ascii="Arial" w:cs="Arial" w:eastAsia="Arial" w:hAnsi="Arial"/>
      <w:b w:val="1"/>
      <w:i w:val="1"/>
      <w:sz w:val="20"/>
      <w:szCs w:val="2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 Id="rId11" Type="http://schemas.openxmlformats.org/officeDocument/2006/relationships/footer" Target="footer2.xml"/><Relationship Id="rId10" Type="http://schemas.openxmlformats.org/officeDocument/2006/relationships/footer" Target="footer1.xml"/></Relationships>
</file>

<file path=word/_rels/footnotes.xml.rels><?xml version="1.0" encoding="UTF-8" standalone="yes"?><Relationships xmlns="http://schemas.openxmlformats.org/package/2006/relationships"><Relationship Id="rId20" Type="http://schemas.openxmlformats.org/officeDocument/2006/relationships/hyperlink" Target="http://www.svenskakyrkan.se/act/international" TargetMode="External"/><Relationship Id="rId22" Type="http://schemas.openxmlformats.org/officeDocument/2006/relationships/hyperlink" Target="http://www.musawah.org/" TargetMode="External"/><Relationship Id="rId21" Type="http://schemas.openxmlformats.org/officeDocument/2006/relationships/hyperlink" Target="http://www.cladem.org/" TargetMode="External"/><Relationship Id="rId24" Type="http://schemas.openxmlformats.org/officeDocument/2006/relationships/hyperlink" Target="http://www.learningpartnership.org/" TargetMode="External"/><Relationship Id="rId23" Type="http://schemas.openxmlformats.org/officeDocument/2006/relationships/hyperlink" Target="http://www.mpvusa.org/" TargetMode="External"/><Relationship Id="rId1" Type="http://schemas.openxmlformats.org/officeDocument/2006/relationships/hyperlink" Target="https://m.thewire.in/article/government/ucc-bogey-muslim-bashing-electoral-needs-flavia-agnes/amp?utm=relatedarticles" TargetMode="External"/><Relationship Id="rId2" Type="http://schemas.openxmlformats.org/officeDocument/2006/relationships/hyperlink" Target="https://thewire.in/rights/not-in-the-name-of-gender-justice-reflections-on-the-uttarakhands-ucc" TargetMode="External"/><Relationship Id="rId3" Type="http://schemas.openxmlformats.org/officeDocument/2006/relationships/hyperlink" Target="https://thewire.in/law/goas-uniform-civil-code-is-not-the-greatest-model-to-follow" TargetMode="External"/><Relationship Id="rId4" Type="http://schemas.openxmlformats.org/officeDocument/2006/relationships/hyperlink" Target="https://archive.pib.gov.in/documents/rlink/2018/aug/p201883101.pdf" TargetMode="External"/><Relationship Id="rId9" Type="http://schemas.openxmlformats.org/officeDocument/2006/relationships/hyperlink" Target="https://archive.pib.gov.in/documents/rlink/2018/aug/p201883101.pdf" TargetMode="External"/><Relationship Id="rId26" Type="http://schemas.openxmlformats.org/officeDocument/2006/relationships/hyperlink" Target="http://www.equalfamilylaws.org" TargetMode="External"/><Relationship Id="rId25" Type="http://schemas.openxmlformats.org/officeDocument/2006/relationships/hyperlink" Target="http://www.unwomen.org/" TargetMode="External"/><Relationship Id="rId5" Type="http://schemas.openxmlformats.org/officeDocument/2006/relationships/hyperlink" Target="https://www.epw.in/journal/2021/1" TargetMode="External"/><Relationship Id="rId6" Type="http://schemas.openxmlformats.org/officeDocument/2006/relationships/hyperlink" Target="https://www.scobserver.in/cases/cjp-v-state-of-up-constitutionality-of-anti-conversion-laws-case-background/" TargetMode="External"/><Relationship Id="rId7" Type="http://schemas.openxmlformats.org/officeDocument/2006/relationships/hyperlink" Target="https://www.aninews.in/news/national/general-news/pil-filed-in-nainital-high-court-challenging-constitutional-validity-of-ucc-act-and-its-rules20250227111631/" TargetMode="External"/><Relationship Id="rId8" Type="http://schemas.openxmlformats.org/officeDocument/2006/relationships/hyperlink" Target="https://cdnbbsr.s3waas.gov.in/s3ca0daec69b5adc880fb464895726dbdf/uploads/2022/08/2022080845.pdf" TargetMode="External"/><Relationship Id="rId11" Type="http://schemas.openxmlformats.org/officeDocument/2006/relationships/hyperlink" Target="https://www.google.com/search?sca_esv=2478831d59ed7024&amp;rlz=1C1UEAD_enIN1106IN1106&amp;cs=0&amp;sxsrf=AE3TifO071vMHgtRLIzzYjC6KSsQ24aCIg%3A1758767706248&amp;q=Personal+Laws+%28Amendment%29+Act%2C+2010&amp;sa=X&amp;ved=2ahUKEwjE19-i8PKPAxUgzDgGHRkWMM4QxccNegQIAhAC&amp;mstk=AUtExfCDGK16YGzyqdHK9EcRW6TReEN6OM3bOh3E9es0aaQRFtHpXwegfeKzSmcQ32hpyes-ckuHVhWBsQR_A0yfwOQd8vPd3rg1M-rtL38aKAxjqvKxwAwx-oMhuWY9zN2JWeWTc8D2_t0bf9iBJH5HBlZ3S-KnPyFIyV0bBsRJkKnHoXeq2yI8N9jTqSYtQHImUwOqjff31awBuc-C4rvAs1LsLOnX9oylcOEUNHKwhkB1liBoBxvmIRYiLCeruqzbc92p6P37B2_4EyjN5nnma3zK&amp;csui=3" TargetMode="External"/><Relationship Id="rId10" Type="http://schemas.openxmlformats.org/officeDocument/2006/relationships/hyperlink" Target="https://www.google.com/search?sca_esv=2478831d59ed7024&amp;rlz=1C1UEAD_enIN1106IN1106&amp;cs=0&amp;sxsrf=AE3TifO071vMHgtRLIzzYjC6KSsQ24aCIg%3A1758767706248&amp;q=Personal+Laws+%28Amendment%29+Act%2C+2010&amp;sa=X&amp;ved=2ahUKEwjE19-i8PKPAxUgzDgGHRkWMM4QxccNegQIAhAC&amp;mstk=AUtExfCDGK16YGzyqdHK9EcRW6TReEN6OM3bOh3E9es0aaQRFtHpXwegfeKzSmcQ32hpyes-ckuHVhWBsQR_A0yfwOQd8vPd3rg1M-rtL38aKAxjqvKxwAwx-oMhuWY9zN2JWeWTc8D2_t0bf9iBJH5HBlZ3S-KnPyFIyV0bBsRJkKnHoXeq2yI8N9jTqSYtQHImUwOqjff31awBuc-C4rvAs1LsLOnX9oylcOEUNHKwhkB1liBoBxvmIRYiLCeruqzbc92p6P37B2_4EyjN5nnma3zK&amp;csui=3" TargetMode="External"/><Relationship Id="rId13" Type="http://schemas.openxmlformats.org/officeDocument/2006/relationships/hyperlink" Target="https://www.newindianexpress.com/nation/2025/Aug/27/dowry-deaths-remain-a-grim-reality" TargetMode="External"/><Relationship Id="rId12" Type="http://schemas.openxmlformats.org/officeDocument/2006/relationships/hyperlink" Target="https://timesofindia.indiatimes.com/business/india-business/christians-and-sikhs-show-increase-in-dowry-payments-in-rural-india-world-bank-blog/articleshow/84062515.cms" TargetMode="External"/><Relationship Id="rId15" Type="http://schemas.openxmlformats.org/officeDocument/2006/relationships/hyperlink" Target="https://www.pib.gov.in/PressReleasePage.aspx?PRID=2106113" TargetMode="External"/><Relationship Id="rId14" Type="http://schemas.openxmlformats.org/officeDocument/2006/relationships/hyperlink" Target="https://www.thehindu.com/data/dowry-deaths-in-india-long-investigations-rare-convictions/article69814491.ece" TargetMode="External"/><Relationship Id="rId17" Type="http://schemas.openxmlformats.org/officeDocument/2006/relationships/hyperlink" Target="https://thewire.in/law/hindu-succession-act-women-supreme-court" TargetMode="External"/><Relationship Id="rId16" Type="http://schemas.openxmlformats.org/officeDocument/2006/relationships/hyperlink" Target="https://www.pib.gov.in/PressReleasePage.aspx?PRID=2106113" TargetMode="External"/><Relationship Id="rId19" Type="http://schemas.openxmlformats.org/officeDocument/2006/relationships/hyperlink" Target="http://www.equalitynow.org/" TargetMode="External"/><Relationship Id="rId18" Type="http://schemas.openxmlformats.org/officeDocument/2006/relationships/hyperlink" Target="https://doi.org/10.36615/ajgr.v28i2.148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iUM9gSvBVe1wJRK0nVVdlHI++g==">CgMxLjAyDmgucjN3d3A4bXA1a215Mg5oLmJzNHB1amFmZHBxZjIOaC5nazl0aG50b21qdjMyDmguMTByaXpxOXV2bW8xMg5oLjVsYjJ5d2ZmaXI2ajIOaC52aGEwaXF4cm53b3IyDmgucTQ1NWI5aXF4NWt3Mg5oLm00dGkzNHZyZWFlMjIOaC4xOXowYzY2Y2U1aGUyDmguYzZ5dWdhdG00dXZzMg5oLmU1Z2xvYW5veXRpNjIOaC5waGNodm16aDJoa3EyDmguMTFiN3R5MTA4MXV0OAByITE1SWNuUDhNUW11ajBoMW44c1VLaG5mVEZySEhRSWd0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2025-09-25T17:56:00Z</dcterms:created>
  <dc:creator>Naz C</dc:creator>
</cp:coreProperties>
</file>