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81549A" w14:textId="77777777" w:rsidR="008A3181" w:rsidRDefault="008A3181" w:rsidP="005F62B5">
      <w:pPr>
        <w:jc w:val="both"/>
        <w:rPr>
          <w:rFonts w:ascii="Arial" w:hAnsi="Arial" w:cs="Arial"/>
          <w:b/>
          <w:bCs/>
          <w:sz w:val="24"/>
          <w:szCs w:val="24"/>
        </w:rPr>
      </w:pPr>
    </w:p>
    <w:p w14:paraId="1CD4DCB8" w14:textId="3834E55F" w:rsidR="00537F47" w:rsidRPr="00D03106" w:rsidRDefault="00805A69" w:rsidP="005F62B5">
      <w:pPr>
        <w:jc w:val="both"/>
        <w:rPr>
          <w:rFonts w:ascii="Arial" w:hAnsi="Arial" w:cs="Arial"/>
          <w:b/>
          <w:bCs/>
          <w:sz w:val="24"/>
          <w:szCs w:val="24"/>
        </w:rPr>
      </w:pPr>
      <w:r w:rsidRPr="00D03106">
        <w:rPr>
          <w:rFonts w:ascii="Arial" w:hAnsi="Arial" w:cs="Arial"/>
          <w:b/>
          <w:bCs/>
          <w:sz w:val="24"/>
          <w:szCs w:val="24"/>
        </w:rPr>
        <w:t xml:space="preserve">Informe “sombra” sobre </w:t>
      </w:r>
      <w:r w:rsidR="006821A2" w:rsidRPr="00D03106">
        <w:rPr>
          <w:rFonts w:ascii="Arial" w:hAnsi="Arial" w:cs="Arial"/>
          <w:b/>
          <w:bCs/>
          <w:sz w:val="24"/>
          <w:szCs w:val="24"/>
        </w:rPr>
        <w:t xml:space="preserve">el </w:t>
      </w:r>
      <w:r w:rsidRPr="00D03106">
        <w:rPr>
          <w:rFonts w:ascii="Arial" w:hAnsi="Arial" w:cs="Arial"/>
          <w:b/>
          <w:bCs/>
          <w:sz w:val="24"/>
          <w:szCs w:val="24"/>
        </w:rPr>
        <w:t>cumplimento del PIDESC</w:t>
      </w:r>
      <w:r w:rsidR="006821A2" w:rsidRPr="00D03106">
        <w:rPr>
          <w:rFonts w:ascii="Arial" w:hAnsi="Arial" w:cs="Arial"/>
          <w:b/>
          <w:bCs/>
          <w:sz w:val="24"/>
          <w:szCs w:val="24"/>
        </w:rPr>
        <w:t xml:space="preserve"> por parte del Estado de la República de Ecuador: V</w:t>
      </w:r>
      <w:r w:rsidRPr="00D03106">
        <w:rPr>
          <w:rFonts w:ascii="Arial" w:hAnsi="Arial" w:cs="Arial"/>
          <w:b/>
          <w:bCs/>
          <w:sz w:val="24"/>
          <w:szCs w:val="24"/>
        </w:rPr>
        <w:t xml:space="preserve">iolación de </w:t>
      </w:r>
      <w:r w:rsidR="002663F7" w:rsidRPr="00D03106">
        <w:rPr>
          <w:rFonts w:ascii="Arial" w:hAnsi="Arial" w:cs="Arial"/>
          <w:b/>
          <w:bCs/>
          <w:sz w:val="24"/>
          <w:szCs w:val="24"/>
        </w:rPr>
        <w:t>D</w:t>
      </w:r>
      <w:r w:rsidRPr="00D03106">
        <w:rPr>
          <w:rFonts w:ascii="Arial" w:hAnsi="Arial" w:cs="Arial"/>
          <w:b/>
          <w:bCs/>
          <w:sz w:val="24"/>
          <w:szCs w:val="24"/>
        </w:rPr>
        <w:t xml:space="preserve">erechos </w:t>
      </w:r>
      <w:r w:rsidR="002663F7" w:rsidRPr="00D03106">
        <w:rPr>
          <w:rFonts w:ascii="Arial" w:hAnsi="Arial" w:cs="Arial"/>
          <w:b/>
          <w:bCs/>
          <w:sz w:val="24"/>
          <w:szCs w:val="24"/>
        </w:rPr>
        <w:t>H</w:t>
      </w:r>
      <w:r w:rsidRPr="00D03106">
        <w:rPr>
          <w:rFonts w:ascii="Arial" w:hAnsi="Arial" w:cs="Arial"/>
          <w:b/>
          <w:bCs/>
          <w:sz w:val="24"/>
          <w:szCs w:val="24"/>
        </w:rPr>
        <w:t>umanos debid</w:t>
      </w:r>
      <w:r w:rsidR="006821A2" w:rsidRPr="00D03106">
        <w:rPr>
          <w:rFonts w:ascii="Arial" w:hAnsi="Arial" w:cs="Arial"/>
          <w:b/>
          <w:bCs/>
          <w:sz w:val="24"/>
          <w:szCs w:val="24"/>
        </w:rPr>
        <w:t>a</w:t>
      </w:r>
      <w:r w:rsidRPr="00D03106">
        <w:rPr>
          <w:rFonts w:ascii="Arial" w:hAnsi="Arial" w:cs="Arial"/>
          <w:b/>
          <w:bCs/>
          <w:sz w:val="24"/>
          <w:szCs w:val="24"/>
        </w:rPr>
        <w:t xml:space="preserve"> a</w:t>
      </w:r>
      <w:r w:rsidR="006821A2" w:rsidRPr="00D03106">
        <w:rPr>
          <w:rFonts w:ascii="Arial" w:hAnsi="Arial" w:cs="Arial"/>
          <w:b/>
          <w:bCs/>
          <w:sz w:val="24"/>
          <w:szCs w:val="24"/>
        </w:rPr>
        <w:t xml:space="preserve"> las prácticas de la industria petrolera en </w:t>
      </w:r>
      <w:r w:rsidR="00E87780" w:rsidRPr="00D03106">
        <w:rPr>
          <w:rFonts w:ascii="Arial" w:hAnsi="Arial" w:cs="Arial"/>
          <w:b/>
          <w:bCs/>
          <w:sz w:val="24"/>
          <w:szCs w:val="24"/>
        </w:rPr>
        <w:t xml:space="preserve">las provincias de Sucumbíos y Orellana, Amazonía </w:t>
      </w:r>
      <w:r w:rsidR="00721E16" w:rsidRPr="00D03106">
        <w:rPr>
          <w:rFonts w:ascii="Arial" w:hAnsi="Arial" w:cs="Arial"/>
          <w:b/>
          <w:bCs/>
          <w:sz w:val="24"/>
          <w:szCs w:val="24"/>
        </w:rPr>
        <w:t>N</w:t>
      </w:r>
      <w:r w:rsidR="00E87780" w:rsidRPr="00D03106">
        <w:rPr>
          <w:rFonts w:ascii="Arial" w:hAnsi="Arial" w:cs="Arial"/>
          <w:b/>
          <w:bCs/>
          <w:sz w:val="24"/>
          <w:szCs w:val="24"/>
        </w:rPr>
        <w:t xml:space="preserve">orte </w:t>
      </w:r>
      <w:r w:rsidR="00721E16" w:rsidRPr="00D03106">
        <w:rPr>
          <w:rFonts w:ascii="Arial" w:hAnsi="Arial" w:cs="Arial"/>
          <w:b/>
          <w:bCs/>
          <w:sz w:val="24"/>
          <w:szCs w:val="24"/>
        </w:rPr>
        <w:t>de Ecuador</w:t>
      </w:r>
      <w:r w:rsidR="005F62B5" w:rsidRPr="00D03106">
        <w:rPr>
          <w:rFonts w:ascii="Arial" w:hAnsi="Arial" w:cs="Arial"/>
          <w:b/>
          <w:bCs/>
          <w:sz w:val="24"/>
          <w:szCs w:val="24"/>
        </w:rPr>
        <w:t>.</w:t>
      </w:r>
    </w:p>
    <w:p w14:paraId="2D24498C" w14:textId="3C3FD8D2" w:rsidR="00300CEF" w:rsidRPr="00D03106" w:rsidRDefault="00A151E1" w:rsidP="005F62B5">
      <w:pPr>
        <w:jc w:val="both"/>
        <w:rPr>
          <w:rFonts w:ascii="Arial" w:hAnsi="Arial" w:cs="Arial"/>
          <w:b/>
          <w:bCs/>
          <w:sz w:val="24"/>
          <w:szCs w:val="24"/>
          <w:lang w:val="it-IT"/>
        </w:rPr>
      </w:pPr>
      <w:r w:rsidRPr="00D03106">
        <w:rPr>
          <w:rFonts w:ascii="Arial" w:hAnsi="Arial" w:cs="Arial"/>
          <w:b/>
          <w:bCs/>
          <w:sz w:val="24"/>
          <w:szCs w:val="24"/>
          <w:lang w:val="it-IT"/>
        </w:rPr>
        <w:t>Estructura del informe</w:t>
      </w:r>
      <w:r w:rsidR="00464F1A" w:rsidRPr="00D03106">
        <w:rPr>
          <w:rFonts w:ascii="Arial" w:hAnsi="Arial" w:cs="Arial"/>
          <w:b/>
          <w:bCs/>
          <w:sz w:val="24"/>
          <w:szCs w:val="24"/>
          <w:lang w:val="it-IT"/>
        </w:rPr>
        <w:t>:</w:t>
      </w:r>
    </w:p>
    <w:p w14:paraId="59E8E953" w14:textId="1A0C9E5C" w:rsidR="000600FB" w:rsidRPr="00D03106" w:rsidRDefault="000600FB" w:rsidP="005F62B5">
      <w:pPr>
        <w:pStyle w:val="Prrafodelista"/>
        <w:numPr>
          <w:ilvl w:val="0"/>
          <w:numId w:val="1"/>
        </w:numPr>
        <w:jc w:val="both"/>
        <w:rPr>
          <w:rFonts w:ascii="Arial" w:hAnsi="Arial" w:cs="Arial"/>
          <w:sz w:val="24"/>
          <w:szCs w:val="24"/>
          <w:lang w:val="it-IT"/>
        </w:rPr>
      </w:pPr>
      <w:r w:rsidRPr="00D03106">
        <w:rPr>
          <w:rFonts w:ascii="Arial" w:hAnsi="Arial" w:cs="Arial"/>
          <w:sz w:val="24"/>
          <w:szCs w:val="24"/>
        </w:rPr>
        <w:t>Presentación de la UDAPT;</w:t>
      </w:r>
    </w:p>
    <w:p w14:paraId="7123F328" w14:textId="499EF309" w:rsidR="000600FB" w:rsidRPr="00D03106" w:rsidRDefault="000600FB" w:rsidP="005F62B5">
      <w:pPr>
        <w:pStyle w:val="Prrafodelista"/>
        <w:numPr>
          <w:ilvl w:val="0"/>
          <w:numId w:val="1"/>
        </w:numPr>
        <w:jc w:val="both"/>
        <w:rPr>
          <w:rFonts w:ascii="Arial" w:hAnsi="Arial" w:cs="Arial"/>
          <w:sz w:val="24"/>
          <w:szCs w:val="24"/>
          <w:lang w:val="it-IT"/>
        </w:rPr>
      </w:pPr>
      <w:r w:rsidRPr="00D03106">
        <w:rPr>
          <w:rFonts w:ascii="Arial" w:hAnsi="Arial" w:cs="Arial"/>
          <w:sz w:val="24"/>
          <w:szCs w:val="24"/>
          <w:lang w:val="it-IT"/>
        </w:rPr>
        <w:t>Executive summary;</w:t>
      </w:r>
    </w:p>
    <w:p w14:paraId="64265D5E" w14:textId="69DCD061" w:rsidR="00464F1A" w:rsidRPr="00D03106" w:rsidRDefault="00A151E1" w:rsidP="005F62B5">
      <w:pPr>
        <w:pStyle w:val="Prrafodelista"/>
        <w:numPr>
          <w:ilvl w:val="0"/>
          <w:numId w:val="1"/>
        </w:numPr>
        <w:jc w:val="both"/>
        <w:rPr>
          <w:rFonts w:ascii="Arial" w:hAnsi="Arial" w:cs="Arial"/>
          <w:sz w:val="24"/>
          <w:szCs w:val="24"/>
        </w:rPr>
      </w:pPr>
      <w:r w:rsidRPr="00D03106">
        <w:rPr>
          <w:rFonts w:ascii="Arial" w:hAnsi="Arial" w:cs="Arial"/>
          <w:sz w:val="24"/>
          <w:szCs w:val="24"/>
        </w:rPr>
        <w:t>Introducción:</w:t>
      </w:r>
      <w:r w:rsidR="004832C2" w:rsidRPr="00D03106">
        <w:rPr>
          <w:rFonts w:ascii="Arial" w:hAnsi="Arial" w:cs="Arial"/>
          <w:sz w:val="24"/>
          <w:szCs w:val="24"/>
        </w:rPr>
        <w:t xml:space="preserve"> </w:t>
      </w:r>
    </w:p>
    <w:p w14:paraId="2ED8D35D" w14:textId="77777777" w:rsidR="004832C2" w:rsidRPr="00D03106" w:rsidRDefault="004832C2" w:rsidP="005F62B5">
      <w:pPr>
        <w:pStyle w:val="Prrafodelista"/>
        <w:numPr>
          <w:ilvl w:val="0"/>
          <w:numId w:val="1"/>
        </w:numPr>
        <w:jc w:val="both"/>
        <w:rPr>
          <w:rFonts w:ascii="Arial" w:hAnsi="Arial" w:cs="Arial"/>
          <w:sz w:val="24"/>
          <w:szCs w:val="24"/>
        </w:rPr>
      </w:pPr>
      <w:r w:rsidRPr="00D03106">
        <w:rPr>
          <w:rFonts w:ascii="Arial" w:hAnsi="Arial" w:cs="Arial"/>
          <w:sz w:val="24"/>
          <w:szCs w:val="24"/>
        </w:rPr>
        <w:t xml:space="preserve">Antecedente: 1964-1990 </w:t>
      </w:r>
      <w:r w:rsidR="00A151E1" w:rsidRPr="00D03106">
        <w:rPr>
          <w:rFonts w:ascii="Arial" w:hAnsi="Arial" w:cs="Arial"/>
          <w:sz w:val="24"/>
          <w:szCs w:val="24"/>
        </w:rPr>
        <w:t>actividad de la</w:t>
      </w:r>
      <w:r w:rsidRPr="00D03106">
        <w:rPr>
          <w:rFonts w:ascii="Arial" w:hAnsi="Arial" w:cs="Arial"/>
          <w:sz w:val="24"/>
          <w:szCs w:val="24"/>
        </w:rPr>
        <w:t xml:space="preserve"> Texaco;</w:t>
      </w:r>
    </w:p>
    <w:p w14:paraId="4F31660F" w14:textId="7539AF72" w:rsidR="004832C2" w:rsidRPr="00D03106" w:rsidRDefault="00A151E1" w:rsidP="005F62B5">
      <w:pPr>
        <w:pStyle w:val="Prrafodelista"/>
        <w:numPr>
          <w:ilvl w:val="0"/>
          <w:numId w:val="1"/>
        </w:numPr>
        <w:jc w:val="both"/>
        <w:rPr>
          <w:rFonts w:ascii="Arial" w:hAnsi="Arial" w:cs="Arial"/>
          <w:sz w:val="24"/>
          <w:szCs w:val="24"/>
        </w:rPr>
      </w:pPr>
      <w:r w:rsidRPr="00D03106">
        <w:rPr>
          <w:rFonts w:ascii="Arial" w:hAnsi="Arial" w:cs="Arial"/>
          <w:sz w:val="24"/>
          <w:szCs w:val="24"/>
        </w:rPr>
        <w:t xml:space="preserve">El </w:t>
      </w:r>
      <w:r w:rsidR="00D36F79" w:rsidRPr="00D03106">
        <w:rPr>
          <w:rFonts w:ascii="Arial" w:hAnsi="Arial" w:cs="Arial"/>
          <w:sz w:val="24"/>
          <w:szCs w:val="24"/>
        </w:rPr>
        <w:t>caso: 1993-2019</w:t>
      </w:r>
      <w:r w:rsidR="00522F22" w:rsidRPr="00D03106">
        <w:rPr>
          <w:rFonts w:ascii="Arial" w:hAnsi="Arial" w:cs="Arial"/>
          <w:sz w:val="24"/>
          <w:szCs w:val="24"/>
        </w:rPr>
        <w:t xml:space="preserve"> (con laudo arbitral)</w:t>
      </w:r>
    </w:p>
    <w:p w14:paraId="35252E08" w14:textId="0B2FAD2A" w:rsidR="00522F22" w:rsidRPr="00D03106" w:rsidRDefault="00522F22" w:rsidP="005F62B5">
      <w:pPr>
        <w:pStyle w:val="Prrafodelista"/>
        <w:numPr>
          <w:ilvl w:val="0"/>
          <w:numId w:val="1"/>
        </w:numPr>
        <w:jc w:val="both"/>
        <w:rPr>
          <w:rFonts w:ascii="Arial" w:hAnsi="Arial" w:cs="Arial"/>
          <w:sz w:val="24"/>
          <w:szCs w:val="24"/>
        </w:rPr>
      </w:pPr>
      <w:r w:rsidRPr="00D03106">
        <w:rPr>
          <w:rFonts w:ascii="Arial" w:hAnsi="Arial" w:cs="Arial"/>
          <w:sz w:val="24"/>
          <w:szCs w:val="24"/>
        </w:rPr>
        <w:t>Los mecheros:</w:t>
      </w:r>
      <w:r w:rsidR="00A151E1" w:rsidRPr="00D03106">
        <w:rPr>
          <w:rFonts w:ascii="Arial" w:hAnsi="Arial" w:cs="Arial"/>
          <w:sz w:val="24"/>
          <w:szCs w:val="24"/>
        </w:rPr>
        <w:t xml:space="preserve"> herencia de la</w:t>
      </w:r>
      <w:r w:rsidR="006821A2" w:rsidRPr="00D03106">
        <w:rPr>
          <w:rFonts w:ascii="Arial" w:hAnsi="Arial" w:cs="Arial"/>
          <w:sz w:val="24"/>
          <w:szCs w:val="24"/>
        </w:rPr>
        <w:t xml:space="preserve"> </w:t>
      </w:r>
      <w:r w:rsidRPr="00D03106">
        <w:rPr>
          <w:rFonts w:ascii="Arial" w:hAnsi="Arial" w:cs="Arial"/>
          <w:sz w:val="24"/>
          <w:szCs w:val="24"/>
        </w:rPr>
        <w:t xml:space="preserve">Texaco </w:t>
      </w:r>
      <w:r w:rsidR="00A151E1" w:rsidRPr="00D03106">
        <w:rPr>
          <w:rFonts w:ascii="Arial" w:hAnsi="Arial" w:cs="Arial"/>
          <w:sz w:val="24"/>
          <w:szCs w:val="24"/>
        </w:rPr>
        <w:t>y c</w:t>
      </w:r>
      <w:r w:rsidRPr="00D03106">
        <w:rPr>
          <w:rFonts w:ascii="Arial" w:hAnsi="Arial" w:cs="Arial"/>
          <w:sz w:val="24"/>
          <w:szCs w:val="24"/>
        </w:rPr>
        <w:t>ontinu</w:t>
      </w:r>
      <w:r w:rsidR="006821A2" w:rsidRPr="00D03106">
        <w:rPr>
          <w:rFonts w:ascii="Arial" w:hAnsi="Arial" w:cs="Arial"/>
          <w:sz w:val="24"/>
          <w:szCs w:val="24"/>
        </w:rPr>
        <w:t>i</w:t>
      </w:r>
      <w:r w:rsidR="00A151E1" w:rsidRPr="00D03106">
        <w:rPr>
          <w:rFonts w:ascii="Arial" w:hAnsi="Arial" w:cs="Arial"/>
          <w:sz w:val="24"/>
          <w:szCs w:val="24"/>
        </w:rPr>
        <w:t>dad</w:t>
      </w:r>
      <w:r w:rsidRPr="00D03106">
        <w:rPr>
          <w:rFonts w:ascii="Arial" w:hAnsi="Arial" w:cs="Arial"/>
          <w:sz w:val="24"/>
          <w:szCs w:val="24"/>
        </w:rPr>
        <w:t xml:space="preserve"> con Petroamazonas y Petroecuador</w:t>
      </w:r>
      <w:r w:rsidR="006821A2" w:rsidRPr="00D03106">
        <w:rPr>
          <w:rFonts w:ascii="Arial" w:hAnsi="Arial" w:cs="Arial"/>
          <w:sz w:val="24"/>
          <w:szCs w:val="24"/>
        </w:rPr>
        <w:t xml:space="preserve">, </w:t>
      </w:r>
      <w:r w:rsidR="00A151E1" w:rsidRPr="00D03106">
        <w:rPr>
          <w:rFonts w:ascii="Arial" w:hAnsi="Arial" w:cs="Arial"/>
          <w:sz w:val="24"/>
          <w:szCs w:val="24"/>
        </w:rPr>
        <w:t>presentac</w:t>
      </w:r>
      <w:bookmarkStart w:id="0" w:name="_GoBack"/>
      <w:bookmarkEnd w:id="0"/>
      <w:r w:rsidR="00A151E1" w:rsidRPr="00D03106">
        <w:rPr>
          <w:rFonts w:ascii="Arial" w:hAnsi="Arial" w:cs="Arial"/>
          <w:sz w:val="24"/>
          <w:szCs w:val="24"/>
        </w:rPr>
        <w:t>ión datos contenidos en el informe de los mecheros;</w:t>
      </w:r>
    </w:p>
    <w:p w14:paraId="6E63C7EA" w14:textId="77777777" w:rsidR="00A151E1" w:rsidRPr="00D03106" w:rsidRDefault="00522F22" w:rsidP="005F62B5">
      <w:pPr>
        <w:pStyle w:val="Prrafodelista"/>
        <w:numPr>
          <w:ilvl w:val="0"/>
          <w:numId w:val="1"/>
        </w:numPr>
        <w:jc w:val="both"/>
        <w:rPr>
          <w:rFonts w:ascii="Arial" w:hAnsi="Arial" w:cs="Arial"/>
          <w:sz w:val="24"/>
          <w:szCs w:val="24"/>
        </w:rPr>
      </w:pPr>
      <w:r w:rsidRPr="00D03106">
        <w:rPr>
          <w:rFonts w:ascii="Arial" w:hAnsi="Arial" w:cs="Arial"/>
          <w:sz w:val="24"/>
          <w:szCs w:val="24"/>
        </w:rPr>
        <w:t>Vulneración de derechos contenidos en el PIDESC</w:t>
      </w:r>
      <w:r w:rsidR="00A151E1" w:rsidRPr="00D03106">
        <w:rPr>
          <w:rFonts w:ascii="Arial" w:hAnsi="Arial" w:cs="Arial"/>
          <w:sz w:val="24"/>
          <w:szCs w:val="24"/>
        </w:rPr>
        <w:t>;</w:t>
      </w:r>
    </w:p>
    <w:p w14:paraId="7EDAC1FF" w14:textId="77777777" w:rsidR="00D36F79" w:rsidRPr="00D03106" w:rsidRDefault="00A151E1" w:rsidP="005F62B5">
      <w:pPr>
        <w:pStyle w:val="Prrafodelista"/>
        <w:numPr>
          <w:ilvl w:val="0"/>
          <w:numId w:val="1"/>
        </w:numPr>
        <w:jc w:val="both"/>
        <w:rPr>
          <w:rFonts w:ascii="Arial" w:hAnsi="Arial" w:cs="Arial"/>
          <w:sz w:val="24"/>
          <w:szCs w:val="24"/>
        </w:rPr>
      </w:pPr>
      <w:r w:rsidRPr="00D03106">
        <w:rPr>
          <w:rFonts w:ascii="Arial" w:hAnsi="Arial" w:cs="Arial"/>
          <w:sz w:val="24"/>
          <w:szCs w:val="24"/>
        </w:rPr>
        <w:t xml:space="preserve">Quejas de l@s afectd@s: que el gobierno no debe interferir en el caso; que la remediación </w:t>
      </w:r>
      <w:r w:rsidR="00D36F79" w:rsidRPr="00D03106">
        <w:rPr>
          <w:rFonts w:ascii="Arial" w:hAnsi="Arial" w:cs="Arial"/>
          <w:sz w:val="24"/>
          <w:szCs w:val="24"/>
        </w:rPr>
        <w:t>ambiental debe ejecutarse de conformidad con la sentencia judicial, además incluir la participación de los afectados y afectadas.</w:t>
      </w:r>
    </w:p>
    <w:p w14:paraId="428754BE" w14:textId="7E75ECB0" w:rsidR="000600FB" w:rsidRPr="00D03106" w:rsidRDefault="00D36F79" w:rsidP="005F62B5">
      <w:pPr>
        <w:pStyle w:val="Prrafodelista"/>
        <w:numPr>
          <w:ilvl w:val="0"/>
          <w:numId w:val="1"/>
        </w:numPr>
        <w:jc w:val="both"/>
        <w:rPr>
          <w:rFonts w:ascii="Arial" w:hAnsi="Arial" w:cs="Arial"/>
          <w:sz w:val="24"/>
          <w:szCs w:val="24"/>
        </w:rPr>
      </w:pPr>
      <w:r w:rsidRPr="00D03106">
        <w:rPr>
          <w:rFonts w:ascii="Arial" w:hAnsi="Arial" w:cs="Arial"/>
          <w:sz w:val="24"/>
          <w:szCs w:val="24"/>
        </w:rPr>
        <w:t>Los mechero</w:t>
      </w:r>
      <w:r w:rsidR="001129D6" w:rsidRPr="00D03106">
        <w:rPr>
          <w:rFonts w:ascii="Arial" w:hAnsi="Arial" w:cs="Arial"/>
          <w:sz w:val="24"/>
          <w:szCs w:val="24"/>
        </w:rPr>
        <w:t>s</w:t>
      </w:r>
      <w:r w:rsidRPr="00D03106">
        <w:rPr>
          <w:rFonts w:ascii="Arial" w:hAnsi="Arial" w:cs="Arial"/>
          <w:sz w:val="24"/>
          <w:szCs w:val="24"/>
        </w:rPr>
        <w:t xml:space="preserve"> deben ser eliminados inmediatamente.</w:t>
      </w:r>
    </w:p>
    <w:p w14:paraId="6BD59723" w14:textId="229C22FC" w:rsidR="000600FB" w:rsidRPr="00D03106" w:rsidRDefault="000600FB" w:rsidP="005F62B5">
      <w:pPr>
        <w:jc w:val="both"/>
        <w:rPr>
          <w:rFonts w:ascii="Arial" w:hAnsi="Arial" w:cs="Arial"/>
          <w:b/>
          <w:bCs/>
          <w:sz w:val="24"/>
          <w:szCs w:val="24"/>
          <w:lang w:val="it-IT"/>
        </w:rPr>
      </w:pPr>
      <w:r w:rsidRPr="00D03106">
        <w:rPr>
          <w:rFonts w:ascii="Arial" w:hAnsi="Arial" w:cs="Arial"/>
          <w:b/>
          <w:bCs/>
          <w:sz w:val="24"/>
          <w:szCs w:val="24"/>
          <w:lang w:val="it-IT"/>
        </w:rPr>
        <w:t>Presentado por:</w:t>
      </w:r>
    </w:p>
    <w:p w14:paraId="6630658F" w14:textId="20A249DB" w:rsidR="000600FB" w:rsidRPr="00D03106" w:rsidRDefault="000600FB" w:rsidP="005F62B5">
      <w:pPr>
        <w:jc w:val="both"/>
        <w:rPr>
          <w:rFonts w:ascii="Arial" w:hAnsi="Arial" w:cs="Arial"/>
          <w:b/>
          <w:bCs/>
          <w:sz w:val="24"/>
          <w:szCs w:val="24"/>
        </w:rPr>
      </w:pPr>
      <w:r w:rsidRPr="00D03106">
        <w:rPr>
          <w:rFonts w:ascii="Arial" w:hAnsi="Arial" w:cs="Arial"/>
          <w:b/>
          <w:bCs/>
          <w:sz w:val="24"/>
          <w:szCs w:val="24"/>
        </w:rPr>
        <w:t>UDAPT, Union de Afectados y Afectadas por las Operaciones Petroleras de Texaco – hoy Chevron</w:t>
      </w:r>
    </w:p>
    <w:p w14:paraId="2BC43141" w14:textId="77A8CEEF" w:rsidR="000600FB" w:rsidRPr="00D03106" w:rsidRDefault="000600FB" w:rsidP="005F62B5">
      <w:pPr>
        <w:jc w:val="both"/>
        <w:rPr>
          <w:rFonts w:ascii="Arial" w:hAnsi="Arial" w:cs="Arial"/>
          <w:sz w:val="24"/>
          <w:szCs w:val="24"/>
        </w:rPr>
      </w:pPr>
      <w:r w:rsidRPr="00D03106">
        <w:rPr>
          <w:rFonts w:ascii="Arial" w:hAnsi="Arial" w:cs="Arial"/>
          <w:sz w:val="24"/>
          <w:szCs w:val="24"/>
        </w:rPr>
        <w:t>Es la organización que representa a</w:t>
      </w:r>
      <w:r w:rsidR="005F62B5" w:rsidRPr="00D03106">
        <w:rPr>
          <w:rFonts w:ascii="Arial" w:hAnsi="Arial" w:cs="Arial"/>
          <w:sz w:val="24"/>
          <w:szCs w:val="24"/>
        </w:rPr>
        <w:t xml:space="preserve"> más de 30.000 personas afectadas por las operaciones der la petrolera Chevron en la Amazonía Norte del Ecuador.</w:t>
      </w:r>
      <w:r w:rsidRPr="00D03106">
        <w:rPr>
          <w:rFonts w:ascii="Arial" w:hAnsi="Arial" w:cs="Arial"/>
          <w:sz w:val="24"/>
          <w:szCs w:val="24"/>
        </w:rPr>
        <w:t xml:space="preserve"> </w:t>
      </w:r>
      <w:r w:rsidR="005F62B5" w:rsidRPr="00D03106">
        <w:rPr>
          <w:rFonts w:ascii="Arial" w:hAnsi="Arial" w:cs="Arial"/>
          <w:sz w:val="24"/>
          <w:szCs w:val="24"/>
        </w:rPr>
        <w:t xml:space="preserve">Son parte de la UDAPT, las Nacionalidades: Siona Siekopaai, Kofan, Comunidades Kichwas, Shuar, Waorani y campesinos. Todos y todas afectados por las operaciones de Chevron. Estos colectivos, </w:t>
      </w:r>
      <w:r w:rsidRPr="00D03106">
        <w:rPr>
          <w:rFonts w:ascii="Arial" w:hAnsi="Arial" w:cs="Arial"/>
          <w:sz w:val="24"/>
          <w:szCs w:val="24"/>
        </w:rPr>
        <w:t>en 1993 iniciaron el juicio contra la petrolera por los daños ocasionados en las provincias de Sucumbíos y Orellana. Recibiendo un mandato directo de los demandantes, la UDAPT es la única organización que los representa legalmente en el largo juicio en con</w:t>
      </w:r>
      <w:r w:rsidR="005F62B5" w:rsidRPr="00D03106">
        <w:rPr>
          <w:rFonts w:ascii="Arial" w:hAnsi="Arial" w:cs="Arial"/>
          <w:sz w:val="24"/>
          <w:szCs w:val="24"/>
        </w:rPr>
        <w:t>tra de Chevron-Texaco, que en 26</w:t>
      </w:r>
      <w:r w:rsidRPr="00D03106">
        <w:rPr>
          <w:rFonts w:ascii="Arial" w:hAnsi="Arial" w:cs="Arial"/>
          <w:sz w:val="24"/>
          <w:szCs w:val="24"/>
        </w:rPr>
        <w:t xml:space="preserve"> años llevó a múltiples veredictos de condena de la petrolera al pago de 9,5 mil millones de dólares para que las 480.000 hectáreas de tierras y ríos contaminados puedan ser remediadas.</w:t>
      </w:r>
    </w:p>
    <w:p w14:paraId="06453BE5" w14:textId="77777777" w:rsidR="000600FB" w:rsidRPr="00D03106" w:rsidRDefault="000600FB" w:rsidP="005F62B5">
      <w:pPr>
        <w:jc w:val="both"/>
        <w:rPr>
          <w:rFonts w:ascii="Arial" w:hAnsi="Arial" w:cs="Arial"/>
          <w:b/>
          <w:bCs/>
          <w:sz w:val="24"/>
          <w:szCs w:val="24"/>
          <w:lang w:val="it-IT"/>
        </w:rPr>
      </w:pPr>
      <w:r w:rsidRPr="00D03106">
        <w:rPr>
          <w:rFonts w:ascii="Arial" w:hAnsi="Arial" w:cs="Arial"/>
          <w:b/>
          <w:bCs/>
          <w:sz w:val="24"/>
          <w:szCs w:val="24"/>
          <w:lang w:val="it-IT"/>
        </w:rPr>
        <w:t>Executive Summary</w:t>
      </w:r>
    </w:p>
    <w:p w14:paraId="291768CE" w14:textId="77777777" w:rsidR="000600FB" w:rsidRPr="00D03106" w:rsidRDefault="000600FB" w:rsidP="005F62B5">
      <w:pPr>
        <w:jc w:val="both"/>
        <w:rPr>
          <w:rFonts w:ascii="Arial" w:hAnsi="Arial" w:cs="Arial"/>
          <w:sz w:val="24"/>
          <w:szCs w:val="24"/>
          <w:lang w:val="it-IT"/>
        </w:rPr>
      </w:pPr>
      <w:r w:rsidRPr="00D03106">
        <w:rPr>
          <w:rFonts w:ascii="Arial" w:hAnsi="Arial" w:cs="Arial"/>
          <w:sz w:val="24"/>
          <w:szCs w:val="24"/>
          <w:lang w:val="it-IT"/>
        </w:rPr>
        <w:t xml:space="preserve">I dati presentati nel presente documento rappresentano la sintesi del lavoro svolto da vari membri della Union de Afectados por Texaco – UDAPT – durante un periodo di lotta che abbraccia ormai tre decenni. Grazie ai progetti realizzati, alle ricerche svolte, ai sacrifici, al lavoro di centinaia di persone appartenenti alle comunità indigene e contadine afectadas dalla contaminazione deliberatamente causata dall’impresa Texaco, oggi Chevron, durante le sue attività petrolifere – avute luogo tra il 1964 e il 1990 – siamo oggi in grado di fornire una descrizione dettagliata degli accadimenti occorsi in più di 50 anni, e delle conseguenze che essi hanno causato, e che continuano a causare, all’ambiente e alla salute umana nelle province amazzoniche di Sucumbios e Orellana, Ecuador. </w:t>
      </w:r>
    </w:p>
    <w:p w14:paraId="40BA6AD4" w14:textId="548A5834" w:rsidR="009C71E3" w:rsidRPr="00D03106" w:rsidRDefault="000600FB" w:rsidP="005F62B5">
      <w:pPr>
        <w:jc w:val="both"/>
        <w:rPr>
          <w:rFonts w:ascii="Arial" w:hAnsi="Arial" w:cs="Arial"/>
          <w:sz w:val="24"/>
          <w:szCs w:val="24"/>
          <w:lang w:val="it-IT"/>
        </w:rPr>
      </w:pPr>
      <w:r w:rsidRPr="00D03106">
        <w:rPr>
          <w:rFonts w:ascii="Arial" w:hAnsi="Arial" w:cs="Arial"/>
          <w:sz w:val="24"/>
          <w:szCs w:val="24"/>
          <w:lang w:val="it-IT"/>
        </w:rPr>
        <w:t xml:space="preserve">Sfortunatamente, anche dopo la fine delle attività petrolifere della multinazionale statunitense, le pratiche nocive legate all’industria petroliera sono tutt’altro che terminate. </w:t>
      </w:r>
      <w:r w:rsidRPr="00D03106">
        <w:rPr>
          <w:rFonts w:ascii="Arial" w:hAnsi="Arial" w:cs="Arial"/>
          <w:sz w:val="24"/>
          <w:szCs w:val="24"/>
          <w:lang w:val="it-IT"/>
        </w:rPr>
        <w:lastRenderedPageBreak/>
        <w:t xml:space="preserve">Tramite l’attività dell’allora maggiore impresa nazionale, Petroecuador, oggi rimpiazzata da Petroamazonas, lo sfruttamento del territorio e l’inquinamento che ne deriva hanno continuato a devastare le vite di fiumi, piante, animali, ed essere umani che abitano queste terre. </w:t>
      </w:r>
      <w:r w:rsidR="00721E16" w:rsidRPr="00D03106">
        <w:rPr>
          <w:rFonts w:ascii="Arial" w:hAnsi="Arial" w:cs="Arial"/>
          <w:sz w:val="24"/>
          <w:szCs w:val="24"/>
          <w:lang w:val="it-IT"/>
        </w:rPr>
        <w:t xml:space="preserve">Con questo documento, intendiamo denunciare le violazioni di diritti umani che ancora flagellano gli abitanti di Sucumbíos e Orellana, </w:t>
      </w:r>
    </w:p>
    <w:p w14:paraId="4E3B22E5" w14:textId="0B4E0650" w:rsidR="009C71E3" w:rsidRPr="00D03106" w:rsidRDefault="009C71E3" w:rsidP="005F62B5">
      <w:pPr>
        <w:jc w:val="both"/>
        <w:rPr>
          <w:rFonts w:ascii="Arial" w:hAnsi="Arial" w:cs="Arial"/>
          <w:b/>
          <w:bCs/>
          <w:sz w:val="24"/>
          <w:szCs w:val="24"/>
          <w:lang w:val="it-IT"/>
        </w:rPr>
      </w:pPr>
      <w:r w:rsidRPr="00D03106">
        <w:rPr>
          <w:rFonts w:ascii="Arial" w:hAnsi="Arial" w:cs="Arial"/>
          <w:b/>
          <w:bCs/>
          <w:sz w:val="24"/>
          <w:szCs w:val="24"/>
          <w:lang w:val="it-IT"/>
        </w:rPr>
        <w:t>Introducci</w:t>
      </w:r>
      <w:r w:rsidR="004E5DF6" w:rsidRPr="00D03106">
        <w:rPr>
          <w:rFonts w:ascii="Arial" w:hAnsi="Arial" w:cs="Arial"/>
          <w:b/>
          <w:bCs/>
          <w:sz w:val="24"/>
          <w:szCs w:val="24"/>
          <w:lang w:val="it-IT"/>
        </w:rPr>
        <w:t>ó</w:t>
      </w:r>
      <w:r w:rsidRPr="00D03106">
        <w:rPr>
          <w:rFonts w:ascii="Arial" w:hAnsi="Arial" w:cs="Arial"/>
          <w:b/>
          <w:bCs/>
          <w:sz w:val="24"/>
          <w:szCs w:val="24"/>
          <w:lang w:val="it-IT"/>
        </w:rPr>
        <w:t xml:space="preserve">n </w:t>
      </w:r>
    </w:p>
    <w:p w14:paraId="6DA4B184" w14:textId="19F5B5E8" w:rsidR="004E5DF6" w:rsidRPr="00D03106" w:rsidRDefault="004E5DF6" w:rsidP="005F62B5">
      <w:pPr>
        <w:jc w:val="both"/>
        <w:rPr>
          <w:rFonts w:ascii="Arial" w:hAnsi="Arial" w:cs="Arial"/>
          <w:sz w:val="24"/>
          <w:szCs w:val="24"/>
        </w:rPr>
      </w:pPr>
      <w:r w:rsidRPr="00D03106">
        <w:rPr>
          <w:rFonts w:ascii="Arial" w:hAnsi="Arial" w:cs="Arial"/>
          <w:sz w:val="24"/>
          <w:szCs w:val="24"/>
        </w:rPr>
        <w:t>Ecuador es un país lleno de contrastes. Caracterizado por una presencia de biodiversidad entre las más altas del planeta, al mismo tiempo cuenta con una fuerte industria petrolera, que opera principalmente en la zona donde esta biodiversidad es mayor, es decir, en la región de la cuenca amazónica. Si por un lado los beneficios del petróleo financian el gasto público, contribuyendo al desarrollo del país, por otro lado la explotación de este precioso recurso tiene graves consecuencias para el medio ambiente</w:t>
      </w:r>
      <w:r w:rsidR="005F62B5" w:rsidRPr="00D03106">
        <w:rPr>
          <w:rFonts w:ascii="Arial" w:hAnsi="Arial" w:cs="Arial"/>
          <w:sz w:val="24"/>
          <w:szCs w:val="24"/>
        </w:rPr>
        <w:t>, la naturaleza</w:t>
      </w:r>
      <w:r w:rsidRPr="00D03106">
        <w:rPr>
          <w:rFonts w:ascii="Arial" w:hAnsi="Arial" w:cs="Arial"/>
          <w:sz w:val="24"/>
          <w:szCs w:val="24"/>
        </w:rPr>
        <w:t xml:space="preserve"> y para las personas que viven en las zonas afectadas por esta actividad industrial. Además, es evidente que el desarrollo así generado no se distribuye equitativamente en el país, y que precisamente las provincias que históricamente han sufrido más, y que siguen sufriendo el impacto de la contaminación directa e indirecta de la industria petrolera, son las que menos se han beneficiado del desarrollo económico producido. Las provincias de Sucumbíos y Orellana, en particular, se encuentran entre las más pobres del país, tanto en términos de niveles de ingresos como de servicios: se carece de hospitales especializados, de universidades </w:t>
      </w:r>
      <w:r w:rsidR="005F62B5" w:rsidRPr="00D03106">
        <w:rPr>
          <w:rFonts w:ascii="Arial" w:hAnsi="Arial" w:cs="Arial"/>
          <w:sz w:val="24"/>
          <w:szCs w:val="24"/>
        </w:rPr>
        <w:t>públicas y</w:t>
      </w:r>
      <w:r w:rsidRPr="00D03106">
        <w:rPr>
          <w:rFonts w:ascii="Arial" w:hAnsi="Arial" w:cs="Arial"/>
          <w:sz w:val="24"/>
          <w:szCs w:val="24"/>
        </w:rPr>
        <w:t xml:space="preserve"> de carreteras de calidad que garanticen una movilidad rápida y segura. Sin embargo, hasta la fecha, la amenaza más grave para el ecosistema y los habitantes de la Amazonía Norte ecuatoriana está representada por los llamados "mecheros". Se trata de torres ubicadas en estaciones de separación de petróleo, que se utilizan para quemar el gas extraído junto con el crudo. Esta práctica, denunciada por el Banco Mundial (link) y conocida por ser dañina para el medio ambiente, es ampliamente uti</w:t>
      </w:r>
      <w:r w:rsidR="005F62B5" w:rsidRPr="00D03106">
        <w:rPr>
          <w:rFonts w:ascii="Arial" w:hAnsi="Arial" w:cs="Arial"/>
          <w:sz w:val="24"/>
          <w:szCs w:val="24"/>
        </w:rPr>
        <w:t>lizada en Ecuador, con más de 43</w:t>
      </w:r>
      <w:r w:rsidRPr="00D03106">
        <w:rPr>
          <w:rFonts w:ascii="Arial" w:hAnsi="Arial" w:cs="Arial"/>
          <w:sz w:val="24"/>
          <w:szCs w:val="24"/>
        </w:rPr>
        <w:t>0 mecheros dispersos sólo en es</w:t>
      </w:r>
      <w:r w:rsidR="005F62B5" w:rsidRPr="00D03106">
        <w:rPr>
          <w:rFonts w:ascii="Arial" w:hAnsi="Arial" w:cs="Arial"/>
          <w:sz w:val="24"/>
          <w:szCs w:val="24"/>
        </w:rPr>
        <w:t>tas dos provincias</w:t>
      </w:r>
      <w:r w:rsidRPr="00D03106">
        <w:rPr>
          <w:rFonts w:ascii="Arial" w:hAnsi="Arial" w:cs="Arial"/>
          <w:sz w:val="24"/>
          <w:szCs w:val="24"/>
        </w:rPr>
        <w:t xml:space="preserve">. </w:t>
      </w:r>
    </w:p>
    <w:p w14:paraId="623B0C50" w14:textId="5E9AAE3C" w:rsidR="004E5DF6" w:rsidRPr="00D03106" w:rsidRDefault="004E5DF6" w:rsidP="005F62B5">
      <w:pPr>
        <w:jc w:val="both"/>
        <w:rPr>
          <w:rFonts w:ascii="Arial" w:hAnsi="Arial" w:cs="Arial"/>
          <w:sz w:val="24"/>
          <w:szCs w:val="24"/>
        </w:rPr>
      </w:pPr>
      <w:r w:rsidRPr="00D03106">
        <w:rPr>
          <w:rFonts w:ascii="Arial" w:hAnsi="Arial" w:cs="Arial"/>
          <w:sz w:val="24"/>
          <w:szCs w:val="24"/>
        </w:rPr>
        <w:t>A todo esto se suma un pesado legado, el que dejó la empresa Texaco, que durante décadas ha contaminado deliberadamente estas tier</w:t>
      </w:r>
      <w:r w:rsidR="005F62B5" w:rsidRPr="00D03106">
        <w:rPr>
          <w:rFonts w:ascii="Arial" w:hAnsi="Arial" w:cs="Arial"/>
          <w:sz w:val="24"/>
          <w:szCs w:val="24"/>
        </w:rPr>
        <w:t>ras ricas en vida. Después de 25</w:t>
      </w:r>
      <w:r w:rsidRPr="00D03106">
        <w:rPr>
          <w:rFonts w:ascii="Arial" w:hAnsi="Arial" w:cs="Arial"/>
          <w:sz w:val="24"/>
          <w:szCs w:val="24"/>
        </w:rPr>
        <w:t xml:space="preserve"> años de lucha, en junio de 2018, los afectados y afectadas alcanzaron un resultado histórico, obteniendo la condena definitiva de la multinacional Chevron, que actualmente tiene la responsabilidad de Texaco, al haberla adquirida en el año 2001. Hoy en día, sin embargo, este resultado está fuertemente amenazado por un laudo arbitral, emitido sólo dos meses después de esta sentencia histórica, que pretende cancelar el resultado de la lucha social más larga e importante de la historia de Ecuador. Lamentablemente, el Estado ecuatoriano, en lugar de defender su soberanía y a sus ciudadanos, está haciendo todo lo posible para cumplir con el laudo, pisoteando así los derechos de las víctimas de la Texaco y de todos los ecuatorianos.</w:t>
      </w:r>
    </w:p>
    <w:p w14:paraId="0E54408B" w14:textId="77777777" w:rsidR="004E5DF6" w:rsidRPr="00D03106" w:rsidRDefault="004E5DF6" w:rsidP="005F62B5">
      <w:pPr>
        <w:jc w:val="both"/>
        <w:rPr>
          <w:rFonts w:ascii="Arial" w:hAnsi="Arial" w:cs="Arial"/>
          <w:sz w:val="24"/>
          <w:szCs w:val="24"/>
        </w:rPr>
      </w:pPr>
      <w:r w:rsidRPr="00D03106">
        <w:rPr>
          <w:rFonts w:ascii="Arial" w:hAnsi="Arial" w:cs="Arial"/>
          <w:sz w:val="24"/>
          <w:szCs w:val="24"/>
        </w:rPr>
        <w:t xml:space="preserve">El objetivo de este informe es denunciar, por un lado, las graves violaciones de los derechos humanos cometidas por el Estado ecuatoriano en su intento de cumplir con el laudo arbitral y, por otro, destacar los aspectos más críticos del subdesarrollo que caracteriza a las dos provincias septentrionales de la Amazonía ecuatoriana, centrándose en particular en la práctica de la quema de gas en la atmósfera mediante el uso de los denominados mecheros y sus catastróficas consecuencias para la salud humana y el medio ambiente.  </w:t>
      </w:r>
    </w:p>
    <w:p w14:paraId="6205FB94" w14:textId="6B05ECA5" w:rsidR="00293226" w:rsidRPr="00D03106" w:rsidRDefault="00293226" w:rsidP="005F62B5">
      <w:pPr>
        <w:jc w:val="both"/>
        <w:rPr>
          <w:rFonts w:ascii="Arial" w:hAnsi="Arial" w:cs="Arial"/>
          <w:b/>
          <w:bCs/>
          <w:sz w:val="24"/>
          <w:szCs w:val="24"/>
          <w:lang w:val="it-IT"/>
        </w:rPr>
      </w:pPr>
      <w:r w:rsidRPr="00D03106">
        <w:rPr>
          <w:rFonts w:ascii="Arial" w:hAnsi="Arial" w:cs="Arial"/>
          <w:b/>
          <w:bCs/>
          <w:sz w:val="24"/>
          <w:szCs w:val="24"/>
          <w:lang w:val="it-IT"/>
        </w:rPr>
        <w:t>Antecedente</w:t>
      </w:r>
    </w:p>
    <w:p w14:paraId="536C6556" w14:textId="1C7B0A83" w:rsidR="00293226" w:rsidRPr="00D03106" w:rsidRDefault="00293226" w:rsidP="005F62B5">
      <w:pPr>
        <w:jc w:val="both"/>
        <w:rPr>
          <w:rFonts w:ascii="Arial" w:hAnsi="Arial" w:cs="Arial"/>
          <w:sz w:val="24"/>
          <w:szCs w:val="24"/>
        </w:rPr>
      </w:pPr>
      <w:r w:rsidRPr="00D03106">
        <w:rPr>
          <w:rFonts w:ascii="Arial" w:hAnsi="Arial" w:cs="Arial"/>
          <w:sz w:val="24"/>
          <w:szCs w:val="24"/>
        </w:rPr>
        <w:lastRenderedPageBreak/>
        <w:t xml:space="preserve">Antes de la llegada de la industria petrolera, la Amazonía norte del Ecuador era habitada especialmente por comunidades indígenas, que vivían en armonía con su territorio y la naturaleza, según sus estilos de vida tradicionales. Los pobladores utilizaban los recursos naturales que la selva ofrece para satisfacer sus necesidades como tomar agua de los ríos, cazar y recoger plantas medicinales.    </w:t>
      </w:r>
    </w:p>
    <w:p w14:paraId="295A33D3" w14:textId="1D28E616" w:rsidR="00293226" w:rsidRPr="00D03106" w:rsidRDefault="00293226" w:rsidP="005F62B5">
      <w:pPr>
        <w:jc w:val="both"/>
        <w:rPr>
          <w:rFonts w:ascii="Arial" w:hAnsi="Arial" w:cs="Arial"/>
          <w:sz w:val="24"/>
          <w:szCs w:val="24"/>
        </w:rPr>
      </w:pPr>
      <w:r w:rsidRPr="00D03106">
        <w:rPr>
          <w:rFonts w:ascii="Arial" w:hAnsi="Arial" w:cs="Arial"/>
          <w:sz w:val="24"/>
          <w:szCs w:val="24"/>
        </w:rPr>
        <w:t xml:space="preserve">Entre 1964 y 1990 Texaco (adquirida por Chevron en 2001) fue operadora de una concesión petrolera de aproximadamente 500.000 hectáreas entre las provincias de Sucumbíos y Orellana. Otras empresas formaban parte del consorcio al que el Estado Ecuatoriano entregó la concesión; sin embargo, </w:t>
      </w:r>
      <w:r w:rsidR="005F62B5" w:rsidRPr="00D03106">
        <w:rPr>
          <w:rFonts w:ascii="Arial" w:hAnsi="Arial" w:cs="Arial"/>
          <w:sz w:val="24"/>
          <w:szCs w:val="24"/>
        </w:rPr>
        <w:t>fue la empresa Texaco, la única y exclusiva operadora del área desde el año 1964 hasta junio de 1990</w:t>
      </w:r>
      <w:r w:rsidRPr="00D03106">
        <w:rPr>
          <w:rFonts w:ascii="Arial" w:hAnsi="Arial" w:cs="Arial"/>
          <w:sz w:val="24"/>
          <w:szCs w:val="24"/>
        </w:rPr>
        <w:t>. Al fin de ahorrar dinero, la empresa decidió</w:t>
      </w:r>
      <w:r w:rsidR="005F62B5" w:rsidRPr="00D03106">
        <w:rPr>
          <w:rFonts w:ascii="Arial" w:hAnsi="Arial" w:cs="Arial"/>
          <w:sz w:val="24"/>
          <w:szCs w:val="24"/>
        </w:rPr>
        <w:t xml:space="preserve"> utilizar deliberadamente tecnologías obsoleta e inadecuada</w:t>
      </w:r>
      <w:r w:rsidRPr="00D03106">
        <w:rPr>
          <w:rFonts w:ascii="Arial" w:hAnsi="Arial" w:cs="Arial"/>
          <w:sz w:val="24"/>
          <w:szCs w:val="24"/>
        </w:rPr>
        <w:t>, muchas de las cuales ya estaban prohibidas en los EE. UU., debido a su alto impacto ambiental.</w:t>
      </w:r>
      <w:r w:rsidR="005F62B5" w:rsidRPr="00D03106">
        <w:rPr>
          <w:rFonts w:ascii="Arial" w:hAnsi="Arial" w:cs="Arial"/>
          <w:sz w:val="24"/>
          <w:szCs w:val="24"/>
        </w:rPr>
        <w:t xml:space="preserve"> </w:t>
      </w:r>
    </w:p>
    <w:p w14:paraId="2F908D75" w14:textId="0430FE0D" w:rsidR="00293226" w:rsidRPr="00D03106" w:rsidRDefault="00293226" w:rsidP="005F62B5">
      <w:pPr>
        <w:jc w:val="both"/>
        <w:rPr>
          <w:rFonts w:ascii="Arial" w:hAnsi="Arial" w:cs="Arial"/>
          <w:sz w:val="24"/>
          <w:szCs w:val="24"/>
        </w:rPr>
      </w:pPr>
      <w:r w:rsidRPr="00D03106">
        <w:rPr>
          <w:rFonts w:ascii="Arial" w:hAnsi="Arial" w:cs="Arial"/>
          <w:sz w:val="24"/>
          <w:szCs w:val="24"/>
        </w:rPr>
        <w:t>Durante sus operaciones la compañía perforó 356 pozos y construyó más de una veintena de estaciones de producción, descargando el agua de producción – un agua toxica residuo del proceso extractivo – en más de 880 “piscinas”, es decir fosas cavadas en el suelo sin ningún tipo de protección aislante en su fondo para evitar la penetración de los tóxicos en el suelo. Muchas de ellas tenían sus cuellos de ganso orientados directamente hacía los ríos y los esteros cercanos, lo que causó la contaminación directa no solo del suelo, sino también del agua y de todo el sistema fluvial del área. Además, Texaco arrojó directamente el crudo en más de 1.700 km de carreteras para evitar que se levantase el polvo cuando circulaban sus</w:t>
      </w:r>
      <w:r w:rsidR="005F62B5" w:rsidRPr="00D03106">
        <w:rPr>
          <w:rFonts w:ascii="Arial" w:hAnsi="Arial" w:cs="Arial"/>
          <w:sz w:val="24"/>
          <w:szCs w:val="24"/>
        </w:rPr>
        <w:t xml:space="preserve"> camiones, y construyó más de 30</w:t>
      </w:r>
      <w:r w:rsidRPr="00D03106">
        <w:rPr>
          <w:rFonts w:ascii="Arial" w:hAnsi="Arial" w:cs="Arial"/>
          <w:sz w:val="24"/>
          <w:szCs w:val="24"/>
        </w:rPr>
        <w:t>0 mecheros para la quema del gas de extracción, contaminando así también el aire de la zona.</w:t>
      </w:r>
    </w:p>
    <w:p w14:paraId="3AE1453B" w14:textId="119E2E02" w:rsidR="00293226" w:rsidRPr="00D03106" w:rsidRDefault="00293226" w:rsidP="005F62B5">
      <w:pPr>
        <w:jc w:val="both"/>
        <w:rPr>
          <w:rFonts w:ascii="Arial" w:hAnsi="Arial" w:cs="Arial"/>
          <w:sz w:val="24"/>
          <w:szCs w:val="24"/>
        </w:rPr>
      </w:pPr>
      <w:r w:rsidRPr="00D03106">
        <w:rPr>
          <w:rFonts w:ascii="Arial" w:hAnsi="Arial" w:cs="Arial"/>
          <w:sz w:val="24"/>
          <w:szCs w:val="24"/>
        </w:rPr>
        <w:t>El resultado de 26 años de malas prácticas extractivas fue una de las más graves catástrofes ambientales en la historia humana, que causó y sigue causando efectos devastadores</w:t>
      </w:r>
      <w:r w:rsidR="005F62B5" w:rsidRPr="00D03106">
        <w:rPr>
          <w:rFonts w:ascii="Arial" w:hAnsi="Arial" w:cs="Arial"/>
          <w:sz w:val="24"/>
          <w:szCs w:val="24"/>
        </w:rPr>
        <w:t xml:space="preserve"> sobre la vida, salud, cultura, naturaleza y</w:t>
      </w:r>
      <w:r w:rsidRPr="00D03106">
        <w:rPr>
          <w:rFonts w:ascii="Arial" w:hAnsi="Arial" w:cs="Arial"/>
          <w:sz w:val="24"/>
          <w:szCs w:val="24"/>
        </w:rPr>
        <w:t xml:space="preserve"> medio ambiente de las más de 30.000 personas que viven en el área. Más de 80.000 análisis reflejan la existencia de productos tóxicos en el suelo y en el agua, que fueron sistemáticamente contaminados. Se calcula que a lo largo de su actividad extractiva Texaco arrojó cerca de 64 mil millones de litros de aguas tóxicas y 650.000 barriles de crudo en el ecosistema amazónico.</w:t>
      </w:r>
    </w:p>
    <w:p w14:paraId="31CC550F" w14:textId="31F2C59C" w:rsidR="00293226" w:rsidRPr="00D03106" w:rsidRDefault="00293226" w:rsidP="005F62B5">
      <w:pPr>
        <w:jc w:val="both"/>
        <w:rPr>
          <w:rFonts w:ascii="Arial" w:hAnsi="Arial" w:cs="Arial"/>
          <w:sz w:val="24"/>
          <w:szCs w:val="24"/>
        </w:rPr>
      </w:pPr>
      <w:r w:rsidRPr="00D03106">
        <w:rPr>
          <w:rFonts w:ascii="Arial" w:hAnsi="Arial" w:cs="Arial"/>
          <w:sz w:val="24"/>
          <w:szCs w:val="24"/>
        </w:rPr>
        <w:t>Los impactos relacionados con la explotación petrolera de Texaco afectaron a todas las comunidades indígenas y colonas de la zona, que padecen graves problemas de salud a causa de la contaminación, inclusive muchas enfermedades catastróficas. La tasa de cáncer en el área contaminada alcanza hasta 8-10 veces el promedio nacional (citazione informe de salud).</w:t>
      </w:r>
    </w:p>
    <w:p w14:paraId="0797BFD7" w14:textId="4993B3E9" w:rsidR="00293226" w:rsidRPr="00D03106" w:rsidRDefault="00293226" w:rsidP="005F62B5">
      <w:pPr>
        <w:jc w:val="both"/>
        <w:rPr>
          <w:rFonts w:ascii="Arial" w:hAnsi="Arial" w:cs="Arial"/>
          <w:sz w:val="24"/>
          <w:szCs w:val="24"/>
        </w:rPr>
      </w:pPr>
      <w:r w:rsidRPr="00D03106">
        <w:rPr>
          <w:rFonts w:ascii="Arial" w:hAnsi="Arial" w:cs="Arial"/>
          <w:sz w:val="24"/>
          <w:szCs w:val="24"/>
        </w:rPr>
        <w:t>Otros impactos relacionados a las operaciones de Texaco incluyen fragmentación territorial, presencia militar, pérdida de cohesión comunitaria y territorios ancestrales, desplazamientos, abusos psicológicos y físicos, pérdida de cultura, aumento de la pobreza debido a la pérdida de animales y daños en la agricultura.</w:t>
      </w:r>
    </w:p>
    <w:p w14:paraId="4269BB00" w14:textId="1887209D" w:rsidR="00293226" w:rsidRPr="00D03106" w:rsidRDefault="00293226" w:rsidP="005F62B5">
      <w:pPr>
        <w:jc w:val="both"/>
        <w:rPr>
          <w:rFonts w:ascii="Arial" w:hAnsi="Arial" w:cs="Arial"/>
          <w:b/>
          <w:bCs/>
          <w:sz w:val="24"/>
          <w:szCs w:val="24"/>
        </w:rPr>
      </w:pPr>
      <w:r w:rsidRPr="00D03106">
        <w:rPr>
          <w:rFonts w:ascii="Arial" w:hAnsi="Arial" w:cs="Arial"/>
          <w:b/>
          <w:bCs/>
          <w:sz w:val="24"/>
          <w:szCs w:val="24"/>
        </w:rPr>
        <w:t>El caso</w:t>
      </w:r>
    </w:p>
    <w:p w14:paraId="12FAF783" w14:textId="7BDBB0A0" w:rsidR="00755884" w:rsidRPr="00D03106" w:rsidRDefault="00755884" w:rsidP="005F62B5">
      <w:pPr>
        <w:jc w:val="both"/>
        <w:rPr>
          <w:rFonts w:ascii="Arial" w:hAnsi="Arial" w:cs="Arial"/>
          <w:sz w:val="24"/>
          <w:szCs w:val="24"/>
        </w:rPr>
      </w:pPr>
      <w:r w:rsidRPr="00D03106">
        <w:rPr>
          <w:rFonts w:ascii="Arial" w:hAnsi="Arial" w:cs="Arial"/>
          <w:sz w:val="24"/>
          <w:szCs w:val="24"/>
        </w:rPr>
        <w:t>El 3 de noviembre de 1993, 75 personas entre colonos e indígenas Kofanes, Secoyas y Kichwas de Orellana y Sucumbíos, mediante una “acción de clase” presentaron una demanda contra la petrolera Texaco en la Corte del Distrito Sur de Nueva York, acusándola de haber contaminado el ambiente y afectado a la salud de la gente, debido al uso de tecnología barata y obsoleta, durante la explotación petrolera en la Amazonía ecuatoriana.</w:t>
      </w:r>
      <w:r w:rsidR="003B4719" w:rsidRPr="00D03106">
        <w:rPr>
          <w:rFonts w:ascii="Arial" w:hAnsi="Arial" w:cs="Arial"/>
          <w:sz w:val="24"/>
          <w:szCs w:val="24"/>
        </w:rPr>
        <w:t xml:space="preserve"> </w:t>
      </w:r>
      <w:r w:rsidR="003B4719" w:rsidRPr="00D03106">
        <w:rPr>
          <w:rFonts w:ascii="Arial" w:hAnsi="Arial" w:cs="Arial"/>
          <w:sz w:val="24"/>
          <w:szCs w:val="24"/>
        </w:rPr>
        <w:lastRenderedPageBreak/>
        <w:t xml:space="preserve">Ocho años más tarde, en 2001, empezó el proceso ecuatoriano, tras la decisión de la corte estadunidense de mudar el juicio a Ecuador, por falta de competencia de la misma. </w:t>
      </w:r>
    </w:p>
    <w:p w14:paraId="21D4631B" w14:textId="77777777" w:rsidR="00F148E5" w:rsidRPr="00D03106" w:rsidRDefault="003B4719" w:rsidP="005F62B5">
      <w:pPr>
        <w:jc w:val="both"/>
        <w:rPr>
          <w:rFonts w:ascii="Arial" w:hAnsi="Arial" w:cs="Arial"/>
          <w:sz w:val="24"/>
          <w:szCs w:val="24"/>
        </w:rPr>
      </w:pPr>
      <w:r w:rsidRPr="00D03106">
        <w:rPr>
          <w:rFonts w:ascii="Arial" w:hAnsi="Arial" w:cs="Arial"/>
          <w:sz w:val="24"/>
          <w:szCs w:val="24"/>
        </w:rPr>
        <w:t xml:space="preserve">Después de otros doce años, en 2013, </w:t>
      </w:r>
      <w:r w:rsidR="00F148E5" w:rsidRPr="00D03106">
        <w:rPr>
          <w:rFonts w:ascii="Arial" w:hAnsi="Arial" w:cs="Arial"/>
          <w:sz w:val="24"/>
          <w:szCs w:val="24"/>
        </w:rPr>
        <w:t>la Corte Nacional de Justicia de Ecuador ordenó a Chevron Corp. pagar 9.5 mil millones de dólares para restaurar los 4.800 kilómetros cuadrados de suelo y aguas contaminadas en la selva amazónica y establecer un amplio programa de salud para los más de 30.000 indígenas y campesinos afectados.</w:t>
      </w:r>
    </w:p>
    <w:p w14:paraId="26D89AC3" w14:textId="04DBFB8C" w:rsidR="00F148E5" w:rsidRPr="00D03106" w:rsidRDefault="00F148E5" w:rsidP="005F62B5">
      <w:pPr>
        <w:jc w:val="both"/>
        <w:rPr>
          <w:rFonts w:ascii="Arial" w:hAnsi="Arial" w:cs="Arial"/>
          <w:sz w:val="24"/>
          <w:szCs w:val="24"/>
        </w:rPr>
      </w:pPr>
      <w:r w:rsidRPr="00D03106">
        <w:rPr>
          <w:rFonts w:ascii="Arial" w:hAnsi="Arial" w:cs="Arial"/>
          <w:sz w:val="24"/>
          <w:szCs w:val="24"/>
        </w:rPr>
        <w:t xml:space="preserve">El más alto tribunal de Ecuador confirmó así las dos decisiones anteriores de los tribunales provinciales de 2011 y 2012. La sentencia de restitución determinó que la contaminación fue causada por el uso de métodos inadecuados y obsoletos de extracción de petróleo por parte de Texaco entre 1964 y 1990, incluyendo la eliminación deliberada de desechos tóxicos y petróleo crudo en la selva tropical ecuatoriana. </w:t>
      </w:r>
    </w:p>
    <w:p w14:paraId="65DCA0B6" w14:textId="76444838" w:rsidR="00F148E5" w:rsidRPr="00D03106" w:rsidRDefault="00721E16" w:rsidP="005F62B5">
      <w:pPr>
        <w:jc w:val="both"/>
        <w:rPr>
          <w:rFonts w:ascii="Arial" w:hAnsi="Arial" w:cs="Arial"/>
          <w:sz w:val="24"/>
          <w:szCs w:val="24"/>
        </w:rPr>
      </w:pPr>
      <w:r w:rsidRPr="00D03106">
        <w:rPr>
          <w:rFonts w:ascii="Arial" w:hAnsi="Arial" w:cs="Arial"/>
          <w:sz w:val="24"/>
          <w:szCs w:val="24"/>
        </w:rPr>
        <w:t>Por último</w:t>
      </w:r>
      <w:r w:rsidR="0061514A" w:rsidRPr="00D03106">
        <w:rPr>
          <w:rFonts w:ascii="Arial" w:hAnsi="Arial" w:cs="Arial"/>
          <w:sz w:val="24"/>
          <w:szCs w:val="24"/>
        </w:rPr>
        <w:t>, a finales del mes de junio del 2018, la Corte Constitucional de Ecuador puso fin al caso Lago Agrio, confirmando la sentencia que condena a Chevron a pagar la suma de 9.5</w:t>
      </w:r>
      <w:r w:rsidR="00F148E5" w:rsidRPr="00D03106">
        <w:rPr>
          <w:rFonts w:ascii="Arial" w:hAnsi="Arial" w:cs="Arial"/>
          <w:sz w:val="24"/>
          <w:szCs w:val="24"/>
        </w:rPr>
        <w:t xml:space="preserve"> mil</w:t>
      </w:r>
      <w:r w:rsidR="0061514A" w:rsidRPr="00D03106">
        <w:rPr>
          <w:rFonts w:ascii="Arial" w:hAnsi="Arial" w:cs="Arial"/>
          <w:sz w:val="24"/>
          <w:szCs w:val="24"/>
        </w:rPr>
        <w:t xml:space="preserve"> millones de dólar</w:t>
      </w:r>
      <w:r w:rsidRPr="00D03106">
        <w:rPr>
          <w:rFonts w:ascii="Arial" w:hAnsi="Arial" w:cs="Arial"/>
          <w:sz w:val="24"/>
          <w:szCs w:val="24"/>
        </w:rPr>
        <w:t xml:space="preserve">es. </w:t>
      </w:r>
      <w:r w:rsidR="0061514A" w:rsidRPr="00D03106">
        <w:rPr>
          <w:rFonts w:ascii="Arial" w:hAnsi="Arial" w:cs="Arial"/>
          <w:sz w:val="24"/>
          <w:szCs w:val="24"/>
        </w:rPr>
        <w:t>La sentencia de la Corte Constitucional concluyó definitivamente todos los procesos disponibles en Ecuador. La decisión es definitiva e inapelable, lo que deja establecido que Chevron es responsable por graves daños al ambiente y a los pobladores</w:t>
      </w:r>
      <w:r w:rsidRPr="00D03106">
        <w:rPr>
          <w:rFonts w:ascii="Arial" w:hAnsi="Arial" w:cs="Arial"/>
          <w:sz w:val="24"/>
          <w:szCs w:val="24"/>
        </w:rPr>
        <w:t>, y obligada a reparar el daño ambiental, social y cultural causado por sus operaciones en la Amazonía Norte de Ecuador.</w:t>
      </w:r>
      <w:r w:rsidR="00814298" w:rsidRPr="00D03106">
        <w:rPr>
          <w:rFonts w:ascii="Arial" w:hAnsi="Arial" w:cs="Arial"/>
          <w:sz w:val="24"/>
          <w:szCs w:val="24"/>
        </w:rPr>
        <w:t xml:space="preserve"> </w:t>
      </w:r>
      <w:r w:rsidR="00F148E5" w:rsidRPr="00D03106">
        <w:rPr>
          <w:rFonts w:ascii="Arial" w:hAnsi="Arial" w:cs="Arial"/>
          <w:sz w:val="24"/>
          <w:szCs w:val="24"/>
        </w:rPr>
        <w:t xml:space="preserve">Este desastre ambiental es uno de los más importantes del mundo. Las tierras, las aguas y todo el ecosistema sufrieron graves daños, que todavía afectan la vida de la región interesada. </w:t>
      </w:r>
    </w:p>
    <w:p w14:paraId="1A8B39B9" w14:textId="60921134" w:rsidR="005E6200" w:rsidRPr="00D03106" w:rsidRDefault="00814298" w:rsidP="005F62B5">
      <w:pPr>
        <w:jc w:val="both"/>
        <w:rPr>
          <w:rFonts w:ascii="Arial" w:hAnsi="Arial" w:cs="Arial"/>
          <w:sz w:val="24"/>
          <w:szCs w:val="24"/>
        </w:rPr>
      </w:pPr>
      <w:r w:rsidRPr="00D03106">
        <w:rPr>
          <w:rFonts w:ascii="Arial" w:hAnsi="Arial" w:cs="Arial"/>
          <w:sz w:val="24"/>
          <w:szCs w:val="24"/>
        </w:rPr>
        <w:t xml:space="preserve">El 30 de agosto del mismo año, un panel de arbitraje privado, que tiene su secretaría técnica en La Haya (Holanda), emitió un laudo arbitral que rompe los esquemas y la constitucionalidad de la primacía de los </w:t>
      </w:r>
      <w:r w:rsidR="00F148E5" w:rsidRPr="00D03106">
        <w:rPr>
          <w:rFonts w:ascii="Arial" w:hAnsi="Arial" w:cs="Arial"/>
          <w:sz w:val="24"/>
          <w:szCs w:val="24"/>
        </w:rPr>
        <w:t>D</w:t>
      </w:r>
      <w:r w:rsidRPr="00D03106">
        <w:rPr>
          <w:rFonts w:ascii="Arial" w:hAnsi="Arial" w:cs="Arial"/>
          <w:sz w:val="24"/>
          <w:szCs w:val="24"/>
        </w:rPr>
        <w:t xml:space="preserve">erechos </w:t>
      </w:r>
      <w:r w:rsidR="00F148E5" w:rsidRPr="00D03106">
        <w:rPr>
          <w:rFonts w:ascii="Arial" w:hAnsi="Arial" w:cs="Arial"/>
          <w:sz w:val="24"/>
          <w:szCs w:val="24"/>
        </w:rPr>
        <w:t>H</w:t>
      </w:r>
      <w:r w:rsidRPr="00D03106">
        <w:rPr>
          <w:rFonts w:ascii="Arial" w:hAnsi="Arial" w:cs="Arial"/>
          <w:sz w:val="24"/>
          <w:szCs w:val="24"/>
        </w:rPr>
        <w:t>umanos sobre el derecho comercial y económico en el mundo. En ese laudo, los árbitros ordenan al Estado ecuatoriano que anule la sentencia del caso Lago Agrio y que implemente todos los mecanismos para que impida que los afectados puedan ejecutar la sentencia fuera del Ecuador. Finalmente, ordena que el Estado tiene que pagarles las costas judiciales a Chevron y el daño moral que se le ha causado a la petrolera con la existencia del litigio nuestro. Después de 25 años de lucha, los afectados habían logrado una victoria histórica, cuando la Corte Constitucional de Ecuador negó a Chevron el último grado posible de apelación, confirmando las sentencias de la Corte Provincial de Sucumbíos y de la Corte Nacional. Ahora, no obstante los esfuerzos y los sacrificios llevados adelante durante todo este tiempo, los afectados ven sus derechos borrados por una sentencia que viene de un continente lejano, ajeno a los hechos, y, además, en un juicio de lo cual ellos nunca fueron parte. Este hecho está en contra de toda ley expresa y de la misma constitución de Ecuador, per</w:t>
      </w:r>
      <w:r w:rsidR="00F148E5" w:rsidRPr="00D03106">
        <w:rPr>
          <w:rFonts w:ascii="Arial" w:hAnsi="Arial" w:cs="Arial"/>
          <w:sz w:val="24"/>
          <w:szCs w:val="24"/>
        </w:rPr>
        <w:t>o,</w:t>
      </w:r>
      <w:r w:rsidRPr="00D03106">
        <w:rPr>
          <w:rFonts w:ascii="Arial" w:hAnsi="Arial" w:cs="Arial"/>
          <w:sz w:val="24"/>
          <w:szCs w:val="24"/>
        </w:rPr>
        <w:t xml:space="preserve"> a</w:t>
      </w:r>
      <w:r w:rsidR="00F148E5" w:rsidRPr="00D03106">
        <w:rPr>
          <w:rFonts w:ascii="Arial" w:hAnsi="Arial" w:cs="Arial"/>
          <w:sz w:val="24"/>
          <w:szCs w:val="24"/>
        </w:rPr>
        <w:t>u</w:t>
      </w:r>
      <w:r w:rsidRPr="00D03106">
        <w:rPr>
          <w:rFonts w:ascii="Arial" w:hAnsi="Arial" w:cs="Arial"/>
          <w:sz w:val="24"/>
          <w:szCs w:val="24"/>
        </w:rPr>
        <w:t>n así, el Estado ecuatoriano está actuando en contra de sus ciudadanos, y está ahora intentando cumplir con el laudo arbitral y anular nuestra sentencia.</w:t>
      </w:r>
    </w:p>
    <w:p w14:paraId="24989654" w14:textId="0CCBDC13" w:rsidR="005E6200" w:rsidRPr="00D03106" w:rsidRDefault="005E6200" w:rsidP="005F62B5">
      <w:pPr>
        <w:jc w:val="both"/>
        <w:rPr>
          <w:rFonts w:ascii="Arial" w:hAnsi="Arial" w:cs="Arial"/>
          <w:sz w:val="24"/>
          <w:szCs w:val="24"/>
        </w:rPr>
      </w:pPr>
    </w:p>
    <w:p w14:paraId="208E5987" w14:textId="5CFFE4CA" w:rsidR="005E6200" w:rsidRPr="00D03106" w:rsidRDefault="005E6200" w:rsidP="005F62B5">
      <w:pPr>
        <w:jc w:val="both"/>
        <w:rPr>
          <w:rFonts w:ascii="Arial" w:hAnsi="Arial" w:cs="Arial"/>
          <w:b/>
          <w:bCs/>
          <w:sz w:val="24"/>
          <w:szCs w:val="24"/>
        </w:rPr>
      </w:pPr>
      <w:r w:rsidRPr="00D03106">
        <w:rPr>
          <w:rFonts w:ascii="Arial" w:hAnsi="Arial" w:cs="Arial"/>
          <w:b/>
          <w:bCs/>
          <w:sz w:val="24"/>
          <w:szCs w:val="24"/>
        </w:rPr>
        <w:t>Los mecheros</w:t>
      </w:r>
    </w:p>
    <w:p w14:paraId="137020B1" w14:textId="5C2F85D2" w:rsidR="00AF1AAC" w:rsidRPr="00D03106" w:rsidRDefault="00AF1AAC" w:rsidP="005F62B5">
      <w:pPr>
        <w:jc w:val="both"/>
        <w:rPr>
          <w:rFonts w:ascii="Arial" w:eastAsia="Times New Roman" w:hAnsi="Arial" w:cs="Arial"/>
          <w:sz w:val="24"/>
          <w:szCs w:val="24"/>
          <w:lang w:eastAsia="es-ES_tradnl"/>
        </w:rPr>
      </w:pPr>
      <w:r w:rsidRPr="00D03106">
        <w:rPr>
          <w:rFonts w:ascii="Arial" w:hAnsi="Arial" w:cs="Arial"/>
          <w:bCs/>
          <w:sz w:val="24"/>
          <w:szCs w:val="24"/>
        </w:rPr>
        <w:t xml:space="preserve">En lo que son las provincias de Orellana y Sucumbíos, de forma permanente arden más de 430 mecheros. Esta actividad se la realiza desde el inicio de la actividad petrolera, en 1967 en la Amazonía Norte de Ecuador. Según varios estudios, hasta éste día se han quemado más de 30.000 millones de pie cúbicos de gas. Por ejemplo, solo en el año 2018, se </w:t>
      </w:r>
      <w:r w:rsidRPr="00D03106">
        <w:rPr>
          <w:rFonts w:ascii="Arial" w:hAnsi="Arial" w:cs="Arial"/>
          <w:bCs/>
          <w:sz w:val="24"/>
          <w:szCs w:val="24"/>
        </w:rPr>
        <w:lastRenderedPageBreak/>
        <w:t>extrajeron en promedio 517.000 barriles de petróleo, (Pacheco 2019), cabe indicar, que por cada barril</w:t>
      </w:r>
      <w:r w:rsidRPr="00D03106">
        <w:rPr>
          <w:rFonts w:ascii="Arial" w:eastAsia="Times New Roman" w:hAnsi="Arial" w:cs="Arial"/>
          <w:sz w:val="24"/>
          <w:szCs w:val="24"/>
          <w:lang w:eastAsia="es-ES_tradnl"/>
        </w:rPr>
        <w:t xml:space="preserve"> de petróleo se generan en promedio </w:t>
      </w:r>
      <w:r w:rsidRPr="00D03106">
        <w:rPr>
          <w:rFonts w:ascii="Arial" w:eastAsia="Times New Roman" w:hAnsi="Arial" w:cs="Arial"/>
          <w:sz w:val="24"/>
          <w:szCs w:val="24"/>
          <w:lang w:eastAsia="es-ES_tradnl"/>
        </w:rPr>
        <w:t>5m3 de gas</w:t>
      </w:r>
      <w:r w:rsidRPr="00D03106">
        <w:rPr>
          <w:rFonts w:ascii="Arial" w:eastAsia="Times New Roman" w:hAnsi="Arial" w:cs="Arial"/>
          <w:sz w:val="24"/>
          <w:szCs w:val="24"/>
          <w:lang w:eastAsia="es-ES_tradnl"/>
        </w:rPr>
        <w:t>, es decir, gas asociado. S</w:t>
      </w:r>
      <w:r w:rsidRPr="00D03106">
        <w:rPr>
          <w:rFonts w:ascii="Arial" w:eastAsia="Times New Roman" w:hAnsi="Arial" w:cs="Arial"/>
          <w:sz w:val="24"/>
          <w:szCs w:val="24"/>
          <w:lang w:eastAsia="es-ES_tradnl"/>
        </w:rPr>
        <w:t xml:space="preserve">e puede calcular que en el 2018, se quemaron 2,58 millones de m3 cada día. Teniendo en cuenta que 1m3 equivale a 35,3 pies cúbicos (p3), esto significa que cada día se queman 91,25 millones de p3, lo que en el año equivale a 33.306,25 millones </w:t>
      </w:r>
      <w:r w:rsidRPr="00D03106">
        <w:rPr>
          <w:rFonts w:ascii="Arial" w:hAnsi="Arial" w:cs="Arial"/>
          <w:noProof/>
          <w:sz w:val="24"/>
          <w:szCs w:val="24"/>
          <w:lang w:val="es-EC" w:eastAsia="es-EC"/>
        </w:rPr>
        <w:drawing>
          <wp:anchor distT="0" distB="0" distL="114300" distR="114300" simplePos="0" relativeHeight="251659264" behindDoc="0" locked="0" layoutInCell="1" allowOverlap="1" wp14:anchorId="7FFD552C" wp14:editId="20513317">
            <wp:simplePos x="0" y="0"/>
            <wp:positionH relativeFrom="margin">
              <wp:align>left</wp:align>
            </wp:positionH>
            <wp:positionV relativeFrom="margin">
              <wp:posOffset>592455</wp:posOffset>
            </wp:positionV>
            <wp:extent cx="2673350" cy="200469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a:off x="0" y="0"/>
                      <a:ext cx="2683268" cy="2012451"/>
                    </a:xfrm>
                    <a:prstGeom prst="rect">
                      <a:avLst/>
                    </a:prstGeom>
                  </pic:spPr>
                </pic:pic>
              </a:graphicData>
            </a:graphic>
            <wp14:sizeRelH relativeFrom="margin">
              <wp14:pctWidth>0</wp14:pctWidth>
            </wp14:sizeRelH>
            <wp14:sizeRelV relativeFrom="margin">
              <wp14:pctHeight>0</wp14:pctHeight>
            </wp14:sizeRelV>
          </wp:anchor>
        </w:drawing>
      </w:r>
      <w:r w:rsidRPr="00D03106">
        <w:rPr>
          <w:rFonts w:ascii="Arial" w:eastAsia="Times New Roman" w:hAnsi="Arial" w:cs="Arial"/>
          <w:sz w:val="24"/>
          <w:szCs w:val="24"/>
          <w:lang w:eastAsia="es-ES_tradnl"/>
        </w:rPr>
        <w:t xml:space="preserve">de pies cúbicos. El promedio en los últimos 25 años equivaldría a 832.656,25 millones de p3. </w:t>
      </w:r>
    </w:p>
    <w:p w14:paraId="7A6E7693" w14:textId="15496585" w:rsidR="00AF1AAC" w:rsidRPr="00D03106" w:rsidRDefault="00AF1AAC" w:rsidP="00AF1AAC">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L</w:t>
      </w:r>
      <w:r w:rsidRPr="00D03106">
        <w:rPr>
          <w:rFonts w:ascii="Arial" w:eastAsia="Times New Roman" w:hAnsi="Arial" w:cs="Arial"/>
          <w:sz w:val="24"/>
          <w:szCs w:val="24"/>
          <w:lang w:eastAsia="es-ES_tradnl"/>
        </w:rPr>
        <w:t xml:space="preserve">os espacios donde se quema el gas, denominados mecheros, son de diferentes tipos. Algunos, con carácter periódico son tubos de casi 50cm de diámetro, a ras de tierra, donde en pocas horas se quema el gas almacenado durante todo el día. No son permanentes. Otros están elevados unos 1,5m con un diámetro de unos 10-15cm donde el gas se quema a presiones variables. Otros, más elevados entre 10 a 15m, reciben el nombre de “ecológicos” y tienen el carácter de permanentes. Pese a su nombre, sin embargo, son sumamente tóxicos. </w:t>
      </w:r>
    </w:p>
    <w:p w14:paraId="5711768E" w14:textId="6D3C77B3" w:rsidR="00AF1AAC" w:rsidRPr="00D03106" w:rsidRDefault="00AF1AAC" w:rsidP="00AF1AAC">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En estos mecheros las empresas quieren quemar la materia orgánica de desecho, pero lo hacen de forma incontrolada, y a alturas de entre 15 a 50 metros. Esta elevación es solo para dispersar los productos fuera del lugar de trabajo, por eso se suelen poner junto a las vallas que limitan las plataformas petroleras. Algunos estudios consultados por Argo (2001) en refinerías encontraron que los trabajadores tenían menos efectos crónicos de salud que la población que vivía en sus alrededores. Hay que señalar que lejos de quemar los productos de desecho en los mecheros se crean cerca de 100 a 150 sustancias químicas con el quemado de petróleo/gas.</w:t>
      </w:r>
    </w:p>
    <w:p w14:paraId="53FE1B13" w14:textId="43C9047D" w:rsidR="00AF1AAC" w:rsidRPr="00D03106" w:rsidRDefault="00AF1AAC" w:rsidP="00AF1AAC">
      <w:pPr>
        <w:jc w:val="both"/>
        <w:rPr>
          <w:rFonts w:ascii="Arial" w:eastAsia="Times New Roman" w:hAnsi="Arial" w:cs="Arial"/>
          <w:sz w:val="24"/>
          <w:szCs w:val="24"/>
          <w:lang w:eastAsia="es-ES_tradnl"/>
        </w:rPr>
      </w:pPr>
      <w:r w:rsidRPr="00D03106">
        <w:rPr>
          <w:rFonts w:ascii="Arial" w:hAnsi="Arial" w:cs="Arial"/>
          <w:noProof/>
          <w:sz w:val="24"/>
          <w:szCs w:val="24"/>
          <w:lang w:val="es-EC" w:eastAsia="es-EC"/>
        </w:rPr>
        <w:drawing>
          <wp:anchor distT="0" distB="0" distL="114300" distR="114300" simplePos="0" relativeHeight="251661312" behindDoc="0" locked="0" layoutInCell="1" allowOverlap="1" wp14:anchorId="4973C34E" wp14:editId="33F2C321">
            <wp:simplePos x="0" y="0"/>
            <wp:positionH relativeFrom="margin">
              <wp:posOffset>1711960</wp:posOffset>
            </wp:positionH>
            <wp:positionV relativeFrom="margin">
              <wp:posOffset>4250055</wp:posOffset>
            </wp:positionV>
            <wp:extent cx="1793875" cy="240665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a:off x="0" y="0"/>
                      <a:ext cx="1793875" cy="2406650"/>
                    </a:xfrm>
                    <a:prstGeom prst="rect">
                      <a:avLst/>
                    </a:prstGeom>
                  </pic:spPr>
                </pic:pic>
              </a:graphicData>
            </a:graphic>
            <wp14:sizeRelH relativeFrom="margin">
              <wp14:pctWidth>0</wp14:pctWidth>
            </wp14:sizeRelH>
            <wp14:sizeRelV relativeFrom="margin">
              <wp14:pctHeight>0</wp14:pctHeight>
            </wp14:sizeRelV>
          </wp:anchor>
        </w:drawing>
      </w:r>
      <w:r w:rsidRPr="00D03106">
        <w:rPr>
          <w:rFonts w:ascii="Arial" w:hAnsi="Arial" w:cs="Arial"/>
          <w:noProof/>
          <w:sz w:val="24"/>
          <w:szCs w:val="24"/>
          <w:lang w:val="es-EC" w:eastAsia="es-EC"/>
        </w:rPr>
        <w:drawing>
          <wp:anchor distT="0" distB="0" distL="114300" distR="114300" simplePos="0" relativeHeight="251660288" behindDoc="0" locked="0" layoutInCell="1" allowOverlap="1" wp14:anchorId="39AD91FE" wp14:editId="11730088">
            <wp:simplePos x="0" y="0"/>
            <wp:positionH relativeFrom="margin">
              <wp:posOffset>-27940</wp:posOffset>
            </wp:positionH>
            <wp:positionV relativeFrom="margin">
              <wp:posOffset>4243705</wp:posOffset>
            </wp:positionV>
            <wp:extent cx="1746250" cy="2387600"/>
            <wp:effectExtent l="0" t="0" r="635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1746250" cy="2387600"/>
                    </a:xfrm>
                    <a:prstGeom prst="rect">
                      <a:avLst/>
                    </a:prstGeom>
                  </pic:spPr>
                </pic:pic>
              </a:graphicData>
            </a:graphic>
            <wp14:sizeRelH relativeFrom="margin">
              <wp14:pctWidth>0</wp14:pctWidth>
            </wp14:sizeRelH>
            <wp14:sizeRelV relativeFrom="margin">
              <wp14:pctHeight>0</wp14:pctHeight>
            </wp14:sizeRelV>
          </wp:anchor>
        </w:drawing>
      </w:r>
      <w:r w:rsidRPr="00D03106">
        <w:rPr>
          <w:rFonts w:ascii="Arial" w:eastAsia="Times New Roman" w:hAnsi="Arial" w:cs="Arial"/>
          <w:sz w:val="24"/>
          <w:szCs w:val="24"/>
          <w:lang w:eastAsia="es-ES_tradnl"/>
        </w:rPr>
        <w:t xml:space="preserve">Un detalle a destacar del trabajo de Argo (2001) es que refiere que todos los hidrocarburos liberados por el mechero se encontraron en concentraciones inferiores al umbral del olor, pero éstas fueron muy superiores a su umbral de toxicidad. Los límites más bajos, considerados como potencialmente más seguros, son varios miles de veces menores a los del olor. </w:t>
      </w:r>
    </w:p>
    <w:p w14:paraId="56617A8C" w14:textId="77777777" w:rsidR="00AF1AAC" w:rsidRPr="00D03106" w:rsidRDefault="00AF1AAC" w:rsidP="00AF1AAC">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Foto 1: Mecheros en el campo Libertador (Estación Secoya). Clínica Ambiental</w:t>
      </w:r>
    </w:p>
    <w:p w14:paraId="4D86FB8D" w14:textId="12945081" w:rsidR="00AF1AAC" w:rsidRPr="00D03106" w:rsidRDefault="00AF1AAC" w:rsidP="00AF1AAC">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Fotos 2 y 3 (abajo): mecheros en Ocano y Sacha. Clínica Ambiental-UDAPT</w:t>
      </w:r>
      <w:r w:rsidRPr="00D03106">
        <w:rPr>
          <w:rFonts w:ascii="Arial" w:eastAsia="Times New Roman" w:hAnsi="Arial" w:cs="Arial"/>
          <w:sz w:val="24"/>
          <w:szCs w:val="24"/>
          <w:lang w:eastAsia="es-ES_tradnl"/>
        </w:rPr>
        <w:t>.</w:t>
      </w:r>
    </w:p>
    <w:p w14:paraId="4E6D20EB" w14:textId="7373159F" w:rsidR="00AF1AAC" w:rsidRPr="00D03106" w:rsidRDefault="00AF1AAC" w:rsidP="00AF1AAC">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Argo (2001) sostiene que estos mecheros se podrían elevar hasta a 50m de altura, pero que esa medida no elimina el riesgo que producen, sobre todo después de comprobar en un estudio en Alberta (Canadá) que el benceno de los mecheros se lo podía encontrar a más de 5 km de los lugares de combustión.</w:t>
      </w:r>
    </w:p>
    <w:p w14:paraId="25F9ECC7" w14:textId="77777777" w:rsidR="00AF1AAC" w:rsidRPr="00D03106" w:rsidRDefault="00AF1AAC" w:rsidP="00AF1AAC">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lastRenderedPageBreak/>
        <w:t xml:space="preserve">Strosher (1996) menciona que uno de los efectos del viento sobre los mecheros es que reduce la eficiencia de la combustión, lo que incrementa la presencia de hidrocarburos en el hollín. Con viento un mechero nunca operará en más del 95%, esto solo ocurrirá con vientos inferiores a 2 kp/h, lo que solo ocurre en menos del 5% del tiempo. La eficiencia de combustión suele estar en promedio entre el 65% y 85%, pues los factores que reducen la eficiencia de la combustión son la velocidad del viento y el calor del combustible. Cuanto menor sea la eficacia de la combustión, se liberará mayor combustible, y en los casos de yacimientos con fuerte presencia de azufre, se generará mayor ácido sulfhídrico en cantidades perceptibles al olor. </w:t>
      </w:r>
    </w:p>
    <w:p w14:paraId="705BDDD3" w14:textId="77777777" w:rsidR="00AF1AAC" w:rsidRPr="00D03106" w:rsidRDefault="00AF1AAC" w:rsidP="00AF1AAC">
      <w:pPr>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 xml:space="preserve">Un primer listado de agrupación de gases y sus efectos serían: </w:t>
      </w:r>
    </w:p>
    <w:p w14:paraId="0F59EBC1" w14:textId="0C9975D8" w:rsidR="00AF1AAC" w:rsidRPr="00D03106" w:rsidRDefault="00AF1AAC" w:rsidP="00AF1AAC">
      <w:pPr>
        <w:rPr>
          <w:rFonts w:ascii="Arial" w:eastAsia="Times New Roman" w:hAnsi="Arial" w:cs="Arial"/>
          <w:sz w:val="24"/>
          <w:szCs w:val="24"/>
          <w:lang w:eastAsia="es-ES_tradnl"/>
        </w:rPr>
      </w:pPr>
    </w:p>
    <w:p w14:paraId="07B61320" w14:textId="77777777" w:rsidR="00AF1AAC" w:rsidRPr="00D03106" w:rsidRDefault="00AF1AAC" w:rsidP="00AF1AAC">
      <w:pPr>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Tabla 1: Composición de gases que se queman en los mecheros.</w:t>
      </w:r>
    </w:p>
    <w:p w14:paraId="6F085517" w14:textId="0701D7B3" w:rsidR="00AF1AAC" w:rsidRPr="00D03106" w:rsidRDefault="00AF1AAC" w:rsidP="00AF1AAC">
      <w:pPr>
        <w:rPr>
          <w:rFonts w:ascii="Arial" w:eastAsia="Times New Roman" w:hAnsi="Arial" w:cs="Arial"/>
          <w:sz w:val="24"/>
          <w:szCs w:val="24"/>
          <w:lang w:eastAsia="es-ES_tradnl"/>
        </w:rPr>
      </w:pPr>
      <w:r w:rsidRPr="00D03106">
        <w:rPr>
          <w:rFonts w:ascii="Arial" w:eastAsia="Times New Roman" w:hAnsi="Arial" w:cs="Arial"/>
          <w:noProof/>
          <w:sz w:val="24"/>
          <w:szCs w:val="24"/>
          <w:lang w:val="es-EC" w:eastAsia="es-EC"/>
        </w:rPr>
        <w:drawing>
          <wp:anchor distT="0" distB="0" distL="114300" distR="114300" simplePos="0" relativeHeight="251663360" behindDoc="0" locked="0" layoutInCell="1" allowOverlap="1" wp14:anchorId="5FB5E5DA" wp14:editId="07C4C89E">
            <wp:simplePos x="0" y="0"/>
            <wp:positionH relativeFrom="margin">
              <wp:align>left</wp:align>
            </wp:positionH>
            <wp:positionV relativeFrom="margin">
              <wp:posOffset>281305</wp:posOffset>
            </wp:positionV>
            <wp:extent cx="5575300" cy="2660650"/>
            <wp:effectExtent l="0" t="0" r="635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5575300" cy="2660650"/>
                    </a:xfrm>
                    <a:prstGeom prst="rect">
                      <a:avLst/>
                    </a:prstGeom>
                  </pic:spPr>
                </pic:pic>
              </a:graphicData>
            </a:graphic>
            <wp14:sizeRelH relativeFrom="margin">
              <wp14:pctWidth>0</wp14:pctWidth>
            </wp14:sizeRelH>
            <wp14:sizeRelV relativeFrom="margin">
              <wp14:pctHeight>0</wp14:pctHeight>
            </wp14:sizeRelV>
          </wp:anchor>
        </w:drawing>
      </w:r>
    </w:p>
    <w:p w14:paraId="2DB5427A" w14:textId="6ED1F06F" w:rsidR="00AF1AAC" w:rsidRPr="00D03106" w:rsidRDefault="00AF1AAC" w:rsidP="00AF1AAC">
      <w:pPr>
        <w:rPr>
          <w:rFonts w:ascii="Arial" w:eastAsia="Times New Roman" w:hAnsi="Arial" w:cs="Arial"/>
          <w:sz w:val="24"/>
          <w:szCs w:val="24"/>
          <w:lang w:eastAsia="es-ES_tradnl"/>
        </w:rPr>
      </w:pPr>
    </w:p>
    <w:p w14:paraId="1DC4042F" w14:textId="77777777" w:rsidR="00AF1AAC" w:rsidRPr="00D03106" w:rsidRDefault="00AF1AAC" w:rsidP="00AF1AAC">
      <w:pPr>
        <w:rPr>
          <w:rFonts w:ascii="Arial" w:eastAsia="Times New Roman" w:hAnsi="Arial" w:cs="Arial"/>
          <w:sz w:val="24"/>
          <w:szCs w:val="24"/>
          <w:lang w:eastAsia="es-ES_tradnl"/>
        </w:rPr>
      </w:pPr>
    </w:p>
    <w:p w14:paraId="03E14BF4" w14:textId="77777777" w:rsidR="00AF1AAC" w:rsidRPr="00D03106" w:rsidRDefault="00AF1AAC" w:rsidP="00AF1AAC">
      <w:pPr>
        <w:rPr>
          <w:rFonts w:ascii="Arial" w:eastAsia="Times New Roman" w:hAnsi="Arial" w:cs="Arial"/>
          <w:sz w:val="24"/>
          <w:szCs w:val="24"/>
          <w:lang w:eastAsia="es-ES_tradnl"/>
        </w:rPr>
      </w:pPr>
    </w:p>
    <w:p w14:paraId="752B910D" w14:textId="77777777" w:rsidR="00AF1AAC" w:rsidRPr="00D03106" w:rsidRDefault="00AF1AAC" w:rsidP="00AF1AAC">
      <w:pPr>
        <w:rPr>
          <w:rFonts w:ascii="Arial" w:eastAsia="Times New Roman" w:hAnsi="Arial" w:cs="Arial"/>
          <w:sz w:val="24"/>
          <w:szCs w:val="24"/>
          <w:lang w:eastAsia="es-ES_tradnl"/>
        </w:rPr>
      </w:pPr>
    </w:p>
    <w:p w14:paraId="23688F85" w14:textId="77777777" w:rsidR="00AF1AAC" w:rsidRPr="00D03106" w:rsidRDefault="00AF1AAC" w:rsidP="00AF1AAC">
      <w:pPr>
        <w:rPr>
          <w:rFonts w:ascii="Arial" w:eastAsia="Times New Roman" w:hAnsi="Arial" w:cs="Arial"/>
          <w:sz w:val="24"/>
          <w:szCs w:val="24"/>
          <w:lang w:eastAsia="es-ES_tradnl"/>
        </w:rPr>
      </w:pPr>
    </w:p>
    <w:p w14:paraId="7D569517" w14:textId="77777777" w:rsidR="00AF1AAC" w:rsidRPr="00D03106" w:rsidRDefault="00AF1AAC" w:rsidP="00AF1AAC">
      <w:pPr>
        <w:rPr>
          <w:rFonts w:ascii="Arial" w:eastAsia="Times New Roman" w:hAnsi="Arial" w:cs="Arial"/>
          <w:sz w:val="24"/>
          <w:szCs w:val="24"/>
          <w:lang w:eastAsia="es-ES_tradnl"/>
        </w:rPr>
      </w:pPr>
    </w:p>
    <w:p w14:paraId="7DA280E6" w14:textId="77777777" w:rsidR="00AF1AAC" w:rsidRPr="00D03106" w:rsidRDefault="00AF1AAC" w:rsidP="00AF1AAC">
      <w:pPr>
        <w:rPr>
          <w:rFonts w:ascii="Arial" w:eastAsia="Times New Roman" w:hAnsi="Arial" w:cs="Arial"/>
          <w:sz w:val="24"/>
          <w:szCs w:val="24"/>
          <w:lang w:eastAsia="es-ES_tradnl"/>
        </w:rPr>
      </w:pPr>
    </w:p>
    <w:p w14:paraId="5E37E6F9" w14:textId="77777777" w:rsidR="00AF1AAC" w:rsidRPr="00D03106" w:rsidRDefault="00AF1AAC" w:rsidP="00AF1AAC">
      <w:pPr>
        <w:rPr>
          <w:rFonts w:ascii="Arial" w:eastAsia="Times New Roman" w:hAnsi="Arial" w:cs="Arial"/>
          <w:sz w:val="24"/>
          <w:szCs w:val="24"/>
          <w:lang w:eastAsia="es-ES_tradnl"/>
        </w:rPr>
      </w:pPr>
    </w:p>
    <w:p w14:paraId="47EC6828" w14:textId="77777777" w:rsidR="00AF1AAC" w:rsidRPr="00D03106" w:rsidRDefault="00AF1AAC" w:rsidP="00AF1AAC">
      <w:pPr>
        <w:rPr>
          <w:rFonts w:ascii="Arial" w:eastAsia="Times New Roman" w:hAnsi="Arial" w:cs="Arial"/>
          <w:sz w:val="24"/>
          <w:szCs w:val="24"/>
          <w:lang w:eastAsia="es-ES_tradnl"/>
        </w:rPr>
      </w:pPr>
    </w:p>
    <w:p w14:paraId="47D4868E" w14:textId="75E57585" w:rsidR="00AF1AAC" w:rsidRPr="00D03106" w:rsidRDefault="00AF1AAC" w:rsidP="00AF1AAC">
      <w:pPr>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Fuente: Argo 2001 y Clapp 2006</w:t>
      </w:r>
      <w:r w:rsidRPr="00D03106">
        <w:rPr>
          <w:rFonts w:ascii="Arial" w:eastAsia="Times New Roman" w:hAnsi="Arial" w:cs="Arial"/>
          <w:sz w:val="24"/>
          <w:szCs w:val="24"/>
          <w:lang w:eastAsia="es-ES_tradnl"/>
        </w:rPr>
        <w:t>.</w:t>
      </w:r>
    </w:p>
    <w:p w14:paraId="3F3ADEDC" w14:textId="77777777" w:rsidR="00AF1AAC" w:rsidRPr="00D03106" w:rsidRDefault="00AF1AAC" w:rsidP="00AF1AAC">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 xml:space="preserve">Este SO2, en ambientes húmedos como la Amazonía puede reaccionar con el H2O y formar SO4H2 (Ácido Sulfúrico) en forma de aerosoles también que ocasionará una lluvia ácida </w:t>
      </w:r>
      <w:r w:rsidRPr="00D03106">
        <w:rPr>
          <w:rFonts w:ascii="Arial" w:eastAsia="Times New Roman" w:hAnsi="Arial" w:cs="Arial"/>
          <w:sz w:val="24"/>
          <w:szCs w:val="24"/>
          <w:lang w:eastAsia="es-ES_tradnl"/>
        </w:rPr>
        <w:lastRenderedPageBreak/>
        <w:t xml:space="preserve">propia de los lugares con mecheros, pero también SO3H2 (Ácido sulfuroso), el cual mantiene su carácter irritante y corrosivo del anterior, pero con la particularidad de que ha sido utilizado durante muchos años en los EEUU como </w:t>
      </w:r>
      <w:r w:rsidRPr="00D03106">
        <w:rPr>
          <w:rFonts w:ascii="Arial" w:eastAsia="Times New Roman" w:hAnsi="Arial" w:cs="Arial"/>
          <w:b/>
          <w:sz w:val="24"/>
          <w:szCs w:val="24"/>
          <w:lang w:eastAsia="es-ES_tradnl"/>
        </w:rPr>
        <w:t>raticida</w:t>
      </w:r>
      <w:r w:rsidRPr="00D03106">
        <w:rPr>
          <w:rFonts w:ascii="Arial" w:eastAsia="Times New Roman" w:hAnsi="Arial" w:cs="Arial"/>
          <w:sz w:val="24"/>
          <w:szCs w:val="24"/>
          <w:lang w:eastAsia="es-ES_tradnl"/>
        </w:rPr>
        <w:t xml:space="preserve"> hasta que fue sustituido por el ácido cianhídrico (Ecured 2019 y Ácidos 2019). Es decir, cada uno de los 384 mecheros en la Amazonía ecuatoriana estaría emitiendo diferentes cantidades diarias de raticidas al ambiente.</w:t>
      </w:r>
    </w:p>
    <w:p w14:paraId="2A1B7E67" w14:textId="005C9CAA" w:rsidR="00AF1AAC" w:rsidRPr="00D03106" w:rsidRDefault="00AF1AAC" w:rsidP="00AF1AAC">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Otro tipo de sustancias que se liberan en los mecheros son los Hidrocarburos Aromáticos Policíclicos (HAP) y, entre ellos, los denominados Compuestos Orgánicos Volátiles (COV), sustancias también ellas con determinados efectos contra la salud</w:t>
      </w:r>
      <w:r w:rsidRPr="00D03106">
        <w:rPr>
          <w:rFonts w:ascii="Arial" w:eastAsia="Times New Roman" w:hAnsi="Arial" w:cs="Arial"/>
          <w:sz w:val="24"/>
          <w:szCs w:val="24"/>
          <w:lang w:eastAsia="es-ES_tradnl"/>
        </w:rPr>
        <w:t>.</w:t>
      </w:r>
    </w:p>
    <w:p w14:paraId="0436CF82" w14:textId="585E587C" w:rsidR="00AF1AAC" w:rsidRPr="00D03106" w:rsidRDefault="00AF1AAC" w:rsidP="00AF1AAC">
      <w:pPr>
        <w:rPr>
          <w:rFonts w:ascii="Arial" w:eastAsia="Times New Roman" w:hAnsi="Arial" w:cs="Arial"/>
          <w:sz w:val="24"/>
          <w:szCs w:val="24"/>
          <w:lang w:eastAsia="es-ES_tradnl"/>
        </w:rPr>
      </w:pPr>
      <w:r w:rsidRPr="00D03106">
        <w:rPr>
          <w:rFonts w:ascii="Arial" w:eastAsia="Times New Roman" w:hAnsi="Arial" w:cs="Arial"/>
          <w:noProof/>
          <w:sz w:val="24"/>
          <w:szCs w:val="24"/>
          <w:lang w:val="es-EC" w:eastAsia="es-EC"/>
        </w:rPr>
        <w:drawing>
          <wp:anchor distT="0" distB="0" distL="114300" distR="114300" simplePos="0" relativeHeight="251665408" behindDoc="0" locked="0" layoutInCell="1" allowOverlap="1" wp14:anchorId="069C2936" wp14:editId="6A2BA73D">
            <wp:simplePos x="0" y="0"/>
            <wp:positionH relativeFrom="margin">
              <wp:posOffset>3810</wp:posOffset>
            </wp:positionH>
            <wp:positionV relativeFrom="margin">
              <wp:posOffset>5278755</wp:posOffset>
            </wp:positionV>
            <wp:extent cx="5543550" cy="28555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5543550" cy="2855595"/>
                    </a:xfrm>
                    <a:prstGeom prst="rect">
                      <a:avLst/>
                    </a:prstGeom>
                  </pic:spPr>
                </pic:pic>
              </a:graphicData>
            </a:graphic>
            <wp14:sizeRelH relativeFrom="margin">
              <wp14:pctWidth>0</wp14:pctWidth>
            </wp14:sizeRelH>
          </wp:anchor>
        </w:drawing>
      </w:r>
      <w:r w:rsidRPr="00D03106">
        <w:rPr>
          <w:rFonts w:ascii="Arial" w:eastAsia="Times New Roman" w:hAnsi="Arial" w:cs="Arial"/>
          <w:sz w:val="24"/>
          <w:szCs w:val="24"/>
          <w:lang w:eastAsia="es-ES_tradnl"/>
        </w:rPr>
        <w:t>Tabla 2: Composición de hidrocarburos que se queman en los mecheros</w:t>
      </w:r>
    </w:p>
    <w:p w14:paraId="45C35590" w14:textId="13A26737" w:rsidR="00AF1AAC" w:rsidRPr="00D03106" w:rsidRDefault="00AF1AAC" w:rsidP="00AF1AAC">
      <w:pPr>
        <w:rPr>
          <w:rFonts w:ascii="Arial" w:eastAsia="Times New Roman" w:hAnsi="Arial" w:cs="Arial"/>
          <w:sz w:val="24"/>
          <w:szCs w:val="24"/>
          <w:lang w:eastAsia="es-ES_tradnl"/>
        </w:rPr>
      </w:pPr>
    </w:p>
    <w:p w14:paraId="71B65D03" w14:textId="77777777" w:rsidR="00AF1AAC" w:rsidRPr="00D03106" w:rsidRDefault="00AF1AAC" w:rsidP="00AF1AAC">
      <w:pPr>
        <w:rPr>
          <w:rFonts w:ascii="Arial" w:eastAsia="Times New Roman" w:hAnsi="Arial" w:cs="Arial"/>
          <w:sz w:val="24"/>
          <w:szCs w:val="24"/>
          <w:lang w:eastAsia="es-ES_tradnl"/>
        </w:rPr>
      </w:pPr>
    </w:p>
    <w:p w14:paraId="7C1B24E9" w14:textId="77777777" w:rsidR="00AF1AAC" w:rsidRPr="00D03106" w:rsidRDefault="00AF1AAC" w:rsidP="00AF1AAC">
      <w:pPr>
        <w:rPr>
          <w:rFonts w:ascii="Arial" w:eastAsia="Times New Roman" w:hAnsi="Arial" w:cs="Arial"/>
          <w:sz w:val="24"/>
          <w:szCs w:val="24"/>
          <w:lang w:eastAsia="es-ES_tradnl"/>
        </w:rPr>
      </w:pPr>
    </w:p>
    <w:p w14:paraId="38640358" w14:textId="77777777" w:rsidR="00AF1AAC" w:rsidRPr="00D03106" w:rsidRDefault="00AF1AAC" w:rsidP="00AF1AAC">
      <w:pPr>
        <w:rPr>
          <w:rFonts w:ascii="Arial" w:eastAsia="Times New Roman" w:hAnsi="Arial" w:cs="Arial"/>
          <w:sz w:val="24"/>
          <w:szCs w:val="24"/>
          <w:lang w:eastAsia="es-ES_tradnl"/>
        </w:rPr>
      </w:pPr>
    </w:p>
    <w:p w14:paraId="6FE114D1" w14:textId="77777777" w:rsidR="00AF1AAC" w:rsidRPr="00D03106" w:rsidRDefault="00AF1AAC" w:rsidP="00AF1AAC">
      <w:pPr>
        <w:rPr>
          <w:rFonts w:ascii="Arial" w:eastAsia="Times New Roman" w:hAnsi="Arial" w:cs="Arial"/>
          <w:sz w:val="24"/>
          <w:szCs w:val="24"/>
          <w:lang w:eastAsia="es-ES_tradnl"/>
        </w:rPr>
      </w:pPr>
    </w:p>
    <w:p w14:paraId="28E88B91" w14:textId="77777777" w:rsidR="00AF1AAC" w:rsidRPr="00D03106" w:rsidRDefault="00AF1AAC" w:rsidP="00AF1AAC">
      <w:pPr>
        <w:rPr>
          <w:rFonts w:ascii="Arial" w:eastAsia="Times New Roman" w:hAnsi="Arial" w:cs="Arial"/>
          <w:sz w:val="24"/>
          <w:szCs w:val="24"/>
          <w:lang w:eastAsia="es-ES_tradnl"/>
        </w:rPr>
      </w:pPr>
    </w:p>
    <w:p w14:paraId="7C3EF40B" w14:textId="77777777" w:rsidR="00AF1AAC" w:rsidRPr="00D03106" w:rsidRDefault="00AF1AAC" w:rsidP="00AF1AAC">
      <w:pPr>
        <w:rPr>
          <w:rFonts w:ascii="Arial" w:eastAsia="Times New Roman" w:hAnsi="Arial" w:cs="Arial"/>
          <w:sz w:val="24"/>
          <w:szCs w:val="24"/>
          <w:lang w:eastAsia="es-ES_tradnl"/>
        </w:rPr>
      </w:pPr>
    </w:p>
    <w:p w14:paraId="162536F2" w14:textId="77777777" w:rsidR="00AF1AAC" w:rsidRPr="00D03106" w:rsidRDefault="00AF1AAC" w:rsidP="00AF1AAC">
      <w:pPr>
        <w:rPr>
          <w:rFonts w:ascii="Arial" w:eastAsia="Times New Roman" w:hAnsi="Arial" w:cs="Arial"/>
          <w:sz w:val="24"/>
          <w:szCs w:val="24"/>
          <w:lang w:eastAsia="es-ES_tradnl"/>
        </w:rPr>
      </w:pPr>
    </w:p>
    <w:p w14:paraId="2CB99996" w14:textId="77777777" w:rsidR="00AF1AAC" w:rsidRPr="00D03106" w:rsidRDefault="00AF1AAC" w:rsidP="00AF1AAC">
      <w:pPr>
        <w:rPr>
          <w:rFonts w:ascii="Arial" w:eastAsia="Times New Roman" w:hAnsi="Arial" w:cs="Arial"/>
          <w:sz w:val="24"/>
          <w:szCs w:val="24"/>
          <w:lang w:eastAsia="es-ES_tradnl"/>
        </w:rPr>
      </w:pPr>
    </w:p>
    <w:p w14:paraId="6745E7C1" w14:textId="77777777" w:rsidR="00AF1AAC" w:rsidRPr="00D03106" w:rsidRDefault="00AF1AAC" w:rsidP="00AF1AAC">
      <w:pPr>
        <w:rPr>
          <w:rFonts w:ascii="Arial" w:eastAsia="Times New Roman" w:hAnsi="Arial" w:cs="Arial"/>
          <w:sz w:val="24"/>
          <w:szCs w:val="24"/>
          <w:lang w:eastAsia="es-ES_tradnl"/>
        </w:rPr>
      </w:pPr>
    </w:p>
    <w:p w14:paraId="7FD8D643" w14:textId="77777777" w:rsidR="00AF1AAC" w:rsidRPr="00D03106" w:rsidRDefault="00AF1AAC" w:rsidP="00AF1AAC">
      <w:pPr>
        <w:rPr>
          <w:rFonts w:ascii="Arial" w:eastAsia="Times New Roman" w:hAnsi="Arial" w:cs="Arial"/>
          <w:sz w:val="24"/>
          <w:szCs w:val="24"/>
          <w:lang w:eastAsia="es-ES_tradnl"/>
        </w:rPr>
      </w:pPr>
    </w:p>
    <w:p w14:paraId="00A19E02" w14:textId="77777777" w:rsidR="00AF1AAC" w:rsidRPr="00D03106" w:rsidRDefault="00AF1AAC" w:rsidP="00AF1AAC">
      <w:pPr>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 xml:space="preserve">Fuente: Argo 2001 y Clapp 2006 </w:t>
      </w:r>
    </w:p>
    <w:p w14:paraId="0CD1E7AA" w14:textId="77777777" w:rsidR="00AF1AAC" w:rsidRPr="00D03106" w:rsidRDefault="00AF1AAC" w:rsidP="00AF1AAC">
      <w:pPr>
        <w:rPr>
          <w:rFonts w:ascii="Arial" w:eastAsia="Times New Roman" w:hAnsi="Arial" w:cs="Arial"/>
          <w:i/>
          <w:sz w:val="24"/>
          <w:szCs w:val="24"/>
          <w:lang w:eastAsia="es-ES_tradnl"/>
        </w:rPr>
      </w:pPr>
      <w:r w:rsidRPr="00D03106">
        <w:rPr>
          <w:rFonts w:ascii="Arial" w:eastAsia="Times New Roman" w:hAnsi="Arial" w:cs="Arial"/>
          <w:i/>
          <w:sz w:val="24"/>
          <w:szCs w:val="24"/>
          <w:lang w:eastAsia="es-ES_tradnl"/>
        </w:rPr>
        <w:t xml:space="preserve">Benceno </w:t>
      </w:r>
    </w:p>
    <w:p w14:paraId="00CDC06E" w14:textId="4E3B4FAF" w:rsidR="00AF1AAC" w:rsidRPr="00D03106" w:rsidRDefault="00AF1AAC" w:rsidP="00AF1AAC">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lastRenderedPageBreak/>
        <w:t xml:space="preserve">Es un cancerígeno humano conocido, causante de leucemia. Su efecto se produce antes de ser percibido por el olor. Una persona puede estar en </w:t>
      </w:r>
      <w:r w:rsidR="00727932" w:rsidRPr="00D03106">
        <w:rPr>
          <w:rFonts w:ascii="Arial" w:eastAsia="Times New Roman" w:hAnsi="Arial" w:cs="Arial"/>
          <w:sz w:val="24"/>
          <w:szCs w:val="24"/>
          <w:lang w:eastAsia="es-ES_tradnl"/>
        </w:rPr>
        <w:t>riesgo de leucemia.</w:t>
      </w:r>
    </w:p>
    <w:p w14:paraId="3613DB45" w14:textId="0C8AA021" w:rsidR="003B4719" w:rsidRPr="00D03106" w:rsidRDefault="00727932" w:rsidP="005F62B5">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 xml:space="preserve">Es evidente que dichos tóxicos que se combustionan en los mecheros, están acabando con la vida de cientos de personas radicadas en la Amazonía del Ecuador, donde las víctimas son principalmente las mujeres. Adicionalmente esos mismos mecheros, contribuyen con el calentamiento global, afectan a la naturaleza y el ecosistema amazónico. </w:t>
      </w:r>
      <w:r w:rsidR="008C2083" w:rsidRPr="00D03106">
        <w:rPr>
          <w:rFonts w:ascii="Arial" w:eastAsia="Times New Roman" w:hAnsi="Arial" w:cs="Arial"/>
          <w:sz w:val="24"/>
          <w:szCs w:val="24"/>
          <w:lang w:eastAsia="es-ES_tradnl"/>
        </w:rPr>
        <w:t xml:space="preserve">Se viola permanentemente los derechos de los pueblos indígenas a la autodeterminación, a mantener la convivencia intrínseca con la naturaleza, se ha eliminado su alimentación tradicional y lo que es ms grave se sigue causando enfermedades como el cáncer y terminando con la vida de muchos de ellos. </w:t>
      </w:r>
    </w:p>
    <w:p w14:paraId="29C6C4A9" w14:textId="0E11B13A" w:rsidR="00727932" w:rsidRPr="00D03106" w:rsidRDefault="00727932" w:rsidP="005F62B5">
      <w:pPr>
        <w:jc w:val="both"/>
        <w:rPr>
          <w:rFonts w:ascii="Arial" w:eastAsia="Times New Roman" w:hAnsi="Arial" w:cs="Arial"/>
          <w:sz w:val="24"/>
          <w:szCs w:val="24"/>
          <w:lang w:eastAsia="es-ES_tradnl"/>
        </w:rPr>
      </w:pPr>
      <w:r w:rsidRPr="00D03106">
        <w:rPr>
          <w:rFonts w:ascii="Arial" w:eastAsia="Times New Roman" w:hAnsi="Arial" w:cs="Arial"/>
          <w:sz w:val="24"/>
          <w:szCs w:val="24"/>
          <w:lang w:eastAsia="es-ES_tradnl"/>
        </w:rPr>
        <w:t xml:space="preserve">Adicionalmente los mecheros encendidos y las operaciones de Chevron en la Amazonía, han generado de forma continua una grave violación a los derechos Económicos, sociales y culturales. A medida que se incrementa la actividad petrolera, como es el caso, hoy se incrementa la violación de éstos derechos.  </w:t>
      </w:r>
    </w:p>
    <w:p w14:paraId="140151B6" w14:textId="6263B7E7" w:rsidR="00D03106" w:rsidRPr="00D03106" w:rsidRDefault="00D03106" w:rsidP="00D03106">
      <w:pPr>
        <w:pStyle w:val="Default"/>
        <w:jc w:val="both"/>
        <w:rPr>
          <w:rFonts w:ascii="Arial" w:hAnsi="Arial" w:cs="Arial"/>
          <w:b/>
          <w:color w:val="auto"/>
          <w:u w:val="single"/>
        </w:rPr>
      </w:pPr>
      <w:r w:rsidRPr="00D03106">
        <w:rPr>
          <w:rFonts w:ascii="Arial" w:hAnsi="Arial" w:cs="Arial"/>
          <w:b/>
          <w:color w:val="auto"/>
          <w:u w:val="single"/>
        </w:rPr>
        <w:t>Muerte infantil</w:t>
      </w:r>
    </w:p>
    <w:p w14:paraId="11A87821" w14:textId="77777777" w:rsidR="00D03106" w:rsidRPr="00D03106" w:rsidRDefault="00D03106" w:rsidP="00D03106">
      <w:pPr>
        <w:pStyle w:val="Default"/>
        <w:jc w:val="both"/>
        <w:rPr>
          <w:rFonts w:ascii="Arial" w:hAnsi="Arial" w:cs="Arial"/>
          <w:color w:val="auto"/>
        </w:rPr>
      </w:pPr>
    </w:p>
    <w:p w14:paraId="071548A2" w14:textId="77777777" w:rsidR="00D03106" w:rsidRPr="00D03106" w:rsidRDefault="00D03106" w:rsidP="00D03106">
      <w:pPr>
        <w:pStyle w:val="Default"/>
        <w:jc w:val="both"/>
        <w:rPr>
          <w:rFonts w:ascii="Arial" w:hAnsi="Arial" w:cs="Arial"/>
          <w:color w:val="auto"/>
        </w:rPr>
      </w:pPr>
      <w:r w:rsidRPr="00D03106">
        <w:rPr>
          <w:rFonts w:ascii="Arial" w:hAnsi="Arial" w:cs="Arial"/>
          <w:color w:val="auto"/>
        </w:rPr>
        <w:t>En un reciente estudio en Nigeria (</w:t>
      </w:r>
      <w:r w:rsidRPr="00D03106">
        <w:rPr>
          <w:rFonts w:ascii="Arial" w:hAnsi="Arial" w:cs="Arial"/>
          <w:lang w:val="en-US"/>
        </w:rPr>
        <w:t>Bruederle y Hodler 2019</w:t>
      </w:r>
      <w:r w:rsidRPr="00D03106">
        <w:rPr>
          <w:rFonts w:ascii="Arial" w:hAnsi="Arial" w:cs="Arial"/>
          <w:color w:val="auto"/>
        </w:rPr>
        <w:t>) se evidenció epidemiológicamente que es probable que los derrames de petróleo no solo afecten la mortalidad neonatal e infantil, sino que también aumenten el riesgo de aborto y muerte fetal. Los resultados mostraron que un derrame de petróleo a menos de 10 km de distancia antes de la concepción aumenta la mortalidad neonatal en alrededor de 38,3 muertes por cada 1.000 nacidos vivos, además de los efectos negativos en la salud de niños mayores y adultos.</w:t>
      </w:r>
    </w:p>
    <w:p w14:paraId="0A8139BC" w14:textId="77777777" w:rsidR="00D03106" w:rsidRPr="00D03106" w:rsidRDefault="00D03106" w:rsidP="005F62B5">
      <w:pPr>
        <w:jc w:val="both"/>
        <w:rPr>
          <w:rFonts w:ascii="Arial" w:eastAsia="Times New Roman" w:hAnsi="Arial" w:cs="Arial"/>
          <w:sz w:val="24"/>
          <w:szCs w:val="24"/>
          <w:lang w:eastAsia="es-ES_tradnl"/>
        </w:rPr>
      </w:pPr>
    </w:p>
    <w:p w14:paraId="696B025E" w14:textId="2E515026" w:rsidR="003B3198" w:rsidRPr="00D03106" w:rsidRDefault="0034533C" w:rsidP="005F62B5">
      <w:pPr>
        <w:jc w:val="both"/>
        <w:rPr>
          <w:rFonts w:ascii="Arial" w:hAnsi="Arial" w:cs="Arial"/>
          <w:sz w:val="24"/>
          <w:szCs w:val="24"/>
        </w:rPr>
      </w:pPr>
      <w:r w:rsidRPr="00D03106">
        <w:rPr>
          <w:rFonts w:ascii="Arial" w:hAnsi="Arial" w:cs="Arial"/>
          <w:b/>
          <w:bCs/>
          <w:sz w:val="24"/>
          <w:szCs w:val="24"/>
        </w:rPr>
        <w:t>Derechos Vulnerados del PIDESC</w:t>
      </w:r>
    </w:p>
    <w:p w14:paraId="4946BF31" w14:textId="77777777" w:rsidR="00184DD6" w:rsidRPr="00D03106" w:rsidRDefault="00184DD6" w:rsidP="005F62B5">
      <w:pPr>
        <w:jc w:val="both"/>
        <w:rPr>
          <w:rFonts w:ascii="Arial" w:hAnsi="Arial" w:cs="Arial"/>
          <w:b/>
          <w:bCs/>
          <w:sz w:val="24"/>
          <w:szCs w:val="24"/>
        </w:rPr>
      </w:pPr>
      <w:r w:rsidRPr="00D03106">
        <w:rPr>
          <w:rFonts w:ascii="Arial" w:hAnsi="Arial" w:cs="Arial"/>
          <w:b/>
          <w:bCs/>
          <w:sz w:val="24"/>
          <w:szCs w:val="24"/>
        </w:rPr>
        <w:t>Parte I</w:t>
      </w:r>
    </w:p>
    <w:p w14:paraId="496158C1" w14:textId="56C1AB7D" w:rsidR="00727932" w:rsidRPr="00D03106" w:rsidRDefault="00727932" w:rsidP="005F62B5">
      <w:pPr>
        <w:jc w:val="both"/>
        <w:rPr>
          <w:rFonts w:ascii="Arial" w:hAnsi="Arial" w:cs="Arial"/>
          <w:bCs/>
          <w:sz w:val="24"/>
          <w:szCs w:val="24"/>
        </w:rPr>
      </w:pPr>
      <w:r w:rsidRPr="00D03106">
        <w:rPr>
          <w:rFonts w:ascii="Arial" w:hAnsi="Arial" w:cs="Arial"/>
          <w:bCs/>
          <w:sz w:val="24"/>
          <w:szCs w:val="24"/>
        </w:rPr>
        <w:t>Son varios los derechos que en forma permanente e ininterrumpida el Estado ecuatoriano continúa violando a los ciudadanos amazónicos y en nuestro caso a la naturaleza. Aquí describimos algunos de ellos.</w:t>
      </w:r>
    </w:p>
    <w:p w14:paraId="3A219BFC" w14:textId="77777777" w:rsidR="00184DD6" w:rsidRPr="00D03106" w:rsidRDefault="00184DD6" w:rsidP="005F62B5">
      <w:pPr>
        <w:jc w:val="both"/>
        <w:rPr>
          <w:rFonts w:ascii="Arial" w:hAnsi="Arial" w:cs="Arial"/>
          <w:b/>
          <w:bCs/>
          <w:sz w:val="24"/>
          <w:szCs w:val="24"/>
        </w:rPr>
      </w:pPr>
      <w:r w:rsidRPr="00D03106">
        <w:rPr>
          <w:rFonts w:ascii="Arial" w:hAnsi="Arial" w:cs="Arial"/>
          <w:b/>
          <w:bCs/>
          <w:sz w:val="24"/>
          <w:szCs w:val="24"/>
        </w:rPr>
        <w:t>Artículo 1</w:t>
      </w:r>
    </w:p>
    <w:p w14:paraId="3669DC94"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1. Todos los pueblos tienen el derecho de libre determinación. En virtud de este derecho establecen libremente su condición política y proveen asimismo a su desarrollo económico, social y cultural.</w:t>
      </w:r>
    </w:p>
    <w:p w14:paraId="163FDEED"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2. Para el logro de sus fines, todos los pueblos pueden disponer libremente de sus riquezas y recursos naturales, sin perjuicio de las obligaciones que derivan de la cooperación económica internacional basada en el principio de beneficio recíproco, así como del derecho internacional. En ningún caso podrá privarse a un pueblo de sus propios medios de subsistencia.</w:t>
      </w:r>
    </w:p>
    <w:p w14:paraId="2B57F6AD" w14:textId="77777777" w:rsidR="00E46E7B" w:rsidRPr="00D03106" w:rsidRDefault="00E46E7B" w:rsidP="005F62B5">
      <w:pPr>
        <w:jc w:val="both"/>
        <w:rPr>
          <w:rFonts w:ascii="Arial" w:hAnsi="Arial" w:cs="Arial"/>
          <w:b/>
          <w:bCs/>
          <w:sz w:val="24"/>
          <w:szCs w:val="24"/>
        </w:rPr>
      </w:pPr>
      <w:r w:rsidRPr="00D03106">
        <w:rPr>
          <w:rFonts w:ascii="Arial" w:hAnsi="Arial" w:cs="Arial"/>
          <w:b/>
          <w:bCs/>
          <w:sz w:val="24"/>
          <w:szCs w:val="24"/>
        </w:rPr>
        <w:t>Parte II</w:t>
      </w:r>
    </w:p>
    <w:p w14:paraId="689F16BF" w14:textId="77777777" w:rsidR="00E46E7B" w:rsidRPr="00D03106" w:rsidRDefault="00E46E7B" w:rsidP="005F62B5">
      <w:pPr>
        <w:jc w:val="both"/>
        <w:rPr>
          <w:rFonts w:ascii="Arial" w:hAnsi="Arial" w:cs="Arial"/>
          <w:b/>
          <w:bCs/>
          <w:sz w:val="24"/>
          <w:szCs w:val="24"/>
        </w:rPr>
      </w:pPr>
      <w:r w:rsidRPr="00D03106">
        <w:rPr>
          <w:rFonts w:ascii="Arial" w:hAnsi="Arial" w:cs="Arial"/>
          <w:b/>
          <w:bCs/>
          <w:sz w:val="24"/>
          <w:szCs w:val="24"/>
        </w:rPr>
        <w:t>Artículo 2</w:t>
      </w:r>
    </w:p>
    <w:p w14:paraId="3A389DAA" w14:textId="77777777" w:rsidR="00E46E7B" w:rsidRPr="00D03106" w:rsidRDefault="00E46E7B" w:rsidP="005F62B5">
      <w:pPr>
        <w:jc w:val="both"/>
        <w:rPr>
          <w:rFonts w:ascii="Arial" w:hAnsi="Arial" w:cs="Arial"/>
          <w:sz w:val="24"/>
          <w:szCs w:val="24"/>
        </w:rPr>
      </w:pPr>
      <w:r w:rsidRPr="00D03106">
        <w:rPr>
          <w:rFonts w:ascii="Arial" w:hAnsi="Arial" w:cs="Arial"/>
          <w:sz w:val="24"/>
          <w:szCs w:val="24"/>
        </w:rPr>
        <w:t xml:space="preserve">1. Cada uno de los Estados Partes en el presente Pacto se compromete a adoptar medidas, tanto por separado como mediante la asistencia y la cooperación internacionales, </w:t>
      </w:r>
      <w:r w:rsidRPr="00D03106">
        <w:rPr>
          <w:rFonts w:ascii="Arial" w:hAnsi="Arial" w:cs="Arial"/>
          <w:sz w:val="24"/>
          <w:szCs w:val="24"/>
        </w:rPr>
        <w:lastRenderedPageBreak/>
        <w:t>especialmente económicas y técnicas, hasta el máximo de los recursos de que disponga, para lograr progresivamente, por todos los medios apropiados, inclusive en particular la adopción de medidas legislativas, la plena efectividad de los derechos aquí reconocidos.</w:t>
      </w:r>
    </w:p>
    <w:p w14:paraId="29055B66" w14:textId="77777777" w:rsidR="00E46E7B" w:rsidRPr="00D03106" w:rsidRDefault="00E46E7B" w:rsidP="005F62B5">
      <w:pPr>
        <w:jc w:val="both"/>
        <w:rPr>
          <w:rFonts w:ascii="Arial" w:hAnsi="Arial" w:cs="Arial"/>
          <w:sz w:val="24"/>
          <w:szCs w:val="24"/>
        </w:rPr>
      </w:pPr>
      <w:r w:rsidRPr="00D03106">
        <w:rPr>
          <w:rFonts w:ascii="Arial" w:hAnsi="Arial" w:cs="Arial"/>
          <w:sz w:val="24"/>
          <w:szCs w:val="24"/>
        </w:rPr>
        <w:t>2. Los Estados Partes en el presente Pacto se comprometen a garantizar el ejercicio de los derechos que en él se enuncian, sin discriminación alguna por motivos de raza, color, sexo, idioma, religión, opinión política o de otra índole, origen nacional o social, posición económica, nacimiento o cualquier otra condición social.</w:t>
      </w:r>
    </w:p>
    <w:p w14:paraId="4D902D53" w14:textId="77777777" w:rsidR="00E46E7B" w:rsidRPr="00D03106" w:rsidRDefault="00E46E7B" w:rsidP="005F62B5">
      <w:pPr>
        <w:jc w:val="both"/>
        <w:rPr>
          <w:rFonts w:ascii="Arial" w:hAnsi="Arial" w:cs="Arial"/>
          <w:b/>
          <w:bCs/>
          <w:sz w:val="24"/>
          <w:szCs w:val="24"/>
        </w:rPr>
      </w:pPr>
      <w:r w:rsidRPr="00D03106">
        <w:rPr>
          <w:rFonts w:ascii="Arial" w:hAnsi="Arial" w:cs="Arial"/>
          <w:b/>
          <w:bCs/>
          <w:sz w:val="24"/>
          <w:szCs w:val="24"/>
        </w:rPr>
        <w:t>Artículo 11</w:t>
      </w:r>
    </w:p>
    <w:p w14:paraId="2F2797C1" w14:textId="77777777" w:rsidR="00E46E7B" w:rsidRPr="00D03106" w:rsidRDefault="00E46E7B" w:rsidP="005F62B5">
      <w:pPr>
        <w:jc w:val="both"/>
        <w:rPr>
          <w:rFonts w:ascii="Arial" w:hAnsi="Arial" w:cs="Arial"/>
          <w:sz w:val="24"/>
          <w:szCs w:val="24"/>
        </w:rPr>
      </w:pPr>
      <w:r w:rsidRPr="00D03106">
        <w:rPr>
          <w:rFonts w:ascii="Arial" w:hAnsi="Arial" w:cs="Arial"/>
          <w:sz w:val="24"/>
          <w:szCs w:val="24"/>
        </w:rPr>
        <w:t xml:space="preserve">1. Los Estados Partes en el presente Pacto reconocen el derecho de toda persona a un nivel de vida adecuado para sí y su familia, incluso alimentación, vestido y vivienda adecuados, y a una mejora continua de las condiciones de existencia. Los Estados Partes tomarán medidas apropiadas para asegurar la efectividad de este derecho, reconociendo a este efecto la importancia esencial de la cooperación internacional fundada en el libre consentimiento. </w:t>
      </w:r>
    </w:p>
    <w:p w14:paraId="1CF58F59" w14:textId="77777777" w:rsidR="00E46E7B" w:rsidRPr="00D03106" w:rsidRDefault="00E46E7B" w:rsidP="005F62B5">
      <w:pPr>
        <w:jc w:val="both"/>
        <w:rPr>
          <w:rFonts w:ascii="Arial" w:hAnsi="Arial" w:cs="Arial"/>
          <w:sz w:val="24"/>
          <w:szCs w:val="24"/>
        </w:rPr>
      </w:pPr>
      <w:r w:rsidRPr="00D03106">
        <w:rPr>
          <w:rFonts w:ascii="Arial" w:hAnsi="Arial" w:cs="Arial"/>
          <w:sz w:val="24"/>
          <w:szCs w:val="24"/>
        </w:rPr>
        <w:t>2. Los Estados Partes en el presente Pacto, reconociendo el derecho fundamental de toda persona a estar protegida contra el hambre, adoptarán, individualmente y mediante la cooperación internacional, las medidas, incluidos los programas concretos, que se necesitan para:</w:t>
      </w:r>
    </w:p>
    <w:p w14:paraId="138900B5" w14:textId="77777777" w:rsidR="00E46E7B" w:rsidRPr="00D03106" w:rsidRDefault="00E46E7B" w:rsidP="005F62B5">
      <w:pPr>
        <w:jc w:val="both"/>
        <w:rPr>
          <w:rFonts w:ascii="Arial" w:hAnsi="Arial" w:cs="Arial"/>
          <w:sz w:val="24"/>
          <w:szCs w:val="24"/>
        </w:rPr>
      </w:pPr>
      <w:r w:rsidRPr="00D03106">
        <w:rPr>
          <w:rFonts w:ascii="Arial" w:hAnsi="Arial" w:cs="Arial"/>
          <w:sz w:val="24"/>
          <w:szCs w:val="24"/>
        </w:rPr>
        <w:t>a) Mejorar los métodos de producción, conservación y distribución de alimentos mediante la plena utilización de los conocimientos técnicos y científicos, la divulgación de principios sobre nutrición y el perfeccionamiento o la reforma de los regímenes agrarios de modo que se logren la explotación y la utilización más eficaces de las riquezas naturales;</w:t>
      </w:r>
    </w:p>
    <w:p w14:paraId="366ED203" w14:textId="77777777" w:rsidR="008C2083" w:rsidRPr="00D03106" w:rsidRDefault="00E46E7B" w:rsidP="008C2083">
      <w:pPr>
        <w:jc w:val="both"/>
        <w:rPr>
          <w:rFonts w:ascii="Arial" w:hAnsi="Arial" w:cs="Arial"/>
          <w:sz w:val="24"/>
          <w:szCs w:val="24"/>
        </w:rPr>
      </w:pPr>
      <w:r w:rsidRPr="00D03106">
        <w:rPr>
          <w:rFonts w:ascii="Arial" w:hAnsi="Arial" w:cs="Arial"/>
          <w:sz w:val="24"/>
          <w:szCs w:val="24"/>
        </w:rPr>
        <w:t xml:space="preserve">b) Asegurar una distribución equitativa de los alimentos mundiales en relación con las necesidades, teniendo en cuenta los problemas que se plantean tanto a los países que importan productos </w:t>
      </w:r>
      <w:r w:rsidR="008C2083" w:rsidRPr="00D03106">
        <w:rPr>
          <w:rFonts w:ascii="Arial" w:hAnsi="Arial" w:cs="Arial"/>
          <w:sz w:val="24"/>
          <w:szCs w:val="24"/>
        </w:rPr>
        <w:t>1. Los Estados Partes en el presente Pacto reconocen el derecho de toda persona al disfrute del más alto nivel posible de salud física y mental.</w:t>
      </w:r>
    </w:p>
    <w:p w14:paraId="09ECDC26" w14:textId="4E105966" w:rsidR="00E46E7B" w:rsidRPr="00D03106" w:rsidRDefault="008C2083" w:rsidP="008C2083">
      <w:pPr>
        <w:jc w:val="both"/>
        <w:rPr>
          <w:rFonts w:ascii="Arial" w:hAnsi="Arial" w:cs="Arial"/>
          <w:sz w:val="24"/>
          <w:szCs w:val="24"/>
        </w:rPr>
      </w:pPr>
      <w:r w:rsidRPr="00D03106">
        <w:rPr>
          <w:rFonts w:ascii="Arial" w:hAnsi="Arial" w:cs="Arial"/>
          <w:sz w:val="24"/>
          <w:szCs w:val="24"/>
        </w:rPr>
        <w:t xml:space="preserve">2. Entre las medidas que deberán adoptar los Estados Partes en el Pacto a fin de asegurar la plena efectividad de este derecho, figurarán las necesarias </w:t>
      </w:r>
      <w:r w:rsidRPr="00D03106">
        <w:rPr>
          <w:rFonts w:ascii="Arial" w:hAnsi="Arial" w:cs="Arial"/>
          <w:sz w:val="24"/>
          <w:szCs w:val="24"/>
        </w:rPr>
        <w:t>alimenticias</w:t>
      </w:r>
      <w:r w:rsidR="00E46E7B" w:rsidRPr="00D03106">
        <w:rPr>
          <w:rFonts w:ascii="Arial" w:hAnsi="Arial" w:cs="Arial"/>
          <w:sz w:val="24"/>
          <w:szCs w:val="24"/>
        </w:rPr>
        <w:t xml:space="preserve"> como a los que los exportan.</w:t>
      </w:r>
    </w:p>
    <w:p w14:paraId="5EC660B7" w14:textId="77777777" w:rsidR="00522F22" w:rsidRPr="00D03106" w:rsidRDefault="00522F22" w:rsidP="005F62B5">
      <w:pPr>
        <w:jc w:val="both"/>
        <w:rPr>
          <w:rFonts w:ascii="Arial" w:hAnsi="Arial" w:cs="Arial"/>
          <w:b/>
          <w:bCs/>
          <w:sz w:val="24"/>
          <w:szCs w:val="24"/>
        </w:rPr>
      </w:pPr>
      <w:r w:rsidRPr="00D03106">
        <w:rPr>
          <w:rFonts w:ascii="Arial" w:hAnsi="Arial" w:cs="Arial"/>
          <w:b/>
          <w:bCs/>
          <w:sz w:val="24"/>
          <w:szCs w:val="24"/>
        </w:rPr>
        <w:t>Parte III</w:t>
      </w:r>
    </w:p>
    <w:p w14:paraId="7B792E2F" w14:textId="77777777" w:rsidR="00184DD6" w:rsidRPr="00D03106" w:rsidRDefault="00184DD6" w:rsidP="005F62B5">
      <w:pPr>
        <w:jc w:val="both"/>
        <w:rPr>
          <w:rFonts w:ascii="Arial" w:hAnsi="Arial" w:cs="Arial"/>
          <w:b/>
          <w:bCs/>
          <w:sz w:val="24"/>
          <w:szCs w:val="24"/>
        </w:rPr>
      </w:pPr>
      <w:r w:rsidRPr="00D03106">
        <w:rPr>
          <w:rFonts w:ascii="Arial" w:hAnsi="Arial" w:cs="Arial"/>
          <w:b/>
          <w:bCs/>
          <w:sz w:val="24"/>
          <w:szCs w:val="24"/>
        </w:rPr>
        <w:t>Artículo 12</w:t>
      </w:r>
    </w:p>
    <w:p w14:paraId="254D9BDA" w14:textId="318AD735" w:rsidR="00184DD6" w:rsidRPr="00D03106" w:rsidRDefault="00184DD6" w:rsidP="005F62B5">
      <w:pPr>
        <w:jc w:val="both"/>
        <w:rPr>
          <w:rFonts w:ascii="Arial" w:hAnsi="Arial" w:cs="Arial"/>
          <w:sz w:val="24"/>
          <w:szCs w:val="24"/>
        </w:rPr>
      </w:pPr>
      <w:r w:rsidRPr="00D03106">
        <w:rPr>
          <w:rFonts w:ascii="Arial" w:hAnsi="Arial" w:cs="Arial"/>
          <w:sz w:val="24"/>
          <w:szCs w:val="24"/>
        </w:rPr>
        <w:t>para:</w:t>
      </w:r>
    </w:p>
    <w:p w14:paraId="2D60D070"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a) La reducción de la mortinatalidad y de la mortalidad infantil, y el sano desarrollo de los niños;</w:t>
      </w:r>
    </w:p>
    <w:p w14:paraId="76293525"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b) El mejoramiento en todos sus aspectos de la higiene del trabajo y del medio ambiente;</w:t>
      </w:r>
    </w:p>
    <w:p w14:paraId="25E8D231"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c) La prevención y el tratamiento de las enfermedades epidémicas, endémicas, profesionales y de otra índole, y la lucha contra ellas;</w:t>
      </w:r>
    </w:p>
    <w:p w14:paraId="6FD45E1E" w14:textId="77777777" w:rsidR="0034533C" w:rsidRPr="00D03106" w:rsidRDefault="00184DD6" w:rsidP="005F62B5">
      <w:pPr>
        <w:jc w:val="both"/>
        <w:rPr>
          <w:rFonts w:ascii="Arial" w:hAnsi="Arial" w:cs="Arial"/>
          <w:sz w:val="24"/>
          <w:szCs w:val="24"/>
        </w:rPr>
      </w:pPr>
      <w:r w:rsidRPr="00D03106">
        <w:rPr>
          <w:rFonts w:ascii="Arial" w:hAnsi="Arial" w:cs="Arial"/>
          <w:sz w:val="24"/>
          <w:szCs w:val="24"/>
        </w:rPr>
        <w:t>d) La creación de condiciones que aseguren a todos asistencia médica y servicios médicos en caso de enfermedad.</w:t>
      </w:r>
    </w:p>
    <w:p w14:paraId="412B8734" w14:textId="77777777" w:rsidR="00184DD6" w:rsidRPr="00D03106" w:rsidRDefault="00184DD6" w:rsidP="005F62B5">
      <w:pPr>
        <w:jc w:val="both"/>
        <w:rPr>
          <w:rFonts w:ascii="Arial" w:hAnsi="Arial" w:cs="Arial"/>
          <w:b/>
          <w:bCs/>
          <w:sz w:val="24"/>
          <w:szCs w:val="24"/>
        </w:rPr>
      </w:pPr>
      <w:r w:rsidRPr="00D03106">
        <w:rPr>
          <w:rFonts w:ascii="Arial" w:hAnsi="Arial" w:cs="Arial"/>
          <w:b/>
          <w:bCs/>
          <w:sz w:val="24"/>
          <w:szCs w:val="24"/>
        </w:rPr>
        <w:lastRenderedPageBreak/>
        <w:t>Artículo 13</w:t>
      </w:r>
    </w:p>
    <w:p w14:paraId="3DEEBBB8"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1. Los Estados Partes en el presente Pacto reconocen el derecho de toda persona a la educación. Convienen en que la educación debe orientarse hacia el pleno desarrollo de la personalidad humana y del sentido de su dignidad, y debe fortalecer el respeto por los derechos humanos y las libertades fundamentales. Convienen asimismo en que la educación debe capacitar a todas las personas para participar efectivamente en una sociedad libre, favorecer la comprensión, la tolerancia y la amistad entre todas las naciones y entre todos los grupos raciales, étnicos o religiosos, y promover las actividades de las Naciones Unidas en pro del mantenimiento de la paz.</w:t>
      </w:r>
    </w:p>
    <w:p w14:paraId="0AA455EB"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2. Los Estados Partes en el presente Pacto reconocen que, con objeto de lograr el pleno ejercicio de este derecho:</w:t>
      </w:r>
    </w:p>
    <w:p w14:paraId="5D80C434"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a) La enseñanza primaria debe ser obligatoria y asequible a todos gratuitamente;</w:t>
      </w:r>
    </w:p>
    <w:p w14:paraId="2FF3E2B2"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b) La enseñanza secundaria, en sus diferentes formas, incluso la enseñanza secundaria técnica y profesional, debe ser generalizada y hacerse accesible a todos, por cuantos medios sean apropiados, y en particular por la implantación progresiva de la enseñanza gratuita;</w:t>
      </w:r>
    </w:p>
    <w:p w14:paraId="3A4C9E68"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c) La enseñanza superior debe hacerse igualmente accesible a todos, sobre la base de la capacidad de cada uno, por cuantos medios sean apropiados, y en particular por la implantación progresiva de la enseñanza gratuita;</w:t>
      </w:r>
    </w:p>
    <w:p w14:paraId="2865CA28" w14:textId="77777777" w:rsidR="00184DD6" w:rsidRPr="00D03106" w:rsidRDefault="00184DD6" w:rsidP="005F62B5">
      <w:pPr>
        <w:jc w:val="both"/>
        <w:rPr>
          <w:rFonts w:ascii="Arial" w:hAnsi="Arial" w:cs="Arial"/>
          <w:sz w:val="24"/>
          <w:szCs w:val="24"/>
        </w:rPr>
      </w:pPr>
      <w:r w:rsidRPr="00D03106">
        <w:rPr>
          <w:rFonts w:ascii="Arial" w:hAnsi="Arial" w:cs="Arial"/>
          <w:sz w:val="24"/>
          <w:szCs w:val="24"/>
        </w:rPr>
        <w:t>d) Debe fomentarse o intensificarse, en la medida de lo posible, la educación fundamental para aquellas personas que no hayan recibido o terminado el ciclo completo de instrucción primaria;</w:t>
      </w:r>
    </w:p>
    <w:p w14:paraId="278218D9" w14:textId="6132A632" w:rsidR="005E6200" w:rsidRPr="00D03106" w:rsidRDefault="00184DD6" w:rsidP="005F62B5">
      <w:pPr>
        <w:jc w:val="both"/>
        <w:rPr>
          <w:rFonts w:ascii="Arial" w:hAnsi="Arial" w:cs="Arial"/>
          <w:sz w:val="24"/>
          <w:szCs w:val="24"/>
        </w:rPr>
      </w:pPr>
      <w:r w:rsidRPr="00D03106">
        <w:rPr>
          <w:rFonts w:ascii="Arial" w:hAnsi="Arial" w:cs="Arial"/>
          <w:sz w:val="24"/>
          <w:szCs w:val="24"/>
        </w:rPr>
        <w:t>e) Se debe proseguir activamente el desarrollo del sistema escolar en todos los ciclos de la enseñanza, implantar un sistema adecuado de becas, y mejorar continuamente las condiciones materiales del cuerpo docente.</w:t>
      </w:r>
    </w:p>
    <w:p w14:paraId="2CE1956F" w14:textId="70259D21" w:rsidR="005E6200" w:rsidRDefault="00E62042" w:rsidP="005F62B5">
      <w:pPr>
        <w:jc w:val="both"/>
        <w:rPr>
          <w:rFonts w:ascii="Arial" w:hAnsi="Arial" w:cs="Arial"/>
          <w:b/>
          <w:bCs/>
          <w:sz w:val="24"/>
          <w:szCs w:val="24"/>
        </w:rPr>
      </w:pPr>
      <w:r>
        <w:rPr>
          <w:rFonts w:ascii="Arial" w:hAnsi="Arial" w:cs="Arial"/>
          <w:b/>
          <w:bCs/>
          <w:sz w:val="24"/>
          <w:szCs w:val="24"/>
        </w:rPr>
        <w:t>Recomendaciones</w:t>
      </w:r>
      <w:r w:rsidR="008A3181">
        <w:rPr>
          <w:rFonts w:ascii="Arial" w:hAnsi="Arial" w:cs="Arial"/>
          <w:b/>
          <w:bCs/>
          <w:sz w:val="24"/>
          <w:szCs w:val="24"/>
        </w:rPr>
        <w:t>.</w:t>
      </w:r>
    </w:p>
    <w:p w14:paraId="5C742E6B" w14:textId="77777777" w:rsidR="008A3181" w:rsidRPr="00D03106" w:rsidRDefault="008A3181" w:rsidP="005F62B5">
      <w:pPr>
        <w:jc w:val="both"/>
        <w:rPr>
          <w:rFonts w:ascii="Arial" w:hAnsi="Arial" w:cs="Arial"/>
          <w:b/>
          <w:bCs/>
          <w:sz w:val="24"/>
          <w:szCs w:val="24"/>
        </w:rPr>
      </w:pPr>
    </w:p>
    <w:p w14:paraId="78CAB299" w14:textId="6F1EC911" w:rsidR="005E6200" w:rsidRPr="00D03106" w:rsidRDefault="005E6200" w:rsidP="005F62B5">
      <w:pPr>
        <w:jc w:val="both"/>
        <w:rPr>
          <w:rFonts w:ascii="Arial" w:hAnsi="Arial" w:cs="Arial"/>
          <w:sz w:val="24"/>
          <w:szCs w:val="24"/>
        </w:rPr>
      </w:pPr>
    </w:p>
    <w:sectPr w:rsidR="005E6200" w:rsidRPr="00D03106" w:rsidSect="00D7795D">
      <w:headerReference w:type="default" r:id="rId13"/>
      <w:pgSz w:w="11906" w:h="16838"/>
      <w:pgMar w:top="1417" w:right="1134" w:bottom="1134" w:left="1134"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AF592B" w16cid:durableId="21112868"/>
  <w16cid:commentId w16cid:paraId="6AFC9153" w16cid:durableId="211128C8"/>
  <w16cid:commentId w16cid:paraId="765FFAA9" w16cid:durableId="21112950"/>
  <w16cid:commentId w16cid:paraId="5B20199B" w16cid:durableId="2111297A"/>
  <w16cid:commentId w16cid:paraId="79834505" w16cid:durableId="21112996"/>
  <w16cid:commentId w16cid:paraId="3BFBB85E" w16cid:durableId="211129CA"/>
  <w16cid:commentId w16cid:paraId="42DCC930" w16cid:durableId="211129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25813" w14:textId="77777777" w:rsidR="000E0A11" w:rsidRDefault="000E0A11" w:rsidP="008A3181">
      <w:pPr>
        <w:spacing w:after="0" w:line="240" w:lineRule="auto"/>
      </w:pPr>
      <w:r>
        <w:separator/>
      </w:r>
    </w:p>
  </w:endnote>
  <w:endnote w:type="continuationSeparator" w:id="0">
    <w:p w14:paraId="460C25A4" w14:textId="77777777" w:rsidR="000E0A11" w:rsidRDefault="000E0A11" w:rsidP="008A3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font>
  <w:font w:name="Segoe UI">
    <w:panose1 w:val="020B0502040204020203"/>
    <w:charset w:val="00"/>
    <w:family w:val="swiss"/>
    <w:pitch w:val="variable"/>
    <w:sig w:usb0="E4002EFF" w:usb1="C000E47F" w:usb2="00000009" w:usb3="00000000" w:csb0="000001FF" w:csb1="00000000"/>
  </w:font>
  <w:font w:name="AIMFGH+Arial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96F93" w14:textId="77777777" w:rsidR="000E0A11" w:rsidRDefault="000E0A11" w:rsidP="008A3181">
      <w:pPr>
        <w:spacing w:after="0" w:line="240" w:lineRule="auto"/>
      </w:pPr>
      <w:r>
        <w:separator/>
      </w:r>
    </w:p>
  </w:footnote>
  <w:footnote w:type="continuationSeparator" w:id="0">
    <w:p w14:paraId="550A09B6" w14:textId="77777777" w:rsidR="000E0A11" w:rsidRDefault="000E0A11" w:rsidP="008A31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CFE5B" w14:textId="0D599973" w:rsidR="008A3181" w:rsidRDefault="008A3181">
    <w:pPr>
      <w:pStyle w:val="Encabezado"/>
    </w:pPr>
    <w:r w:rsidRPr="005218D6">
      <w:rPr>
        <w:rFonts w:asciiTheme="majorHAnsi" w:hAnsiTheme="majorHAnsi"/>
        <w:noProof/>
        <w:lang w:eastAsia="es-EC"/>
      </w:rPr>
      <w:drawing>
        <wp:anchor distT="0" distB="0" distL="114300" distR="114300" simplePos="0" relativeHeight="251659264" behindDoc="1" locked="0" layoutInCell="1" allowOverlap="1" wp14:anchorId="04433430" wp14:editId="11D2F5D3">
          <wp:simplePos x="0" y="0"/>
          <wp:positionH relativeFrom="margin">
            <wp:posOffset>111760</wp:posOffset>
          </wp:positionH>
          <wp:positionV relativeFrom="paragraph">
            <wp:posOffset>-271780</wp:posOffset>
          </wp:positionV>
          <wp:extent cx="831850" cy="831850"/>
          <wp:effectExtent l="0" t="0" r="6350" b="6350"/>
          <wp:wrapSquare wrapText="bothSides"/>
          <wp:docPr id="2" name="Imagen 2" descr="C:\Users\USUARIO\Desktop\firmas\Logo Ofi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firmas\Logo Ofici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1850" cy="831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AD0401" w14:textId="77777777" w:rsidR="008A3181" w:rsidRDefault="008A318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167C21"/>
    <w:multiLevelType w:val="hybridMultilevel"/>
    <w:tmpl w:val="584479F6"/>
    <w:lvl w:ilvl="0" w:tplc="B9C673DC">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33C"/>
    <w:rsid w:val="000600FB"/>
    <w:rsid w:val="000E0A11"/>
    <w:rsid w:val="001129D6"/>
    <w:rsid w:val="00115CDD"/>
    <w:rsid w:val="001808D8"/>
    <w:rsid w:val="00184DD6"/>
    <w:rsid w:val="001A58A6"/>
    <w:rsid w:val="002663F7"/>
    <w:rsid w:val="00293226"/>
    <w:rsid w:val="002C5383"/>
    <w:rsid w:val="002D41D9"/>
    <w:rsid w:val="00300CEF"/>
    <w:rsid w:val="0034533C"/>
    <w:rsid w:val="003B3198"/>
    <w:rsid w:val="003B4719"/>
    <w:rsid w:val="003B5D32"/>
    <w:rsid w:val="00400DD5"/>
    <w:rsid w:val="00464F1A"/>
    <w:rsid w:val="004832C2"/>
    <w:rsid w:val="004E5DF6"/>
    <w:rsid w:val="00522F22"/>
    <w:rsid w:val="00537F47"/>
    <w:rsid w:val="005E6200"/>
    <w:rsid w:val="005F62B5"/>
    <w:rsid w:val="0061514A"/>
    <w:rsid w:val="006821A2"/>
    <w:rsid w:val="00721E16"/>
    <w:rsid w:val="00727932"/>
    <w:rsid w:val="00755884"/>
    <w:rsid w:val="00805A69"/>
    <w:rsid w:val="00814298"/>
    <w:rsid w:val="008A3181"/>
    <w:rsid w:val="008C2083"/>
    <w:rsid w:val="00910728"/>
    <w:rsid w:val="009C71E3"/>
    <w:rsid w:val="00A151E1"/>
    <w:rsid w:val="00AF1AAC"/>
    <w:rsid w:val="00B3696B"/>
    <w:rsid w:val="00CA7E20"/>
    <w:rsid w:val="00D03106"/>
    <w:rsid w:val="00D36F79"/>
    <w:rsid w:val="00D7795D"/>
    <w:rsid w:val="00E46E7B"/>
    <w:rsid w:val="00E62042"/>
    <w:rsid w:val="00E73441"/>
    <w:rsid w:val="00E87780"/>
    <w:rsid w:val="00EB3A09"/>
    <w:rsid w:val="00F148E5"/>
    <w:rsid w:val="00FC2FA3"/>
  </w:rsids>
  <m:mathPr>
    <m:mathFont m:val="Cambria Math"/>
    <m:brkBin m:val="before"/>
    <m:brkBinSub m:val="--"/>
    <m:smallFrac m:val="0"/>
    <m:dispDef/>
    <m:lMargin m:val="0"/>
    <m:rMargin m:val="0"/>
    <m:defJc m:val="centerGroup"/>
    <m:wrapIndent m:val="1440"/>
    <m:intLim m:val="subSup"/>
    <m:naryLim m:val="undOvr"/>
  </m:mathPr>
  <w:themeFontLang w:val="es-ES"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ECA"/>
  <w15:chartTrackingRefBased/>
  <w15:docId w15:val="{E65E14A2-40AB-4652-B278-757DB9351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s-ES" w:eastAsia="en-US" w:bidi="as-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64F1A"/>
    <w:pPr>
      <w:ind w:left="720"/>
      <w:contextualSpacing/>
    </w:pPr>
  </w:style>
  <w:style w:type="character" w:styleId="Refdecomentario">
    <w:name w:val="annotation reference"/>
    <w:basedOn w:val="Fuentedeprrafopredeter"/>
    <w:uiPriority w:val="99"/>
    <w:semiHidden/>
    <w:unhideWhenUsed/>
    <w:rsid w:val="00522F22"/>
    <w:rPr>
      <w:sz w:val="16"/>
      <w:szCs w:val="16"/>
    </w:rPr>
  </w:style>
  <w:style w:type="paragraph" w:styleId="Textocomentario">
    <w:name w:val="annotation text"/>
    <w:basedOn w:val="Normal"/>
    <w:link w:val="TextocomentarioCar"/>
    <w:uiPriority w:val="99"/>
    <w:semiHidden/>
    <w:unhideWhenUsed/>
    <w:rsid w:val="00522F22"/>
    <w:pPr>
      <w:spacing w:line="240" w:lineRule="auto"/>
    </w:pPr>
    <w:rPr>
      <w:sz w:val="20"/>
      <w:szCs w:val="25"/>
    </w:rPr>
  </w:style>
  <w:style w:type="character" w:customStyle="1" w:styleId="TextocomentarioCar">
    <w:name w:val="Texto comentario Car"/>
    <w:basedOn w:val="Fuentedeprrafopredeter"/>
    <w:link w:val="Textocomentario"/>
    <w:uiPriority w:val="99"/>
    <w:semiHidden/>
    <w:rsid w:val="00522F22"/>
    <w:rPr>
      <w:sz w:val="20"/>
      <w:szCs w:val="25"/>
    </w:rPr>
  </w:style>
  <w:style w:type="paragraph" w:styleId="Asuntodelcomentario">
    <w:name w:val="annotation subject"/>
    <w:basedOn w:val="Textocomentario"/>
    <w:next w:val="Textocomentario"/>
    <w:link w:val="AsuntodelcomentarioCar"/>
    <w:uiPriority w:val="99"/>
    <w:semiHidden/>
    <w:unhideWhenUsed/>
    <w:rsid w:val="00522F22"/>
    <w:rPr>
      <w:b/>
      <w:bCs/>
    </w:rPr>
  </w:style>
  <w:style w:type="character" w:customStyle="1" w:styleId="AsuntodelcomentarioCar">
    <w:name w:val="Asunto del comentario Car"/>
    <w:basedOn w:val="TextocomentarioCar"/>
    <w:link w:val="Asuntodelcomentario"/>
    <w:uiPriority w:val="99"/>
    <w:semiHidden/>
    <w:rsid w:val="00522F22"/>
    <w:rPr>
      <w:b/>
      <w:bCs/>
      <w:sz w:val="20"/>
      <w:szCs w:val="25"/>
    </w:rPr>
  </w:style>
  <w:style w:type="paragraph" w:styleId="Textodeglobo">
    <w:name w:val="Balloon Text"/>
    <w:basedOn w:val="Normal"/>
    <w:link w:val="TextodegloboCar"/>
    <w:uiPriority w:val="99"/>
    <w:semiHidden/>
    <w:unhideWhenUsed/>
    <w:rsid w:val="00522F22"/>
    <w:pPr>
      <w:spacing w:after="0" w:line="240" w:lineRule="auto"/>
    </w:pPr>
    <w:rPr>
      <w:rFonts w:ascii="Segoe UI" w:hAnsi="Segoe UI" w:cs="Segoe UI"/>
      <w:sz w:val="18"/>
      <w:szCs w:val="22"/>
    </w:rPr>
  </w:style>
  <w:style w:type="character" w:customStyle="1" w:styleId="TextodegloboCar">
    <w:name w:val="Texto de globo Car"/>
    <w:basedOn w:val="Fuentedeprrafopredeter"/>
    <w:link w:val="Textodeglobo"/>
    <w:uiPriority w:val="99"/>
    <w:semiHidden/>
    <w:rsid w:val="00522F22"/>
    <w:rPr>
      <w:rFonts w:ascii="Segoe UI" w:hAnsi="Segoe UI" w:cs="Segoe UI"/>
      <w:sz w:val="18"/>
      <w:szCs w:val="22"/>
    </w:rPr>
  </w:style>
  <w:style w:type="paragraph" w:customStyle="1" w:styleId="Default">
    <w:name w:val="Default"/>
    <w:rsid w:val="00D03106"/>
    <w:pPr>
      <w:widowControl w:val="0"/>
      <w:autoSpaceDE w:val="0"/>
      <w:autoSpaceDN w:val="0"/>
      <w:adjustRightInd w:val="0"/>
      <w:spacing w:after="0" w:line="240" w:lineRule="auto"/>
    </w:pPr>
    <w:rPr>
      <w:rFonts w:ascii="AIMFGH+ArialMT" w:eastAsia="Times New Roman" w:hAnsi="AIMFGH+ArialMT" w:cs="AIMFGH+ArialMT"/>
      <w:color w:val="000000"/>
      <w:sz w:val="24"/>
      <w:szCs w:val="24"/>
      <w:lang w:val="es-MX" w:eastAsia="es-MX" w:bidi="ar-SA"/>
    </w:rPr>
  </w:style>
  <w:style w:type="paragraph" w:styleId="Encabezado">
    <w:name w:val="header"/>
    <w:basedOn w:val="Normal"/>
    <w:link w:val="EncabezadoCar"/>
    <w:uiPriority w:val="99"/>
    <w:unhideWhenUsed/>
    <w:rsid w:val="008A31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A3181"/>
  </w:style>
  <w:style w:type="paragraph" w:styleId="Piedepgina">
    <w:name w:val="footer"/>
    <w:basedOn w:val="Normal"/>
    <w:link w:val="PiedepginaCar"/>
    <w:uiPriority w:val="99"/>
    <w:unhideWhenUsed/>
    <w:rsid w:val="008A31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A3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007779">
      <w:bodyDiv w:val="1"/>
      <w:marLeft w:val="0"/>
      <w:marRight w:val="0"/>
      <w:marTop w:val="0"/>
      <w:marBottom w:val="0"/>
      <w:divBdr>
        <w:top w:val="none" w:sz="0" w:space="0" w:color="auto"/>
        <w:left w:val="none" w:sz="0" w:space="0" w:color="auto"/>
        <w:bottom w:val="none" w:sz="0" w:space="0" w:color="auto"/>
        <w:right w:val="none" w:sz="0" w:space="0" w:color="auto"/>
      </w:divBdr>
    </w:div>
    <w:div w:id="1284383833">
      <w:bodyDiv w:val="1"/>
      <w:marLeft w:val="0"/>
      <w:marRight w:val="0"/>
      <w:marTop w:val="0"/>
      <w:marBottom w:val="0"/>
      <w:divBdr>
        <w:top w:val="none" w:sz="0" w:space="0" w:color="auto"/>
        <w:left w:val="none" w:sz="0" w:space="0" w:color="auto"/>
        <w:bottom w:val="none" w:sz="0" w:space="0" w:color="auto"/>
        <w:right w:val="none" w:sz="0" w:space="0" w:color="auto"/>
      </w:divBdr>
    </w:div>
    <w:div w:id="1405451496">
      <w:bodyDiv w:val="1"/>
      <w:marLeft w:val="0"/>
      <w:marRight w:val="0"/>
      <w:marTop w:val="0"/>
      <w:marBottom w:val="0"/>
      <w:divBdr>
        <w:top w:val="none" w:sz="0" w:space="0" w:color="auto"/>
        <w:left w:val="none" w:sz="0" w:space="0" w:color="auto"/>
        <w:bottom w:val="none" w:sz="0" w:space="0" w:color="auto"/>
        <w:right w:val="none" w:sz="0" w:space="0" w:color="auto"/>
      </w:divBdr>
    </w:div>
    <w:div w:id="1478381344">
      <w:bodyDiv w:val="1"/>
      <w:marLeft w:val="0"/>
      <w:marRight w:val="0"/>
      <w:marTop w:val="0"/>
      <w:marBottom w:val="0"/>
      <w:divBdr>
        <w:top w:val="none" w:sz="0" w:space="0" w:color="auto"/>
        <w:left w:val="none" w:sz="0" w:space="0" w:color="auto"/>
        <w:bottom w:val="none" w:sz="0" w:space="0" w:color="auto"/>
        <w:right w:val="none" w:sz="0" w:space="0" w:color="auto"/>
      </w:divBdr>
    </w:div>
    <w:div w:id="1679962839">
      <w:bodyDiv w:val="1"/>
      <w:marLeft w:val="0"/>
      <w:marRight w:val="0"/>
      <w:marTop w:val="0"/>
      <w:marBottom w:val="0"/>
      <w:divBdr>
        <w:top w:val="none" w:sz="0" w:space="0" w:color="auto"/>
        <w:left w:val="none" w:sz="0" w:space="0" w:color="auto"/>
        <w:bottom w:val="none" w:sz="0" w:space="0" w:color="auto"/>
        <w:right w:val="none" w:sz="0" w:space="0" w:color="auto"/>
      </w:divBdr>
    </w:div>
    <w:div w:id="214684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tiff"/><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5DCE3A-C993-4021-BEC1-33CE4D5A2723}">
  <ds:schemaRefs>
    <ds:schemaRef ds:uri="http://schemas.openxmlformats.org/officeDocument/2006/bibliography"/>
  </ds:schemaRefs>
</ds:datastoreItem>
</file>

<file path=customXml/itemProps2.xml><?xml version="1.0" encoding="utf-8"?>
<ds:datastoreItem xmlns:ds="http://schemas.openxmlformats.org/officeDocument/2006/customXml" ds:itemID="{EF1C0DB3-98D3-4227-9944-4C7145BFE22A}"/>
</file>

<file path=customXml/itemProps3.xml><?xml version="1.0" encoding="utf-8"?>
<ds:datastoreItem xmlns:ds="http://schemas.openxmlformats.org/officeDocument/2006/customXml" ds:itemID="{EBA02E93-FE93-49C0-B268-C79D39D11138}"/>
</file>

<file path=customXml/itemProps4.xml><?xml version="1.0" encoding="utf-8"?>
<ds:datastoreItem xmlns:ds="http://schemas.openxmlformats.org/officeDocument/2006/customXml" ds:itemID="{8E230099-85E2-4F5D-B22D-A103C174065E}"/>
</file>

<file path=docProps/app.xml><?xml version="1.0" encoding="utf-8"?>
<Properties xmlns="http://schemas.openxmlformats.org/officeDocument/2006/extended-properties" xmlns:vt="http://schemas.openxmlformats.org/officeDocument/2006/docPropsVTypes">
  <Template>Normal</Template>
  <TotalTime>0</TotalTime>
  <Pages>10</Pages>
  <Words>3842</Words>
  <Characters>21132</Characters>
  <Application>Microsoft Office Word</Application>
  <DocSecurity>0</DocSecurity>
  <Lines>176</Lines>
  <Paragraphs>49</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24925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ludovico ruggieri</dc:creator>
  <cp:keywords/>
  <dc:description/>
  <cp:lastModifiedBy>ASUS</cp:lastModifiedBy>
  <cp:revision>2</cp:revision>
  <dcterms:created xsi:type="dcterms:W3CDTF">2019-09-06T04:59:00Z</dcterms:created>
  <dcterms:modified xsi:type="dcterms:W3CDTF">2019-09-06T04:59:00Z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