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7F690A" w:rsidRDefault="00C05D9B" w:rsidP="007F690A"/>
    <w:p w14:paraId="4A12DA73" w14:textId="77777777" w:rsidR="00D449F6" w:rsidRPr="007F690A" w:rsidRDefault="00D449F6" w:rsidP="007F690A">
      <w:pPr>
        <w:pStyle w:val="TitlePageHeading"/>
        <w:tabs>
          <w:tab w:val="left" w:pos="5370"/>
        </w:tabs>
        <w:rPr>
          <w:rFonts w:cs="Times New Roman"/>
          <w:szCs w:val="24"/>
        </w:rPr>
      </w:pPr>
    </w:p>
    <w:p w14:paraId="43F13231" w14:textId="2335EB46" w:rsidR="004B1E4E" w:rsidRPr="007F690A" w:rsidRDefault="00D449F6" w:rsidP="007F690A">
      <w:pPr>
        <w:pStyle w:val="TitlePageHeading"/>
        <w:tabs>
          <w:tab w:val="left" w:pos="5370"/>
        </w:tabs>
        <w:rPr>
          <w:rFonts w:cs="Times New Roman"/>
          <w:szCs w:val="24"/>
        </w:rPr>
      </w:pPr>
      <w:r w:rsidRPr="007F690A">
        <w:rPr>
          <w:rFonts w:cs="Times New Roman"/>
          <w:szCs w:val="24"/>
        </w:rPr>
        <w:t>Shadow Report</w:t>
      </w:r>
      <w:r w:rsidR="006A695D" w:rsidRPr="007F690A">
        <w:rPr>
          <w:rFonts w:cs="Times New Roman"/>
          <w:szCs w:val="24"/>
        </w:rPr>
        <w:t xml:space="preserve">: </w:t>
      </w:r>
      <w:r w:rsidR="00543C8A" w:rsidRPr="007F690A">
        <w:rPr>
          <w:rFonts w:cs="Times New Roman"/>
          <w:szCs w:val="24"/>
        </w:rPr>
        <w:t>LBT</w:t>
      </w:r>
      <w:r w:rsidR="00505616" w:rsidRPr="007F690A">
        <w:rPr>
          <w:rFonts w:cs="Times New Roman"/>
          <w:szCs w:val="24"/>
        </w:rPr>
        <w:t>I</w:t>
      </w:r>
      <w:r w:rsidR="00543C8A" w:rsidRPr="007F690A">
        <w:rPr>
          <w:rFonts w:cs="Times New Roman"/>
          <w:szCs w:val="24"/>
        </w:rPr>
        <w:t>Q</w:t>
      </w:r>
      <w:r w:rsidR="00505616" w:rsidRPr="007F690A">
        <w:rPr>
          <w:rFonts w:cs="Times New Roman"/>
          <w:szCs w:val="24"/>
        </w:rPr>
        <w:t>+</w:t>
      </w:r>
      <w:r w:rsidR="006A695D" w:rsidRPr="007F690A">
        <w:rPr>
          <w:rFonts w:cs="Times New Roman"/>
          <w:szCs w:val="24"/>
        </w:rPr>
        <w:t xml:space="preserve"> Women in Lesotho</w:t>
      </w:r>
    </w:p>
    <w:p w14:paraId="5DC74E00" w14:textId="0D86E8FA" w:rsidR="00550A8F" w:rsidRPr="007F690A" w:rsidRDefault="00550A8F" w:rsidP="007F690A">
      <w:pPr>
        <w:pStyle w:val="TitlePageHeading"/>
        <w:outlineLvl w:val="9"/>
        <w:rPr>
          <w:rFonts w:cs="Times New Roman"/>
          <w:szCs w:val="24"/>
        </w:rPr>
      </w:pPr>
    </w:p>
    <w:p w14:paraId="26D24DDC" w14:textId="412D33F5" w:rsidR="004B1E4E" w:rsidRPr="007F690A" w:rsidRDefault="004B1E4E" w:rsidP="007F690A">
      <w:pPr>
        <w:pStyle w:val="TitlePageHeading"/>
        <w:outlineLvl w:val="9"/>
        <w:rPr>
          <w:rFonts w:cs="Times New Roman"/>
          <w:szCs w:val="24"/>
        </w:rPr>
      </w:pPr>
      <w:r w:rsidRPr="007F690A">
        <w:rPr>
          <w:rFonts w:cs="Times New Roman"/>
          <w:szCs w:val="24"/>
        </w:rPr>
        <w:t xml:space="preserve">Submitted by </w:t>
      </w:r>
      <w:r w:rsidR="00AA7FCB" w:rsidRPr="007F690A">
        <w:rPr>
          <w:rFonts w:cs="Times New Roman"/>
          <w:szCs w:val="24"/>
        </w:rPr>
        <w:t>T</w:t>
      </w:r>
      <w:r w:rsidRPr="007F690A">
        <w:rPr>
          <w:rFonts w:cs="Times New Roman"/>
          <w:szCs w:val="24"/>
        </w:rPr>
        <w:t>he Advocates for Human Rights</w:t>
      </w:r>
    </w:p>
    <w:p w14:paraId="25D3BE21" w14:textId="0D3E4BE1" w:rsidR="00550A8F" w:rsidRPr="007F690A" w:rsidRDefault="004B1E4E" w:rsidP="007F690A">
      <w:pPr>
        <w:pStyle w:val="TitlePageSubheading"/>
      </w:pPr>
      <w:r w:rsidRPr="007F690A">
        <w:t>a non-governmental organization in special consultative status with ECOSOC</w:t>
      </w:r>
      <w:r w:rsidR="00624A10" w:rsidRPr="007F690A">
        <w:t xml:space="preserve"> since 1996</w:t>
      </w:r>
      <w:r w:rsidR="00550A8F" w:rsidRPr="007F690A">
        <w:t xml:space="preserve"> </w:t>
      </w:r>
    </w:p>
    <w:p w14:paraId="5D0E9FCD" w14:textId="77777777" w:rsidR="00716FA6" w:rsidRPr="007F690A" w:rsidRDefault="00716FA6" w:rsidP="007F690A">
      <w:pPr>
        <w:pStyle w:val="TitlePageSubheading"/>
        <w:rPr>
          <w:b/>
          <w:bCs/>
        </w:rPr>
      </w:pPr>
    </w:p>
    <w:p w14:paraId="7078E237" w14:textId="7B88CEA4" w:rsidR="00014C49" w:rsidRPr="007F690A" w:rsidRDefault="00014C49" w:rsidP="007F690A">
      <w:pPr>
        <w:pStyle w:val="TitlePageSubheading"/>
      </w:pPr>
      <w:r w:rsidRPr="007F690A">
        <w:t>and</w:t>
      </w:r>
    </w:p>
    <w:p w14:paraId="3AAA6045" w14:textId="77777777" w:rsidR="00014C49" w:rsidRPr="007F690A" w:rsidRDefault="00014C49" w:rsidP="007F690A">
      <w:pPr>
        <w:pStyle w:val="TitlePageSubheading"/>
        <w:rPr>
          <w:b/>
          <w:bCs/>
        </w:rPr>
      </w:pPr>
    </w:p>
    <w:p w14:paraId="5CBA81F1" w14:textId="7EF69E16" w:rsidR="00014C49" w:rsidRPr="007F690A" w:rsidRDefault="009F7984" w:rsidP="007F690A">
      <w:pPr>
        <w:pStyle w:val="TitlePageSubheading"/>
        <w:rPr>
          <w:b/>
          <w:bCs/>
        </w:rPr>
      </w:pPr>
      <w:r w:rsidRPr="007F690A">
        <w:rPr>
          <w:b/>
        </w:rPr>
        <w:t>The Master of Healing Foundation</w:t>
      </w:r>
    </w:p>
    <w:p w14:paraId="4255F0C1" w14:textId="77777777" w:rsidR="00014C49" w:rsidRPr="007F690A" w:rsidRDefault="00014C49" w:rsidP="007F690A">
      <w:pPr>
        <w:pStyle w:val="TitlePageSubheading"/>
        <w:rPr>
          <w:b/>
          <w:bCs/>
        </w:rPr>
      </w:pPr>
    </w:p>
    <w:p w14:paraId="24E688AE" w14:textId="43DF96A3" w:rsidR="004B1E4E" w:rsidRPr="007F690A" w:rsidRDefault="004B1E4E" w:rsidP="007F690A">
      <w:pPr>
        <w:pStyle w:val="TitlePageSubheading"/>
      </w:pPr>
      <w:r w:rsidRPr="007F690A">
        <w:t>for the</w:t>
      </w:r>
      <w:r w:rsidR="00EE3828" w:rsidRPr="007F690A">
        <w:t xml:space="preserve"> </w:t>
      </w:r>
      <w:r w:rsidR="006243ED" w:rsidRPr="007F690A">
        <w:t>92</w:t>
      </w:r>
      <w:r w:rsidR="00921CE6" w:rsidRPr="007F690A">
        <w:t>nd</w:t>
      </w:r>
      <w:r w:rsidR="006243ED" w:rsidRPr="007F690A">
        <w:t xml:space="preserve"> </w:t>
      </w:r>
      <w:r w:rsidRPr="007F690A">
        <w:t xml:space="preserve">Session of the </w:t>
      </w:r>
      <w:r w:rsidR="0028279B" w:rsidRPr="007F690A">
        <w:t>Committee</w:t>
      </w:r>
      <w:r w:rsidR="00E74D8C" w:rsidRPr="007F690A">
        <w:t xml:space="preserve"> on the Elimination of </w:t>
      </w:r>
      <w:r w:rsidR="0028279B" w:rsidRPr="007F690A">
        <w:t>Discrimination against Women</w:t>
      </w:r>
    </w:p>
    <w:p w14:paraId="2364C833" w14:textId="4BE0473B" w:rsidR="0031166B" w:rsidRPr="007F690A" w:rsidRDefault="004231D3" w:rsidP="007F690A">
      <w:pPr>
        <w:pStyle w:val="TitlePageSubheading"/>
      </w:pPr>
      <w:r w:rsidRPr="007F690A">
        <w:t>02</w:t>
      </w:r>
      <w:r w:rsidR="009C77F2" w:rsidRPr="007F690A">
        <w:t xml:space="preserve"> </w:t>
      </w:r>
      <w:r w:rsidRPr="007F690A">
        <w:t>February</w:t>
      </w:r>
      <w:r w:rsidR="005933C7" w:rsidRPr="007F690A">
        <w:t>–</w:t>
      </w:r>
      <w:r w:rsidRPr="007F690A">
        <w:t>20</w:t>
      </w:r>
      <w:r w:rsidR="009C77F2" w:rsidRPr="007F690A">
        <w:t xml:space="preserve"> </w:t>
      </w:r>
      <w:r w:rsidRPr="007F690A">
        <w:t>February</w:t>
      </w:r>
      <w:r w:rsidR="009C77F2" w:rsidRPr="007F690A">
        <w:t xml:space="preserve"> 20</w:t>
      </w:r>
      <w:r w:rsidRPr="007F690A">
        <w:t>26</w:t>
      </w:r>
    </w:p>
    <w:p w14:paraId="4E22A074" w14:textId="77777777" w:rsidR="005933C7" w:rsidRPr="007F690A" w:rsidRDefault="005933C7" w:rsidP="007F690A">
      <w:pPr>
        <w:pStyle w:val="TitlePageSubheading"/>
      </w:pPr>
    </w:p>
    <w:p w14:paraId="3D93E372" w14:textId="7551B303" w:rsidR="00C214BA" w:rsidRPr="007F690A" w:rsidRDefault="00C214BA" w:rsidP="007F690A">
      <w:pPr>
        <w:pStyle w:val="TitlePageSubheading"/>
      </w:pPr>
      <w:r w:rsidRPr="007F690A">
        <w:t>Submitted</w:t>
      </w:r>
      <w:r w:rsidR="000C3AB0" w:rsidRPr="007F690A">
        <w:t xml:space="preserve"> </w:t>
      </w:r>
      <w:r w:rsidR="00E7239D" w:rsidRPr="007F690A">
        <w:t>0</w:t>
      </w:r>
      <w:r w:rsidR="00565E69" w:rsidRPr="007F690A">
        <w:t>5</w:t>
      </w:r>
      <w:r w:rsidR="00DE3E4D" w:rsidRPr="007F690A">
        <w:t xml:space="preserve"> </w:t>
      </w:r>
      <w:r w:rsidR="00E7239D" w:rsidRPr="007F690A">
        <w:t>January</w:t>
      </w:r>
      <w:r w:rsidR="009C77F2" w:rsidRPr="007F690A">
        <w:t xml:space="preserve"> 20</w:t>
      </w:r>
      <w:r w:rsidR="00E7239D" w:rsidRPr="007F690A">
        <w:t>26</w:t>
      </w:r>
    </w:p>
    <w:p w14:paraId="4EBFAEDD" w14:textId="5A1D8358" w:rsidR="004B1E4E" w:rsidRPr="007F690A" w:rsidRDefault="004B1E4E" w:rsidP="007F690A">
      <w:pPr>
        <w:pStyle w:val="TitlePageSubheading"/>
      </w:pPr>
    </w:p>
    <w:p w14:paraId="648105ED" w14:textId="44F85FB0" w:rsidR="00B57967" w:rsidRPr="007F690A" w:rsidRDefault="00B57967" w:rsidP="007F690A">
      <w:pPr>
        <w:widowControl w:val="0"/>
        <w:pBdr>
          <w:top w:val="nil"/>
          <w:left w:val="nil"/>
          <w:bottom w:val="nil"/>
          <w:right w:val="nil"/>
          <w:between w:val="nil"/>
        </w:pBdr>
        <w:spacing w:after="240"/>
        <w:jc w:val="both"/>
      </w:pPr>
      <w:r w:rsidRPr="007F690A">
        <w:rPr>
          <w:b/>
        </w:rPr>
        <w:t>The Advocates for Human Rights</w:t>
      </w:r>
      <w:r w:rsidRPr="007F690A">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7F690A">
        <w:rPr>
          <w:b/>
        </w:rPr>
        <w:t xml:space="preserve"> </w:t>
      </w:r>
      <w:r w:rsidRPr="007F690A">
        <w:t>including LBT</w:t>
      </w:r>
      <w:r w:rsidR="00734DE5" w:rsidRPr="007F690A">
        <w:t>I</w:t>
      </w:r>
      <w:r w:rsidRPr="007F690A">
        <w:t>Q+ individuals who have experienced discrimination and violence based on sexual orientation, gender identity and expression, and sex characteristics.</w:t>
      </w:r>
    </w:p>
    <w:p w14:paraId="44CD541A" w14:textId="77777777" w:rsidR="00B57967" w:rsidRPr="007F690A" w:rsidRDefault="00B57967" w:rsidP="007F690A">
      <w:pPr>
        <w:widowControl w:val="0"/>
        <w:pBdr>
          <w:top w:val="nil"/>
          <w:left w:val="nil"/>
          <w:bottom w:val="nil"/>
          <w:right w:val="nil"/>
          <w:between w:val="nil"/>
        </w:pBdr>
        <w:spacing w:after="240"/>
        <w:jc w:val="both"/>
      </w:pPr>
      <w:r w:rsidRPr="007F690A">
        <w:rPr>
          <w:b/>
          <w:bCs/>
        </w:rPr>
        <w:t xml:space="preserve">The Master of Healing Foundation </w:t>
      </w:r>
      <w:r w:rsidRPr="007F690A">
        <w:t xml:space="preserve">is a humanitarian institution that promotes equality and human rights by protecting and empowering the rights of the LGBTQ+ community in Lesotho. Our key objective is to create a conducive environment for LGBTQ+ community in Lesotho through a well-coordinated system that has been mapped. The said environment includes but not limited to Human rights, Access to Health and Education Services, Freedom of Expression and acceptance of individual’s SOGIESC within communities. The key element is to change the landscape in family and community set-ups to curb discrimination, rape and assaults against being LGBTQ+ through advocacy. </w:t>
      </w:r>
    </w:p>
    <w:p w14:paraId="38820AE5" w14:textId="77777777" w:rsidR="00C57BEC" w:rsidRPr="007F690A" w:rsidRDefault="00C57BEC" w:rsidP="007F690A">
      <w:pPr>
        <w:pStyle w:val="ExecutiveSummary"/>
      </w:pPr>
    </w:p>
    <w:p w14:paraId="0610EF84" w14:textId="77777777" w:rsidR="00B57967" w:rsidRPr="007F690A" w:rsidRDefault="00B57967" w:rsidP="007F690A">
      <w:pPr>
        <w:rPr>
          <w:b/>
          <w:caps/>
        </w:rPr>
      </w:pPr>
      <w:r w:rsidRPr="007F690A">
        <w:br w:type="page"/>
      </w:r>
    </w:p>
    <w:p w14:paraId="1FC77D31" w14:textId="5B311C20" w:rsidR="004B1E4E" w:rsidRPr="007F690A" w:rsidRDefault="004B1E4E" w:rsidP="007F690A">
      <w:pPr>
        <w:pStyle w:val="ExecutiveSummary"/>
        <w:spacing w:after="240"/>
        <w:outlineLvl w:val="0"/>
      </w:pPr>
      <w:r w:rsidRPr="007F690A">
        <w:lastRenderedPageBreak/>
        <w:t>Executive Summary</w:t>
      </w:r>
    </w:p>
    <w:p w14:paraId="118C584A" w14:textId="3BFF9965" w:rsidR="0056751F" w:rsidRPr="007F690A" w:rsidRDefault="0056751F" w:rsidP="007F690A">
      <w:pPr>
        <w:numPr>
          <w:ilvl w:val="0"/>
          <w:numId w:val="4"/>
        </w:numPr>
        <w:pBdr>
          <w:top w:val="nil"/>
          <w:left w:val="nil"/>
          <w:bottom w:val="nil"/>
          <w:right w:val="nil"/>
          <w:between w:val="nil"/>
        </w:pBdr>
        <w:spacing w:after="120"/>
        <w:jc w:val="both"/>
      </w:pPr>
      <w:r w:rsidRPr="007F690A">
        <w:t xml:space="preserve">This shadow report addresses human rights violations against the lesbian, bisexual, transgender, </w:t>
      </w:r>
      <w:r w:rsidR="005C061C" w:rsidRPr="007F690A">
        <w:t xml:space="preserve">and </w:t>
      </w:r>
      <w:r w:rsidRPr="007F690A">
        <w:t>queer</w:t>
      </w:r>
      <w:r w:rsidR="005C061C" w:rsidRPr="007F690A">
        <w:t xml:space="preserve"> women</w:t>
      </w:r>
      <w:r w:rsidRPr="007F690A">
        <w:t xml:space="preserve"> (</w:t>
      </w:r>
      <w:r w:rsidR="00805301" w:rsidRPr="007F690A">
        <w:t>LBTQ</w:t>
      </w:r>
      <w:r w:rsidRPr="007F690A">
        <w:t>+) in Lesotho</w:t>
      </w:r>
      <w:r w:rsidR="00CD4AEB" w:rsidRPr="007F690A">
        <w:t>.</w:t>
      </w:r>
    </w:p>
    <w:p w14:paraId="5F61203F" w14:textId="3C5AC233" w:rsidR="00B70E2F" w:rsidRPr="007F690A" w:rsidRDefault="00B70E2F" w:rsidP="007F690A">
      <w:pPr>
        <w:numPr>
          <w:ilvl w:val="0"/>
          <w:numId w:val="4"/>
        </w:numPr>
        <w:pBdr>
          <w:top w:val="nil"/>
          <w:left w:val="nil"/>
          <w:bottom w:val="nil"/>
          <w:right w:val="nil"/>
          <w:between w:val="nil"/>
        </w:pBdr>
        <w:spacing w:after="120"/>
        <w:jc w:val="both"/>
      </w:pPr>
      <w:r w:rsidRPr="007F690A">
        <w:t xml:space="preserve">In this report, we use the acronym </w:t>
      </w:r>
      <w:r w:rsidR="00805301" w:rsidRPr="007F690A">
        <w:t>LBTQ</w:t>
      </w:r>
      <w:r w:rsidRPr="007F690A">
        <w:t xml:space="preserve">+ to refer to women who self-identify as lesbian, bisexual, transgender, and/or queer. These terms necessarily do not include all women who may experience violations of their human rights </w:t>
      </w:r>
      <w:r w:rsidR="006D6C6E" w:rsidRPr="007F690A">
        <w:t xml:space="preserve">based </w:t>
      </w:r>
      <w:r w:rsidRPr="007F690A">
        <w:t xml:space="preserve">on their real or perceived sexual orientation, gender identity, and/or gender expression status, which is why we included a “+” with the acronym. </w:t>
      </w:r>
      <w:r w:rsidR="003765DE" w:rsidRPr="007F690A">
        <w:t>Variations of the acronym —including LGBTIQ+ which includes gay, bisexual, transgender, intersex, and queer men and gender-diverse individuals—are intentional.</w:t>
      </w:r>
    </w:p>
    <w:p w14:paraId="5023DC5C" w14:textId="619C0210" w:rsidR="004D5577" w:rsidRPr="007F690A" w:rsidRDefault="0056751F" w:rsidP="007F690A">
      <w:pPr>
        <w:numPr>
          <w:ilvl w:val="0"/>
          <w:numId w:val="4"/>
        </w:numPr>
        <w:pBdr>
          <w:top w:val="nil"/>
          <w:left w:val="nil"/>
          <w:bottom w:val="nil"/>
          <w:right w:val="nil"/>
          <w:between w:val="nil"/>
        </w:pBdr>
        <w:spacing w:after="120"/>
        <w:jc w:val="both"/>
      </w:pPr>
      <w:r w:rsidRPr="007F690A">
        <w:t xml:space="preserve">Lesotho fails to adequately prevent violence, harassment, and discrimination by State and non-State actors against </w:t>
      </w:r>
      <w:r w:rsidR="005C061C" w:rsidRPr="007F690A">
        <w:t>women</w:t>
      </w:r>
      <w:r w:rsidR="00CD4AEB" w:rsidRPr="007F690A">
        <w:t xml:space="preserve"> </w:t>
      </w:r>
      <w:r w:rsidRPr="007F690A">
        <w:t xml:space="preserve">based on their perceived and actual sexual orientation, gender identity, and gender expression (SOGIE). Despite some promising developments, such as Lesotho’s efforts to make healthcare more accessible to </w:t>
      </w:r>
      <w:r w:rsidR="00AD6A7A" w:rsidRPr="007F690A">
        <w:t>LBTQ</w:t>
      </w:r>
      <w:r w:rsidRPr="007F690A">
        <w:t xml:space="preserve">+ </w:t>
      </w:r>
      <w:r w:rsidR="005C061C" w:rsidRPr="007F690A">
        <w:t>women</w:t>
      </w:r>
      <w:r w:rsidRPr="007F690A">
        <w:t xml:space="preserve"> and public statements by Chief Justice S. P. </w:t>
      </w:r>
      <w:proofErr w:type="spellStart"/>
      <w:r w:rsidRPr="007F690A">
        <w:t>Sakoane</w:t>
      </w:r>
      <w:proofErr w:type="spellEnd"/>
      <w:r w:rsidRPr="007F690A">
        <w:t xml:space="preserve"> calling for the “cultivation of an LGBTIQ sensitive culture,”</w:t>
      </w:r>
      <w:r w:rsidR="004D5577" w:rsidRPr="007F690A">
        <w:rPr>
          <w:rStyle w:val="FootnoteReference"/>
        </w:rPr>
        <w:footnoteReference w:id="2"/>
      </w:r>
      <w:r w:rsidR="004D5577" w:rsidRPr="007F690A">
        <w:t xml:space="preserve"> </w:t>
      </w:r>
      <w:r w:rsidR="00AD6A7A" w:rsidRPr="007F690A">
        <w:t>LBTQ</w:t>
      </w:r>
      <w:r w:rsidR="004D5577" w:rsidRPr="007F690A">
        <w:t>+ women do not enjoy the same rights and freedoms as non-</w:t>
      </w:r>
      <w:r w:rsidR="00AD6A7A" w:rsidRPr="007F690A">
        <w:t>LBTQ</w:t>
      </w:r>
      <w:r w:rsidR="004D5577" w:rsidRPr="007F690A">
        <w:t>+ women in Lesotho.</w:t>
      </w:r>
    </w:p>
    <w:p w14:paraId="0AC98839" w14:textId="0517C9C7" w:rsidR="004D5577" w:rsidRPr="007F690A" w:rsidRDefault="00AD6A7A" w:rsidP="007F690A">
      <w:pPr>
        <w:numPr>
          <w:ilvl w:val="0"/>
          <w:numId w:val="4"/>
        </w:numPr>
        <w:pBdr>
          <w:top w:val="nil"/>
          <w:left w:val="nil"/>
          <w:bottom w:val="nil"/>
          <w:right w:val="nil"/>
          <w:between w:val="nil"/>
        </w:pBdr>
        <w:spacing w:after="120"/>
        <w:jc w:val="both"/>
      </w:pPr>
      <w:r w:rsidRPr="007F690A">
        <w:t>LBTQ</w:t>
      </w:r>
      <w:r w:rsidR="004D5577" w:rsidRPr="007F690A">
        <w:t xml:space="preserve">+ women in Lesotho are subjected to discrimination by both State and non-State actors, including </w:t>
      </w:r>
      <w:proofErr w:type="gramStart"/>
      <w:r w:rsidR="004D5577" w:rsidRPr="007F690A">
        <w:t>with regard to</w:t>
      </w:r>
      <w:proofErr w:type="gramEnd"/>
      <w:r w:rsidR="004D5577" w:rsidRPr="007F690A">
        <w:t xml:space="preserve"> their right to health, access to justice, and legal gender recognition. </w:t>
      </w:r>
    </w:p>
    <w:p w14:paraId="707B9B2A" w14:textId="138FF588" w:rsidR="004D5577" w:rsidRPr="007F690A" w:rsidRDefault="004D5577" w:rsidP="007F690A">
      <w:pPr>
        <w:numPr>
          <w:ilvl w:val="0"/>
          <w:numId w:val="4"/>
        </w:numPr>
        <w:pBdr>
          <w:top w:val="nil"/>
          <w:left w:val="nil"/>
          <w:bottom w:val="nil"/>
          <w:right w:val="nil"/>
          <w:between w:val="nil"/>
        </w:pBdr>
        <w:spacing w:after="120"/>
        <w:jc w:val="both"/>
      </w:pPr>
      <w:r w:rsidRPr="007F690A">
        <w:rPr>
          <w:highlight w:val="white"/>
        </w:rPr>
        <w:t>The Constitution of Lesotho does not explicitly include “sexual orientation”, “gender identity,” or “gender expression” as protected grounds of discrimination.</w:t>
      </w:r>
    </w:p>
    <w:p w14:paraId="50FC9DC2" w14:textId="51FEBB9F" w:rsidR="004D5577" w:rsidRPr="007F690A" w:rsidRDefault="004D5577" w:rsidP="007F690A">
      <w:pPr>
        <w:numPr>
          <w:ilvl w:val="0"/>
          <w:numId w:val="4"/>
        </w:numPr>
        <w:pBdr>
          <w:top w:val="nil"/>
          <w:left w:val="nil"/>
          <w:bottom w:val="nil"/>
          <w:right w:val="nil"/>
          <w:between w:val="nil"/>
        </w:pBdr>
        <w:spacing w:after="120"/>
        <w:jc w:val="both"/>
      </w:pPr>
      <w:r w:rsidRPr="007F690A">
        <w:t xml:space="preserve">Lesotho has not enacted any laws to protect </w:t>
      </w:r>
      <w:r w:rsidR="00AD6A7A" w:rsidRPr="007F690A">
        <w:t>LBTQ</w:t>
      </w:r>
      <w:r w:rsidRPr="007F690A">
        <w:t xml:space="preserve">+ individuals from discrimination, harassment, or violence based on SOGIE. </w:t>
      </w:r>
    </w:p>
    <w:p w14:paraId="6A5A0494" w14:textId="617377C0" w:rsidR="004D5577" w:rsidRPr="007F690A" w:rsidRDefault="004D5577" w:rsidP="007F690A">
      <w:pPr>
        <w:numPr>
          <w:ilvl w:val="0"/>
          <w:numId w:val="4"/>
        </w:numPr>
        <w:pBdr>
          <w:top w:val="nil"/>
          <w:left w:val="nil"/>
          <w:bottom w:val="nil"/>
          <w:right w:val="nil"/>
          <w:between w:val="nil"/>
        </w:pBdr>
        <w:spacing w:after="120"/>
        <w:jc w:val="both"/>
      </w:pPr>
      <w:r w:rsidRPr="007F690A">
        <w:t xml:space="preserve">Information in this report includes published information and first-hand material collected by non-governmental organizations (NGOs) and human rights defenders in Lesotho that work on </w:t>
      </w:r>
      <w:r w:rsidR="00AD6A7A" w:rsidRPr="007F690A">
        <w:t>LBTQ</w:t>
      </w:r>
      <w:r w:rsidRPr="007F690A">
        <w:t xml:space="preserve">+ issues. </w:t>
      </w:r>
    </w:p>
    <w:p w14:paraId="2A806A3B" w14:textId="4287D697"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 xml:space="preserve">Legal Status and Visibility of the Convention and its Optional Protocol </w:t>
      </w:r>
      <w:r w:rsidR="000A350C">
        <w:rPr>
          <w:rFonts w:eastAsia="Malgun Gothic" w:cs="Times New Roman"/>
          <w:szCs w:val="24"/>
          <w:lang w:eastAsia="ko-KR"/>
        </w:rPr>
        <w:t>(List of Issues, para. 2)</w:t>
      </w:r>
    </w:p>
    <w:p w14:paraId="55B27216" w14:textId="3545432A" w:rsidR="004D5577" w:rsidRPr="007F690A" w:rsidRDefault="004D5577" w:rsidP="006A3A87">
      <w:pPr>
        <w:numPr>
          <w:ilvl w:val="0"/>
          <w:numId w:val="4"/>
        </w:numPr>
        <w:pBdr>
          <w:top w:val="nil"/>
          <w:left w:val="nil"/>
          <w:bottom w:val="nil"/>
          <w:right w:val="nil"/>
          <w:between w:val="nil"/>
        </w:pBdr>
        <w:spacing w:after="120"/>
        <w:jc w:val="both"/>
      </w:pPr>
      <w:r w:rsidRPr="007F690A">
        <w:t xml:space="preserve">Since the last Concluding Observations of the Committee on the Elimination of Discrimination Against Women (“CEDAW”), the Government of Lesotho has implemented its Gender and Development Policy 2018-30, which includes policies related to </w:t>
      </w:r>
      <w:r w:rsidR="00AD6A7A" w:rsidRPr="007F690A">
        <w:t>LBTQ</w:t>
      </w:r>
      <w:r w:rsidRPr="007F690A">
        <w:t xml:space="preserve">+ issues. Additionally, the Government has been working with LGBTIQ+ civil society organizations to host trainings on sexual minorities for officials of the Ministry of </w:t>
      </w:r>
      <w:r w:rsidRPr="007F690A">
        <w:lastRenderedPageBreak/>
        <w:t>Gender.</w:t>
      </w:r>
      <w:r w:rsidRPr="006A3A87">
        <w:footnoteReference w:id="3"/>
      </w:r>
      <w:r w:rsidRPr="007F690A">
        <w:t xml:space="preserve"> Some prominent individuals, such as Lesotho’s Chief Justice S.P. </w:t>
      </w:r>
      <w:proofErr w:type="spellStart"/>
      <w:r w:rsidRPr="007F690A">
        <w:t>Sakoane</w:t>
      </w:r>
      <w:proofErr w:type="spellEnd"/>
      <w:r w:rsidRPr="007F690A">
        <w:t xml:space="preserve"> have also publicly called for the “cultivation of an LGBITQ sensitive culture.”</w:t>
      </w:r>
      <w:r w:rsidRPr="006A3A87">
        <w:rPr>
          <w:vertAlign w:val="superscript"/>
        </w:rPr>
        <w:footnoteReference w:id="4"/>
      </w:r>
    </w:p>
    <w:p w14:paraId="34E4D8CC" w14:textId="3ED6E8EC" w:rsidR="004D5577" w:rsidRPr="007F690A" w:rsidRDefault="004D5577" w:rsidP="006A3A87">
      <w:pPr>
        <w:numPr>
          <w:ilvl w:val="0"/>
          <w:numId w:val="4"/>
        </w:numPr>
        <w:pBdr>
          <w:top w:val="nil"/>
          <w:left w:val="nil"/>
          <w:bottom w:val="nil"/>
          <w:right w:val="nil"/>
          <w:between w:val="nil"/>
        </w:pBdr>
        <w:spacing w:after="120"/>
        <w:jc w:val="both"/>
      </w:pPr>
      <w:r w:rsidRPr="007F690A">
        <w:t>Additionally, Lesotho’s current legal framework allows for legal gender recognition.</w:t>
      </w:r>
      <w:r w:rsidRPr="007F690A">
        <w:rPr>
          <w:vertAlign w:val="superscript"/>
        </w:rPr>
        <w:footnoteReference w:id="5"/>
      </w:r>
      <w:r w:rsidRPr="007F690A">
        <w:t xml:space="preserve"> The laws that permit legal gender recognition, however, include outdated terminology, lack guidelines, and contain inconsistencies, which make it difficult for transgender women in Lesotho to successfully apply for legal gender recognition.</w:t>
      </w:r>
      <w:r w:rsidRPr="007F690A">
        <w:rPr>
          <w:vertAlign w:val="superscript"/>
        </w:rPr>
        <w:footnoteReference w:id="6"/>
      </w:r>
      <w:r w:rsidRPr="007F690A">
        <w:t xml:space="preserve"> </w:t>
      </w:r>
    </w:p>
    <w:p w14:paraId="54E6B5BD" w14:textId="21B94307" w:rsidR="004D5577" w:rsidRPr="007F690A" w:rsidRDefault="004D5577" w:rsidP="006A3A87">
      <w:pPr>
        <w:numPr>
          <w:ilvl w:val="0"/>
          <w:numId w:val="4"/>
        </w:numPr>
        <w:pBdr>
          <w:top w:val="nil"/>
          <w:left w:val="nil"/>
          <w:bottom w:val="nil"/>
          <w:right w:val="nil"/>
          <w:between w:val="nil"/>
        </w:pBdr>
        <w:spacing w:after="120"/>
        <w:jc w:val="both"/>
      </w:pPr>
      <w:r w:rsidRPr="007F690A">
        <w:t>Without easy access to legal gender recognition, transgender women in Lesotho experience difficulties that cisgender individuals do not face, including, difficulty accessing healthcare; stigma associated with certain types of healthcare; and difficulty with travel, opening bank accounts, and the full enjoyment of other civil and political rights.</w:t>
      </w:r>
      <w:r w:rsidRPr="007F690A">
        <w:rPr>
          <w:vertAlign w:val="superscript"/>
        </w:rPr>
        <w:footnoteReference w:id="7"/>
      </w:r>
    </w:p>
    <w:p w14:paraId="5E7D0CF8" w14:textId="3185F072"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 xml:space="preserve">Definition of Equality and Non-Discrimination </w:t>
      </w:r>
      <w:r w:rsidR="000A350C">
        <w:rPr>
          <w:rFonts w:eastAsia="Malgun Gothic" w:cs="Times New Roman"/>
          <w:szCs w:val="24"/>
          <w:lang w:eastAsia="ko-KR"/>
        </w:rPr>
        <w:t>(List of Issues, para. 4)</w:t>
      </w:r>
    </w:p>
    <w:p w14:paraId="00FC1806" w14:textId="07857A57" w:rsidR="004D5577" w:rsidRPr="00EC3923" w:rsidRDefault="004D5577" w:rsidP="00EC3923">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 xml:space="preserve">In Lesotho, however, “discrimination against </w:t>
      </w:r>
      <w:r w:rsidR="00AD6A7A" w:rsidRPr="007F690A">
        <w:rPr>
          <w:rFonts w:ascii="Times New Roman" w:hAnsi="Times New Roman"/>
          <w:sz w:val="24"/>
          <w:szCs w:val="24"/>
        </w:rPr>
        <w:t>LBTQ</w:t>
      </w:r>
      <w:r w:rsidRPr="007F690A">
        <w:rPr>
          <w:rFonts w:ascii="Times New Roman" w:hAnsi="Times New Roman"/>
          <w:sz w:val="24"/>
          <w:szCs w:val="24"/>
        </w:rPr>
        <w:t xml:space="preserve">+ women manifests in various forms including: violence and abuse against the </w:t>
      </w:r>
      <w:r w:rsidR="00AD6A7A" w:rsidRPr="007F690A">
        <w:rPr>
          <w:rFonts w:ascii="Times New Roman" w:hAnsi="Times New Roman"/>
          <w:sz w:val="24"/>
          <w:szCs w:val="24"/>
        </w:rPr>
        <w:t>LBTQ</w:t>
      </w:r>
      <w:r w:rsidRPr="007F690A">
        <w:rPr>
          <w:rFonts w:ascii="Times New Roman" w:hAnsi="Times New Roman"/>
          <w:sz w:val="24"/>
          <w:szCs w:val="24"/>
        </w:rPr>
        <w:t xml:space="preserve">+ women, such as killings, forced initiations to purportedly ‘convert’ a person from their real or imputed same-sex sexual orientation to a heterosexual one or ‘restore’ transgender persons to a cisgender identity; rape and other forms of sexual assault, intimidation and harassment; bullying; denial of access to healthcare services, such as gender affirming care; and other forms of social exclusion, such as rejection of </w:t>
      </w:r>
      <w:r w:rsidR="00AD6A7A" w:rsidRPr="007F690A">
        <w:rPr>
          <w:rFonts w:ascii="Times New Roman" w:hAnsi="Times New Roman"/>
          <w:sz w:val="24"/>
          <w:szCs w:val="24"/>
        </w:rPr>
        <w:t>LBTQ</w:t>
      </w:r>
      <w:r w:rsidRPr="007F690A">
        <w:rPr>
          <w:rFonts w:ascii="Times New Roman" w:hAnsi="Times New Roman"/>
          <w:sz w:val="24"/>
          <w:szCs w:val="24"/>
        </w:rPr>
        <w:t>+ children by family members.”</w:t>
      </w:r>
      <w:r w:rsidRPr="007F690A">
        <w:rPr>
          <w:rFonts w:ascii="Times New Roman" w:hAnsi="Times New Roman"/>
          <w:sz w:val="24"/>
          <w:szCs w:val="24"/>
          <w:vertAlign w:val="superscript"/>
        </w:rPr>
        <w:footnoteReference w:id="8"/>
      </w:r>
    </w:p>
    <w:p w14:paraId="152231B5" w14:textId="7183AF78" w:rsidR="004D5577" w:rsidRPr="00EC3923" w:rsidRDefault="004D5577" w:rsidP="00EC3923">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lastRenderedPageBreak/>
        <w:t xml:space="preserve">Historically, many people in Lesotho have denied the existence of </w:t>
      </w:r>
      <w:r w:rsidR="00AD6A7A" w:rsidRPr="007F690A">
        <w:rPr>
          <w:rFonts w:ascii="Times New Roman" w:hAnsi="Times New Roman"/>
          <w:sz w:val="24"/>
          <w:szCs w:val="24"/>
        </w:rPr>
        <w:t>LBTQ</w:t>
      </w:r>
      <w:r w:rsidRPr="007F690A">
        <w:rPr>
          <w:rFonts w:ascii="Times New Roman" w:hAnsi="Times New Roman"/>
          <w:sz w:val="24"/>
          <w:szCs w:val="24"/>
        </w:rPr>
        <w:t>+ women in the country.</w:t>
      </w:r>
      <w:r w:rsidRPr="007F690A">
        <w:rPr>
          <w:rFonts w:ascii="Times New Roman" w:hAnsi="Times New Roman"/>
          <w:sz w:val="24"/>
          <w:szCs w:val="24"/>
          <w:vertAlign w:val="superscript"/>
        </w:rPr>
        <w:footnoteReference w:id="9"/>
      </w:r>
      <w:r w:rsidRPr="007F690A">
        <w:rPr>
          <w:rFonts w:ascii="Times New Roman" w:hAnsi="Times New Roman"/>
          <w:sz w:val="24"/>
          <w:szCs w:val="24"/>
        </w:rPr>
        <w:t xml:space="preserve"> Due to the historical lack of understanding of sexual and gender diversity, many people do not understand or accept </w:t>
      </w:r>
      <w:r w:rsidR="00AD6A7A" w:rsidRPr="007F690A">
        <w:rPr>
          <w:rFonts w:ascii="Times New Roman" w:hAnsi="Times New Roman"/>
          <w:sz w:val="24"/>
          <w:szCs w:val="24"/>
        </w:rPr>
        <w:t>LBTQ</w:t>
      </w:r>
      <w:r w:rsidRPr="007F690A">
        <w:rPr>
          <w:rFonts w:ascii="Times New Roman" w:hAnsi="Times New Roman"/>
          <w:sz w:val="24"/>
          <w:szCs w:val="24"/>
        </w:rPr>
        <w:t xml:space="preserve">+ women and believe that being </w:t>
      </w:r>
      <w:r w:rsidR="00AD6A7A" w:rsidRPr="007F690A">
        <w:rPr>
          <w:rFonts w:ascii="Times New Roman" w:hAnsi="Times New Roman"/>
          <w:sz w:val="24"/>
          <w:szCs w:val="24"/>
        </w:rPr>
        <w:t>LBTQ</w:t>
      </w:r>
      <w:r w:rsidRPr="007F690A">
        <w:rPr>
          <w:rFonts w:ascii="Times New Roman" w:hAnsi="Times New Roman"/>
          <w:sz w:val="24"/>
          <w:szCs w:val="24"/>
        </w:rPr>
        <w:t>+ is not “natural”.</w:t>
      </w:r>
      <w:r w:rsidRPr="007F690A">
        <w:rPr>
          <w:rFonts w:ascii="Times New Roman" w:hAnsi="Times New Roman"/>
          <w:sz w:val="24"/>
          <w:szCs w:val="24"/>
          <w:vertAlign w:val="superscript"/>
        </w:rPr>
        <w:footnoteReference w:id="10"/>
      </w:r>
    </w:p>
    <w:p w14:paraId="4AEE347C" w14:textId="448C586B" w:rsidR="004D5577" w:rsidRPr="00EC3923" w:rsidRDefault="004D5577" w:rsidP="00EC3923">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 xml:space="preserve">There have been reports of physical or verbal abuse by non-State actors towards </w:t>
      </w:r>
      <w:r w:rsidR="00AD6A7A" w:rsidRPr="007F690A">
        <w:rPr>
          <w:rFonts w:ascii="Times New Roman" w:hAnsi="Times New Roman"/>
          <w:sz w:val="24"/>
          <w:szCs w:val="24"/>
        </w:rPr>
        <w:t>LBTQ</w:t>
      </w:r>
      <w:r w:rsidRPr="007F690A">
        <w:rPr>
          <w:rFonts w:ascii="Times New Roman" w:hAnsi="Times New Roman"/>
          <w:sz w:val="24"/>
          <w:szCs w:val="24"/>
        </w:rPr>
        <w:t xml:space="preserve">+ individuals in Lesotho and there is currently no law criminalizing discrimination against or violence towards </w:t>
      </w:r>
      <w:r w:rsidR="00AD6A7A" w:rsidRPr="007F690A">
        <w:rPr>
          <w:rFonts w:ascii="Times New Roman" w:hAnsi="Times New Roman"/>
          <w:sz w:val="24"/>
          <w:szCs w:val="24"/>
        </w:rPr>
        <w:t>LBTQ</w:t>
      </w:r>
      <w:r w:rsidRPr="007F690A">
        <w:rPr>
          <w:rFonts w:ascii="Times New Roman" w:hAnsi="Times New Roman"/>
          <w:sz w:val="24"/>
          <w:szCs w:val="24"/>
        </w:rPr>
        <w:t>+ individuals.</w:t>
      </w:r>
      <w:r w:rsidRPr="007F690A">
        <w:rPr>
          <w:rFonts w:ascii="Times New Roman" w:hAnsi="Times New Roman"/>
          <w:sz w:val="24"/>
          <w:szCs w:val="24"/>
          <w:vertAlign w:val="superscript"/>
        </w:rPr>
        <w:footnoteReference w:id="11"/>
      </w:r>
      <w:r w:rsidRPr="007F690A">
        <w:rPr>
          <w:rFonts w:ascii="Times New Roman" w:hAnsi="Times New Roman"/>
          <w:sz w:val="24"/>
          <w:szCs w:val="24"/>
        </w:rPr>
        <w:t xml:space="preserve"> </w:t>
      </w:r>
    </w:p>
    <w:p w14:paraId="2AF60F81" w14:textId="2D77A9F9"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Access to Justice</w:t>
      </w:r>
      <w:r w:rsidR="000A350C">
        <w:rPr>
          <w:rFonts w:eastAsia="Malgun Gothic" w:cs="Times New Roman"/>
          <w:szCs w:val="24"/>
          <w:lang w:eastAsia="ko-KR"/>
        </w:rPr>
        <w:t xml:space="preserve"> (List of Issues, para. 6)</w:t>
      </w:r>
    </w:p>
    <w:p w14:paraId="53F3DD43" w14:textId="0A22AAB2" w:rsidR="004D5577" w:rsidRPr="007F690A" w:rsidRDefault="00AD6A7A" w:rsidP="006A3A87">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LBTQ</w:t>
      </w:r>
      <w:r w:rsidR="004D5577" w:rsidRPr="007F690A">
        <w:rPr>
          <w:rFonts w:ascii="Times New Roman" w:hAnsi="Times New Roman"/>
          <w:sz w:val="24"/>
          <w:szCs w:val="24"/>
        </w:rPr>
        <w:t xml:space="preserve">+ women in Lesotho do not share the same access to justice as women who are not part of the </w:t>
      </w:r>
      <w:r w:rsidRPr="007F690A">
        <w:rPr>
          <w:rFonts w:ascii="Times New Roman" w:hAnsi="Times New Roman"/>
          <w:sz w:val="24"/>
          <w:szCs w:val="24"/>
        </w:rPr>
        <w:t>LBTQ</w:t>
      </w:r>
      <w:r w:rsidR="004D5577" w:rsidRPr="007F690A">
        <w:rPr>
          <w:rFonts w:ascii="Times New Roman" w:hAnsi="Times New Roman"/>
          <w:sz w:val="24"/>
          <w:szCs w:val="24"/>
        </w:rPr>
        <w:t xml:space="preserve">+ community. There have been reports of physical or verbal abuse by non-State actors towards </w:t>
      </w:r>
      <w:r w:rsidRPr="007F690A">
        <w:rPr>
          <w:rFonts w:ascii="Times New Roman" w:hAnsi="Times New Roman"/>
          <w:sz w:val="24"/>
          <w:szCs w:val="24"/>
        </w:rPr>
        <w:t>LBTQ</w:t>
      </w:r>
      <w:r w:rsidR="004D5577" w:rsidRPr="007F690A">
        <w:rPr>
          <w:rFonts w:ascii="Times New Roman" w:hAnsi="Times New Roman"/>
          <w:sz w:val="24"/>
          <w:szCs w:val="24"/>
        </w:rPr>
        <w:t xml:space="preserve">+ women in Lesotho and there is currently no law criminalizing discrimination against or violence towards </w:t>
      </w:r>
      <w:r w:rsidRPr="007F690A">
        <w:rPr>
          <w:rFonts w:ascii="Times New Roman" w:hAnsi="Times New Roman"/>
          <w:sz w:val="24"/>
          <w:szCs w:val="24"/>
        </w:rPr>
        <w:t>LBTQ</w:t>
      </w:r>
      <w:r w:rsidR="004D5577" w:rsidRPr="007F690A">
        <w:rPr>
          <w:rFonts w:ascii="Times New Roman" w:hAnsi="Times New Roman"/>
          <w:sz w:val="24"/>
          <w:szCs w:val="24"/>
        </w:rPr>
        <w:t>+ women.</w:t>
      </w:r>
      <w:r w:rsidR="004D5577" w:rsidRPr="007F690A">
        <w:rPr>
          <w:rFonts w:ascii="Times New Roman" w:hAnsi="Times New Roman"/>
          <w:sz w:val="24"/>
          <w:szCs w:val="24"/>
          <w:vertAlign w:val="superscript"/>
        </w:rPr>
        <w:footnoteReference w:id="12"/>
      </w:r>
      <w:r w:rsidR="004D5577" w:rsidRPr="007F690A">
        <w:rPr>
          <w:rFonts w:ascii="Times New Roman" w:hAnsi="Times New Roman"/>
          <w:sz w:val="24"/>
          <w:szCs w:val="24"/>
        </w:rPr>
        <w:t xml:space="preserve"> </w:t>
      </w:r>
    </w:p>
    <w:p w14:paraId="26502823" w14:textId="7A26DF88" w:rsidR="004D5577" w:rsidRPr="007F690A" w:rsidRDefault="004D5577" w:rsidP="006A3A87">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Rainbow Alliance of Lesotho reports that there was a 2024 case of a transgender woman who was shot to death and was dumped near her home. While the alleged killer was arrested and is being held until his hearing on 10 October 2024, it is likely that there were at least two other men involved in the killing who have not been arrested and do not currently face prosecution.</w:t>
      </w:r>
      <w:r w:rsidRPr="007F690A">
        <w:rPr>
          <w:rStyle w:val="FootnoteReference"/>
          <w:rFonts w:ascii="Times New Roman" w:hAnsi="Times New Roman"/>
          <w:sz w:val="24"/>
          <w:szCs w:val="24"/>
        </w:rPr>
        <w:footnoteReference w:id="13"/>
      </w:r>
    </w:p>
    <w:p w14:paraId="7150B447" w14:textId="5D6E084A" w:rsidR="004D5577" w:rsidRPr="00EC3923" w:rsidRDefault="004D5577" w:rsidP="00EC3923">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 xml:space="preserve">Rainbow Alliance of Lesotho further reports that there is a pending case of a police officer who verbally assaulted a lesbian on public transport. This incident is not isolated, however, as Rainbow Alliance has collected several credible reports of law enforcement officers harassing and assaulting </w:t>
      </w:r>
      <w:r w:rsidR="00AD6A7A" w:rsidRPr="007F690A">
        <w:rPr>
          <w:rFonts w:ascii="Times New Roman" w:hAnsi="Times New Roman"/>
          <w:sz w:val="24"/>
          <w:szCs w:val="24"/>
        </w:rPr>
        <w:t>LBTQ</w:t>
      </w:r>
      <w:r w:rsidRPr="007F690A">
        <w:rPr>
          <w:rFonts w:ascii="Times New Roman" w:hAnsi="Times New Roman"/>
          <w:sz w:val="24"/>
          <w:szCs w:val="24"/>
        </w:rPr>
        <w:t xml:space="preserve">+ women, often with impunity. Many of the </w:t>
      </w:r>
      <w:r w:rsidR="00AD6A7A" w:rsidRPr="007F690A">
        <w:rPr>
          <w:rFonts w:ascii="Times New Roman" w:hAnsi="Times New Roman"/>
          <w:sz w:val="24"/>
          <w:szCs w:val="24"/>
        </w:rPr>
        <w:t>LBTQ</w:t>
      </w:r>
      <w:r w:rsidRPr="007F690A">
        <w:rPr>
          <w:rFonts w:ascii="Times New Roman" w:hAnsi="Times New Roman"/>
          <w:sz w:val="24"/>
          <w:szCs w:val="24"/>
        </w:rPr>
        <w:t xml:space="preserve">+ </w:t>
      </w:r>
      <w:r w:rsidRPr="007F690A">
        <w:rPr>
          <w:rFonts w:ascii="Times New Roman" w:hAnsi="Times New Roman"/>
          <w:sz w:val="24"/>
          <w:szCs w:val="24"/>
        </w:rPr>
        <w:lastRenderedPageBreak/>
        <w:t>women who reported these assaults have later found that the police station has misplaced or lost their dockets and case files.</w:t>
      </w:r>
      <w:r w:rsidRPr="007F690A">
        <w:rPr>
          <w:rStyle w:val="FootnoteReference"/>
          <w:rFonts w:ascii="Times New Roman" w:hAnsi="Times New Roman"/>
          <w:sz w:val="24"/>
          <w:szCs w:val="24"/>
        </w:rPr>
        <w:footnoteReference w:id="14"/>
      </w:r>
    </w:p>
    <w:p w14:paraId="7105E889" w14:textId="6ACCED06"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National Human Rights Institution</w:t>
      </w:r>
      <w:r w:rsidR="000A350C">
        <w:rPr>
          <w:rFonts w:eastAsia="Malgun Gothic" w:cs="Times New Roman"/>
          <w:szCs w:val="24"/>
          <w:lang w:eastAsia="ko-KR"/>
        </w:rPr>
        <w:t xml:space="preserve"> (List of Issues, para. </w:t>
      </w:r>
      <w:r w:rsidR="00C6320D">
        <w:rPr>
          <w:rFonts w:eastAsia="Malgun Gothic" w:cs="Times New Roman"/>
          <w:szCs w:val="24"/>
          <w:lang w:eastAsia="ko-KR"/>
        </w:rPr>
        <w:t>8)</w:t>
      </w:r>
    </w:p>
    <w:p w14:paraId="23DF9F0D" w14:textId="58AD8983" w:rsidR="004D5577" w:rsidRPr="007F690A" w:rsidRDefault="004D5577" w:rsidP="00EC3923">
      <w:pPr>
        <w:pStyle w:val="Paragraph"/>
        <w:numPr>
          <w:ilvl w:val="0"/>
          <w:numId w:val="4"/>
        </w:numPr>
        <w:spacing w:after="240"/>
      </w:pPr>
      <w:r w:rsidRPr="007F690A">
        <w:t>According to the report submitted by the Government of Lesotho on November 13, 2023, Lesotho does not currently have a National Human Rights Institution in accordance with the Paris Principles.</w:t>
      </w:r>
      <w:r w:rsidRPr="007F690A">
        <w:rPr>
          <w:rStyle w:val="FootnoteReference"/>
        </w:rPr>
        <w:footnoteReference w:id="15"/>
      </w:r>
      <w:r w:rsidRPr="007F690A">
        <w:t xml:space="preserve"> </w:t>
      </w:r>
    </w:p>
    <w:p w14:paraId="1A6348FA" w14:textId="6AC5E1EE"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Health</w:t>
      </w:r>
      <w:r w:rsidR="00C6320D">
        <w:rPr>
          <w:rFonts w:eastAsia="Malgun Gothic" w:cs="Times New Roman"/>
          <w:szCs w:val="24"/>
          <w:lang w:eastAsia="ko-KR"/>
        </w:rPr>
        <w:t xml:space="preserve"> (List of Issues, para. </w:t>
      </w:r>
      <w:r w:rsidR="00E0309A">
        <w:rPr>
          <w:rFonts w:eastAsia="Malgun Gothic" w:cs="Times New Roman"/>
          <w:szCs w:val="24"/>
          <w:lang w:eastAsia="ko-KR"/>
        </w:rPr>
        <w:t>18)</w:t>
      </w:r>
    </w:p>
    <w:p w14:paraId="47C779BA" w14:textId="22BB33A2" w:rsidR="004D5577" w:rsidRPr="007F690A" w:rsidRDefault="00AD6A7A" w:rsidP="006A3A87">
      <w:pPr>
        <w:pStyle w:val="ListParagraph"/>
        <w:numPr>
          <w:ilvl w:val="0"/>
          <w:numId w:val="4"/>
        </w:numPr>
        <w:pBdr>
          <w:top w:val="nil"/>
          <w:left w:val="nil"/>
          <w:bottom w:val="nil"/>
          <w:right w:val="nil"/>
          <w:between w:val="nil"/>
        </w:pBdr>
        <w:spacing w:after="120" w:line="240" w:lineRule="auto"/>
        <w:contextualSpacing w:val="0"/>
        <w:jc w:val="both"/>
        <w:rPr>
          <w:rFonts w:ascii="Times New Roman" w:hAnsi="Times New Roman"/>
          <w:sz w:val="24"/>
          <w:szCs w:val="24"/>
        </w:rPr>
      </w:pPr>
      <w:r w:rsidRPr="007F690A">
        <w:rPr>
          <w:rFonts w:ascii="Times New Roman" w:hAnsi="Times New Roman"/>
          <w:sz w:val="24"/>
          <w:szCs w:val="24"/>
        </w:rPr>
        <w:t>LBTQ</w:t>
      </w:r>
      <w:r w:rsidR="004D5577" w:rsidRPr="007F690A">
        <w:rPr>
          <w:rFonts w:ascii="Times New Roman" w:hAnsi="Times New Roman"/>
          <w:sz w:val="24"/>
          <w:szCs w:val="24"/>
        </w:rPr>
        <w:t>+ individuals disproportionately face adverse mental health conditions compared to heterosexual, cisgender individuals.</w:t>
      </w:r>
      <w:r w:rsidR="004D5577" w:rsidRPr="007F690A">
        <w:rPr>
          <w:rFonts w:ascii="Times New Roman" w:hAnsi="Times New Roman"/>
          <w:sz w:val="24"/>
          <w:szCs w:val="24"/>
          <w:vertAlign w:val="superscript"/>
        </w:rPr>
        <w:footnoteReference w:id="16"/>
      </w:r>
      <w:r w:rsidR="004D5577" w:rsidRPr="007F690A">
        <w:rPr>
          <w:rFonts w:ascii="Times New Roman" w:hAnsi="Times New Roman"/>
          <w:sz w:val="24"/>
          <w:szCs w:val="24"/>
        </w:rPr>
        <w:t xml:space="preserve"> The stigma experienced by members of the </w:t>
      </w:r>
      <w:r w:rsidRPr="007F690A">
        <w:rPr>
          <w:rFonts w:ascii="Times New Roman" w:hAnsi="Times New Roman"/>
          <w:sz w:val="24"/>
          <w:szCs w:val="24"/>
        </w:rPr>
        <w:t>LBTQ</w:t>
      </w:r>
      <w:r w:rsidR="004D5577" w:rsidRPr="007F690A">
        <w:rPr>
          <w:rFonts w:ascii="Times New Roman" w:hAnsi="Times New Roman"/>
          <w:sz w:val="24"/>
          <w:szCs w:val="24"/>
        </w:rPr>
        <w:t xml:space="preserve">+ community in Lesotho impacts the ability of </w:t>
      </w:r>
      <w:r w:rsidRPr="007F690A">
        <w:rPr>
          <w:rFonts w:ascii="Times New Roman" w:hAnsi="Times New Roman"/>
          <w:sz w:val="24"/>
          <w:szCs w:val="24"/>
        </w:rPr>
        <w:t>LBTQ</w:t>
      </w:r>
      <w:r w:rsidR="004D5577" w:rsidRPr="007F690A">
        <w:rPr>
          <w:rFonts w:ascii="Times New Roman" w:hAnsi="Times New Roman"/>
          <w:sz w:val="24"/>
          <w:szCs w:val="24"/>
        </w:rPr>
        <w:t>+ Basotho (people from Lesotho) to obtain adequate healthcare, including, both mental and physical healthcare.</w:t>
      </w:r>
      <w:r w:rsidR="004D5577" w:rsidRPr="007F690A">
        <w:rPr>
          <w:rFonts w:ascii="Times New Roman" w:hAnsi="Times New Roman"/>
          <w:sz w:val="24"/>
          <w:szCs w:val="24"/>
          <w:vertAlign w:val="superscript"/>
        </w:rPr>
        <w:footnoteReference w:id="17"/>
      </w:r>
      <w:r w:rsidR="004D5577" w:rsidRPr="007F690A">
        <w:rPr>
          <w:rFonts w:ascii="Times New Roman" w:hAnsi="Times New Roman"/>
          <w:sz w:val="24"/>
          <w:szCs w:val="24"/>
        </w:rPr>
        <w:t xml:space="preserve"> </w:t>
      </w:r>
    </w:p>
    <w:p w14:paraId="4A95C2A4" w14:textId="7E262414" w:rsidR="004D5577" w:rsidRPr="007F690A" w:rsidRDefault="004D5577" w:rsidP="006A3A87">
      <w:pPr>
        <w:numPr>
          <w:ilvl w:val="0"/>
          <w:numId w:val="4"/>
        </w:numPr>
        <w:pBdr>
          <w:top w:val="nil"/>
          <w:left w:val="nil"/>
          <w:bottom w:val="nil"/>
          <w:right w:val="nil"/>
          <w:between w:val="nil"/>
        </w:pBdr>
        <w:spacing w:after="120"/>
        <w:jc w:val="both"/>
      </w:pPr>
      <w:r w:rsidRPr="007F690A">
        <w:t xml:space="preserve">Violence against and stigmatization of LGBTQ+ Basotho has shown to lead to depression and substance abuse by </w:t>
      </w:r>
      <w:r w:rsidR="00AD6A7A" w:rsidRPr="007F690A">
        <w:t>LBTQ</w:t>
      </w:r>
      <w:r w:rsidRPr="007F690A">
        <w:t>+ Basotho.</w:t>
      </w:r>
      <w:r w:rsidRPr="007F690A">
        <w:rPr>
          <w:vertAlign w:val="superscript"/>
        </w:rPr>
        <w:footnoteReference w:id="18"/>
      </w:r>
    </w:p>
    <w:p w14:paraId="6E58E0E5" w14:textId="07253C64" w:rsidR="004D5577" w:rsidRPr="007F690A" w:rsidRDefault="004D5577" w:rsidP="006A3A87">
      <w:pPr>
        <w:numPr>
          <w:ilvl w:val="0"/>
          <w:numId w:val="4"/>
        </w:numPr>
        <w:pBdr>
          <w:top w:val="nil"/>
          <w:left w:val="nil"/>
          <w:bottom w:val="nil"/>
          <w:right w:val="nil"/>
          <w:between w:val="nil"/>
        </w:pBdr>
        <w:spacing w:after="120"/>
        <w:jc w:val="both"/>
      </w:pPr>
      <w:r w:rsidRPr="007F690A">
        <w:lastRenderedPageBreak/>
        <w:t>Transgender women in Lesotho have reported experiencing signs and symptoms of depression and moderate to severe anxiety.</w:t>
      </w:r>
      <w:r w:rsidRPr="007F690A">
        <w:rPr>
          <w:vertAlign w:val="superscript"/>
        </w:rPr>
        <w:footnoteReference w:id="19"/>
      </w:r>
      <w:r w:rsidRPr="007F690A">
        <w:t xml:space="preserve"> According to studies, one in three transgender women in Lesotho have attempted suicide.</w:t>
      </w:r>
      <w:r w:rsidRPr="007F690A">
        <w:rPr>
          <w:vertAlign w:val="superscript"/>
        </w:rPr>
        <w:footnoteReference w:id="20"/>
      </w:r>
    </w:p>
    <w:p w14:paraId="62B8B0CB" w14:textId="77777777" w:rsidR="004D5577" w:rsidRPr="007F690A" w:rsidRDefault="004D5577" w:rsidP="006A3A87">
      <w:pPr>
        <w:numPr>
          <w:ilvl w:val="0"/>
          <w:numId w:val="4"/>
        </w:numPr>
        <w:pBdr>
          <w:top w:val="nil"/>
          <w:left w:val="nil"/>
          <w:bottom w:val="nil"/>
          <w:right w:val="nil"/>
          <w:between w:val="nil"/>
        </w:pBdr>
        <w:spacing w:after="120"/>
        <w:jc w:val="both"/>
      </w:pPr>
      <w:r w:rsidRPr="007F690A">
        <w:t>Research completed both in Lesotho and internationally, “suggests that not being able to change one’s gender marker has an impact on access to healthcare and mental health and wellbeing.”</w:t>
      </w:r>
      <w:r w:rsidRPr="007F690A">
        <w:rPr>
          <w:vertAlign w:val="superscript"/>
        </w:rPr>
        <w:footnoteReference w:id="21"/>
      </w:r>
    </w:p>
    <w:p w14:paraId="62634279" w14:textId="77777777" w:rsidR="004D5577" w:rsidRPr="007F690A" w:rsidRDefault="004D5577" w:rsidP="006A3A87">
      <w:pPr>
        <w:numPr>
          <w:ilvl w:val="0"/>
          <w:numId w:val="4"/>
        </w:numPr>
        <w:pBdr>
          <w:top w:val="nil"/>
          <w:left w:val="nil"/>
          <w:bottom w:val="nil"/>
          <w:right w:val="nil"/>
          <w:between w:val="nil"/>
        </w:pBdr>
        <w:spacing w:after="120"/>
      </w:pPr>
      <w:r w:rsidRPr="007F690A">
        <w:t>One study found that approximately 27% of transgender individuals in Lesotho have hidden health concerns from healthcare providers out of fear of disclosing their gender identity.</w:t>
      </w:r>
      <w:r w:rsidRPr="007F690A">
        <w:rPr>
          <w:vertAlign w:val="superscript"/>
        </w:rPr>
        <w:footnoteReference w:id="22"/>
      </w:r>
    </w:p>
    <w:p w14:paraId="01DBE5DD" w14:textId="45102839" w:rsidR="004D5577" w:rsidRPr="007F690A" w:rsidRDefault="004D5577" w:rsidP="00EC3923">
      <w:pPr>
        <w:numPr>
          <w:ilvl w:val="0"/>
          <w:numId w:val="4"/>
        </w:numPr>
        <w:pBdr>
          <w:top w:val="nil"/>
          <w:left w:val="nil"/>
          <w:bottom w:val="nil"/>
          <w:right w:val="nil"/>
          <w:between w:val="nil"/>
        </w:pBdr>
        <w:spacing w:after="120"/>
      </w:pPr>
      <w:r w:rsidRPr="007F690A">
        <w:t xml:space="preserve">While the proposed Children’s Protection and Welfare Bill would “ensure that all transgender and intersex children are allowed gender affirmation medical procedures and </w:t>
      </w:r>
      <w:r w:rsidRPr="007F690A">
        <w:lastRenderedPageBreak/>
        <w:t>healthcare”, the Bill has yet to be passed into law.</w:t>
      </w:r>
      <w:r w:rsidRPr="007F690A">
        <w:rPr>
          <w:rStyle w:val="FootnoteReference"/>
        </w:rPr>
        <w:footnoteReference w:id="23"/>
      </w:r>
      <w:r w:rsidRPr="007F690A">
        <w:t xml:space="preserve"> Currently, gender</w:t>
      </w:r>
      <w:r w:rsidR="00662BF3" w:rsidRPr="007F690A">
        <w:t>-</w:t>
      </w:r>
      <w:r w:rsidRPr="007F690A">
        <w:t>affirming care is not easily accessible to transgender Basotho, including, children.</w:t>
      </w:r>
      <w:r w:rsidRPr="007F690A">
        <w:rPr>
          <w:vertAlign w:val="superscript"/>
        </w:rPr>
        <w:footnoteReference w:id="24"/>
      </w:r>
    </w:p>
    <w:p w14:paraId="640012B2" w14:textId="1C74E9E1"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HIV/AIDS</w:t>
      </w:r>
      <w:r w:rsidR="00E0309A">
        <w:rPr>
          <w:rFonts w:eastAsia="Malgun Gothic" w:cs="Times New Roman"/>
          <w:szCs w:val="24"/>
          <w:lang w:eastAsia="ko-KR"/>
        </w:rPr>
        <w:t xml:space="preserve"> (List of Issues, para. 19)</w:t>
      </w:r>
    </w:p>
    <w:p w14:paraId="27B92B38" w14:textId="77777777" w:rsidR="004D5577" w:rsidRPr="007F690A" w:rsidRDefault="004D5577" w:rsidP="006A3A87">
      <w:pPr>
        <w:numPr>
          <w:ilvl w:val="0"/>
          <w:numId w:val="4"/>
        </w:numPr>
        <w:pBdr>
          <w:top w:val="nil"/>
          <w:left w:val="nil"/>
          <w:bottom w:val="nil"/>
          <w:right w:val="nil"/>
          <w:between w:val="nil"/>
        </w:pBdr>
        <w:spacing w:after="120"/>
        <w:jc w:val="both"/>
      </w:pPr>
      <w:r w:rsidRPr="007F690A">
        <w:t>Lesotho has undertaken steps to curb the HIV and AIDS epidemic, including expanding HIV self-testing, index testing, and partner notification services.</w:t>
      </w:r>
      <w:r w:rsidRPr="007F690A">
        <w:rPr>
          <w:vertAlign w:val="superscript"/>
        </w:rPr>
        <w:footnoteReference w:id="25"/>
      </w:r>
      <w:r w:rsidRPr="007F690A">
        <w:t xml:space="preserve"> The Government of Lesotho also reports that, with the help of the United Nations Children’s Fund (UNICEF), “providing health care, HIV prevention, and treatment services to the population by expanding access to quality PMTCT [prevention from mother to child transmission] and pediatric care and treatment as well as strengthening partnerships to improve coordination and coverage of HIV prevention intervention for young people, prioritizing hard to reach locations.”</w:t>
      </w:r>
      <w:r w:rsidRPr="007F690A">
        <w:rPr>
          <w:vertAlign w:val="superscript"/>
        </w:rPr>
        <w:footnoteReference w:id="26"/>
      </w:r>
    </w:p>
    <w:p w14:paraId="05BBBF4A" w14:textId="128F0DB4" w:rsidR="004D5577" w:rsidRPr="007F690A" w:rsidRDefault="004D5577" w:rsidP="006A3A87">
      <w:pPr>
        <w:numPr>
          <w:ilvl w:val="0"/>
          <w:numId w:val="4"/>
        </w:numPr>
        <w:pBdr>
          <w:top w:val="nil"/>
          <w:left w:val="nil"/>
          <w:bottom w:val="nil"/>
          <w:right w:val="nil"/>
          <w:between w:val="nil"/>
        </w:pBdr>
        <w:spacing w:after="120"/>
        <w:jc w:val="both"/>
      </w:pPr>
      <w:r w:rsidRPr="007F690A">
        <w:t>Despite efforts taken by the Government of Lesotho, Lesotho has one of the highest percentages of HIV infections in the world.</w:t>
      </w:r>
      <w:r w:rsidRPr="007F690A">
        <w:rPr>
          <w:vertAlign w:val="superscript"/>
        </w:rPr>
        <w:footnoteReference w:id="27"/>
      </w:r>
      <w:r w:rsidRPr="007F690A">
        <w:t xml:space="preserve"> It is estimated that 23.6% of Basotho adults are estimated to be living with HIV.</w:t>
      </w:r>
      <w:r w:rsidRPr="007F690A">
        <w:rPr>
          <w:vertAlign w:val="superscript"/>
        </w:rPr>
        <w:footnoteReference w:id="28"/>
      </w:r>
      <w:r w:rsidRPr="007F690A">
        <w:t xml:space="preserve"> The HIV pandemic in Lesotho disproportionately affects transgender women, as HIV prevalence in that population is estimated to be 59.2%.</w:t>
      </w:r>
      <w:r w:rsidRPr="007F690A">
        <w:rPr>
          <w:vertAlign w:val="superscript"/>
        </w:rPr>
        <w:footnoteReference w:id="29"/>
      </w:r>
    </w:p>
    <w:p w14:paraId="5467C220" w14:textId="26077B7B" w:rsidR="004D5577" w:rsidRPr="007F690A" w:rsidRDefault="004D5577" w:rsidP="00EC3923">
      <w:pPr>
        <w:numPr>
          <w:ilvl w:val="0"/>
          <w:numId w:val="4"/>
        </w:numPr>
        <w:pBdr>
          <w:top w:val="nil"/>
          <w:left w:val="nil"/>
          <w:bottom w:val="nil"/>
          <w:right w:val="nil"/>
          <w:between w:val="nil"/>
        </w:pBdr>
        <w:spacing w:after="120"/>
        <w:jc w:val="both"/>
      </w:pPr>
      <w:r w:rsidRPr="007F690A">
        <w:t xml:space="preserve">Chief Justice S. P. </w:t>
      </w:r>
      <w:proofErr w:type="spellStart"/>
      <w:r w:rsidRPr="007F690A">
        <w:t>Sakoane</w:t>
      </w:r>
      <w:proofErr w:type="spellEnd"/>
      <w:r w:rsidRPr="007F690A">
        <w:t xml:space="preserve"> has noted that the HIV pandemic in Lesotho is exacerbated by the stigmatization of LGBTIQ individuals because individuals with HIV or AIDS are reluctant to disclose because they are afraid that it will result in stigmatization for being part of, or being perceived as being part of, the LGBTIQ community.</w:t>
      </w:r>
      <w:r w:rsidRPr="007F690A">
        <w:rPr>
          <w:vertAlign w:val="superscript"/>
        </w:rPr>
        <w:footnoteReference w:id="30"/>
      </w:r>
      <w:r w:rsidRPr="007F690A">
        <w:t xml:space="preserve">  </w:t>
      </w:r>
    </w:p>
    <w:p w14:paraId="2B8F399E" w14:textId="0C3E22D2" w:rsidR="004D5577" w:rsidRPr="006A3A87" w:rsidRDefault="004D5577"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lastRenderedPageBreak/>
        <w:t>Marriage and Family Relations</w:t>
      </w:r>
      <w:r w:rsidR="00E0309A">
        <w:rPr>
          <w:rFonts w:eastAsia="Malgun Gothic" w:cs="Times New Roman"/>
          <w:szCs w:val="24"/>
          <w:lang w:eastAsia="ko-KR"/>
        </w:rPr>
        <w:t xml:space="preserve"> (List of Issues, para. </w:t>
      </w:r>
      <w:r w:rsidR="00690765">
        <w:rPr>
          <w:rFonts w:eastAsia="Malgun Gothic" w:cs="Times New Roman"/>
          <w:szCs w:val="24"/>
          <w:lang w:eastAsia="ko-KR"/>
        </w:rPr>
        <w:t>23)</w:t>
      </w:r>
    </w:p>
    <w:p w14:paraId="07342E17" w14:textId="3D6EF6B2" w:rsidR="00675ACB" w:rsidRPr="007F690A" w:rsidRDefault="004D5577" w:rsidP="00EC3923">
      <w:pPr>
        <w:numPr>
          <w:ilvl w:val="0"/>
          <w:numId w:val="4"/>
        </w:numPr>
        <w:pBdr>
          <w:top w:val="nil"/>
          <w:left w:val="nil"/>
          <w:bottom w:val="nil"/>
          <w:right w:val="nil"/>
          <w:between w:val="nil"/>
        </w:pBdr>
        <w:spacing w:after="120"/>
        <w:jc w:val="both"/>
      </w:pPr>
      <w:r w:rsidRPr="007F690A">
        <w:t>Currently, same-sex marriage is not recognized in Lesotho. The common law definition of marriage is “a union of one man with one woman, to the exclusion, while it lasts, of all others.”</w:t>
      </w:r>
      <w:r w:rsidRPr="007F690A">
        <w:rPr>
          <w:vertAlign w:val="superscript"/>
        </w:rPr>
        <w:footnoteReference w:id="31"/>
      </w:r>
    </w:p>
    <w:p w14:paraId="7B05783F" w14:textId="7188DC36" w:rsidR="002A2B64" w:rsidRPr="006A3A87" w:rsidRDefault="002A2B64" w:rsidP="006A3A87">
      <w:pPr>
        <w:pStyle w:val="SectionHeading"/>
        <w:keepNext/>
        <w:numPr>
          <w:ilvl w:val="0"/>
          <w:numId w:val="5"/>
        </w:numPr>
        <w:rPr>
          <w:rFonts w:eastAsia="Malgun Gothic" w:cs="Times New Roman"/>
          <w:szCs w:val="24"/>
          <w:lang w:eastAsia="ko-KR"/>
        </w:rPr>
      </w:pPr>
      <w:r w:rsidRPr="006A3A87">
        <w:rPr>
          <w:rFonts w:eastAsia="Malgun Gothic" w:cs="Times New Roman"/>
          <w:szCs w:val="24"/>
          <w:lang w:eastAsia="ko-KR"/>
        </w:rPr>
        <w:t>R</w:t>
      </w:r>
      <w:r w:rsidR="00E0309A">
        <w:rPr>
          <w:rFonts w:eastAsia="Malgun Gothic" w:cs="Times New Roman"/>
          <w:szCs w:val="24"/>
          <w:lang w:eastAsia="ko-KR"/>
        </w:rPr>
        <w:t>ecommendations</w:t>
      </w:r>
    </w:p>
    <w:p w14:paraId="1BE300ED" w14:textId="64E3802A" w:rsidR="002A2B64" w:rsidRPr="007F690A" w:rsidRDefault="002A2B64" w:rsidP="008E60ED">
      <w:pPr>
        <w:pStyle w:val="Paragraph"/>
        <w:numPr>
          <w:ilvl w:val="0"/>
          <w:numId w:val="4"/>
        </w:numPr>
      </w:pPr>
      <w:r w:rsidRPr="007F690A">
        <w:t xml:space="preserve">The </w:t>
      </w:r>
      <w:r w:rsidR="008E60ED">
        <w:t>co</w:t>
      </w:r>
      <w:r w:rsidRPr="007F690A">
        <w:t xml:space="preserve">authors of this </w:t>
      </w:r>
      <w:r w:rsidR="003221A1">
        <w:t>shadow</w:t>
      </w:r>
      <w:r w:rsidRPr="007F690A">
        <w:t xml:space="preserve"> report suggest the following recommendations for the Government of Lesotho: </w:t>
      </w:r>
    </w:p>
    <w:p w14:paraId="6EA73745" w14:textId="5D5DAD27" w:rsidR="002A2B64" w:rsidRPr="00EC3923" w:rsidRDefault="002A2B64" w:rsidP="00EC3923">
      <w:pPr>
        <w:pStyle w:val="Paragraph"/>
        <w:numPr>
          <w:ilvl w:val="0"/>
          <w:numId w:val="6"/>
        </w:numPr>
        <w:ind w:left="1440"/>
        <w:rPr>
          <w:rFonts w:eastAsia="Batang"/>
        </w:rPr>
      </w:pPr>
      <w:r w:rsidRPr="00EC3923">
        <w:rPr>
          <w:rFonts w:eastAsia="Batang"/>
        </w:rPr>
        <w:t xml:space="preserve">Expand access to HIV education, treatment, and prevention, especially to </w:t>
      </w:r>
      <w:r w:rsidR="000742EE" w:rsidRPr="00EC3923">
        <w:rPr>
          <w:rFonts w:eastAsia="Batang"/>
        </w:rPr>
        <w:t>women</w:t>
      </w:r>
      <w:r w:rsidRPr="00EC3923">
        <w:rPr>
          <w:rFonts w:eastAsia="Batang"/>
        </w:rPr>
        <w:t xml:space="preserve"> in the </w:t>
      </w:r>
      <w:r w:rsidR="00AD6A7A" w:rsidRPr="00EC3923">
        <w:rPr>
          <w:rFonts w:eastAsia="Batang"/>
        </w:rPr>
        <w:t>LBTQ</w:t>
      </w:r>
      <w:r w:rsidRPr="00EC3923">
        <w:rPr>
          <w:rFonts w:eastAsia="Batang"/>
        </w:rPr>
        <w:t>+ community.</w:t>
      </w:r>
    </w:p>
    <w:p w14:paraId="47BA0EE1" w14:textId="40F14441" w:rsidR="002A2B64" w:rsidRPr="00EC3923" w:rsidRDefault="002A2B64" w:rsidP="00EC3923">
      <w:pPr>
        <w:pStyle w:val="Paragraph"/>
        <w:numPr>
          <w:ilvl w:val="0"/>
          <w:numId w:val="6"/>
        </w:numPr>
        <w:ind w:left="1440"/>
        <w:rPr>
          <w:rFonts w:eastAsia="Batang"/>
        </w:rPr>
      </w:pPr>
      <w:r w:rsidRPr="00EC3923">
        <w:rPr>
          <w:rFonts w:eastAsia="Batang"/>
        </w:rPr>
        <w:t xml:space="preserve">Criminalize discrimination of and violence against </w:t>
      </w:r>
      <w:r w:rsidR="00AD6A7A" w:rsidRPr="00EC3923">
        <w:rPr>
          <w:rFonts w:eastAsia="Batang"/>
        </w:rPr>
        <w:t>LBTQ</w:t>
      </w:r>
      <w:r w:rsidRPr="00EC3923">
        <w:rPr>
          <w:rFonts w:eastAsia="Batang"/>
        </w:rPr>
        <w:t xml:space="preserve">+ </w:t>
      </w:r>
      <w:r w:rsidR="000742EE" w:rsidRPr="00EC3923">
        <w:rPr>
          <w:rFonts w:eastAsia="Batang"/>
        </w:rPr>
        <w:t xml:space="preserve">women </w:t>
      </w:r>
      <w:r w:rsidRPr="00EC3923">
        <w:rPr>
          <w:rFonts w:eastAsia="Batang"/>
        </w:rPr>
        <w:t xml:space="preserve">and prosecute individuals perpetrating any such offenses. </w:t>
      </w:r>
    </w:p>
    <w:p w14:paraId="47D9A867" w14:textId="599A02A9" w:rsidR="002A2B64" w:rsidRPr="00EC3923" w:rsidRDefault="002A2B64" w:rsidP="00EC3923">
      <w:pPr>
        <w:pStyle w:val="Paragraph"/>
        <w:numPr>
          <w:ilvl w:val="0"/>
          <w:numId w:val="6"/>
        </w:numPr>
        <w:ind w:left="1440"/>
        <w:rPr>
          <w:rFonts w:eastAsia="Batang"/>
        </w:rPr>
      </w:pPr>
      <w:r w:rsidRPr="00EC3923">
        <w:rPr>
          <w:rFonts w:eastAsia="Batang"/>
        </w:rPr>
        <w:t xml:space="preserve">In collaboration with </w:t>
      </w:r>
      <w:r w:rsidR="00AD6A7A" w:rsidRPr="00EC3923">
        <w:rPr>
          <w:rFonts w:eastAsia="Batang"/>
        </w:rPr>
        <w:t>LBTQ</w:t>
      </w:r>
      <w:r w:rsidRPr="00EC3923">
        <w:rPr>
          <w:rFonts w:eastAsia="Batang"/>
        </w:rPr>
        <w:t xml:space="preserve">+ civil society organizations, undertake and fully fund public education campaigns about </w:t>
      </w:r>
      <w:r w:rsidR="00AD6A7A" w:rsidRPr="00EC3923">
        <w:rPr>
          <w:rFonts w:eastAsia="Batang"/>
        </w:rPr>
        <w:t>LBTQ</w:t>
      </w:r>
      <w:r w:rsidRPr="00EC3923">
        <w:rPr>
          <w:rFonts w:eastAsia="Batang"/>
        </w:rPr>
        <w:t xml:space="preserve">+ issues and </w:t>
      </w:r>
      <w:r w:rsidR="00AD6A7A" w:rsidRPr="00EC3923">
        <w:rPr>
          <w:rFonts w:eastAsia="Batang"/>
        </w:rPr>
        <w:t>LBTQ</w:t>
      </w:r>
      <w:r w:rsidRPr="00EC3923">
        <w:rPr>
          <w:rFonts w:eastAsia="Batang"/>
        </w:rPr>
        <w:t xml:space="preserve">+ </w:t>
      </w:r>
      <w:r w:rsidR="000742EE" w:rsidRPr="00EC3923">
        <w:rPr>
          <w:rFonts w:eastAsia="Batang"/>
        </w:rPr>
        <w:t>women’</w:t>
      </w:r>
      <w:r w:rsidRPr="00EC3923">
        <w:rPr>
          <w:rFonts w:eastAsia="Batang"/>
        </w:rPr>
        <w:t xml:space="preserve">s full enjoyment of human rights </w:t>
      </w:r>
      <w:proofErr w:type="gramStart"/>
      <w:r w:rsidRPr="00EC3923">
        <w:rPr>
          <w:rFonts w:eastAsia="Batang"/>
        </w:rPr>
        <w:t>so as to</w:t>
      </w:r>
      <w:proofErr w:type="gramEnd"/>
      <w:r w:rsidRPr="00EC3923">
        <w:rPr>
          <w:rFonts w:eastAsia="Batang"/>
        </w:rPr>
        <w:t xml:space="preserve"> better combat anti-</w:t>
      </w:r>
      <w:r w:rsidR="00AD6A7A" w:rsidRPr="00EC3923">
        <w:rPr>
          <w:rFonts w:eastAsia="Batang"/>
        </w:rPr>
        <w:t>LBTQ</w:t>
      </w:r>
      <w:r w:rsidRPr="00EC3923">
        <w:rPr>
          <w:rFonts w:eastAsia="Batang"/>
        </w:rPr>
        <w:t>+ stigma.</w:t>
      </w:r>
    </w:p>
    <w:p w14:paraId="041E4905" w14:textId="22F68BB6" w:rsidR="002A2B64" w:rsidRPr="00EC3923" w:rsidRDefault="002A2B64" w:rsidP="00EC3923">
      <w:pPr>
        <w:pStyle w:val="Paragraph"/>
        <w:numPr>
          <w:ilvl w:val="0"/>
          <w:numId w:val="6"/>
        </w:numPr>
        <w:ind w:left="1440"/>
        <w:rPr>
          <w:rFonts w:eastAsia="Batang"/>
        </w:rPr>
      </w:pPr>
      <w:r w:rsidRPr="00EC3923">
        <w:rPr>
          <w:rFonts w:eastAsia="Batang"/>
        </w:rPr>
        <w:t xml:space="preserve">Provide training to healthcare individuals, police officers, and other public officials to help understand unique experiences faced by </w:t>
      </w:r>
      <w:r w:rsidR="00AD6A7A" w:rsidRPr="00EC3923">
        <w:rPr>
          <w:rFonts w:eastAsia="Batang"/>
        </w:rPr>
        <w:t>LBTQ</w:t>
      </w:r>
      <w:r w:rsidRPr="00EC3923">
        <w:rPr>
          <w:rFonts w:eastAsia="Batang"/>
        </w:rPr>
        <w:t xml:space="preserve">+ </w:t>
      </w:r>
      <w:r w:rsidR="000742EE" w:rsidRPr="00EC3923">
        <w:rPr>
          <w:rFonts w:eastAsia="Batang"/>
        </w:rPr>
        <w:t>women</w:t>
      </w:r>
      <w:r w:rsidRPr="00EC3923">
        <w:rPr>
          <w:rFonts w:eastAsia="Batang"/>
        </w:rPr>
        <w:t xml:space="preserve"> in Lesotho to help ensure access to healthcare and justice for </w:t>
      </w:r>
      <w:r w:rsidR="00AD6A7A" w:rsidRPr="00EC3923">
        <w:rPr>
          <w:rFonts w:eastAsia="Batang"/>
        </w:rPr>
        <w:t>LBTQ</w:t>
      </w:r>
      <w:r w:rsidRPr="00EC3923">
        <w:rPr>
          <w:rFonts w:eastAsia="Batang"/>
        </w:rPr>
        <w:t xml:space="preserve">+ </w:t>
      </w:r>
      <w:r w:rsidR="000742EE" w:rsidRPr="00EC3923">
        <w:rPr>
          <w:rFonts w:eastAsia="Batang"/>
        </w:rPr>
        <w:t xml:space="preserve">women </w:t>
      </w:r>
      <w:r w:rsidRPr="00EC3923">
        <w:rPr>
          <w:rFonts w:eastAsia="Batang"/>
        </w:rPr>
        <w:t xml:space="preserve">without stigmatization associated with a </w:t>
      </w:r>
      <w:r w:rsidR="000742EE" w:rsidRPr="00EC3923">
        <w:rPr>
          <w:rFonts w:eastAsia="Batang"/>
        </w:rPr>
        <w:t>woman</w:t>
      </w:r>
      <w:r w:rsidRPr="00EC3923">
        <w:rPr>
          <w:rFonts w:eastAsia="Batang"/>
        </w:rPr>
        <w:t xml:space="preserve"> being part of the </w:t>
      </w:r>
      <w:r w:rsidR="00AD6A7A" w:rsidRPr="00EC3923">
        <w:rPr>
          <w:rFonts w:eastAsia="Batang"/>
        </w:rPr>
        <w:t>LBTQ</w:t>
      </w:r>
      <w:r w:rsidRPr="00EC3923">
        <w:rPr>
          <w:rFonts w:eastAsia="Batang"/>
        </w:rPr>
        <w:t>+ community.</w:t>
      </w:r>
    </w:p>
    <w:p w14:paraId="18E3F0E1" w14:textId="17A5904E" w:rsidR="002A2B64" w:rsidRPr="00EC3923" w:rsidRDefault="002A2B64" w:rsidP="00EC3923">
      <w:pPr>
        <w:pStyle w:val="Paragraph"/>
        <w:numPr>
          <w:ilvl w:val="0"/>
          <w:numId w:val="6"/>
        </w:numPr>
        <w:ind w:left="1440"/>
        <w:rPr>
          <w:rFonts w:eastAsia="Batang"/>
        </w:rPr>
      </w:pPr>
      <w:r w:rsidRPr="00EC3923">
        <w:rPr>
          <w:rFonts w:eastAsia="Batang"/>
        </w:rPr>
        <w:t xml:space="preserve">Incorporate questions on sexual orientation, gender identity, gender expression, and sex characteristics into the National Census so that the national database has the correct numbers for purposes of planning and allocating resources to the </w:t>
      </w:r>
      <w:r w:rsidR="00AD6A7A" w:rsidRPr="00EC3923">
        <w:rPr>
          <w:rFonts w:eastAsia="Batang"/>
        </w:rPr>
        <w:t>LBTQ</w:t>
      </w:r>
      <w:r w:rsidRPr="00EC3923">
        <w:rPr>
          <w:rFonts w:eastAsia="Batang"/>
        </w:rPr>
        <w:t>+ community.</w:t>
      </w:r>
    </w:p>
    <w:p w14:paraId="7B9C93B8" w14:textId="4D8F49AA" w:rsidR="002A2B64" w:rsidRPr="00EC3923" w:rsidRDefault="002A2B64" w:rsidP="00EC3923">
      <w:pPr>
        <w:pStyle w:val="Paragraph"/>
        <w:numPr>
          <w:ilvl w:val="0"/>
          <w:numId w:val="6"/>
        </w:numPr>
        <w:ind w:left="1440"/>
        <w:rPr>
          <w:rFonts w:eastAsia="Batang"/>
        </w:rPr>
      </w:pPr>
      <w:r w:rsidRPr="00EC3923">
        <w:rPr>
          <w:rFonts w:eastAsia="Batang"/>
        </w:rPr>
        <w:t xml:space="preserve">Fund the creation of mental health centers for psychosocial support services for </w:t>
      </w:r>
      <w:r w:rsidR="00AD6A7A" w:rsidRPr="00EC3923">
        <w:rPr>
          <w:rFonts w:eastAsia="Batang"/>
        </w:rPr>
        <w:t>LBTQ</w:t>
      </w:r>
      <w:r w:rsidRPr="00EC3923">
        <w:rPr>
          <w:rFonts w:eastAsia="Batang"/>
        </w:rPr>
        <w:t xml:space="preserve">+ </w:t>
      </w:r>
      <w:r w:rsidR="000742EE" w:rsidRPr="00EC3923">
        <w:rPr>
          <w:rFonts w:eastAsia="Batang"/>
        </w:rPr>
        <w:t>women</w:t>
      </w:r>
      <w:r w:rsidRPr="00EC3923">
        <w:rPr>
          <w:rFonts w:eastAsia="Batang"/>
        </w:rPr>
        <w:t>.</w:t>
      </w:r>
    </w:p>
    <w:p w14:paraId="40DBEB96" w14:textId="50A71625" w:rsidR="002A2B64" w:rsidRPr="00EC3923" w:rsidRDefault="002A2B64" w:rsidP="00EC3923">
      <w:pPr>
        <w:pStyle w:val="Paragraph"/>
        <w:numPr>
          <w:ilvl w:val="0"/>
          <w:numId w:val="6"/>
        </w:numPr>
        <w:ind w:left="1440"/>
        <w:rPr>
          <w:rFonts w:eastAsia="Batang"/>
        </w:rPr>
      </w:pPr>
      <w:r w:rsidRPr="00EC3923">
        <w:rPr>
          <w:rFonts w:eastAsia="Batang"/>
        </w:rPr>
        <w:t xml:space="preserve">Create a specialized government department to address the issues of the </w:t>
      </w:r>
      <w:r w:rsidR="00AD6A7A" w:rsidRPr="00EC3923">
        <w:rPr>
          <w:rFonts w:eastAsia="Batang"/>
        </w:rPr>
        <w:t>LBTQ</w:t>
      </w:r>
      <w:r w:rsidRPr="00EC3923">
        <w:rPr>
          <w:rFonts w:eastAsia="Batang"/>
        </w:rPr>
        <w:t>+ community.</w:t>
      </w:r>
    </w:p>
    <w:p w14:paraId="5742375C" w14:textId="2002841B" w:rsidR="00675ACB" w:rsidRPr="00690765" w:rsidRDefault="002A2B64" w:rsidP="00690765">
      <w:pPr>
        <w:pStyle w:val="Paragraph"/>
        <w:numPr>
          <w:ilvl w:val="0"/>
          <w:numId w:val="6"/>
        </w:numPr>
        <w:ind w:left="1440"/>
        <w:rPr>
          <w:rFonts w:eastAsia="Batang"/>
        </w:rPr>
      </w:pPr>
      <w:r w:rsidRPr="00EC3923">
        <w:rPr>
          <w:rFonts w:eastAsia="Batang"/>
        </w:rPr>
        <w:t>Create and implement standard guidelines and procedures within the Ministry of Justice, the Ministry of Health, and all other governmental ministries and departments to allow individuals to select their gender identity (including, non-binary</w:t>
      </w:r>
      <w:proofErr w:type="gramStart"/>
      <w:r w:rsidRPr="00EC3923">
        <w:rPr>
          <w:rFonts w:eastAsia="Batang"/>
        </w:rPr>
        <w:t>), and</w:t>
      </w:r>
      <w:proofErr w:type="gramEnd"/>
      <w:r w:rsidRPr="00EC3923">
        <w:rPr>
          <w:rFonts w:eastAsia="Batang"/>
        </w:rPr>
        <w:t xml:space="preserve"> recognize the same under the law.  </w:t>
      </w:r>
    </w:p>
    <w:sectPr w:rsidR="00675ACB" w:rsidRPr="00690765" w:rsidSect="00173F8B">
      <w:footerReference w:type="even" r:id="rId12"/>
      <w:footerReference w:type="default" r:id="rId13"/>
      <w:headerReference w:type="first" r:id="rId14"/>
      <w:footerReference w:type="first" r:id="rId15"/>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E960" w14:textId="77777777" w:rsidR="00D5057B" w:rsidRDefault="00D5057B">
      <w:r>
        <w:separator/>
      </w:r>
    </w:p>
  </w:endnote>
  <w:endnote w:type="continuationSeparator" w:id="0">
    <w:p w14:paraId="47ACC020" w14:textId="77777777" w:rsidR="00D5057B" w:rsidRDefault="00D5057B">
      <w:r>
        <w:continuationSeparator/>
      </w:r>
    </w:p>
  </w:endnote>
  <w:endnote w:type="continuationNotice" w:id="1">
    <w:p w14:paraId="1CBF168E" w14:textId="77777777" w:rsidR="00D5057B" w:rsidRDefault="00D50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20B0604020202020204"/>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4F661" w14:textId="53412EFE" w:rsidR="005C061C" w:rsidRDefault="000629D8" w:rsidP="007039BE">
    <w:pPr>
      <w:pStyle w:val="DocID"/>
    </w:pPr>
    <w:r>
      <w:fldChar w:fldCharType="begin"/>
    </w:r>
    <w:r w:rsidR="007039BE">
      <w:instrText xml:space="preserve">DOCPROPERTY DOCXDOCID DMS=IManage Format=&lt;&lt;LIB&gt;&gt;.&lt;&lt;NUM&gt;&gt;.&lt;&lt;VER&gt;&gt; \* MERGEFORMAT </w:instrText>
    </w:r>
    <w:r>
      <w:fldChar w:fldCharType="separate"/>
    </w:r>
    <w:r w:rsidR="007039BE" w:rsidRPr="007039BE">
      <w:t>DMS_US.374699070.3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B10452A" w:rsidR="00804604" w:rsidRDefault="00804604">
    <w:pPr>
      <w:pStyle w:val="Footer"/>
      <w:jc w:val="center"/>
    </w:pPr>
    <w:r>
      <w:fldChar w:fldCharType="begin"/>
    </w:r>
    <w:r>
      <w:instrText xml:space="preserve"> PAGE   \* MERGEFORMAT </w:instrText>
    </w:r>
    <w:r>
      <w:fldChar w:fldCharType="separate"/>
    </w:r>
    <w:r w:rsidR="000C31F3">
      <w:rPr>
        <w:noProof/>
      </w:rPr>
      <w:t>8</w:t>
    </w:r>
    <w:r>
      <w:rPr>
        <w:noProof/>
      </w:rPr>
      <w:fldChar w:fldCharType="end"/>
    </w:r>
  </w:p>
  <w:p w14:paraId="05C204AB" w14:textId="7D8F12B9" w:rsidR="0064050F" w:rsidRDefault="0064050F" w:rsidP="007039BE">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6A80ACDC"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B26EA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11FB925B" w:rsidR="00804604" w:rsidRDefault="000629D8" w:rsidP="007039BE">
    <w:pPr>
      <w:pStyle w:val="DocID"/>
    </w:pPr>
    <w:r>
      <w:fldChar w:fldCharType="begin"/>
    </w:r>
    <w:r w:rsidR="007039BE">
      <w:instrText xml:space="preserve">DOCPROPERTY DOCXDOCID DMS=IManage Format=&lt;&lt;LIB&gt;&gt;.&lt;&lt;NUM&gt;&gt;.&lt;&lt;VER&gt;&gt; \* MERGEFORMAT </w:instrText>
    </w:r>
    <w:r>
      <w:fldChar w:fldCharType="separate"/>
    </w:r>
    <w:r w:rsidR="007039BE" w:rsidRPr="007039BE">
      <w:t>DMS_US.374699070.3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F25FF" w14:textId="77777777" w:rsidR="00D5057B" w:rsidRDefault="00D5057B">
      <w:r>
        <w:separator/>
      </w:r>
    </w:p>
  </w:footnote>
  <w:footnote w:type="continuationSeparator" w:id="0">
    <w:p w14:paraId="37E3E598" w14:textId="77777777" w:rsidR="00D5057B" w:rsidRDefault="00D5057B">
      <w:r>
        <w:continuationSeparator/>
      </w:r>
    </w:p>
  </w:footnote>
  <w:footnote w:type="continuationNotice" w:id="1">
    <w:p w14:paraId="3AFDDC9E" w14:textId="77777777" w:rsidR="00D5057B" w:rsidRDefault="00D5057B"/>
  </w:footnote>
  <w:footnote w:id="2">
    <w:p w14:paraId="1A6EA2B8" w14:textId="6852A7DF" w:rsidR="004D5577" w:rsidRPr="00842398" w:rsidRDefault="004D5577" w:rsidP="007F690A">
      <w:pPr>
        <w:pStyle w:val="FootnoteText"/>
        <w:rPr>
          <w:rStyle w:val="FootnoteReference"/>
          <w:sz w:val="20"/>
          <w:szCs w:val="20"/>
          <w:vertAlign w:val="baseline"/>
        </w:rPr>
      </w:pPr>
      <w:r w:rsidRPr="00842398">
        <w:rPr>
          <w:rStyle w:val="FootnoteReference"/>
          <w:sz w:val="20"/>
          <w:szCs w:val="20"/>
        </w:rPr>
        <w:footnoteRef/>
      </w:r>
      <w:r w:rsidRPr="00842398">
        <w:rPr>
          <w:rStyle w:val="FootnoteReference"/>
          <w:sz w:val="20"/>
          <w:szCs w:val="20"/>
        </w:rPr>
        <w:t xml:space="preserve"> </w:t>
      </w:r>
      <w:r w:rsidRPr="00842398">
        <w:rPr>
          <w:rStyle w:val="FootnoteReference"/>
          <w:sz w:val="20"/>
          <w:szCs w:val="20"/>
          <w:vertAlign w:val="baseline"/>
        </w:rPr>
        <w:t>International Commission of Jurists (ICJ), “Lesotho: Chief Justice Sakoane Sakoane calls for the ‘cultivation of an LGBTIQ sensitive culture’ in Lesotho,” accessed December 8, 2025, https://www.icj.org/lesotho-chief-justice-sakoane-sakoane-calls-for-the-cultivation-of-an-lgbtiq-sensitive-culture-in-lesotho/.</w:t>
      </w:r>
    </w:p>
  </w:footnote>
  <w:footnote w:id="3">
    <w:p w14:paraId="6A8461D3" w14:textId="7CBE9506"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The Government of Lesotho, Mid-term progress Report by the Kingdom of Lesotho on its implementation of recommendations made on 22 January 2020 (2023), accessed December 8, 2025, https://www.ohchr.org/en/hr-bodies/upr/upr-implementation.  </w:t>
      </w:r>
    </w:p>
  </w:footnote>
  <w:footnote w:id="4">
    <w:p w14:paraId="52761F7E" w14:textId="741DF99B"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vertAlign w:val="baseline"/>
        </w:rPr>
        <w:t xml:space="preserve">Press Release, International Commission of Jurists, “Lesotho: Chief Justice </w:t>
      </w:r>
      <w:r w:rsidRPr="00842398">
        <w:rPr>
          <w:rStyle w:val="FootnoteReference"/>
          <w:sz w:val="20"/>
          <w:szCs w:val="20"/>
          <w:vertAlign w:val="baseline"/>
        </w:rPr>
        <w:t>Sakoane Sakoane calls for the ‘cultivation of an LGBTIQ sensitive culture’ in Lesotho”, (Oct. 18, 2022). Also available online at https://www.icj.org/lesotho-chief-justice-sakoane-sakoane-calls-for-the-cultivation-of-an-lgbtiq-sensitive-culture-in-lesotho/. </w:t>
      </w:r>
    </w:p>
  </w:footnote>
  <w:footnote w:id="5">
    <w:p w14:paraId="7863C5EB" w14:textId="18EB59E6"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 xml:space="preserve">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2024, https://www.southernafricalitigationcentre.org/wp-content/uploads/2020/11/Lesotho-Gender-Marker-report.pdf. </w:t>
      </w:r>
      <w:r w:rsidRPr="00842398">
        <w:rPr>
          <w:rStyle w:val="FootnoteReference"/>
          <w:sz w:val="20"/>
          <w:szCs w:val="20"/>
          <w:vertAlign w:val="baseline"/>
        </w:rPr>
        <w:t xml:space="preserve"> </w:t>
      </w:r>
    </w:p>
  </w:footnote>
  <w:footnote w:id="6">
    <w:p w14:paraId="26ACB8FD" w14:textId="4115BC73"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rPr>
        <w:t xml:space="preserve"> </w:t>
      </w:r>
      <w:r w:rsidRPr="00842398">
        <w:rPr>
          <w:rStyle w:val="FootnoteReference"/>
          <w:sz w:val="20"/>
          <w:szCs w:val="20"/>
          <w:highlight w:val="white"/>
          <w:vertAlign w:val="baseline"/>
        </w:rPr>
        <w:t xml:space="preserve">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w:t>
      </w:r>
      <w:r w:rsidRPr="00842398">
        <w:rPr>
          <w:rStyle w:val="FootnoteReference"/>
          <w:sz w:val="20"/>
          <w:szCs w:val="20"/>
          <w:vertAlign w:val="baseline"/>
        </w:rPr>
        <w:t xml:space="preserve"> </w:t>
      </w:r>
    </w:p>
  </w:footnote>
  <w:footnote w:id="7">
    <w:p w14:paraId="62D17BE9" w14:textId="2402D8F3"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highlight w:val="white"/>
          <w:vertAlign w:val="baseline"/>
        </w:rPr>
        <w:t xml:space="preserve">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w:t>
      </w:r>
      <w:r w:rsidRPr="00842398">
        <w:rPr>
          <w:rStyle w:val="FootnoteReference"/>
          <w:sz w:val="20"/>
          <w:szCs w:val="20"/>
          <w:vertAlign w:val="baseline"/>
        </w:rPr>
        <w:t xml:space="preserve"> </w:t>
      </w:r>
    </w:p>
  </w:footnote>
  <w:footnote w:id="8">
    <w:p w14:paraId="30F704FE" w14:textId="77777777"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Press Release, International Commission of Jurists, “Lesotho: activists call for increased sensitization of key stakeholders on human rights of LGBTQ+ people”, (Apr. 21, 2023). Also available online at https://www.icj.org/lesotho-activists-call-for-increased-sensitization-of-key-stakeholders-on-human-rights-of-lgbtiq-people/.  </w:t>
      </w:r>
    </w:p>
  </w:footnote>
  <w:footnote w:id="9">
    <w:p w14:paraId="0F8758A5" w14:textId="77777777"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Dipane Hlalele &amp; Keneuoe Matsumunyane, ”Sexual Diversity: Peer and Family Rejection or Acceptance in Lesotho,” J</w:t>
      </w:r>
      <w:r w:rsidRPr="00842398">
        <w:rPr>
          <w:rStyle w:val="FootnoteReference"/>
          <w:i/>
          <w:iCs/>
          <w:sz w:val="20"/>
          <w:szCs w:val="20"/>
          <w:highlight w:val="white"/>
          <w:vertAlign w:val="baseline"/>
        </w:rPr>
        <w:t>ournal of Asian and African Studies</w:t>
      </w:r>
      <w:r w:rsidRPr="00842398">
        <w:rPr>
          <w:rStyle w:val="FootnoteReference"/>
          <w:sz w:val="20"/>
          <w:szCs w:val="20"/>
          <w:highlight w:val="white"/>
          <w:vertAlign w:val="baseline"/>
        </w:rPr>
        <w:t>, 57(4) 635-649 (2022), https://journals.sagepub.com/doi/10.1177/00219096211024674.  </w:t>
      </w:r>
    </w:p>
  </w:footnote>
  <w:footnote w:id="10">
    <w:p w14:paraId="566079A6" w14:textId="40DCFE44"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highlight w:val="white"/>
          <w:vertAlign w:val="baseline"/>
        </w:rPr>
        <w:t xml:space="preserve">Dipane Hlalele &amp; Keneuoe Matsumunyane, </w:t>
      </w:r>
      <w:r w:rsidRPr="00842398">
        <w:rPr>
          <w:sz w:val="20"/>
          <w:szCs w:val="20"/>
          <w:highlight w:val="white"/>
        </w:rPr>
        <w:t>“</w:t>
      </w:r>
      <w:r w:rsidRPr="00842398">
        <w:rPr>
          <w:rStyle w:val="FootnoteReference"/>
          <w:sz w:val="20"/>
          <w:szCs w:val="20"/>
          <w:highlight w:val="white"/>
          <w:vertAlign w:val="baseline"/>
        </w:rPr>
        <w:t>Sexual Diversity: Peer and Family Rejection or Acceptance in Lesotho,” J</w:t>
      </w:r>
      <w:r w:rsidRPr="00842398">
        <w:rPr>
          <w:rStyle w:val="FootnoteReference"/>
          <w:i/>
          <w:iCs/>
          <w:sz w:val="20"/>
          <w:szCs w:val="20"/>
          <w:highlight w:val="white"/>
          <w:vertAlign w:val="baseline"/>
        </w:rPr>
        <w:t>ournal of Asian and African Studies</w:t>
      </w:r>
      <w:r w:rsidRPr="00842398">
        <w:rPr>
          <w:rStyle w:val="FootnoteReference"/>
          <w:sz w:val="20"/>
          <w:szCs w:val="20"/>
          <w:highlight w:val="white"/>
          <w:vertAlign w:val="baseline"/>
        </w:rPr>
        <w:t>, 57(4) 635-649 (2022), https://journals.sagepub.com/doi/10.1177/00219096211024674.  </w:t>
      </w:r>
      <w:r w:rsidRPr="00842398">
        <w:rPr>
          <w:rStyle w:val="FootnoteReference"/>
          <w:sz w:val="20"/>
          <w:szCs w:val="20"/>
          <w:vertAlign w:val="baseline"/>
        </w:rPr>
        <w:t xml:space="preserve">(“A vast majority of participants in this study did not perceive being LGBTQI+ as natural, hence recommendations for therapies, counseling, prayers, and many more intervention strategies, with a hope that their supposedly positive suggestions would curb LGBTQI identities.”). </w:t>
      </w:r>
    </w:p>
  </w:footnote>
  <w:footnote w:id="11">
    <w:p w14:paraId="4E27A8A0" w14:textId="30C5FC99"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 xml:space="preserve">ILGA World Database, “Jurisdictions – Lesotho – Legal frameworks”, accessed December 8, 2025, </w:t>
      </w:r>
      <w:hyperlink r:id="rId1">
        <w:r w:rsidRPr="00842398">
          <w:rPr>
            <w:rStyle w:val="FootnoteReference"/>
            <w:sz w:val="20"/>
            <w:szCs w:val="20"/>
            <w:highlight w:val="white"/>
            <w:vertAlign w:val="baseline"/>
          </w:rPr>
          <w:t>https://database.ilga.org/lesotho-lgbti</w:t>
        </w:r>
      </w:hyperlink>
      <w:r w:rsidRPr="00842398">
        <w:rPr>
          <w:rStyle w:val="FootnoteReference"/>
          <w:sz w:val="20"/>
          <w:szCs w:val="20"/>
          <w:highlight w:val="white"/>
          <w:vertAlign w:val="baseline"/>
        </w:rPr>
        <w:t xml:space="preserve"> (“To the best of ILGA World’s knowledge, laws in force in Lesotho do not offer protection against discrimination based on ‘sexual orientation’, ‘gender identity’, ‘gender expression’ or ‘sex characteristics’ in housing”); (“To the best of ILGA World’s knowledge, laws in force in Lesotho do not prohibit incitement to hatred, violence or discrimination on the basis of ‘sexual orientation’, ‘gender identity’, ‘gender expression’ or ‘sex characteristics.’”).</w:t>
      </w:r>
    </w:p>
  </w:footnote>
  <w:footnote w:id="12">
    <w:p w14:paraId="2D57DAD4" w14:textId="5D27C615"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 xml:space="preserve">ILGA World Database, “Jurisdictions – Lesotho – Legal frameworks”, accessed December 8, 2025, </w:t>
      </w:r>
      <w:hyperlink r:id="rId2">
        <w:r w:rsidRPr="00842398">
          <w:rPr>
            <w:rStyle w:val="FootnoteReference"/>
            <w:sz w:val="20"/>
            <w:szCs w:val="20"/>
            <w:highlight w:val="white"/>
            <w:vertAlign w:val="baseline"/>
          </w:rPr>
          <w:t>https://database.ilga.org/lesotho-lgbti</w:t>
        </w:r>
      </w:hyperlink>
      <w:r w:rsidRPr="00842398">
        <w:rPr>
          <w:rStyle w:val="FootnoteReference"/>
          <w:sz w:val="20"/>
          <w:szCs w:val="20"/>
          <w:highlight w:val="white"/>
          <w:vertAlign w:val="baseline"/>
        </w:rPr>
        <w:t xml:space="preserve"> (“To the best of ILGA World’s knowledge, laws in force in Lesotho do not offer protection against discrimination based on ‘sexual orientation’, ‘gender identity’, ‘gender expression’ or ‘sex characteristics’ in housing”); (“To the best of ILGA World’s knowledge, laws in force in Lesotho do not prohibit incitement to hatred, violence or discrimination on the basis of ‘sexual orientation’, ‘gender identity’, ‘gender expression’ or ‘sex characteristics.’”).</w:t>
      </w:r>
    </w:p>
  </w:footnote>
  <w:footnote w:id="13">
    <w:p w14:paraId="76E605E8" w14:textId="77777777" w:rsidR="004D5577" w:rsidRPr="00842398" w:rsidRDefault="004D5577" w:rsidP="007F690A">
      <w:pPr>
        <w:pStyle w:val="FootnoteText"/>
        <w:rPr>
          <w:sz w:val="20"/>
          <w:szCs w:val="20"/>
        </w:rPr>
      </w:pPr>
      <w:r w:rsidRPr="00842398">
        <w:rPr>
          <w:rStyle w:val="FootnoteReference"/>
          <w:sz w:val="20"/>
          <w:szCs w:val="20"/>
        </w:rPr>
        <w:footnoteRef/>
      </w:r>
      <w:r w:rsidRPr="00842398">
        <w:rPr>
          <w:sz w:val="20"/>
          <w:szCs w:val="20"/>
          <w:vertAlign w:val="superscript"/>
        </w:rPr>
        <w:t xml:space="preserve"> </w:t>
      </w:r>
      <w:r w:rsidRPr="00842398">
        <w:rPr>
          <w:sz w:val="20"/>
          <w:szCs w:val="20"/>
        </w:rPr>
        <w:t>Email from Rainbow Alliance of Lesotho to The Advocates for Human Rights (Oct. 6, 2024) (on file with authors).</w:t>
      </w:r>
    </w:p>
  </w:footnote>
  <w:footnote w:id="14">
    <w:p w14:paraId="6E20B681" w14:textId="77777777" w:rsidR="004D5577" w:rsidRPr="00842398" w:rsidRDefault="004D5577" w:rsidP="007F690A">
      <w:pPr>
        <w:pStyle w:val="FootnoteText"/>
        <w:rPr>
          <w:sz w:val="20"/>
          <w:szCs w:val="20"/>
        </w:rPr>
      </w:pPr>
      <w:r w:rsidRPr="00842398">
        <w:rPr>
          <w:rStyle w:val="FootnoteReference"/>
          <w:sz w:val="20"/>
          <w:szCs w:val="20"/>
        </w:rPr>
        <w:footnoteRef/>
      </w:r>
      <w:r w:rsidRPr="00842398">
        <w:rPr>
          <w:sz w:val="20"/>
          <w:szCs w:val="20"/>
          <w:vertAlign w:val="superscript"/>
        </w:rPr>
        <w:t xml:space="preserve"> </w:t>
      </w:r>
      <w:r w:rsidRPr="00842398">
        <w:rPr>
          <w:sz w:val="20"/>
          <w:szCs w:val="20"/>
        </w:rPr>
        <w:t>Email from Rainbow Alliance of Lesotho to The Advocates for Human Rights (Oct. 6, 2024) (on file with authors).</w:t>
      </w:r>
    </w:p>
  </w:footnote>
  <w:footnote w:id="15">
    <w:p w14:paraId="45CCE64F" w14:textId="37431AB1" w:rsidR="004D5577" w:rsidRPr="00842398" w:rsidRDefault="004D5577" w:rsidP="007F690A">
      <w:pPr>
        <w:pStyle w:val="FootnoteText"/>
        <w:rPr>
          <w:sz w:val="20"/>
          <w:szCs w:val="20"/>
        </w:rPr>
      </w:pPr>
      <w:r w:rsidRPr="00842398">
        <w:rPr>
          <w:rStyle w:val="FootnoteReference"/>
          <w:sz w:val="20"/>
          <w:szCs w:val="20"/>
        </w:rPr>
        <w:footnoteRef/>
      </w:r>
      <w:r w:rsidRPr="00842398">
        <w:rPr>
          <w:sz w:val="20"/>
          <w:szCs w:val="20"/>
        </w:rPr>
        <w:t xml:space="preserve"> Committee on the Elimination of Discrimination Against Women, </w:t>
      </w:r>
      <w:r w:rsidRPr="00842398">
        <w:rPr>
          <w:i/>
          <w:iCs/>
          <w:sz w:val="20"/>
          <w:szCs w:val="20"/>
        </w:rPr>
        <w:t>Combined fifth to seventh periodic reports submitted by Lesotho under article 18 of the Convention, due in 2015,</w:t>
      </w:r>
      <w:r w:rsidRPr="00842398">
        <w:rPr>
          <w:sz w:val="20"/>
          <w:szCs w:val="20"/>
        </w:rPr>
        <w:t xml:space="preserve"> (Jan. 8, 2024) U.N. Doc. CEDAW/C/LSO/5-7, ¶ 40.</w:t>
      </w:r>
    </w:p>
  </w:footnote>
  <w:footnote w:id="16">
    <w:p w14:paraId="548282D7" w14:textId="77777777"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 xml:space="preserve">Carmen H. </w:t>
      </w:r>
      <w:r w:rsidRPr="00842398">
        <w:rPr>
          <w:rStyle w:val="FootnoteReference"/>
          <w:sz w:val="20"/>
          <w:szCs w:val="20"/>
          <w:highlight w:val="white"/>
          <w:vertAlign w:val="baseline"/>
        </w:rPr>
        <w:t xml:space="preserve">Logie, Amaya Perez-Brumer, Tampose Mothopeng, Maya Latif, Amelia Ranotsi &amp; Stefan D. Baral, Conceptualizing LGBT Stigma and Associated HIV Vulnerabilities Among LGBT Persons in Lesotho, AIDS and Behavior, 24 3462–3472 (2020), </w:t>
      </w:r>
      <w:hyperlink r:id="rId3">
        <w:r w:rsidRPr="00842398">
          <w:rPr>
            <w:rStyle w:val="FootnoteReference"/>
            <w:sz w:val="20"/>
            <w:szCs w:val="20"/>
            <w:vertAlign w:val="baseline"/>
          </w:rPr>
          <w:t>Conceptualizing LGBT Stigma and Associated HIV Vulnerabilities Among LGBT Persons in Lesotho - PMC (nih.gov)</w:t>
        </w:r>
      </w:hyperlink>
      <w:r w:rsidRPr="00842398">
        <w:rPr>
          <w:rStyle w:val="FootnoteReference"/>
          <w:sz w:val="20"/>
          <w:szCs w:val="20"/>
          <w:vertAlign w:val="baseline"/>
        </w:rPr>
        <w:t xml:space="preserve"> (Pages 36422-3464) (“Emergent literature highlights co-morbidity between HIV and adverse mental health conditions among lesbian, gay, bisexual and transgender (LGBT) Basotho adults.”). </w:t>
      </w:r>
    </w:p>
  </w:footnote>
  <w:footnote w:id="17">
    <w:p w14:paraId="2DE25A68" w14:textId="77777777"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 xml:space="preserve">Carmen H. </w:t>
      </w:r>
      <w:r w:rsidRPr="00842398">
        <w:rPr>
          <w:rStyle w:val="FootnoteReference"/>
          <w:sz w:val="20"/>
          <w:szCs w:val="20"/>
          <w:highlight w:val="white"/>
          <w:vertAlign w:val="baseline"/>
        </w:rPr>
        <w:t xml:space="preserve">Logie, Amaya Perez-Brumer, Tampose Mothopeng, Maya Latif, Amelia Ranotsi &amp; Stefan D. Baral, Conceptualizing LGBT Stigma and Associated HIV Vulnerabilities Among LGBT Persons in Lesotho, AIDS and Behavior, 24 3462–3472 (2020), </w:t>
      </w:r>
      <w:hyperlink r:id="rId4">
        <w:r w:rsidRPr="00842398">
          <w:rPr>
            <w:rStyle w:val="FootnoteReference"/>
            <w:sz w:val="20"/>
            <w:szCs w:val="20"/>
            <w:vertAlign w:val="baseline"/>
          </w:rPr>
          <w:t>Conceptualizing LGBT Stigma and Associated HIV Vulnerabilities Among LGBT Persons in Lesotho - PMC (nih.gov)</w:t>
        </w:r>
      </w:hyperlink>
      <w:r w:rsidRPr="00842398">
        <w:rPr>
          <w:rStyle w:val="FootnoteReference"/>
          <w:sz w:val="20"/>
          <w:szCs w:val="20"/>
          <w:vertAlign w:val="baseline"/>
        </w:rPr>
        <w:t xml:space="preserve"> (“LGBT persons’ mistreatment and exclusion in healthcare, including HIV prevention, were significant barriers to accessing healthcare, in turn exacerbating HIV vulnerabilities.”).</w:t>
      </w:r>
    </w:p>
  </w:footnote>
  <w:footnote w:id="18">
    <w:p w14:paraId="5FB31BA0" w14:textId="77777777"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highlight w:val="white"/>
          <w:vertAlign w:val="baseline"/>
        </w:rPr>
        <w:t xml:space="preserve">Carmen H. </w:t>
      </w:r>
      <w:r w:rsidRPr="00842398">
        <w:rPr>
          <w:rStyle w:val="FootnoteReference"/>
          <w:sz w:val="20"/>
          <w:szCs w:val="20"/>
          <w:highlight w:val="white"/>
          <w:vertAlign w:val="baseline"/>
        </w:rPr>
        <w:t xml:space="preserve">Logie, Amaya Perez-Brumer, Tampose Mothopeng, Maya Latif, Amelia Ranotsi &amp; Stefan D. Baral, Conceptualizing LGBT Stigma and Associated HIV Vulnerabilities Among LGBT Persons in Lesotho, AIDS and Behavior, 24 3470 (2020), </w:t>
      </w:r>
      <w:hyperlink r:id="rId5">
        <w:r w:rsidRPr="00842398">
          <w:rPr>
            <w:rStyle w:val="FootnoteReference"/>
            <w:sz w:val="20"/>
            <w:szCs w:val="20"/>
            <w:vertAlign w:val="baseline"/>
          </w:rPr>
          <w:t>Conceptualizing LGBT Stigma and Associated HIV Vulnerabilities Among LGBT Persons in Lesotho - PMC (nih.gov)</w:t>
        </w:r>
      </w:hyperlink>
      <w:r w:rsidRPr="00842398">
        <w:rPr>
          <w:rStyle w:val="FootnoteReference"/>
          <w:sz w:val="20"/>
          <w:szCs w:val="20"/>
          <w:vertAlign w:val="baseline"/>
        </w:rPr>
        <w:t xml:space="preserve"> </w:t>
      </w:r>
    </w:p>
  </w:footnote>
  <w:footnote w:id="19">
    <w:p w14:paraId="7537ACC7" w14:textId="714B5727"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rStyle w:val="FootnoteReference"/>
          <w:sz w:val="20"/>
          <w:szCs w:val="20"/>
        </w:rPr>
        <w:t xml:space="preserve"> </w:t>
      </w:r>
      <w:r w:rsidRPr="00842398">
        <w:rPr>
          <w:rStyle w:val="FootnoteReference"/>
          <w:sz w:val="20"/>
          <w:szCs w:val="20"/>
          <w:highlight w:val="white"/>
          <w:vertAlign w:val="baseline"/>
        </w:rPr>
        <w:t>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(“[M]</w:t>
      </w:r>
      <w:r w:rsidRPr="00842398">
        <w:rPr>
          <w:rStyle w:val="FootnoteReference"/>
          <w:sz w:val="20"/>
          <w:szCs w:val="20"/>
          <w:highlight w:val="white"/>
          <w:vertAlign w:val="baseline"/>
        </w:rPr>
        <w:t xml:space="preserve">ental health concerns were high among transgender and gender non-conforming people in Lesotho. Between half and two-thirds showed signs of depression (67% among transgender women, 48% among transgender men, and 60% among gender non-conforming people). Between 20% and 60% showed signs of moderate or severe anxiety (20% among transgender women, 27% among transgender men and 60% among gender non-conforming people). </w:t>
      </w:r>
    </w:p>
  </w:footnote>
  <w:footnote w:id="20">
    <w:p w14:paraId="73EC3E75" w14:textId="0165B144"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highlight w:val="white"/>
          <w:vertAlign w:val="baseline"/>
        </w:rPr>
        <w:t>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(“[M]</w:t>
      </w:r>
      <w:r w:rsidRPr="00842398">
        <w:rPr>
          <w:rStyle w:val="FootnoteReference"/>
          <w:sz w:val="20"/>
          <w:szCs w:val="20"/>
          <w:highlight w:val="white"/>
          <w:vertAlign w:val="baseline"/>
        </w:rPr>
        <w:t>ental health concerns were high among transgender and gender non-conforming people in Lesotho. Between half and two-thirds showed signs of depression (67% among transgender women, 48% among transgender men, and 60% among gender non-conforming people). Between 20% and 60% showed signs of moderate or severe anxiety (20% among transgender women, 27% among transgender men and 60% among gender non-conforming people).</w:t>
      </w:r>
    </w:p>
  </w:footnote>
  <w:footnote w:id="21">
    <w:p w14:paraId="49250B8F" w14:textId="55E985CE"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 xml:space="preserve">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w:t>
      </w:r>
      <w:r w:rsidRPr="00842398">
        <w:rPr>
          <w:rStyle w:val="FootnoteReference"/>
          <w:sz w:val="20"/>
          <w:szCs w:val="20"/>
          <w:vertAlign w:val="baseline"/>
        </w:rPr>
        <w:t xml:space="preserve">  </w:t>
      </w:r>
    </w:p>
  </w:footnote>
  <w:footnote w:id="22">
    <w:p w14:paraId="2D394CEF" w14:textId="4D599695"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highlight w:val="white"/>
          <w:vertAlign w:val="baseline"/>
        </w:rPr>
        <w:t>The Southern Africa Litigation Centre, The People’s Matrix Association, &amp; Women and Law Southern Africa – Lesotho, Legal Gender Recognition in Lesotho. An Analysis of Law and Policy in the Context of International Best Practice, by Alex Müller (Johannesburg: The Southern Africa Litigation Centre, October 2020), accessed December 8, 2025, https://www.southernafricalitigationcentre.org/wp-content/uploads/2020/11/Lesotho-Gender-Marker-report.pdf).   (“[M]</w:t>
      </w:r>
      <w:r w:rsidRPr="00842398">
        <w:rPr>
          <w:rStyle w:val="FootnoteReference"/>
          <w:sz w:val="20"/>
          <w:szCs w:val="20"/>
          <w:highlight w:val="white"/>
          <w:vertAlign w:val="baseline"/>
        </w:rPr>
        <w:t>ental health concerns were high among transgender and gender non-conforming people in Lesotho. Between half and two-thirds showed signs of depression (67% among transgender women, 48% among transgender men, and 60% among gender non-conforming people). Between 20% and 60% showed signs of moderate or severe anxiety (20% among transgender women, 27% among transgender men and 60% among gender non-conforming people).</w:t>
      </w:r>
    </w:p>
  </w:footnote>
  <w:footnote w:id="23">
    <w:p w14:paraId="64155A0D" w14:textId="2CB8BF72" w:rsidR="004D5577" w:rsidRPr="00842398" w:rsidRDefault="004D5577" w:rsidP="007F690A">
      <w:pPr>
        <w:pStyle w:val="FootnoteText"/>
        <w:rPr>
          <w:sz w:val="20"/>
          <w:szCs w:val="20"/>
        </w:rPr>
      </w:pPr>
      <w:r w:rsidRPr="00842398">
        <w:rPr>
          <w:rStyle w:val="FootnoteReference"/>
          <w:sz w:val="20"/>
          <w:szCs w:val="20"/>
        </w:rPr>
        <w:footnoteRef/>
      </w:r>
      <w:r w:rsidRPr="00842398">
        <w:rPr>
          <w:sz w:val="20"/>
          <w:szCs w:val="20"/>
          <w:vertAlign w:val="superscript"/>
        </w:rPr>
        <w:t xml:space="preserve"> </w:t>
      </w:r>
      <w:r w:rsidRPr="00842398">
        <w:rPr>
          <w:sz w:val="20"/>
          <w:szCs w:val="20"/>
        </w:rPr>
        <w:t xml:space="preserve">New 24, Lesotho Moves Towards Gender Affirmation Treatment, Transgender Recognition for Children, accessed December 8, 2025, https://www.news24.com/world/africa/lesotho-moves-towards-gender-affirmation-treatment-transgender-recognition-for-children-20241119 (Quoting Mantu </w:t>
      </w:r>
      <w:r w:rsidRPr="00842398">
        <w:rPr>
          <w:sz w:val="20"/>
          <w:szCs w:val="20"/>
        </w:rPr>
        <w:t xml:space="preserve">Phooko). </w:t>
      </w:r>
    </w:p>
  </w:footnote>
  <w:footnote w:id="24">
    <w:p w14:paraId="0A493A74" w14:textId="77777777"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Press Release, International Commission of Jurists, “Lesotho: activists call for increased sensitization of key stakeholders on human rights of LGBTQ+ people”, (Apr. 21, 2023). Also available online at https://www.icj.org/lesotho-activists-call-for-increased-sensitization-of-key-stakeholders-on-human-rights-of-lgbtiq-people/.  </w:t>
      </w:r>
    </w:p>
  </w:footnote>
  <w:footnote w:id="25">
    <w:p w14:paraId="7DDE8AEF" w14:textId="3787DEEA"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sz w:val="20"/>
          <w:szCs w:val="20"/>
          <w:highlight w:val="white"/>
        </w:rPr>
        <w:t xml:space="preserve"> </w:t>
      </w:r>
      <w:r w:rsidRPr="00842398">
        <w:rPr>
          <w:rStyle w:val="FootnoteReference"/>
          <w:sz w:val="20"/>
          <w:szCs w:val="20"/>
          <w:highlight w:val="white"/>
          <w:vertAlign w:val="baseline"/>
        </w:rPr>
        <w:t>Be in the Know, “At a glance: HIV in Lesotho–The first African country to introduce ‘test and treat’,” accessed December 8, 2025, https://www.beintheknow.org/understanding-hiv-epidemic/data/glance-hiv-lesotho.  </w:t>
      </w:r>
    </w:p>
  </w:footnote>
  <w:footnote w:id="26">
    <w:p w14:paraId="5D84E6A9" w14:textId="53C59748"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The Government of Lesotho, Mid-term progress Report by the Kingdom of Lesotho on its implementation of recommendations made on 22 January 2020 (2023), accessed December 8, 2025, https://www.ohchr.org/en/hr-bodies/upr/upr-implementation. </w:t>
      </w:r>
    </w:p>
    <w:bookmarkStart w:id="0" w:name="_heading=h.gjdgxs" w:colFirst="0" w:colLast="0"/>
    <w:bookmarkEnd w:id="0"/>
  </w:footnote>
  <w:footnote w:id="27">
    <w:p w14:paraId="4E91DAB4" w14:textId="77777777" w:rsidR="004D5577" w:rsidRPr="00842398" w:rsidRDefault="004D5577" w:rsidP="007F690A">
      <w:pPr>
        <w:pBdr>
          <w:top w:val="nil"/>
          <w:left w:val="nil"/>
          <w:bottom w:val="nil"/>
          <w:right w:val="nil"/>
          <w:between w:val="nil"/>
        </w:pBdr>
        <w:rPr>
          <w:rStyle w:val="FootnoteReference"/>
          <w:sz w:val="20"/>
          <w:szCs w:val="20"/>
          <w:vertAlign w:val="baseline"/>
        </w:rPr>
      </w:pPr>
      <w:bookmarkStart w:id="1" w:name="_heading=h.gjdgxs" w:colFirst="0" w:colLast="0"/>
      <w:bookmarkEnd w:id="1"/>
      <w:r w:rsidRPr="00842398">
        <w:rPr>
          <w:rStyle w:val="FootnoteReference"/>
          <w:sz w:val="20"/>
          <w:szCs w:val="20"/>
        </w:rPr>
        <w:footnoteRef/>
      </w:r>
      <w:r w:rsidRPr="00842398">
        <w:rPr>
          <w:rStyle w:val="FootnoteReference"/>
          <w:sz w:val="20"/>
          <w:szCs w:val="20"/>
        </w:rPr>
        <w:t xml:space="preserve"> </w:t>
      </w:r>
      <w:r w:rsidRPr="00842398">
        <w:rPr>
          <w:rStyle w:val="FootnoteReference"/>
          <w:sz w:val="20"/>
          <w:szCs w:val="20"/>
          <w:highlight w:val="white"/>
          <w:vertAlign w:val="baseline"/>
        </w:rPr>
        <w:t xml:space="preserve">Carmen H. </w:t>
      </w:r>
      <w:r w:rsidRPr="00842398">
        <w:rPr>
          <w:rStyle w:val="FootnoteReference"/>
          <w:sz w:val="20"/>
          <w:szCs w:val="20"/>
          <w:highlight w:val="white"/>
          <w:vertAlign w:val="baseline"/>
        </w:rPr>
        <w:t xml:space="preserve">Logie, Amaya Perez-Brumer, Tampose Mothopeng, Maya Latif, Amelia Ranotsi &amp; Stefan D. Baral, Conceptualizing LGBT Stigma and Associated HIV Vulnerabilities Among LGBT Persons in Lesotho, AIDS and Behavior, 24 3462–3472 (2020), </w:t>
      </w:r>
      <w:hyperlink r:id="rId6">
        <w:r w:rsidRPr="00842398">
          <w:rPr>
            <w:rStyle w:val="FootnoteReference"/>
            <w:sz w:val="20"/>
            <w:szCs w:val="20"/>
            <w:vertAlign w:val="baseline"/>
          </w:rPr>
          <w:t>Conceptualizing LGBT Stigma and Associated HIV Vulnerabilities Among LGBT Persons in Lesotho - PMC (nih.gov)</w:t>
        </w:r>
      </w:hyperlink>
      <w:r w:rsidRPr="00842398">
        <w:rPr>
          <w:rStyle w:val="FootnoteReference"/>
          <w:sz w:val="20"/>
          <w:szCs w:val="20"/>
          <w:vertAlign w:val="baseline"/>
        </w:rPr>
        <w:t xml:space="preserve"> (Pages 36422-3464). </w:t>
      </w:r>
    </w:p>
  </w:footnote>
  <w:footnote w:id="28">
    <w:p w14:paraId="4C800827" w14:textId="21CE2E73"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rPr>
        <w:footnoteRef/>
      </w:r>
      <w:r w:rsidRPr="00842398">
        <w:rPr>
          <w:sz w:val="20"/>
          <w:szCs w:val="20"/>
          <w:highlight w:val="white"/>
          <w:vertAlign w:val="superscript"/>
        </w:rPr>
        <w:t xml:space="preserve"> </w:t>
      </w:r>
      <w:r w:rsidRPr="00842398">
        <w:rPr>
          <w:rStyle w:val="FootnoteReference"/>
          <w:sz w:val="20"/>
          <w:szCs w:val="20"/>
          <w:highlight w:val="white"/>
          <w:vertAlign w:val="baseline"/>
        </w:rPr>
        <w:t>Be in the Know, “At a glance: HIV in Lesotho - The first African country to introduce ‘test and treat’,” accessed December 8, 2025, https://www.beintheknow.org/understanding-hiv-epidemic/data/glance-hiv-lesotho.  </w:t>
      </w:r>
      <w:r w:rsidRPr="00842398">
        <w:rPr>
          <w:rStyle w:val="FootnoteReference"/>
          <w:sz w:val="20"/>
          <w:szCs w:val="20"/>
          <w:vertAlign w:val="baseline"/>
        </w:rPr>
        <w:t xml:space="preserve"> </w:t>
      </w:r>
    </w:p>
  </w:footnote>
  <w:footnote w:id="29">
    <w:p w14:paraId="66C5950F" w14:textId="778751ED" w:rsidR="004D5577" w:rsidRPr="00842398" w:rsidRDefault="004D5577" w:rsidP="007F690A">
      <w:pPr>
        <w:pBdr>
          <w:top w:val="nil"/>
          <w:left w:val="nil"/>
          <w:bottom w:val="nil"/>
          <w:right w:val="nil"/>
          <w:between w:val="nil"/>
        </w:pBdr>
        <w:rPr>
          <w:rStyle w:val="FootnoteReference"/>
          <w:sz w:val="20"/>
          <w:szCs w:val="20"/>
          <w:vertAlign w:val="baseline"/>
        </w:rPr>
      </w:pPr>
      <w:r w:rsidRPr="00842398">
        <w:rPr>
          <w:rStyle w:val="FootnoteReference"/>
          <w:sz w:val="20"/>
          <w:szCs w:val="20"/>
          <w:vertAlign w:val="baseline"/>
        </w:rPr>
        <w:footnoteRef/>
      </w:r>
      <w:r w:rsidRPr="00842398">
        <w:rPr>
          <w:sz w:val="20"/>
          <w:szCs w:val="20"/>
          <w:highlight w:val="white"/>
        </w:rPr>
        <w:t xml:space="preserve"> </w:t>
      </w:r>
      <w:r w:rsidRPr="00842398">
        <w:rPr>
          <w:rStyle w:val="FootnoteReference"/>
          <w:sz w:val="20"/>
          <w:szCs w:val="20"/>
          <w:highlight w:val="white"/>
          <w:vertAlign w:val="baseline"/>
        </w:rPr>
        <w:t>Be in the Know, “At a glance: HIV in Lesotho - The first African country to introduce ‘test and treat’,” accessed December 8, 2025, https://www.beintheknow.org/understanding-hiv-epidemic/data/glance-hiv-lesotho.  </w:t>
      </w:r>
    </w:p>
  </w:footnote>
  <w:footnote w:id="30">
    <w:p w14:paraId="44F458EF" w14:textId="6CFD4495" w:rsidR="004D5577" w:rsidRPr="00842398" w:rsidRDefault="004D5577" w:rsidP="007F690A">
      <w:pPr>
        <w:pBdr>
          <w:top w:val="nil"/>
          <w:left w:val="nil"/>
          <w:bottom w:val="nil"/>
          <w:right w:val="nil"/>
          <w:between w:val="nil"/>
        </w:pBdr>
        <w:rPr>
          <w:rStyle w:val="FootnoteReference"/>
          <w:sz w:val="20"/>
          <w:szCs w:val="20"/>
          <w:highlight w:val="white"/>
          <w:vertAlign w:val="baseline"/>
        </w:rPr>
      </w:pPr>
      <w:r w:rsidRPr="00842398">
        <w:rPr>
          <w:rStyle w:val="FootnoteReference"/>
          <w:sz w:val="20"/>
          <w:szCs w:val="20"/>
        </w:rPr>
        <w:footnoteRef/>
      </w:r>
      <w:r w:rsidRPr="00842398">
        <w:rPr>
          <w:rStyle w:val="FootnoteReference"/>
          <w:sz w:val="20"/>
          <w:szCs w:val="20"/>
          <w:vertAlign w:val="baseline"/>
        </w:rPr>
        <w:t xml:space="preserve"> </w:t>
      </w:r>
      <w:r w:rsidRPr="00842398">
        <w:rPr>
          <w:rStyle w:val="FootnoteReference"/>
          <w:sz w:val="20"/>
          <w:szCs w:val="20"/>
          <w:highlight w:val="white"/>
          <w:vertAlign w:val="baseline"/>
        </w:rPr>
        <w:t xml:space="preserve">International Commission of Jurists, “Remarks by the </w:t>
      </w:r>
      <w:r w:rsidRPr="00842398">
        <w:rPr>
          <w:rStyle w:val="FootnoteReference"/>
          <w:sz w:val="20"/>
          <w:szCs w:val="20"/>
          <w:highlight w:val="white"/>
          <w:vertAlign w:val="baseline"/>
        </w:rPr>
        <w:t xml:space="preserve">honourable Chief Justice S.P. Sakoane at the ICJ Judicial Workshops: Access to Justice for Persons with Disabilities in Lesotho &amp; LGBTI Rights. 11th – 12th October 2022,” accessed December 8, 2025, </w:t>
      </w:r>
      <w:hyperlink r:id="rId7">
        <w:r w:rsidRPr="00842398">
          <w:rPr>
            <w:rStyle w:val="FootnoteReference"/>
            <w:sz w:val="20"/>
            <w:szCs w:val="20"/>
            <w:highlight w:val="white"/>
            <w:vertAlign w:val="baseline"/>
          </w:rPr>
          <w:t>https://www.icj.org/wp-content/uploads/2022/10/International-Commission-of-Jurists-Workshop-10-October-2022.pdf</w:t>
        </w:r>
      </w:hyperlink>
      <w:r w:rsidRPr="00842398">
        <w:rPr>
          <w:rStyle w:val="FootnoteReference"/>
          <w:sz w:val="20"/>
          <w:szCs w:val="20"/>
          <w:highlight w:val="white"/>
          <w:vertAlign w:val="baseline"/>
        </w:rPr>
        <w:t xml:space="preserve"> .   </w:t>
      </w:r>
    </w:p>
  </w:footnote>
  <w:footnote w:id="31">
    <w:p w14:paraId="006FA168" w14:textId="68030A7C" w:rsidR="004D5577" w:rsidRPr="00842398" w:rsidRDefault="004D5577" w:rsidP="007F690A">
      <w:pPr>
        <w:pBdr>
          <w:top w:val="nil"/>
          <w:left w:val="nil"/>
          <w:bottom w:val="nil"/>
          <w:right w:val="nil"/>
          <w:between w:val="nil"/>
        </w:pBdr>
        <w:jc w:val="both"/>
        <w:rPr>
          <w:rStyle w:val="FootnoteReference"/>
          <w:sz w:val="20"/>
          <w:szCs w:val="20"/>
          <w:vertAlign w:val="baseline"/>
        </w:rPr>
      </w:pPr>
      <w:r w:rsidRPr="00842398">
        <w:rPr>
          <w:rStyle w:val="FootnoteReference"/>
          <w:sz w:val="20"/>
          <w:szCs w:val="20"/>
        </w:rPr>
        <w:footnoteRef/>
      </w:r>
      <w:r w:rsidRPr="00842398">
        <w:rPr>
          <w:sz w:val="20"/>
          <w:szCs w:val="20"/>
          <w:vertAlign w:val="superscript"/>
        </w:rPr>
        <w:t xml:space="preserve"> </w:t>
      </w:r>
      <w:r w:rsidRPr="00842398">
        <w:rPr>
          <w:rStyle w:val="FootnoteReference"/>
          <w:sz w:val="20"/>
          <w:szCs w:val="20"/>
          <w:vertAlign w:val="baseline"/>
        </w:rPr>
        <w:t>Equaldex, “Regions – Africa – LGBT Rights in Lesotho,” accessed December 8, 2025, https://www.equaldex.com/region/lesotho.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475D3B2" w:rsidR="00804604" w:rsidRDefault="00036B97" w:rsidP="003F1D3D">
    <w:pPr>
      <w:pStyle w:val="Header"/>
      <w:tabs>
        <w:tab w:val="clear" w:pos="4320"/>
        <w:tab w:val="clear" w:pos="8640"/>
        <w:tab w:val="left" w:pos="3675"/>
      </w:tabs>
    </w:pPr>
    <w:r w:rsidRPr="00346FB8">
      <w:rPr>
        <w:noProof/>
        <w:lang w:val="en-GB" w:eastAsia="en-GB"/>
      </w:rPr>
      <w:drawing>
        <wp:anchor distT="0" distB="0" distL="114300" distR="114300" simplePos="0" relativeHeight="251658242" behindDoc="0" locked="0" layoutInCell="1" allowOverlap="1" wp14:anchorId="67475237" wp14:editId="3C28CEF6">
          <wp:simplePos x="0" y="0"/>
          <wp:positionH relativeFrom="column">
            <wp:posOffset>0</wp:posOffset>
          </wp:positionH>
          <wp:positionV relativeFrom="paragraph">
            <wp:posOffset>-130810</wp:posOffset>
          </wp:positionV>
          <wp:extent cx="443230" cy="688340"/>
          <wp:effectExtent l="0" t="0" r="0" b="0"/>
          <wp:wrapNone/>
          <wp:docPr id="942403097" name="Picture 1" descr="A black and rainbow colored 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03097" name="Picture 1" descr="A black and rainbow colored lock&#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43230" cy="688340"/>
                  </a:xfrm>
                  <a:prstGeom prst="rect">
                    <a:avLst/>
                  </a:prstGeom>
                </pic:spPr>
              </pic:pic>
            </a:graphicData>
          </a:graphic>
          <wp14:sizeRelH relativeFrom="page">
            <wp14:pctWidth>0</wp14:pctWidth>
          </wp14:sizeRelH>
          <wp14:sizeRelV relativeFrom="page">
            <wp14:pctHeight>0</wp14:pctHeight>
          </wp14:sizeRelV>
        </wp:anchor>
      </w:drawing>
    </w:r>
    <w:r w:rsidR="002C3983">
      <w:rPr>
        <w:noProof/>
        <w:lang w:val="en-GB" w:eastAsia="en-GB"/>
      </w:rPr>
      <w:drawing>
        <wp:anchor distT="0" distB="0" distL="114300" distR="114300" simplePos="0" relativeHeight="251658240" behindDoc="0" locked="0" layoutInCell="1" allowOverlap="1" wp14:anchorId="0D691956" wp14:editId="04988F4F">
          <wp:simplePos x="0" y="0"/>
          <wp:positionH relativeFrom="margin">
            <wp:posOffset>3982085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C053F"/>
    <w:multiLevelType w:val="hybridMultilevel"/>
    <w:tmpl w:val="239A4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F7674"/>
    <w:multiLevelType w:val="hybridMultilevel"/>
    <w:tmpl w:val="F342D29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06000"/>
    <w:multiLevelType w:val="multilevel"/>
    <w:tmpl w:val="8572DD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5153BE"/>
    <w:multiLevelType w:val="hybridMultilevel"/>
    <w:tmpl w:val="6EB6D73C"/>
    <w:lvl w:ilvl="0" w:tplc="828A79EE">
      <w:start w:val="1"/>
      <w:numFmt w:val="decimal"/>
      <w:lvlText w:val="%1."/>
      <w:lvlJc w:val="left"/>
      <w:pPr>
        <w:ind w:left="720" w:hanging="360"/>
      </w:pPr>
    </w:lvl>
    <w:lvl w:ilvl="1" w:tplc="D3D6718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26110"/>
    <w:multiLevelType w:val="hybridMultilevel"/>
    <w:tmpl w:val="9932906E"/>
    <w:lvl w:ilvl="0" w:tplc="144E6D7C">
      <w:start w:val="2"/>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71D8A"/>
    <w:multiLevelType w:val="hybridMultilevel"/>
    <w:tmpl w:val="BA7E24E8"/>
    <w:lvl w:ilvl="0" w:tplc="4A2E51D4">
      <w:start w:val="2"/>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0F15DA"/>
    <w:multiLevelType w:val="hybridMultilevel"/>
    <w:tmpl w:val="A22CDC8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800466"/>
    <w:multiLevelType w:val="multilevel"/>
    <w:tmpl w:val="DF7AC7A6"/>
    <w:lvl w:ilvl="0">
      <w:start w:val="1"/>
      <w:numFmt w:val="decimal"/>
      <w:lvlText w:val="%1."/>
      <w:lvlJc w:val="left"/>
      <w:pPr>
        <w:ind w:left="720" w:hanging="360"/>
      </w:pPr>
      <w:rPr>
        <w:rFonts w:ascii="Times New Roman" w:eastAsia="Times New Roman" w:hAnsi="Times New Roman" w:cs="Times New Roman"/>
        <w:b w:val="0"/>
        <w:sz w:val="24"/>
        <w:szCs w:val="24"/>
      </w:rPr>
    </w:lvl>
    <w:lvl w:ilvl="1">
      <w:start w:val="1"/>
      <w:numFmt w:val="decimal"/>
      <w:lvlText w:val="%2."/>
      <w:lvlJc w:val="left"/>
      <w:pPr>
        <w:ind w:left="450" w:firstLine="0"/>
      </w:pPr>
      <w:rPr>
        <w:rFonts w:ascii="Times New Roman" w:eastAsia="Times New Roman" w:hAnsi="Times New Roman" w:cs="Times New Roman"/>
        <w:b w:val="0"/>
        <w:bCs w:val="0"/>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599A407E"/>
    <w:multiLevelType w:val="multilevel"/>
    <w:tmpl w:val="DF7AC7A6"/>
    <w:lvl w:ilvl="0">
      <w:start w:val="1"/>
      <w:numFmt w:val="decimal"/>
      <w:lvlText w:val="%1."/>
      <w:lvlJc w:val="left"/>
      <w:pPr>
        <w:ind w:left="720" w:hanging="360"/>
      </w:pPr>
      <w:rPr>
        <w:rFonts w:ascii="Times New Roman" w:eastAsia="Times New Roman" w:hAnsi="Times New Roman" w:cs="Times New Roman"/>
        <w:b w:val="0"/>
        <w:sz w:val="24"/>
        <w:szCs w:val="24"/>
      </w:rPr>
    </w:lvl>
    <w:lvl w:ilvl="1">
      <w:start w:val="1"/>
      <w:numFmt w:val="decimal"/>
      <w:lvlText w:val="%2."/>
      <w:lvlJc w:val="left"/>
      <w:pPr>
        <w:ind w:left="450" w:firstLine="0"/>
      </w:pPr>
      <w:rPr>
        <w:rFonts w:ascii="Times New Roman" w:eastAsia="Times New Roman" w:hAnsi="Times New Roman" w:cs="Times New Roman"/>
        <w:b w:val="0"/>
        <w:bCs w:val="0"/>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6582663B"/>
    <w:multiLevelType w:val="hybridMultilevel"/>
    <w:tmpl w:val="5F0482E0"/>
    <w:lvl w:ilvl="0" w:tplc="869EBC4C">
      <w:start w:val="1"/>
      <w:numFmt w:val="upperRoman"/>
      <w:lvlText w:val="%1."/>
      <w:lvlJc w:val="right"/>
      <w:pPr>
        <w:ind w:left="720" w:hanging="360"/>
      </w:pPr>
    </w:lvl>
    <w:lvl w:ilvl="1" w:tplc="64849D2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4957853">
    <w:abstractNumId w:val="3"/>
  </w:num>
  <w:num w:numId="2" w16cid:durableId="731083862">
    <w:abstractNumId w:val="9"/>
  </w:num>
  <w:num w:numId="3" w16cid:durableId="1203861125">
    <w:abstractNumId w:val="0"/>
  </w:num>
  <w:num w:numId="4" w16cid:durableId="1792280019">
    <w:abstractNumId w:val="7"/>
  </w:num>
  <w:num w:numId="5" w16cid:durableId="1272472660">
    <w:abstractNumId w:val="6"/>
  </w:num>
  <w:num w:numId="6" w16cid:durableId="945694122">
    <w:abstractNumId w:val="2"/>
  </w:num>
  <w:num w:numId="7" w16cid:durableId="1013075216">
    <w:abstractNumId w:val="4"/>
  </w:num>
  <w:num w:numId="8" w16cid:durableId="6061661">
    <w:abstractNumId w:val="5"/>
  </w:num>
  <w:num w:numId="9" w16cid:durableId="1332754286">
    <w:abstractNumId w:val="1"/>
  </w:num>
  <w:num w:numId="10" w16cid:durableId="34382848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020A0"/>
    <w:rsid w:val="00014C49"/>
    <w:rsid w:val="00020381"/>
    <w:rsid w:val="00030F59"/>
    <w:rsid w:val="000342B6"/>
    <w:rsid w:val="00036B97"/>
    <w:rsid w:val="000400F0"/>
    <w:rsid w:val="00041134"/>
    <w:rsid w:val="00046377"/>
    <w:rsid w:val="00047E67"/>
    <w:rsid w:val="00056CF5"/>
    <w:rsid w:val="000629D8"/>
    <w:rsid w:val="000734A4"/>
    <w:rsid w:val="000742EE"/>
    <w:rsid w:val="0008238F"/>
    <w:rsid w:val="000851E3"/>
    <w:rsid w:val="00085935"/>
    <w:rsid w:val="00087062"/>
    <w:rsid w:val="000910FC"/>
    <w:rsid w:val="00093D50"/>
    <w:rsid w:val="0009467F"/>
    <w:rsid w:val="0009644E"/>
    <w:rsid w:val="00097CF8"/>
    <w:rsid w:val="000A1F17"/>
    <w:rsid w:val="000A25AE"/>
    <w:rsid w:val="000A350C"/>
    <w:rsid w:val="000A574D"/>
    <w:rsid w:val="000A66B8"/>
    <w:rsid w:val="000B042D"/>
    <w:rsid w:val="000B4DB3"/>
    <w:rsid w:val="000C31F3"/>
    <w:rsid w:val="000C3AB0"/>
    <w:rsid w:val="000C6014"/>
    <w:rsid w:val="000C6340"/>
    <w:rsid w:val="000D0680"/>
    <w:rsid w:val="000E1DDC"/>
    <w:rsid w:val="000F1E67"/>
    <w:rsid w:val="000F56E0"/>
    <w:rsid w:val="001008D1"/>
    <w:rsid w:val="00111994"/>
    <w:rsid w:val="00120CB9"/>
    <w:rsid w:val="001215B4"/>
    <w:rsid w:val="001300AB"/>
    <w:rsid w:val="00136514"/>
    <w:rsid w:val="00137229"/>
    <w:rsid w:val="00143423"/>
    <w:rsid w:val="00146F43"/>
    <w:rsid w:val="00147EA4"/>
    <w:rsid w:val="0015406F"/>
    <w:rsid w:val="001565F9"/>
    <w:rsid w:val="00157FAA"/>
    <w:rsid w:val="00160BDA"/>
    <w:rsid w:val="00173F8B"/>
    <w:rsid w:val="00181B2A"/>
    <w:rsid w:val="00181EF5"/>
    <w:rsid w:val="0018642B"/>
    <w:rsid w:val="001A34F4"/>
    <w:rsid w:val="001A59C1"/>
    <w:rsid w:val="001A5ED5"/>
    <w:rsid w:val="001A671A"/>
    <w:rsid w:val="001A7AF4"/>
    <w:rsid w:val="001B1AC4"/>
    <w:rsid w:val="001B27D7"/>
    <w:rsid w:val="001B46C2"/>
    <w:rsid w:val="001B799A"/>
    <w:rsid w:val="001C42EB"/>
    <w:rsid w:val="001F17A7"/>
    <w:rsid w:val="00211315"/>
    <w:rsid w:val="00214767"/>
    <w:rsid w:val="00220D48"/>
    <w:rsid w:val="00225144"/>
    <w:rsid w:val="00234644"/>
    <w:rsid w:val="00237C8C"/>
    <w:rsid w:val="0024081F"/>
    <w:rsid w:val="00242F64"/>
    <w:rsid w:val="002439A3"/>
    <w:rsid w:val="00243E14"/>
    <w:rsid w:val="002468AD"/>
    <w:rsid w:val="00255789"/>
    <w:rsid w:val="00262845"/>
    <w:rsid w:val="00264DAD"/>
    <w:rsid w:val="00272519"/>
    <w:rsid w:val="002734D9"/>
    <w:rsid w:val="00273933"/>
    <w:rsid w:val="0027649C"/>
    <w:rsid w:val="00276D35"/>
    <w:rsid w:val="00282223"/>
    <w:rsid w:val="00282563"/>
    <w:rsid w:val="0028279B"/>
    <w:rsid w:val="00286F94"/>
    <w:rsid w:val="00291BE8"/>
    <w:rsid w:val="0029789F"/>
    <w:rsid w:val="002A0797"/>
    <w:rsid w:val="002A2B64"/>
    <w:rsid w:val="002A4838"/>
    <w:rsid w:val="002B1275"/>
    <w:rsid w:val="002B505E"/>
    <w:rsid w:val="002B5B66"/>
    <w:rsid w:val="002B7D6A"/>
    <w:rsid w:val="002C3983"/>
    <w:rsid w:val="002C57BC"/>
    <w:rsid w:val="002D1722"/>
    <w:rsid w:val="002D2035"/>
    <w:rsid w:val="002D2522"/>
    <w:rsid w:val="002D36C6"/>
    <w:rsid w:val="002E34EA"/>
    <w:rsid w:val="002E46A1"/>
    <w:rsid w:val="002F5A08"/>
    <w:rsid w:val="002F5F76"/>
    <w:rsid w:val="002F7A11"/>
    <w:rsid w:val="003026A7"/>
    <w:rsid w:val="00310662"/>
    <w:rsid w:val="0031166B"/>
    <w:rsid w:val="00315C53"/>
    <w:rsid w:val="003221A1"/>
    <w:rsid w:val="00322CB1"/>
    <w:rsid w:val="003244CB"/>
    <w:rsid w:val="003369A6"/>
    <w:rsid w:val="00340484"/>
    <w:rsid w:val="00344140"/>
    <w:rsid w:val="00344556"/>
    <w:rsid w:val="00345B90"/>
    <w:rsid w:val="00353559"/>
    <w:rsid w:val="0035378E"/>
    <w:rsid w:val="0035424D"/>
    <w:rsid w:val="0036202F"/>
    <w:rsid w:val="0037149B"/>
    <w:rsid w:val="00374FD8"/>
    <w:rsid w:val="00375919"/>
    <w:rsid w:val="003765DE"/>
    <w:rsid w:val="00390AC3"/>
    <w:rsid w:val="003937C6"/>
    <w:rsid w:val="003949D0"/>
    <w:rsid w:val="00396560"/>
    <w:rsid w:val="00397CB1"/>
    <w:rsid w:val="003A0BC2"/>
    <w:rsid w:val="003A1D3E"/>
    <w:rsid w:val="003A6A7E"/>
    <w:rsid w:val="003A6F6D"/>
    <w:rsid w:val="003C0775"/>
    <w:rsid w:val="003C1E49"/>
    <w:rsid w:val="003C60FE"/>
    <w:rsid w:val="003D608F"/>
    <w:rsid w:val="003E6A6D"/>
    <w:rsid w:val="003F1D3D"/>
    <w:rsid w:val="004076CD"/>
    <w:rsid w:val="00417CE5"/>
    <w:rsid w:val="004231D3"/>
    <w:rsid w:val="00430A63"/>
    <w:rsid w:val="00431380"/>
    <w:rsid w:val="00435034"/>
    <w:rsid w:val="004474B2"/>
    <w:rsid w:val="00450118"/>
    <w:rsid w:val="00450405"/>
    <w:rsid w:val="00453314"/>
    <w:rsid w:val="00471059"/>
    <w:rsid w:val="00476CC4"/>
    <w:rsid w:val="004866AE"/>
    <w:rsid w:val="00493951"/>
    <w:rsid w:val="004A17D9"/>
    <w:rsid w:val="004A5B01"/>
    <w:rsid w:val="004A7D93"/>
    <w:rsid w:val="004A7FF9"/>
    <w:rsid w:val="004B1E4E"/>
    <w:rsid w:val="004B4CAF"/>
    <w:rsid w:val="004B73AF"/>
    <w:rsid w:val="004C5974"/>
    <w:rsid w:val="004D2568"/>
    <w:rsid w:val="004D3EE9"/>
    <w:rsid w:val="004D51DD"/>
    <w:rsid w:val="004D5577"/>
    <w:rsid w:val="004E06B9"/>
    <w:rsid w:val="004E150B"/>
    <w:rsid w:val="004E2CD9"/>
    <w:rsid w:val="004E48FF"/>
    <w:rsid w:val="004E7176"/>
    <w:rsid w:val="004E783D"/>
    <w:rsid w:val="004F2465"/>
    <w:rsid w:val="004F2845"/>
    <w:rsid w:val="004F34E5"/>
    <w:rsid w:val="00505616"/>
    <w:rsid w:val="005132BB"/>
    <w:rsid w:val="0051494C"/>
    <w:rsid w:val="00524166"/>
    <w:rsid w:val="00524C18"/>
    <w:rsid w:val="005336C2"/>
    <w:rsid w:val="005403E3"/>
    <w:rsid w:val="00543C8A"/>
    <w:rsid w:val="00544F82"/>
    <w:rsid w:val="00550A8F"/>
    <w:rsid w:val="0055461C"/>
    <w:rsid w:val="0056125A"/>
    <w:rsid w:val="00565E69"/>
    <w:rsid w:val="0056751F"/>
    <w:rsid w:val="00567571"/>
    <w:rsid w:val="00567887"/>
    <w:rsid w:val="00567FD1"/>
    <w:rsid w:val="00571EF6"/>
    <w:rsid w:val="00577C25"/>
    <w:rsid w:val="005933C7"/>
    <w:rsid w:val="0059754B"/>
    <w:rsid w:val="005A5BB8"/>
    <w:rsid w:val="005A631F"/>
    <w:rsid w:val="005B0C1B"/>
    <w:rsid w:val="005B2D86"/>
    <w:rsid w:val="005C061C"/>
    <w:rsid w:val="005C183B"/>
    <w:rsid w:val="005C58B6"/>
    <w:rsid w:val="005C5BF7"/>
    <w:rsid w:val="005D4EE6"/>
    <w:rsid w:val="005D5F82"/>
    <w:rsid w:val="005E6AF3"/>
    <w:rsid w:val="005F2A19"/>
    <w:rsid w:val="00600907"/>
    <w:rsid w:val="0060568A"/>
    <w:rsid w:val="0060622C"/>
    <w:rsid w:val="0061273C"/>
    <w:rsid w:val="00616C8E"/>
    <w:rsid w:val="0061778F"/>
    <w:rsid w:val="006243ED"/>
    <w:rsid w:val="00624A10"/>
    <w:rsid w:val="00626C39"/>
    <w:rsid w:val="00632F7F"/>
    <w:rsid w:val="0064050F"/>
    <w:rsid w:val="00643D7A"/>
    <w:rsid w:val="00646D29"/>
    <w:rsid w:val="00646DE9"/>
    <w:rsid w:val="00662BF3"/>
    <w:rsid w:val="0066318F"/>
    <w:rsid w:val="00671BE3"/>
    <w:rsid w:val="00675ACB"/>
    <w:rsid w:val="006761A7"/>
    <w:rsid w:val="006835AA"/>
    <w:rsid w:val="006848F5"/>
    <w:rsid w:val="00690765"/>
    <w:rsid w:val="006927DD"/>
    <w:rsid w:val="006A3A87"/>
    <w:rsid w:val="006A695D"/>
    <w:rsid w:val="006B2EAD"/>
    <w:rsid w:val="006B6860"/>
    <w:rsid w:val="006B7B89"/>
    <w:rsid w:val="006D39C4"/>
    <w:rsid w:val="006D6C6E"/>
    <w:rsid w:val="006E0467"/>
    <w:rsid w:val="006E6289"/>
    <w:rsid w:val="006E7D5B"/>
    <w:rsid w:val="006F582F"/>
    <w:rsid w:val="006F784B"/>
    <w:rsid w:val="007039BE"/>
    <w:rsid w:val="00704992"/>
    <w:rsid w:val="007064C2"/>
    <w:rsid w:val="0070771A"/>
    <w:rsid w:val="007143B8"/>
    <w:rsid w:val="00716FA6"/>
    <w:rsid w:val="007174BE"/>
    <w:rsid w:val="0072241B"/>
    <w:rsid w:val="007316AA"/>
    <w:rsid w:val="00734DE5"/>
    <w:rsid w:val="00741B9C"/>
    <w:rsid w:val="00744E53"/>
    <w:rsid w:val="00757A1C"/>
    <w:rsid w:val="007637D8"/>
    <w:rsid w:val="00765EBC"/>
    <w:rsid w:val="0077231B"/>
    <w:rsid w:val="00774643"/>
    <w:rsid w:val="007838DE"/>
    <w:rsid w:val="00785309"/>
    <w:rsid w:val="0079175F"/>
    <w:rsid w:val="007920C4"/>
    <w:rsid w:val="007A09C1"/>
    <w:rsid w:val="007A23AF"/>
    <w:rsid w:val="007A278F"/>
    <w:rsid w:val="007A725E"/>
    <w:rsid w:val="007B46CD"/>
    <w:rsid w:val="007C4387"/>
    <w:rsid w:val="007C7CCE"/>
    <w:rsid w:val="007D18A7"/>
    <w:rsid w:val="007D2FB7"/>
    <w:rsid w:val="007D79A5"/>
    <w:rsid w:val="007E2036"/>
    <w:rsid w:val="007E79C4"/>
    <w:rsid w:val="007F1D61"/>
    <w:rsid w:val="007F23A8"/>
    <w:rsid w:val="007F2D81"/>
    <w:rsid w:val="007F690A"/>
    <w:rsid w:val="007F705D"/>
    <w:rsid w:val="00800188"/>
    <w:rsid w:val="00804604"/>
    <w:rsid w:val="00805301"/>
    <w:rsid w:val="0081221D"/>
    <w:rsid w:val="00826961"/>
    <w:rsid w:val="00836428"/>
    <w:rsid w:val="00842398"/>
    <w:rsid w:val="008430DF"/>
    <w:rsid w:val="00847C78"/>
    <w:rsid w:val="008504A9"/>
    <w:rsid w:val="00852B97"/>
    <w:rsid w:val="00861222"/>
    <w:rsid w:val="00870521"/>
    <w:rsid w:val="0087642D"/>
    <w:rsid w:val="008806CE"/>
    <w:rsid w:val="008816B9"/>
    <w:rsid w:val="008856D7"/>
    <w:rsid w:val="00890056"/>
    <w:rsid w:val="0089523C"/>
    <w:rsid w:val="008B742B"/>
    <w:rsid w:val="008C3B9B"/>
    <w:rsid w:val="008C7B1F"/>
    <w:rsid w:val="008C7B63"/>
    <w:rsid w:val="008E0859"/>
    <w:rsid w:val="008E60ED"/>
    <w:rsid w:val="008E70CF"/>
    <w:rsid w:val="008F0BDD"/>
    <w:rsid w:val="008F2F99"/>
    <w:rsid w:val="008F3372"/>
    <w:rsid w:val="008F6084"/>
    <w:rsid w:val="00900AE0"/>
    <w:rsid w:val="00902D10"/>
    <w:rsid w:val="009057C8"/>
    <w:rsid w:val="00921CE6"/>
    <w:rsid w:val="00925B59"/>
    <w:rsid w:val="009302F5"/>
    <w:rsid w:val="0093193B"/>
    <w:rsid w:val="00931D95"/>
    <w:rsid w:val="00947170"/>
    <w:rsid w:val="00947B3D"/>
    <w:rsid w:val="00956E94"/>
    <w:rsid w:val="00962312"/>
    <w:rsid w:val="009627A1"/>
    <w:rsid w:val="009712FE"/>
    <w:rsid w:val="00976755"/>
    <w:rsid w:val="009778FD"/>
    <w:rsid w:val="00985B4C"/>
    <w:rsid w:val="009875AD"/>
    <w:rsid w:val="009924AF"/>
    <w:rsid w:val="00997A4F"/>
    <w:rsid w:val="009A3866"/>
    <w:rsid w:val="009A7F71"/>
    <w:rsid w:val="009B51D7"/>
    <w:rsid w:val="009C3DAB"/>
    <w:rsid w:val="009C6AC8"/>
    <w:rsid w:val="009C77F2"/>
    <w:rsid w:val="009D3BEA"/>
    <w:rsid w:val="009D5161"/>
    <w:rsid w:val="009E4D16"/>
    <w:rsid w:val="009F04C6"/>
    <w:rsid w:val="009F12E2"/>
    <w:rsid w:val="009F1F02"/>
    <w:rsid w:val="009F3358"/>
    <w:rsid w:val="009F478B"/>
    <w:rsid w:val="009F6926"/>
    <w:rsid w:val="009F69C1"/>
    <w:rsid w:val="009F7984"/>
    <w:rsid w:val="00A03072"/>
    <w:rsid w:val="00A219E4"/>
    <w:rsid w:val="00A2394F"/>
    <w:rsid w:val="00A24703"/>
    <w:rsid w:val="00A30E21"/>
    <w:rsid w:val="00A32936"/>
    <w:rsid w:val="00A36B6D"/>
    <w:rsid w:val="00A40EE1"/>
    <w:rsid w:val="00A423ED"/>
    <w:rsid w:val="00A45361"/>
    <w:rsid w:val="00A536F3"/>
    <w:rsid w:val="00A55FCD"/>
    <w:rsid w:val="00A56A61"/>
    <w:rsid w:val="00A60C58"/>
    <w:rsid w:val="00A72103"/>
    <w:rsid w:val="00A74E9A"/>
    <w:rsid w:val="00A75C67"/>
    <w:rsid w:val="00A91D08"/>
    <w:rsid w:val="00A94972"/>
    <w:rsid w:val="00A94C86"/>
    <w:rsid w:val="00A95161"/>
    <w:rsid w:val="00A975D1"/>
    <w:rsid w:val="00AA11E8"/>
    <w:rsid w:val="00AA6318"/>
    <w:rsid w:val="00AA7FCB"/>
    <w:rsid w:val="00AB2533"/>
    <w:rsid w:val="00AB54F8"/>
    <w:rsid w:val="00AB59AE"/>
    <w:rsid w:val="00AB5BD9"/>
    <w:rsid w:val="00AC040C"/>
    <w:rsid w:val="00AD0AA1"/>
    <w:rsid w:val="00AD6A7A"/>
    <w:rsid w:val="00AE07A3"/>
    <w:rsid w:val="00AE345C"/>
    <w:rsid w:val="00AE372A"/>
    <w:rsid w:val="00AF2376"/>
    <w:rsid w:val="00AF7B43"/>
    <w:rsid w:val="00B01619"/>
    <w:rsid w:val="00B14544"/>
    <w:rsid w:val="00B152E6"/>
    <w:rsid w:val="00B275A9"/>
    <w:rsid w:val="00B40DBF"/>
    <w:rsid w:val="00B44231"/>
    <w:rsid w:val="00B457C4"/>
    <w:rsid w:val="00B54060"/>
    <w:rsid w:val="00B57967"/>
    <w:rsid w:val="00B6614B"/>
    <w:rsid w:val="00B70E2F"/>
    <w:rsid w:val="00B71178"/>
    <w:rsid w:val="00B77713"/>
    <w:rsid w:val="00B914A2"/>
    <w:rsid w:val="00B9541E"/>
    <w:rsid w:val="00BA00D4"/>
    <w:rsid w:val="00BA4CDE"/>
    <w:rsid w:val="00BA5990"/>
    <w:rsid w:val="00BB0488"/>
    <w:rsid w:val="00BB3ED5"/>
    <w:rsid w:val="00BB4AB9"/>
    <w:rsid w:val="00BC07C0"/>
    <w:rsid w:val="00BC6735"/>
    <w:rsid w:val="00BC6CB6"/>
    <w:rsid w:val="00BD30D6"/>
    <w:rsid w:val="00BD3CFF"/>
    <w:rsid w:val="00BD6B1D"/>
    <w:rsid w:val="00BE36F1"/>
    <w:rsid w:val="00BE59BD"/>
    <w:rsid w:val="00C0174A"/>
    <w:rsid w:val="00C03FCB"/>
    <w:rsid w:val="00C05D23"/>
    <w:rsid w:val="00C05D9B"/>
    <w:rsid w:val="00C07436"/>
    <w:rsid w:val="00C07BA3"/>
    <w:rsid w:val="00C17550"/>
    <w:rsid w:val="00C214BA"/>
    <w:rsid w:val="00C26130"/>
    <w:rsid w:val="00C26B28"/>
    <w:rsid w:val="00C3112E"/>
    <w:rsid w:val="00C315B6"/>
    <w:rsid w:val="00C376F3"/>
    <w:rsid w:val="00C4132F"/>
    <w:rsid w:val="00C463D2"/>
    <w:rsid w:val="00C57BEC"/>
    <w:rsid w:val="00C60926"/>
    <w:rsid w:val="00C62A44"/>
    <w:rsid w:val="00C6320D"/>
    <w:rsid w:val="00C724C6"/>
    <w:rsid w:val="00C73C15"/>
    <w:rsid w:val="00C80A39"/>
    <w:rsid w:val="00C81936"/>
    <w:rsid w:val="00C81CBB"/>
    <w:rsid w:val="00C84C4C"/>
    <w:rsid w:val="00C925CB"/>
    <w:rsid w:val="00C967AB"/>
    <w:rsid w:val="00C96C0B"/>
    <w:rsid w:val="00CA1702"/>
    <w:rsid w:val="00CA5CC2"/>
    <w:rsid w:val="00CA7D78"/>
    <w:rsid w:val="00CB631F"/>
    <w:rsid w:val="00CC5314"/>
    <w:rsid w:val="00CC7B30"/>
    <w:rsid w:val="00CD4AEB"/>
    <w:rsid w:val="00CF5003"/>
    <w:rsid w:val="00CF5099"/>
    <w:rsid w:val="00CF60FE"/>
    <w:rsid w:val="00D0019C"/>
    <w:rsid w:val="00D06263"/>
    <w:rsid w:val="00D17F80"/>
    <w:rsid w:val="00D2563C"/>
    <w:rsid w:val="00D3182B"/>
    <w:rsid w:val="00D3275F"/>
    <w:rsid w:val="00D32B05"/>
    <w:rsid w:val="00D35A00"/>
    <w:rsid w:val="00D449F6"/>
    <w:rsid w:val="00D5057B"/>
    <w:rsid w:val="00D52AD6"/>
    <w:rsid w:val="00D5323B"/>
    <w:rsid w:val="00D85E36"/>
    <w:rsid w:val="00D86181"/>
    <w:rsid w:val="00D861C1"/>
    <w:rsid w:val="00D86901"/>
    <w:rsid w:val="00D907F4"/>
    <w:rsid w:val="00D92835"/>
    <w:rsid w:val="00D94424"/>
    <w:rsid w:val="00DA6DB6"/>
    <w:rsid w:val="00DB0964"/>
    <w:rsid w:val="00DC41C9"/>
    <w:rsid w:val="00DC5473"/>
    <w:rsid w:val="00DC6A3F"/>
    <w:rsid w:val="00DD2F76"/>
    <w:rsid w:val="00DD3996"/>
    <w:rsid w:val="00DD40FD"/>
    <w:rsid w:val="00DE3E4D"/>
    <w:rsid w:val="00DE6FE8"/>
    <w:rsid w:val="00DF0B34"/>
    <w:rsid w:val="00E0309A"/>
    <w:rsid w:val="00E114C5"/>
    <w:rsid w:val="00E13D93"/>
    <w:rsid w:val="00E162F5"/>
    <w:rsid w:val="00E1750C"/>
    <w:rsid w:val="00E24F8E"/>
    <w:rsid w:val="00E27409"/>
    <w:rsid w:val="00E307F3"/>
    <w:rsid w:val="00E30BBA"/>
    <w:rsid w:val="00E3230E"/>
    <w:rsid w:val="00E35775"/>
    <w:rsid w:val="00E4082D"/>
    <w:rsid w:val="00E42EAD"/>
    <w:rsid w:val="00E51262"/>
    <w:rsid w:val="00E55C29"/>
    <w:rsid w:val="00E70114"/>
    <w:rsid w:val="00E7239D"/>
    <w:rsid w:val="00E72BB8"/>
    <w:rsid w:val="00E74D8C"/>
    <w:rsid w:val="00E81383"/>
    <w:rsid w:val="00E826D1"/>
    <w:rsid w:val="00E95CF7"/>
    <w:rsid w:val="00EA0EEB"/>
    <w:rsid w:val="00EB26FF"/>
    <w:rsid w:val="00EB6D1B"/>
    <w:rsid w:val="00EC0B83"/>
    <w:rsid w:val="00EC3923"/>
    <w:rsid w:val="00EC7649"/>
    <w:rsid w:val="00ED2912"/>
    <w:rsid w:val="00ED2DCC"/>
    <w:rsid w:val="00ED6C1F"/>
    <w:rsid w:val="00EE3828"/>
    <w:rsid w:val="00EE413F"/>
    <w:rsid w:val="00EE6021"/>
    <w:rsid w:val="00EF2BE5"/>
    <w:rsid w:val="00EF4293"/>
    <w:rsid w:val="00EF52D2"/>
    <w:rsid w:val="00F042FA"/>
    <w:rsid w:val="00F16374"/>
    <w:rsid w:val="00F22813"/>
    <w:rsid w:val="00F229E3"/>
    <w:rsid w:val="00F23CD7"/>
    <w:rsid w:val="00F2442A"/>
    <w:rsid w:val="00F36E75"/>
    <w:rsid w:val="00F37BE1"/>
    <w:rsid w:val="00F4107A"/>
    <w:rsid w:val="00F44F18"/>
    <w:rsid w:val="00F465DE"/>
    <w:rsid w:val="00F51AFD"/>
    <w:rsid w:val="00F612FF"/>
    <w:rsid w:val="00F6493F"/>
    <w:rsid w:val="00F66C6A"/>
    <w:rsid w:val="00F75663"/>
    <w:rsid w:val="00F7732A"/>
    <w:rsid w:val="00F811E7"/>
    <w:rsid w:val="00F860B4"/>
    <w:rsid w:val="00F9056C"/>
    <w:rsid w:val="00F927FF"/>
    <w:rsid w:val="00F92EF4"/>
    <w:rsid w:val="00F94CD0"/>
    <w:rsid w:val="00FA2927"/>
    <w:rsid w:val="00FA488A"/>
    <w:rsid w:val="00FB03FB"/>
    <w:rsid w:val="00FB2411"/>
    <w:rsid w:val="00FB4891"/>
    <w:rsid w:val="00FB4DAA"/>
    <w:rsid w:val="00FC686F"/>
    <w:rsid w:val="00FC7FBE"/>
    <w:rsid w:val="00FD0EA2"/>
    <w:rsid w:val="00FD212D"/>
    <w:rsid w:val="00FE0378"/>
    <w:rsid w:val="00FE2347"/>
    <w:rsid w:val="00FE4633"/>
    <w:rsid w:val="00FE652D"/>
    <w:rsid w:val="010D602B"/>
    <w:rsid w:val="01231C56"/>
    <w:rsid w:val="04700DCE"/>
    <w:rsid w:val="0AC93A0E"/>
    <w:rsid w:val="109FC7F2"/>
    <w:rsid w:val="10AC2126"/>
    <w:rsid w:val="145D6595"/>
    <w:rsid w:val="1B2033E7"/>
    <w:rsid w:val="1CE438B3"/>
    <w:rsid w:val="20EBB8F7"/>
    <w:rsid w:val="22314E5B"/>
    <w:rsid w:val="230EC219"/>
    <w:rsid w:val="250ADCE9"/>
    <w:rsid w:val="258D87B4"/>
    <w:rsid w:val="27553789"/>
    <w:rsid w:val="28BBB97D"/>
    <w:rsid w:val="28D3B7F5"/>
    <w:rsid w:val="323B4C73"/>
    <w:rsid w:val="32C00178"/>
    <w:rsid w:val="33A7E4E3"/>
    <w:rsid w:val="36B575E2"/>
    <w:rsid w:val="39B972C9"/>
    <w:rsid w:val="3A547B3D"/>
    <w:rsid w:val="3A66F4F4"/>
    <w:rsid w:val="3BC3FCE0"/>
    <w:rsid w:val="40B962A2"/>
    <w:rsid w:val="4585A2D8"/>
    <w:rsid w:val="4A27D610"/>
    <w:rsid w:val="4A556DC3"/>
    <w:rsid w:val="4B4026BE"/>
    <w:rsid w:val="4BE342B8"/>
    <w:rsid w:val="4BF751D1"/>
    <w:rsid w:val="4C1BCBE7"/>
    <w:rsid w:val="562F667A"/>
    <w:rsid w:val="56F42F0B"/>
    <w:rsid w:val="5759EB1C"/>
    <w:rsid w:val="59A9162C"/>
    <w:rsid w:val="59F13060"/>
    <w:rsid w:val="5B244E3E"/>
    <w:rsid w:val="5B550CBF"/>
    <w:rsid w:val="5E11B3EA"/>
    <w:rsid w:val="5EE94364"/>
    <w:rsid w:val="5F5BBC50"/>
    <w:rsid w:val="614CD877"/>
    <w:rsid w:val="631A2181"/>
    <w:rsid w:val="6368B71B"/>
    <w:rsid w:val="63D99220"/>
    <w:rsid w:val="641E7298"/>
    <w:rsid w:val="6BEF8937"/>
    <w:rsid w:val="6DD6B7F7"/>
    <w:rsid w:val="782F09A5"/>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rsid w:val="40B962A2"/>
    <w:rPr>
      <w:rFonts w:ascii="Times New Roman" w:eastAsia="Arial" w:hAnsi="Times New Roman" w:cs="Times New Roman"/>
      <w:sz w:val="24"/>
      <w:szCs w:val="24"/>
      <w:lang w:eastAsia="en-US"/>
    </w:rPr>
  </w:style>
  <w:style w:type="paragraph" w:styleId="EndnoteText">
    <w:name w:val="endnote text"/>
    <w:basedOn w:val="Normal"/>
    <w:link w:val="EndnoteTextChar"/>
    <w:autoRedefine/>
    <w:uiPriority w:val="99"/>
    <w:unhideWhenUsed/>
    <w:qFormat/>
    <w:rsid w:val="00375919"/>
    <w:pPr>
      <w:spacing w:line="276" w:lineRule="auto"/>
    </w:pPr>
    <w:rPr>
      <w:rFonts w:eastAsia="Arial" w:cs="Arial"/>
      <w:color w:val="000000"/>
      <w:kern w:val="0"/>
      <w:sz w:val="16"/>
      <w:szCs w:val="16"/>
      <w:lang w:eastAsia="en-US" w:bidi="yi-Hebr"/>
    </w:rPr>
  </w:style>
  <w:style w:type="character" w:customStyle="1" w:styleId="EndnoteTextChar">
    <w:name w:val="Endnote Text Char"/>
    <w:basedOn w:val="DefaultParagraphFont"/>
    <w:link w:val="EndnoteText"/>
    <w:uiPriority w:val="99"/>
    <w:rsid w:val="00375919"/>
    <w:rPr>
      <w:rFonts w:eastAsia="Arial" w:cs="Arial"/>
      <w:color w:val="000000"/>
      <w:kern w:val="0"/>
      <w:sz w:val="16"/>
      <w:szCs w:val="16"/>
      <w:lang w:eastAsia="en-US" w:bidi="yi-Hebr"/>
    </w:rPr>
  </w:style>
  <w:style w:type="character" w:styleId="EndnoteReference">
    <w:name w:val="endnote reference"/>
    <w:uiPriority w:val="99"/>
    <w:unhideWhenUsed/>
    <w:rsid w:val="0056751F"/>
    <w:rPr>
      <w:rFonts w:ascii="Times New Roman" w:hAnsi="Times New Roman"/>
      <w:sz w:val="20"/>
      <w:vertAlign w:val="superscript"/>
    </w:rPr>
  </w:style>
  <w:style w:type="character" w:customStyle="1" w:styleId="UnresolvedMention1">
    <w:name w:val="Unresolved Mention1"/>
    <w:basedOn w:val="DefaultParagraphFont"/>
    <w:uiPriority w:val="99"/>
    <w:semiHidden/>
    <w:unhideWhenUsed/>
    <w:rsid w:val="00AA11E8"/>
    <w:rPr>
      <w:color w:val="605E5C"/>
      <w:shd w:val="clear" w:color="auto" w:fill="E1DFDD"/>
    </w:rPr>
  </w:style>
  <w:style w:type="paragraph" w:customStyle="1" w:styleId="DocID">
    <w:name w:val="DocID"/>
    <w:qFormat/>
    <w:rsid w:val="00AB2533"/>
    <w:pPr>
      <w:spacing w:after="160" w:line="259" w:lineRule="auto"/>
    </w:pPr>
    <w:rPr>
      <w:rFonts w:ascii="Arial" w:eastAsiaTheme="minorHAnsi" w:hAnsi="Arial" w:cs="Arial"/>
      <w:kern w:val="0"/>
      <w:sz w:val="1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ncbi.nlm.nih.gov/pmc/articles/PMC7222929/" TargetMode="External"/><Relationship Id="rId7" Type="http://schemas.openxmlformats.org/officeDocument/2006/relationships/hyperlink" Target="https://www.icj.org/wp-content/uploads/2022/10/International-Commission-of-Jurists-Workshop-10-October-2022.pdf" TargetMode="External"/><Relationship Id="rId2" Type="http://schemas.openxmlformats.org/officeDocument/2006/relationships/hyperlink" Target="https://database.ilga.org/lesotho-lgbti" TargetMode="External"/><Relationship Id="rId1" Type="http://schemas.openxmlformats.org/officeDocument/2006/relationships/hyperlink" Target="https://database.ilga.org/lesotho-lgbti" TargetMode="External"/><Relationship Id="rId6" Type="http://schemas.openxmlformats.org/officeDocument/2006/relationships/hyperlink" Target="https://www.ncbi.nlm.nih.gov/pmc/articles/PMC7222929/" TargetMode="External"/><Relationship Id="rId5" Type="http://schemas.openxmlformats.org/officeDocument/2006/relationships/hyperlink" Target="https://www.ncbi.nlm.nih.gov/pmc/articles/PMC7222929/" TargetMode="External"/><Relationship Id="rId4" Type="http://schemas.openxmlformats.org/officeDocument/2006/relationships/hyperlink" Target="https://www.ncbi.nlm.nih.gov/pmc/articles/PMC722292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D1C715F8-0DF0-4B6D-B84E-1ADA8373D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8E832E32-6E1E-418D-9A6D-4D195183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1823</Words>
  <Characters>10415</Characters>
  <Application>Microsoft Office Word</Application>
  <DocSecurity>0</DocSecurity>
  <Lines>182</Lines>
  <Paragraphs>63</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Nathan Madson</cp:lastModifiedBy>
  <cp:revision>20</cp:revision>
  <cp:lastPrinted>2011-09-16T20:52:00Z</cp:lastPrinted>
  <dcterms:created xsi:type="dcterms:W3CDTF">2025-12-17T15:29:00Z</dcterms:created>
  <dcterms:modified xsi:type="dcterms:W3CDTF">2025-12-18T16:41:00Z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MediaServiceImageTags">
    <vt:lpwstr/>
  </property>
  <property fmtid="{D5CDD505-2E9C-101B-9397-08002B2CF9AE}" pid="8" name="lcf76f155ced4ddcb4097134ff3c332f">
    <vt:lpwstr/>
  </property>
  <property fmtid="{D5CDD505-2E9C-101B-9397-08002B2CF9AE}" pid="9" name="TaxCatchAll">
    <vt:lpwstr/>
  </property>
  <property fmtid="{D5CDD505-2E9C-101B-9397-08002B2CF9AE}" pid="10" name="DOCXDOCID">
    <vt:lpwstr>DMS_US.374699070.3</vt:lpwstr>
  </property>
  <property fmtid="{D5CDD505-2E9C-101B-9397-08002B2CF9AE}" pid="11" name="DocXFormat">
    <vt:lpwstr>DocID</vt:lpwstr>
  </property>
  <property fmtid="{D5CDD505-2E9C-101B-9397-08002B2CF9AE}" pid="12" name="DocXLocation">
    <vt:lpwstr>EveryPage</vt:lpwstr>
  </property>
  <property fmtid="{D5CDD505-2E9C-101B-9397-08002B2CF9AE}" pid="13" name="ContentTypeId">
    <vt:lpwstr>0x010100452BDADA77824941B327CDF72849C9BE</vt:lpwstr>
  </property>
  <property fmtid="{D5CDD505-2E9C-101B-9397-08002B2CF9AE}" pid="14" name="GrammarlyDocumentId">
    <vt:lpwstr>a76ab8f0-cf24-4bb5-9083-156fc03a72a5</vt:lpwstr>
  </property>
</Properties>
</file>