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971CD" w14:textId="66BCFC89" w:rsidR="00B6651A" w:rsidRPr="002951CD" w:rsidRDefault="00B6651A" w:rsidP="004D1323">
      <w:pPr>
        <w:pBdr>
          <w:top w:val="single" w:sz="4" w:space="1" w:color="auto"/>
          <w:left w:val="single" w:sz="4" w:space="4" w:color="auto"/>
          <w:bottom w:val="single" w:sz="4" w:space="1" w:color="auto"/>
          <w:right w:val="single" w:sz="4" w:space="4" w:color="auto"/>
        </w:pBdr>
        <w:jc w:val="center"/>
        <w:rPr>
          <w:rFonts w:cstheme="minorHAnsi"/>
          <w:b/>
          <w:bCs/>
        </w:rPr>
      </w:pPr>
      <w:r w:rsidRPr="002951CD">
        <w:rPr>
          <w:rFonts w:cstheme="minorHAnsi"/>
          <w:b/>
          <w:bCs/>
        </w:rPr>
        <w:t xml:space="preserve">Informations complémentaires communiquées au Comité </w:t>
      </w:r>
      <w:proofErr w:type="spellStart"/>
      <w:r w:rsidRPr="002951CD">
        <w:rPr>
          <w:rFonts w:cstheme="minorHAnsi"/>
          <w:b/>
          <w:bCs/>
        </w:rPr>
        <w:t>CEDAW</w:t>
      </w:r>
      <w:proofErr w:type="spellEnd"/>
      <w:r w:rsidRPr="002951CD">
        <w:rPr>
          <w:rFonts w:cstheme="minorHAnsi"/>
          <w:b/>
          <w:bCs/>
        </w:rPr>
        <w:t xml:space="preserve"> </w:t>
      </w:r>
      <w:r w:rsidR="004D1323">
        <w:rPr>
          <w:rFonts w:cstheme="minorHAnsi"/>
          <w:b/>
          <w:bCs/>
        </w:rPr>
        <w:t xml:space="preserve">suite </w:t>
      </w:r>
      <w:r w:rsidRPr="002951CD">
        <w:rPr>
          <w:rFonts w:cstheme="minorHAnsi"/>
          <w:b/>
          <w:bCs/>
        </w:rPr>
        <w:t>au dialogue constructif</w:t>
      </w:r>
      <w:r w:rsidR="00090627" w:rsidRPr="002951CD">
        <w:rPr>
          <w:rFonts w:cstheme="minorHAnsi"/>
          <w:b/>
          <w:bCs/>
        </w:rPr>
        <w:t xml:space="preserve"> </w:t>
      </w:r>
      <w:r w:rsidR="004D1323" w:rsidRPr="002951CD">
        <w:rPr>
          <w:rFonts w:cstheme="minorHAnsi"/>
          <w:b/>
          <w:bCs/>
        </w:rPr>
        <w:t xml:space="preserve">de la Belgique </w:t>
      </w:r>
      <w:r w:rsidR="00090627" w:rsidRPr="002951CD">
        <w:rPr>
          <w:rFonts w:cstheme="minorHAnsi"/>
          <w:b/>
          <w:bCs/>
        </w:rPr>
        <w:t>du 14 octobre</w:t>
      </w:r>
      <w:r w:rsidRPr="002951CD">
        <w:rPr>
          <w:rFonts w:cstheme="minorHAnsi"/>
          <w:b/>
          <w:bCs/>
        </w:rPr>
        <w:t xml:space="preserve"> </w:t>
      </w:r>
      <w:r w:rsidR="00090627" w:rsidRPr="002951CD">
        <w:rPr>
          <w:rFonts w:cstheme="minorHAnsi"/>
          <w:b/>
          <w:bCs/>
        </w:rPr>
        <w:t xml:space="preserve">2022 </w:t>
      </w:r>
    </w:p>
    <w:p w14:paraId="789E9D3A" w14:textId="07E7B53C" w:rsidR="00B6651A" w:rsidRPr="002951CD" w:rsidRDefault="00090627" w:rsidP="00090627">
      <w:pPr>
        <w:jc w:val="right"/>
        <w:rPr>
          <w:rFonts w:cstheme="minorHAnsi"/>
        </w:rPr>
      </w:pPr>
      <w:r w:rsidRPr="002951CD">
        <w:rPr>
          <w:rFonts w:cstheme="minorHAnsi"/>
        </w:rPr>
        <w:t>Bruxelles, le 17 octobre 2022</w:t>
      </w:r>
    </w:p>
    <w:p w14:paraId="62A5945C" w14:textId="77777777" w:rsidR="002951CD" w:rsidRDefault="00CB29B1" w:rsidP="002951CD">
      <w:pPr>
        <w:jc w:val="both"/>
        <w:rPr>
          <w:rFonts w:cstheme="minorHAnsi"/>
          <w:b/>
          <w:bCs/>
          <w:u w:val="single"/>
        </w:rPr>
      </w:pPr>
      <w:r w:rsidRPr="002951CD">
        <w:rPr>
          <w:rFonts w:cstheme="minorHAnsi"/>
          <w:b/>
          <w:bCs/>
          <w:u w:val="single"/>
        </w:rPr>
        <w:t>Complément d‘information à l’article 6</w:t>
      </w:r>
    </w:p>
    <w:p w14:paraId="0DF2A1DE" w14:textId="22AB2C63" w:rsidR="00004D40" w:rsidRPr="002951CD" w:rsidRDefault="00004D40" w:rsidP="002951CD">
      <w:pPr>
        <w:jc w:val="both"/>
        <w:rPr>
          <w:rFonts w:cstheme="minorHAnsi"/>
          <w:lang w:val="fr-FR"/>
        </w:rPr>
      </w:pPr>
      <w:r w:rsidRPr="002951CD">
        <w:rPr>
          <w:rFonts w:cstheme="minorHAnsi"/>
          <w:lang w:val="fr-FR"/>
        </w:rPr>
        <w:t xml:space="preserve">Il convient de relever que le </w:t>
      </w:r>
      <w:r w:rsidRPr="000F362E">
        <w:rPr>
          <w:rFonts w:cstheme="minorHAnsi"/>
          <w:u w:val="single"/>
          <w:lang w:val="fr-FR"/>
        </w:rPr>
        <w:t xml:space="preserve">budget des centres d’accueil </w:t>
      </w:r>
      <w:r w:rsidR="002951CD" w:rsidRPr="000F362E">
        <w:rPr>
          <w:rFonts w:cstheme="minorHAnsi"/>
          <w:u w:val="single"/>
          <w:lang w:val="fr-FR"/>
        </w:rPr>
        <w:t>pour la traite des êtres humains</w:t>
      </w:r>
      <w:r w:rsidR="002951CD">
        <w:rPr>
          <w:rFonts w:cstheme="minorHAnsi"/>
          <w:lang w:val="fr-FR"/>
        </w:rPr>
        <w:t xml:space="preserve"> </w:t>
      </w:r>
      <w:r w:rsidR="000F362E">
        <w:rPr>
          <w:rFonts w:cstheme="minorHAnsi"/>
          <w:lang w:val="fr-FR"/>
        </w:rPr>
        <w:t xml:space="preserve">(TEH) </w:t>
      </w:r>
      <w:r w:rsidRPr="002951CD">
        <w:rPr>
          <w:rFonts w:cstheme="minorHAnsi"/>
          <w:lang w:val="fr-FR"/>
        </w:rPr>
        <w:t xml:space="preserve">a été intégré dans le budget général des dépenses et n’est donc plus soumis aux aléas des subsides ponctuels. Cela permet une plus grande sécurité financière pour les centres. Il s’agit d’un montant de 270.000 euros par centre (pris en charge par le fédéral), ce à quoi il faut ajouter une contribution de la Loterie Nationale (environ 140.000 </w:t>
      </w:r>
      <w:r w:rsidR="00E61ABC">
        <w:rPr>
          <w:rFonts w:cstheme="minorHAnsi"/>
          <w:lang w:val="fr-FR"/>
        </w:rPr>
        <w:t xml:space="preserve">€ </w:t>
      </w:r>
      <w:r w:rsidRPr="002951CD">
        <w:rPr>
          <w:rFonts w:cstheme="minorHAnsi"/>
          <w:lang w:val="fr-FR"/>
        </w:rPr>
        <w:t>par centre) et les contributions des gouvernements régionaux. Par ailleurs, le budget des centres sera augmenté de 50.000 euros de plus (pris en charge par le fédéral) à partir de</w:t>
      </w:r>
      <w:r w:rsidR="00E61ABC">
        <w:rPr>
          <w:rFonts w:cstheme="minorHAnsi"/>
          <w:lang w:val="fr-FR"/>
        </w:rPr>
        <w:t xml:space="preserve"> 2023</w:t>
      </w:r>
      <w:r w:rsidRPr="002951CD">
        <w:rPr>
          <w:rFonts w:cstheme="minorHAnsi"/>
          <w:lang w:val="fr-FR"/>
        </w:rPr>
        <w:t>. Ces fonds supplémentaires permettront aux centres d'accueillir les victimes de l’abus de prostitution en plus des victimes de la</w:t>
      </w:r>
      <w:r w:rsidR="000F362E">
        <w:rPr>
          <w:rFonts w:cstheme="minorHAnsi"/>
          <w:lang w:val="fr-FR"/>
        </w:rPr>
        <w:t xml:space="preserve"> TEH</w:t>
      </w:r>
      <w:r w:rsidRPr="002951CD">
        <w:rPr>
          <w:rFonts w:cstheme="minorHAnsi"/>
          <w:lang w:val="fr-FR"/>
        </w:rPr>
        <w:t xml:space="preserve">. </w:t>
      </w:r>
    </w:p>
    <w:p w14:paraId="0026077C" w14:textId="7A601533" w:rsidR="00004D40" w:rsidRPr="000F362E" w:rsidRDefault="00004D40" w:rsidP="002951CD">
      <w:pPr>
        <w:jc w:val="both"/>
        <w:rPr>
          <w:rFonts w:cstheme="minorHAnsi"/>
          <w:lang w:val="fr-FR"/>
        </w:rPr>
      </w:pPr>
      <w:r w:rsidRPr="002951CD">
        <w:rPr>
          <w:rFonts w:cstheme="minorHAnsi"/>
          <w:lang w:val="fr-FR"/>
        </w:rPr>
        <w:t xml:space="preserve">En outre, la Justice, en collaboration avec la </w:t>
      </w:r>
      <w:r w:rsidR="00E61ABC">
        <w:rPr>
          <w:rFonts w:cstheme="minorHAnsi"/>
          <w:lang w:val="fr-FR"/>
        </w:rPr>
        <w:t>C</w:t>
      </w:r>
      <w:r w:rsidRPr="002951CD">
        <w:rPr>
          <w:rFonts w:cstheme="minorHAnsi"/>
          <w:lang w:val="fr-FR"/>
        </w:rPr>
        <w:t>ommunauté flamande, a mis à disposition un budget pour 2 équivalents temps plein pour le soutien administratif et 4 équivalents temps plein pour le soutien psychosocial. En</w:t>
      </w:r>
      <w:r w:rsidR="000F362E">
        <w:rPr>
          <w:rFonts w:cstheme="minorHAnsi"/>
          <w:lang w:val="fr-FR"/>
        </w:rPr>
        <w:t>fin</w:t>
      </w:r>
      <w:r w:rsidRPr="002951CD">
        <w:rPr>
          <w:rFonts w:cstheme="minorHAnsi"/>
          <w:lang w:val="fr-FR"/>
        </w:rPr>
        <w:t>, la capacité d'hébergement d'urgence par le biais d</w:t>
      </w:r>
      <w:r w:rsidR="004D1323">
        <w:rPr>
          <w:rFonts w:cstheme="minorHAnsi"/>
          <w:lang w:val="fr-FR"/>
        </w:rPr>
        <w:t>es</w:t>
      </w:r>
      <w:r w:rsidRPr="002951CD">
        <w:rPr>
          <w:rFonts w:cstheme="minorHAnsi"/>
          <w:lang w:val="fr-FR"/>
        </w:rPr>
        <w:t xml:space="preserve"> </w:t>
      </w:r>
      <w:proofErr w:type="spellStart"/>
      <w:r w:rsidRPr="002951CD">
        <w:rPr>
          <w:rFonts w:cstheme="minorHAnsi"/>
          <w:lang w:val="fr-FR"/>
        </w:rPr>
        <w:t>CAW</w:t>
      </w:r>
      <w:proofErr w:type="spellEnd"/>
      <w:r w:rsidRPr="002951CD">
        <w:rPr>
          <w:rFonts w:cstheme="minorHAnsi"/>
          <w:lang w:val="fr-FR"/>
        </w:rPr>
        <w:t xml:space="preserve"> (</w:t>
      </w:r>
      <w:r w:rsidR="004D1323">
        <w:rPr>
          <w:rFonts w:cstheme="minorHAnsi"/>
          <w:lang w:val="fr-FR"/>
        </w:rPr>
        <w:t>C</w:t>
      </w:r>
      <w:r w:rsidRPr="002951CD">
        <w:rPr>
          <w:rFonts w:cstheme="minorHAnsi"/>
          <w:lang w:val="fr-FR"/>
        </w:rPr>
        <w:t xml:space="preserve">entres de </w:t>
      </w:r>
      <w:r w:rsidRPr="000F362E">
        <w:rPr>
          <w:rFonts w:cstheme="minorHAnsi"/>
          <w:lang w:val="fr-FR"/>
        </w:rPr>
        <w:t>bien-être général) a également été étendue de 16 à 20 places.</w:t>
      </w:r>
    </w:p>
    <w:p w14:paraId="176C93EF" w14:textId="26F3B754" w:rsidR="000F362E" w:rsidRPr="000F362E" w:rsidRDefault="000F362E" w:rsidP="002951CD">
      <w:pPr>
        <w:jc w:val="both"/>
        <w:rPr>
          <w:rFonts w:cstheme="minorHAnsi"/>
          <w:lang w:val="fr-FR"/>
        </w:rPr>
      </w:pPr>
      <w:r w:rsidRPr="000F362E">
        <w:t>Esperanto, un service d’accueil pour mineurs présumés victimes de la traite des êtres humains, de trafic d’êtres humains ou de violences liées à l’honneur est agréé par la Fédération Wallonie-Bruxelles est réserve 15 places pour les victimes de la TEH</w:t>
      </w:r>
      <w:r>
        <w:t>.</w:t>
      </w:r>
    </w:p>
    <w:p w14:paraId="12F02103" w14:textId="77777777" w:rsidR="00004D40" w:rsidRPr="002951CD" w:rsidRDefault="00004D40" w:rsidP="002951CD">
      <w:pPr>
        <w:jc w:val="both"/>
        <w:rPr>
          <w:rStyle w:val="Hyperlink"/>
          <w:rFonts w:cstheme="minorHAnsi"/>
          <w:b/>
          <w:bCs/>
          <w:lang w:val="fr-FR" w:eastAsia="fr-BE"/>
        </w:rPr>
      </w:pPr>
      <w:r w:rsidRPr="002951CD">
        <w:rPr>
          <w:rFonts w:cstheme="minorHAnsi"/>
        </w:rPr>
        <w:t xml:space="preserve">Il convient également de rappeler que le Gouvernement belge a tout récemment (juillet 2022) créé un point de contact centralisé pour le signalement des victimes, ce qui devrait faciliter leur orientation : </w:t>
      </w:r>
      <w:hyperlink w:history="1">
        <w:r w:rsidRPr="002951CD">
          <w:rPr>
            <w:rStyle w:val="Hyperlink"/>
            <w:rFonts w:cstheme="minorHAnsi"/>
            <w:i/>
            <w:iCs/>
            <w:lang w:eastAsia="fr-BE"/>
          </w:rPr>
          <w:t>https://</w:t>
        </w:r>
        <w:proofErr w:type="spellStart"/>
        <w:r w:rsidRPr="002951CD">
          <w:rPr>
            <w:rStyle w:val="Hyperlink"/>
            <w:rFonts w:cstheme="minorHAnsi"/>
            <w:i/>
            <w:iCs/>
            <w:lang w:eastAsia="fr-BE"/>
          </w:rPr>
          <w:t>www.stophumantrafficking.be</w:t>
        </w:r>
        <w:proofErr w:type="spellEnd"/>
        <w:r w:rsidRPr="002951CD">
          <w:rPr>
            <w:rStyle w:val="Hyperlink"/>
            <w:rFonts w:cstheme="minorHAnsi"/>
            <w:i/>
            <w:iCs/>
            <w:lang w:eastAsia="fr-BE"/>
          </w:rPr>
          <w:t xml:space="preserve">. </w:t>
        </w:r>
      </w:hyperlink>
    </w:p>
    <w:p w14:paraId="212F3C72" w14:textId="544CBE5B" w:rsidR="00004D40" w:rsidRPr="002951CD" w:rsidRDefault="00004D40" w:rsidP="002951CD">
      <w:pPr>
        <w:jc w:val="both"/>
        <w:rPr>
          <w:rFonts w:cstheme="minorHAnsi"/>
        </w:rPr>
      </w:pPr>
      <w:r w:rsidRPr="002951CD">
        <w:rPr>
          <w:rFonts w:cstheme="minorHAnsi"/>
        </w:rPr>
        <w:t xml:space="preserve">Le site web comprend également une information générale sur la </w:t>
      </w:r>
      <w:r w:rsidR="000F362E">
        <w:rPr>
          <w:rFonts w:cstheme="minorHAnsi"/>
        </w:rPr>
        <w:t xml:space="preserve">TEH </w:t>
      </w:r>
      <w:r w:rsidRPr="002951CD">
        <w:rPr>
          <w:rFonts w:cstheme="minorHAnsi"/>
        </w:rPr>
        <w:t>qui permet d’informer la société civile sur la problématique et les contacts qui peuvent être pris.</w:t>
      </w:r>
    </w:p>
    <w:p w14:paraId="411C5EA9" w14:textId="77777777" w:rsidR="00004D40" w:rsidRPr="002951CD" w:rsidRDefault="00004D40" w:rsidP="002951CD">
      <w:pPr>
        <w:jc w:val="both"/>
        <w:rPr>
          <w:rFonts w:cstheme="minorHAnsi"/>
        </w:rPr>
      </w:pPr>
    </w:p>
    <w:p w14:paraId="21FA7F4C" w14:textId="1F06E667" w:rsidR="00004D40" w:rsidRPr="002951CD" w:rsidRDefault="00004D40" w:rsidP="002951CD">
      <w:pPr>
        <w:jc w:val="both"/>
        <w:rPr>
          <w:rFonts w:cstheme="minorHAnsi"/>
          <w:lang w:val="fr-FR"/>
        </w:rPr>
      </w:pPr>
      <w:r w:rsidRPr="002951CD">
        <w:rPr>
          <w:rFonts w:cstheme="minorHAnsi"/>
          <w:lang w:val="fr-FR"/>
        </w:rPr>
        <w:t>En mars 2022</w:t>
      </w:r>
      <w:r w:rsidR="00E61ABC">
        <w:rPr>
          <w:rFonts w:cstheme="minorHAnsi"/>
          <w:lang w:val="fr-FR"/>
        </w:rPr>
        <w:t>,</w:t>
      </w:r>
      <w:r w:rsidRPr="002951CD">
        <w:rPr>
          <w:rFonts w:cstheme="minorHAnsi"/>
          <w:lang w:val="fr-FR"/>
        </w:rPr>
        <w:t xml:space="preserve"> une </w:t>
      </w:r>
      <w:r w:rsidRPr="000F362E">
        <w:rPr>
          <w:rFonts w:cstheme="minorHAnsi"/>
          <w:u w:val="single"/>
          <w:lang w:val="fr-FR"/>
        </w:rPr>
        <w:t>commission spéciale chargée d'évaluer l’ensemble de la législation et la politique en matière de traite et de trafic des êtres humains</w:t>
      </w:r>
      <w:r w:rsidRPr="002951CD">
        <w:rPr>
          <w:rFonts w:cstheme="minorHAnsi"/>
          <w:lang w:val="fr-FR"/>
        </w:rPr>
        <w:t xml:space="preserve"> a été créé.</w:t>
      </w:r>
    </w:p>
    <w:p w14:paraId="21F23AFD" w14:textId="5A254EEF" w:rsidR="00004D40" w:rsidRPr="002951CD" w:rsidRDefault="00004D40" w:rsidP="002951CD">
      <w:pPr>
        <w:jc w:val="both"/>
        <w:rPr>
          <w:rFonts w:cstheme="minorHAnsi"/>
          <w:lang w:val="fr-FR"/>
        </w:rPr>
      </w:pPr>
      <w:r w:rsidRPr="002951CD">
        <w:rPr>
          <w:rFonts w:cstheme="minorHAnsi"/>
          <w:lang w:val="fr-FR"/>
        </w:rPr>
        <w:t>Cette commission est chargée de dresser un bilan de la situation actuelle, d’évaluer les dispositions légales et la coopération internationale. Ils doivent accorder une attention particulière, lors cette évaluation, au sort des mineurs d'âge et des autres profils vulnérables. Depuis mars</w:t>
      </w:r>
      <w:r w:rsidR="004D1323">
        <w:rPr>
          <w:rFonts w:cstheme="minorHAnsi"/>
          <w:lang w:val="fr-FR"/>
        </w:rPr>
        <w:t>,</w:t>
      </w:r>
      <w:r w:rsidRPr="002951CD">
        <w:rPr>
          <w:rFonts w:cstheme="minorHAnsi"/>
          <w:lang w:val="fr-FR"/>
        </w:rPr>
        <w:t xml:space="preserve"> cette commission organise des auditions avec les différents acteurs dans la lutte contre la</w:t>
      </w:r>
      <w:r w:rsidR="000F362E">
        <w:rPr>
          <w:rFonts w:cstheme="minorHAnsi"/>
          <w:lang w:val="fr-FR"/>
        </w:rPr>
        <w:t xml:space="preserve"> TEH</w:t>
      </w:r>
      <w:r w:rsidRPr="002951CD">
        <w:rPr>
          <w:rFonts w:cstheme="minorHAnsi"/>
          <w:lang w:val="fr-FR"/>
        </w:rPr>
        <w:t xml:space="preserve">. Après les auditions, la commission </w:t>
      </w:r>
      <w:r w:rsidR="00E61ABC">
        <w:rPr>
          <w:rFonts w:cstheme="minorHAnsi"/>
          <w:lang w:val="fr-FR"/>
        </w:rPr>
        <w:t xml:space="preserve">déposera </w:t>
      </w:r>
      <w:r w:rsidRPr="002951CD">
        <w:rPr>
          <w:rFonts w:cstheme="minorHAnsi"/>
          <w:lang w:val="fr-FR"/>
        </w:rPr>
        <w:t>un rapport avec des conclusions et recommandations vis-à-vis du gouvernement.</w:t>
      </w:r>
    </w:p>
    <w:p w14:paraId="7BC78D89" w14:textId="77777777" w:rsidR="00004D40" w:rsidRPr="002951CD" w:rsidRDefault="00004D40" w:rsidP="002951CD">
      <w:pPr>
        <w:jc w:val="both"/>
        <w:rPr>
          <w:rFonts w:cstheme="minorHAnsi"/>
          <w:lang w:val="fr-FR"/>
        </w:rPr>
      </w:pPr>
    </w:p>
    <w:p w14:paraId="29788528" w14:textId="3683DD24" w:rsidR="00004D40" w:rsidRPr="002951CD" w:rsidRDefault="00004D40" w:rsidP="002951CD">
      <w:pPr>
        <w:jc w:val="both"/>
        <w:rPr>
          <w:rFonts w:cstheme="minorHAnsi"/>
          <w:lang w:val="fr-FR"/>
        </w:rPr>
      </w:pPr>
      <w:r w:rsidRPr="002951CD">
        <w:rPr>
          <w:rFonts w:cstheme="minorHAnsi"/>
          <w:lang w:val="fr-FR"/>
        </w:rPr>
        <w:t xml:space="preserve">La loi modifiant le Code pénal en ce qui concerne le droit pénal sexuel prévoit une évaluation indépendante faite par le parlement, via un groupe multidisciplinaire créé à cet effet : </w:t>
      </w:r>
    </w:p>
    <w:p w14:paraId="0F99136B" w14:textId="0662F4C5" w:rsidR="00004D40" w:rsidRPr="002951CD" w:rsidRDefault="00004D40" w:rsidP="002951CD">
      <w:pPr>
        <w:jc w:val="both"/>
        <w:rPr>
          <w:rFonts w:cstheme="minorHAnsi"/>
          <w:i/>
          <w:iCs/>
        </w:rPr>
      </w:pPr>
      <w:r w:rsidRPr="002951CD">
        <w:rPr>
          <w:rFonts w:cstheme="minorHAnsi"/>
          <w:i/>
          <w:iCs/>
        </w:rPr>
        <w:t>« </w:t>
      </w:r>
      <w:r w:rsidRPr="002951CD">
        <w:rPr>
          <w:rFonts w:cstheme="minorHAnsi"/>
          <w:b/>
          <w:bCs/>
          <w:i/>
          <w:iCs/>
        </w:rPr>
        <w:t>La Chambre des représentants est chargée d'évaluer l'application des dispositions du présent chapitre</w:t>
      </w:r>
      <w:r w:rsidRPr="002951CD">
        <w:rPr>
          <w:rFonts w:cstheme="minorHAnsi"/>
          <w:i/>
          <w:iCs/>
        </w:rPr>
        <w:t xml:space="preserve">, </w:t>
      </w:r>
      <w:r w:rsidRPr="002951CD">
        <w:rPr>
          <w:rFonts w:cstheme="minorHAnsi"/>
          <w:b/>
          <w:bCs/>
          <w:i/>
          <w:iCs/>
        </w:rPr>
        <w:t>deux ans après leur entrée en vigueur et, par la suite, tous les quatre ans.</w:t>
      </w:r>
      <w:r w:rsidRPr="002951CD">
        <w:rPr>
          <w:rFonts w:cstheme="minorHAnsi"/>
          <w:b/>
          <w:bCs/>
          <w:i/>
          <w:iCs/>
        </w:rPr>
        <w:br/>
      </w:r>
      <w:r w:rsidRPr="002951CD">
        <w:rPr>
          <w:rFonts w:cstheme="minorHAnsi"/>
          <w:i/>
          <w:iCs/>
        </w:rPr>
        <w:t>L'évaluation est multidisciplinaire et s'appuie notamment sur l'expertise de représentants des acteurs de la justice et de la police, de représentants d'organismes publics spécialisés, de représentants d'organisations de la société civile et d'experts académiques.</w:t>
      </w:r>
      <w:r w:rsidR="000F362E">
        <w:rPr>
          <w:rFonts w:cstheme="minorHAnsi"/>
          <w:i/>
          <w:iCs/>
        </w:rPr>
        <w:t xml:space="preserve"> (…) </w:t>
      </w:r>
      <w:r w:rsidRPr="002951CD">
        <w:rPr>
          <w:rFonts w:cstheme="minorHAnsi"/>
          <w:i/>
          <w:iCs/>
        </w:rPr>
        <w:t>»</w:t>
      </w:r>
    </w:p>
    <w:p w14:paraId="7914D08A" w14:textId="77777777" w:rsidR="00E61ABC" w:rsidRDefault="00E61ABC" w:rsidP="002951CD">
      <w:pPr>
        <w:jc w:val="both"/>
        <w:rPr>
          <w:rFonts w:cstheme="minorHAnsi"/>
          <w:b/>
          <w:bCs/>
          <w:u w:val="single"/>
        </w:rPr>
      </w:pPr>
    </w:p>
    <w:p w14:paraId="25F7EC3C" w14:textId="1901E758" w:rsidR="00CB29B1" w:rsidRPr="002951CD" w:rsidRDefault="00323F8B" w:rsidP="002951CD">
      <w:pPr>
        <w:jc w:val="both"/>
        <w:rPr>
          <w:rFonts w:eastAsia="Times New Roman" w:cstheme="minorHAnsi"/>
          <w:sz w:val="24"/>
          <w:szCs w:val="24"/>
          <w:lang w:eastAsia="fr-BE"/>
        </w:rPr>
      </w:pPr>
      <w:r w:rsidRPr="002951CD">
        <w:rPr>
          <w:rFonts w:cstheme="minorHAnsi"/>
          <w:b/>
          <w:bCs/>
          <w:u w:val="single"/>
        </w:rPr>
        <w:t>Complément d‘information à l’articl</w:t>
      </w:r>
      <w:r w:rsidR="00CB29B1" w:rsidRPr="002951CD">
        <w:rPr>
          <w:rFonts w:cstheme="minorHAnsi"/>
          <w:b/>
          <w:bCs/>
          <w:u w:val="single"/>
        </w:rPr>
        <w:t>e 7</w:t>
      </w:r>
    </w:p>
    <w:p w14:paraId="3641A364" w14:textId="53724C89" w:rsidR="00323F8B" w:rsidRPr="002951CD" w:rsidRDefault="00CB29B1" w:rsidP="00123C27">
      <w:pPr>
        <w:jc w:val="both"/>
        <w:rPr>
          <w:rFonts w:cstheme="minorHAnsi"/>
          <w:b/>
          <w:bCs/>
          <w:u w:val="single"/>
        </w:rPr>
      </w:pPr>
      <w:bookmarkStart w:id="0" w:name="_Hlk116896154"/>
      <w:r w:rsidRPr="002951CD">
        <w:rPr>
          <w:rFonts w:cstheme="minorHAnsi"/>
        </w:rPr>
        <w:t xml:space="preserve">Entre 2015-2021, la proportion de </w:t>
      </w:r>
      <w:r w:rsidRPr="002951CD">
        <w:rPr>
          <w:rFonts w:cstheme="minorHAnsi"/>
          <w:b/>
          <w:bCs/>
          <w:i/>
          <w:iCs/>
        </w:rPr>
        <w:t>femmes dans la carrière extérieure (diplomatique) belge</w:t>
      </w:r>
      <w:r w:rsidRPr="002951CD">
        <w:rPr>
          <w:rFonts w:cstheme="minorHAnsi"/>
        </w:rPr>
        <w:t xml:space="preserve"> a augmenté de 23,</w:t>
      </w:r>
      <w:r w:rsidR="00123C27">
        <w:rPr>
          <w:rFonts w:cstheme="minorHAnsi"/>
        </w:rPr>
        <w:t>53</w:t>
      </w:r>
      <w:r w:rsidRPr="002951CD">
        <w:rPr>
          <w:rFonts w:cstheme="minorHAnsi"/>
        </w:rPr>
        <w:t xml:space="preserve"> à </w:t>
      </w:r>
      <w:r w:rsidR="00123C27">
        <w:rPr>
          <w:rFonts w:cstheme="minorHAnsi"/>
        </w:rPr>
        <w:t>30,18</w:t>
      </w:r>
      <w:r w:rsidRPr="002951CD">
        <w:rPr>
          <w:rFonts w:cstheme="minorHAnsi"/>
        </w:rPr>
        <w:t xml:space="preserve">%. Les divergences entre les échelons hiérarchiques restent considérables, mais des efforts continus afin de mieux cibler le recrutement sur les femmes porte ses fruits, car sur le niveau d’entrée de carrière (stagiaire-diplomate et premiers postes – niveau A2), on compte désormais 38% de femmes diplomates. </w:t>
      </w:r>
    </w:p>
    <w:bookmarkEnd w:id="0"/>
    <w:p w14:paraId="71A0C338" w14:textId="676D292A" w:rsidR="00CB29B1" w:rsidRPr="002951CD" w:rsidRDefault="00090627" w:rsidP="002951CD">
      <w:pPr>
        <w:spacing w:after="0"/>
        <w:jc w:val="both"/>
        <w:rPr>
          <w:rFonts w:cstheme="minorHAnsi"/>
        </w:rPr>
      </w:pPr>
      <w:r w:rsidRPr="002951CD">
        <w:rPr>
          <w:rFonts w:cstheme="minorHAnsi"/>
        </w:rPr>
        <w:t xml:space="preserve">Au </w:t>
      </w:r>
      <w:r w:rsidRPr="002951CD">
        <w:rPr>
          <w:rFonts w:cstheme="minorHAnsi"/>
          <w:b/>
          <w:bCs/>
          <w:i/>
          <w:iCs/>
        </w:rPr>
        <w:t>niveau politique</w:t>
      </w:r>
      <w:r w:rsidRPr="002951CD">
        <w:rPr>
          <w:rFonts w:cstheme="minorHAnsi"/>
        </w:rPr>
        <w:t xml:space="preserve">, on compte 41 % d’élues au niveau fédéral </w:t>
      </w:r>
      <w:r w:rsidR="00527511" w:rsidRPr="002951CD">
        <w:rPr>
          <w:rFonts w:cstheme="minorHAnsi"/>
        </w:rPr>
        <w:t xml:space="preserve">et 44% </w:t>
      </w:r>
      <w:r w:rsidR="00CB29B1" w:rsidRPr="002951CD">
        <w:rPr>
          <w:rFonts w:cstheme="minorHAnsi"/>
        </w:rPr>
        <w:t xml:space="preserve">d’élues </w:t>
      </w:r>
      <w:r w:rsidR="00527511" w:rsidRPr="002951CD">
        <w:rPr>
          <w:rFonts w:cstheme="minorHAnsi"/>
        </w:rPr>
        <w:t xml:space="preserve">au niveau régional. Au niveau local, on compte 40 % d’élues en Communauté flamande et Région wallonne et près de 50% d’élues au niveau de la Région de Bruxelles-Capitale. Le gouvernement flamand compte 33,3% de femmes, les gouvernements wallons et bruxellois en comptent 37,5% et les gouvernements fédéral et de la Communauté </w:t>
      </w:r>
      <w:r w:rsidR="002951CD">
        <w:rPr>
          <w:rFonts w:cstheme="minorHAnsi"/>
        </w:rPr>
        <w:t xml:space="preserve">germanophone </w:t>
      </w:r>
      <w:r w:rsidR="00527511" w:rsidRPr="002951CD">
        <w:rPr>
          <w:rFonts w:cstheme="minorHAnsi"/>
        </w:rPr>
        <w:t>sont paritaires et</w:t>
      </w:r>
      <w:r w:rsidR="004D1323">
        <w:rPr>
          <w:rFonts w:cstheme="minorHAnsi"/>
        </w:rPr>
        <w:t>,</w:t>
      </w:r>
      <w:r w:rsidR="00527511" w:rsidRPr="002951CD">
        <w:rPr>
          <w:rFonts w:cstheme="minorHAnsi"/>
        </w:rPr>
        <w:t xml:space="preserve"> enfin, le gouvernement de la Fédération Wallonie-Bruxelles compte 60% de femmes. </w:t>
      </w:r>
    </w:p>
    <w:p w14:paraId="4454507E" w14:textId="77777777" w:rsidR="00CB29B1" w:rsidRPr="002951CD" w:rsidRDefault="00CB29B1" w:rsidP="002951CD">
      <w:pPr>
        <w:jc w:val="both"/>
        <w:rPr>
          <w:rFonts w:cstheme="minorHAnsi"/>
        </w:rPr>
      </w:pPr>
    </w:p>
    <w:p w14:paraId="480A2E87" w14:textId="77777777" w:rsidR="00CB29B1" w:rsidRPr="002951CD" w:rsidRDefault="00CB29B1" w:rsidP="002951CD">
      <w:pPr>
        <w:jc w:val="both"/>
        <w:rPr>
          <w:rFonts w:cstheme="minorHAnsi"/>
          <w:b/>
          <w:bCs/>
          <w:u w:val="single"/>
        </w:rPr>
      </w:pPr>
      <w:r w:rsidRPr="002951CD">
        <w:rPr>
          <w:rFonts w:cstheme="minorHAnsi"/>
          <w:b/>
          <w:bCs/>
          <w:u w:val="single"/>
        </w:rPr>
        <w:t>Complément d’information à l’article 9 : Nationalité</w:t>
      </w:r>
    </w:p>
    <w:p w14:paraId="4B77F72E" w14:textId="7D39C38A" w:rsidR="002951CD" w:rsidRPr="002951CD" w:rsidRDefault="002951CD" w:rsidP="004D1323">
      <w:pPr>
        <w:jc w:val="both"/>
      </w:pPr>
      <w:r>
        <w:t>L</w:t>
      </w:r>
      <w:r>
        <w:rPr>
          <w:lang w:val="fr-FR"/>
        </w:rPr>
        <w:t xml:space="preserve">a réforme du Code de la Nationalité, avait pour objectif, de rendre l’acquisition de la nationalité neutre du point de vue de l’immigration. De manière générale, cela a entraîné une diminution du nombre de demandes et partant du nombre de personnes acquérant la nationalité belge, ce qui n’est pas contesté. Selon les chiffres cités par Myria, il convient de noter qu’il n’y a qu’une diminution de 3,3% de femmes ayant obtenus la nationalité belge. </w:t>
      </w:r>
    </w:p>
    <w:p w14:paraId="7B55C4A8" w14:textId="02B82F00" w:rsidR="002951CD" w:rsidRPr="002951CD" w:rsidRDefault="002951CD" w:rsidP="004D1323">
      <w:pPr>
        <w:jc w:val="both"/>
      </w:pPr>
      <w:r>
        <w:rPr>
          <w:lang w:val="fr-FR"/>
        </w:rPr>
        <w:t>Néanmoins, cette diminution n’est pas due à une quelconque discrimination basée sur le genre qu’aurait créée la modification législative de 2012, mais à une situation sociétale et culturelle que nous ne pouvons que constater : à savoir que dans les populations étrangères, le pourcentage de femmes, parent/conjoint au foyer peut être supérieur au reste de la population.</w:t>
      </w:r>
    </w:p>
    <w:p w14:paraId="24666CD9" w14:textId="2DB93905" w:rsidR="002951CD" w:rsidRPr="002951CD" w:rsidRDefault="002951CD" w:rsidP="004D1323">
      <w:pPr>
        <w:jc w:val="both"/>
      </w:pPr>
      <w:r>
        <w:rPr>
          <w:lang w:val="fr-FR"/>
        </w:rPr>
        <w:t>Actuellement, il n’y a pas de différence en ce qui concerne l’attribution de la nationalité selon qu’elle est transmise par le père/ coparente où bien la mère. Il est vrai qu’avant la réforme du Code de la nationalité belge, entrée en vigueur le 1er janvier 1985, une distinction existait en ce que les pères belges donnaient la nationalité mais pas les mères belges.  Cette distinction n’existe plus et lors de l’entrée en vigueur de la réforme (en 1985), les enfants de moins de 18 ans de mère belge se sont vus attribuer la nationalité belge s’ils étaient dans les conditions des articles 8 à 10 du Code de la Nationalité Belge (attribution). Les majeurs (entre 18 et 22 ans) ont eu temporairement la possibilité d'introduire une demande d’option de nationalité. Les personnes au-delà de 22 ans ont eu ultérieurement la possibilité d’introduire une déclaration d'acquisition de nationalité basée sur le fait d’avoir un auteur belge.</w:t>
      </w:r>
    </w:p>
    <w:p w14:paraId="63111D76" w14:textId="777A36ED" w:rsidR="002951CD" w:rsidRPr="004D1323" w:rsidRDefault="002951CD" w:rsidP="004D1323">
      <w:r>
        <w:rPr>
          <w:lang w:val="fr-FR"/>
        </w:rPr>
        <w:t> </w:t>
      </w:r>
    </w:p>
    <w:p w14:paraId="0A4C5134" w14:textId="595D1590" w:rsidR="00090627" w:rsidRPr="002951CD" w:rsidRDefault="00CB29B1" w:rsidP="002951CD">
      <w:pPr>
        <w:jc w:val="both"/>
        <w:rPr>
          <w:rFonts w:cstheme="minorHAnsi"/>
        </w:rPr>
      </w:pPr>
      <w:r w:rsidRPr="002951CD">
        <w:rPr>
          <w:rFonts w:cstheme="minorHAnsi"/>
        </w:rPr>
        <w:t>Chiffres apatrid</w:t>
      </w:r>
      <w:r w:rsidR="00090627" w:rsidRPr="002951CD">
        <w:rPr>
          <w:rFonts w:cstheme="minorHAnsi"/>
        </w:rPr>
        <w:t>ie </w:t>
      </w:r>
      <w:r w:rsidR="00527511" w:rsidRPr="002951CD">
        <w:rPr>
          <w:rFonts w:cstheme="minorHAnsi"/>
        </w:rPr>
        <w:t xml:space="preserve">en Belgique : </w:t>
      </w:r>
    </w:p>
    <w:p w14:paraId="2CD3EEF7" w14:textId="77777777" w:rsidR="00090627" w:rsidRPr="002951CD" w:rsidRDefault="00090627" w:rsidP="002951CD">
      <w:pPr>
        <w:spacing w:before="10" w:after="10"/>
        <w:jc w:val="both"/>
        <w:rPr>
          <w:rFonts w:cstheme="minorHAnsi"/>
          <w:b/>
          <w:bCs/>
          <w:color w:val="000000"/>
        </w:rPr>
      </w:pPr>
      <w:r w:rsidRPr="002951CD">
        <w:rPr>
          <w:rFonts w:cstheme="minorHAnsi"/>
          <w:b/>
          <w:bCs/>
          <w:color w:val="000000"/>
        </w:rPr>
        <w:t>Tableau :  Apatrides disposant d'un document de séjour selon le sexe.</w:t>
      </w:r>
    </w:p>
    <w:p w14:paraId="5983409D" w14:textId="77777777" w:rsidR="00090627" w:rsidRPr="002951CD" w:rsidRDefault="00090627" w:rsidP="002951CD">
      <w:pPr>
        <w:jc w:val="both"/>
        <w:rPr>
          <w:rFonts w:cstheme="minorHAnsi"/>
        </w:rPr>
      </w:pPr>
    </w:p>
    <w:tbl>
      <w:tblPr>
        <w:tblpPr w:leftFromText="150" w:rightFromText="150" w:vertAnchor="text"/>
        <w:tblW w:w="0" w:type="auto"/>
        <w:tblCellMar>
          <w:left w:w="0" w:type="dxa"/>
          <w:right w:w="0" w:type="dxa"/>
        </w:tblCellMar>
        <w:tblLook w:val="04A0" w:firstRow="1" w:lastRow="0" w:firstColumn="1" w:lastColumn="0" w:noHBand="0" w:noVBand="1"/>
      </w:tblPr>
      <w:tblGrid>
        <w:gridCol w:w="1186"/>
        <w:gridCol w:w="869"/>
        <w:gridCol w:w="869"/>
        <w:gridCol w:w="869"/>
      </w:tblGrid>
      <w:tr w:rsidR="00090627" w:rsidRPr="002951CD" w14:paraId="7F7B6BD6" w14:textId="77777777" w:rsidTr="00090627">
        <w:trPr>
          <w:cantSplit/>
          <w:tblHeader/>
        </w:trPr>
        <w:tc>
          <w:tcPr>
            <w:tcW w:w="1186" w:type="dxa"/>
            <w:tcBorders>
              <w:top w:val="single" w:sz="8" w:space="0" w:color="000000"/>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1B529A6F" w14:textId="77777777" w:rsidR="00090627" w:rsidRPr="002951CD" w:rsidRDefault="00090627" w:rsidP="002951CD">
            <w:pPr>
              <w:spacing w:before="60" w:after="60" w:line="252" w:lineRule="auto"/>
              <w:jc w:val="both"/>
              <w:rPr>
                <w:rFonts w:cstheme="minorHAnsi"/>
                <w:b/>
                <w:bCs/>
                <w:color w:val="000000"/>
                <w:sz w:val="20"/>
                <w:szCs w:val="20"/>
              </w:rPr>
            </w:pPr>
            <w:r w:rsidRPr="002951CD">
              <w:rPr>
                <w:rFonts w:eastAsia="Times New Roman" w:cstheme="minorHAnsi"/>
                <w:b/>
                <w:bCs/>
                <w:color w:val="000000"/>
              </w:rPr>
              <w:br w:type="page"/>
            </w:r>
            <w:r w:rsidRPr="002951CD">
              <w:rPr>
                <w:rFonts w:cstheme="minorHAnsi"/>
                <w:b/>
                <w:bCs/>
                <w:color w:val="000000"/>
              </w:rPr>
              <w:t>Date</w:t>
            </w:r>
          </w:p>
        </w:tc>
        <w:tc>
          <w:tcPr>
            <w:tcW w:w="869" w:type="dxa"/>
            <w:tcBorders>
              <w:top w:val="single" w:sz="8" w:space="0" w:color="000000"/>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4AFB4E2B" w14:textId="77777777" w:rsidR="00090627" w:rsidRPr="002951CD" w:rsidRDefault="00090627" w:rsidP="002951CD">
            <w:pPr>
              <w:spacing w:before="60" w:after="60" w:line="252" w:lineRule="auto"/>
              <w:jc w:val="both"/>
              <w:rPr>
                <w:rFonts w:cstheme="minorHAnsi"/>
                <w:b/>
                <w:bCs/>
                <w:color w:val="000000"/>
              </w:rPr>
            </w:pPr>
            <w:r w:rsidRPr="002951CD">
              <w:rPr>
                <w:rFonts w:cstheme="minorHAnsi"/>
                <w:b/>
                <w:bCs/>
                <w:color w:val="000000"/>
              </w:rPr>
              <w:t xml:space="preserve">Femme </w:t>
            </w:r>
            <w:proofErr w:type="spellStart"/>
            <w:r w:rsidRPr="002951CD">
              <w:rPr>
                <w:rFonts w:cstheme="minorHAnsi"/>
                <w:b/>
                <w:bCs/>
                <w:color w:val="000000"/>
              </w:rPr>
              <w:t>Female</w:t>
            </w:r>
            <w:proofErr w:type="spellEnd"/>
          </w:p>
        </w:tc>
        <w:tc>
          <w:tcPr>
            <w:tcW w:w="869" w:type="dxa"/>
            <w:tcBorders>
              <w:top w:val="single" w:sz="8" w:space="0" w:color="000000"/>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25F2AA27" w14:textId="77777777" w:rsidR="00090627" w:rsidRPr="002951CD" w:rsidRDefault="00090627" w:rsidP="002951CD">
            <w:pPr>
              <w:spacing w:before="60" w:after="60" w:line="252" w:lineRule="auto"/>
              <w:jc w:val="both"/>
              <w:rPr>
                <w:rFonts w:cstheme="minorHAnsi"/>
                <w:b/>
                <w:bCs/>
                <w:color w:val="000000"/>
              </w:rPr>
            </w:pPr>
            <w:r w:rsidRPr="002951CD">
              <w:rPr>
                <w:rFonts w:cstheme="minorHAnsi"/>
                <w:b/>
                <w:bCs/>
                <w:color w:val="000000"/>
              </w:rPr>
              <w:t>Homme Male</w:t>
            </w:r>
          </w:p>
        </w:tc>
        <w:tc>
          <w:tcPr>
            <w:tcW w:w="869" w:type="dxa"/>
            <w:tcBorders>
              <w:top w:val="single" w:sz="8" w:space="0" w:color="000000"/>
              <w:left w:val="single" w:sz="8" w:space="0" w:color="000000"/>
              <w:bottom w:val="single" w:sz="8" w:space="0" w:color="000000"/>
              <w:right w:val="single" w:sz="8" w:space="0" w:color="000000"/>
            </w:tcBorders>
            <w:shd w:val="clear" w:color="auto" w:fill="BBBBBB"/>
            <w:tcMar>
              <w:top w:w="0" w:type="dxa"/>
              <w:left w:w="60" w:type="dxa"/>
              <w:bottom w:w="0" w:type="dxa"/>
              <w:right w:w="60" w:type="dxa"/>
            </w:tcMar>
            <w:vAlign w:val="center"/>
            <w:hideMark/>
          </w:tcPr>
          <w:p w14:paraId="69766E89" w14:textId="77777777" w:rsidR="00090627" w:rsidRPr="002951CD" w:rsidRDefault="00090627" w:rsidP="002951CD">
            <w:pPr>
              <w:spacing w:before="60" w:after="60" w:line="252" w:lineRule="auto"/>
              <w:jc w:val="both"/>
              <w:rPr>
                <w:rFonts w:cstheme="minorHAnsi"/>
                <w:b/>
                <w:bCs/>
                <w:color w:val="000000"/>
              </w:rPr>
            </w:pPr>
            <w:r w:rsidRPr="002951CD">
              <w:rPr>
                <w:rFonts w:cstheme="minorHAnsi"/>
                <w:b/>
                <w:bCs/>
                <w:color w:val="000000"/>
              </w:rPr>
              <w:t>Total</w:t>
            </w:r>
          </w:p>
        </w:tc>
      </w:tr>
      <w:tr w:rsidR="00090627" w:rsidRPr="002951CD" w14:paraId="7AC5312A" w14:textId="77777777" w:rsidTr="00090627">
        <w:trPr>
          <w:cantSplit/>
        </w:trPr>
        <w:tc>
          <w:tcPr>
            <w:tcW w:w="1186" w:type="dxa"/>
            <w:tcBorders>
              <w:top w:val="nil"/>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3CE4EA6D"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01/01/2020</w:t>
            </w:r>
          </w:p>
        </w:tc>
        <w:tc>
          <w:tcPr>
            <w:tcW w:w="86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350230D7"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338</w:t>
            </w:r>
          </w:p>
        </w:tc>
        <w:tc>
          <w:tcPr>
            <w:tcW w:w="86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30186865"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613</w:t>
            </w:r>
          </w:p>
        </w:tc>
        <w:tc>
          <w:tcPr>
            <w:tcW w:w="869" w:type="dxa"/>
            <w:tcBorders>
              <w:top w:val="nil"/>
              <w:left w:val="single" w:sz="8" w:space="0" w:color="000000"/>
              <w:bottom w:val="single" w:sz="8" w:space="0" w:color="000000"/>
              <w:right w:val="single" w:sz="8" w:space="0" w:color="000000"/>
            </w:tcBorders>
            <w:shd w:val="clear" w:color="auto" w:fill="FFFFFF"/>
            <w:tcMar>
              <w:top w:w="0" w:type="dxa"/>
              <w:left w:w="60" w:type="dxa"/>
              <w:bottom w:w="0" w:type="dxa"/>
              <w:right w:w="60" w:type="dxa"/>
            </w:tcMar>
            <w:vAlign w:val="bottom"/>
            <w:hideMark/>
          </w:tcPr>
          <w:p w14:paraId="3369BEB0"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951</w:t>
            </w:r>
          </w:p>
        </w:tc>
      </w:tr>
      <w:tr w:rsidR="00090627" w:rsidRPr="002951CD" w14:paraId="0CBDE793" w14:textId="77777777" w:rsidTr="00090627">
        <w:trPr>
          <w:cantSplit/>
        </w:trPr>
        <w:tc>
          <w:tcPr>
            <w:tcW w:w="1186" w:type="dxa"/>
            <w:tcBorders>
              <w:top w:val="nil"/>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79FC002E"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lastRenderedPageBreak/>
              <w:t>01/01/2021</w:t>
            </w:r>
          </w:p>
        </w:tc>
        <w:tc>
          <w:tcPr>
            <w:tcW w:w="86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539FE284"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317</w:t>
            </w:r>
          </w:p>
        </w:tc>
        <w:tc>
          <w:tcPr>
            <w:tcW w:w="86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37C1BAE5"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567</w:t>
            </w:r>
          </w:p>
        </w:tc>
        <w:tc>
          <w:tcPr>
            <w:tcW w:w="869" w:type="dxa"/>
            <w:tcBorders>
              <w:top w:val="nil"/>
              <w:left w:val="single" w:sz="8" w:space="0" w:color="000000"/>
              <w:bottom w:val="single" w:sz="8" w:space="0" w:color="000000"/>
              <w:right w:val="single" w:sz="8" w:space="0" w:color="000000"/>
            </w:tcBorders>
            <w:shd w:val="clear" w:color="auto" w:fill="FFFFFF"/>
            <w:tcMar>
              <w:top w:w="0" w:type="dxa"/>
              <w:left w:w="60" w:type="dxa"/>
              <w:bottom w:w="0" w:type="dxa"/>
              <w:right w:w="60" w:type="dxa"/>
            </w:tcMar>
            <w:vAlign w:val="bottom"/>
            <w:hideMark/>
          </w:tcPr>
          <w:p w14:paraId="1E2BADF9"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884</w:t>
            </w:r>
          </w:p>
        </w:tc>
      </w:tr>
    </w:tbl>
    <w:p w14:paraId="6C69BC21" w14:textId="77777777" w:rsidR="00090627" w:rsidRPr="002951CD" w:rsidRDefault="00090627" w:rsidP="002951CD">
      <w:pPr>
        <w:jc w:val="both"/>
        <w:rPr>
          <w:rFonts w:cstheme="minorHAnsi"/>
          <w:lang w:val="fr-FR"/>
        </w:rPr>
      </w:pPr>
    </w:p>
    <w:p w14:paraId="2F633400" w14:textId="77777777" w:rsidR="00090627" w:rsidRPr="002951CD" w:rsidRDefault="00090627" w:rsidP="002951CD">
      <w:pPr>
        <w:jc w:val="both"/>
        <w:rPr>
          <w:rFonts w:cstheme="minorHAnsi"/>
          <w:lang w:val="fr-FR"/>
        </w:rPr>
      </w:pPr>
    </w:p>
    <w:p w14:paraId="0BCEC124" w14:textId="77777777" w:rsidR="00090627" w:rsidRPr="002951CD" w:rsidRDefault="00090627" w:rsidP="002951CD">
      <w:pPr>
        <w:jc w:val="both"/>
        <w:rPr>
          <w:rFonts w:cstheme="minorHAnsi"/>
          <w:lang w:val="fr-FR"/>
        </w:rPr>
      </w:pPr>
    </w:p>
    <w:p w14:paraId="15D42D17" w14:textId="77777777" w:rsidR="00090627" w:rsidRPr="002951CD" w:rsidRDefault="00090627" w:rsidP="002951CD">
      <w:pPr>
        <w:jc w:val="both"/>
        <w:rPr>
          <w:rFonts w:cstheme="minorHAnsi"/>
          <w:lang w:val="fr-FR"/>
        </w:rPr>
      </w:pPr>
    </w:p>
    <w:p w14:paraId="6483D076" w14:textId="77777777" w:rsidR="00090627" w:rsidRPr="002951CD" w:rsidRDefault="00090627" w:rsidP="002951CD">
      <w:pPr>
        <w:jc w:val="both"/>
        <w:rPr>
          <w:rFonts w:cstheme="minorHAnsi"/>
          <w:lang w:val="fr-FR"/>
        </w:rPr>
      </w:pPr>
      <w:r w:rsidRPr="002951CD">
        <w:rPr>
          <w:rFonts w:cstheme="minorHAnsi"/>
          <w:lang w:val="fr-FR"/>
        </w:rPr>
        <w:t>Le nombre d'apatrides diminue.</w:t>
      </w:r>
    </w:p>
    <w:p w14:paraId="69864909" w14:textId="4B5028D7" w:rsidR="00090627" w:rsidRPr="002951CD" w:rsidRDefault="00090627" w:rsidP="002951CD">
      <w:pPr>
        <w:spacing w:before="10" w:after="10"/>
        <w:jc w:val="both"/>
        <w:rPr>
          <w:rFonts w:cstheme="minorHAnsi"/>
          <w:b/>
          <w:bCs/>
          <w:color w:val="000000"/>
        </w:rPr>
      </w:pPr>
      <w:r w:rsidRPr="002951CD">
        <w:rPr>
          <w:rFonts w:cstheme="minorHAnsi"/>
          <w:b/>
          <w:bCs/>
          <w:color w:val="000000"/>
        </w:rPr>
        <w:t>Tableau : Nombre de premi</w:t>
      </w:r>
      <w:r w:rsidR="00527511" w:rsidRPr="002951CD">
        <w:rPr>
          <w:rFonts w:cstheme="minorHAnsi"/>
          <w:b/>
          <w:bCs/>
          <w:color w:val="000000"/>
        </w:rPr>
        <w:t>e</w:t>
      </w:r>
      <w:r w:rsidRPr="002951CD">
        <w:rPr>
          <w:rFonts w:cstheme="minorHAnsi"/>
          <w:b/>
          <w:bCs/>
          <w:color w:val="000000"/>
        </w:rPr>
        <w:t>rs documents de séjour délivrés à des apatrides.</w:t>
      </w:r>
    </w:p>
    <w:p w14:paraId="5FACD1A8" w14:textId="77777777" w:rsidR="00090627" w:rsidRPr="002951CD" w:rsidRDefault="00090627" w:rsidP="002951CD">
      <w:pPr>
        <w:jc w:val="both"/>
        <w:rPr>
          <w:rFonts w:cstheme="minorHAnsi"/>
        </w:rPr>
      </w:pPr>
    </w:p>
    <w:tbl>
      <w:tblPr>
        <w:tblpPr w:leftFromText="150" w:rightFromText="150" w:vertAnchor="text"/>
        <w:tblW w:w="0" w:type="auto"/>
        <w:tblCellMar>
          <w:left w:w="0" w:type="dxa"/>
          <w:right w:w="0" w:type="dxa"/>
        </w:tblCellMar>
        <w:tblLook w:val="04A0" w:firstRow="1" w:lastRow="0" w:firstColumn="1" w:lastColumn="0" w:noHBand="0" w:noVBand="1"/>
      </w:tblPr>
      <w:tblGrid>
        <w:gridCol w:w="1353"/>
        <w:gridCol w:w="919"/>
        <w:gridCol w:w="919"/>
        <w:gridCol w:w="919"/>
      </w:tblGrid>
      <w:tr w:rsidR="00090627" w:rsidRPr="002951CD" w14:paraId="76B61605" w14:textId="77777777" w:rsidTr="004D1323">
        <w:trPr>
          <w:cantSplit/>
          <w:trHeight w:val="695"/>
          <w:tblHeader/>
        </w:trPr>
        <w:tc>
          <w:tcPr>
            <w:tcW w:w="1353" w:type="dxa"/>
            <w:tcBorders>
              <w:top w:val="single" w:sz="8" w:space="0" w:color="000000"/>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03F40FBF" w14:textId="77777777" w:rsidR="00090627" w:rsidRPr="002951CD" w:rsidRDefault="00090627" w:rsidP="002951CD">
            <w:pPr>
              <w:spacing w:before="60" w:after="60" w:line="252" w:lineRule="auto"/>
              <w:jc w:val="both"/>
              <w:rPr>
                <w:rFonts w:cstheme="minorHAnsi"/>
                <w:b/>
                <w:bCs/>
                <w:color w:val="000000"/>
                <w:sz w:val="20"/>
                <w:szCs w:val="20"/>
              </w:rPr>
            </w:pPr>
            <w:r w:rsidRPr="002951CD">
              <w:rPr>
                <w:rFonts w:cstheme="minorHAnsi"/>
                <w:b/>
                <w:bCs/>
                <w:color w:val="000000"/>
              </w:rPr>
              <w:t xml:space="preserve">Année / </w:t>
            </w:r>
            <w:proofErr w:type="spellStart"/>
            <w:r w:rsidRPr="002951CD">
              <w:rPr>
                <w:rFonts w:cstheme="minorHAnsi"/>
                <w:b/>
                <w:bCs/>
                <w:color w:val="000000"/>
              </w:rPr>
              <w:t>Year</w:t>
            </w:r>
            <w:proofErr w:type="spellEnd"/>
          </w:p>
        </w:tc>
        <w:tc>
          <w:tcPr>
            <w:tcW w:w="919" w:type="dxa"/>
            <w:tcBorders>
              <w:top w:val="single" w:sz="8" w:space="0" w:color="000000"/>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450CD393" w14:textId="77777777" w:rsidR="00090627" w:rsidRPr="002951CD" w:rsidRDefault="00090627" w:rsidP="002951CD">
            <w:pPr>
              <w:spacing w:before="60" w:after="60" w:line="252" w:lineRule="auto"/>
              <w:jc w:val="both"/>
              <w:rPr>
                <w:rFonts w:cstheme="minorHAnsi"/>
                <w:b/>
                <w:bCs/>
                <w:color w:val="000000"/>
              </w:rPr>
            </w:pPr>
            <w:r w:rsidRPr="002951CD">
              <w:rPr>
                <w:rFonts w:cstheme="minorHAnsi"/>
                <w:b/>
                <w:bCs/>
                <w:color w:val="000000"/>
              </w:rPr>
              <w:t xml:space="preserve">Femme </w:t>
            </w:r>
            <w:proofErr w:type="spellStart"/>
            <w:r w:rsidRPr="002951CD">
              <w:rPr>
                <w:rFonts w:cstheme="minorHAnsi"/>
                <w:b/>
                <w:bCs/>
                <w:color w:val="000000"/>
              </w:rPr>
              <w:t>Female</w:t>
            </w:r>
            <w:proofErr w:type="spellEnd"/>
          </w:p>
        </w:tc>
        <w:tc>
          <w:tcPr>
            <w:tcW w:w="919" w:type="dxa"/>
            <w:tcBorders>
              <w:top w:val="single" w:sz="8" w:space="0" w:color="000000"/>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181D894B" w14:textId="77777777" w:rsidR="00090627" w:rsidRPr="002951CD" w:rsidRDefault="00090627" w:rsidP="002951CD">
            <w:pPr>
              <w:spacing w:before="60" w:after="60" w:line="252" w:lineRule="auto"/>
              <w:jc w:val="both"/>
              <w:rPr>
                <w:rFonts w:cstheme="minorHAnsi"/>
                <w:b/>
                <w:bCs/>
                <w:color w:val="000000"/>
              </w:rPr>
            </w:pPr>
            <w:r w:rsidRPr="002951CD">
              <w:rPr>
                <w:rFonts w:cstheme="minorHAnsi"/>
                <w:b/>
                <w:bCs/>
                <w:color w:val="000000"/>
              </w:rPr>
              <w:t>Homme Male</w:t>
            </w:r>
          </w:p>
        </w:tc>
        <w:tc>
          <w:tcPr>
            <w:tcW w:w="919" w:type="dxa"/>
            <w:tcBorders>
              <w:top w:val="single" w:sz="8" w:space="0" w:color="000000"/>
              <w:left w:val="single" w:sz="8" w:space="0" w:color="000000"/>
              <w:bottom w:val="single" w:sz="8" w:space="0" w:color="000000"/>
              <w:right w:val="single" w:sz="8" w:space="0" w:color="000000"/>
            </w:tcBorders>
            <w:shd w:val="clear" w:color="auto" w:fill="BBBBBB"/>
            <w:tcMar>
              <w:top w:w="0" w:type="dxa"/>
              <w:left w:w="60" w:type="dxa"/>
              <w:bottom w:w="0" w:type="dxa"/>
              <w:right w:w="60" w:type="dxa"/>
            </w:tcMar>
            <w:vAlign w:val="center"/>
            <w:hideMark/>
          </w:tcPr>
          <w:p w14:paraId="4028C263" w14:textId="77777777" w:rsidR="00090627" w:rsidRPr="002951CD" w:rsidRDefault="00090627" w:rsidP="002951CD">
            <w:pPr>
              <w:spacing w:before="60" w:after="60" w:line="252" w:lineRule="auto"/>
              <w:jc w:val="both"/>
              <w:rPr>
                <w:rFonts w:cstheme="minorHAnsi"/>
                <w:b/>
                <w:bCs/>
                <w:color w:val="000000"/>
              </w:rPr>
            </w:pPr>
            <w:r w:rsidRPr="002951CD">
              <w:rPr>
                <w:rFonts w:cstheme="minorHAnsi"/>
                <w:b/>
                <w:bCs/>
                <w:color w:val="000000"/>
              </w:rPr>
              <w:t>Total</w:t>
            </w:r>
          </w:p>
        </w:tc>
      </w:tr>
      <w:tr w:rsidR="00090627" w:rsidRPr="002951CD" w14:paraId="1FDB91D3" w14:textId="77777777" w:rsidTr="004D1323">
        <w:trPr>
          <w:cantSplit/>
          <w:trHeight w:val="402"/>
        </w:trPr>
        <w:tc>
          <w:tcPr>
            <w:tcW w:w="1353" w:type="dxa"/>
            <w:tcBorders>
              <w:top w:val="nil"/>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4277B7A6"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2017</w:t>
            </w:r>
          </w:p>
        </w:tc>
        <w:tc>
          <w:tcPr>
            <w:tcW w:w="91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05CD42A2"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6</w:t>
            </w:r>
          </w:p>
        </w:tc>
        <w:tc>
          <w:tcPr>
            <w:tcW w:w="91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2E8206D6"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24</w:t>
            </w:r>
          </w:p>
        </w:tc>
        <w:tc>
          <w:tcPr>
            <w:tcW w:w="919" w:type="dxa"/>
            <w:tcBorders>
              <w:top w:val="nil"/>
              <w:left w:val="single" w:sz="8" w:space="0" w:color="000000"/>
              <w:bottom w:val="single" w:sz="8" w:space="0" w:color="000000"/>
              <w:right w:val="single" w:sz="8" w:space="0" w:color="000000"/>
            </w:tcBorders>
            <w:shd w:val="clear" w:color="auto" w:fill="FFFFFF"/>
            <w:tcMar>
              <w:top w:w="0" w:type="dxa"/>
              <w:left w:w="60" w:type="dxa"/>
              <w:bottom w:w="0" w:type="dxa"/>
              <w:right w:w="60" w:type="dxa"/>
            </w:tcMar>
            <w:vAlign w:val="bottom"/>
            <w:hideMark/>
          </w:tcPr>
          <w:p w14:paraId="4D4D0C3E"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30</w:t>
            </w:r>
          </w:p>
        </w:tc>
      </w:tr>
      <w:tr w:rsidR="00090627" w:rsidRPr="002951CD" w14:paraId="4F1EFC4D" w14:textId="77777777" w:rsidTr="004D1323">
        <w:trPr>
          <w:cantSplit/>
          <w:trHeight w:val="402"/>
        </w:trPr>
        <w:tc>
          <w:tcPr>
            <w:tcW w:w="1353" w:type="dxa"/>
            <w:tcBorders>
              <w:top w:val="nil"/>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45760353"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2018</w:t>
            </w:r>
          </w:p>
        </w:tc>
        <w:tc>
          <w:tcPr>
            <w:tcW w:w="91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5B6A5F6B"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29</w:t>
            </w:r>
          </w:p>
        </w:tc>
        <w:tc>
          <w:tcPr>
            <w:tcW w:w="91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1ADB64AA"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22</w:t>
            </w:r>
          </w:p>
        </w:tc>
        <w:tc>
          <w:tcPr>
            <w:tcW w:w="919" w:type="dxa"/>
            <w:tcBorders>
              <w:top w:val="nil"/>
              <w:left w:val="single" w:sz="8" w:space="0" w:color="000000"/>
              <w:bottom w:val="single" w:sz="8" w:space="0" w:color="000000"/>
              <w:right w:val="single" w:sz="8" w:space="0" w:color="000000"/>
            </w:tcBorders>
            <w:shd w:val="clear" w:color="auto" w:fill="FFFFFF"/>
            <w:tcMar>
              <w:top w:w="0" w:type="dxa"/>
              <w:left w:w="60" w:type="dxa"/>
              <w:bottom w:w="0" w:type="dxa"/>
              <w:right w:w="60" w:type="dxa"/>
            </w:tcMar>
            <w:vAlign w:val="bottom"/>
            <w:hideMark/>
          </w:tcPr>
          <w:p w14:paraId="6DB18A99"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51</w:t>
            </w:r>
          </w:p>
        </w:tc>
      </w:tr>
      <w:tr w:rsidR="00090627" w:rsidRPr="002951CD" w14:paraId="0BA4E591" w14:textId="77777777" w:rsidTr="004D1323">
        <w:trPr>
          <w:cantSplit/>
          <w:trHeight w:val="402"/>
        </w:trPr>
        <w:tc>
          <w:tcPr>
            <w:tcW w:w="1353" w:type="dxa"/>
            <w:tcBorders>
              <w:top w:val="nil"/>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72C20563"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2019</w:t>
            </w:r>
          </w:p>
        </w:tc>
        <w:tc>
          <w:tcPr>
            <w:tcW w:w="91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1855AAFE"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7</w:t>
            </w:r>
          </w:p>
        </w:tc>
        <w:tc>
          <w:tcPr>
            <w:tcW w:w="91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298D87D9"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18</w:t>
            </w:r>
          </w:p>
        </w:tc>
        <w:tc>
          <w:tcPr>
            <w:tcW w:w="919" w:type="dxa"/>
            <w:tcBorders>
              <w:top w:val="nil"/>
              <w:left w:val="single" w:sz="8" w:space="0" w:color="000000"/>
              <w:bottom w:val="single" w:sz="8" w:space="0" w:color="000000"/>
              <w:right w:val="single" w:sz="8" w:space="0" w:color="000000"/>
            </w:tcBorders>
            <w:shd w:val="clear" w:color="auto" w:fill="FFFFFF"/>
            <w:tcMar>
              <w:top w:w="0" w:type="dxa"/>
              <w:left w:w="60" w:type="dxa"/>
              <w:bottom w:w="0" w:type="dxa"/>
              <w:right w:w="60" w:type="dxa"/>
            </w:tcMar>
            <w:vAlign w:val="bottom"/>
            <w:hideMark/>
          </w:tcPr>
          <w:p w14:paraId="35A164CD"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25</w:t>
            </w:r>
          </w:p>
        </w:tc>
      </w:tr>
      <w:tr w:rsidR="00090627" w:rsidRPr="002951CD" w14:paraId="44895001" w14:textId="77777777" w:rsidTr="004D1323">
        <w:trPr>
          <w:cantSplit/>
          <w:trHeight w:val="402"/>
        </w:trPr>
        <w:tc>
          <w:tcPr>
            <w:tcW w:w="1353" w:type="dxa"/>
            <w:tcBorders>
              <w:top w:val="nil"/>
              <w:left w:val="single" w:sz="8" w:space="0" w:color="000000"/>
              <w:bottom w:val="single" w:sz="8" w:space="0" w:color="000000"/>
              <w:right w:val="nil"/>
            </w:tcBorders>
            <w:shd w:val="clear" w:color="auto" w:fill="BBBBBB"/>
            <w:tcMar>
              <w:top w:w="0" w:type="dxa"/>
              <w:left w:w="60" w:type="dxa"/>
              <w:bottom w:w="0" w:type="dxa"/>
              <w:right w:w="60" w:type="dxa"/>
            </w:tcMar>
            <w:vAlign w:val="center"/>
            <w:hideMark/>
          </w:tcPr>
          <w:p w14:paraId="50079E07"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2020</w:t>
            </w:r>
          </w:p>
        </w:tc>
        <w:tc>
          <w:tcPr>
            <w:tcW w:w="91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4F464EC7"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18</w:t>
            </w:r>
          </w:p>
        </w:tc>
        <w:tc>
          <w:tcPr>
            <w:tcW w:w="919" w:type="dxa"/>
            <w:tcBorders>
              <w:top w:val="nil"/>
              <w:left w:val="single" w:sz="8" w:space="0" w:color="000000"/>
              <w:bottom w:val="single" w:sz="8" w:space="0" w:color="000000"/>
              <w:right w:val="nil"/>
            </w:tcBorders>
            <w:shd w:val="clear" w:color="auto" w:fill="FFFFFF"/>
            <w:tcMar>
              <w:top w:w="0" w:type="dxa"/>
              <w:left w:w="60" w:type="dxa"/>
              <w:bottom w:w="0" w:type="dxa"/>
              <w:right w:w="60" w:type="dxa"/>
            </w:tcMar>
            <w:vAlign w:val="bottom"/>
            <w:hideMark/>
          </w:tcPr>
          <w:p w14:paraId="57491922"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21</w:t>
            </w:r>
          </w:p>
        </w:tc>
        <w:tc>
          <w:tcPr>
            <w:tcW w:w="919" w:type="dxa"/>
            <w:tcBorders>
              <w:top w:val="nil"/>
              <w:left w:val="single" w:sz="8" w:space="0" w:color="000000"/>
              <w:bottom w:val="single" w:sz="8" w:space="0" w:color="000000"/>
              <w:right w:val="single" w:sz="8" w:space="0" w:color="000000"/>
            </w:tcBorders>
            <w:shd w:val="clear" w:color="auto" w:fill="FFFFFF"/>
            <w:tcMar>
              <w:top w:w="0" w:type="dxa"/>
              <w:left w:w="60" w:type="dxa"/>
              <w:bottom w:w="0" w:type="dxa"/>
              <w:right w:w="60" w:type="dxa"/>
            </w:tcMar>
            <w:vAlign w:val="bottom"/>
            <w:hideMark/>
          </w:tcPr>
          <w:p w14:paraId="2A561C52" w14:textId="77777777" w:rsidR="00090627" w:rsidRPr="002951CD" w:rsidRDefault="00090627" w:rsidP="002951CD">
            <w:pPr>
              <w:spacing w:before="60" w:after="60" w:line="252" w:lineRule="auto"/>
              <w:jc w:val="both"/>
              <w:rPr>
                <w:rFonts w:cstheme="minorHAnsi"/>
                <w:color w:val="000000"/>
              </w:rPr>
            </w:pPr>
            <w:r w:rsidRPr="002951CD">
              <w:rPr>
                <w:rFonts w:cstheme="minorHAnsi"/>
                <w:color w:val="000000"/>
              </w:rPr>
              <w:t>39</w:t>
            </w:r>
          </w:p>
        </w:tc>
      </w:tr>
    </w:tbl>
    <w:p w14:paraId="62CF0483" w14:textId="77777777" w:rsidR="00090627" w:rsidRPr="002951CD" w:rsidRDefault="00090627" w:rsidP="002951CD">
      <w:pPr>
        <w:jc w:val="both"/>
        <w:rPr>
          <w:rFonts w:cstheme="minorHAnsi"/>
          <w:lang w:val="nl-BE"/>
        </w:rPr>
      </w:pPr>
    </w:p>
    <w:p w14:paraId="3AED00BD" w14:textId="77777777" w:rsidR="00090627" w:rsidRPr="002951CD" w:rsidRDefault="00090627" w:rsidP="002951CD">
      <w:pPr>
        <w:jc w:val="both"/>
        <w:rPr>
          <w:rFonts w:cstheme="minorHAnsi"/>
          <w:lang w:val="nl-BE"/>
        </w:rPr>
      </w:pPr>
    </w:p>
    <w:p w14:paraId="7FFB5FBD" w14:textId="77777777" w:rsidR="00090627" w:rsidRPr="002951CD" w:rsidRDefault="00090627" w:rsidP="002951CD">
      <w:pPr>
        <w:jc w:val="both"/>
        <w:rPr>
          <w:rFonts w:cstheme="minorHAnsi"/>
          <w:lang w:val="nl-BE"/>
        </w:rPr>
      </w:pPr>
    </w:p>
    <w:p w14:paraId="35743AE6" w14:textId="77777777" w:rsidR="00090627" w:rsidRPr="002951CD" w:rsidRDefault="00090627" w:rsidP="002951CD">
      <w:pPr>
        <w:jc w:val="both"/>
        <w:rPr>
          <w:rFonts w:cstheme="minorHAnsi"/>
          <w:lang w:val="fr-FR"/>
        </w:rPr>
      </w:pPr>
    </w:p>
    <w:p w14:paraId="29D506CE" w14:textId="77777777" w:rsidR="004D1323" w:rsidRDefault="004D1323" w:rsidP="002951CD">
      <w:pPr>
        <w:jc w:val="both"/>
        <w:rPr>
          <w:rFonts w:cstheme="minorHAnsi"/>
          <w:b/>
          <w:bCs/>
          <w:u w:val="single"/>
        </w:rPr>
      </w:pPr>
    </w:p>
    <w:p w14:paraId="0C61EB0B" w14:textId="77777777" w:rsidR="004D1323" w:rsidRDefault="004D1323" w:rsidP="002951CD">
      <w:pPr>
        <w:jc w:val="both"/>
        <w:rPr>
          <w:rFonts w:cstheme="minorHAnsi"/>
          <w:b/>
          <w:bCs/>
          <w:u w:val="single"/>
        </w:rPr>
      </w:pPr>
    </w:p>
    <w:p w14:paraId="32F57127" w14:textId="0D02AAEE" w:rsidR="004D1323" w:rsidRDefault="004D1323" w:rsidP="002951CD">
      <w:pPr>
        <w:jc w:val="both"/>
        <w:rPr>
          <w:rFonts w:cstheme="minorHAnsi"/>
          <w:b/>
          <w:bCs/>
          <w:u w:val="single"/>
        </w:rPr>
      </w:pPr>
    </w:p>
    <w:p w14:paraId="2EC824BF" w14:textId="77777777" w:rsidR="004D1323" w:rsidRPr="002951CD" w:rsidRDefault="004D1323" w:rsidP="004D1323">
      <w:pPr>
        <w:jc w:val="both"/>
        <w:rPr>
          <w:rFonts w:cstheme="minorHAnsi"/>
          <w:lang w:val="fr-FR"/>
        </w:rPr>
      </w:pPr>
      <w:r w:rsidRPr="002951CD">
        <w:rPr>
          <w:rFonts w:cstheme="minorHAnsi"/>
          <w:lang w:val="fr-FR"/>
        </w:rPr>
        <w:t>Le nombre de nouveaux apatrides enregistrés est faible</w:t>
      </w:r>
    </w:p>
    <w:p w14:paraId="3A64240F" w14:textId="77777777" w:rsidR="004D1323" w:rsidRPr="004D1323" w:rsidRDefault="004D1323" w:rsidP="002951CD">
      <w:pPr>
        <w:jc w:val="both"/>
        <w:rPr>
          <w:rFonts w:cstheme="minorHAnsi"/>
          <w:b/>
          <w:bCs/>
          <w:u w:val="single"/>
          <w:lang w:val="fr-FR"/>
        </w:rPr>
      </w:pPr>
    </w:p>
    <w:p w14:paraId="13366929" w14:textId="7C285944" w:rsidR="002951CD" w:rsidRDefault="00CB29B1" w:rsidP="002951CD">
      <w:pPr>
        <w:jc w:val="both"/>
        <w:rPr>
          <w:rFonts w:cstheme="minorHAnsi"/>
          <w:b/>
          <w:bCs/>
          <w:u w:val="single"/>
        </w:rPr>
      </w:pPr>
      <w:r w:rsidRPr="002951CD">
        <w:rPr>
          <w:rFonts w:cstheme="minorHAnsi"/>
          <w:b/>
          <w:bCs/>
          <w:u w:val="single"/>
        </w:rPr>
        <w:t>Complément d‘information à l’article 1</w:t>
      </w:r>
      <w:r w:rsidR="002951CD">
        <w:rPr>
          <w:rFonts w:cstheme="minorHAnsi"/>
          <w:b/>
          <w:bCs/>
          <w:u w:val="single"/>
        </w:rPr>
        <w:t>0</w:t>
      </w:r>
    </w:p>
    <w:p w14:paraId="5DF29ACE" w14:textId="61FB552E" w:rsidR="00FD63E4" w:rsidRPr="002951CD" w:rsidRDefault="00FD63E4" w:rsidP="002951CD">
      <w:pPr>
        <w:jc w:val="both"/>
        <w:rPr>
          <w:rFonts w:cstheme="minorHAnsi"/>
          <w:u w:val="single"/>
        </w:rPr>
      </w:pPr>
      <w:r w:rsidRPr="002951CD">
        <w:rPr>
          <w:rFonts w:cstheme="minorHAnsi"/>
          <w:u w:val="single"/>
        </w:rPr>
        <w:t xml:space="preserve">Les chiffres disponibles pour l’enseignement supérieur en 2017-2018 </w:t>
      </w:r>
      <w:r w:rsidR="004D1323">
        <w:rPr>
          <w:rFonts w:cstheme="minorHAnsi"/>
          <w:u w:val="single"/>
        </w:rPr>
        <w:t xml:space="preserve">en Fédération Wallonie-Bruxelles </w:t>
      </w:r>
      <w:r w:rsidRPr="002951CD">
        <w:rPr>
          <w:rFonts w:cstheme="minorHAnsi"/>
        </w:rPr>
        <w:t xml:space="preserve">dénombre 6812 étudiantes et 21736 étudiants dans les filières </w:t>
      </w:r>
      <w:proofErr w:type="spellStart"/>
      <w:r w:rsidRPr="002951CD">
        <w:rPr>
          <w:rFonts w:cstheme="minorHAnsi"/>
        </w:rPr>
        <w:t>STIM</w:t>
      </w:r>
      <w:proofErr w:type="spellEnd"/>
      <w:r w:rsidRPr="002951CD">
        <w:rPr>
          <w:rFonts w:cstheme="minorHAnsi"/>
        </w:rPr>
        <w:t xml:space="preserve">. Les femmes sont minoritaires et leur proportion varie selon le domaine allant de 8,5 % (Technologie de l’information et de la communication) à 40,8 % (Sciences naturelles, mathématiques et statistiques). Toutefois, le nombre de femmes dans les filières </w:t>
      </w:r>
      <w:proofErr w:type="spellStart"/>
      <w:r w:rsidRPr="002951CD">
        <w:rPr>
          <w:rFonts w:cstheme="minorHAnsi"/>
        </w:rPr>
        <w:t>STIM</w:t>
      </w:r>
      <w:proofErr w:type="spellEnd"/>
      <w:r w:rsidRPr="002951CD">
        <w:rPr>
          <w:rFonts w:cstheme="minorHAnsi"/>
        </w:rPr>
        <w:t xml:space="preserve"> est celui qui augmente le plus rapidement sur la période alors que le nombre d’hommes dans ces mêmes filières est celui qui progresse le moins rapidement. </w:t>
      </w:r>
    </w:p>
    <w:p w14:paraId="33354B2A" w14:textId="21C2C187" w:rsidR="00FD63E4" w:rsidRPr="002951CD" w:rsidRDefault="00123C27" w:rsidP="002951CD">
      <w:pPr>
        <w:jc w:val="both"/>
        <w:rPr>
          <w:rFonts w:cstheme="minorHAnsi"/>
          <w:lang w:eastAsia="fr-BE"/>
        </w:rPr>
      </w:pPr>
      <w:hyperlink r:id="rId7" w:history="1">
        <w:r w:rsidR="00FD63E4" w:rsidRPr="002951CD">
          <w:rPr>
            <w:rStyle w:val="Hyperlink"/>
            <w:rFonts w:cstheme="minorHAnsi"/>
            <w:lang w:eastAsia="fr-BE"/>
          </w:rPr>
          <w:t>https://www.ares-ac.be/images/Indicateurs_Graphiques/StatSupInfo/ARES-Note-StatSupInfo-juin_2021.pdf</w:t>
        </w:r>
      </w:hyperlink>
    </w:p>
    <w:p w14:paraId="1E9163F3" w14:textId="77777777" w:rsidR="00FD63E4" w:rsidRPr="002951CD" w:rsidRDefault="00FD63E4" w:rsidP="002951CD">
      <w:pPr>
        <w:jc w:val="both"/>
        <w:rPr>
          <w:rFonts w:cstheme="minorHAnsi"/>
          <w:u w:val="single"/>
        </w:rPr>
      </w:pPr>
      <w:r w:rsidRPr="002951CD">
        <w:rPr>
          <w:rFonts w:cstheme="minorHAnsi"/>
          <w:u w:val="single"/>
        </w:rPr>
        <w:t>Répartition des effectifs de l’enseignement ordinaire en Fédération Wallonie-Bruxelles en 2019-2020 : enseignement secondaire de plein exercice</w:t>
      </w:r>
    </w:p>
    <w:p w14:paraId="7BFCC5B8" w14:textId="561CC660" w:rsidR="00FD63E4" w:rsidRPr="002951CD" w:rsidRDefault="00FD63E4" w:rsidP="002951CD">
      <w:pPr>
        <w:jc w:val="both"/>
        <w:rPr>
          <w:rFonts w:cstheme="minorHAnsi"/>
        </w:rPr>
      </w:pPr>
      <w:r w:rsidRPr="002951CD">
        <w:rPr>
          <w:rFonts w:cstheme="minorHAnsi"/>
        </w:rPr>
        <w:t>La section de qualification (3</w:t>
      </w:r>
      <w:r w:rsidRPr="002951CD">
        <w:rPr>
          <w:rFonts w:cstheme="minorHAnsi"/>
          <w:vertAlign w:val="superscript"/>
        </w:rPr>
        <w:t>e</w:t>
      </w:r>
      <w:r w:rsidRPr="002951CD">
        <w:rPr>
          <w:rFonts w:cstheme="minorHAnsi"/>
        </w:rPr>
        <w:t xml:space="preserve"> à </w:t>
      </w:r>
      <w:proofErr w:type="spellStart"/>
      <w:r w:rsidRPr="002951CD">
        <w:rPr>
          <w:rFonts w:cstheme="minorHAnsi"/>
        </w:rPr>
        <w:t>6</w:t>
      </w:r>
      <w:r w:rsidRPr="002951CD">
        <w:rPr>
          <w:rFonts w:cstheme="minorHAnsi"/>
          <w:vertAlign w:val="superscript"/>
        </w:rPr>
        <w:t>e</w:t>
      </w:r>
      <w:proofErr w:type="spellEnd"/>
      <w:r w:rsidRPr="002951CD">
        <w:rPr>
          <w:rFonts w:cstheme="minorHAnsi"/>
        </w:rPr>
        <w:t>) regroupe davantage de garçons (53,6 %) que de filles (46,4 %). Dans cette section, 58 % des élèves fréquentent la forme technique de qualification (30,1 % de garçons et 27,9 % de filles) et 42 % la forme professionnelle de qualification (23,5 % de garçons et 18,5 % de filles).</w:t>
      </w:r>
    </w:p>
    <w:p w14:paraId="74AA9634" w14:textId="77777777" w:rsidR="004D1323" w:rsidRDefault="00FD63E4" w:rsidP="004D1323">
      <w:pPr>
        <w:jc w:val="both"/>
        <w:rPr>
          <w:rFonts w:cstheme="minorHAnsi"/>
        </w:rPr>
      </w:pPr>
      <w:r w:rsidRPr="002951CD">
        <w:rPr>
          <w:rFonts w:cstheme="minorHAnsi"/>
        </w:rPr>
        <w:t>Lien Indicateurs de l’enseignement 2021</w:t>
      </w:r>
      <w:r w:rsidR="004D1323">
        <w:rPr>
          <w:rFonts w:cstheme="minorHAnsi"/>
        </w:rPr>
        <w:t xml:space="preserve"> : </w:t>
      </w:r>
    </w:p>
    <w:p w14:paraId="6EAB6784" w14:textId="403D64E3" w:rsidR="00FD63E4" w:rsidRPr="002951CD" w:rsidRDefault="00123C27" w:rsidP="004D1323">
      <w:pPr>
        <w:jc w:val="both"/>
        <w:rPr>
          <w:rFonts w:cstheme="minorHAnsi"/>
        </w:rPr>
      </w:pPr>
      <w:hyperlink r:id="rId8" w:history="1">
        <w:r w:rsidR="004D1323" w:rsidRPr="004660AA">
          <w:rPr>
            <w:rStyle w:val="Hyperlink"/>
            <w:rFonts w:cstheme="minorHAnsi"/>
          </w:rPr>
          <w:t>http://</w:t>
        </w:r>
        <w:proofErr w:type="spellStart"/>
        <w:r w:rsidR="004D1323" w:rsidRPr="004660AA">
          <w:rPr>
            <w:rStyle w:val="Hyperlink"/>
            <w:rFonts w:cstheme="minorHAnsi"/>
          </w:rPr>
          <w:t>www.enseignement.be</w:t>
        </w:r>
        <w:proofErr w:type="spellEnd"/>
        <w:r w:rsidR="004D1323" w:rsidRPr="004660AA">
          <w:rPr>
            <w:rStyle w:val="Hyperlink"/>
            <w:rFonts w:cstheme="minorHAnsi"/>
          </w:rPr>
          <w:t>/</w:t>
        </w:r>
        <w:proofErr w:type="spellStart"/>
        <w:r w:rsidR="004D1323" w:rsidRPr="004660AA">
          <w:rPr>
            <w:rStyle w:val="Hyperlink"/>
            <w:rFonts w:cstheme="minorHAnsi"/>
          </w:rPr>
          <w:t>index.php?page</w:t>
        </w:r>
        <w:proofErr w:type="spellEnd"/>
        <w:r w:rsidR="004D1323" w:rsidRPr="004660AA">
          <w:rPr>
            <w:rStyle w:val="Hyperlink"/>
            <w:rFonts w:cstheme="minorHAnsi"/>
          </w:rPr>
          <w:t>=</w:t>
        </w:r>
        <w:proofErr w:type="spellStart"/>
        <w:r w:rsidR="004D1323" w:rsidRPr="004660AA">
          <w:rPr>
            <w:rStyle w:val="Hyperlink"/>
            <w:rFonts w:cstheme="minorHAnsi"/>
          </w:rPr>
          <w:t>28584&amp;navi</w:t>
        </w:r>
        <w:proofErr w:type="spellEnd"/>
        <w:r w:rsidR="004D1323" w:rsidRPr="004660AA">
          <w:rPr>
            <w:rStyle w:val="Hyperlink"/>
            <w:rFonts w:cstheme="minorHAnsi"/>
          </w:rPr>
          <w:t>=4904</w:t>
        </w:r>
      </w:hyperlink>
    </w:p>
    <w:p w14:paraId="14660924" w14:textId="77777777" w:rsidR="00323F8B" w:rsidRPr="002951CD" w:rsidRDefault="00323F8B" w:rsidP="00B66F25">
      <w:pPr>
        <w:rPr>
          <w:rFonts w:cstheme="minorHAnsi"/>
        </w:rPr>
      </w:pPr>
    </w:p>
    <w:p w14:paraId="53373906" w14:textId="1365D62A" w:rsidR="00323F8B" w:rsidRPr="002951CD" w:rsidRDefault="00323F8B" w:rsidP="00B66F25">
      <w:pPr>
        <w:rPr>
          <w:rFonts w:cstheme="minorHAnsi"/>
          <w:b/>
          <w:bCs/>
          <w:u w:val="single"/>
        </w:rPr>
      </w:pPr>
      <w:r w:rsidRPr="002951CD">
        <w:rPr>
          <w:rFonts w:cstheme="minorHAnsi"/>
          <w:b/>
          <w:bCs/>
          <w:u w:val="single"/>
        </w:rPr>
        <w:t>Complément d’information à l’article</w:t>
      </w:r>
      <w:r w:rsidR="00090627" w:rsidRPr="002951CD">
        <w:rPr>
          <w:rFonts w:cstheme="minorHAnsi"/>
          <w:b/>
          <w:bCs/>
          <w:u w:val="single"/>
        </w:rPr>
        <w:t xml:space="preserve"> 13 </w:t>
      </w:r>
    </w:p>
    <w:p w14:paraId="6388198B" w14:textId="7C0AB5CA" w:rsidR="00706445" w:rsidRPr="002951CD" w:rsidRDefault="00706445" w:rsidP="00706445">
      <w:pPr>
        <w:jc w:val="both"/>
        <w:rPr>
          <w:rFonts w:cstheme="minorHAnsi"/>
        </w:rPr>
      </w:pPr>
      <w:r w:rsidRPr="002951CD">
        <w:rPr>
          <w:rFonts w:cstheme="minorHAnsi"/>
          <w:color w:val="1D1D1D"/>
          <w:shd w:val="clear" w:color="auto" w:fill="FFFFFF"/>
        </w:rPr>
        <w:lastRenderedPageBreak/>
        <w:t xml:space="preserve">En Belgique, les femmes représentent 35,4 % des travailleurs indépendants. Pourtant, depuis plusieurs années, la croissance du nombre d’indépendants est proportionnellement plus forte chez les femmes que chez les hommes, réduisant ainsi petit à petit l’écart genré dans le monde entrepreneurial belge (voir : </w:t>
      </w:r>
      <w:hyperlink r:id="rId9" w:history="1">
        <w:r w:rsidRPr="002951CD">
          <w:rPr>
            <w:rStyle w:val="Hyperlink"/>
            <w:rFonts w:cstheme="minorHAnsi"/>
          </w:rPr>
          <w:t>Entrepreneuriat féminin | SPF Economie (</w:t>
        </w:r>
        <w:proofErr w:type="spellStart"/>
        <w:r w:rsidRPr="002951CD">
          <w:rPr>
            <w:rStyle w:val="Hyperlink"/>
            <w:rFonts w:cstheme="minorHAnsi"/>
          </w:rPr>
          <w:t>fgov.be</w:t>
        </w:r>
        <w:proofErr w:type="spellEnd"/>
        <w:r w:rsidRPr="002951CD">
          <w:rPr>
            <w:rStyle w:val="Hyperlink"/>
            <w:rFonts w:cstheme="minorHAnsi"/>
          </w:rPr>
          <w:t>)</w:t>
        </w:r>
      </w:hyperlink>
      <w:r w:rsidRPr="002951CD">
        <w:rPr>
          <w:rFonts w:cstheme="minorHAnsi"/>
        </w:rPr>
        <w:t xml:space="preserve">). Une enquête réalisée en 2022 par le SPF Economie en vue de la préparation d’une Table-ronde sur le financement de l’entreprenariat féminin montre </w:t>
      </w:r>
      <w:r w:rsidR="004D1323">
        <w:rPr>
          <w:rFonts w:cstheme="minorHAnsi"/>
        </w:rPr>
        <w:t xml:space="preserve">les </w:t>
      </w:r>
      <w:r w:rsidRPr="002951CD">
        <w:rPr>
          <w:rFonts w:eastAsia="Times New Roman" w:cstheme="minorHAnsi"/>
          <w:lang w:eastAsia="fr-BE"/>
        </w:rPr>
        <w:t>hommes sont plus susceptibles de présenter des demandes de crédit que les femmes (35,1% vs. 28,2%)</w:t>
      </w:r>
      <w:r w:rsidR="004D1323">
        <w:rPr>
          <w:rFonts w:eastAsia="Times New Roman" w:cstheme="minorHAnsi"/>
          <w:lang w:eastAsia="fr-BE"/>
        </w:rPr>
        <w:t xml:space="preserve"> mais que l</w:t>
      </w:r>
      <w:r w:rsidRPr="002951CD">
        <w:rPr>
          <w:rFonts w:eastAsia="Times New Roman" w:cstheme="minorHAnsi"/>
          <w:lang w:eastAsia="fr-BE"/>
        </w:rPr>
        <w:t>a proportion de crédits acceptés est un peu plus élevée pour les hommes (95,8 %) que pour les femmes (94,5 %). Les hommes sont cependant également un peu plus confrontés à un refus de crédit (3,4 % vs. 2,6 %).</w:t>
      </w:r>
    </w:p>
    <w:p w14:paraId="11F87A70" w14:textId="7018C99A" w:rsidR="00090627" w:rsidRPr="002951CD" w:rsidRDefault="00090627" w:rsidP="00090627">
      <w:pPr>
        <w:rPr>
          <w:rFonts w:cstheme="minorHAnsi"/>
          <w:b/>
          <w:bCs/>
          <w:u w:val="single"/>
        </w:rPr>
      </w:pPr>
      <w:r w:rsidRPr="002951CD">
        <w:rPr>
          <w:rFonts w:cstheme="minorHAnsi"/>
          <w:b/>
          <w:bCs/>
          <w:u w:val="single"/>
        </w:rPr>
        <w:t xml:space="preserve">Complément d’information à l’article 16 </w:t>
      </w:r>
    </w:p>
    <w:p w14:paraId="779B41E1" w14:textId="0435095D" w:rsidR="00090627" w:rsidRPr="002951CD" w:rsidRDefault="00090627" w:rsidP="00090627">
      <w:pPr>
        <w:jc w:val="both"/>
        <w:rPr>
          <w:rFonts w:cstheme="minorHAnsi"/>
          <w:lang w:val="fr-FR"/>
        </w:rPr>
      </w:pPr>
      <w:r w:rsidRPr="002951CD">
        <w:rPr>
          <w:rFonts w:cstheme="minorHAnsi"/>
          <w:lang w:val="fr-FR"/>
        </w:rPr>
        <w:t xml:space="preserve">Le gouvernement fédéral s’est engagé à étudier la possibilité de réaliser une réforme de la législation ‘regroupement familial’ en faveur des victimes des violences intrafamiliales et les parents accompagnant de mineurs reconnus (ex. sur la base des MGF) comme réfugié qui eux-mêmes n’ont pas obtenu le statut. </w:t>
      </w:r>
    </w:p>
    <w:p w14:paraId="4A813891" w14:textId="77777777" w:rsidR="00B66F25" w:rsidRPr="002951CD" w:rsidRDefault="00B66F25" w:rsidP="00B66F25">
      <w:pPr>
        <w:rPr>
          <w:rFonts w:cstheme="minorHAnsi"/>
          <w:lang w:val="fr-FR"/>
        </w:rPr>
      </w:pPr>
    </w:p>
    <w:sectPr w:rsidR="00B66F25" w:rsidRPr="002951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E21E5" w14:textId="77777777" w:rsidR="00123C27" w:rsidRDefault="00123C27" w:rsidP="00123C27">
      <w:pPr>
        <w:spacing w:after="0" w:line="240" w:lineRule="auto"/>
      </w:pPr>
      <w:r>
        <w:separator/>
      </w:r>
    </w:p>
  </w:endnote>
  <w:endnote w:type="continuationSeparator" w:id="0">
    <w:p w14:paraId="2AF04CA9" w14:textId="77777777" w:rsidR="00123C27" w:rsidRDefault="00123C27" w:rsidP="00123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2C155" w14:textId="77777777" w:rsidR="00123C27" w:rsidRDefault="00123C27" w:rsidP="00123C27">
      <w:pPr>
        <w:spacing w:after="0" w:line="240" w:lineRule="auto"/>
      </w:pPr>
      <w:r>
        <w:separator/>
      </w:r>
    </w:p>
  </w:footnote>
  <w:footnote w:type="continuationSeparator" w:id="0">
    <w:p w14:paraId="6986375B" w14:textId="77777777" w:rsidR="00123C27" w:rsidRDefault="00123C27" w:rsidP="00123C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C44C7B"/>
    <w:multiLevelType w:val="hybridMultilevel"/>
    <w:tmpl w:val="28C8F138"/>
    <w:lvl w:ilvl="0" w:tplc="655E2E28">
      <w:start w:val="4"/>
      <w:numFmt w:val="bullet"/>
      <w:lvlText w:val="-"/>
      <w:lvlJc w:val="left"/>
      <w:pPr>
        <w:ind w:left="720" w:hanging="360"/>
      </w:pPr>
      <w:rPr>
        <w:rFonts w:ascii="Roboto" w:eastAsia="Calibri" w:hAnsi="Roboto"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56148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E9"/>
    <w:rsid w:val="00004D40"/>
    <w:rsid w:val="00090627"/>
    <w:rsid w:val="000F362E"/>
    <w:rsid w:val="00123C27"/>
    <w:rsid w:val="00152047"/>
    <w:rsid w:val="00217F44"/>
    <w:rsid w:val="002951CD"/>
    <w:rsid w:val="00323F8B"/>
    <w:rsid w:val="004D1323"/>
    <w:rsid w:val="00527511"/>
    <w:rsid w:val="00706445"/>
    <w:rsid w:val="008839E9"/>
    <w:rsid w:val="00B42F0B"/>
    <w:rsid w:val="00B6651A"/>
    <w:rsid w:val="00B66F25"/>
    <w:rsid w:val="00CB29B1"/>
    <w:rsid w:val="00E16453"/>
    <w:rsid w:val="00E61ABC"/>
    <w:rsid w:val="00F1553F"/>
    <w:rsid w:val="00F94BB3"/>
    <w:rsid w:val="00FD63E4"/>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E8C25"/>
  <w15:chartTrackingRefBased/>
  <w15:docId w15:val="{664FAEA6-3BC7-4F88-8A87-0F0468317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6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445"/>
    <w:rPr>
      <w:color w:val="0000FF"/>
      <w:u w:val="single"/>
    </w:rPr>
  </w:style>
  <w:style w:type="paragraph" w:styleId="ListParagraph">
    <w:name w:val="List Paragraph"/>
    <w:basedOn w:val="Normal"/>
    <w:uiPriority w:val="34"/>
    <w:qFormat/>
    <w:rsid w:val="00004D40"/>
    <w:pPr>
      <w:spacing w:line="252" w:lineRule="auto"/>
      <w:ind w:left="720"/>
      <w:contextualSpacing/>
    </w:pPr>
    <w:rPr>
      <w:rFonts w:ascii="Times New Roman" w:hAnsi="Times New Roman" w:cs="Times New Roman"/>
      <w:lang w:val="nl-BE"/>
    </w:rPr>
  </w:style>
  <w:style w:type="character" w:styleId="UnresolvedMention">
    <w:name w:val="Unresolved Mention"/>
    <w:basedOn w:val="DefaultParagraphFont"/>
    <w:uiPriority w:val="99"/>
    <w:semiHidden/>
    <w:unhideWhenUsed/>
    <w:rsid w:val="004D13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67996">
      <w:bodyDiv w:val="1"/>
      <w:marLeft w:val="0"/>
      <w:marRight w:val="0"/>
      <w:marTop w:val="0"/>
      <w:marBottom w:val="0"/>
      <w:divBdr>
        <w:top w:val="none" w:sz="0" w:space="0" w:color="auto"/>
        <w:left w:val="none" w:sz="0" w:space="0" w:color="auto"/>
        <w:bottom w:val="none" w:sz="0" w:space="0" w:color="auto"/>
        <w:right w:val="none" w:sz="0" w:space="0" w:color="auto"/>
      </w:divBdr>
    </w:div>
    <w:div w:id="808473592">
      <w:bodyDiv w:val="1"/>
      <w:marLeft w:val="0"/>
      <w:marRight w:val="0"/>
      <w:marTop w:val="0"/>
      <w:marBottom w:val="0"/>
      <w:divBdr>
        <w:top w:val="none" w:sz="0" w:space="0" w:color="auto"/>
        <w:left w:val="none" w:sz="0" w:space="0" w:color="auto"/>
        <w:bottom w:val="none" w:sz="0" w:space="0" w:color="auto"/>
        <w:right w:val="none" w:sz="0" w:space="0" w:color="auto"/>
      </w:divBdr>
    </w:div>
    <w:div w:id="817847328">
      <w:bodyDiv w:val="1"/>
      <w:marLeft w:val="0"/>
      <w:marRight w:val="0"/>
      <w:marTop w:val="0"/>
      <w:marBottom w:val="0"/>
      <w:divBdr>
        <w:top w:val="none" w:sz="0" w:space="0" w:color="auto"/>
        <w:left w:val="none" w:sz="0" w:space="0" w:color="auto"/>
        <w:bottom w:val="none" w:sz="0" w:space="0" w:color="auto"/>
        <w:right w:val="none" w:sz="0" w:space="0" w:color="auto"/>
      </w:divBdr>
    </w:div>
    <w:div w:id="855848336">
      <w:bodyDiv w:val="1"/>
      <w:marLeft w:val="0"/>
      <w:marRight w:val="0"/>
      <w:marTop w:val="0"/>
      <w:marBottom w:val="0"/>
      <w:divBdr>
        <w:top w:val="none" w:sz="0" w:space="0" w:color="auto"/>
        <w:left w:val="none" w:sz="0" w:space="0" w:color="auto"/>
        <w:bottom w:val="none" w:sz="0" w:space="0" w:color="auto"/>
        <w:right w:val="none" w:sz="0" w:space="0" w:color="auto"/>
      </w:divBdr>
    </w:div>
    <w:div w:id="1197693974">
      <w:bodyDiv w:val="1"/>
      <w:marLeft w:val="0"/>
      <w:marRight w:val="0"/>
      <w:marTop w:val="0"/>
      <w:marBottom w:val="0"/>
      <w:divBdr>
        <w:top w:val="none" w:sz="0" w:space="0" w:color="auto"/>
        <w:left w:val="none" w:sz="0" w:space="0" w:color="auto"/>
        <w:bottom w:val="none" w:sz="0" w:space="0" w:color="auto"/>
        <w:right w:val="none" w:sz="0" w:space="0" w:color="auto"/>
      </w:divBdr>
    </w:div>
    <w:div w:id="1461679684">
      <w:bodyDiv w:val="1"/>
      <w:marLeft w:val="0"/>
      <w:marRight w:val="0"/>
      <w:marTop w:val="0"/>
      <w:marBottom w:val="0"/>
      <w:divBdr>
        <w:top w:val="none" w:sz="0" w:space="0" w:color="auto"/>
        <w:left w:val="none" w:sz="0" w:space="0" w:color="auto"/>
        <w:bottom w:val="none" w:sz="0" w:space="0" w:color="auto"/>
        <w:right w:val="none" w:sz="0" w:space="0" w:color="auto"/>
      </w:divBdr>
    </w:div>
    <w:div w:id="1706560516">
      <w:bodyDiv w:val="1"/>
      <w:marLeft w:val="0"/>
      <w:marRight w:val="0"/>
      <w:marTop w:val="0"/>
      <w:marBottom w:val="0"/>
      <w:divBdr>
        <w:top w:val="none" w:sz="0" w:space="0" w:color="auto"/>
        <w:left w:val="none" w:sz="0" w:space="0" w:color="auto"/>
        <w:bottom w:val="none" w:sz="0" w:space="0" w:color="auto"/>
        <w:right w:val="none" w:sz="0" w:space="0" w:color="auto"/>
      </w:divBdr>
    </w:div>
    <w:div w:id="170879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seignement.be/index.php?page=28584&amp;navi=4904"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ares-ac.be/images/Indicateurs_Graphiques/StatSupInfo/ARES-Note-StatSupInfo-juin_2021.pdf"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conomie.fgov.be/fr/themes/entreprises/pme-et-independants-en/entrepreneuriat-feminin" TargetMode="Externa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D11E03-389A-4720-8754-2ABA6A72F349}"/>
</file>

<file path=customXml/itemProps2.xml><?xml version="1.0" encoding="utf-8"?>
<ds:datastoreItem xmlns:ds="http://schemas.openxmlformats.org/officeDocument/2006/customXml" ds:itemID="{7241E384-93C9-4606-9E78-2671EC038E72}"/>
</file>

<file path=customXml/itemProps3.xml><?xml version="1.0" encoding="utf-8"?>
<ds:datastoreItem xmlns:ds="http://schemas.openxmlformats.org/officeDocument/2006/customXml" ds:itemID="{4172D997-BE0B-47B5-A6EA-02BB5FF86A72}"/>
</file>

<file path=docProps/app.xml><?xml version="1.0" encoding="utf-8"?>
<Properties xmlns="http://schemas.openxmlformats.org/officeDocument/2006/extended-properties" xmlns:vt="http://schemas.openxmlformats.org/officeDocument/2006/docPropsVTypes">
  <Template>Normal</Template>
  <TotalTime>0</TotalTime>
  <Pages>4</Pages>
  <Words>1400</Words>
  <Characters>7981</Characters>
  <Application>Microsoft Office Word</Application>
  <DocSecurity>4</DocSecurity>
  <Lines>66</Lines>
  <Paragraphs>18</Paragraphs>
  <ScaleCrop>false</ScaleCrop>
  <HeadingPairs>
    <vt:vector size="2" baseType="variant">
      <vt:variant>
        <vt:lpstr>Titre</vt:lpstr>
      </vt:variant>
      <vt:variant>
        <vt:i4>1</vt:i4>
      </vt:variant>
    </vt:vector>
  </HeadingPairs>
  <TitlesOfParts>
    <vt:vector size="1" baseType="lpstr">
      <vt:lpstr/>
    </vt:vector>
  </TitlesOfParts>
  <Company>FOD WASO SPF ETCS</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Carine Joly (Instituut voor de gelijkheid - Institut pour l'égalité)</dc:creator>
  <cp:keywords/>
  <dc:description/>
  <cp:lastModifiedBy>Bergé Helena - M3</cp:lastModifiedBy>
  <cp:revision>2</cp:revision>
  <dcterms:created xsi:type="dcterms:W3CDTF">2022-10-17T15:07:00Z</dcterms:created>
  <dcterms:modified xsi:type="dcterms:W3CDTF">2022-10-17T15:07:00Z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ddc1db8-2f64-468c-a02a-c7d04ea19826_Enabled">
    <vt:lpwstr>true</vt:lpwstr>
  </property>
  <property fmtid="{D5CDD505-2E9C-101B-9397-08002B2CF9AE}" pid="3" name="MSIP_Label_dddc1db8-2f64-468c-a02a-c7d04ea19826_SetDate">
    <vt:lpwstr>2022-10-17T15:07:01Z</vt:lpwstr>
  </property>
  <property fmtid="{D5CDD505-2E9C-101B-9397-08002B2CF9AE}" pid="4" name="MSIP_Label_dddc1db8-2f64-468c-a02a-c7d04ea19826_Method">
    <vt:lpwstr>Privileged</vt:lpwstr>
  </property>
  <property fmtid="{D5CDD505-2E9C-101B-9397-08002B2CF9AE}" pid="5" name="MSIP_Label_dddc1db8-2f64-468c-a02a-c7d04ea19826_Name">
    <vt:lpwstr>Non classifié - Niet geclassificeerd</vt:lpwstr>
  </property>
  <property fmtid="{D5CDD505-2E9C-101B-9397-08002B2CF9AE}" pid="6" name="MSIP_Label_dddc1db8-2f64-468c-a02a-c7d04ea19826_SiteId">
    <vt:lpwstr>80153b30-e434-429b-b41c-0d47f9deec42</vt:lpwstr>
  </property>
  <property fmtid="{D5CDD505-2E9C-101B-9397-08002B2CF9AE}" pid="7" name="MSIP_Label_dddc1db8-2f64-468c-a02a-c7d04ea19826_ActionId">
    <vt:lpwstr>594370d9-769a-4c9a-88a8-7cf8b58ea8b7</vt:lpwstr>
  </property>
  <property fmtid="{D5CDD505-2E9C-101B-9397-08002B2CF9AE}" pid="8" name="MSIP_Label_dddc1db8-2f64-468c-a02a-c7d04ea19826_ContentBits">
    <vt:lpwstr>0</vt:lpwstr>
  </property>
  <property fmtid="{D5CDD505-2E9C-101B-9397-08002B2CF9AE}" pid="9" name="ContentTypeId">
    <vt:lpwstr>0x010100F397614B75B84E4C841CE911BA0CCB9D</vt:lpwstr>
  </property>
</Properties>
</file>