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B1178" w14:textId="77777777" w:rsidR="00EC6403" w:rsidRPr="00EC6403" w:rsidRDefault="00EC6403" w:rsidP="005B70A5">
      <w:pPr>
        <w:pBdr>
          <w:top w:val="single" w:sz="4" w:space="1" w:color="auto"/>
          <w:left w:val="single" w:sz="4" w:space="4" w:color="auto"/>
          <w:bottom w:val="single" w:sz="4" w:space="1" w:color="auto"/>
          <w:right w:val="single" w:sz="4" w:space="4" w:color="auto"/>
        </w:pBdr>
        <w:jc w:val="center"/>
        <w:rPr>
          <w:rFonts w:eastAsia="Calibri" w:cs="Arial"/>
          <w:b/>
          <w:i/>
          <w:iCs/>
          <w:sz w:val="28"/>
        </w:rPr>
      </w:pPr>
      <w:bookmarkStart w:id="0" w:name="_Toc163035040"/>
      <w:r w:rsidRPr="00EC6403">
        <w:rPr>
          <w:rFonts w:eastAsia="Calibri" w:cs="Arial"/>
          <w:b/>
          <w:i/>
          <w:iCs/>
          <w:sz w:val="28"/>
        </w:rPr>
        <w:t xml:space="preserve">Conformité du Cameroun en matière de peine de mort </w:t>
      </w:r>
    </w:p>
    <w:p w14:paraId="79E4F6B2" w14:textId="21F5B40F" w:rsidR="00EC6403" w:rsidRDefault="00EC6403" w:rsidP="005B70A5">
      <w:pPr>
        <w:pBdr>
          <w:top w:val="single" w:sz="4" w:space="1" w:color="auto"/>
          <w:left w:val="single" w:sz="4" w:space="4" w:color="auto"/>
          <w:bottom w:val="single" w:sz="4" w:space="1" w:color="auto"/>
          <w:right w:val="single" w:sz="4" w:space="4" w:color="auto"/>
        </w:pBdr>
        <w:jc w:val="center"/>
        <w:rPr>
          <w:rFonts w:eastAsia="Calibri" w:cs="Arial"/>
          <w:b/>
          <w:sz w:val="28"/>
        </w:rPr>
      </w:pPr>
      <w:proofErr w:type="gramStart"/>
      <w:r w:rsidRPr="00EC6403">
        <w:rPr>
          <w:rFonts w:eastAsia="Calibri" w:cs="Arial"/>
          <w:b/>
          <w:sz w:val="28"/>
        </w:rPr>
        <w:t>au</w:t>
      </w:r>
      <w:proofErr w:type="gramEnd"/>
      <w:r w:rsidRPr="00EC6403">
        <w:rPr>
          <w:rFonts w:eastAsia="Calibri" w:cs="Arial"/>
          <w:b/>
          <w:sz w:val="28"/>
        </w:rPr>
        <w:t xml:space="preserve"> regard de la Convention sur l'élimination de toutes les formes de discrimination à l'égard des femmes </w:t>
      </w:r>
      <w:r>
        <w:rPr>
          <w:rFonts w:eastAsia="Calibri" w:cs="Arial"/>
          <w:b/>
          <w:sz w:val="28"/>
        </w:rPr>
        <w:t>(CED</w:t>
      </w:r>
      <w:r w:rsidR="00F13644">
        <w:rPr>
          <w:rFonts w:eastAsia="Calibri" w:cs="Arial"/>
          <w:b/>
          <w:sz w:val="28"/>
        </w:rPr>
        <w:t>AW</w:t>
      </w:r>
      <w:r>
        <w:rPr>
          <w:rFonts w:eastAsia="Calibri" w:cs="Arial"/>
          <w:b/>
          <w:sz w:val="28"/>
        </w:rPr>
        <w:t>)</w:t>
      </w:r>
    </w:p>
    <w:p w14:paraId="15017EB5" w14:textId="77777777" w:rsidR="00EC6403" w:rsidRDefault="00EC6403" w:rsidP="005B70A5">
      <w:pPr>
        <w:jc w:val="center"/>
        <w:rPr>
          <w:rFonts w:eastAsia="Calibri" w:cs="Arial"/>
          <w:b/>
          <w:sz w:val="28"/>
        </w:rPr>
      </w:pPr>
    </w:p>
    <w:p w14:paraId="35AC9FB0" w14:textId="77777777" w:rsidR="00F13644" w:rsidRDefault="00EC6403" w:rsidP="005B70A5">
      <w:pPr>
        <w:jc w:val="center"/>
        <w:rPr>
          <w:rFonts w:eastAsia="Calibri" w:cs="Arial"/>
          <w:b/>
          <w:sz w:val="24"/>
          <w:szCs w:val="20"/>
        </w:rPr>
      </w:pPr>
      <w:r w:rsidRPr="00F13644">
        <w:rPr>
          <w:rFonts w:eastAsia="Calibri" w:cs="Arial"/>
          <w:b/>
          <w:sz w:val="24"/>
          <w:szCs w:val="20"/>
        </w:rPr>
        <w:t>Soumission écrite conjointe</w:t>
      </w:r>
      <w:r w:rsidR="006A5291" w:rsidRPr="00F13644">
        <w:rPr>
          <w:rFonts w:eastAsia="Calibri" w:cs="Arial"/>
          <w:b/>
          <w:sz w:val="24"/>
          <w:szCs w:val="20"/>
        </w:rPr>
        <w:t xml:space="preserve"> pour l’adoption d’une liste de points à traiter </w:t>
      </w:r>
    </w:p>
    <w:p w14:paraId="42C2BCB2" w14:textId="469DFAD5" w:rsidR="001B52A2" w:rsidRDefault="006A5291" w:rsidP="005B70A5">
      <w:pPr>
        <w:jc w:val="center"/>
        <w:rPr>
          <w:rFonts w:eastAsia="Calibri" w:cs="Arial"/>
          <w:b/>
          <w:sz w:val="24"/>
          <w:szCs w:val="20"/>
        </w:rPr>
      </w:pPr>
      <w:proofErr w:type="gramStart"/>
      <w:r w:rsidRPr="00F13644">
        <w:rPr>
          <w:rFonts w:eastAsia="Calibri" w:cs="Arial"/>
          <w:b/>
          <w:sz w:val="24"/>
          <w:szCs w:val="20"/>
        </w:rPr>
        <w:t>avant</w:t>
      </w:r>
      <w:proofErr w:type="gramEnd"/>
      <w:r w:rsidRPr="00F13644">
        <w:rPr>
          <w:rFonts w:eastAsia="Calibri" w:cs="Arial"/>
          <w:b/>
          <w:sz w:val="24"/>
          <w:szCs w:val="20"/>
        </w:rPr>
        <w:t xml:space="preserve"> </w:t>
      </w:r>
      <w:r w:rsidR="001B52A2" w:rsidRPr="00F13644">
        <w:rPr>
          <w:rFonts w:eastAsia="Calibri" w:cs="Arial"/>
          <w:b/>
          <w:sz w:val="24"/>
          <w:szCs w:val="20"/>
        </w:rPr>
        <w:t xml:space="preserve">rédaction du </w:t>
      </w:r>
      <w:r w:rsidRPr="00F13644">
        <w:rPr>
          <w:rFonts w:eastAsia="Calibri" w:cs="Arial"/>
          <w:b/>
          <w:sz w:val="24"/>
          <w:szCs w:val="20"/>
        </w:rPr>
        <w:t xml:space="preserve">rapport </w:t>
      </w:r>
      <w:bookmarkEnd w:id="0"/>
      <w:r w:rsidR="00EC6403" w:rsidRPr="00F13644">
        <w:rPr>
          <w:rFonts w:eastAsia="Calibri" w:cs="Arial"/>
          <w:b/>
          <w:sz w:val="24"/>
          <w:szCs w:val="20"/>
        </w:rPr>
        <w:t>pour l’État du Cameroun</w:t>
      </w:r>
    </w:p>
    <w:p w14:paraId="10B3579C" w14:textId="77777777" w:rsidR="008B51E7" w:rsidRPr="00F13644" w:rsidRDefault="008B51E7" w:rsidP="003343E9">
      <w:pPr>
        <w:spacing w:after="240"/>
        <w:jc w:val="center"/>
        <w:rPr>
          <w:rFonts w:eastAsia="Calibri" w:cs="Arial"/>
          <w:b/>
          <w:sz w:val="24"/>
          <w:szCs w:val="20"/>
        </w:rPr>
      </w:pPr>
    </w:p>
    <w:p w14:paraId="38B11742" w14:textId="59E16BBF" w:rsidR="00EC6403" w:rsidRDefault="00EC6403" w:rsidP="005B70A5">
      <w:pPr>
        <w:jc w:val="center"/>
        <w:rPr>
          <w:rFonts w:eastAsia="Calibri" w:cs="Arial"/>
          <w:bCs/>
          <w:sz w:val="24"/>
          <w:szCs w:val="20"/>
        </w:rPr>
      </w:pPr>
      <w:r w:rsidRPr="00EC6403">
        <w:rPr>
          <w:rFonts w:eastAsia="Calibri" w:cs="Arial"/>
          <w:bCs/>
          <w:sz w:val="24"/>
          <w:szCs w:val="20"/>
        </w:rPr>
        <w:t xml:space="preserve">Groupe de travail de </w:t>
      </w:r>
      <w:proofErr w:type="spellStart"/>
      <w:r w:rsidRPr="00EC6403">
        <w:rPr>
          <w:rFonts w:eastAsia="Calibri" w:cs="Arial"/>
          <w:bCs/>
          <w:sz w:val="24"/>
          <w:szCs w:val="20"/>
        </w:rPr>
        <w:t>pré-session</w:t>
      </w:r>
      <w:proofErr w:type="spellEnd"/>
      <w:r w:rsidRPr="00EC6403">
        <w:rPr>
          <w:rFonts w:eastAsia="Calibri" w:cs="Arial"/>
          <w:bCs/>
          <w:sz w:val="24"/>
          <w:szCs w:val="20"/>
        </w:rPr>
        <w:t xml:space="preserve"> pour la 94e session </w:t>
      </w:r>
      <w:r w:rsidR="00F13644">
        <w:rPr>
          <w:rFonts w:eastAsia="Calibri" w:cs="Arial"/>
          <w:bCs/>
          <w:sz w:val="24"/>
          <w:szCs w:val="20"/>
        </w:rPr>
        <w:t>du Comité CEDAW</w:t>
      </w:r>
    </w:p>
    <w:p w14:paraId="2719E605" w14:textId="5A252970" w:rsidR="006A5291" w:rsidRDefault="00EC6403" w:rsidP="005B70A5">
      <w:pPr>
        <w:jc w:val="center"/>
        <w:rPr>
          <w:rFonts w:eastAsia="Calibri" w:cs="Arial"/>
          <w:bCs/>
          <w:sz w:val="24"/>
          <w:szCs w:val="20"/>
        </w:rPr>
      </w:pPr>
      <w:r>
        <w:rPr>
          <w:rFonts w:eastAsia="Calibri" w:cs="Arial"/>
          <w:bCs/>
          <w:sz w:val="24"/>
          <w:szCs w:val="20"/>
        </w:rPr>
        <w:t>Réunions informelles du 27 au 31 octobre</w:t>
      </w:r>
      <w:r w:rsidR="001B52A2" w:rsidRPr="00AB5FB0">
        <w:rPr>
          <w:rFonts w:eastAsia="Calibri" w:cs="Arial"/>
          <w:bCs/>
          <w:sz w:val="24"/>
          <w:szCs w:val="20"/>
        </w:rPr>
        <w:t xml:space="preserve"> 202</w:t>
      </w:r>
      <w:r>
        <w:rPr>
          <w:rFonts w:eastAsia="Calibri" w:cs="Arial"/>
          <w:bCs/>
          <w:sz w:val="24"/>
          <w:szCs w:val="20"/>
        </w:rPr>
        <w:t>5</w:t>
      </w:r>
    </w:p>
    <w:p w14:paraId="7DD85D7C" w14:textId="77777777" w:rsidR="00F13644" w:rsidRDefault="00F13644" w:rsidP="003343E9">
      <w:pPr>
        <w:spacing w:after="240"/>
        <w:jc w:val="center"/>
        <w:rPr>
          <w:rFonts w:eastAsia="Calibri" w:cs="Arial"/>
          <w:bCs/>
          <w:sz w:val="24"/>
          <w:szCs w:val="20"/>
        </w:rPr>
      </w:pPr>
    </w:p>
    <w:p w14:paraId="46319112" w14:textId="6BB0A0AB" w:rsidR="00014D9D" w:rsidRPr="00EC6403" w:rsidRDefault="009E2466" w:rsidP="005B70A5">
      <w:pPr>
        <w:jc w:val="right"/>
        <w:rPr>
          <w:rFonts w:asciiTheme="majorHAnsi" w:eastAsia="Calibri" w:hAnsiTheme="majorHAnsi" w:cstheme="majorHAnsi"/>
          <w:bCs/>
          <w:i/>
          <w:iCs/>
          <w:sz w:val="20"/>
          <w:szCs w:val="20"/>
        </w:rPr>
      </w:pPr>
      <w:r w:rsidRPr="00EC6403">
        <w:rPr>
          <w:rFonts w:asciiTheme="majorHAnsi" w:eastAsia="Calibri" w:hAnsiTheme="majorHAnsi" w:cstheme="majorHAnsi"/>
          <w:bCs/>
          <w:i/>
          <w:iCs/>
          <w:sz w:val="20"/>
          <w:szCs w:val="20"/>
        </w:rPr>
        <w:t xml:space="preserve">Soumis </w:t>
      </w:r>
      <w:r w:rsidR="00EC6403" w:rsidRPr="00EC6403">
        <w:rPr>
          <w:rFonts w:asciiTheme="majorHAnsi" w:eastAsia="Calibri" w:hAnsiTheme="majorHAnsi" w:cstheme="majorHAnsi"/>
          <w:bCs/>
          <w:i/>
          <w:iCs/>
          <w:sz w:val="20"/>
          <w:szCs w:val="20"/>
        </w:rPr>
        <w:t xml:space="preserve">le </w:t>
      </w:r>
      <w:r w:rsidR="00F2193D" w:rsidRPr="00EC6403">
        <w:rPr>
          <w:rFonts w:asciiTheme="majorHAnsi" w:eastAsia="Calibri" w:hAnsiTheme="majorHAnsi" w:cstheme="majorHAnsi"/>
          <w:bCs/>
          <w:i/>
          <w:iCs/>
          <w:sz w:val="20"/>
          <w:szCs w:val="20"/>
        </w:rPr>
        <w:t>2</w:t>
      </w:r>
      <w:r w:rsidR="00F2193D">
        <w:rPr>
          <w:rFonts w:asciiTheme="majorHAnsi" w:eastAsia="Calibri" w:hAnsiTheme="majorHAnsi" w:cstheme="majorHAnsi"/>
          <w:bCs/>
          <w:i/>
          <w:iCs/>
          <w:sz w:val="20"/>
          <w:szCs w:val="20"/>
        </w:rPr>
        <w:t>5</w:t>
      </w:r>
      <w:r w:rsidR="00F2193D" w:rsidRPr="00EC6403">
        <w:rPr>
          <w:rFonts w:asciiTheme="majorHAnsi" w:eastAsia="Calibri" w:hAnsiTheme="majorHAnsi" w:cstheme="majorHAnsi"/>
          <w:bCs/>
          <w:i/>
          <w:iCs/>
          <w:sz w:val="20"/>
          <w:szCs w:val="20"/>
        </w:rPr>
        <w:t xml:space="preserve"> </w:t>
      </w:r>
      <w:r w:rsidR="00EC6403" w:rsidRPr="00EC6403">
        <w:rPr>
          <w:rFonts w:asciiTheme="majorHAnsi" w:eastAsia="Calibri" w:hAnsiTheme="majorHAnsi" w:cstheme="majorHAnsi"/>
          <w:bCs/>
          <w:i/>
          <w:iCs/>
          <w:sz w:val="20"/>
          <w:szCs w:val="20"/>
        </w:rPr>
        <w:t>septembre</w:t>
      </w:r>
      <w:r w:rsidR="00014D9D" w:rsidRPr="00EC6403">
        <w:rPr>
          <w:rFonts w:asciiTheme="majorHAnsi" w:eastAsia="Calibri" w:hAnsiTheme="majorHAnsi" w:cstheme="majorHAnsi"/>
          <w:bCs/>
          <w:i/>
          <w:iCs/>
          <w:sz w:val="20"/>
          <w:szCs w:val="20"/>
        </w:rPr>
        <w:t xml:space="preserve"> 2025</w:t>
      </w:r>
    </w:p>
    <w:p w14:paraId="600A2372" w14:textId="4772A485" w:rsidR="008B51E7" w:rsidRDefault="00EC6403" w:rsidP="005B70A5">
      <w:pPr>
        <w:jc w:val="right"/>
        <w:rPr>
          <w:rFonts w:asciiTheme="majorHAnsi" w:eastAsia="Calibri" w:hAnsiTheme="majorHAnsi" w:cstheme="majorHAnsi"/>
          <w:bCs/>
          <w:sz w:val="20"/>
          <w:szCs w:val="20"/>
        </w:rPr>
      </w:pPr>
      <w:r w:rsidRPr="00EC6403">
        <w:rPr>
          <w:rFonts w:asciiTheme="majorHAnsi" w:eastAsia="Calibri" w:hAnsiTheme="majorHAnsi" w:cstheme="majorHAnsi"/>
          <w:bCs/>
          <w:sz w:val="20"/>
          <w:szCs w:val="20"/>
        </w:rPr>
        <w:t>La soumission peut être postée sur la page web du HCDC pour le Comité à des fins d'information publique.</w:t>
      </w:r>
    </w:p>
    <w:p w14:paraId="6877B2A2" w14:textId="77777777" w:rsidR="00B26FCE" w:rsidRPr="00B26FCE" w:rsidRDefault="00B26FCE" w:rsidP="00B26FCE">
      <w:pPr>
        <w:spacing w:after="240"/>
        <w:jc w:val="right"/>
        <w:rPr>
          <w:rFonts w:asciiTheme="majorHAnsi" w:eastAsia="Calibri" w:hAnsiTheme="majorHAnsi" w:cstheme="majorHAnsi"/>
          <w:bCs/>
          <w:sz w:val="20"/>
          <w:szCs w:val="20"/>
        </w:rPr>
      </w:pPr>
    </w:p>
    <w:p w14:paraId="22CC9C5D" w14:textId="20D985D1" w:rsidR="006A5291" w:rsidRPr="00A43060" w:rsidRDefault="006A5291" w:rsidP="003343E9">
      <w:pPr>
        <w:spacing w:after="240"/>
        <w:rPr>
          <w:rFonts w:asciiTheme="minorHAnsi" w:eastAsia="Calibri" w:hAnsiTheme="minorHAnsi" w:cstheme="minorHAnsi"/>
          <w:b/>
          <w:sz w:val="24"/>
          <w:szCs w:val="20"/>
        </w:rPr>
      </w:pPr>
      <w:r w:rsidRPr="00A43060">
        <w:rPr>
          <w:rFonts w:asciiTheme="minorHAnsi" w:eastAsia="Calibri" w:hAnsiTheme="minorHAnsi" w:cstheme="minorHAnsi"/>
          <w:b/>
          <w:sz w:val="24"/>
          <w:szCs w:val="20"/>
        </w:rPr>
        <w:t>Organisations à l’origine de la soumission</w:t>
      </w:r>
    </w:p>
    <w:p w14:paraId="3467FFC1" w14:textId="5DA96ACA" w:rsidR="001B52A2" w:rsidRPr="00A43060" w:rsidRDefault="00EC6403" w:rsidP="00B26FCE">
      <w:pPr>
        <w:spacing w:after="240" w:line="240" w:lineRule="auto"/>
        <w:rPr>
          <w:rFonts w:asciiTheme="minorHAnsi" w:eastAsia="Calibri" w:hAnsiTheme="minorHAnsi" w:cstheme="minorHAnsi"/>
          <w:sz w:val="20"/>
          <w:szCs w:val="20"/>
        </w:rPr>
      </w:pPr>
      <w:r w:rsidRPr="00A43060">
        <w:rPr>
          <w:rFonts w:asciiTheme="minorHAnsi" w:eastAsia="Calibri" w:hAnsiTheme="minorHAnsi" w:cstheme="minorHAnsi"/>
          <w:b/>
          <w:bCs/>
          <w:sz w:val="20"/>
          <w:szCs w:val="20"/>
        </w:rPr>
        <w:t xml:space="preserve">Droits et </w:t>
      </w:r>
      <w:r w:rsidR="00026A35" w:rsidRPr="00A43060">
        <w:rPr>
          <w:rFonts w:asciiTheme="minorHAnsi" w:eastAsia="Calibri" w:hAnsiTheme="minorHAnsi" w:cstheme="minorHAnsi"/>
          <w:b/>
          <w:bCs/>
          <w:sz w:val="20"/>
          <w:szCs w:val="20"/>
        </w:rPr>
        <w:t>p</w:t>
      </w:r>
      <w:r w:rsidRPr="00A43060">
        <w:rPr>
          <w:rFonts w:asciiTheme="minorHAnsi" w:eastAsia="Calibri" w:hAnsiTheme="minorHAnsi" w:cstheme="minorHAnsi"/>
          <w:b/>
          <w:bCs/>
          <w:sz w:val="20"/>
          <w:szCs w:val="20"/>
        </w:rPr>
        <w:t>aix</w:t>
      </w:r>
      <w:r w:rsidR="001B52A2" w:rsidRPr="00A43060">
        <w:rPr>
          <w:rFonts w:asciiTheme="minorHAnsi" w:hAnsiTheme="minorHAnsi" w:cstheme="minorHAnsi"/>
          <w:sz w:val="20"/>
          <w:szCs w:val="20"/>
        </w:rPr>
        <w:t xml:space="preserve"> – </w:t>
      </w:r>
      <w:r w:rsidR="00F13644" w:rsidRPr="00A43060">
        <w:rPr>
          <w:rFonts w:asciiTheme="minorHAnsi" w:eastAsia="Calibri" w:hAnsiTheme="minorHAnsi" w:cstheme="minorHAnsi"/>
          <w:sz w:val="20"/>
          <w:szCs w:val="20"/>
        </w:rPr>
        <w:t xml:space="preserve">Droits et Paix est une association camerounaise </w:t>
      </w:r>
      <w:r w:rsidR="00227606" w:rsidRPr="00A43060">
        <w:rPr>
          <w:rFonts w:asciiTheme="minorHAnsi" w:eastAsia="Calibri" w:hAnsiTheme="minorHAnsi" w:cstheme="minorHAnsi"/>
          <w:sz w:val="20"/>
          <w:szCs w:val="20"/>
        </w:rPr>
        <w:t xml:space="preserve">fondée en 2005, œuvrant </w:t>
      </w:r>
      <w:r w:rsidR="00F13644" w:rsidRPr="00A43060">
        <w:rPr>
          <w:rFonts w:asciiTheme="minorHAnsi" w:eastAsia="Calibri" w:hAnsiTheme="minorHAnsi" w:cstheme="minorHAnsi"/>
          <w:sz w:val="20"/>
          <w:szCs w:val="20"/>
        </w:rPr>
        <w:t>à l’édification d’une société respectueuse des droits humains, plus juste et pacifique. Ses principaux objectifs sont la protection et la promotion des droits fondamentaux et des libertés individuelles, les actions en faveur de la paix et de la non-violence et l’humanisation et l’amélioration des conditions de détention au Cameroun. L’association compte parmi ses principales actions l’assistance juridique et judiciaire aux victimes de violations des droits humains, l’élaboration de stratégies médiatiques, l’organisation d’ateliers et de séminaires ou encore l’éducation des jeunes. L’association est membre de la Coalition mondiale contre la peine de mort.</w:t>
      </w:r>
    </w:p>
    <w:p w14:paraId="3837A7DA" w14:textId="5D171EF8" w:rsidR="00A43060" w:rsidRPr="00A43060" w:rsidRDefault="00A43060" w:rsidP="00A43060">
      <w:pPr>
        <w:spacing w:after="240" w:line="240" w:lineRule="auto"/>
        <w:rPr>
          <w:rFonts w:asciiTheme="minorHAnsi" w:eastAsia="Calibri" w:hAnsiTheme="minorHAnsi" w:cstheme="minorHAnsi"/>
          <w:sz w:val="20"/>
          <w:szCs w:val="20"/>
        </w:rPr>
      </w:pPr>
      <w:r w:rsidRPr="008F5F63">
        <w:rPr>
          <w:rFonts w:asciiTheme="minorHAnsi" w:eastAsia="Calibri" w:hAnsiTheme="minorHAnsi" w:cstheme="minorHAnsi"/>
          <w:b/>
          <w:bCs/>
          <w:sz w:val="20"/>
          <w:szCs w:val="20"/>
        </w:rPr>
        <w:t>Réseau des avocats camerounais contre la peine de mort (RACOPEM)</w:t>
      </w:r>
      <w:r w:rsidRPr="00A43060">
        <w:rPr>
          <w:rFonts w:asciiTheme="minorHAnsi" w:eastAsia="Calibri" w:hAnsiTheme="minorHAnsi" w:cstheme="minorHAnsi"/>
          <w:sz w:val="20"/>
          <w:szCs w:val="20"/>
        </w:rPr>
        <w:t xml:space="preserve"> – Le RACOPEM milite pour le respect des droits humains et principalement du droit à la vie au Cameroun. Constituée en 2015, elle s’est notamment fixée pour objectif de mettre en synergie des efforts nationaux et internationaux dans l’optique de l’abolition universelle de la peine de mort, la promotion du respect des droits </w:t>
      </w:r>
      <w:r w:rsidR="00F2193D">
        <w:rPr>
          <w:rFonts w:asciiTheme="minorHAnsi" w:eastAsia="Calibri" w:hAnsiTheme="minorHAnsi" w:cstheme="minorHAnsi"/>
          <w:sz w:val="20"/>
          <w:szCs w:val="20"/>
        </w:rPr>
        <w:t>humains</w:t>
      </w:r>
      <w:r w:rsidRPr="00A43060">
        <w:rPr>
          <w:rFonts w:asciiTheme="minorHAnsi" w:eastAsia="Calibri" w:hAnsiTheme="minorHAnsi" w:cstheme="minorHAnsi"/>
          <w:sz w:val="20"/>
          <w:szCs w:val="20"/>
        </w:rPr>
        <w:t xml:space="preserve"> dans l’administration de la justice, l’assistance judiciaire aux personnes vulnérables, la mobilisation des </w:t>
      </w:r>
      <w:proofErr w:type="spellStart"/>
      <w:r w:rsidRPr="00A43060">
        <w:rPr>
          <w:rFonts w:asciiTheme="minorHAnsi" w:eastAsia="Calibri" w:hAnsiTheme="minorHAnsi" w:cstheme="minorHAnsi"/>
          <w:sz w:val="20"/>
          <w:szCs w:val="20"/>
        </w:rPr>
        <w:t>avocat</w:t>
      </w:r>
      <w:r w:rsidR="00F2193D">
        <w:rPr>
          <w:rFonts w:asciiTheme="minorHAnsi" w:eastAsia="Calibri" w:hAnsiTheme="minorHAnsi" w:cstheme="minorHAnsi"/>
          <w:sz w:val="20"/>
          <w:szCs w:val="20"/>
        </w:rPr>
        <w:t>·e</w:t>
      </w:r>
      <w:r w:rsidRPr="00A43060">
        <w:rPr>
          <w:rFonts w:asciiTheme="minorHAnsi" w:eastAsia="Calibri" w:hAnsiTheme="minorHAnsi" w:cstheme="minorHAnsi"/>
          <w:sz w:val="20"/>
          <w:szCs w:val="20"/>
        </w:rPr>
        <w:t>s</w:t>
      </w:r>
      <w:proofErr w:type="spellEnd"/>
      <w:r w:rsidRPr="00A43060">
        <w:rPr>
          <w:rFonts w:asciiTheme="minorHAnsi" w:eastAsia="Calibri" w:hAnsiTheme="minorHAnsi" w:cstheme="minorHAnsi"/>
          <w:sz w:val="20"/>
          <w:szCs w:val="20"/>
        </w:rPr>
        <w:t xml:space="preserve"> et autres </w:t>
      </w:r>
      <w:proofErr w:type="spellStart"/>
      <w:r w:rsidRPr="00A43060">
        <w:rPr>
          <w:rFonts w:asciiTheme="minorHAnsi" w:eastAsia="Calibri" w:hAnsiTheme="minorHAnsi" w:cstheme="minorHAnsi"/>
          <w:sz w:val="20"/>
          <w:szCs w:val="20"/>
        </w:rPr>
        <w:t>professionnel</w:t>
      </w:r>
      <w:r w:rsidR="00F2193D">
        <w:rPr>
          <w:rFonts w:asciiTheme="minorHAnsi" w:eastAsia="Calibri" w:hAnsiTheme="minorHAnsi" w:cstheme="minorHAnsi"/>
          <w:sz w:val="20"/>
          <w:szCs w:val="20"/>
        </w:rPr>
        <w:t>·le</w:t>
      </w:r>
      <w:r w:rsidRPr="00A43060">
        <w:rPr>
          <w:rFonts w:asciiTheme="minorHAnsi" w:eastAsia="Calibri" w:hAnsiTheme="minorHAnsi" w:cstheme="minorHAnsi"/>
          <w:sz w:val="20"/>
          <w:szCs w:val="20"/>
        </w:rPr>
        <w:t>s</w:t>
      </w:r>
      <w:proofErr w:type="spellEnd"/>
      <w:r w:rsidRPr="00A43060">
        <w:rPr>
          <w:rFonts w:asciiTheme="minorHAnsi" w:eastAsia="Calibri" w:hAnsiTheme="minorHAnsi" w:cstheme="minorHAnsi"/>
          <w:sz w:val="20"/>
          <w:szCs w:val="20"/>
        </w:rPr>
        <w:t xml:space="preserve"> du droit </w:t>
      </w:r>
      <w:proofErr w:type="spellStart"/>
      <w:r w:rsidRPr="00A43060">
        <w:rPr>
          <w:rFonts w:asciiTheme="minorHAnsi" w:eastAsia="Calibri" w:hAnsiTheme="minorHAnsi" w:cstheme="minorHAnsi"/>
          <w:sz w:val="20"/>
          <w:szCs w:val="20"/>
        </w:rPr>
        <w:t>engagé</w:t>
      </w:r>
      <w:r w:rsidR="00F2193D">
        <w:rPr>
          <w:rFonts w:asciiTheme="minorHAnsi" w:eastAsia="Calibri" w:hAnsiTheme="minorHAnsi" w:cstheme="minorHAnsi"/>
          <w:sz w:val="20"/>
          <w:szCs w:val="20"/>
        </w:rPr>
        <w:t>·e</w:t>
      </w:r>
      <w:r w:rsidRPr="00A43060">
        <w:rPr>
          <w:rFonts w:asciiTheme="minorHAnsi" w:eastAsia="Calibri" w:hAnsiTheme="minorHAnsi" w:cstheme="minorHAnsi"/>
          <w:sz w:val="20"/>
          <w:szCs w:val="20"/>
        </w:rPr>
        <w:t>s</w:t>
      </w:r>
      <w:proofErr w:type="spellEnd"/>
      <w:r w:rsidRPr="00A43060">
        <w:rPr>
          <w:rFonts w:asciiTheme="minorHAnsi" w:eastAsia="Calibri" w:hAnsiTheme="minorHAnsi" w:cstheme="minorHAnsi"/>
          <w:sz w:val="20"/>
          <w:szCs w:val="20"/>
        </w:rPr>
        <w:t xml:space="preserve"> dans l’abolition de la peine de mort afin d’échanger et renforcer leurs capacités sur les stratégies de l’abolition. En 2022, le RACOPEM a remporté le Prix de la défense décerné lors du 8e Congrès mondial contre la peine de mort à Berlin.</w:t>
      </w:r>
    </w:p>
    <w:p w14:paraId="15775807" w14:textId="141E53B1" w:rsidR="001B52A2" w:rsidRPr="00A43060" w:rsidRDefault="006A5291" w:rsidP="00B26FCE">
      <w:pPr>
        <w:spacing w:after="240" w:line="240" w:lineRule="auto"/>
        <w:rPr>
          <w:rFonts w:asciiTheme="minorHAnsi" w:eastAsia="Calibri" w:hAnsiTheme="minorHAnsi" w:cstheme="minorHAnsi"/>
          <w:sz w:val="20"/>
          <w:szCs w:val="20"/>
        </w:rPr>
      </w:pPr>
      <w:r w:rsidRPr="00A43060">
        <w:rPr>
          <w:rFonts w:asciiTheme="minorHAnsi" w:eastAsia="Calibri" w:hAnsiTheme="minorHAnsi" w:cstheme="minorHAnsi"/>
          <w:b/>
          <w:bCs/>
          <w:sz w:val="20"/>
          <w:szCs w:val="20"/>
        </w:rPr>
        <w:t>Ensemble contre la peine de mort (ECPM)</w:t>
      </w:r>
      <w:r w:rsidRPr="00A43060">
        <w:rPr>
          <w:rFonts w:asciiTheme="minorHAnsi" w:eastAsia="Calibri" w:hAnsiTheme="minorHAnsi" w:cstheme="minorHAnsi"/>
          <w:sz w:val="20"/>
          <w:szCs w:val="20"/>
        </w:rPr>
        <w:t xml:space="preserve"> </w:t>
      </w:r>
      <w:r w:rsidR="001B52A2" w:rsidRPr="00A43060">
        <w:rPr>
          <w:rFonts w:asciiTheme="minorHAnsi" w:eastAsia="Calibri" w:hAnsiTheme="minorHAnsi" w:cstheme="minorHAnsi"/>
          <w:sz w:val="20"/>
          <w:szCs w:val="20"/>
        </w:rPr>
        <w:t xml:space="preserve">– ECPM </w:t>
      </w:r>
      <w:r w:rsidRPr="00A43060">
        <w:rPr>
          <w:rFonts w:asciiTheme="minorHAnsi" w:eastAsia="Calibri" w:hAnsiTheme="minorHAnsi" w:cstheme="minorHAnsi"/>
          <w:sz w:val="20"/>
          <w:szCs w:val="20"/>
        </w:rPr>
        <w:t>est une association française</w:t>
      </w:r>
      <w:r w:rsidR="00227606" w:rsidRPr="00A43060">
        <w:rPr>
          <w:rFonts w:asciiTheme="minorHAnsi" w:eastAsia="Calibri" w:hAnsiTheme="minorHAnsi" w:cstheme="minorHAnsi"/>
          <w:sz w:val="20"/>
          <w:szCs w:val="20"/>
        </w:rPr>
        <w:t>, fondée en 2000,</w:t>
      </w:r>
      <w:r w:rsidRPr="00A43060">
        <w:rPr>
          <w:rFonts w:asciiTheme="minorHAnsi" w:eastAsia="Calibri" w:hAnsiTheme="minorHAnsi" w:cstheme="minorHAnsi"/>
          <w:sz w:val="20"/>
          <w:szCs w:val="20"/>
        </w:rPr>
        <w:t xml:space="preserve"> qui lutte contre la peine de mort en tous lieux et en toutes circonstances en unissant et en ralliant les forces abolitionnistes à travers le monde. L’organisation plaide auprès des instances internationales et encourage l’abolition universelle par l’éducation, l’information, les partenariats locaux et les campagnes de sensibilisation. ECPM organise les Congrès mondiaux contre la peine de mort et est membre fondateur de la Coalition mondiale contre la peine de mort. En 2016, ECPM a obtenu le statut consultatif auprès de l’ECOSOC.</w:t>
      </w:r>
      <w:r w:rsidR="00553517" w:rsidRPr="00A43060">
        <w:rPr>
          <w:rFonts w:asciiTheme="minorHAnsi" w:eastAsia="Calibri" w:hAnsiTheme="minorHAnsi" w:cstheme="minorHAnsi"/>
          <w:sz w:val="20"/>
          <w:szCs w:val="20"/>
        </w:rPr>
        <w:t xml:space="preserve"> </w:t>
      </w:r>
    </w:p>
    <w:p w14:paraId="6D26EC0B" w14:textId="06D5405B" w:rsidR="00026A35" w:rsidRDefault="006A5291" w:rsidP="00A43060">
      <w:pPr>
        <w:spacing w:after="240" w:line="240" w:lineRule="auto"/>
        <w:rPr>
          <w:rFonts w:eastAsia="Calibri" w:cs="Arial"/>
          <w:b/>
          <w:sz w:val="28"/>
        </w:rPr>
      </w:pPr>
      <w:r w:rsidRPr="00A43060">
        <w:rPr>
          <w:rFonts w:asciiTheme="minorHAnsi" w:eastAsia="Calibri" w:hAnsiTheme="minorHAnsi" w:cstheme="minorHAnsi"/>
          <w:b/>
          <w:bCs/>
          <w:sz w:val="20"/>
          <w:szCs w:val="20"/>
        </w:rPr>
        <w:t>Coalition mondiale contre la peine de mort (WCADP)</w:t>
      </w:r>
      <w:r w:rsidRPr="00A43060">
        <w:rPr>
          <w:rFonts w:asciiTheme="minorHAnsi" w:eastAsia="Calibri" w:hAnsiTheme="minorHAnsi" w:cstheme="minorHAnsi"/>
          <w:sz w:val="20"/>
          <w:szCs w:val="20"/>
        </w:rPr>
        <w:t xml:space="preserve"> </w:t>
      </w:r>
      <w:r w:rsidR="001B52A2" w:rsidRPr="00A43060">
        <w:rPr>
          <w:rFonts w:asciiTheme="minorHAnsi" w:eastAsia="Calibri" w:hAnsiTheme="minorHAnsi" w:cstheme="minorHAnsi"/>
          <w:sz w:val="20"/>
          <w:szCs w:val="20"/>
        </w:rPr>
        <w:t xml:space="preserve">– </w:t>
      </w:r>
      <w:r w:rsidRPr="00A43060">
        <w:rPr>
          <w:rFonts w:asciiTheme="minorHAnsi" w:eastAsia="Calibri" w:hAnsiTheme="minorHAnsi" w:cstheme="minorHAnsi"/>
          <w:sz w:val="20"/>
          <w:szCs w:val="20"/>
        </w:rPr>
        <w:t>Composée de plus de 180 organisations non gouvernementales, barreaux d'avocats, collectivités locales et syndicats, la Coalition mondiale contre la peine de mort est née à Rome le 13 mai 2002. Elle vise à renforcer la dimension internationale du combat contre la peine de mort. Son objectif final est d’obtenir l’abolition universelle de la peine capitale. La Coalition mondiale apporte une dimension globale à l’action que poursuivent ses membres sur le terrain, parfois de manière isolée. Elle agit de façon complémentaire à leurs initiatives, dans le respect de l’indépendance de chacun.</w:t>
      </w:r>
      <w:r w:rsidR="00553517" w:rsidRPr="00A43060">
        <w:rPr>
          <w:rFonts w:asciiTheme="minorHAnsi" w:eastAsia="Calibri" w:hAnsiTheme="minorHAnsi" w:cstheme="minorHAnsi"/>
          <w:sz w:val="20"/>
          <w:szCs w:val="20"/>
        </w:rPr>
        <w:t xml:space="preserve"> </w:t>
      </w:r>
      <w:r w:rsidR="00F617AE" w:rsidRPr="00A43060">
        <w:rPr>
          <w:rFonts w:asciiTheme="minorHAnsi" w:eastAsia="Calibri" w:hAnsiTheme="minorHAnsi" w:cstheme="minorHAnsi"/>
          <w:sz w:val="20"/>
          <w:szCs w:val="20"/>
        </w:rPr>
        <w:t>La Coalition mondiale contre la peine de mort s'engage à mettre en lumière la discrimination fondée sur le genre et intersectionnelle à l'œuvre dans l'application de la peine capitale, ainsi qu'à renforcer la protection des femmes et des minorités sexuelles et de genre confrontées à la peine de mort.</w:t>
      </w:r>
      <w:bookmarkStart w:id="1" w:name="_Toc204345832"/>
      <w:bookmarkStart w:id="2" w:name="_Toc163035049"/>
      <w:r w:rsidR="00026A35">
        <w:rPr>
          <w:rFonts w:eastAsia="Calibri" w:cs="Arial"/>
          <w:b/>
          <w:sz w:val="28"/>
        </w:rPr>
        <w:br w:type="page"/>
      </w:r>
    </w:p>
    <w:p w14:paraId="08BA2CD2" w14:textId="39370E57" w:rsidR="00026A35" w:rsidRPr="0068450F" w:rsidRDefault="0068450F" w:rsidP="003343E9">
      <w:pPr>
        <w:spacing w:after="240"/>
        <w:rPr>
          <w:b/>
          <w:bCs/>
        </w:rPr>
      </w:pPr>
      <w:r w:rsidRPr="0068450F">
        <w:rPr>
          <w:b/>
          <w:bCs/>
        </w:rPr>
        <w:lastRenderedPageBreak/>
        <w:t>INTRODUCTION</w:t>
      </w:r>
    </w:p>
    <w:p w14:paraId="2B5BFD6C" w14:textId="6CE356B0" w:rsidR="00A755B3" w:rsidRDefault="000304E9" w:rsidP="00A755B3">
      <w:pPr>
        <w:pStyle w:val="Paragraphedeliste"/>
        <w:numPr>
          <w:ilvl w:val="0"/>
          <w:numId w:val="23"/>
        </w:numPr>
        <w:spacing w:before="240" w:after="240"/>
      </w:pPr>
      <w:r>
        <w:t>Le présent rapport conjoint</w:t>
      </w:r>
      <w:r w:rsidRPr="000304E9">
        <w:t xml:space="preserve"> traite du respect par </w:t>
      </w:r>
      <w:r>
        <w:t>le Cameroun</w:t>
      </w:r>
      <w:r w:rsidRPr="000304E9">
        <w:t xml:space="preserve"> de ses obligations en matière de peine de mort au titre de la Convention sur l'élimination de toutes les formes de discrimination à l'égard des femmes (CEDAW)</w:t>
      </w:r>
      <w:r w:rsidR="0068450F">
        <w:t>, ratifiée en 1994</w:t>
      </w:r>
      <w:r w:rsidRPr="000304E9">
        <w:t>.</w:t>
      </w:r>
      <w:r>
        <w:t xml:space="preserve"> </w:t>
      </w:r>
    </w:p>
    <w:p w14:paraId="269050E2" w14:textId="77777777" w:rsidR="00A755B3" w:rsidRDefault="00A755B3" w:rsidP="00A755B3">
      <w:pPr>
        <w:pStyle w:val="Paragraphedeliste"/>
        <w:spacing w:before="240" w:after="240"/>
      </w:pPr>
    </w:p>
    <w:p w14:paraId="60686640" w14:textId="5E60119B" w:rsidR="00026A35" w:rsidRDefault="0068450F" w:rsidP="00A755B3">
      <w:pPr>
        <w:pStyle w:val="Paragraphedeliste"/>
        <w:numPr>
          <w:ilvl w:val="0"/>
          <w:numId w:val="23"/>
        </w:numPr>
        <w:spacing w:before="240" w:after="240"/>
      </w:pPr>
      <w:r>
        <w:t xml:space="preserve">Ce rapport </w:t>
      </w:r>
      <w:r w:rsidR="000304E9">
        <w:t xml:space="preserve">présente des informations </w:t>
      </w:r>
      <w:r>
        <w:t xml:space="preserve">sur les lois camerounaises encadrant la peine de mort, sur son application dans la pratique ainsi que le traitement réservé aux femmes dans le système pénal. Il formule </w:t>
      </w:r>
      <w:r w:rsidR="000304E9">
        <w:t xml:space="preserve">des points à traiter relatifs à l’utilisation de la peine de mort et aux situations de discrimination </w:t>
      </w:r>
      <w:r>
        <w:t>auxquelles font face</w:t>
      </w:r>
      <w:r w:rsidR="000304E9">
        <w:t xml:space="preserve"> les femmes condamnées à mort ou risquant de l’être</w:t>
      </w:r>
      <w:r w:rsidRPr="0068450F">
        <w:t xml:space="preserve"> au Cameroun</w:t>
      </w:r>
      <w:r w:rsidR="000304E9">
        <w:t xml:space="preserve">. </w:t>
      </w:r>
    </w:p>
    <w:p w14:paraId="31C05F0B" w14:textId="27493714" w:rsidR="00026A35" w:rsidRDefault="00026A35" w:rsidP="00A755B3">
      <w:pPr>
        <w:numPr>
          <w:ilvl w:val="0"/>
          <w:numId w:val="23"/>
        </w:numPr>
        <w:spacing w:after="240"/>
        <w:rPr>
          <w:rFonts w:asciiTheme="minorHAnsi" w:hAnsiTheme="minorHAnsi" w:cstheme="minorHAnsi"/>
          <w:szCs w:val="24"/>
        </w:rPr>
      </w:pPr>
      <w:r w:rsidRPr="00826C56">
        <w:rPr>
          <w:rFonts w:asciiTheme="minorHAnsi" w:hAnsiTheme="minorHAnsi" w:cstheme="minorHAnsi"/>
          <w:szCs w:val="24"/>
        </w:rPr>
        <w:t>Malgré un moratoire de fait en vigueur depuis plus de vingt-cinq ans (dernière exécution en 1997),</w:t>
      </w:r>
      <w:r>
        <w:rPr>
          <w:rFonts w:asciiTheme="minorHAnsi" w:hAnsiTheme="minorHAnsi" w:cstheme="minorHAnsi"/>
          <w:szCs w:val="24"/>
        </w:rPr>
        <w:t xml:space="preserve"> </w:t>
      </w:r>
      <w:r w:rsidR="00FC287F">
        <w:rPr>
          <w:rFonts w:asciiTheme="minorHAnsi" w:hAnsiTheme="minorHAnsi" w:cstheme="minorHAnsi"/>
          <w:szCs w:val="24"/>
        </w:rPr>
        <w:t>l</w:t>
      </w:r>
      <w:r w:rsidR="00FC287F" w:rsidRPr="00FC287F">
        <w:rPr>
          <w:rFonts w:asciiTheme="minorHAnsi" w:hAnsiTheme="minorHAnsi" w:cstheme="minorHAnsi"/>
          <w:szCs w:val="24"/>
        </w:rPr>
        <w:t xml:space="preserve">e Cameroun continue de prononcer des condamnations à mort, la grande majorité par la justice militaire, y compris contre des civils. </w:t>
      </w:r>
      <w:r w:rsidR="00FC287F">
        <w:rPr>
          <w:rFonts w:asciiTheme="minorHAnsi" w:hAnsiTheme="minorHAnsi" w:cstheme="minorHAnsi"/>
          <w:szCs w:val="24"/>
        </w:rPr>
        <w:t xml:space="preserve">Fin 2024, </w:t>
      </w:r>
      <w:r>
        <w:rPr>
          <w:rFonts w:asciiTheme="minorHAnsi" w:hAnsiTheme="minorHAnsi" w:cstheme="minorHAnsi"/>
          <w:szCs w:val="24"/>
        </w:rPr>
        <w:t>on recens</w:t>
      </w:r>
      <w:r w:rsidR="00FC287F">
        <w:rPr>
          <w:rFonts w:asciiTheme="minorHAnsi" w:hAnsiTheme="minorHAnsi" w:cstheme="minorHAnsi"/>
          <w:szCs w:val="24"/>
        </w:rPr>
        <w:t>ait</w:t>
      </w:r>
      <w:r>
        <w:rPr>
          <w:rFonts w:asciiTheme="minorHAnsi" w:hAnsiTheme="minorHAnsi" w:cstheme="minorHAnsi"/>
          <w:szCs w:val="24"/>
        </w:rPr>
        <w:t xml:space="preserve"> au moins 80 personnes condamnées à mort détenues dans</w:t>
      </w:r>
      <w:r w:rsidRPr="00826C56">
        <w:rPr>
          <w:rFonts w:asciiTheme="minorHAnsi" w:hAnsiTheme="minorHAnsi" w:cstheme="minorHAnsi"/>
          <w:szCs w:val="24"/>
        </w:rPr>
        <w:t xml:space="preserve"> les prisons camerounaises</w:t>
      </w:r>
      <w:r w:rsidR="00FC287F">
        <w:rPr>
          <w:rFonts w:asciiTheme="minorHAnsi" w:hAnsiTheme="minorHAnsi" w:cstheme="minorHAnsi"/>
          <w:szCs w:val="24"/>
        </w:rPr>
        <w:t>, dont au moins une femme</w:t>
      </w:r>
      <w:r w:rsidR="00F2193D">
        <w:rPr>
          <w:rFonts w:asciiTheme="minorHAnsi" w:hAnsiTheme="minorHAnsi" w:cstheme="minorHAnsi"/>
          <w:szCs w:val="24"/>
        </w:rPr>
        <w:t xml:space="preserve"> détenue dans la prison de </w:t>
      </w:r>
      <w:proofErr w:type="spellStart"/>
      <w:r w:rsidR="00F2193D">
        <w:rPr>
          <w:rFonts w:asciiTheme="minorHAnsi" w:hAnsiTheme="minorHAnsi" w:cstheme="minorHAnsi"/>
          <w:szCs w:val="24"/>
        </w:rPr>
        <w:t>Mbouda</w:t>
      </w:r>
      <w:proofErr w:type="spellEnd"/>
      <w:r w:rsidR="00F2193D" w:rsidRPr="00F2193D">
        <w:t xml:space="preserve"> </w:t>
      </w:r>
      <w:r w:rsidR="00F2193D" w:rsidRPr="00F2193D">
        <w:rPr>
          <w:rFonts w:asciiTheme="minorHAnsi" w:hAnsiTheme="minorHAnsi" w:cstheme="minorHAnsi"/>
          <w:szCs w:val="24"/>
        </w:rPr>
        <w:t>pour co-action d’assassinat de son époux</w:t>
      </w:r>
      <w:r w:rsidR="00FC287F">
        <w:rPr>
          <w:rFonts w:asciiTheme="minorHAnsi" w:hAnsiTheme="minorHAnsi" w:cstheme="minorHAnsi"/>
          <w:szCs w:val="24"/>
        </w:rPr>
        <w:t xml:space="preserve">. En 2019, </w:t>
      </w:r>
      <w:r w:rsidR="007F1425">
        <w:rPr>
          <w:rFonts w:asciiTheme="minorHAnsi" w:hAnsiTheme="minorHAnsi" w:cstheme="minorHAnsi"/>
          <w:szCs w:val="24"/>
        </w:rPr>
        <w:t xml:space="preserve">des organisations parmi les co-autrices du rapport avaient </w:t>
      </w:r>
      <w:r w:rsidR="00591C34">
        <w:rPr>
          <w:rFonts w:asciiTheme="minorHAnsi" w:hAnsiTheme="minorHAnsi" w:cstheme="minorHAnsi"/>
          <w:szCs w:val="24"/>
        </w:rPr>
        <w:t>eu connaissance</w:t>
      </w:r>
      <w:r w:rsidR="007F1425">
        <w:rPr>
          <w:rFonts w:asciiTheme="minorHAnsi" w:hAnsiTheme="minorHAnsi" w:cstheme="minorHAnsi"/>
          <w:szCs w:val="24"/>
        </w:rPr>
        <w:t xml:space="preserve">, au cours d’une mission d’enquête, </w:t>
      </w:r>
      <w:r w:rsidR="00591C34">
        <w:rPr>
          <w:rFonts w:asciiTheme="minorHAnsi" w:hAnsiTheme="minorHAnsi" w:cstheme="minorHAnsi"/>
          <w:szCs w:val="24"/>
        </w:rPr>
        <w:t xml:space="preserve">de </w:t>
      </w:r>
      <w:r w:rsidR="007F1425">
        <w:rPr>
          <w:rFonts w:asciiTheme="minorHAnsi" w:hAnsiTheme="minorHAnsi" w:cstheme="minorHAnsi"/>
          <w:szCs w:val="24"/>
        </w:rPr>
        <w:t xml:space="preserve">14 femmes sous le coup d’une condamnation à mort, détenues </w:t>
      </w:r>
      <w:r w:rsidR="00591C34">
        <w:rPr>
          <w:rFonts w:asciiTheme="minorHAnsi" w:hAnsiTheme="minorHAnsi" w:cstheme="minorHAnsi"/>
          <w:szCs w:val="24"/>
        </w:rPr>
        <w:t xml:space="preserve">notamment </w:t>
      </w:r>
      <w:r w:rsidR="007F1425">
        <w:rPr>
          <w:rFonts w:asciiTheme="minorHAnsi" w:hAnsiTheme="minorHAnsi" w:cstheme="minorHAnsi"/>
          <w:szCs w:val="24"/>
        </w:rPr>
        <w:t>dans les prisons de Bafoussam et Maroua.</w:t>
      </w:r>
      <w:r w:rsidR="007F1425">
        <w:rPr>
          <w:rStyle w:val="Appeldenotedefin"/>
          <w:rFonts w:asciiTheme="minorHAnsi" w:hAnsiTheme="minorHAnsi"/>
          <w:szCs w:val="24"/>
        </w:rPr>
        <w:endnoteReference w:id="1"/>
      </w:r>
      <w:r w:rsidRPr="00BF3820">
        <w:rPr>
          <w:rFonts w:asciiTheme="minorHAnsi" w:hAnsiTheme="minorHAnsi" w:cstheme="minorHAnsi"/>
          <w:szCs w:val="24"/>
        </w:rPr>
        <w:t xml:space="preserve"> </w:t>
      </w:r>
      <w:r w:rsidR="00FC287F">
        <w:rPr>
          <w:rFonts w:asciiTheme="minorHAnsi" w:hAnsiTheme="minorHAnsi" w:cstheme="minorHAnsi"/>
          <w:szCs w:val="24"/>
        </w:rPr>
        <w:t>Il est important de souligner que l</w:t>
      </w:r>
      <w:r w:rsidRPr="00826C56">
        <w:rPr>
          <w:rFonts w:asciiTheme="minorHAnsi" w:hAnsiTheme="minorHAnsi" w:cstheme="minorHAnsi"/>
          <w:szCs w:val="24"/>
        </w:rPr>
        <w:t>’application de la peine de mort dans le pays reste entourée d’un grand manque de transparence qui empêche d’en saisir l’ampleur réelle.</w:t>
      </w:r>
    </w:p>
    <w:p w14:paraId="18E7619D" w14:textId="77777777" w:rsidR="008F5F63" w:rsidRDefault="008F5F63" w:rsidP="00A755B3">
      <w:pPr>
        <w:numPr>
          <w:ilvl w:val="0"/>
          <w:numId w:val="23"/>
        </w:numPr>
        <w:spacing w:after="240"/>
        <w:rPr>
          <w:rFonts w:asciiTheme="minorHAnsi" w:hAnsiTheme="minorHAnsi" w:cstheme="minorHAnsi"/>
          <w:szCs w:val="24"/>
        </w:rPr>
      </w:pPr>
      <w:r w:rsidRPr="008F5F63">
        <w:rPr>
          <w:rFonts w:asciiTheme="minorHAnsi" w:hAnsiTheme="minorHAnsi" w:cstheme="minorHAnsi"/>
          <w:szCs w:val="24"/>
        </w:rPr>
        <w:t>Au Cameroun, et particulièrement en zone de conflit, les infractions liées au terrorisme constituent la catégorie la plus importante de crimes pour lesquels les femmes ont été condamnées à mort, en particulier dans la région septentrionale du pays.</w:t>
      </w:r>
    </w:p>
    <w:p w14:paraId="59043A63" w14:textId="0D0877C4" w:rsidR="00D0695C" w:rsidRDefault="00D0695C" w:rsidP="00A755B3">
      <w:pPr>
        <w:numPr>
          <w:ilvl w:val="0"/>
          <w:numId w:val="23"/>
        </w:numPr>
        <w:spacing w:after="240"/>
        <w:rPr>
          <w:rFonts w:asciiTheme="minorHAnsi" w:hAnsiTheme="minorHAnsi" w:cstheme="minorHAnsi"/>
          <w:szCs w:val="24"/>
        </w:rPr>
      </w:pPr>
      <w:r w:rsidRPr="00D0695C">
        <w:rPr>
          <w:rFonts w:asciiTheme="minorHAnsi" w:hAnsiTheme="minorHAnsi" w:cstheme="minorHAnsi"/>
          <w:szCs w:val="24"/>
        </w:rPr>
        <w:t>Les femmes condamnées à mort au Cameroun subissent de</w:t>
      </w:r>
      <w:r>
        <w:rPr>
          <w:rFonts w:asciiTheme="minorHAnsi" w:hAnsiTheme="minorHAnsi" w:cstheme="minorHAnsi"/>
          <w:szCs w:val="24"/>
        </w:rPr>
        <w:t xml:space="preserve">s </w:t>
      </w:r>
      <w:r w:rsidRPr="00D0695C">
        <w:rPr>
          <w:rFonts w:asciiTheme="minorHAnsi" w:hAnsiTheme="minorHAnsi" w:cstheme="minorHAnsi"/>
          <w:szCs w:val="24"/>
        </w:rPr>
        <w:t xml:space="preserve">violations de leurs droits procéduraux, notamment l’absence d’accès effectif à </w:t>
      </w:r>
      <w:proofErr w:type="spellStart"/>
      <w:r w:rsidRPr="00D0695C">
        <w:rPr>
          <w:rFonts w:asciiTheme="minorHAnsi" w:hAnsiTheme="minorHAnsi" w:cstheme="minorHAnsi"/>
          <w:szCs w:val="24"/>
        </w:rPr>
        <w:t>un</w:t>
      </w:r>
      <w:r>
        <w:rPr>
          <w:rFonts w:asciiTheme="minorHAnsi" w:hAnsiTheme="minorHAnsi" w:cstheme="minorHAnsi"/>
          <w:szCs w:val="24"/>
        </w:rPr>
        <w:t>·e</w:t>
      </w:r>
      <w:proofErr w:type="spellEnd"/>
      <w:r w:rsidRPr="00D0695C">
        <w:rPr>
          <w:rFonts w:asciiTheme="minorHAnsi" w:hAnsiTheme="minorHAnsi" w:cstheme="minorHAnsi"/>
          <w:szCs w:val="24"/>
        </w:rPr>
        <w:t xml:space="preserve"> </w:t>
      </w:r>
      <w:proofErr w:type="spellStart"/>
      <w:r w:rsidRPr="00D0695C">
        <w:rPr>
          <w:rFonts w:asciiTheme="minorHAnsi" w:hAnsiTheme="minorHAnsi" w:cstheme="minorHAnsi"/>
          <w:szCs w:val="24"/>
        </w:rPr>
        <w:t>avocat</w:t>
      </w:r>
      <w:r>
        <w:rPr>
          <w:rFonts w:asciiTheme="minorHAnsi" w:hAnsiTheme="minorHAnsi" w:cstheme="minorHAnsi"/>
          <w:szCs w:val="24"/>
        </w:rPr>
        <w:t>·e</w:t>
      </w:r>
      <w:proofErr w:type="spellEnd"/>
      <w:r w:rsidRPr="00D0695C">
        <w:rPr>
          <w:rFonts w:asciiTheme="minorHAnsi" w:hAnsiTheme="minorHAnsi" w:cstheme="minorHAnsi"/>
          <w:szCs w:val="24"/>
        </w:rPr>
        <w:t>, des barrières linguistiques, des délais d’appel irréalistes et des frais de justice prohibitifs, ce qui les prive largement d’un procès équitable.</w:t>
      </w:r>
    </w:p>
    <w:p w14:paraId="06EFC12D" w14:textId="44A235E6" w:rsidR="00D0695C" w:rsidRDefault="00D0695C" w:rsidP="00A755B3">
      <w:pPr>
        <w:numPr>
          <w:ilvl w:val="0"/>
          <w:numId w:val="23"/>
        </w:numPr>
        <w:spacing w:after="240"/>
        <w:rPr>
          <w:rFonts w:asciiTheme="minorHAnsi" w:hAnsiTheme="minorHAnsi" w:cstheme="minorHAnsi"/>
          <w:szCs w:val="24"/>
        </w:rPr>
      </w:pPr>
      <w:r>
        <w:rPr>
          <w:rFonts w:asciiTheme="minorHAnsi" w:hAnsiTheme="minorHAnsi" w:cstheme="minorHAnsi"/>
          <w:szCs w:val="24"/>
        </w:rPr>
        <w:t>E</w:t>
      </w:r>
      <w:r w:rsidRPr="00D0695C">
        <w:rPr>
          <w:rFonts w:asciiTheme="minorHAnsi" w:hAnsiTheme="minorHAnsi" w:cstheme="minorHAnsi"/>
          <w:szCs w:val="24"/>
        </w:rPr>
        <w:t>n prison, elles font face à des conditions dégradantes marquées par le manque d’hygiène, l’absence de soins médicaux adaptés – en particulier gynécologiques et psychologiques – et des violences institutionnelles, y compris la torture.</w:t>
      </w:r>
    </w:p>
    <w:p w14:paraId="5A3B2746" w14:textId="5E7C2898" w:rsidR="00D0695C" w:rsidRPr="00826C56" w:rsidRDefault="00D0695C" w:rsidP="00A755B3">
      <w:pPr>
        <w:numPr>
          <w:ilvl w:val="0"/>
          <w:numId w:val="23"/>
        </w:numPr>
        <w:spacing w:after="240"/>
        <w:rPr>
          <w:rFonts w:asciiTheme="minorHAnsi" w:hAnsiTheme="minorHAnsi" w:cstheme="minorHAnsi"/>
          <w:szCs w:val="24"/>
        </w:rPr>
      </w:pPr>
      <w:r w:rsidRPr="00D0695C">
        <w:rPr>
          <w:rFonts w:asciiTheme="minorHAnsi" w:hAnsiTheme="minorHAnsi" w:cstheme="minorHAnsi"/>
          <w:szCs w:val="24"/>
        </w:rPr>
        <w:t>Leur condamnation s’inscrit souvent dans un contexte de violences domestiques ignorées par les tribunaux, et elles sont discriminées en raison de leur statut de femmes pauvres et marginalisées, jugées autant pour avoir transgressé les normes de genre que pour les actes qui leur sont reprochés.</w:t>
      </w:r>
    </w:p>
    <w:p w14:paraId="673431E7" w14:textId="77777777" w:rsidR="00E620A4" w:rsidRDefault="00E620A4" w:rsidP="00E620A4">
      <w:pPr>
        <w:rPr>
          <w:b/>
          <w:bCs/>
        </w:rPr>
      </w:pPr>
    </w:p>
    <w:p w14:paraId="45167CB3" w14:textId="607442D1" w:rsidR="004B3B9E" w:rsidRPr="0068450F" w:rsidRDefault="0068450F" w:rsidP="003343E9">
      <w:pPr>
        <w:spacing w:after="240"/>
        <w:rPr>
          <w:b/>
          <w:bCs/>
        </w:rPr>
      </w:pPr>
      <w:r w:rsidRPr="004B3B9E">
        <w:rPr>
          <w:b/>
          <w:bCs/>
        </w:rPr>
        <w:t xml:space="preserve">CADRE </w:t>
      </w:r>
      <w:r w:rsidR="008B51E7">
        <w:rPr>
          <w:b/>
          <w:bCs/>
        </w:rPr>
        <w:t>NORMATIF</w:t>
      </w:r>
      <w:r w:rsidRPr="004B3B9E">
        <w:rPr>
          <w:b/>
          <w:bCs/>
        </w:rPr>
        <w:t xml:space="preserve"> RELATIF </w:t>
      </w:r>
      <w:r>
        <w:rPr>
          <w:b/>
          <w:bCs/>
        </w:rPr>
        <w:t>À</w:t>
      </w:r>
      <w:r w:rsidRPr="004B3B9E">
        <w:rPr>
          <w:b/>
          <w:bCs/>
        </w:rPr>
        <w:t xml:space="preserve"> L’APPLICATION DE LA PEINE DE MORT AU CAMEROUN</w:t>
      </w:r>
      <w:bookmarkStart w:id="3" w:name="_Toc130824085"/>
    </w:p>
    <w:bookmarkEnd w:id="3"/>
    <w:p w14:paraId="3248122F" w14:textId="0818DE68" w:rsidR="004B3B9E" w:rsidRPr="004B3B9E" w:rsidRDefault="004B3B9E" w:rsidP="003343E9">
      <w:pPr>
        <w:spacing w:after="240"/>
        <w:rPr>
          <w:b/>
          <w:bCs/>
        </w:rPr>
      </w:pPr>
      <w:r w:rsidRPr="004B3B9E">
        <w:rPr>
          <w:b/>
          <w:bCs/>
        </w:rPr>
        <w:t>La Constitution</w:t>
      </w:r>
    </w:p>
    <w:p w14:paraId="62E7A271" w14:textId="5BBFCD76" w:rsidR="004B3B9E" w:rsidRPr="004B3B9E" w:rsidRDefault="004B3B9E" w:rsidP="003343E9">
      <w:pPr>
        <w:pStyle w:val="Paragraphedeliste"/>
        <w:numPr>
          <w:ilvl w:val="0"/>
          <w:numId w:val="23"/>
        </w:numPr>
        <w:spacing w:after="240"/>
      </w:pPr>
      <w:r w:rsidRPr="004B3B9E">
        <w:t>Le droit à la vie est prévu dans la Constitution camerounaise dès son Préambule, qui selon l’article 65</w:t>
      </w:r>
      <w:r w:rsidR="00147A8C">
        <w:t xml:space="preserve"> fait </w:t>
      </w:r>
      <w:r w:rsidRPr="004B3B9E">
        <w:t>partie intégrante de ladite Constitution</w:t>
      </w:r>
      <w:r w:rsidRPr="004B3B9E">
        <w:rPr>
          <w:vertAlign w:val="superscript"/>
        </w:rPr>
        <w:endnoteReference w:id="2"/>
      </w:r>
      <w:r w:rsidRPr="004B3B9E">
        <w:t>. Promulguée le 18 janvier 1996, elle garantit que « toute personne a le droit à la vie et à l'intégrité physique et morale. Elle doit être traitée en toute circonstance avec humanité ». Le Préambule prévoit également que nul ne peut être soumis « à la torture, à des peines ou traitements cruels, inhumains ou dégradants »</w:t>
      </w:r>
      <w:r w:rsidRPr="004B3B9E">
        <w:rPr>
          <w:vertAlign w:val="superscript"/>
        </w:rPr>
        <w:endnoteReference w:id="3"/>
      </w:r>
      <w:r w:rsidRPr="004B3B9E">
        <w:t>.</w:t>
      </w:r>
    </w:p>
    <w:p w14:paraId="6B4FC3A2" w14:textId="34E1525E" w:rsidR="004B3B9E" w:rsidRPr="004B3B9E" w:rsidRDefault="004B3B9E" w:rsidP="003343E9">
      <w:pPr>
        <w:numPr>
          <w:ilvl w:val="0"/>
          <w:numId w:val="23"/>
        </w:numPr>
        <w:spacing w:after="240"/>
      </w:pPr>
      <w:r w:rsidRPr="004B3B9E">
        <w:t xml:space="preserve">La Constitution garantit un certain nombre de droits et libertés aux </w:t>
      </w:r>
      <w:proofErr w:type="spellStart"/>
      <w:r w:rsidRPr="004B3B9E">
        <w:t>citoyen</w:t>
      </w:r>
      <w:r w:rsidR="00CC72E4">
        <w:t>·ne</w:t>
      </w:r>
      <w:r w:rsidRPr="004B3B9E">
        <w:t>s</w:t>
      </w:r>
      <w:proofErr w:type="spellEnd"/>
      <w:r w:rsidRPr="004B3B9E">
        <w:t xml:space="preserve"> en disposant que « nul ne peut être poursuivi, arrêté ou détenu que dans les cas et selon les modalités déterminées par la loi ». Il est également prévu que lors du procès, tou</w:t>
      </w:r>
      <w:r w:rsidR="00B9338D">
        <w:t>te</w:t>
      </w:r>
      <w:r w:rsidRPr="004B3B9E">
        <w:t xml:space="preserve">s les </w:t>
      </w:r>
      <w:r w:rsidR="00B9338D">
        <w:t xml:space="preserve">personnes </w:t>
      </w:r>
      <w:r w:rsidRPr="004B3B9E">
        <w:t>accusé</w:t>
      </w:r>
      <w:r w:rsidR="00B9338D">
        <w:t>e</w:t>
      </w:r>
      <w:r w:rsidRPr="004B3B9E">
        <w:t xml:space="preserve">s </w:t>
      </w:r>
      <w:proofErr w:type="gramStart"/>
      <w:r w:rsidRPr="004B3B9E">
        <w:t>sont  présumé</w:t>
      </w:r>
      <w:r w:rsidR="00B9338D">
        <w:t>e</w:t>
      </w:r>
      <w:r w:rsidRPr="004B3B9E">
        <w:t>s</w:t>
      </w:r>
      <w:proofErr w:type="gramEnd"/>
      <w:r w:rsidRPr="004B3B9E">
        <w:t xml:space="preserve"> innocent</w:t>
      </w:r>
      <w:r w:rsidR="00B9338D">
        <w:t>e</w:t>
      </w:r>
      <w:r w:rsidRPr="004B3B9E">
        <w:t xml:space="preserve">s jusqu'à preuve du </w:t>
      </w:r>
      <w:proofErr w:type="gramStart"/>
      <w:r w:rsidRPr="004B3B9E">
        <w:t>contraire  dans</w:t>
      </w:r>
      <w:proofErr w:type="gramEnd"/>
      <w:r w:rsidRPr="004B3B9E">
        <w:t xml:space="preserve"> le cadre d'un</w:t>
      </w:r>
      <w:r>
        <w:t xml:space="preserve"> </w:t>
      </w:r>
      <w:r w:rsidRPr="004B3B9E">
        <w:t>« procès équitable devant les tribunaux ».</w:t>
      </w:r>
      <w:r w:rsidRPr="004B3B9E">
        <w:rPr>
          <w:vertAlign w:val="superscript"/>
        </w:rPr>
        <w:endnoteReference w:id="4"/>
      </w:r>
    </w:p>
    <w:p w14:paraId="6E10FDFB" w14:textId="77777777" w:rsidR="004B3B9E" w:rsidRPr="004B3B9E" w:rsidRDefault="004B3B9E" w:rsidP="003343E9">
      <w:pPr>
        <w:numPr>
          <w:ilvl w:val="0"/>
          <w:numId w:val="23"/>
        </w:numPr>
        <w:spacing w:after="240"/>
      </w:pPr>
      <w:r w:rsidRPr="004B3B9E">
        <w:t>L’article 45 de la Constitution consacre la primauté du droit international sur le droit camerounais : « Les traités ou accords internationaux régulièrement approuvés ou ratifiés ont, dès leur publication, une autorité supérieure à celle des lois, sous réserve pour chaque accord ou traité, de son application par l'autre partie »</w:t>
      </w:r>
      <w:r w:rsidRPr="004B3B9E">
        <w:rPr>
          <w:vertAlign w:val="superscript"/>
        </w:rPr>
        <w:endnoteReference w:id="5"/>
      </w:r>
      <w:r w:rsidRPr="004B3B9E">
        <w:t>. Le texte souligne l’attachement du Peuple camerounais aux « libertés fondamentales inscrites dans la Déclaration universelle des droits de l'homme, la Charte des Nations Unies, la Charte africaine des droits de l'homme et des peuples et toutes les conventions internationales y relatives et dûment ratifiées ».</w:t>
      </w:r>
      <w:r w:rsidRPr="004B3B9E">
        <w:rPr>
          <w:vertAlign w:val="superscript"/>
        </w:rPr>
        <w:endnoteReference w:id="6"/>
      </w:r>
      <w:r w:rsidRPr="004B3B9E">
        <w:t xml:space="preserve">  </w:t>
      </w:r>
    </w:p>
    <w:p w14:paraId="1CEC8830" w14:textId="77777777" w:rsidR="004B3B9E" w:rsidRPr="004B3B9E" w:rsidRDefault="004B3B9E" w:rsidP="003343E9">
      <w:pPr>
        <w:numPr>
          <w:ilvl w:val="0"/>
          <w:numId w:val="23"/>
        </w:numPr>
        <w:spacing w:after="240"/>
      </w:pPr>
      <w:r w:rsidRPr="004B3B9E">
        <w:t>Aucune référence à la peine de mort n’est faite par la Constitution camerounaise.</w:t>
      </w:r>
    </w:p>
    <w:p w14:paraId="4FC05B94" w14:textId="42D15735" w:rsidR="004B3B9E" w:rsidRDefault="004B3B9E" w:rsidP="003343E9">
      <w:pPr>
        <w:numPr>
          <w:ilvl w:val="0"/>
          <w:numId w:val="23"/>
        </w:numPr>
        <w:spacing w:after="240"/>
      </w:pPr>
      <w:r w:rsidRPr="004B3B9E">
        <w:t>Malgré toutes ces dispositions, l’arsenal juridique du Cameroun prévoit la peine capitale pour environ 30 infractions.</w:t>
      </w:r>
    </w:p>
    <w:p w14:paraId="089A2F7F" w14:textId="435E9131" w:rsidR="004B3B9E" w:rsidRPr="004B3B9E" w:rsidRDefault="004B3B9E" w:rsidP="003343E9">
      <w:pPr>
        <w:spacing w:after="240"/>
        <w:rPr>
          <w:b/>
          <w:bCs/>
        </w:rPr>
      </w:pPr>
      <w:r w:rsidRPr="004B3B9E">
        <w:rPr>
          <w:b/>
          <w:bCs/>
        </w:rPr>
        <w:t>Le code pénal</w:t>
      </w:r>
    </w:p>
    <w:p w14:paraId="33E3DE87" w14:textId="37462262" w:rsidR="004B3B9E" w:rsidRPr="004B3B9E" w:rsidRDefault="008A3229" w:rsidP="003343E9">
      <w:pPr>
        <w:numPr>
          <w:ilvl w:val="0"/>
          <w:numId w:val="23"/>
        </w:numPr>
        <w:spacing w:after="240"/>
      </w:pPr>
      <w:r>
        <w:t xml:space="preserve">La peine de mort est prévue dans le code pénal camerounais depuis 1967. </w:t>
      </w:r>
      <w:r w:rsidR="004B3B9E" w:rsidRPr="004B3B9E">
        <w:t xml:space="preserve">Promulgué le 12 juillet 2016, le code pénal </w:t>
      </w:r>
      <w:r>
        <w:t xml:space="preserve">actuel </w:t>
      </w:r>
      <w:r w:rsidR="004B3B9E" w:rsidRPr="004B3B9E">
        <w:t>de la République du Cameroun prévoit la peine de mort pour un total de douze crimes, notamment des crimes politiques et des crimes de sang. Ce code pénal conserve la peine de mort pour les crimes de « hostilités contre la patrie », trahison et espionnage</w:t>
      </w:r>
      <w:r w:rsidR="004B3B9E" w:rsidRPr="004B3B9E">
        <w:rPr>
          <w:vertAlign w:val="superscript"/>
        </w:rPr>
        <w:endnoteReference w:id="7"/>
      </w:r>
      <w:r w:rsidR="004B3B9E" w:rsidRPr="004B3B9E">
        <w:t xml:space="preserve">. </w:t>
      </w:r>
    </w:p>
    <w:p w14:paraId="795F08C1" w14:textId="77777777" w:rsidR="004B3B9E" w:rsidRDefault="004B3B9E" w:rsidP="003343E9">
      <w:pPr>
        <w:numPr>
          <w:ilvl w:val="0"/>
          <w:numId w:val="23"/>
        </w:numPr>
        <w:spacing w:after="240"/>
      </w:pPr>
      <w:r w:rsidRPr="004B3B9E">
        <w:t>Dans son article 2, le code pénal camerounais prévoit que « les règles du droit international, ainsi que les traités dûment promulgués et publiés, s’imposent au présent Code, ainsi qu’à toute disposition pénale »</w:t>
      </w:r>
      <w:r w:rsidRPr="004B3B9E">
        <w:rPr>
          <w:vertAlign w:val="superscript"/>
        </w:rPr>
        <w:endnoteReference w:id="8"/>
      </w:r>
      <w:r w:rsidRPr="004B3B9E">
        <w:t>.</w:t>
      </w:r>
    </w:p>
    <w:p w14:paraId="4DDFCC39" w14:textId="5A064016" w:rsidR="004B3B9E" w:rsidRPr="004B3B9E" w:rsidRDefault="005E0CD0" w:rsidP="00147A8C">
      <w:pPr>
        <w:pStyle w:val="Normalrapport"/>
        <w:numPr>
          <w:ilvl w:val="0"/>
          <w:numId w:val="23"/>
        </w:numPr>
        <w:tabs>
          <w:tab w:val="clear" w:pos="570"/>
        </w:tabs>
        <w:spacing w:before="0" w:after="240"/>
        <w:ind w:right="0"/>
        <w:rPr>
          <w:rFonts w:eastAsiaTheme="minorHAnsi"/>
        </w:rPr>
      </w:pPr>
      <w:r w:rsidRPr="005E0CD0">
        <w:rPr>
          <w:rFonts w:ascii="Calibri" w:eastAsiaTheme="minorHAnsi" w:hAnsi="Calibri" w:cstheme="minorBidi"/>
          <w:sz w:val="22"/>
          <w:szCs w:val="22"/>
          <w:lang w:eastAsia="en-US" w:bidi="ar-SA"/>
        </w:rPr>
        <w:t xml:space="preserve">Il ressort des articles 22 et 80 du Code pénal que la femme enceinte est susceptible de condamnation à mort mais ne peut recevoir l’exécution de sa peine qu’après accouchement. Les </w:t>
      </w:r>
      <w:proofErr w:type="spellStart"/>
      <w:r w:rsidRPr="005E0CD0">
        <w:rPr>
          <w:rFonts w:ascii="Calibri" w:eastAsiaTheme="minorHAnsi" w:hAnsi="Calibri" w:cstheme="minorBidi"/>
          <w:sz w:val="22"/>
          <w:szCs w:val="22"/>
          <w:lang w:eastAsia="en-US" w:bidi="ar-SA"/>
        </w:rPr>
        <w:t>mineur</w:t>
      </w:r>
      <w:r w:rsidR="00B9338D">
        <w:rPr>
          <w:rFonts w:ascii="Calibri" w:eastAsiaTheme="minorHAnsi" w:hAnsi="Calibri" w:cstheme="minorBidi"/>
          <w:sz w:val="22"/>
          <w:szCs w:val="22"/>
          <w:lang w:eastAsia="en-US" w:bidi="ar-SA"/>
        </w:rPr>
        <w:t>·e</w:t>
      </w:r>
      <w:r w:rsidRPr="005E0CD0">
        <w:rPr>
          <w:rFonts w:ascii="Calibri" w:eastAsiaTheme="minorHAnsi" w:hAnsi="Calibri" w:cstheme="minorBidi"/>
          <w:sz w:val="22"/>
          <w:szCs w:val="22"/>
          <w:lang w:eastAsia="en-US" w:bidi="ar-SA"/>
        </w:rPr>
        <w:t>s</w:t>
      </w:r>
      <w:proofErr w:type="spellEnd"/>
      <w:r w:rsidRPr="005E0CD0">
        <w:rPr>
          <w:rFonts w:ascii="Calibri" w:eastAsiaTheme="minorHAnsi" w:hAnsi="Calibri" w:cstheme="minorBidi"/>
          <w:sz w:val="22"/>
          <w:szCs w:val="22"/>
          <w:lang w:eastAsia="en-US" w:bidi="ar-SA"/>
        </w:rPr>
        <w:t xml:space="preserve"> de moins de 18 ans ne peuvent faire l’objet de condamnation à mort.</w:t>
      </w:r>
    </w:p>
    <w:p w14:paraId="1DAA8724" w14:textId="77777777" w:rsidR="004B3B9E" w:rsidRPr="004B3B9E" w:rsidRDefault="004B3B9E" w:rsidP="003343E9">
      <w:pPr>
        <w:spacing w:after="240"/>
        <w:rPr>
          <w:b/>
        </w:rPr>
      </w:pPr>
      <w:r w:rsidRPr="004B3B9E">
        <w:rPr>
          <w:b/>
        </w:rPr>
        <w:t>La loi antiterroriste de 2014</w:t>
      </w:r>
    </w:p>
    <w:p w14:paraId="320F4127" w14:textId="4321AA67" w:rsidR="004B3B9E" w:rsidRPr="004B3B9E" w:rsidRDefault="004B3B9E" w:rsidP="003343E9">
      <w:pPr>
        <w:numPr>
          <w:ilvl w:val="0"/>
          <w:numId w:val="23"/>
        </w:numPr>
        <w:spacing w:after="240"/>
        <w:rPr>
          <w:lang w:val="fr-CH"/>
        </w:rPr>
      </w:pPr>
      <w:r w:rsidRPr="004B3B9E">
        <w:t>Le Gouvernement du Cameroun a adopté la loi N° 2014/028 du 23 décembre 2014 portant répression des actes de terrorisme. Les champs d’application de la peine de mort ont été élargis, ajoutant quatre articles prévoyant ladite peine à l’égard des personnes convaincues de complicité d’actes de terrorisme, en plus des auteurs</w:t>
      </w:r>
      <w:r w:rsidRPr="004B3B9E">
        <w:rPr>
          <w:vertAlign w:val="superscript"/>
        </w:rPr>
        <w:endnoteReference w:id="9"/>
      </w:r>
      <w:r w:rsidRPr="004B3B9E">
        <w:t>. Basée sur des définitions assez vagues, cette loi établit que sont passibles de la peine capitale notamment les personnes qui s’engagent dans le « recrutement et/ou à la formation des personnes en vue de leur participation aux actes de terrorisme » ou encore dans le « blanchiment des produits des actes de terrorisme »</w:t>
      </w:r>
      <w:r w:rsidRPr="004B3B9E">
        <w:rPr>
          <w:vertAlign w:val="superscript"/>
        </w:rPr>
        <w:endnoteReference w:id="10"/>
      </w:r>
      <w:r w:rsidRPr="004B3B9E">
        <w:t xml:space="preserve">. </w:t>
      </w:r>
    </w:p>
    <w:p w14:paraId="0E433D2D" w14:textId="77777777" w:rsidR="004B3B9E" w:rsidRPr="004B3B9E" w:rsidRDefault="004B3B9E" w:rsidP="003343E9">
      <w:pPr>
        <w:numPr>
          <w:ilvl w:val="0"/>
          <w:numId w:val="23"/>
        </w:numPr>
        <w:spacing w:after="240"/>
      </w:pPr>
      <w:r w:rsidRPr="004B3B9E">
        <w:t xml:space="preserve"> Les tribunaux militaires sont </w:t>
      </w:r>
      <w:proofErr w:type="gramStart"/>
      <w:r w:rsidRPr="004B3B9E">
        <w:t>les seuls habilités</w:t>
      </w:r>
      <w:proofErr w:type="gramEnd"/>
      <w:r w:rsidRPr="004B3B9E">
        <w:t xml:space="preserve"> à juger ce genre de crimes</w:t>
      </w:r>
      <w:r w:rsidRPr="004B3B9E">
        <w:rPr>
          <w:vertAlign w:val="superscript"/>
        </w:rPr>
        <w:endnoteReference w:id="11"/>
      </w:r>
      <w:r w:rsidRPr="004B3B9E">
        <w:t xml:space="preserve">. </w:t>
      </w:r>
    </w:p>
    <w:p w14:paraId="31099D78" w14:textId="77777777" w:rsidR="004B3B9E" w:rsidRPr="004B3B9E" w:rsidRDefault="004B3B9E" w:rsidP="003343E9">
      <w:pPr>
        <w:spacing w:after="240"/>
        <w:rPr>
          <w:b/>
        </w:rPr>
      </w:pPr>
      <w:r w:rsidRPr="004B3B9E">
        <w:rPr>
          <w:b/>
        </w:rPr>
        <w:t>Le code de justice militaire de 2017</w:t>
      </w:r>
    </w:p>
    <w:p w14:paraId="58EAC661" w14:textId="77777777" w:rsidR="004B3B9E" w:rsidRPr="004B3B9E" w:rsidRDefault="004B3B9E" w:rsidP="003343E9">
      <w:pPr>
        <w:numPr>
          <w:ilvl w:val="0"/>
          <w:numId w:val="23"/>
        </w:numPr>
        <w:spacing w:after="240"/>
      </w:pPr>
      <w:r w:rsidRPr="004B3B9E">
        <w:t>Le code de justice militaire promulgué le 12 juillet 2017 prévoit des infractions punies de mort parmi lesquelles figurent la trahison, l’intelligence avec l’ennemi et l’espionnage</w:t>
      </w:r>
      <w:r w:rsidRPr="004B3B9E">
        <w:rPr>
          <w:vertAlign w:val="superscript"/>
        </w:rPr>
        <w:endnoteReference w:id="12"/>
      </w:r>
      <w:r w:rsidRPr="004B3B9E">
        <w:t>.</w:t>
      </w:r>
    </w:p>
    <w:p w14:paraId="65FB5E1F" w14:textId="0857ABE6" w:rsidR="004B3B9E" w:rsidRPr="004B3B9E" w:rsidRDefault="008B51E7" w:rsidP="003343E9">
      <w:pPr>
        <w:spacing w:after="240"/>
        <w:rPr>
          <w:b/>
        </w:rPr>
      </w:pPr>
      <w:bookmarkStart w:id="4" w:name="_Toc130824086"/>
      <w:r w:rsidRPr="008B51E7">
        <w:rPr>
          <w:b/>
        </w:rPr>
        <w:t>Adhésion aux instruments internationaux</w:t>
      </w:r>
      <w:bookmarkEnd w:id="4"/>
      <w:r w:rsidR="004B3B9E" w:rsidRPr="004B3B9E">
        <w:rPr>
          <w:b/>
        </w:rPr>
        <w:t xml:space="preserve"> </w:t>
      </w:r>
      <w:r w:rsidRPr="008B51E7">
        <w:rPr>
          <w:b/>
        </w:rPr>
        <w:t>relatifs aux droits humains</w:t>
      </w:r>
    </w:p>
    <w:p w14:paraId="581C5709" w14:textId="7D930B7A" w:rsidR="00C71F39" w:rsidRDefault="00F2193D" w:rsidP="003343E9">
      <w:pPr>
        <w:pStyle w:val="Paragraphedeliste"/>
        <w:numPr>
          <w:ilvl w:val="0"/>
          <w:numId w:val="23"/>
        </w:numPr>
        <w:spacing w:after="240"/>
      </w:pPr>
      <w:r>
        <w:t>Le</w:t>
      </w:r>
      <w:r w:rsidR="004B3B9E" w:rsidRPr="004B3B9E">
        <w:t xml:space="preserve"> Cameroun a ratifié le Pacte international relatif aux droits civils et politiques (PIDCP) ainsi que le Premier protocole facultatif se rapportant au PIDCP.</w:t>
      </w:r>
      <w:r w:rsidR="00C71F39">
        <w:t xml:space="preserve"> </w:t>
      </w:r>
      <w:r w:rsidR="00C71F39" w:rsidRPr="004B3B9E">
        <w:t>Le Cameroun refuse néanmoins d’adhérer au Deuxième protocole facultatif se rapportant au PIDCP, visant à abolir la peine de mort</w:t>
      </w:r>
      <w:r w:rsidR="00C71F39">
        <w:t xml:space="preserve">, </w:t>
      </w:r>
      <w:r w:rsidR="00C71F39" w:rsidRPr="005B3FD2">
        <w:t xml:space="preserve">malgré les recommandations de plusieurs mécanismes onusiens l’y enjoignant. </w:t>
      </w:r>
    </w:p>
    <w:p w14:paraId="7756BAAD" w14:textId="1482D46F" w:rsidR="004B3B9E" w:rsidRPr="004B3B9E" w:rsidRDefault="00C71F39" w:rsidP="003343E9">
      <w:pPr>
        <w:numPr>
          <w:ilvl w:val="0"/>
          <w:numId w:val="23"/>
        </w:numPr>
        <w:spacing w:after="240"/>
      </w:pPr>
      <w:r>
        <w:t>Le Cameroun a ratifié</w:t>
      </w:r>
      <w:r w:rsidR="004B3B9E" w:rsidRPr="004B3B9E">
        <w:t xml:space="preserve"> la Charte Africaine des droits de l’homme et des peuples (CADHP)</w:t>
      </w:r>
      <w:r>
        <w:t xml:space="preserve">, ainsi que le </w:t>
      </w:r>
      <w:r w:rsidRPr="00C71F39">
        <w:t xml:space="preserve">protocole </w:t>
      </w:r>
      <w:r>
        <w:t>à la CADHP</w:t>
      </w:r>
      <w:r w:rsidRPr="00C71F39">
        <w:t xml:space="preserve"> relatif aux droits de la femme</w:t>
      </w:r>
      <w:r w:rsidR="00802366">
        <w:t>, en 2012, et</w:t>
      </w:r>
      <w:r w:rsidR="004B3B9E" w:rsidRPr="004B3B9E">
        <w:t xml:space="preserve"> la Charte Africaine des droits et du bien-être de l’enfant. Le Cameroun a également ratifié la Convention des Nations unies sur les droits des enfants.</w:t>
      </w:r>
    </w:p>
    <w:p w14:paraId="1D3DB5D7" w14:textId="1425D45F" w:rsidR="000304E9" w:rsidRPr="004B3B9E" w:rsidRDefault="00F2193D" w:rsidP="003343E9">
      <w:pPr>
        <w:numPr>
          <w:ilvl w:val="0"/>
          <w:numId w:val="23"/>
        </w:numPr>
        <w:spacing w:after="240"/>
      </w:pPr>
      <w:r>
        <w:t>En</w:t>
      </w:r>
      <w:r w:rsidR="000304E9">
        <w:t xml:space="preserve"> 1994</w:t>
      </w:r>
      <w:r w:rsidR="00802366">
        <w:t>, le Cameroun a ratifié</w:t>
      </w:r>
      <w:r w:rsidR="000304E9">
        <w:t xml:space="preserve"> la Convention sur l’élimination de toutes les formes de discrimination à l’égard des femmes, et </w:t>
      </w:r>
      <w:r>
        <w:t>en</w:t>
      </w:r>
      <w:r w:rsidR="000304E9">
        <w:t xml:space="preserve"> 2005</w:t>
      </w:r>
      <w:r>
        <w:t>,</w:t>
      </w:r>
      <w:r w:rsidR="000304E9">
        <w:t xml:space="preserve"> le Protocole facultatif à la Convention sur l’élimination de toutes les formes de discrimination à l’égard des femmes.</w:t>
      </w:r>
    </w:p>
    <w:p w14:paraId="405D80F3" w14:textId="0A50FD95" w:rsidR="004B3B9E" w:rsidRPr="004B3B9E" w:rsidRDefault="004B3B9E" w:rsidP="003343E9">
      <w:pPr>
        <w:numPr>
          <w:ilvl w:val="0"/>
          <w:numId w:val="23"/>
        </w:numPr>
        <w:spacing w:after="240"/>
      </w:pPr>
      <w:r w:rsidRPr="004B3B9E">
        <w:t xml:space="preserve">Le Cameroun a signé </w:t>
      </w:r>
      <w:r w:rsidR="00F2193D">
        <w:t>en</w:t>
      </w:r>
      <w:r w:rsidRPr="004B3B9E">
        <w:t xml:space="preserve"> 2010 le décret portant ratification </w:t>
      </w:r>
      <w:r w:rsidR="005E0CD0" w:rsidRPr="004B3B9E">
        <w:t>du Protocole facultatif se rapportant à la Convention</w:t>
      </w:r>
      <w:r w:rsidRPr="004B3B9E">
        <w:t xml:space="preserve"> des Nations Unies contre la torture et autres peines ou traitements cruels, inhumains ou dégradants (OPCAT). Néanmoins les instruments de sa ratification ne sont toujours pas déposés aux Nations unies.</w:t>
      </w:r>
    </w:p>
    <w:p w14:paraId="5E28BF3F" w14:textId="640EC17E" w:rsidR="004B3B9E" w:rsidRPr="004B3B9E" w:rsidRDefault="004B3B9E" w:rsidP="003343E9">
      <w:pPr>
        <w:numPr>
          <w:ilvl w:val="0"/>
          <w:numId w:val="23"/>
        </w:numPr>
        <w:spacing w:after="240"/>
      </w:pPr>
      <w:r w:rsidRPr="004B3B9E">
        <w:t xml:space="preserve">Lors des votes à l’Assemblée générale des Nations unies pour la Résolution sur un moratoire sur l’application de la peine de mort, le Cameroun s’est abstenu dès le premier en 2007, position que le pays a maintenue </w:t>
      </w:r>
      <w:r w:rsidR="00F2193D">
        <w:t>jusqu’en</w:t>
      </w:r>
      <w:r w:rsidR="005E0CD0">
        <w:t xml:space="preserve"> </w:t>
      </w:r>
      <w:r w:rsidRPr="004B3B9E">
        <w:t>202</w:t>
      </w:r>
      <w:r w:rsidR="005E0CD0">
        <w:t>4</w:t>
      </w:r>
      <w:r w:rsidRPr="004B3B9E">
        <w:t>.</w:t>
      </w:r>
    </w:p>
    <w:p w14:paraId="06F49BD3" w14:textId="77777777" w:rsidR="00E620A4" w:rsidRDefault="00E620A4" w:rsidP="00E620A4">
      <w:pPr>
        <w:rPr>
          <w:b/>
          <w:bCs/>
        </w:rPr>
      </w:pPr>
    </w:p>
    <w:p w14:paraId="134E36F4" w14:textId="69C007B5" w:rsidR="003343E9" w:rsidRPr="003343E9" w:rsidRDefault="003343E9" w:rsidP="00E620A4">
      <w:pPr>
        <w:spacing w:after="240"/>
        <w:rPr>
          <w:b/>
          <w:bCs/>
        </w:rPr>
      </w:pPr>
      <w:r w:rsidRPr="003343E9">
        <w:rPr>
          <w:b/>
          <w:bCs/>
        </w:rPr>
        <w:t>APPLICATION DE LA PEINE DE MORT AU CAMEROUN</w:t>
      </w:r>
    </w:p>
    <w:p w14:paraId="239A5E49" w14:textId="750F0205" w:rsidR="003343E9" w:rsidRPr="003343E9" w:rsidRDefault="003343E9" w:rsidP="003343E9">
      <w:pPr>
        <w:spacing w:after="240"/>
        <w:rPr>
          <w:b/>
          <w:bCs/>
        </w:rPr>
      </w:pPr>
      <w:r w:rsidRPr="003343E9">
        <w:rPr>
          <w:b/>
          <w:bCs/>
        </w:rPr>
        <w:t>Données</w:t>
      </w:r>
    </w:p>
    <w:p w14:paraId="08D90CE0" w14:textId="783E832F" w:rsidR="00591C34" w:rsidRPr="008F5F63" w:rsidRDefault="003343E9" w:rsidP="00591C34">
      <w:pPr>
        <w:numPr>
          <w:ilvl w:val="0"/>
          <w:numId w:val="23"/>
        </w:numPr>
        <w:spacing w:after="240"/>
        <w:rPr>
          <w:rFonts w:asciiTheme="minorHAnsi" w:hAnsiTheme="minorHAnsi" w:cstheme="minorHAnsi"/>
          <w:szCs w:val="24"/>
        </w:rPr>
      </w:pPr>
      <w:r>
        <w:t>Fin 2024, le nombre de personnes sous le coup d’une condamnation à mort au Cameroun est estimé à 80.</w:t>
      </w:r>
      <w:r w:rsidR="00942D7E" w:rsidRPr="00942D7E">
        <w:t xml:space="preserve"> </w:t>
      </w:r>
      <w:r w:rsidR="00942D7E">
        <w:t xml:space="preserve">Au moins une femme serait actuellement condamnée à mort et détenue à la prison de </w:t>
      </w:r>
      <w:proofErr w:type="spellStart"/>
      <w:r w:rsidR="00942D7E">
        <w:t>Mbouda</w:t>
      </w:r>
      <w:proofErr w:type="spellEnd"/>
      <w:r w:rsidR="00942D7E">
        <w:t xml:space="preserve">. </w:t>
      </w:r>
      <w:r w:rsidR="007F1425">
        <w:t>Elle</w:t>
      </w:r>
      <w:r w:rsidR="007F1425" w:rsidRPr="007F1425">
        <w:t xml:space="preserve"> a été cond</w:t>
      </w:r>
      <w:r w:rsidR="007F1425">
        <w:t>a</w:t>
      </w:r>
      <w:r w:rsidR="007F1425" w:rsidRPr="007F1425">
        <w:t xml:space="preserve">mnée par le </w:t>
      </w:r>
      <w:r w:rsidR="007F1425">
        <w:t xml:space="preserve">Tribunal de grande instance </w:t>
      </w:r>
      <w:r w:rsidR="007F1425" w:rsidRPr="007F1425">
        <w:t xml:space="preserve">de </w:t>
      </w:r>
      <w:proofErr w:type="spellStart"/>
      <w:r w:rsidR="007F1425">
        <w:t>M</w:t>
      </w:r>
      <w:r w:rsidR="007F1425" w:rsidRPr="007F1425">
        <w:t>bouda</w:t>
      </w:r>
      <w:proofErr w:type="spellEnd"/>
      <w:r w:rsidR="007F1425" w:rsidRPr="007F1425">
        <w:t xml:space="preserve"> </w:t>
      </w:r>
      <w:r w:rsidR="007F1425">
        <w:t>en</w:t>
      </w:r>
      <w:r w:rsidR="007F1425" w:rsidRPr="007F1425">
        <w:t xml:space="preserve"> 2005</w:t>
      </w:r>
      <w:r w:rsidR="007F1425">
        <w:t>,</w:t>
      </w:r>
      <w:r w:rsidR="007F1425" w:rsidRPr="007F1425">
        <w:t xml:space="preserve"> </w:t>
      </w:r>
      <w:r w:rsidR="007F1425">
        <w:t xml:space="preserve">à l’âge de 31 ans, </w:t>
      </w:r>
      <w:r w:rsidR="007F1425" w:rsidRPr="007F1425">
        <w:t>pour co-action d’assassinat de son époux. Depuis, elle a exercé ses voies de recours à la C</w:t>
      </w:r>
      <w:r w:rsidR="007F1425">
        <w:t>our d’appel</w:t>
      </w:r>
      <w:r w:rsidR="007F1425" w:rsidRPr="007F1425">
        <w:t xml:space="preserve"> et</w:t>
      </w:r>
      <w:r w:rsidR="007F1425">
        <w:t xml:space="preserve"> à la</w:t>
      </w:r>
      <w:r w:rsidR="007F1425" w:rsidRPr="007F1425">
        <w:t xml:space="preserve"> Cour supr</w:t>
      </w:r>
      <w:r w:rsidR="007F1425">
        <w:t>ê</w:t>
      </w:r>
      <w:r w:rsidR="007F1425" w:rsidRPr="007F1425">
        <w:t>me du Cameroun. La C</w:t>
      </w:r>
      <w:r w:rsidR="007F1425">
        <w:t>our suprême</w:t>
      </w:r>
      <w:r w:rsidR="007F1425" w:rsidRPr="007F1425">
        <w:t xml:space="preserve"> a cassé l’appel et a renvoyé l’affaire devant </w:t>
      </w:r>
      <w:r w:rsidR="007F1425">
        <w:t xml:space="preserve">la </w:t>
      </w:r>
      <w:r w:rsidR="007F1425" w:rsidRPr="007F1425">
        <w:t>C</w:t>
      </w:r>
      <w:r w:rsidR="007F1425">
        <w:t>our d’appel</w:t>
      </w:r>
      <w:r w:rsidR="007F1425" w:rsidRPr="007F1425">
        <w:t xml:space="preserve"> de </w:t>
      </w:r>
      <w:proofErr w:type="spellStart"/>
      <w:r w:rsidR="007F1425" w:rsidRPr="007F1425">
        <w:t>Baffoussam</w:t>
      </w:r>
      <w:proofErr w:type="spellEnd"/>
      <w:r w:rsidR="007F1425" w:rsidRPr="007F1425">
        <w:t xml:space="preserve">. </w:t>
      </w:r>
      <w:r w:rsidR="007F1425">
        <w:t>Cette dernière</w:t>
      </w:r>
      <w:r w:rsidR="007F1425" w:rsidRPr="007F1425">
        <w:t xml:space="preserve"> se prononcera le 13 octobre 2025. </w:t>
      </w:r>
    </w:p>
    <w:p w14:paraId="39B9FEED" w14:textId="0391BBAA" w:rsidR="00591C34" w:rsidRPr="003343E9" w:rsidRDefault="00591C34" w:rsidP="00591C34">
      <w:pPr>
        <w:numPr>
          <w:ilvl w:val="0"/>
          <w:numId w:val="23"/>
        </w:numPr>
        <w:spacing w:after="240"/>
        <w:rPr>
          <w:rFonts w:asciiTheme="minorHAnsi" w:hAnsiTheme="minorHAnsi" w:cstheme="minorHAnsi"/>
          <w:szCs w:val="24"/>
        </w:rPr>
      </w:pPr>
      <w:r>
        <w:t>En 2020, l</w:t>
      </w:r>
      <w:r w:rsidRPr="003343E9">
        <w:t xml:space="preserve">es autorités camerounaises </w:t>
      </w:r>
      <w:r>
        <w:t>avai</w:t>
      </w:r>
      <w:r w:rsidRPr="003343E9">
        <w:t>ent rapporté</w:t>
      </w:r>
      <w:r>
        <w:t xml:space="preserve"> des données partiellement désagrégées sur la population carcérale condamnée à mort, faisant état de</w:t>
      </w:r>
      <w:r w:rsidRPr="003343E9">
        <w:t xml:space="preserve"> « 120 condamnés à mort au 31 octobre 2020 représentant 80 hommes, 36 étrangers et 4 femmes ». </w:t>
      </w:r>
    </w:p>
    <w:p w14:paraId="66C79E5E" w14:textId="2CB333C8" w:rsidR="003343E9" w:rsidRPr="00EF743C" w:rsidRDefault="00AF0031" w:rsidP="00591C34">
      <w:pPr>
        <w:pStyle w:val="Paragraphedeliste"/>
        <w:numPr>
          <w:ilvl w:val="0"/>
          <w:numId w:val="23"/>
        </w:numPr>
        <w:spacing w:after="240"/>
      </w:pPr>
      <w:r>
        <w:t xml:space="preserve">Fin 2018, </w:t>
      </w:r>
      <w:r w:rsidRPr="00AF0031">
        <w:t>le R</w:t>
      </w:r>
      <w:r>
        <w:t>ACOPEM</w:t>
      </w:r>
      <w:r w:rsidRPr="00AF0031">
        <w:t xml:space="preserve"> estimait qu’il y avait 330 personnes sous le coup d’une sentence capitale au Cameroun, dont plus d’une centaine pour des infractions liées au terrorisme</w:t>
      </w:r>
      <w:r>
        <w:t xml:space="preserve">. </w:t>
      </w:r>
      <w:r w:rsidR="00591C34">
        <w:t xml:space="preserve">Parmi elles, </w:t>
      </w:r>
      <w:r>
        <w:t>Droits et Paix, le RACOPEM et ECPM ont eu connaissance d</w:t>
      </w:r>
      <w:r w:rsidR="00591C34">
        <w:t>u nombre d</w:t>
      </w:r>
      <w:r>
        <w:t xml:space="preserve">e </w:t>
      </w:r>
      <w:r w:rsidR="00C440CE">
        <w:t xml:space="preserve">14 femmes </w:t>
      </w:r>
      <w:r w:rsidR="00D0695C">
        <w:t>sous le coup d’une condamnation</w:t>
      </w:r>
      <w:r w:rsidR="00C440CE">
        <w:t xml:space="preserve"> à mort</w:t>
      </w:r>
      <w:r w:rsidR="00591C34">
        <w:t>, communiqué</w:t>
      </w:r>
      <w:r w:rsidR="00591C34" w:rsidRPr="00591C34">
        <w:t xml:space="preserve"> </w:t>
      </w:r>
      <w:r w:rsidR="00591C34" w:rsidRPr="00591C34">
        <w:t>par les autorités pénitentiaires dans le cadre d’une mission d’enquête</w:t>
      </w:r>
      <w:r w:rsidR="00C440CE">
        <w:t>.</w:t>
      </w:r>
      <w:r>
        <w:t xml:space="preserve"> </w:t>
      </w:r>
      <w:r w:rsidR="00591C34">
        <w:t xml:space="preserve">Les motifs de condamnation étaient les suivants : « actes de terrorisme », « co-action d’assassinat d’époux » ou « assassinat de ses enfants ». Il est à noter que les </w:t>
      </w:r>
      <w:proofErr w:type="spellStart"/>
      <w:r w:rsidR="00591C34">
        <w:t>avocat·es</w:t>
      </w:r>
      <w:proofErr w:type="spellEnd"/>
      <w:r w:rsidR="00591C34">
        <w:t xml:space="preserve"> du RACOPEM n’ont été </w:t>
      </w:r>
      <w:proofErr w:type="spellStart"/>
      <w:r w:rsidR="00591C34">
        <w:t>autorisé·es</w:t>
      </w:r>
      <w:proofErr w:type="spellEnd"/>
      <w:r w:rsidR="00591C34">
        <w:t xml:space="preserve"> à rencontrer, et défendre, que 8 d’entre elles.  </w:t>
      </w:r>
      <w:r w:rsidR="00C440CE">
        <w:t xml:space="preserve"> </w:t>
      </w:r>
    </w:p>
    <w:p w14:paraId="504EF203" w14:textId="0C5B5A0B" w:rsidR="003343E9" w:rsidRPr="001348D5" w:rsidRDefault="003343E9" w:rsidP="00591C34">
      <w:pPr>
        <w:numPr>
          <w:ilvl w:val="0"/>
          <w:numId w:val="23"/>
        </w:numPr>
        <w:spacing w:after="240"/>
        <w:rPr>
          <w:rFonts w:asciiTheme="minorHAnsi" w:hAnsiTheme="minorHAnsi" w:cstheme="minorHAnsi"/>
          <w:szCs w:val="24"/>
        </w:rPr>
      </w:pPr>
      <w:r w:rsidRPr="00EF743C">
        <w:rPr>
          <w:rFonts w:asciiTheme="minorHAnsi" w:hAnsiTheme="minorHAnsi" w:cstheme="minorHAnsi"/>
          <w:szCs w:val="24"/>
        </w:rPr>
        <w:t>Il est très difficile d’obtenir des données précises</w:t>
      </w:r>
      <w:r w:rsidRPr="00EF743C">
        <w:rPr>
          <w:rFonts w:asciiTheme="minorHAnsi" w:hAnsiTheme="minorHAnsi" w:cstheme="minorHAnsi"/>
        </w:rPr>
        <w:t xml:space="preserve"> </w:t>
      </w:r>
      <w:r w:rsidRPr="00EF743C">
        <w:rPr>
          <w:rFonts w:asciiTheme="minorHAnsi" w:hAnsiTheme="minorHAnsi" w:cstheme="minorHAnsi"/>
          <w:szCs w:val="24"/>
        </w:rPr>
        <w:t>sur l’application de la peine de mort, du fait d’un manque de transparence des autorités</w:t>
      </w:r>
      <w:r w:rsidRPr="001348D5">
        <w:rPr>
          <w:rFonts w:asciiTheme="minorHAnsi" w:hAnsiTheme="minorHAnsi" w:cstheme="minorHAnsi"/>
          <w:szCs w:val="24"/>
        </w:rPr>
        <w:t xml:space="preserve"> – principalement judiciaires et pénitentiaires. Le rapport du Ministère de la justice sur l’état des droits de l’Homme au Cameroun en 2020</w:t>
      </w:r>
      <w:r>
        <w:rPr>
          <w:rStyle w:val="Appeldenotedefin"/>
          <w:rFonts w:asciiTheme="minorHAnsi" w:hAnsiTheme="minorHAnsi" w:cstheme="minorHAnsi"/>
          <w:szCs w:val="24"/>
        </w:rPr>
        <w:endnoteReference w:id="13"/>
      </w:r>
      <w:r w:rsidRPr="001348D5">
        <w:rPr>
          <w:rFonts w:asciiTheme="minorHAnsi" w:hAnsiTheme="minorHAnsi" w:cstheme="minorHAnsi"/>
          <w:szCs w:val="24"/>
        </w:rPr>
        <w:t xml:space="preserve"> ne fait </w:t>
      </w:r>
      <w:r w:rsidR="00EF743C">
        <w:rPr>
          <w:rFonts w:asciiTheme="minorHAnsi" w:hAnsiTheme="minorHAnsi" w:cstheme="minorHAnsi"/>
          <w:szCs w:val="24"/>
        </w:rPr>
        <w:t xml:space="preserve">notamment </w:t>
      </w:r>
      <w:r w:rsidRPr="001348D5">
        <w:rPr>
          <w:rFonts w:asciiTheme="minorHAnsi" w:hAnsiTheme="minorHAnsi" w:cstheme="minorHAnsi"/>
          <w:szCs w:val="24"/>
        </w:rPr>
        <w:t>nullement cas de la situation de la peine de mort. Ce difficile accès est dû à une volonté manifeste de maintenir le secret autour des condamnations à mort.</w:t>
      </w:r>
    </w:p>
    <w:p w14:paraId="5FDFFB27" w14:textId="53413D6E" w:rsidR="003343E9" w:rsidRDefault="003343E9" w:rsidP="00591C34">
      <w:pPr>
        <w:numPr>
          <w:ilvl w:val="0"/>
          <w:numId w:val="23"/>
        </w:numPr>
        <w:spacing w:after="240"/>
        <w:rPr>
          <w:rFonts w:asciiTheme="minorHAnsi" w:hAnsiTheme="minorHAnsi" w:cstheme="minorHAnsi"/>
          <w:szCs w:val="24"/>
        </w:rPr>
      </w:pPr>
      <w:r w:rsidRPr="001348D5">
        <w:rPr>
          <w:rFonts w:asciiTheme="minorHAnsi" w:hAnsiTheme="minorHAnsi" w:cstheme="minorHAnsi"/>
          <w:szCs w:val="24"/>
        </w:rPr>
        <w:t xml:space="preserve">Le Gouvernement ne fournit pas de </w:t>
      </w:r>
      <w:r>
        <w:rPr>
          <w:rFonts w:asciiTheme="minorHAnsi" w:hAnsiTheme="minorHAnsi" w:cstheme="minorHAnsi"/>
          <w:szCs w:val="24"/>
        </w:rPr>
        <w:t>manière régulière de</w:t>
      </w:r>
      <w:r w:rsidR="00EF743C">
        <w:rPr>
          <w:rFonts w:asciiTheme="minorHAnsi" w:hAnsiTheme="minorHAnsi" w:cstheme="minorHAnsi"/>
          <w:szCs w:val="24"/>
        </w:rPr>
        <w:t>s</w:t>
      </w:r>
      <w:r>
        <w:rPr>
          <w:rFonts w:asciiTheme="minorHAnsi" w:hAnsiTheme="minorHAnsi" w:cstheme="minorHAnsi"/>
          <w:szCs w:val="24"/>
        </w:rPr>
        <w:t xml:space="preserve"> </w:t>
      </w:r>
      <w:r w:rsidRPr="001348D5">
        <w:rPr>
          <w:rFonts w:asciiTheme="minorHAnsi" w:hAnsiTheme="minorHAnsi" w:cstheme="minorHAnsi"/>
          <w:szCs w:val="24"/>
        </w:rPr>
        <w:t>données ou de</w:t>
      </w:r>
      <w:r w:rsidR="00EF743C">
        <w:rPr>
          <w:rFonts w:asciiTheme="minorHAnsi" w:hAnsiTheme="minorHAnsi" w:cstheme="minorHAnsi"/>
          <w:szCs w:val="24"/>
        </w:rPr>
        <w:t>s</w:t>
      </w:r>
      <w:r w:rsidRPr="001348D5">
        <w:rPr>
          <w:rFonts w:asciiTheme="minorHAnsi" w:hAnsiTheme="minorHAnsi" w:cstheme="minorHAnsi"/>
          <w:szCs w:val="24"/>
        </w:rPr>
        <w:t xml:space="preserve"> statistiques transparentes </w:t>
      </w:r>
      <w:r w:rsidR="00EF743C">
        <w:rPr>
          <w:rFonts w:asciiTheme="minorHAnsi" w:hAnsiTheme="minorHAnsi" w:cstheme="minorHAnsi"/>
          <w:szCs w:val="24"/>
        </w:rPr>
        <w:t xml:space="preserve">et désagrégées </w:t>
      </w:r>
      <w:r w:rsidRPr="001348D5">
        <w:rPr>
          <w:rFonts w:asciiTheme="minorHAnsi" w:hAnsiTheme="minorHAnsi" w:cstheme="minorHAnsi"/>
          <w:szCs w:val="24"/>
        </w:rPr>
        <w:t>sur l'application de la peine de mort, y compris le nombre de nouvelles condamnations à mort et le nombre de personnes dans le couloir de la mort, comme l'exige la résolution 1989/64 du Conseil économique et social des Nations unies (ECOSOC)</w:t>
      </w:r>
      <w:r w:rsidRPr="001348D5">
        <w:rPr>
          <w:rFonts w:asciiTheme="minorHAnsi" w:hAnsiTheme="minorHAnsi" w:cstheme="minorHAnsi"/>
          <w:szCs w:val="24"/>
          <w:vertAlign w:val="superscript"/>
        </w:rPr>
        <w:endnoteReference w:id="14"/>
      </w:r>
      <w:r w:rsidRPr="001348D5">
        <w:rPr>
          <w:rFonts w:asciiTheme="minorHAnsi" w:hAnsiTheme="minorHAnsi" w:cstheme="minorHAnsi"/>
          <w:szCs w:val="24"/>
        </w:rPr>
        <w:t xml:space="preserve">. </w:t>
      </w:r>
    </w:p>
    <w:p w14:paraId="3FDB9D26" w14:textId="2279DFAF" w:rsidR="003343E9" w:rsidRPr="007A0EC2" w:rsidRDefault="003343E9" w:rsidP="00591C34">
      <w:pPr>
        <w:numPr>
          <w:ilvl w:val="0"/>
          <w:numId w:val="23"/>
        </w:numPr>
        <w:spacing w:after="240"/>
        <w:rPr>
          <w:rFonts w:asciiTheme="minorHAnsi" w:hAnsiTheme="minorHAnsi" w:cstheme="minorHAnsi"/>
          <w:szCs w:val="24"/>
        </w:rPr>
      </w:pPr>
      <w:r w:rsidRPr="007A0EC2">
        <w:rPr>
          <w:rFonts w:asciiTheme="minorHAnsi" w:hAnsiTheme="minorHAnsi" w:cstheme="minorHAnsi"/>
          <w:szCs w:val="24"/>
        </w:rPr>
        <w:t xml:space="preserve">Au moins une personne a été condamnée à mort définitivement en 2023, et une autre personne en 2024. En 2022, aucune condamnation à mort n’avait été recensée. En 2021, au moins 4 personnes avaient été condamnées à mort, par le tribunal militaire de Buea dans le Sud-Ouest. </w:t>
      </w:r>
    </w:p>
    <w:p w14:paraId="67289D8F" w14:textId="47035102" w:rsidR="003343E9" w:rsidRPr="003343E9" w:rsidRDefault="003343E9" w:rsidP="00591C34">
      <w:pPr>
        <w:numPr>
          <w:ilvl w:val="0"/>
          <w:numId w:val="23"/>
        </w:numPr>
        <w:spacing w:after="240"/>
        <w:rPr>
          <w:rFonts w:asciiTheme="minorHAnsi" w:hAnsiTheme="minorHAnsi" w:cstheme="minorHAnsi"/>
          <w:szCs w:val="24"/>
        </w:rPr>
      </w:pPr>
      <w:r w:rsidRPr="003343E9">
        <w:rPr>
          <w:rFonts w:asciiTheme="minorHAnsi" w:hAnsiTheme="minorHAnsi" w:cstheme="minorHAnsi"/>
          <w:szCs w:val="24"/>
        </w:rPr>
        <w:t xml:space="preserve">Depuis 2018, on observe un recul de l’application de la peine de mort. Certains justiciables initialement condamnés à la peine capitale, principalement dans l’Extrême-Nord, ont vu leurs jugements être annulés à la suite </w:t>
      </w:r>
      <w:r w:rsidR="00F2193D" w:rsidRPr="003343E9">
        <w:rPr>
          <w:rFonts w:asciiTheme="minorHAnsi" w:hAnsiTheme="minorHAnsi" w:cstheme="minorHAnsi"/>
          <w:szCs w:val="24"/>
        </w:rPr>
        <w:t>d</w:t>
      </w:r>
      <w:r w:rsidR="00F2193D">
        <w:rPr>
          <w:rFonts w:asciiTheme="minorHAnsi" w:hAnsiTheme="minorHAnsi" w:cstheme="minorHAnsi"/>
          <w:szCs w:val="24"/>
        </w:rPr>
        <w:t>e</w:t>
      </w:r>
      <w:r w:rsidR="00F2193D" w:rsidRPr="003343E9">
        <w:rPr>
          <w:rFonts w:asciiTheme="minorHAnsi" w:hAnsiTheme="minorHAnsi" w:cstheme="minorHAnsi"/>
          <w:szCs w:val="24"/>
        </w:rPr>
        <w:t xml:space="preserve"> </w:t>
      </w:r>
      <w:r w:rsidRPr="003343E9">
        <w:rPr>
          <w:rFonts w:asciiTheme="minorHAnsi" w:hAnsiTheme="minorHAnsi" w:cstheme="minorHAnsi"/>
          <w:szCs w:val="24"/>
        </w:rPr>
        <w:t xml:space="preserve">réexamen </w:t>
      </w:r>
      <w:r w:rsidR="00F2193D">
        <w:rPr>
          <w:rFonts w:asciiTheme="minorHAnsi" w:hAnsiTheme="minorHAnsi" w:cstheme="minorHAnsi"/>
          <w:szCs w:val="24"/>
        </w:rPr>
        <w:t xml:space="preserve">en </w:t>
      </w:r>
      <w:r w:rsidRPr="003343E9">
        <w:rPr>
          <w:rFonts w:asciiTheme="minorHAnsi" w:hAnsiTheme="minorHAnsi" w:cstheme="minorHAnsi"/>
          <w:szCs w:val="24"/>
        </w:rPr>
        <w:t xml:space="preserve">appel. Ce recul peut s’expliquer par l’implication des « </w:t>
      </w:r>
      <w:proofErr w:type="spellStart"/>
      <w:r w:rsidRPr="003343E9">
        <w:rPr>
          <w:rFonts w:asciiTheme="minorHAnsi" w:hAnsiTheme="minorHAnsi" w:cstheme="minorHAnsi"/>
          <w:szCs w:val="24"/>
        </w:rPr>
        <w:t>avocat</w:t>
      </w:r>
      <w:r w:rsidR="00F2193D">
        <w:rPr>
          <w:rFonts w:asciiTheme="minorHAnsi" w:hAnsiTheme="minorHAnsi" w:cstheme="minorHAnsi"/>
          <w:szCs w:val="24"/>
        </w:rPr>
        <w:t>·e</w:t>
      </w:r>
      <w:r w:rsidRPr="003343E9">
        <w:rPr>
          <w:rFonts w:asciiTheme="minorHAnsi" w:hAnsiTheme="minorHAnsi" w:cstheme="minorHAnsi"/>
          <w:szCs w:val="24"/>
        </w:rPr>
        <w:t>s</w:t>
      </w:r>
      <w:proofErr w:type="spellEnd"/>
      <w:r w:rsidRPr="003343E9">
        <w:rPr>
          <w:rFonts w:asciiTheme="minorHAnsi" w:hAnsiTheme="minorHAnsi" w:cstheme="minorHAnsi"/>
          <w:szCs w:val="24"/>
        </w:rPr>
        <w:t xml:space="preserve"> abolitionnistes » dans la défense des personnes passibles de la peine de mort.</w:t>
      </w:r>
    </w:p>
    <w:p w14:paraId="1C31603A" w14:textId="1ED8B74B" w:rsidR="003343E9" w:rsidRPr="003343E9" w:rsidRDefault="003343E9" w:rsidP="00591C34">
      <w:pPr>
        <w:numPr>
          <w:ilvl w:val="0"/>
          <w:numId w:val="23"/>
        </w:numPr>
        <w:spacing w:after="240"/>
        <w:rPr>
          <w:rFonts w:asciiTheme="minorHAnsi" w:hAnsiTheme="minorHAnsi" w:cstheme="minorHAnsi"/>
          <w:szCs w:val="24"/>
        </w:rPr>
      </w:pPr>
      <w:r w:rsidRPr="003343E9">
        <w:rPr>
          <w:rFonts w:asciiTheme="minorHAnsi" w:hAnsiTheme="minorHAnsi" w:cstheme="minorHAnsi"/>
          <w:szCs w:val="24"/>
        </w:rPr>
        <w:t xml:space="preserve">Le 15 avril 2020, suite au décret n°2020/193 portant commutation et remise de peines, le Président a usé de son droit de grâce pour commuer la peine de </w:t>
      </w:r>
      <w:r w:rsidR="007A0EC2">
        <w:rPr>
          <w:rFonts w:asciiTheme="minorHAnsi" w:hAnsiTheme="minorHAnsi" w:cstheme="minorHAnsi"/>
          <w:szCs w:val="24"/>
        </w:rPr>
        <w:t xml:space="preserve">personnes </w:t>
      </w:r>
      <w:r w:rsidRPr="003343E9">
        <w:rPr>
          <w:rFonts w:asciiTheme="minorHAnsi" w:hAnsiTheme="minorHAnsi" w:cstheme="minorHAnsi"/>
          <w:szCs w:val="24"/>
        </w:rPr>
        <w:t>condamné</w:t>
      </w:r>
      <w:r w:rsidR="007A0EC2">
        <w:rPr>
          <w:rFonts w:asciiTheme="minorHAnsi" w:hAnsiTheme="minorHAnsi" w:cstheme="minorHAnsi"/>
          <w:szCs w:val="24"/>
        </w:rPr>
        <w:t>e</w:t>
      </w:r>
      <w:r w:rsidRPr="003343E9">
        <w:rPr>
          <w:rFonts w:asciiTheme="minorHAnsi" w:hAnsiTheme="minorHAnsi" w:cstheme="minorHAnsi"/>
          <w:szCs w:val="24"/>
        </w:rPr>
        <w:t>s à mort en prison à vie et accorder des remises de peines à un ensemble de</w:t>
      </w:r>
      <w:r w:rsidR="007A0EC2">
        <w:rPr>
          <w:rFonts w:asciiTheme="minorHAnsi" w:hAnsiTheme="minorHAnsi" w:cstheme="minorHAnsi"/>
          <w:szCs w:val="24"/>
        </w:rPr>
        <w:t xml:space="preserve"> personnes</w:t>
      </w:r>
      <w:r w:rsidRPr="003343E9">
        <w:rPr>
          <w:rFonts w:asciiTheme="minorHAnsi" w:hAnsiTheme="minorHAnsi" w:cstheme="minorHAnsi"/>
          <w:szCs w:val="24"/>
        </w:rPr>
        <w:t xml:space="preserve"> détenu</w:t>
      </w:r>
      <w:r w:rsidR="007A0EC2">
        <w:rPr>
          <w:rFonts w:asciiTheme="minorHAnsi" w:hAnsiTheme="minorHAnsi" w:cstheme="minorHAnsi"/>
          <w:szCs w:val="24"/>
        </w:rPr>
        <w:t>e</w:t>
      </w:r>
      <w:r w:rsidRPr="003343E9">
        <w:rPr>
          <w:rFonts w:asciiTheme="minorHAnsi" w:hAnsiTheme="minorHAnsi" w:cstheme="minorHAnsi"/>
          <w:szCs w:val="24"/>
        </w:rPr>
        <w:t xml:space="preserve">s. Toutefois, les nombreuses exceptions énoncées dans l’article 4 </w:t>
      </w:r>
      <w:r w:rsidR="007A0EC2">
        <w:rPr>
          <w:rFonts w:asciiTheme="minorHAnsi" w:hAnsiTheme="minorHAnsi" w:cstheme="minorHAnsi"/>
          <w:szCs w:val="24"/>
        </w:rPr>
        <w:t xml:space="preserve">ont </w:t>
      </w:r>
      <w:r w:rsidRPr="003343E9">
        <w:rPr>
          <w:rFonts w:asciiTheme="minorHAnsi" w:hAnsiTheme="minorHAnsi" w:cstheme="minorHAnsi"/>
          <w:szCs w:val="24"/>
        </w:rPr>
        <w:t xml:space="preserve">restreint considérablement la portée de cette mesure. </w:t>
      </w:r>
      <w:r w:rsidR="007A0EC2">
        <w:rPr>
          <w:rFonts w:asciiTheme="minorHAnsi" w:hAnsiTheme="minorHAnsi" w:cstheme="minorHAnsi"/>
          <w:szCs w:val="24"/>
        </w:rPr>
        <w:t>À</w:t>
      </w:r>
      <w:r w:rsidRPr="003343E9">
        <w:rPr>
          <w:rFonts w:asciiTheme="minorHAnsi" w:hAnsiTheme="minorHAnsi" w:cstheme="minorHAnsi"/>
          <w:szCs w:val="24"/>
        </w:rPr>
        <w:t xml:space="preserve"> elle seule, l’exception concernant les infractions liées au terrorisme </w:t>
      </w:r>
      <w:r w:rsidR="007A0EC2">
        <w:rPr>
          <w:rFonts w:asciiTheme="minorHAnsi" w:hAnsiTheme="minorHAnsi" w:cstheme="minorHAnsi"/>
          <w:szCs w:val="24"/>
        </w:rPr>
        <w:t xml:space="preserve">ont </w:t>
      </w:r>
      <w:r w:rsidRPr="003343E9">
        <w:rPr>
          <w:rFonts w:asciiTheme="minorHAnsi" w:hAnsiTheme="minorHAnsi" w:cstheme="minorHAnsi"/>
          <w:szCs w:val="24"/>
        </w:rPr>
        <w:t>exclu plus d’un tiers des personnes condamnées à mort depuis 2015. Le nombre de personnes ayant bénéficié de la grâce présidentielle à cette occasion demeure inconnu.</w:t>
      </w:r>
    </w:p>
    <w:p w14:paraId="7DE75835" w14:textId="71CA43E2" w:rsidR="003343E9" w:rsidRPr="007A0EC2" w:rsidRDefault="007A0EC2" w:rsidP="007A0EC2">
      <w:pPr>
        <w:spacing w:after="240"/>
        <w:rPr>
          <w:rFonts w:asciiTheme="minorHAnsi" w:hAnsiTheme="minorHAnsi" w:cstheme="minorHAnsi"/>
          <w:b/>
          <w:bCs/>
          <w:szCs w:val="24"/>
        </w:rPr>
      </w:pPr>
      <w:r w:rsidRPr="007A0EC2">
        <w:rPr>
          <w:rFonts w:asciiTheme="minorHAnsi" w:hAnsiTheme="minorHAnsi" w:cstheme="minorHAnsi"/>
          <w:b/>
          <w:bCs/>
          <w:szCs w:val="24"/>
        </w:rPr>
        <w:t>Mise en œuvre et respect des obligations internationales</w:t>
      </w:r>
    </w:p>
    <w:p w14:paraId="21CE85B4" w14:textId="7C775B67" w:rsidR="007A0EC2" w:rsidRPr="007A0EC2" w:rsidRDefault="007A0EC2" w:rsidP="00591C34">
      <w:pPr>
        <w:pStyle w:val="Paragraphedeliste"/>
        <w:numPr>
          <w:ilvl w:val="0"/>
          <w:numId w:val="23"/>
        </w:numPr>
        <w:spacing w:after="240"/>
        <w:rPr>
          <w:rFonts w:asciiTheme="minorHAnsi" w:hAnsiTheme="minorHAnsi" w:cstheme="minorHAnsi"/>
          <w:bCs/>
          <w:szCs w:val="24"/>
        </w:rPr>
      </w:pPr>
      <w:r w:rsidRPr="007A0EC2">
        <w:rPr>
          <w:rFonts w:asciiTheme="minorHAnsi" w:hAnsiTheme="minorHAnsi" w:cstheme="minorHAnsi"/>
          <w:bCs/>
          <w:szCs w:val="24"/>
        </w:rPr>
        <w:t>Le droit camerounais ne limite pas la peine de mort aux crimes les plus graves, comme l'exige l’article 6 (2) du PIDCP ratifié par le Cameroun</w:t>
      </w:r>
      <w:r w:rsidRPr="007A0EC2">
        <w:rPr>
          <w:vertAlign w:val="superscript"/>
        </w:rPr>
        <w:endnoteReference w:id="15"/>
      </w:r>
      <w:r w:rsidRPr="007A0EC2">
        <w:rPr>
          <w:rFonts w:asciiTheme="minorHAnsi" w:hAnsiTheme="minorHAnsi" w:cstheme="minorHAnsi"/>
          <w:bCs/>
          <w:szCs w:val="24"/>
        </w:rPr>
        <w:t>. Parmi les crimes passibles de la peine de mort mais n’ayant pas « la mort pour résultat direct et intentionnel »</w:t>
      </w:r>
      <w:r w:rsidRPr="007A0EC2">
        <w:rPr>
          <w:vertAlign w:val="superscript"/>
        </w:rPr>
        <w:endnoteReference w:id="16"/>
      </w:r>
      <w:r w:rsidRPr="007A0EC2">
        <w:rPr>
          <w:rFonts w:asciiTheme="minorHAnsi" w:hAnsiTheme="minorHAnsi" w:cstheme="minorHAnsi"/>
          <w:bCs/>
          <w:szCs w:val="24"/>
        </w:rPr>
        <w:t xml:space="preserve"> figurent la trahison, l’espionnage ou l’hostilité contre la patrie. </w:t>
      </w:r>
    </w:p>
    <w:p w14:paraId="0AEC1E9D" w14:textId="7A6195D9" w:rsidR="007A0EC2" w:rsidRPr="007A0EC2" w:rsidRDefault="007A0EC2" w:rsidP="00591C34">
      <w:pPr>
        <w:numPr>
          <w:ilvl w:val="0"/>
          <w:numId w:val="23"/>
        </w:numPr>
        <w:spacing w:after="240"/>
        <w:rPr>
          <w:rFonts w:asciiTheme="minorHAnsi" w:hAnsiTheme="minorHAnsi" w:cstheme="minorHAnsi"/>
          <w:szCs w:val="24"/>
        </w:rPr>
      </w:pPr>
      <w:r w:rsidRPr="007A0EC2">
        <w:rPr>
          <w:rFonts w:asciiTheme="minorHAnsi" w:hAnsiTheme="minorHAnsi" w:cstheme="minorHAnsi"/>
          <w:bCs/>
          <w:szCs w:val="24"/>
        </w:rPr>
        <w:t>Les tribunaux militaires condamnent à mort des personnes pour des crimes commis alors qu'ils ont moins de 18 ans. Dans</w:t>
      </w:r>
      <w:r w:rsidRPr="007A0EC2">
        <w:rPr>
          <w:rFonts w:asciiTheme="minorHAnsi" w:hAnsiTheme="minorHAnsi" w:cstheme="minorHAnsi"/>
          <w:szCs w:val="24"/>
        </w:rPr>
        <w:t xml:space="preserve"> le cadre de la lutte anti-terrorisme, des condamnations à mort sont prononcées contre des personnes âgées de moins de dix-huit ans, par le biais de subterfuges juridiques où l’âge des </w:t>
      </w:r>
      <w:r w:rsidR="00EF743C">
        <w:rPr>
          <w:rFonts w:asciiTheme="minorHAnsi" w:hAnsiTheme="minorHAnsi" w:cstheme="minorHAnsi"/>
          <w:szCs w:val="24"/>
        </w:rPr>
        <w:t xml:space="preserve">personnes </w:t>
      </w:r>
      <w:r w:rsidRPr="007A0EC2">
        <w:rPr>
          <w:rFonts w:asciiTheme="minorHAnsi" w:hAnsiTheme="minorHAnsi" w:cstheme="minorHAnsi"/>
          <w:szCs w:val="24"/>
        </w:rPr>
        <w:t>accusé</w:t>
      </w:r>
      <w:r w:rsidR="00EF743C">
        <w:rPr>
          <w:rFonts w:asciiTheme="minorHAnsi" w:hAnsiTheme="minorHAnsi" w:cstheme="minorHAnsi"/>
          <w:szCs w:val="24"/>
        </w:rPr>
        <w:t>e</w:t>
      </w:r>
      <w:r w:rsidRPr="007A0EC2">
        <w:rPr>
          <w:rFonts w:asciiTheme="minorHAnsi" w:hAnsiTheme="minorHAnsi" w:cstheme="minorHAnsi"/>
          <w:szCs w:val="24"/>
        </w:rPr>
        <w:t xml:space="preserve">s est déterminé par un certificat d’âge apparent. </w:t>
      </w:r>
    </w:p>
    <w:p w14:paraId="5F5AE498" w14:textId="09444161" w:rsidR="007A0EC2" w:rsidRPr="007A0EC2" w:rsidRDefault="007A0EC2" w:rsidP="00591C34">
      <w:pPr>
        <w:numPr>
          <w:ilvl w:val="0"/>
          <w:numId w:val="23"/>
        </w:numPr>
        <w:spacing w:after="240"/>
        <w:rPr>
          <w:rFonts w:asciiTheme="minorHAnsi" w:hAnsiTheme="minorHAnsi" w:cstheme="minorHAnsi"/>
          <w:szCs w:val="24"/>
        </w:rPr>
      </w:pPr>
      <w:r w:rsidRPr="007A0EC2">
        <w:rPr>
          <w:rFonts w:asciiTheme="minorHAnsi" w:hAnsiTheme="minorHAnsi" w:cstheme="minorHAnsi"/>
          <w:szCs w:val="24"/>
        </w:rPr>
        <w:t xml:space="preserve">Ces décisions néanmoins sont de plus en plus infirmées en appel. </w:t>
      </w:r>
      <w:r w:rsidR="006B5566">
        <w:rPr>
          <w:rFonts w:asciiTheme="minorHAnsi" w:hAnsiTheme="minorHAnsi" w:cstheme="minorHAnsi"/>
          <w:szCs w:val="24"/>
        </w:rPr>
        <w:t xml:space="preserve">Trois jeunes filles, </w:t>
      </w:r>
      <w:r w:rsidRPr="007A0EC2">
        <w:rPr>
          <w:rFonts w:asciiTheme="minorHAnsi" w:hAnsiTheme="minorHAnsi" w:cstheme="minorHAnsi"/>
          <w:szCs w:val="24"/>
        </w:rPr>
        <w:t>M. D</w:t>
      </w:r>
      <w:r>
        <w:rPr>
          <w:rFonts w:asciiTheme="minorHAnsi" w:hAnsiTheme="minorHAnsi" w:cstheme="minorHAnsi"/>
          <w:szCs w:val="24"/>
        </w:rPr>
        <w:t>.</w:t>
      </w:r>
      <w:r w:rsidRPr="007A0EC2">
        <w:rPr>
          <w:rFonts w:asciiTheme="minorHAnsi" w:hAnsiTheme="minorHAnsi" w:cstheme="minorHAnsi"/>
          <w:szCs w:val="24"/>
        </w:rPr>
        <w:t>, D. D</w:t>
      </w:r>
      <w:r>
        <w:rPr>
          <w:rFonts w:asciiTheme="minorHAnsi" w:hAnsiTheme="minorHAnsi" w:cstheme="minorHAnsi"/>
          <w:szCs w:val="24"/>
        </w:rPr>
        <w:t>.</w:t>
      </w:r>
      <w:r w:rsidRPr="007A0EC2">
        <w:rPr>
          <w:rFonts w:asciiTheme="minorHAnsi" w:hAnsiTheme="minorHAnsi" w:cstheme="minorHAnsi"/>
          <w:szCs w:val="24"/>
        </w:rPr>
        <w:t xml:space="preserve"> et M. W</w:t>
      </w:r>
      <w:r>
        <w:rPr>
          <w:rFonts w:asciiTheme="minorHAnsi" w:hAnsiTheme="minorHAnsi" w:cstheme="minorHAnsi"/>
          <w:szCs w:val="24"/>
        </w:rPr>
        <w:t>.</w:t>
      </w:r>
      <w:r w:rsidR="006B5566">
        <w:rPr>
          <w:rFonts w:asciiTheme="minorHAnsi" w:hAnsiTheme="minorHAnsi" w:cstheme="minorHAnsi"/>
          <w:szCs w:val="24"/>
        </w:rPr>
        <w:t>,</w:t>
      </w:r>
      <w:r w:rsidRPr="007A0EC2">
        <w:rPr>
          <w:rFonts w:asciiTheme="minorHAnsi" w:hAnsiTheme="minorHAnsi" w:cstheme="minorHAnsi"/>
          <w:szCs w:val="24"/>
        </w:rPr>
        <w:t xml:space="preserve"> n’avaient que 17 ans lorsqu’elles ont été arrêtées en octobre 2014 dans la région de l’Extrême-Nord et accusées de soutenir Boko Haram. En avril 2016, elles ont été accusées d’espionnage, de conspiration en vue de commettre une insurrection, et d’appartenance à une bande armée devant le tribunal militaire de Maroua et condamnées à mort. Après l’annulation de leur condamnation en 2019, elles ont été acquittées en octobre 2020.</w:t>
      </w:r>
    </w:p>
    <w:p w14:paraId="653E18B2" w14:textId="1E269161" w:rsidR="007A0EC2" w:rsidRDefault="007A0EC2" w:rsidP="003343E9">
      <w:pPr>
        <w:spacing w:after="240"/>
        <w:rPr>
          <w:b/>
          <w:bCs/>
        </w:rPr>
      </w:pPr>
      <w:r w:rsidRPr="007A0EC2">
        <w:rPr>
          <w:b/>
          <w:bCs/>
        </w:rPr>
        <w:t>Droits procéduraux des personnes risquant la peine de mort</w:t>
      </w:r>
    </w:p>
    <w:p w14:paraId="2A74B5E3" w14:textId="0CB4B708" w:rsidR="00841C95" w:rsidRPr="00826C56" w:rsidRDefault="00841C95" w:rsidP="00591C34">
      <w:pPr>
        <w:numPr>
          <w:ilvl w:val="0"/>
          <w:numId w:val="23"/>
        </w:numPr>
        <w:spacing w:after="200"/>
        <w:rPr>
          <w:rFonts w:asciiTheme="minorHAnsi" w:hAnsiTheme="minorHAnsi" w:cstheme="minorHAnsi"/>
          <w:szCs w:val="24"/>
        </w:rPr>
      </w:pPr>
      <w:r w:rsidRPr="00826C56">
        <w:rPr>
          <w:rFonts w:asciiTheme="minorHAnsi" w:hAnsiTheme="minorHAnsi" w:cstheme="minorHAnsi"/>
          <w:szCs w:val="24"/>
        </w:rPr>
        <w:t>Au Cameroun, les droits procéduraux ne sont pas toujours acquis aux personnes en conflit avec la loi pénale, notamment aux personnes accusées de crimes passibles de la peine de mort</w:t>
      </w:r>
      <w:r>
        <w:rPr>
          <w:rFonts w:asciiTheme="minorHAnsi" w:hAnsiTheme="minorHAnsi" w:cstheme="minorHAnsi"/>
          <w:szCs w:val="24"/>
        </w:rPr>
        <w:t xml:space="preserve">, et aux justiciables femmes faisant face à des discriminations spécifiques </w:t>
      </w:r>
      <w:r w:rsidR="00EF743C">
        <w:rPr>
          <w:rFonts w:asciiTheme="minorHAnsi" w:hAnsiTheme="minorHAnsi" w:cstheme="minorHAnsi"/>
          <w:szCs w:val="24"/>
        </w:rPr>
        <w:t xml:space="preserve">qui </w:t>
      </w:r>
      <w:r>
        <w:rPr>
          <w:rFonts w:asciiTheme="minorHAnsi" w:hAnsiTheme="minorHAnsi" w:cstheme="minorHAnsi"/>
          <w:szCs w:val="24"/>
        </w:rPr>
        <w:t>viol</w:t>
      </w:r>
      <w:r w:rsidR="00EF743C">
        <w:rPr>
          <w:rFonts w:asciiTheme="minorHAnsi" w:hAnsiTheme="minorHAnsi" w:cstheme="minorHAnsi"/>
          <w:szCs w:val="24"/>
        </w:rPr>
        <w:t>e</w:t>
      </w:r>
      <w:r>
        <w:rPr>
          <w:rFonts w:asciiTheme="minorHAnsi" w:hAnsiTheme="minorHAnsi" w:cstheme="minorHAnsi"/>
          <w:szCs w:val="24"/>
        </w:rPr>
        <w:t>nt leur droit à un procès équitable</w:t>
      </w:r>
      <w:r w:rsidRPr="00826C56">
        <w:rPr>
          <w:rFonts w:asciiTheme="minorHAnsi" w:hAnsiTheme="minorHAnsi" w:cstheme="minorHAnsi"/>
          <w:szCs w:val="24"/>
        </w:rPr>
        <w:t xml:space="preserve">. </w:t>
      </w:r>
    </w:p>
    <w:p w14:paraId="5A729DBB" w14:textId="65478C85" w:rsidR="00841C95" w:rsidRPr="009D5410" w:rsidRDefault="00841C95" w:rsidP="00591C34">
      <w:pPr>
        <w:numPr>
          <w:ilvl w:val="0"/>
          <w:numId w:val="23"/>
        </w:numPr>
        <w:spacing w:after="200"/>
        <w:rPr>
          <w:rFonts w:asciiTheme="minorHAnsi" w:hAnsiTheme="minorHAnsi" w:cstheme="minorHAnsi"/>
          <w:szCs w:val="24"/>
        </w:rPr>
      </w:pPr>
      <w:r w:rsidRPr="000B302E">
        <w:rPr>
          <w:rFonts w:asciiTheme="minorHAnsi" w:hAnsiTheme="minorHAnsi" w:cstheme="minorHAnsi"/>
          <w:szCs w:val="24"/>
        </w:rPr>
        <w:t xml:space="preserve">Le droit d'accès à </w:t>
      </w:r>
      <w:proofErr w:type="spellStart"/>
      <w:r w:rsidRPr="000B302E">
        <w:rPr>
          <w:rFonts w:asciiTheme="minorHAnsi" w:hAnsiTheme="minorHAnsi" w:cstheme="minorHAnsi"/>
          <w:szCs w:val="24"/>
        </w:rPr>
        <w:t>un</w:t>
      </w:r>
      <w:r w:rsidR="00587EA0">
        <w:rPr>
          <w:rFonts w:asciiTheme="minorHAnsi" w:hAnsiTheme="minorHAnsi" w:cstheme="minorHAnsi"/>
          <w:szCs w:val="24"/>
        </w:rPr>
        <w:t>·e</w:t>
      </w:r>
      <w:proofErr w:type="spellEnd"/>
      <w:r w:rsidRPr="000B302E">
        <w:rPr>
          <w:rFonts w:asciiTheme="minorHAnsi" w:hAnsiTheme="minorHAnsi" w:cstheme="minorHAnsi"/>
          <w:szCs w:val="24"/>
        </w:rPr>
        <w:t xml:space="preserve"> </w:t>
      </w:r>
      <w:proofErr w:type="spellStart"/>
      <w:r w:rsidRPr="000B302E">
        <w:rPr>
          <w:rFonts w:asciiTheme="minorHAnsi" w:hAnsiTheme="minorHAnsi" w:cstheme="minorHAnsi"/>
          <w:szCs w:val="24"/>
        </w:rPr>
        <w:t>avocat</w:t>
      </w:r>
      <w:r w:rsidR="00F2193D">
        <w:rPr>
          <w:rFonts w:asciiTheme="minorHAnsi" w:hAnsiTheme="minorHAnsi" w:cstheme="minorHAnsi"/>
          <w:szCs w:val="24"/>
        </w:rPr>
        <w:t>·</w:t>
      </w:r>
      <w:r w:rsidR="00587EA0" w:rsidRPr="00587EA0">
        <w:rPr>
          <w:rFonts w:asciiTheme="minorHAnsi" w:hAnsiTheme="minorHAnsi" w:cstheme="minorHAnsi"/>
          <w:szCs w:val="24"/>
        </w:rPr>
        <w:t>e</w:t>
      </w:r>
      <w:proofErr w:type="spellEnd"/>
      <w:r w:rsidRPr="000B302E">
        <w:rPr>
          <w:rFonts w:asciiTheme="minorHAnsi" w:hAnsiTheme="minorHAnsi" w:cstheme="minorHAnsi"/>
          <w:szCs w:val="24"/>
        </w:rPr>
        <w:t xml:space="preserve"> et à un procès équitable des personnes poursuivies n’est pas systématiquement respecté, en violation de l’article 14 (1) du PIDCP</w:t>
      </w:r>
      <w:r w:rsidRPr="000B302E">
        <w:rPr>
          <w:rFonts w:asciiTheme="minorHAnsi" w:hAnsiTheme="minorHAnsi" w:cstheme="minorHAnsi"/>
          <w:szCs w:val="24"/>
          <w:vertAlign w:val="superscript"/>
        </w:rPr>
        <w:endnoteReference w:id="17"/>
      </w:r>
      <w:r w:rsidRPr="000B302E">
        <w:rPr>
          <w:rFonts w:asciiTheme="minorHAnsi" w:hAnsiTheme="minorHAnsi" w:cstheme="minorHAnsi"/>
          <w:szCs w:val="24"/>
        </w:rPr>
        <w:t>.</w:t>
      </w:r>
      <w:r w:rsidRPr="009D5410">
        <w:rPr>
          <w:rFonts w:asciiTheme="minorHAnsi" w:hAnsiTheme="minorHAnsi" w:cstheme="minorHAnsi"/>
          <w:szCs w:val="24"/>
        </w:rPr>
        <w:t xml:space="preserve"> Très souvent, sous le prétexte d’affaire délicate, interdiction est faite aux </w:t>
      </w:r>
      <w:proofErr w:type="spellStart"/>
      <w:r w:rsidRPr="009D5410">
        <w:rPr>
          <w:rFonts w:asciiTheme="minorHAnsi" w:hAnsiTheme="minorHAnsi" w:cstheme="minorHAnsi"/>
          <w:szCs w:val="24"/>
        </w:rPr>
        <w:t>avocat</w:t>
      </w:r>
      <w:r w:rsidR="00587EA0">
        <w:rPr>
          <w:rFonts w:asciiTheme="minorHAnsi" w:hAnsiTheme="minorHAnsi" w:cstheme="minorHAnsi"/>
          <w:szCs w:val="24"/>
        </w:rPr>
        <w:t>·e</w:t>
      </w:r>
      <w:r w:rsidRPr="009D5410">
        <w:rPr>
          <w:rFonts w:asciiTheme="minorHAnsi" w:hAnsiTheme="minorHAnsi" w:cstheme="minorHAnsi"/>
          <w:szCs w:val="24"/>
        </w:rPr>
        <w:t>s</w:t>
      </w:r>
      <w:proofErr w:type="spellEnd"/>
      <w:r w:rsidRPr="009D5410">
        <w:rPr>
          <w:rFonts w:asciiTheme="minorHAnsi" w:hAnsiTheme="minorHAnsi" w:cstheme="minorHAnsi"/>
          <w:szCs w:val="24"/>
        </w:rPr>
        <w:t xml:space="preserve"> de rendre visite à leurs </w:t>
      </w:r>
      <w:proofErr w:type="spellStart"/>
      <w:r w:rsidRPr="009D5410">
        <w:rPr>
          <w:rFonts w:asciiTheme="minorHAnsi" w:hAnsiTheme="minorHAnsi" w:cstheme="minorHAnsi"/>
          <w:szCs w:val="24"/>
        </w:rPr>
        <w:t>client</w:t>
      </w:r>
      <w:r w:rsidR="00587EA0">
        <w:rPr>
          <w:rFonts w:asciiTheme="minorHAnsi" w:hAnsiTheme="minorHAnsi" w:cstheme="minorHAnsi"/>
          <w:szCs w:val="24"/>
        </w:rPr>
        <w:t>·e</w:t>
      </w:r>
      <w:r w:rsidRPr="009D5410">
        <w:rPr>
          <w:rFonts w:asciiTheme="minorHAnsi" w:hAnsiTheme="minorHAnsi" w:cstheme="minorHAnsi"/>
          <w:szCs w:val="24"/>
        </w:rPr>
        <w:t>s</w:t>
      </w:r>
      <w:proofErr w:type="spellEnd"/>
      <w:r w:rsidRPr="009D5410">
        <w:rPr>
          <w:rFonts w:asciiTheme="minorHAnsi" w:hAnsiTheme="minorHAnsi" w:cstheme="minorHAnsi"/>
          <w:szCs w:val="24"/>
        </w:rPr>
        <w:t xml:space="preserve"> et même de prendre connaissance du dossier de procédure.</w:t>
      </w:r>
      <w:r w:rsidRPr="009D5410">
        <w:rPr>
          <w:rFonts w:asciiTheme="minorHAnsi" w:hAnsiTheme="minorHAnsi" w:cstheme="minorHAnsi"/>
          <w:szCs w:val="24"/>
          <w:vertAlign w:val="superscript"/>
        </w:rPr>
        <w:endnoteReference w:id="18"/>
      </w:r>
      <w:r w:rsidRPr="009D5410">
        <w:rPr>
          <w:rFonts w:asciiTheme="minorHAnsi" w:hAnsiTheme="minorHAnsi" w:cstheme="minorHAnsi"/>
          <w:szCs w:val="24"/>
        </w:rPr>
        <w:t xml:space="preserve"> </w:t>
      </w:r>
    </w:p>
    <w:p w14:paraId="7A19E7B8" w14:textId="7FB40A63" w:rsidR="00841C95" w:rsidRPr="000B302E" w:rsidRDefault="00841C95" w:rsidP="00591C34">
      <w:pPr>
        <w:pStyle w:val="Paragraphedeliste"/>
        <w:numPr>
          <w:ilvl w:val="0"/>
          <w:numId w:val="23"/>
        </w:numPr>
        <w:spacing w:after="240"/>
        <w:rPr>
          <w:rFonts w:asciiTheme="minorHAnsi" w:hAnsiTheme="minorHAnsi" w:cstheme="minorHAnsi"/>
          <w:szCs w:val="24"/>
        </w:rPr>
      </w:pPr>
      <w:r w:rsidRPr="00841C95">
        <w:rPr>
          <w:rFonts w:asciiTheme="minorHAnsi" w:hAnsiTheme="minorHAnsi" w:cstheme="minorHAnsi"/>
          <w:bCs/>
          <w:szCs w:val="24"/>
        </w:rPr>
        <w:t xml:space="preserve">Les </w:t>
      </w:r>
      <w:r w:rsidR="00587EA0">
        <w:rPr>
          <w:rFonts w:asciiTheme="minorHAnsi" w:hAnsiTheme="minorHAnsi" w:cstheme="minorHAnsi"/>
          <w:bCs/>
          <w:szCs w:val="24"/>
        </w:rPr>
        <w:t xml:space="preserve">personnes </w:t>
      </w:r>
      <w:r w:rsidRPr="00841C95">
        <w:rPr>
          <w:rFonts w:asciiTheme="minorHAnsi" w:hAnsiTheme="minorHAnsi" w:cstheme="minorHAnsi"/>
          <w:bCs/>
          <w:szCs w:val="24"/>
        </w:rPr>
        <w:t>suspect</w:t>
      </w:r>
      <w:r w:rsidR="00587EA0">
        <w:rPr>
          <w:rFonts w:asciiTheme="minorHAnsi" w:hAnsiTheme="minorHAnsi" w:cstheme="minorHAnsi"/>
          <w:bCs/>
          <w:szCs w:val="24"/>
        </w:rPr>
        <w:t>e</w:t>
      </w:r>
      <w:r w:rsidRPr="00841C95">
        <w:rPr>
          <w:rFonts w:asciiTheme="minorHAnsi" w:hAnsiTheme="minorHAnsi" w:cstheme="minorHAnsi"/>
          <w:bCs/>
          <w:szCs w:val="24"/>
        </w:rPr>
        <w:t>s qui ne maîtrisent pas le français sont interrogé</w:t>
      </w:r>
      <w:r w:rsidR="00587EA0">
        <w:rPr>
          <w:rFonts w:asciiTheme="minorHAnsi" w:hAnsiTheme="minorHAnsi" w:cstheme="minorHAnsi"/>
          <w:bCs/>
          <w:szCs w:val="24"/>
        </w:rPr>
        <w:t>e</w:t>
      </w:r>
      <w:r w:rsidRPr="00841C95">
        <w:rPr>
          <w:rFonts w:asciiTheme="minorHAnsi" w:hAnsiTheme="minorHAnsi" w:cstheme="minorHAnsi"/>
          <w:bCs/>
          <w:szCs w:val="24"/>
        </w:rPr>
        <w:t>s sans l'aide d'</w:t>
      </w:r>
      <w:proofErr w:type="spellStart"/>
      <w:r w:rsidRPr="00841C95">
        <w:rPr>
          <w:rFonts w:asciiTheme="minorHAnsi" w:hAnsiTheme="minorHAnsi" w:cstheme="minorHAnsi"/>
          <w:bCs/>
          <w:szCs w:val="24"/>
        </w:rPr>
        <w:t>un</w:t>
      </w:r>
      <w:r w:rsidR="00587EA0">
        <w:rPr>
          <w:rFonts w:asciiTheme="minorHAnsi" w:hAnsiTheme="minorHAnsi" w:cstheme="minorHAnsi"/>
          <w:bCs/>
          <w:szCs w:val="24"/>
        </w:rPr>
        <w:t>·e</w:t>
      </w:r>
      <w:proofErr w:type="spellEnd"/>
      <w:r w:rsidRPr="00841C95">
        <w:rPr>
          <w:rFonts w:asciiTheme="minorHAnsi" w:hAnsiTheme="minorHAnsi" w:cstheme="minorHAnsi"/>
          <w:bCs/>
          <w:szCs w:val="24"/>
        </w:rPr>
        <w:t xml:space="preserve"> interprète, au contraire des dispositions de l’article 14 (3) f) du PIDCP</w:t>
      </w:r>
      <w:r w:rsidRPr="00841C95">
        <w:rPr>
          <w:bCs/>
          <w:vertAlign w:val="superscript"/>
        </w:rPr>
        <w:endnoteReference w:id="19"/>
      </w:r>
      <w:r w:rsidRPr="00841C95">
        <w:rPr>
          <w:rFonts w:asciiTheme="minorHAnsi" w:hAnsiTheme="minorHAnsi" w:cstheme="minorHAnsi"/>
          <w:bCs/>
          <w:szCs w:val="24"/>
        </w:rPr>
        <w:t>.</w:t>
      </w:r>
      <w:r w:rsidRPr="00841C95">
        <w:rPr>
          <w:rFonts w:asciiTheme="minorHAnsi" w:hAnsiTheme="minorHAnsi" w:cstheme="minorHAnsi"/>
          <w:szCs w:val="24"/>
        </w:rPr>
        <w:t xml:space="preserve"> L’accès à </w:t>
      </w:r>
      <w:proofErr w:type="spellStart"/>
      <w:r w:rsidRPr="00841C95">
        <w:rPr>
          <w:rFonts w:asciiTheme="minorHAnsi" w:hAnsiTheme="minorHAnsi" w:cstheme="minorHAnsi"/>
          <w:szCs w:val="24"/>
        </w:rPr>
        <w:t>un</w:t>
      </w:r>
      <w:r w:rsidR="00587EA0">
        <w:rPr>
          <w:rFonts w:asciiTheme="minorHAnsi" w:hAnsiTheme="minorHAnsi" w:cstheme="minorHAnsi"/>
          <w:szCs w:val="24"/>
        </w:rPr>
        <w:t>·e</w:t>
      </w:r>
      <w:proofErr w:type="spellEnd"/>
      <w:r w:rsidRPr="00841C95">
        <w:rPr>
          <w:rFonts w:asciiTheme="minorHAnsi" w:hAnsiTheme="minorHAnsi" w:cstheme="minorHAnsi"/>
          <w:szCs w:val="24"/>
        </w:rPr>
        <w:t xml:space="preserve"> interprète dès l’arrestation pour les personnes ne parlant pas les langues officielles que sont le français et l’anglais est laissé à la libre appréciation des officiers de police. Quand il est accordé, l’interprétariat est souvent peu fiable.</w:t>
      </w:r>
      <w:r w:rsidRPr="00841C95">
        <w:t xml:space="preserve"> </w:t>
      </w:r>
      <w:r w:rsidRPr="00841C95">
        <w:rPr>
          <w:rFonts w:asciiTheme="minorHAnsi" w:hAnsiTheme="minorHAnsi" w:cstheme="minorHAnsi"/>
          <w:szCs w:val="24"/>
        </w:rPr>
        <w:t xml:space="preserve">Dans toutes les affaires où les femmes ont été condamnées à mort pour des faits de terrorisme, les accusées n’avaient pas été auditionnées dans une langue </w:t>
      </w:r>
      <w:r>
        <w:rPr>
          <w:rFonts w:asciiTheme="minorHAnsi" w:hAnsiTheme="minorHAnsi" w:cstheme="minorHAnsi"/>
          <w:szCs w:val="24"/>
        </w:rPr>
        <w:t>qu’</w:t>
      </w:r>
      <w:r w:rsidRPr="00841C95">
        <w:rPr>
          <w:rFonts w:asciiTheme="minorHAnsi" w:hAnsiTheme="minorHAnsi" w:cstheme="minorHAnsi"/>
          <w:szCs w:val="24"/>
        </w:rPr>
        <w:t>elles comprenaient pour être informées des charges retenues contre elles.</w:t>
      </w:r>
    </w:p>
    <w:p w14:paraId="56E6B3DD" w14:textId="558CD4D5" w:rsidR="00841C95" w:rsidRPr="00044F3E" w:rsidRDefault="00841C95" w:rsidP="00591C34">
      <w:pPr>
        <w:numPr>
          <w:ilvl w:val="0"/>
          <w:numId w:val="23"/>
        </w:numPr>
        <w:spacing w:after="200"/>
        <w:rPr>
          <w:rFonts w:asciiTheme="minorHAnsi" w:hAnsiTheme="minorHAnsi" w:cstheme="minorHAnsi"/>
          <w:bCs/>
          <w:szCs w:val="24"/>
        </w:rPr>
      </w:pPr>
      <w:r w:rsidRPr="00044F3E">
        <w:rPr>
          <w:rFonts w:asciiTheme="minorHAnsi" w:hAnsiTheme="minorHAnsi" w:cstheme="minorHAnsi"/>
          <w:bCs/>
          <w:szCs w:val="24"/>
        </w:rPr>
        <w:t>La mise en œuvre effective du droit de faire appel de sa condamnation à une juridiction supérieure, y compris lorsque la décision est rendue par un tribunal militaire,</w:t>
      </w:r>
      <w:r w:rsidRPr="00044F3E" w:rsidDel="00BE6CF4">
        <w:rPr>
          <w:rFonts w:asciiTheme="minorHAnsi" w:hAnsiTheme="minorHAnsi" w:cstheme="minorHAnsi"/>
          <w:bCs/>
          <w:szCs w:val="24"/>
        </w:rPr>
        <w:t xml:space="preserve"> </w:t>
      </w:r>
      <w:r w:rsidRPr="00044F3E">
        <w:rPr>
          <w:rFonts w:asciiTheme="minorHAnsi" w:hAnsiTheme="minorHAnsi" w:cstheme="minorHAnsi"/>
          <w:bCs/>
          <w:szCs w:val="24"/>
        </w:rPr>
        <w:t>est limitée. Les délais sont très courts : selon la législation, l</w:t>
      </w:r>
      <w:r w:rsidR="00044F3E">
        <w:rPr>
          <w:rFonts w:asciiTheme="minorHAnsi" w:hAnsiTheme="minorHAnsi" w:cstheme="minorHAnsi"/>
          <w:bCs/>
          <w:szCs w:val="24"/>
        </w:rPr>
        <w:t>a personne</w:t>
      </w:r>
      <w:r w:rsidRPr="00044F3E">
        <w:rPr>
          <w:rFonts w:asciiTheme="minorHAnsi" w:hAnsiTheme="minorHAnsi" w:cstheme="minorHAnsi"/>
          <w:bCs/>
          <w:szCs w:val="24"/>
        </w:rPr>
        <w:t xml:space="preserve"> condamné</w:t>
      </w:r>
      <w:r w:rsidR="00044F3E">
        <w:rPr>
          <w:rFonts w:asciiTheme="minorHAnsi" w:hAnsiTheme="minorHAnsi" w:cstheme="minorHAnsi"/>
          <w:bCs/>
          <w:szCs w:val="24"/>
        </w:rPr>
        <w:t>e</w:t>
      </w:r>
      <w:r w:rsidRPr="00044F3E">
        <w:rPr>
          <w:rFonts w:asciiTheme="minorHAnsi" w:hAnsiTheme="minorHAnsi" w:cstheme="minorHAnsi"/>
          <w:bCs/>
          <w:szCs w:val="24"/>
        </w:rPr>
        <w:t xml:space="preserve"> dispose de dix jours à partir du lendemain de la date du jugement pour interjeter appel et doit faire parvenir au greffier un mémoire contenant ses moyens et conclusions ainsi que toutes autres pièces justificatives, au maximum quinze jours après le dépôt de la demande d’appel. Or, aucune assistance judiciaire n’est prévue pour les </w:t>
      </w:r>
      <w:r w:rsidR="00044F3E">
        <w:rPr>
          <w:rFonts w:asciiTheme="minorHAnsi" w:hAnsiTheme="minorHAnsi" w:cstheme="minorHAnsi"/>
          <w:bCs/>
          <w:szCs w:val="24"/>
        </w:rPr>
        <w:t xml:space="preserve">personnes </w:t>
      </w:r>
      <w:r w:rsidRPr="00044F3E">
        <w:rPr>
          <w:rFonts w:asciiTheme="minorHAnsi" w:hAnsiTheme="minorHAnsi" w:cstheme="minorHAnsi"/>
          <w:bCs/>
          <w:szCs w:val="24"/>
        </w:rPr>
        <w:t>condamné</w:t>
      </w:r>
      <w:r w:rsidR="00044F3E">
        <w:rPr>
          <w:rFonts w:asciiTheme="minorHAnsi" w:hAnsiTheme="minorHAnsi" w:cstheme="minorHAnsi"/>
          <w:bCs/>
          <w:szCs w:val="24"/>
        </w:rPr>
        <w:t>e</w:t>
      </w:r>
      <w:r w:rsidRPr="00044F3E">
        <w:rPr>
          <w:rFonts w:asciiTheme="minorHAnsi" w:hAnsiTheme="minorHAnsi" w:cstheme="minorHAnsi"/>
          <w:bCs/>
          <w:szCs w:val="24"/>
        </w:rPr>
        <w:t xml:space="preserve">s à mort interjetant appel, les avocats commis d’office cessant leur assistance une fois le jugement de condamnation prononcé. </w:t>
      </w:r>
    </w:p>
    <w:p w14:paraId="6B8F14A0" w14:textId="458EFD4B" w:rsidR="00841C95" w:rsidRDefault="00841C95" w:rsidP="00591C34">
      <w:pPr>
        <w:numPr>
          <w:ilvl w:val="0"/>
          <w:numId w:val="23"/>
        </w:numPr>
        <w:spacing w:after="200"/>
        <w:rPr>
          <w:rFonts w:asciiTheme="minorHAnsi" w:hAnsiTheme="minorHAnsi" w:cstheme="minorHAnsi"/>
          <w:szCs w:val="24"/>
        </w:rPr>
      </w:pPr>
      <w:r w:rsidRPr="00F73A29">
        <w:rPr>
          <w:rFonts w:asciiTheme="minorHAnsi" w:hAnsiTheme="minorHAnsi" w:cstheme="minorHAnsi"/>
          <w:szCs w:val="24"/>
        </w:rPr>
        <w:t>S’il existe bien une loi prévoyant l’assistance judiciaire de plein droit pour les</w:t>
      </w:r>
      <w:r w:rsidR="00044F3E">
        <w:rPr>
          <w:rFonts w:asciiTheme="minorHAnsi" w:hAnsiTheme="minorHAnsi" w:cstheme="minorHAnsi"/>
          <w:szCs w:val="24"/>
        </w:rPr>
        <w:t xml:space="preserve"> personnes</w:t>
      </w:r>
      <w:r w:rsidRPr="00F73A29">
        <w:rPr>
          <w:rFonts w:asciiTheme="minorHAnsi" w:hAnsiTheme="minorHAnsi" w:cstheme="minorHAnsi"/>
          <w:szCs w:val="24"/>
        </w:rPr>
        <w:t xml:space="preserve"> condamné</w:t>
      </w:r>
      <w:r w:rsidR="00044F3E">
        <w:rPr>
          <w:rFonts w:asciiTheme="minorHAnsi" w:hAnsiTheme="minorHAnsi" w:cstheme="minorHAnsi"/>
          <w:szCs w:val="24"/>
        </w:rPr>
        <w:t>e</w:t>
      </w:r>
      <w:r w:rsidRPr="00F73A29">
        <w:rPr>
          <w:rFonts w:asciiTheme="minorHAnsi" w:hAnsiTheme="minorHAnsi" w:cstheme="minorHAnsi"/>
          <w:szCs w:val="24"/>
        </w:rPr>
        <w:t xml:space="preserve">s à mort, les dispositions de cette loi ne s’appliquent que pour les demandeurs de pourvoi, c’est-à-dire pour les dossiers devant la juridiction suprême, et non pour les juridictions du second degré. Il revient ainsi aux </w:t>
      </w:r>
      <w:r w:rsidR="00044F3E">
        <w:rPr>
          <w:rFonts w:asciiTheme="minorHAnsi" w:hAnsiTheme="minorHAnsi" w:cstheme="minorHAnsi"/>
          <w:szCs w:val="24"/>
        </w:rPr>
        <w:t xml:space="preserve">personnes </w:t>
      </w:r>
      <w:r w:rsidRPr="00F73A29">
        <w:rPr>
          <w:rFonts w:asciiTheme="minorHAnsi" w:hAnsiTheme="minorHAnsi" w:cstheme="minorHAnsi"/>
          <w:szCs w:val="24"/>
        </w:rPr>
        <w:t>condamné</w:t>
      </w:r>
      <w:r w:rsidR="00044F3E">
        <w:rPr>
          <w:rFonts w:asciiTheme="minorHAnsi" w:hAnsiTheme="minorHAnsi" w:cstheme="minorHAnsi"/>
          <w:szCs w:val="24"/>
        </w:rPr>
        <w:t>e</w:t>
      </w:r>
      <w:r w:rsidRPr="00F73A29">
        <w:rPr>
          <w:rFonts w:asciiTheme="minorHAnsi" w:hAnsiTheme="minorHAnsi" w:cstheme="minorHAnsi"/>
          <w:szCs w:val="24"/>
        </w:rPr>
        <w:t>s à mort de rédiger e</w:t>
      </w:r>
      <w:r w:rsidR="00044F3E">
        <w:rPr>
          <w:rFonts w:asciiTheme="minorHAnsi" w:hAnsiTheme="minorHAnsi" w:cstheme="minorHAnsi"/>
          <w:szCs w:val="24"/>
        </w:rPr>
        <w:t>lles</w:t>
      </w:r>
      <w:r w:rsidRPr="00F73A29">
        <w:rPr>
          <w:rFonts w:asciiTheme="minorHAnsi" w:hAnsiTheme="minorHAnsi" w:cstheme="minorHAnsi"/>
          <w:szCs w:val="24"/>
        </w:rPr>
        <w:t>-mêmes, ou avec l’aide de leurs proches, leur mémoire d’appel</w:t>
      </w:r>
      <w:r w:rsidR="00044F3E">
        <w:rPr>
          <w:rFonts w:asciiTheme="minorHAnsi" w:hAnsiTheme="minorHAnsi" w:cstheme="minorHAnsi"/>
          <w:szCs w:val="24"/>
        </w:rPr>
        <w:t>. Pourtant</w:t>
      </w:r>
      <w:r w:rsidRPr="00F73A29">
        <w:rPr>
          <w:rFonts w:asciiTheme="minorHAnsi" w:hAnsiTheme="minorHAnsi" w:cstheme="minorHAnsi"/>
          <w:szCs w:val="24"/>
        </w:rPr>
        <w:t xml:space="preserve"> ce</w:t>
      </w:r>
      <w:r w:rsidR="00044F3E">
        <w:rPr>
          <w:rFonts w:asciiTheme="minorHAnsi" w:hAnsiTheme="minorHAnsi" w:cstheme="minorHAnsi"/>
          <w:szCs w:val="24"/>
        </w:rPr>
        <w:t>lles</w:t>
      </w:r>
      <w:r w:rsidRPr="00F73A29">
        <w:rPr>
          <w:rFonts w:asciiTheme="minorHAnsi" w:hAnsiTheme="minorHAnsi" w:cstheme="minorHAnsi"/>
          <w:szCs w:val="24"/>
        </w:rPr>
        <w:t>-ci</w:t>
      </w:r>
      <w:r w:rsidR="00044F3E">
        <w:rPr>
          <w:rFonts w:asciiTheme="minorHAnsi" w:hAnsiTheme="minorHAnsi" w:cstheme="minorHAnsi"/>
          <w:szCs w:val="24"/>
        </w:rPr>
        <w:t>, et notamment les femmes condamnées à mort,</w:t>
      </w:r>
      <w:r w:rsidRPr="00F73A29">
        <w:rPr>
          <w:rFonts w:asciiTheme="minorHAnsi" w:hAnsiTheme="minorHAnsi" w:cstheme="minorHAnsi"/>
          <w:szCs w:val="24"/>
        </w:rPr>
        <w:t xml:space="preserve"> sont majoritairement démuni</w:t>
      </w:r>
      <w:r w:rsidR="00044F3E">
        <w:rPr>
          <w:rFonts w:asciiTheme="minorHAnsi" w:hAnsiTheme="minorHAnsi" w:cstheme="minorHAnsi"/>
          <w:szCs w:val="24"/>
        </w:rPr>
        <w:t>e</w:t>
      </w:r>
      <w:r w:rsidRPr="00F73A29">
        <w:rPr>
          <w:rFonts w:asciiTheme="minorHAnsi" w:hAnsiTheme="minorHAnsi" w:cstheme="minorHAnsi"/>
          <w:szCs w:val="24"/>
        </w:rPr>
        <w:t>s, ont un niveau d’instruction relativement faible et nombre d’entre e</w:t>
      </w:r>
      <w:r w:rsidR="00044F3E">
        <w:rPr>
          <w:rFonts w:asciiTheme="minorHAnsi" w:hAnsiTheme="minorHAnsi" w:cstheme="minorHAnsi"/>
          <w:szCs w:val="24"/>
        </w:rPr>
        <w:t>lles</w:t>
      </w:r>
      <w:r w:rsidRPr="00F73A29">
        <w:rPr>
          <w:rFonts w:asciiTheme="minorHAnsi" w:hAnsiTheme="minorHAnsi" w:cstheme="minorHAnsi"/>
          <w:szCs w:val="24"/>
        </w:rPr>
        <w:t>, surtout à Maroua, ne parlent pas le français et n’ont aucun lien avec leurs familles pour les assister.</w:t>
      </w:r>
      <w:r>
        <w:rPr>
          <w:rFonts w:asciiTheme="minorHAnsi" w:hAnsiTheme="minorHAnsi" w:cstheme="minorHAnsi"/>
          <w:szCs w:val="24"/>
        </w:rPr>
        <w:t xml:space="preserve"> </w:t>
      </w:r>
    </w:p>
    <w:p w14:paraId="3B3DB432" w14:textId="0B2FBD81" w:rsidR="000F22D5" w:rsidRPr="000F22D5" w:rsidRDefault="000F22D5" w:rsidP="00591C34">
      <w:pPr>
        <w:numPr>
          <w:ilvl w:val="0"/>
          <w:numId w:val="23"/>
        </w:numPr>
        <w:spacing w:after="200"/>
        <w:rPr>
          <w:rFonts w:asciiTheme="minorHAnsi" w:hAnsiTheme="minorHAnsi" w:cstheme="minorHAnsi"/>
          <w:szCs w:val="24"/>
        </w:rPr>
      </w:pPr>
      <w:r w:rsidRPr="000F22D5">
        <w:rPr>
          <w:rFonts w:asciiTheme="minorHAnsi" w:hAnsiTheme="minorHAnsi" w:cstheme="minorHAnsi"/>
          <w:szCs w:val="24"/>
        </w:rPr>
        <w:t>Le code de procédure pénale limite la détention provisoire à 12 mois en cas de crime. Toutefois, cette limite n’existe pas dans les affaires de terrorisme qui sont passibles de la peine capitale. La question des délais déraisonnables entre le moment de l’arrestation et le procès pour les affaires susceptibles de déboucher sur une condamnation à mort sont un sujet de profonde préoccupation.</w:t>
      </w:r>
    </w:p>
    <w:p w14:paraId="4936B81B" w14:textId="38FF7D1D" w:rsidR="000F22D5" w:rsidRPr="000F22D5" w:rsidRDefault="000F22D5" w:rsidP="00591C34">
      <w:pPr>
        <w:numPr>
          <w:ilvl w:val="0"/>
          <w:numId w:val="23"/>
        </w:numPr>
        <w:spacing w:after="200"/>
        <w:rPr>
          <w:rFonts w:asciiTheme="minorHAnsi" w:hAnsiTheme="minorHAnsi" w:cstheme="minorHAnsi"/>
          <w:szCs w:val="24"/>
        </w:rPr>
      </w:pPr>
      <w:r w:rsidRPr="000F22D5">
        <w:rPr>
          <w:rFonts w:asciiTheme="minorHAnsi" w:hAnsiTheme="minorHAnsi" w:cstheme="minorHAnsi"/>
          <w:szCs w:val="24"/>
        </w:rPr>
        <w:t xml:space="preserve">La durée moyenne de la détention provisoire dans </w:t>
      </w:r>
      <w:r w:rsidR="001F30BD">
        <w:rPr>
          <w:rFonts w:asciiTheme="minorHAnsi" w:hAnsiTheme="minorHAnsi" w:cstheme="minorHAnsi"/>
          <w:szCs w:val="24"/>
        </w:rPr>
        <w:t>le</w:t>
      </w:r>
      <w:r w:rsidRPr="000F22D5">
        <w:rPr>
          <w:rFonts w:asciiTheme="minorHAnsi" w:hAnsiTheme="minorHAnsi" w:cstheme="minorHAnsi"/>
          <w:szCs w:val="24"/>
        </w:rPr>
        <w:t xml:space="preserve">s prisons </w:t>
      </w:r>
      <w:r w:rsidR="001F30BD">
        <w:rPr>
          <w:rFonts w:asciiTheme="minorHAnsi" w:hAnsiTheme="minorHAnsi" w:cstheme="minorHAnsi"/>
          <w:szCs w:val="24"/>
        </w:rPr>
        <w:t xml:space="preserve">camerounaises </w:t>
      </w:r>
      <w:r w:rsidRPr="000F22D5">
        <w:rPr>
          <w:rFonts w:asciiTheme="minorHAnsi" w:hAnsiTheme="minorHAnsi" w:cstheme="minorHAnsi"/>
          <w:szCs w:val="24"/>
        </w:rPr>
        <w:t>varie suivant le type d’infraction et de juridiction</w:t>
      </w:r>
      <w:r w:rsidR="001F30BD">
        <w:rPr>
          <w:rFonts w:asciiTheme="minorHAnsi" w:hAnsiTheme="minorHAnsi" w:cstheme="minorHAnsi"/>
          <w:szCs w:val="24"/>
        </w:rPr>
        <w:t xml:space="preserve">. </w:t>
      </w:r>
      <w:r w:rsidR="006345E9">
        <w:rPr>
          <w:rFonts w:asciiTheme="minorHAnsi" w:hAnsiTheme="minorHAnsi" w:cstheme="minorHAnsi"/>
          <w:szCs w:val="24"/>
        </w:rPr>
        <w:t>Si</w:t>
      </w:r>
      <w:r w:rsidR="001F30BD">
        <w:rPr>
          <w:rFonts w:asciiTheme="minorHAnsi" w:hAnsiTheme="minorHAnsi" w:cstheme="minorHAnsi"/>
          <w:szCs w:val="24"/>
        </w:rPr>
        <w:t xml:space="preserve"> </w:t>
      </w:r>
      <w:r w:rsidRPr="000F22D5">
        <w:rPr>
          <w:rFonts w:asciiTheme="minorHAnsi" w:hAnsiTheme="minorHAnsi" w:cstheme="minorHAnsi"/>
          <w:szCs w:val="24"/>
        </w:rPr>
        <w:t xml:space="preserve">elle est de 12 mois </w:t>
      </w:r>
      <w:r w:rsidR="001F30BD" w:rsidRPr="000F22D5">
        <w:rPr>
          <w:rFonts w:asciiTheme="minorHAnsi" w:hAnsiTheme="minorHAnsi" w:cstheme="minorHAnsi"/>
          <w:szCs w:val="24"/>
        </w:rPr>
        <w:t xml:space="preserve">devant une juridiction de droit commun, </w:t>
      </w:r>
      <w:r w:rsidRPr="000F22D5">
        <w:rPr>
          <w:rFonts w:asciiTheme="minorHAnsi" w:hAnsiTheme="minorHAnsi" w:cstheme="minorHAnsi"/>
          <w:szCs w:val="24"/>
        </w:rPr>
        <w:t>devant le tribunal militaire, l</w:t>
      </w:r>
      <w:r w:rsidR="00587EA0">
        <w:rPr>
          <w:rFonts w:asciiTheme="minorHAnsi" w:hAnsiTheme="minorHAnsi" w:cstheme="minorHAnsi"/>
          <w:szCs w:val="24"/>
        </w:rPr>
        <w:t>a personne</w:t>
      </w:r>
      <w:r w:rsidRPr="000F22D5">
        <w:rPr>
          <w:rFonts w:asciiTheme="minorHAnsi" w:hAnsiTheme="minorHAnsi" w:cstheme="minorHAnsi"/>
          <w:szCs w:val="24"/>
        </w:rPr>
        <w:t xml:space="preserve"> suspect</w:t>
      </w:r>
      <w:r w:rsidR="00587EA0">
        <w:rPr>
          <w:rFonts w:asciiTheme="minorHAnsi" w:hAnsiTheme="minorHAnsi" w:cstheme="minorHAnsi"/>
          <w:szCs w:val="24"/>
        </w:rPr>
        <w:t>e</w:t>
      </w:r>
      <w:r w:rsidRPr="000F22D5">
        <w:rPr>
          <w:rFonts w:asciiTheme="minorHAnsi" w:hAnsiTheme="minorHAnsi" w:cstheme="minorHAnsi"/>
          <w:szCs w:val="24"/>
        </w:rPr>
        <w:t xml:space="preserve"> est toujours préalablement placé</w:t>
      </w:r>
      <w:r w:rsidR="00587EA0">
        <w:rPr>
          <w:rFonts w:asciiTheme="minorHAnsi" w:hAnsiTheme="minorHAnsi" w:cstheme="minorHAnsi"/>
          <w:szCs w:val="24"/>
        </w:rPr>
        <w:t>e</w:t>
      </w:r>
      <w:r w:rsidRPr="000F22D5">
        <w:rPr>
          <w:rFonts w:asciiTheme="minorHAnsi" w:hAnsiTheme="minorHAnsi" w:cstheme="minorHAnsi"/>
          <w:szCs w:val="24"/>
        </w:rPr>
        <w:t xml:space="preserve"> en garde à vue pour une durée de 10 à 20 jours sur instruction du commissaire du gouvernement. Dans la pratique, ce délai est toujours plus allongé et surtout dans le cadre de la lutte contre le terrorisme, il est de 15 jours </w:t>
      </w:r>
      <w:r w:rsidR="006345E9" w:rsidRPr="000F22D5">
        <w:rPr>
          <w:rFonts w:asciiTheme="minorHAnsi" w:hAnsiTheme="minorHAnsi" w:cstheme="minorHAnsi"/>
          <w:szCs w:val="24"/>
        </w:rPr>
        <w:t>renouvelable</w:t>
      </w:r>
      <w:r w:rsidR="001F30BD">
        <w:rPr>
          <w:rFonts w:asciiTheme="minorHAnsi" w:hAnsiTheme="minorHAnsi" w:cstheme="minorHAnsi"/>
          <w:szCs w:val="24"/>
        </w:rPr>
        <w:t xml:space="preserve"> </w:t>
      </w:r>
      <w:r w:rsidRPr="000F22D5">
        <w:rPr>
          <w:rFonts w:asciiTheme="minorHAnsi" w:hAnsiTheme="minorHAnsi" w:cstheme="minorHAnsi"/>
          <w:szCs w:val="24"/>
        </w:rPr>
        <w:t>sur autorisation du commissaire de gouvernement.</w:t>
      </w:r>
    </w:p>
    <w:p w14:paraId="7FE7B7E2" w14:textId="230C4C45" w:rsidR="000F22D5" w:rsidRPr="0078510A" w:rsidRDefault="001F30BD" w:rsidP="00591C34">
      <w:pPr>
        <w:numPr>
          <w:ilvl w:val="0"/>
          <w:numId w:val="23"/>
        </w:numPr>
        <w:spacing w:after="200"/>
        <w:rPr>
          <w:rFonts w:asciiTheme="minorHAnsi" w:hAnsiTheme="minorHAnsi" w:cstheme="minorHAnsi"/>
          <w:szCs w:val="24"/>
        </w:rPr>
      </w:pPr>
      <w:r>
        <w:rPr>
          <w:rFonts w:asciiTheme="minorHAnsi" w:hAnsiTheme="minorHAnsi" w:cstheme="minorHAnsi"/>
          <w:szCs w:val="24"/>
        </w:rPr>
        <w:t>Dans de nombreux cas de</w:t>
      </w:r>
      <w:r w:rsidR="000F22D5" w:rsidRPr="000F22D5">
        <w:rPr>
          <w:rFonts w:asciiTheme="minorHAnsi" w:hAnsiTheme="minorHAnsi" w:cstheme="minorHAnsi"/>
          <w:szCs w:val="24"/>
        </w:rPr>
        <w:t xml:space="preserve"> femmes </w:t>
      </w:r>
      <w:r>
        <w:rPr>
          <w:rFonts w:asciiTheme="minorHAnsi" w:hAnsiTheme="minorHAnsi" w:cstheme="minorHAnsi"/>
          <w:szCs w:val="24"/>
        </w:rPr>
        <w:t>représentées par des membres du Réseau des avocats camerounais contre la peine de mort (RACOPEM), il a été constaté qu’</w:t>
      </w:r>
      <w:r w:rsidR="000F22D5" w:rsidRPr="000F22D5">
        <w:rPr>
          <w:rFonts w:asciiTheme="minorHAnsi" w:hAnsiTheme="minorHAnsi" w:cstheme="minorHAnsi"/>
          <w:szCs w:val="24"/>
        </w:rPr>
        <w:t xml:space="preserve">après leur condamnation en instance, leurs dossiers </w:t>
      </w:r>
      <w:r>
        <w:rPr>
          <w:rFonts w:asciiTheme="minorHAnsi" w:hAnsiTheme="minorHAnsi" w:cstheme="minorHAnsi"/>
          <w:szCs w:val="24"/>
        </w:rPr>
        <w:t xml:space="preserve">avaient </w:t>
      </w:r>
      <w:r w:rsidR="000F22D5" w:rsidRPr="000F22D5">
        <w:rPr>
          <w:rFonts w:asciiTheme="minorHAnsi" w:hAnsiTheme="minorHAnsi" w:cstheme="minorHAnsi"/>
          <w:szCs w:val="24"/>
        </w:rPr>
        <w:t>été égarés ou les décisions de justice</w:t>
      </w:r>
      <w:r>
        <w:rPr>
          <w:rFonts w:asciiTheme="minorHAnsi" w:hAnsiTheme="minorHAnsi" w:cstheme="minorHAnsi"/>
          <w:szCs w:val="24"/>
        </w:rPr>
        <w:t>,</w:t>
      </w:r>
      <w:r w:rsidR="000F22D5" w:rsidRPr="000F22D5">
        <w:rPr>
          <w:rFonts w:asciiTheme="minorHAnsi" w:hAnsiTheme="minorHAnsi" w:cstheme="minorHAnsi"/>
          <w:szCs w:val="24"/>
        </w:rPr>
        <w:t xml:space="preserve"> bien que prononcées, étaient non rédigées par les juges</w:t>
      </w:r>
      <w:r>
        <w:rPr>
          <w:rFonts w:asciiTheme="minorHAnsi" w:hAnsiTheme="minorHAnsi" w:cstheme="minorHAnsi"/>
          <w:szCs w:val="24"/>
        </w:rPr>
        <w:t>. L</w:t>
      </w:r>
      <w:r w:rsidR="000F22D5" w:rsidRPr="000F22D5">
        <w:rPr>
          <w:rFonts w:asciiTheme="minorHAnsi" w:hAnsiTheme="minorHAnsi" w:cstheme="minorHAnsi"/>
          <w:szCs w:val="24"/>
        </w:rPr>
        <w:t xml:space="preserve">es femmes </w:t>
      </w:r>
      <w:r>
        <w:rPr>
          <w:rFonts w:asciiTheme="minorHAnsi" w:hAnsiTheme="minorHAnsi" w:cstheme="minorHAnsi"/>
          <w:szCs w:val="24"/>
        </w:rPr>
        <w:t xml:space="preserve">étaient alors </w:t>
      </w:r>
      <w:r w:rsidR="000F22D5" w:rsidRPr="000F22D5">
        <w:rPr>
          <w:rFonts w:asciiTheme="minorHAnsi" w:hAnsiTheme="minorHAnsi" w:cstheme="minorHAnsi"/>
          <w:szCs w:val="24"/>
        </w:rPr>
        <w:t>maintenues en détention sans jugement pendant plusieurs années</w:t>
      </w:r>
      <w:r>
        <w:rPr>
          <w:rFonts w:asciiTheme="minorHAnsi" w:hAnsiTheme="minorHAnsi" w:cstheme="minorHAnsi"/>
          <w:szCs w:val="24"/>
        </w:rPr>
        <w:t>. Ceci</w:t>
      </w:r>
      <w:r w:rsidR="000F22D5" w:rsidRPr="000F22D5">
        <w:rPr>
          <w:rFonts w:asciiTheme="minorHAnsi" w:hAnsiTheme="minorHAnsi" w:cstheme="minorHAnsi"/>
          <w:szCs w:val="24"/>
        </w:rPr>
        <w:t xml:space="preserve"> constitue une violation grave de leur droit fondamental à un procès équitable, et notamment du droit d’être jugées dans un délai raisonnable. En</w:t>
      </w:r>
      <w:r>
        <w:rPr>
          <w:rFonts w:asciiTheme="minorHAnsi" w:hAnsiTheme="minorHAnsi" w:cstheme="minorHAnsi"/>
          <w:szCs w:val="24"/>
        </w:rPr>
        <w:t xml:space="preserve"> outre</w:t>
      </w:r>
      <w:r w:rsidR="000F22D5" w:rsidRPr="000F22D5">
        <w:rPr>
          <w:rFonts w:asciiTheme="minorHAnsi" w:hAnsiTheme="minorHAnsi" w:cstheme="minorHAnsi"/>
          <w:szCs w:val="24"/>
        </w:rPr>
        <w:t xml:space="preserve">, si elles n’ont pas d’avocat, ce qui </w:t>
      </w:r>
      <w:r>
        <w:rPr>
          <w:rFonts w:asciiTheme="minorHAnsi" w:hAnsiTheme="minorHAnsi" w:cstheme="minorHAnsi"/>
          <w:szCs w:val="24"/>
        </w:rPr>
        <w:t xml:space="preserve">est </w:t>
      </w:r>
      <w:r w:rsidR="000F22D5" w:rsidRPr="000F22D5">
        <w:rPr>
          <w:rFonts w:asciiTheme="minorHAnsi" w:hAnsiTheme="minorHAnsi" w:cstheme="minorHAnsi"/>
          <w:szCs w:val="24"/>
        </w:rPr>
        <w:t xml:space="preserve">souvent le cas pour les </w:t>
      </w:r>
      <w:r>
        <w:rPr>
          <w:rFonts w:asciiTheme="minorHAnsi" w:hAnsiTheme="minorHAnsi" w:cstheme="minorHAnsi"/>
          <w:szCs w:val="24"/>
        </w:rPr>
        <w:t xml:space="preserve">justiciables </w:t>
      </w:r>
      <w:r w:rsidR="000F22D5" w:rsidRPr="000F22D5">
        <w:rPr>
          <w:rFonts w:asciiTheme="minorHAnsi" w:hAnsiTheme="minorHAnsi" w:cstheme="minorHAnsi"/>
          <w:szCs w:val="24"/>
        </w:rPr>
        <w:t>femmes</w:t>
      </w:r>
      <w:r>
        <w:rPr>
          <w:rFonts w:asciiTheme="minorHAnsi" w:hAnsiTheme="minorHAnsi" w:cstheme="minorHAnsi"/>
          <w:szCs w:val="24"/>
        </w:rPr>
        <w:t>,</w:t>
      </w:r>
      <w:r w:rsidR="000F22D5" w:rsidRPr="000F22D5">
        <w:rPr>
          <w:rFonts w:asciiTheme="minorHAnsi" w:hAnsiTheme="minorHAnsi" w:cstheme="minorHAnsi"/>
          <w:szCs w:val="24"/>
        </w:rPr>
        <w:t xml:space="preserve"> personne n’intervient pour faire rechercher les dossiers.</w:t>
      </w:r>
    </w:p>
    <w:p w14:paraId="6B173B2E" w14:textId="6C82D55C" w:rsidR="00841C95" w:rsidRDefault="00841C95" w:rsidP="00591C34">
      <w:pPr>
        <w:numPr>
          <w:ilvl w:val="0"/>
          <w:numId w:val="23"/>
        </w:numPr>
        <w:spacing w:after="200"/>
        <w:rPr>
          <w:rFonts w:asciiTheme="minorHAnsi" w:hAnsiTheme="minorHAnsi" w:cstheme="minorHAnsi"/>
          <w:szCs w:val="24"/>
        </w:rPr>
      </w:pPr>
      <w:r>
        <w:rPr>
          <w:rFonts w:asciiTheme="minorHAnsi" w:hAnsiTheme="minorHAnsi" w:cstheme="minorHAnsi"/>
          <w:szCs w:val="24"/>
        </w:rPr>
        <w:t>L</w:t>
      </w:r>
      <w:r w:rsidRPr="00F73A29">
        <w:rPr>
          <w:rFonts w:asciiTheme="minorHAnsi" w:hAnsiTheme="minorHAnsi" w:cstheme="minorHAnsi"/>
          <w:szCs w:val="24"/>
        </w:rPr>
        <w:t>’exercice des voies de recours</w:t>
      </w:r>
      <w:r>
        <w:rPr>
          <w:rFonts w:asciiTheme="minorHAnsi" w:hAnsiTheme="minorHAnsi" w:cstheme="minorHAnsi"/>
          <w:szCs w:val="24"/>
        </w:rPr>
        <w:t xml:space="preserve"> est considérablement limité </w:t>
      </w:r>
      <w:r w:rsidR="001F30BD">
        <w:rPr>
          <w:rFonts w:asciiTheme="minorHAnsi" w:hAnsiTheme="minorHAnsi" w:cstheme="minorHAnsi"/>
          <w:szCs w:val="24"/>
        </w:rPr>
        <w:t xml:space="preserve">au Cameroun </w:t>
      </w:r>
      <w:r>
        <w:rPr>
          <w:rFonts w:asciiTheme="minorHAnsi" w:hAnsiTheme="minorHAnsi" w:cstheme="minorHAnsi"/>
          <w:szCs w:val="24"/>
        </w:rPr>
        <w:t xml:space="preserve">par </w:t>
      </w:r>
      <w:r w:rsidRPr="00F73A29">
        <w:rPr>
          <w:rFonts w:asciiTheme="minorHAnsi" w:hAnsiTheme="minorHAnsi" w:cstheme="minorHAnsi"/>
          <w:szCs w:val="24"/>
        </w:rPr>
        <w:t>les frais de justice, qui doivent être impérativement payés pour que l’appel soit recevable, y compris pour les personnes condamnées à mort. Le montant de cette consigne varie de 20 000 à 45 000 francs CFA, soit l’équi</w:t>
      </w:r>
      <w:r>
        <w:rPr>
          <w:rFonts w:asciiTheme="minorHAnsi" w:hAnsiTheme="minorHAnsi" w:cstheme="minorHAnsi"/>
          <w:szCs w:val="24"/>
        </w:rPr>
        <w:t>valent de 30,48 à 68,57 euros</w:t>
      </w:r>
      <w:r w:rsidRPr="00F73A29">
        <w:rPr>
          <w:rFonts w:asciiTheme="minorHAnsi" w:hAnsiTheme="minorHAnsi" w:cstheme="minorHAnsi"/>
          <w:szCs w:val="24"/>
        </w:rPr>
        <w:t xml:space="preserve">. La loi étant muette sur le montant de la consignation, celui-ci est généralement fixé discrétionnairement par le président de la juridiction qui a rendu la sentence de mort, au regard notamment du volume du dossier. Actuellement, plusieurs </w:t>
      </w:r>
      <w:r w:rsidR="00044F3E">
        <w:rPr>
          <w:rFonts w:asciiTheme="minorHAnsi" w:hAnsiTheme="minorHAnsi" w:cstheme="minorHAnsi"/>
          <w:szCs w:val="24"/>
        </w:rPr>
        <w:t xml:space="preserve">personnes </w:t>
      </w:r>
      <w:r w:rsidRPr="00F73A29">
        <w:rPr>
          <w:rFonts w:asciiTheme="minorHAnsi" w:hAnsiTheme="minorHAnsi" w:cstheme="minorHAnsi"/>
          <w:szCs w:val="24"/>
        </w:rPr>
        <w:t>condamné</w:t>
      </w:r>
      <w:r w:rsidR="00044F3E">
        <w:rPr>
          <w:rFonts w:asciiTheme="minorHAnsi" w:hAnsiTheme="minorHAnsi" w:cstheme="minorHAnsi"/>
          <w:szCs w:val="24"/>
        </w:rPr>
        <w:t>e</w:t>
      </w:r>
      <w:r w:rsidRPr="00F73A29">
        <w:rPr>
          <w:rFonts w:asciiTheme="minorHAnsi" w:hAnsiTheme="minorHAnsi" w:cstheme="minorHAnsi"/>
          <w:szCs w:val="24"/>
        </w:rPr>
        <w:t>s à mort détenu</w:t>
      </w:r>
      <w:r w:rsidR="00044F3E">
        <w:rPr>
          <w:rFonts w:asciiTheme="minorHAnsi" w:hAnsiTheme="minorHAnsi" w:cstheme="minorHAnsi"/>
          <w:szCs w:val="24"/>
        </w:rPr>
        <w:t>e</w:t>
      </w:r>
      <w:r w:rsidRPr="00F73A29">
        <w:rPr>
          <w:rFonts w:asciiTheme="minorHAnsi" w:hAnsiTheme="minorHAnsi" w:cstheme="minorHAnsi"/>
          <w:szCs w:val="24"/>
        </w:rPr>
        <w:t>s, hommes et femmes, ont déposé un recours, sans avoir pu payer les frais de justice, faute de moyens.</w:t>
      </w:r>
    </w:p>
    <w:p w14:paraId="39AA36B8" w14:textId="52F9AC37" w:rsidR="00D74271" w:rsidRPr="00340B1C" w:rsidRDefault="00D74271" w:rsidP="00591C34">
      <w:pPr>
        <w:numPr>
          <w:ilvl w:val="0"/>
          <w:numId w:val="23"/>
        </w:numPr>
        <w:spacing w:after="200"/>
        <w:rPr>
          <w:rFonts w:asciiTheme="minorHAnsi" w:hAnsiTheme="minorHAnsi" w:cstheme="minorHAnsi"/>
          <w:szCs w:val="24"/>
        </w:rPr>
      </w:pPr>
      <w:r w:rsidRPr="00340B1C">
        <w:rPr>
          <w:rFonts w:asciiTheme="minorHAnsi" w:hAnsiTheme="minorHAnsi" w:cstheme="minorHAnsi"/>
          <w:szCs w:val="24"/>
        </w:rPr>
        <w:t xml:space="preserve">Dans le système judiciaire pénal camerounais, la peine de mort est appliquée de manière disproportionnée aux femmes appartenant aux catégories les plus défavorisées. Des entretiens menés dans le cadre d’une mission d’enquête coordonnée en 2018 par Droits et paix et ECPM, co-auteurs du présent rapport, ont révélé que la très grande majorité des femmes condamnées ou </w:t>
      </w:r>
      <w:r w:rsidR="00761918" w:rsidRPr="00340B1C">
        <w:rPr>
          <w:rFonts w:asciiTheme="minorHAnsi" w:hAnsiTheme="minorHAnsi" w:cstheme="minorHAnsi"/>
          <w:szCs w:val="24"/>
        </w:rPr>
        <w:t>risquant</w:t>
      </w:r>
      <w:r w:rsidRPr="00340B1C">
        <w:rPr>
          <w:rFonts w:asciiTheme="minorHAnsi" w:hAnsiTheme="minorHAnsi" w:cstheme="minorHAnsi"/>
          <w:szCs w:val="24"/>
        </w:rPr>
        <w:t xml:space="preserve"> la peine de mort étaient pauvres et illettrées.</w:t>
      </w:r>
      <w:r w:rsidR="000F22D5" w:rsidRPr="00340B1C">
        <w:rPr>
          <w:rStyle w:val="Appeldenotedefin"/>
          <w:rFonts w:asciiTheme="minorHAnsi" w:hAnsiTheme="minorHAnsi"/>
          <w:szCs w:val="24"/>
        </w:rPr>
        <w:endnoteReference w:id="20"/>
      </w:r>
      <w:r w:rsidRPr="00340B1C">
        <w:rPr>
          <w:rFonts w:asciiTheme="minorHAnsi" w:hAnsiTheme="minorHAnsi" w:cstheme="minorHAnsi"/>
          <w:szCs w:val="24"/>
        </w:rPr>
        <w:t xml:space="preserve"> Etant donné qu’elles ne savent ni lire ni écrire, leurs droits fondamentaux ont systématiquement été violés dans les différentes phases de la procédure pénale. Les observations montrent que les femmes pauvres et illettrées, originaires des zones de conflit et exerçant de petites activités génératrices de revenus pour survivre, risquent tout particulièrement d'être accusées d’infractions liées au terrorisme, passibles de la peine capitale. Il convient de noter que la situation socioéconomique des femmes dans les zones de conflit est très préoccupante. Et par ailleurs, le taux d’analphabétisme des femmes et de jeunes filles y est alarmant.</w:t>
      </w:r>
    </w:p>
    <w:p w14:paraId="46D36352" w14:textId="0418FC99" w:rsidR="00D74271" w:rsidRPr="00340B1C" w:rsidRDefault="00D74271" w:rsidP="00591C34">
      <w:pPr>
        <w:numPr>
          <w:ilvl w:val="0"/>
          <w:numId w:val="23"/>
        </w:numPr>
        <w:spacing w:after="200"/>
        <w:rPr>
          <w:rFonts w:asciiTheme="minorHAnsi" w:hAnsiTheme="minorHAnsi" w:cstheme="minorHAnsi"/>
          <w:szCs w:val="24"/>
        </w:rPr>
      </w:pPr>
      <w:r w:rsidRPr="00340B1C">
        <w:rPr>
          <w:rFonts w:asciiTheme="minorHAnsi" w:hAnsiTheme="minorHAnsi" w:cstheme="minorHAnsi"/>
          <w:szCs w:val="24"/>
        </w:rPr>
        <w:t>Il est à déplorer que les femmes pauvres et marginalisées so</w:t>
      </w:r>
      <w:r w:rsidR="00200E00">
        <w:rPr>
          <w:rFonts w:asciiTheme="minorHAnsi" w:hAnsiTheme="minorHAnsi" w:cstheme="minorHAnsi"/>
          <w:szCs w:val="24"/>
        </w:rPr>
        <w:t>ie</w:t>
      </w:r>
      <w:r w:rsidRPr="00340B1C">
        <w:rPr>
          <w:rFonts w:asciiTheme="minorHAnsi" w:hAnsiTheme="minorHAnsi" w:cstheme="minorHAnsi"/>
          <w:szCs w:val="24"/>
        </w:rPr>
        <w:t>nt traduites devant les tribunaux plus fréquemment que toute autre catégorie pour certaines infractions passibles de la peine capitale. La raison en est que les atteintes aux droits économiques et sociaux ont un effet discriminatoire sur les femmes et entraînent, dans certains cas, une violation de leur droit civil et politique à un procès équitable et à une procédure régulière. Une femme dont le droit à l'éducation a été limité risque tout particulièrement d'être victime de violations de son droit à un procès équitable et à une procédure régulière. Ces atteintes constituent une discrimination à l'égard des femmes selon la définition de la Convention sur l'élimination de toutes les formes de discrimination à l'égard des femmes.</w:t>
      </w:r>
    </w:p>
    <w:p w14:paraId="1479A54C" w14:textId="0E53A2CF" w:rsidR="007A0EC2" w:rsidRPr="00F32B0A" w:rsidRDefault="00F32B0A" w:rsidP="00591C34">
      <w:pPr>
        <w:pStyle w:val="Paragraphedeliste"/>
        <w:numPr>
          <w:ilvl w:val="0"/>
          <w:numId w:val="23"/>
        </w:numPr>
        <w:spacing w:after="240"/>
        <w:rPr>
          <w:b/>
          <w:bCs/>
        </w:rPr>
      </w:pPr>
      <w:r w:rsidRPr="00F32B0A">
        <w:rPr>
          <w:rFonts w:asciiTheme="minorHAnsi" w:hAnsiTheme="minorHAnsi" w:cstheme="minorHAnsi"/>
          <w:szCs w:val="24"/>
        </w:rPr>
        <w:t xml:space="preserve">L’affaire Fati est un cas emblématique de procès mené en violation flagrante des normes internationale en matière de procès équitable ayant abouti à une condamnation injuste dans le contexte de la lutte antiterroriste. Interpellée en janvier 2016 pour faits de terrorisme dans l’Extrême Nord, Fati a été auditionnée à l’enquête préliminaire en violation de ses droits procéduraux. Femme sans instruction, elle ignorait son droit à </w:t>
      </w:r>
      <w:proofErr w:type="spellStart"/>
      <w:r w:rsidRPr="00F32B0A">
        <w:rPr>
          <w:rFonts w:asciiTheme="minorHAnsi" w:hAnsiTheme="minorHAnsi" w:cstheme="minorHAnsi"/>
          <w:szCs w:val="24"/>
        </w:rPr>
        <w:t>un</w:t>
      </w:r>
      <w:r w:rsidR="00E426B3">
        <w:rPr>
          <w:rFonts w:asciiTheme="minorHAnsi" w:hAnsiTheme="minorHAnsi" w:cstheme="minorHAnsi"/>
          <w:szCs w:val="24"/>
        </w:rPr>
        <w:t>·e</w:t>
      </w:r>
      <w:proofErr w:type="spellEnd"/>
      <w:r w:rsidRPr="00F32B0A">
        <w:rPr>
          <w:rFonts w:asciiTheme="minorHAnsi" w:hAnsiTheme="minorHAnsi" w:cstheme="minorHAnsi"/>
          <w:szCs w:val="24"/>
        </w:rPr>
        <w:t xml:space="preserve"> </w:t>
      </w:r>
      <w:proofErr w:type="spellStart"/>
      <w:r w:rsidRPr="00F32B0A">
        <w:rPr>
          <w:rFonts w:asciiTheme="minorHAnsi" w:hAnsiTheme="minorHAnsi" w:cstheme="minorHAnsi"/>
          <w:szCs w:val="24"/>
        </w:rPr>
        <w:t>avocat</w:t>
      </w:r>
      <w:r w:rsidR="00E426B3">
        <w:rPr>
          <w:rFonts w:asciiTheme="minorHAnsi" w:hAnsiTheme="minorHAnsi" w:cstheme="minorHAnsi"/>
          <w:szCs w:val="24"/>
        </w:rPr>
        <w:t>·e</w:t>
      </w:r>
      <w:proofErr w:type="spellEnd"/>
      <w:r w:rsidRPr="00F32B0A">
        <w:rPr>
          <w:rFonts w:asciiTheme="minorHAnsi" w:hAnsiTheme="minorHAnsi" w:cstheme="minorHAnsi"/>
          <w:szCs w:val="24"/>
        </w:rPr>
        <w:t xml:space="preserve">, à </w:t>
      </w:r>
      <w:proofErr w:type="spellStart"/>
      <w:r w:rsidRPr="00F32B0A">
        <w:rPr>
          <w:rFonts w:asciiTheme="minorHAnsi" w:hAnsiTheme="minorHAnsi" w:cstheme="minorHAnsi"/>
          <w:szCs w:val="24"/>
        </w:rPr>
        <w:t>un</w:t>
      </w:r>
      <w:r w:rsidR="00E426B3">
        <w:rPr>
          <w:rFonts w:asciiTheme="minorHAnsi" w:hAnsiTheme="minorHAnsi" w:cstheme="minorHAnsi"/>
          <w:szCs w:val="24"/>
        </w:rPr>
        <w:t>·e</w:t>
      </w:r>
      <w:proofErr w:type="spellEnd"/>
      <w:r w:rsidRPr="00F32B0A">
        <w:rPr>
          <w:rFonts w:asciiTheme="minorHAnsi" w:hAnsiTheme="minorHAnsi" w:cstheme="minorHAnsi"/>
          <w:szCs w:val="24"/>
        </w:rPr>
        <w:t xml:space="preserve"> interprète, à des visites ou à des examens médicaux lors de sa garde à vue. Sans ses aveux et n’ayant jamais été confrontée à ses dénonciateurs, elle a été défendue par un avocat qui ne lui a jamais rendu visite ni recueilli sa version des faits. Se fondant uniquement sur le procès-verbal d’audition, le tribunal militaire de Maroua l’a condamnée à la peine de mort.</w:t>
      </w:r>
      <w:r>
        <w:rPr>
          <w:rStyle w:val="Appeldenotedefin"/>
          <w:rFonts w:asciiTheme="minorHAnsi" w:hAnsiTheme="minorHAnsi" w:cstheme="minorHAnsi"/>
          <w:szCs w:val="24"/>
        </w:rPr>
        <w:endnoteReference w:id="21"/>
      </w:r>
      <w:r w:rsidRPr="00F32B0A">
        <w:rPr>
          <w:rFonts w:asciiTheme="minorHAnsi" w:hAnsiTheme="minorHAnsi" w:cstheme="minorHAnsi"/>
          <w:szCs w:val="24"/>
        </w:rPr>
        <w:t xml:space="preserve"> Défendue en appel par un avocat du Réseau des avocats camerounais contre la peine de mort (RACOPEM), Fati a eu l’opportunité de donner sa version des faits corroborée par un témoin et a finalement été acquittée le 10 février 2023.</w:t>
      </w:r>
    </w:p>
    <w:p w14:paraId="792B46EF" w14:textId="77777777" w:rsidR="00E620A4" w:rsidRDefault="00E620A4" w:rsidP="00E620A4">
      <w:pPr>
        <w:rPr>
          <w:b/>
          <w:bCs/>
        </w:rPr>
      </w:pPr>
    </w:p>
    <w:p w14:paraId="062082DB" w14:textId="789EA4F5" w:rsidR="00146F67" w:rsidRPr="000462E1" w:rsidRDefault="00146F67" w:rsidP="00146F67">
      <w:pPr>
        <w:spacing w:after="240"/>
        <w:rPr>
          <w:rFonts w:cs="Calibri"/>
          <w:b/>
          <w:bCs/>
        </w:rPr>
      </w:pPr>
      <w:r>
        <w:rPr>
          <w:b/>
          <w:bCs/>
        </w:rPr>
        <w:t>CONDITIONS DE DÉTENTION DES PERSONNES CONDAMN</w:t>
      </w:r>
      <w:r>
        <w:rPr>
          <w:rFonts w:cs="Calibri"/>
          <w:b/>
          <w:bCs/>
        </w:rPr>
        <w:t>ÉES À MORT</w:t>
      </w:r>
    </w:p>
    <w:p w14:paraId="2848AC74" w14:textId="1EFA6BA8" w:rsidR="00146F67" w:rsidRDefault="0049713A" w:rsidP="00591C34">
      <w:pPr>
        <w:pStyle w:val="Paragraphedeliste"/>
        <w:numPr>
          <w:ilvl w:val="0"/>
          <w:numId w:val="23"/>
        </w:numPr>
        <w:rPr>
          <w:rFonts w:asciiTheme="minorHAnsi" w:hAnsiTheme="minorHAnsi" w:cstheme="minorHAnsi"/>
          <w:bCs/>
          <w:szCs w:val="24"/>
        </w:rPr>
      </w:pPr>
      <w:r w:rsidRPr="00340B1C">
        <w:rPr>
          <w:rFonts w:asciiTheme="minorHAnsi" w:hAnsiTheme="minorHAnsi" w:cstheme="minorHAnsi"/>
          <w:bCs/>
          <w:szCs w:val="24"/>
        </w:rPr>
        <w:t xml:space="preserve">Il </w:t>
      </w:r>
      <w:r w:rsidR="00340B1C" w:rsidRPr="00340B1C">
        <w:rPr>
          <w:rFonts w:asciiTheme="minorHAnsi" w:hAnsiTheme="minorHAnsi" w:cstheme="minorHAnsi"/>
          <w:bCs/>
          <w:szCs w:val="24"/>
        </w:rPr>
        <w:t>existe</w:t>
      </w:r>
      <w:r w:rsidRPr="00340B1C">
        <w:rPr>
          <w:rFonts w:asciiTheme="minorHAnsi" w:hAnsiTheme="minorHAnsi" w:cstheme="minorHAnsi"/>
          <w:bCs/>
          <w:szCs w:val="24"/>
        </w:rPr>
        <w:t xml:space="preserve"> une cinquantaine de prisons au Cameroun </w:t>
      </w:r>
      <w:r w:rsidR="00340B1C" w:rsidRPr="00340B1C">
        <w:rPr>
          <w:rFonts w:asciiTheme="minorHAnsi" w:hAnsiTheme="minorHAnsi" w:cstheme="minorHAnsi"/>
          <w:bCs/>
          <w:szCs w:val="24"/>
        </w:rPr>
        <w:t>pouvant</w:t>
      </w:r>
      <w:r w:rsidRPr="00340B1C">
        <w:rPr>
          <w:rFonts w:asciiTheme="minorHAnsi" w:hAnsiTheme="minorHAnsi" w:cstheme="minorHAnsi"/>
          <w:bCs/>
          <w:szCs w:val="24"/>
        </w:rPr>
        <w:t xml:space="preserve"> abriter les personnes condamnées à mort. Toutefois en ce moment, les femmes condamnées à mort se trouvent dans les prisons de </w:t>
      </w:r>
      <w:proofErr w:type="spellStart"/>
      <w:r w:rsidRPr="00340B1C">
        <w:rPr>
          <w:rFonts w:asciiTheme="minorHAnsi" w:hAnsiTheme="minorHAnsi" w:cstheme="minorHAnsi"/>
          <w:bCs/>
          <w:szCs w:val="24"/>
        </w:rPr>
        <w:t>Mbouda</w:t>
      </w:r>
      <w:proofErr w:type="spellEnd"/>
      <w:r w:rsidRPr="00340B1C">
        <w:rPr>
          <w:rFonts w:asciiTheme="minorHAnsi" w:hAnsiTheme="minorHAnsi" w:cstheme="minorHAnsi"/>
          <w:bCs/>
          <w:szCs w:val="24"/>
        </w:rPr>
        <w:t xml:space="preserve"> et Bafoussam.</w:t>
      </w:r>
    </w:p>
    <w:p w14:paraId="513B872F" w14:textId="77777777" w:rsidR="00340B1C" w:rsidRPr="00340B1C" w:rsidRDefault="00340B1C" w:rsidP="00340B1C">
      <w:pPr>
        <w:rPr>
          <w:rFonts w:asciiTheme="minorHAnsi" w:hAnsiTheme="minorHAnsi" w:cstheme="minorHAnsi"/>
          <w:bCs/>
          <w:szCs w:val="24"/>
        </w:rPr>
      </w:pPr>
    </w:p>
    <w:p w14:paraId="070CAE05" w14:textId="09EA4679" w:rsidR="00146F67" w:rsidRPr="00820CBA" w:rsidRDefault="00146F67" w:rsidP="00591C34">
      <w:pPr>
        <w:pStyle w:val="Paragraphedeliste"/>
        <w:numPr>
          <w:ilvl w:val="0"/>
          <w:numId w:val="23"/>
        </w:numPr>
        <w:spacing w:after="200"/>
        <w:rPr>
          <w:rFonts w:asciiTheme="minorHAnsi" w:hAnsiTheme="minorHAnsi" w:cstheme="minorHAnsi"/>
          <w:szCs w:val="24"/>
        </w:rPr>
      </w:pPr>
      <w:r w:rsidRPr="00026A35">
        <w:t xml:space="preserve">Dans de nombreuses prisons, </w:t>
      </w:r>
      <w:r>
        <w:t>l</w:t>
      </w:r>
      <w:r w:rsidRPr="004E462D">
        <w:t xml:space="preserve">es conditions de détentions des femmes condamnées à mort </w:t>
      </w:r>
      <w:r w:rsidRPr="00026A35">
        <w:t>sont identiques à celles d’autres détenus.</w:t>
      </w:r>
      <w:r>
        <w:t xml:space="preserve"> </w:t>
      </w:r>
      <w:r w:rsidRPr="00820CBA">
        <w:rPr>
          <w:rFonts w:asciiTheme="minorHAnsi" w:hAnsiTheme="minorHAnsi" w:cstheme="minorHAnsi"/>
          <w:szCs w:val="24"/>
        </w:rPr>
        <w:t xml:space="preserve">Les conditions de détention catastrophiques se caractérisent par une surpopulation endémique, </w:t>
      </w:r>
      <w:r w:rsidR="0049713A">
        <w:rPr>
          <w:rFonts w:asciiTheme="minorHAnsi" w:hAnsiTheme="minorHAnsi" w:cstheme="minorHAnsi"/>
          <w:szCs w:val="24"/>
        </w:rPr>
        <w:t xml:space="preserve">dans certaines prisons, </w:t>
      </w:r>
      <w:r w:rsidRPr="00340B1C">
        <w:rPr>
          <w:rFonts w:asciiTheme="minorHAnsi" w:hAnsiTheme="minorHAnsi" w:cstheme="minorHAnsi"/>
          <w:szCs w:val="24"/>
        </w:rPr>
        <w:t xml:space="preserve">une absence de séparation des </w:t>
      </w:r>
      <w:r w:rsidR="00340B1C">
        <w:rPr>
          <w:rFonts w:asciiTheme="minorHAnsi" w:hAnsiTheme="minorHAnsi" w:cstheme="minorHAnsi"/>
          <w:szCs w:val="24"/>
        </w:rPr>
        <w:t xml:space="preserve">personnes </w:t>
      </w:r>
      <w:r w:rsidRPr="00340B1C">
        <w:rPr>
          <w:rFonts w:asciiTheme="minorHAnsi" w:hAnsiTheme="minorHAnsi" w:cstheme="minorHAnsi"/>
          <w:szCs w:val="24"/>
        </w:rPr>
        <w:t>détenu</w:t>
      </w:r>
      <w:r w:rsidR="00340B1C">
        <w:rPr>
          <w:rFonts w:asciiTheme="minorHAnsi" w:hAnsiTheme="minorHAnsi" w:cstheme="minorHAnsi"/>
          <w:szCs w:val="24"/>
        </w:rPr>
        <w:t>e</w:t>
      </w:r>
      <w:r w:rsidRPr="00340B1C">
        <w:rPr>
          <w:rFonts w:asciiTheme="minorHAnsi" w:hAnsiTheme="minorHAnsi" w:cstheme="minorHAnsi"/>
          <w:szCs w:val="24"/>
        </w:rPr>
        <w:t>s suivant leur statut,</w:t>
      </w:r>
      <w:r w:rsidRPr="00820CBA">
        <w:rPr>
          <w:rFonts w:asciiTheme="minorHAnsi" w:hAnsiTheme="minorHAnsi" w:cstheme="minorHAnsi"/>
          <w:szCs w:val="24"/>
        </w:rPr>
        <w:t xml:space="preserve"> un accès à la santé et à l’alimentation très limité, un recours éventuel à des mauvais traitements et une absence de politique de réinsertion sociale.</w:t>
      </w:r>
    </w:p>
    <w:p w14:paraId="0C7C9B0F" w14:textId="7F0C0494" w:rsidR="00146F67" w:rsidRPr="00820CBA" w:rsidRDefault="00146F67" w:rsidP="00591C34">
      <w:pPr>
        <w:numPr>
          <w:ilvl w:val="0"/>
          <w:numId w:val="23"/>
        </w:numPr>
        <w:spacing w:after="200"/>
        <w:rPr>
          <w:rFonts w:asciiTheme="minorHAnsi" w:hAnsiTheme="minorHAnsi" w:cstheme="minorHAnsi"/>
          <w:bCs/>
          <w:szCs w:val="24"/>
        </w:rPr>
      </w:pPr>
      <w:r w:rsidRPr="00820CBA">
        <w:rPr>
          <w:rFonts w:asciiTheme="minorHAnsi" w:hAnsiTheme="minorHAnsi" w:cstheme="minorHAnsi"/>
          <w:szCs w:val="24"/>
        </w:rPr>
        <w:t>Les agents pénitentiaires exercent régulièrement</w:t>
      </w:r>
      <w:r w:rsidR="00470FD1">
        <w:rPr>
          <w:rFonts w:asciiTheme="minorHAnsi" w:hAnsiTheme="minorHAnsi" w:cstheme="minorHAnsi"/>
          <w:szCs w:val="24"/>
        </w:rPr>
        <w:t xml:space="preserve"> des sanctions disciplinaires assimilables à </w:t>
      </w:r>
      <w:r w:rsidRPr="00820CBA">
        <w:rPr>
          <w:rFonts w:asciiTheme="minorHAnsi" w:hAnsiTheme="minorHAnsi" w:cstheme="minorHAnsi"/>
          <w:szCs w:val="24"/>
        </w:rPr>
        <w:t xml:space="preserve">des actes de torture sur les personnes condamnées pour terrorisme </w:t>
      </w:r>
      <w:r w:rsidR="00340B1C" w:rsidRPr="00340B1C">
        <w:rPr>
          <w:rFonts w:asciiTheme="minorHAnsi" w:hAnsiTheme="minorHAnsi" w:cstheme="minorHAnsi"/>
          <w:szCs w:val="24"/>
        </w:rPr>
        <w:t>en</w:t>
      </w:r>
      <w:r w:rsidRPr="00820CBA">
        <w:rPr>
          <w:rFonts w:asciiTheme="minorHAnsi" w:hAnsiTheme="minorHAnsi" w:cstheme="minorHAnsi"/>
          <w:szCs w:val="24"/>
        </w:rPr>
        <w:t xml:space="preserve"> toute impunité. Très souvent, pour camoufler leurs crimes, ces agents n’hésitent pas, sous différents prétextes, à empêcher les </w:t>
      </w:r>
      <w:proofErr w:type="spellStart"/>
      <w:r w:rsidRPr="00820CBA">
        <w:rPr>
          <w:rFonts w:asciiTheme="minorHAnsi" w:hAnsiTheme="minorHAnsi" w:cstheme="minorHAnsi"/>
          <w:szCs w:val="24"/>
        </w:rPr>
        <w:t>avocat</w:t>
      </w:r>
      <w:r w:rsidR="00E426B3">
        <w:rPr>
          <w:rFonts w:asciiTheme="minorHAnsi" w:hAnsiTheme="minorHAnsi" w:cstheme="minorHAnsi"/>
          <w:szCs w:val="24"/>
        </w:rPr>
        <w:t>·e</w:t>
      </w:r>
      <w:r w:rsidRPr="00820CBA">
        <w:rPr>
          <w:rFonts w:asciiTheme="minorHAnsi" w:hAnsiTheme="minorHAnsi" w:cstheme="minorHAnsi"/>
          <w:szCs w:val="24"/>
        </w:rPr>
        <w:t>s</w:t>
      </w:r>
      <w:proofErr w:type="spellEnd"/>
      <w:r w:rsidRPr="00820CBA">
        <w:rPr>
          <w:rFonts w:asciiTheme="minorHAnsi" w:hAnsiTheme="minorHAnsi" w:cstheme="minorHAnsi"/>
          <w:szCs w:val="24"/>
        </w:rPr>
        <w:t xml:space="preserve"> de rendre visite à leurs </w:t>
      </w:r>
      <w:proofErr w:type="spellStart"/>
      <w:r w:rsidRPr="00820CBA">
        <w:rPr>
          <w:rFonts w:asciiTheme="minorHAnsi" w:hAnsiTheme="minorHAnsi" w:cstheme="minorHAnsi"/>
          <w:szCs w:val="24"/>
        </w:rPr>
        <w:t>client</w:t>
      </w:r>
      <w:r w:rsidR="00E426B3">
        <w:rPr>
          <w:rFonts w:asciiTheme="minorHAnsi" w:hAnsiTheme="minorHAnsi" w:cstheme="minorHAnsi"/>
          <w:szCs w:val="24"/>
        </w:rPr>
        <w:t>·e</w:t>
      </w:r>
      <w:r w:rsidRPr="00820CBA">
        <w:rPr>
          <w:rFonts w:asciiTheme="minorHAnsi" w:hAnsiTheme="minorHAnsi" w:cstheme="minorHAnsi"/>
          <w:szCs w:val="24"/>
        </w:rPr>
        <w:t>s</w:t>
      </w:r>
      <w:proofErr w:type="spellEnd"/>
      <w:r w:rsidRPr="00826C56">
        <w:rPr>
          <w:rFonts w:asciiTheme="minorHAnsi" w:hAnsiTheme="minorHAnsi" w:cstheme="minorHAnsi"/>
          <w:szCs w:val="24"/>
          <w:vertAlign w:val="superscript"/>
        </w:rPr>
        <w:endnoteReference w:id="22"/>
      </w:r>
      <w:r w:rsidRPr="00820CBA">
        <w:rPr>
          <w:rFonts w:asciiTheme="minorHAnsi" w:hAnsiTheme="minorHAnsi" w:cstheme="minorHAnsi"/>
          <w:szCs w:val="24"/>
        </w:rPr>
        <w:t>. Aucun progrès visible du gouvernement camerounais à mettre fin à la torture et à la détention au secret n’a été constaté</w:t>
      </w:r>
      <w:r w:rsidRPr="00826C56">
        <w:rPr>
          <w:rStyle w:val="Appeldenotedefin"/>
          <w:rFonts w:asciiTheme="minorHAnsi" w:hAnsiTheme="minorHAnsi" w:cstheme="minorHAnsi"/>
          <w:szCs w:val="24"/>
        </w:rPr>
        <w:endnoteReference w:id="23"/>
      </w:r>
      <w:r w:rsidRPr="00820CBA">
        <w:rPr>
          <w:rFonts w:asciiTheme="minorHAnsi" w:hAnsiTheme="minorHAnsi" w:cstheme="minorHAnsi"/>
          <w:szCs w:val="24"/>
        </w:rPr>
        <w:t>.</w:t>
      </w:r>
    </w:p>
    <w:p w14:paraId="23554C7E" w14:textId="77777777" w:rsidR="00146F67" w:rsidRDefault="00146F67" w:rsidP="00591C34">
      <w:pPr>
        <w:pStyle w:val="Paragraphedeliste"/>
        <w:numPr>
          <w:ilvl w:val="0"/>
          <w:numId w:val="23"/>
        </w:numPr>
        <w:spacing w:after="240"/>
      </w:pPr>
      <w:r w:rsidRPr="00026A35">
        <w:t>Les cellules des femmes sont séparées de celles des hommes et des enfants. Les femmes sont mélangées (prévenues et femmes déjà condamnées)</w:t>
      </w:r>
      <w:r>
        <w:t xml:space="preserve">. </w:t>
      </w:r>
      <w:r w:rsidRPr="00026A35">
        <w:t xml:space="preserve">Elles sont généralement logées dans les cellules de moins de 9 mètres carrés, éclairées et les toilettes se trouvant à l’extérieur. Il est arrivé que certaines soient en détention avec leurs enfants mineurs. </w:t>
      </w:r>
    </w:p>
    <w:p w14:paraId="1A64408A" w14:textId="77777777" w:rsidR="00146F67" w:rsidRPr="005C5496" w:rsidRDefault="00146F67" w:rsidP="00591C34">
      <w:pPr>
        <w:numPr>
          <w:ilvl w:val="0"/>
          <w:numId w:val="23"/>
        </w:numPr>
        <w:spacing w:after="200"/>
        <w:rPr>
          <w:rFonts w:asciiTheme="minorHAnsi" w:hAnsiTheme="minorHAnsi" w:cstheme="minorHAnsi"/>
          <w:szCs w:val="24"/>
        </w:rPr>
      </w:pPr>
      <w:r w:rsidRPr="005C5496">
        <w:rPr>
          <w:rFonts w:asciiTheme="minorHAnsi" w:hAnsiTheme="minorHAnsi" w:cstheme="minorHAnsi"/>
          <w:szCs w:val="24"/>
        </w:rPr>
        <w:t>Les femmes détenues dans le couloir de la mort sont confrontées à de</w:t>
      </w:r>
      <w:r>
        <w:rPr>
          <w:rFonts w:asciiTheme="minorHAnsi" w:hAnsiTheme="minorHAnsi" w:cstheme="minorHAnsi"/>
          <w:szCs w:val="24"/>
        </w:rPr>
        <w:t>s</w:t>
      </w:r>
      <w:r w:rsidRPr="005C5496">
        <w:rPr>
          <w:rFonts w:asciiTheme="minorHAnsi" w:hAnsiTheme="minorHAnsi" w:cstheme="minorHAnsi"/>
          <w:szCs w:val="24"/>
        </w:rPr>
        <w:t xml:space="preserve"> </w:t>
      </w:r>
      <w:r>
        <w:rPr>
          <w:rFonts w:asciiTheme="minorHAnsi" w:hAnsiTheme="minorHAnsi" w:cstheme="minorHAnsi"/>
          <w:szCs w:val="24"/>
        </w:rPr>
        <w:t>défis</w:t>
      </w:r>
      <w:r w:rsidRPr="005C5496">
        <w:rPr>
          <w:rFonts w:asciiTheme="minorHAnsi" w:hAnsiTheme="minorHAnsi" w:cstheme="minorHAnsi"/>
          <w:szCs w:val="24"/>
        </w:rPr>
        <w:t xml:space="preserve"> </w:t>
      </w:r>
      <w:r>
        <w:rPr>
          <w:rFonts w:asciiTheme="minorHAnsi" w:hAnsiTheme="minorHAnsi" w:cstheme="minorHAnsi"/>
          <w:szCs w:val="24"/>
        </w:rPr>
        <w:t>spécifiques</w:t>
      </w:r>
      <w:r w:rsidRPr="005C5496">
        <w:rPr>
          <w:rFonts w:asciiTheme="minorHAnsi" w:hAnsiTheme="minorHAnsi" w:cstheme="minorHAnsi"/>
          <w:szCs w:val="24"/>
        </w:rPr>
        <w:t>, notamment le manque de produit d’entretien, d’hygiène et de la toilette intime, de soins médicaux</w:t>
      </w:r>
      <w:r>
        <w:rPr>
          <w:rFonts w:asciiTheme="minorHAnsi" w:hAnsiTheme="minorHAnsi" w:cstheme="minorHAnsi"/>
          <w:szCs w:val="24"/>
        </w:rPr>
        <w:t xml:space="preserve"> et</w:t>
      </w:r>
      <w:r w:rsidRPr="005C5496">
        <w:rPr>
          <w:rFonts w:asciiTheme="minorHAnsi" w:hAnsiTheme="minorHAnsi" w:cstheme="minorHAnsi"/>
          <w:szCs w:val="24"/>
        </w:rPr>
        <w:t xml:space="preserve"> de soins liés à la santé mentale. Tous</w:t>
      </w:r>
      <w:r>
        <w:rPr>
          <w:rFonts w:asciiTheme="minorHAnsi" w:hAnsiTheme="minorHAnsi" w:cstheme="minorHAnsi"/>
          <w:szCs w:val="24"/>
        </w:rPr>
        <w:t xml:space="preserve"> ces besoins, bien que prescrit</w:t>
      </w:r>
      <w:r w:rsidRPr="005C5496">
        <w:rPr>
          <w:rFonts w:asciiTheme="minorHAnsi" w:hAnsiTheme="minorHAnsi" w:cstheme="minorHAnsi"/>
          <w:szCs w:val="24"/>
        </w:rPr>
        <w:t xml:space="preserve">s par les normes internationales de détention, sont très souvent ignorés par </w:t>
      </w:r>
      <w:r>
        <w:rPr>
          <w:rFonts w:asciiTheme="minorHAnsi" w:hAnsiTheme="minorHAnsi" w:cstheme="minorHAnsi"/>
          <w:szCs w:val="24"/>
        </w:rPr>
        <w:t xml:space="preserve">l’administration pénitentiaire. Elles </w:t>
      </w:r>
      <w:r w:rsidRPr="005C5496">
        <w:rPr>
          <w:rFonts w:asciiTheme="minorHAnsi" w:hAnsiTheme="minorHAnsi" w:cstheme="minorHAnsi"/>
          <w:szCs w:val="24"/>
        </w:rPr>
        <w:t xml:space="preserve">n’ont </w:t>
      </w:r>
      <w:r>
        <w:rPr>
          <w:rFonts w:asciiTheme="minorHAnsi" w:hAnsiTheme="minorHAnsi" w:cstheme="minorHAnsi"/>
          <w:szCs w:val="24"/>
        </w:rPr>
        <w:t xml:space="preserve">notamment </w:t>
      </w:r>
      <w:r w:rsidRPr="005C5496">
        <w:rPr>
          <w:rFonts w:asciiTheme="minorHAnsi" w:hAnsiTheme="minorHAnsi" w:cstheme="minorHAnsi"/>
          <w:szCs w:val="24"/>
        </w:rPr>
        <w:t xml:space="preserve">pas accès aux soins gynécologiques </w:t>
      </w:r>
      <w:r>
        <w:rPr>
          <w:rFonts w:asciiTheme="minorHAnsi" w:hAnsiTheme="minorHAnsi" w:cstheme="minorHAnsi"/>
          <w:szCs w:val="24"/>
        </w:rPr>
        <w:t>ni à de</w:t>
      </w:r>
      <w:r w:rsidRPr="005C5496">
        <w:rPr>
          <w:rFonts w:asciiTheme="minorHAnsi" w:hAnsiTheme="minorHAnsi" w:cstheme="minorHAnsi"/>
          <w:szCs w:val="24"/>
        </w:rPr>
        <w:t xml:space="preserve"> simples serviettes hygiéniques si ce n’est lorsque les organisations humanitaires ou confessionnelles organisent de</w:t>
      </w:r>
      <w:r>
        <w:rPr>
          <w:rFonts w:asciiTheme="minorHAnsi" w:hAnsiTheme="minorHAnsi" w:cstheme="minorHAnsi"/>
          <w:szCs w:val="24"/>
        </w:rPr>
        <w:t xml:space="preserve"> rare</w:t>
      </w:r>
      <w:r w:rsidRPr="005C5496">
        <w:rPr>
          <w:rFonts w:asciiTheme="minorHAnsi" w:hAnsiTheme="minorHAnsi" w:cstheme="minorHAnsi"/>
          <w:szCs w:val="24"/>
        </w:rPr>
        <w:t>s campagnes de sensibilisat</w:t>
      </w:r>
      <w:r>
        <w:rPr>
          <w:rFonts w:asciiTheme="minorHAnsi" w:hAnsiTheme="minorHAnsi" w:cstheme="minorHAnsi"/>
          <w:szCs w:val="24"/>
        </w:rPr>
        <w:t>ion</w:t>
      </w:r>
      <w:r w:rsidRPr="005C5496">
        <w:rPr>
          <w:rFonts w:asciiTheme="minorHAnsi" w:hAnsiTheme="minorHAnsi" w:cstheme="minorHAnsi"/>
          <w:szCs w:val="24"/>
        </w:rPr>
        <w:t xml:space="preserve">. </w:t>
      </w:r>
    </w:p>
    <w:p w14:paraId="130C9B8B" w14:textId="1F60D24B" w:rsidR="00146F67" w:rsidRPr="00820CBA" w:rsidRDefault="00146F67" w:rsidP="00591C34">
      <w:pPr>
        <w:numPr>
          <w:ilvl w:val="0"/>
          <w:numId w:val="23"/>
        </w:numPr>
        <w:spacing w:after="200"/>
        <w:rPr>
          <w:rFonts w:asciiTheme="minorHAnsi" w:hAnsiTheme="minorHAnsi" w:cstheme="minorHAnsi"/>
          <w:szCs w:val="24"/>
        </w:rPr>
      </w:pPr>
      <w:r w:rsidRPr="00820CBA">
        <w:rPr>
          <w:rFonts w:asciiTheme="minorHAnsi" w:hAnsiTheme="minorHAnsi" w:cstheme="minorHAnsi"/>
          <w:szCs w:val="24"/>
        </w:rPr>
        <w:t>Les conditions d’hygiène sont déplorables : l’administration ne leur fournit pas de serviettes hygiéniques, de brosse à dents</w:t>
      </w:r>
      <w:r w:rsidR="008F5F63">
        <w:rPr>
          <w:rFonts w:asciiTheme="minorHAnsi" w:hAnsiTheme="minorHAnsi" w:cstheme="minorHAnsi"/>
          <w:szCs w:val="24"/>
        </w:rPr>
        <w:t xml:space="preserve"> ou</w:t>
      </w:r>
      <w:r w:rsidRPr="00820CBA">
        <w:rPr>
          <w:rFonts w:asciiTheme="minorHAnsi" w:hAnsiTheme="minorHAnsi" w:cstheme="minorHAnsi"/>
          <w:szCs w:val="24"/>
        </w:rPr>
        <w:t xml:space="preserve"> de savon. Chaque femme se débrouille comme elle peut.</w:t>
      </w:r>
    </w:p>
    <w:p w14:paraId="65B7D9D1" w14:textId="77777777" w:rsidR="00146F67" w:rsidRPr="00820CBA" w:rsidRDefault="00146F67" w:rsidP="00591C34">
      <w:pPr>
        <w:numPr>
          <w:ilvl w:val="0"/>
          <w:numId w:val="23"/>
        </w:numPr>
        <w:spacing w:after="200"/>
        <w:rPr>
          <w:rFonts w:asciiTheme="minorHAnsi" w:hAnsiTheme="minorHAnsi" w:cstheme="minorHAnsi"/>
          <w:szCs w:val="24"/>
        </w:rPr>
      </w:pPr>
      <w:r w:rsidRPr="00820CBA">
        <w:rPr>
          <w:rFonts w:asciiTheme="minorHAnsi" w:hAnsiTheme="minorHAnsi" w:cstheme="minorHAnsi"/>
          <w:szCs w:val="24"/>
        </w:rPr>
        <w:t>Leur alimentation est généralement constituée de maïs et de haricot. Dans plusieurs prisons, les femmes cuisinent elles-mêmes leur nourriture. Les femmes peuvent également recevoir de la nourriture qui vient de l’extérieur ; ce qui est très rare.</w:t>
      </w:r>
    </w:p>
    <w:p w14:paraId="592C1B37" w14:textId="138FD8C5" w:rsidR="00146F67" w:rsidRPr="00514B79" w:rsidRDefault="00146F67" w:rsidP="00591C34">
      <w:pPr>
        <w:numPr>
          <w:ilvl w:val="0"/>
          <w:numId w:val="23"/>
        </w:numPr>
        <w:spacing w:after="200"/>
        <w:rPr>
          <w:rFonts w:asciiTheme="minorHAnsi" w:hAnsiTheme="minorHAnsi" w:cstheme="minorHAnsi"/>
          <w:szCs w:val="24"/>
        </w:rPr>
      </w:pPr>
      <w:r>
        <w:rPr>
          <w:rFonts w:asciiTheme="minorHAnsi" w:hAnsiTheme="minorHAnsi" w:cstheme="minorHAnsi"/>
          <w:szCs w:val="24"/>
        </w:rPr>
        <w:t>Toutes les prisons comptent</w:t>
      </w:r>
      <w:r w:rsidRPr="00514B79">
        <w:rPr>
          <w:rFonts w:asciiTheme="minorHAnsi" w:hAnsiTheme="minorHAnsi" w:cstheme="minorHAnsi"/>
          <w:szCs w:val="24"/>
        </w:rPr>
        <w:t xml:space="preserve"> une infirmerie</w:t>
      </w:r>
      <w:r>
        <w:rPr>
          <w:rFonts w:asciiTheme="minorHAnsi" w:hAnsiTheme="minorHAnsi" w:cstheme="minorHAnsi"/>
          <w:szCs w:val="24"/>
        </w:rPr>
        <w:t>,</w:t>
      </w:r>
      <w:r w:rsidRPr="00514B79">
        <w:rPr>
          <w:rFonts w:asciiTheme="minorHAnsi" w:hAnsiTheme="minorHAnsi" w:cstheme="minorHAnsi"/>
          <w:szCs w:val="24"/>
        </w:rPr>
        <w:t xml:space="preserve"> et certaines, un centre hospitalier. Cependant l’accès aux soins de santé reste un défi permanent. Bien que le droit à la santé soit reconnu à </w:t>
      </w:r>
      <w:proofErr w:type="spellStart"/>
      <w:r w:rsidRPr="00514B79">
        <w:rPr>
          <w:rFonts w:asciiTheme="minorHAnsi" w:hAnsiTheme="minorHAnsi" w:cstheme="minorHAnsi"/>
          <w:szCs w:val="24"/>
        </w:rPr>
        <w:t>tout</w:t>
      </w:r>
      <w:r w:rsidR="00E426B3">
        <w:rPr>
          <w:rFonts w:asciiTheme="minorHAnsi" w:hAnsiTheme="minorHAnsi" w:cstheme="minorHAnsi"/>
          <w:szCs w:val="24"/>
        </w:rPr>
        <w:t>·e</w:t>
      </w:r>
      <w:proofErr w:type="spellEnd"/>
      <w:r w:rsidRPr="00514B79">
        <w:rPr>
          <w:rFonts w:asciiTheme="minorHAnsi" w:hAnsiTheme="minorHAnsi" w:cstheme="minorHAnsi"/>
          <w:szCs w:val="24"/>
        </w:rPr>
        <w:t xml:space="preserve"> </w:t>
      </w:r>
      <w:proofErr w:type="spellStart"/>
      <w:r w:rsidRPr="00514B79">
        <w:rPr>
          <w:rFonts w:asciiTheme="minorHAnsi" w:hAnsiTheme="minorHAnsi" w:cstheme="minorHAnsi"/>
          <w:szCs w:val="24"/>
        </w:rPr>
        <w:t>citoyen</w:t>
      </w:r>
      <w:r w:rsidR="00E426B3">
        <w:rPr>
          <w:rFonts w:asciiTheme="minorHAnsi" w:hAnsiTheme="minorHAnsi" w:cstheme="minorHAnsi"/>
          <w:szCs w:val="24"/>
        </w:rPr>
        <w:t>·ne</w:t>
      </w:r>
      <w:proofErr w:type="spellEnd"/>
      <w:r w:rsidRPr="00514B79">
        <w:rPr>
          <w:rFonts w:asciiTheme="minorHAnsi" w:hAnsiTheme="minorHAnsi" w:cstheme="minorHAnsi"/>
          <w:szCs w:val="24"/>
        </w:rPr>
        <w:t xml:space="preserve">, les femmes détenues ont souvent des difficultés à se faire soigner pour plusieurs raisons : la barrière linguistique (elles ne savent ni lire ni écrire) ; le personnel médical de la prison essentiellement masculin ; </w:t>
      </w:r>
      <w:r w:rsidR="00340B1C">
        <w:t>l’absence de</w:t>
      </w:r>
      <w:r w:rsidR="00340B1C" w:rsidRPr="00026A35">
        <w:t xml:space="preserve"> soins appropriés</w:t>
      </w:r>
      <w:r w:rsidR="00340B1C">
        <w:t xml:space="preserve"> et sexo-spécifiques proposés par l’infirmerie de la prison, </w:t>
      </w:r>
      <w:r w:rsidR="00340B1C" w:rsidRPr="00026A35">
        <w:t xml:space="preserve">surtout pour celles qui souffrent de santé </w:t>
      </w:r>
      <w:r w:rsidR="00340B1C" w:rsidRPr="00514B79">
        <w:rPr>
          <w:rFonts w:asciiTheme="minorHAnsi" w:hAnsiTheme="minorHAnsi" w:cstheme="minorHAnsi"/>
          <w:szCs w:val="24"/>
        </w:rPr>
        <w:t>mentale.</w:t>
      </w:r>
      <w:r w:rsidR="00340B1C">
        <w:rPr>
          <w:rFonts w:asciiTheme="minorHAnsi" w:hAnsiTheme="minorHAnsi" w:cstheme="minorHAnsi"/>
          <w:szCs w:val="24"/>
        </w:rPr>
        <w:t xml:space="preserve"> L</w:t>
      </w:r>
      <w:r w:rsidR="00A04652">
        <w:t>a rareté des distributions gratuites de médicaments a pour conséquence une aggravation de l’état de santé nécessitant la réalisation d’examens et d’achats de médicaments, qui ne peuvent être fournis que grâce à l’aide d’un bon samaritain qui acceptera de les aider</w:t>
      </w:r>
      <w:r w:rsidR="00340B1C">
        <w:t>.</w:t>
      </w:r>
    </w:p>
    <w:p w14:paraId="0399FF84" w14:textId="607043B6" w:rsidR="00824402" w:rsidRDefault="00146F67" w:rsidP="00591C34">
      <w:pPr>
        <w:numPr>
          <w:ilvl w:val="0"/>
          <w:numId w:val="23"/>
        </w:numPr>
        <w:spacing w:after="200"/>
        <w:rPr>
          <w:rFonts w:asciiTheme="minorHAnsi" w:hAnsiTheme="minorHAnsi" w:cstheme="minorHAnsi"/>
          <w:szCs w:val="24"/>
        </w:rPr>
      </w:pPr>
      <w:r w:rsidRPr="00514B79">
        <w:rPr>
          <w:rFonts w:asciiTheme="minorHAnsi" w:hAnsiTheme="minorHAnsi" w:cstheme="minorHAnsi"/>
          <w:szCs w:val="24"/>
        </w:rPr>
        <w:t xml:space="preserve">Les visites dans les lieux de détention ont révélé que des femmes condamnées à mort présentent des </w:t>
      </w:r>
      <w:r w:rsidR="00E426B3">
        <w:rPr>
          <w:rFonts w:asciiTheme="minorHAnsi" w:hAnsiTheme="minorHAnsi" w:cstheme="minorHAnsi"/>
          <w:szCs w:val="24"/>
        </w:rPr>
        <w:t>handicaps psychosociaux</w:t>
      </w:r>
      <w:r w:rsidRPr="00514B79">
        <w:rPr>
          <w:rFonts w:asciiTheme="minorHAnsi" w:hAnsiTheme="minorHAnsi" w:cstheme="minorHAnsi"/>
          <w:szCs w:val="24"/>
        </w:rPr>
        <w:t xml:space="preserve">. Les questions de santé mentale lorsqu’elles concernent les femmes ne sont pas prises au sérieux ou sont simplement méconnues par les agents d’application de la loi. </w:t>
      </w:r>
    </w:p>
    <w:p w14:paraId="3CE531D1" w14:textId="2CF55C97" w:rsidR="00DE43B2" w:rsidRPr="00824402" w:rsidRDefault="00824402" w:rsidP="00591C34">
      <w:pPr>
        <w:numPr>
          <w:ilvl w:val="0"/>
          <w:numId w:val="23"/>
        </w:numPr>
        <w:spacing w:after="200"/>
        <w:rPr>
          <w:rFonts w:asciiTheme="minorHAnsi" w:hAnsiTheme="minorHAnsi" w:cstheme="minorHAnsi"/>
          <w:szCs w:val="24"/>
        </w:rPr>
      </w:pPr>
      <w:r>
        <w:rPr>
          <w:rFonts w:asciiTheme="minorHAnsi" w:hAnsiTheme="minorHAnsi" w:cstheme="minorHAnsi"/>
          <w:szCs w:val="24"/>
        </w:rPr>
        <w:t>Un</w:t>
      </w:r>
      <w:r w:rsidR="00A3408E" w:rsidRPr="00824402">
        <w:rPr>
          <w:rFonts w:asciiTheme="minorHAnsi" w:hAnsiTheme="minorHAnsi" w:cstheme="minorHAnsi"/>
          <w:szCs w:val="24"/>
        </w:rPr>
        <w:t xml:space="preserve"> cas emblématique </w:t>
      </w:r>
      <w:r>
        <w:rPr>
          <w:rFonts w:asciiTheme="minorHAnsi" w:hAnsiTheme="minorHAnsi" w:cstheme="minorHAnsi"/>
          <w:szCs w:val="24"/>
        </w:rPr>
        <w:t xml:space="preserve">est celui </w:t>
      </w:r>
      <w:r w:rsidR="00A3408E" w:rsidRPr="00824402">
        <w:rPr>
          <w:rFonts w:asciiTheme="minorHAnsi" w:hAnsiTheme="minorHAnsi" w:cstheme="minorHAnsi"/>
          <w:szCs w:val="24"/>
        </w:rPr>
        <w:t xml:space="preserve">de Hélène </w:t>
      </w:r>
      <w:proofErr w:type="spellStart"/>
      <w:r w:rsidR="00A3408E" w:rsidRPr="00824402">
        <w:rPr>
          <w:rFonts w:asciiTheme="minorHAnsi" w:hAnsiTheme="minorHAnsi" w:cstheme="minorHAnsi"/>
          <w:szCs w:val="24"/>
        </w:rPr>
        <w:t>Teuba</w:t>
      </w:r>
      <w:proofErr w:type="spellEnd"/>
      <w:r>
        <w:rPr>
          <w:rFonts w:asciiTheme="minorHAnsi" w:hAnsiTheme="minorHAnsi" w:cstheme="minorHAnsi"/>
          <w:szCs w:val="24"/>
        </w:rPr>
        <w:t>,</w:t>
      </w:r>
      <w:r w:rsidR="00A3408E" w:rsidRPr="00824402">
        <w:rPr>
          <w:rFonts w:asciiTheme="minorHAnsi" w:hAnsiTheme="minorHAnsi" w:cstheme="minorHAnsi"/>
          <w:szCs w:val="24"/>
        </w:rPr>
        <w:t xml:space="preserve"> condamnée à mort par le tribunal de grande instance du </w:t>
      </w:r>
      <w:proofErr w:type="spellStart"/>
      <w:r w:rsidR="00A3408E" w:rsidRPr="00824402">
        <w:rPr>
          <w:rFonts w:asciiTheme="minorHAnsi" w:hAnsiTheme="minorHAnsi" w:cstheme="minorHAnsi"/>
          <w:szCs w:val="24"/>
        </w:rPr>
        <w:t>Ndé</w:t>
      </w:r>
      <w:proofErr w:type="spellEnd"/>
      <w:r w:rsidR="00A3408E" w:rsidRPr="00824402">
        <w:rPr>
          <w:rFonts w:asciiTheme="minorHAnsi" w:hAnsiTheme="minorHAnsi" w:cstheme="minorHAnsi"/>
          <w:szCs w:val="24"/>
        </w:rPr>
        <w:t xml:space="preserve">, à </w:t>
      </w:r>
      <w:proofErr w:type="spellStart"/>
      <w:r w:rsidR="00A3408E" w:rsidRPr="00824402">
        <w:rPr>
          <w:rFonts w:asciiTheme="minorHAnsi" w:hAnsiTheme="minorHAnsi" w:cstheme="minorHAnsi"/>
          <w:szCs w:val="24"/>
        </w:rPr>
        <w:t>Bangante</w:t>
      </w:r>
      <w:proofErr w:type="spellEnd"/>
      <w:r w:rsidR="00A3408E" w:rsidRPr="00824402">
        <w:rPr>
          <w:rFonts w:asciiTheme="minorHAnsi" w:hAnsiTheme="minorHAnsi" w:cstheme="minorHAnsi"/>
          <w:szCs w:val="24"/>
        </w:rPr>
        <w:t>, le 10 mai 2004, pour avoir tué deux de ses enfants en les précipitant dans une rivière.</w:t>
      </w:r>
      <w:r>
        <w:rPr>
          <w:rStyle w:val="Appeldenotedefin"/>
          <w:rFonts w:asciiTheme="minorHAnsi" w:hAnsiTheme="minorHAnsi"/>
          <w:szCs w:val="24"/>
        </w:rPr>
        <w:endnoteReference w:id="24"/>
      </w:r>
      <w:r w:rsidRPr="00824402">
        <w:rPr>
          <w:rFonts w:asciiTheme="minorHAnsi" w:hAnsiTheme="minorHAnsi" w:cstheme="minorHAnsi"/>
          <w:szCs w:val="24"/>
        </w:rPr>
        <w:t xml:space="preserve"> </w:t>
      </w:r>
      <w:r w:rsidR="00A3408E" w:rsidRPr="00824402">
        <w:rPr>
          <w:rFonts w:asciiTheme="minorHAnsi" w:hAnsiTheme="minorHAnsi" w:cstheme="minorHAnsi"/>
          <w:szCs w:val="24"/>
        </w:rPr>
        <w:t xml:space="preserve">Hélène </w:t>
      </w:r>
      <w:proofErr w:type="spellStart"/>
      <w:r w:rsidR="00A3408E" w:rsidRPr="00824402">
        <w:rPr>
          <w:rFonts w:asciiTheme="minorHAnsi" w:hAnsiTheme="minorHAnsi" w:cstheme="minorHAnsi"/>
          <w:szCs w:val="24"/>
        </w:rPr>
        <w:t>Teuba</w:t>
      </w:r>
      <w:proofErr w:type="spellEnd"/>
      <w:r w:rsidR="0048285B">
        <w:rPr>
          <w:rStyle w:val="Appeldenotedefin"/>
          <w:rFonts w:asciiTheme="minorHAnsi" w:hAnsiTheme="minorHAnsi"/>
          <w:szCs w:val="24"/>
        </w:rPr>
        <w:endnoteReference w:id="25"/>
      </w:r>
      <w:r w:rsidR="00A3408E" w:rsidRPr="00824402">
        <w:rPr>
          <w:rFonts w:asciiTheme="minorHAnsi" w:hAnsiTheme="minorHAnsi" w:cstheme="minorHAnsi"/>
          <w:szCs w:val="24"/>
        </w:rPr>
        <w:t xml:space="preserve"> a indiqué à de multiples reprises avoir agi sous l’emprise d’une force maléfique. La législation camerounaise est claire sur les cas de </w:t>
      </w:r>
      <w:r w:rsidRPr="00824402">
        <w:rPr>
          <w:rFonts w:asciiTheme="minorHAnsi" w:hAnsiTheme="minorHAnsi" w:cstheme="minorHAnsi"/>
          <w:szCs w:val="24"/>
        </w:rPr>
        <w:t>démence :</w:t>
      </w:r>
      <w:r w:rsidR="00A3408E" w:rsidRPr="00824402">
        <w:rPr>
          <w:rFonts w:asciiTheme="minorHAnsi" w:hAnsiTheme="minorHAnsi" w:cstheme="minorHAnsi"/>
          <w:szCs w:val="24"/>
        </w:rPr>
        <w:t xml:space="preserve"> un individu atteint « d’une maladie mentale telle que sa volonté a été abolie ou qu’il n’a pu avoir conscience du caractère répréhensible de son acte » est pénalement irresponsable. Si la démence n’est pas totale, elle constitue tout de même une excuse atténuante.</w:t>
      </w:r>
      <w:r>
        <w:rPr>
          <w:rStyle w:val="Appeldenotedefin"/>
          <w:rFonts w:asciiTheme="minorHAnsi" w:hAnsiTheme="minorHAnsi"/>
          <w:szCs w:val="24"/>
        </w:rPr>
        <w:endnoteReference w:id="26"/>
      </w:r>
      <w:r w:rsidR="00A3408E" w:rsidRPr="00824402">
        <w:rPr>
          <w:rFonts w:asciiTheme="minorHAnsi" w:hAnsiTheme="minorHAnsi" w:cstheme="minorHAnsi"/>
          <w:szCs w:val="24"/>
        </w:rPr>
        <w:t xml:space="preserve"> Néanmoins, dans ces cas, il est de la responsabilité du tribunal d’ordonner une expertise médicale, ce qui n’a pas été réalisé</w:t>
      </w:r>
      <w:r w:rsidR="0049713A" w:rsidRPr="00824402">
        <w:rPr>
          <w:rFonts w:asciiTheme="minorHAnsi" w:hAnsiTheme="minorHAnsi" w:cstheme="minorHAnsi"/>
          <w:szCs w:val="24"/>
        </w:rPr>
        <w:t>e</w:t>
      </w:r>
      <w:r w:rsidR="00A3408E" w:rsidRPr="00824402">
        <w:rPr>
          <w:rFonts w:asciiTheme="minorHAnsi" w:hAnsiTheme="minorHAnsi" w:cstheme="minorHAnsi"/>
          <w:szCs w:val="24"/>
        </w:rPr>
        <w:t xml:space="preserve"> pour Hélène </w:t>
      </w:r>
      <w:proofErr w:type="spellStart"/>
      <w:r w:rsidR="00A3408E" w:rsidRPr="00824402">
        <w:rPr>
          <w:rFonts w:asciiTheme="minorHAnsi" w:hAnsiTheme="minorHAnsi" w:cstheme="minorHAnsi"/>
          <w:szCs w:val="24"/>
        </w:rPr>
        <w:t>Teuba</w:t>
      </w:r>
      <w:proofErr w:type="spellEnd"/>
      <w:r w:rsidR="00A3408E" w:rsidRPr="00824402">
        <w:rPr>
          <w:rFonts w:asciiTheme="minorHAnsi" w:hAnsiTheme="minorHAnsi" w:cstheme="minorHAnsi"/>
          <w:szCs w:val="24"/>
        </w:rPr>
        <w:t>.</w:t>
      </w:r>
      <w:r>
        <w:rPr>
          <w:rStyle w:val="Appeldenotedefin"/>
          <w:rFonts w:asciiTheme="minorHAnsi" w:hAnsiTheme="minorHAnsi"/>
          <w:szCs w:val="24"/>
        </w:rPr>
        <w:endnoteReference w:id="27"/>
      </w:r>
      <w:r w:rsidR="00A3408E" w:rsidRPr="00824402">
        <w:rPr>
          <w:rFonts w:asciiTheme="minorHAnsi" w:hAnsiTheme="minorHAnsi" w:cstheme="minorHAnsi"/>
          <w:szCs w:val="24"/>
        </w:rPr>
        <w:t xml:space="preserve"> D’après les entretiens réalisés avec les gardiens de la prison et les autres personnes détenues rencontrées à Bafoussam, où elle est incarcérée, l’état mental d’Hélène </w:t>
      </w:r>
      <w:proofErr w:type="spellStart"/>
      <w:r w:rsidR="00A3408E" w:rsidRPr="00824402">
        <w:rPr>
          <w:rFonts w:asciiTheme="minorHAnsi" w:hAnsiTheme="minorHAnsi" w:cstheme="minorHAnsi"/>
          <w:szCs w:val="24"/>
        </w:rPr>
        <w:t>Teuba</w:t>
      </w:r>
      <w:proofErr w:type="spellEnd"/>
      <w:r w:rsidR="00A3408E" w:rsidRPr="00824402">
        <w:rPr>
          <w:rFonts w:asciiTheme="minorHAnsi" w:hAnsiTheme="minorHAnsi" w:cstheme="minorHAnsi"/>
          <w:szCs w:val="24"/>
        </w:rPr>
        <w:t xml:space="preserve"> se serait aggravé en détention. Elle n’a reçu aucune assistance médicale spécifique pour ses troubles et serait devenue très agressive. </w:t>
      </w:r>
      <w:r w:rsidR="00DE43B2" w:rsidRPr="00824402">
        <w:rPr>
          <w:rFonts w:asciiTheme="minorHAnsi" w:hAnsiTheme="minorHAnsi" w:cstheme="minorHAnsi"/>
          <w:szCs w:val="24"/>
        </w:rPr>
        <w:t xml:space="preserve">Le 15 avril 2020, suite au décret n°2020/193 portant commutation et remise de peines sus visé, Hélène TEUBA, initialement condamnée la peine de mort, a vu sa peine </w:t>
      </w:r>
      <w:r w:rsidR="00564629" w:rsidRPr="00824402">
        <w:rPr>
          <w:rFonts w:asciiTheme="minorHAnsi" w:hAnsiTheme="minorHAnsi" w:cstheme="minorHAnsi"/>
          <w:szCs w:val="24"/>
        </w:rPr>
        <w:t>être commuée</w:t>
      </w:r>
      <w:r w:rsidR="00DE43B2" w:rsidRPr="00824402">
        <w:rPr>
          <w:rFonts w:asciiTheme="minorHAnsi" w:hAnsiTheme="minorHAnsi" w:cstheme="minorHAnsi"/>
          <w:szCs w:val="24"/>
        </w:rPr>
        <w:t xml:space="preserve"> en prison à vie</w:t>
      </w:r>
      <w:r w:rsidR="00564629" w:rsidRPr="00824402">
        <w:rPr>
          <w:rFonts w:asciiTheme="minorHAnsi" w:hAnsiTheme="minorHAnsi" w:cstheme="minorHAnsi"/>
          <w:szCs w:val="24"/>
        </w:rPr>
        <w:t>.</w:t>
      </w:r>
    </w:p>
    <w:p w14:paraId="4B45DE2B" w14:textId="77777777" w:rsidR="00146F67" w:rsidRPr="00514B79" w:rsidRDefault="00146F67" w:rsidP="00591C34">
      <w:pPr>
        <w:numPr>
          <w:ilvl w:val="0"/>
          <w:numId w:val="23"/>
        </w:numPr>
        <w:spacing w:after="200"/>
        <w:rPr>
          <w:rFonts w:asciiTheme="minorHAnsi" w:hAnsiTheme="minorHAnsi" w:cstheme="minorHAnsi"/>
          <w:szCs w:val="24"/>
        </w:rPr>
      </w:pPr>
      <w:r w:rsidRPr="00514B79">
        <w:rPr>
          <w:rFonts w:asciiTheme="minorHAnsi" w:hAnsiTheme="minorHAnsi" w:cstheme="minorHAnsi"/>
          <w:szCs w:val="24"/>
        </w:rPr>
        <w:t>Les femmes condamnées à mort en détention ont droit aux visites.</w:t>
      </w:r>
    </w:p>
    <w:p w14:paraId="5268F701" w14:textId="2E5F1D72" w:rsidR="00146F67" w:rsidRPr="00A3408E" w:rsidRDefault="00146F67" w:rsidP="00591C34">
      <w:pPr>
        <w:numPr>
          <w:ilvl w:val="0"/>
          <w:numId w:val="23"/>
        </w:numPr>
        <w:spacing w:after="200"/>
        <w:rPr>
          <w:rFonts w:asciiTheme="minorHAnsi" w:hAnsiTheme="minorHAnsi" w:cstheme="minorHAnsi"/>
          <w:szCs w:val="24"/>
        </w:rPr>
      </w:pPr>
      <w:r w:rsidRPr="00514B79">
        <w:rPr>
          <w:rFonts w:asciiTheme="minorHAnsi" w:hAnsiTheme="minorHAnsi" w:cstheme="minorHAnsi"/>
          <w:szCs w:val="24"/>
        </w:rPr>
        <w:t xml:space="preserve">Les femmes condamnées à mort en détention peuvent également se </w:t>
      </w:r>
      <w:r w:rsidRPr="00340B1C">
        <w:rPr>
          <w:rFonts w:asciiTheme="minorHAnsi" w:hAnsiTheme="minorHAnsi" w:cstheme="minorHAnsi"/>
          <w:szCs w:val="24"/>
        </w:rPr>
        <w:t xml:space="preserve">former aux </w:t>
      </w:r>
      <w:r w:rsidR="00F84585" w:rsidRPr="00340B1C">
        <w:rPr>
          <w:rFonts w:asciiTheme="minorHAnsi" w:hAnsiTheme="minorHAnsi" w:cstheme="minorHAnsi"/>
          <w:szCs w:val="24"/>
        </w:rPr>
        <w:t>activités génératrices de revenus (</w:t>
      </w:r>
      <w:r w:rsidRPr="00340B1C">
        <w:rPr>
          <w:rFonts w:asciiTheme="minorHAnsi" w:hAnsiTheme="minorHAnsi" w:cstheme="minorHAnsi"/>
          <w:szCs w:val="24"/>
        </w:rPr>
        <w:t>AGR</w:t>
      </w:r>
      <w:r w:rsidR="00F84585" w:rsidRPr="00340B1C">
        <w:rPr>
          <w:rFonts w:asciiTheme="minorHAnsi" w:hAnsiTheme="minorHAnsi" w:cstheme="minorHAnsi"/>
          <w:szCs w:val="24"/>
        </w:rPr>
        <w:t>)</w:t>
      </w:r>
      <w:r w:rsidRPr="00340B1C">
        <w:rPr>
          <w:rFonts w:asciiTheme="minorHAnsi" w:hAnsiTheme="minorHAnsi" w:cstheme="minorHAnsi"/>
          <w:szCs w:val="24"/>
        </w:rPr>
        <w:t>, qui sont parfois des programmes développés par les ONG.</w:t>
      </w:r>
    </w:p>
    <w:p w14:paraId="1FD8C3F9" w14:textId="77777777" w:rsidR="00146F67" w:rsidRDefault="00146F67" w:rsidP="00591C34">
      <w:pPr>
        <w:numPr>
          <w:ilvl w:val="0"/>
          <w:numId w:val="23"/>
        </w:numPr>
        <w:spacing w:after="200"/>
        <w:rPr>
          <w:rFonts w:asciiTheme="minorHAnsi" w:hAnsiTheme="minorHAnsi" w:cstheme="minorHAnsi"/>
          <w:szCs w:val="24"/>
        </w:rPr>
      </w:pPr>
      <w:r w:rsidRPr="00514B79">
        <w:rPr>
          <w:rFonts w:asciiTheme="minorHAnsi" w:hAnsiTheme="minorHAnsi" w:cstheme="minorHAnsi"/>
          <w:szCs w:val="24"/>
        </w:rPr>
        <w:t>Les femmes condamnées à mort en détention peuvent également pratiquer leur religion.</w:t>
      </w:r>
    </w:p>
    <w:p w14:paraId="61AF9C22" w14:textId="77777777" w:rsidR="008F5F63" w:rsidRPr="00514B79" w:rsidRDefault="008F5F63" w:rsidP="008F5F63">
      <w:pPr>
        <w:rPr>
          <w:rFonts w:asciiTheme="minorHAnsi" w:hAnsiTheme="minorHAnsi" w:cstheme="minorHAnsi"/>
          <w:szCs w:val="24"/>
        </w:rPr>
      </w:pPr>
    </w:p>
    <w:p w14:paraId="69BAE392" w14:textId="0254C651" w:rsidR="007A0EC2" w:rsidRPr="000462E1" w:rsidRDefault="00C71F39" w:rsidP="008F5F63">
      <w:pPr>
        <w:spacing w:after="240"/>
        <w:rPr>
          <w:b/>
          <w:bCs/>
        </w:rPr>
      </w:pPr>
      <w:r w:rsidRPr="00C71F39">
        <w:rPr>
          <w:b/>
          <w:bCs/>
        </w:rPr>
        <w:t>VIOLENCES BASÉES SUR LE GENRE ET PEINE DE MORT</w:t>
      </w:r>
    </w:p>
    <w:p w14:paraId="01EF206C" w14:textId="12477B58" w:rsidR="007A0EC2" w:rsidRDefault="007A0EC2" w:rsidP="00591C34">
      <w:pPr>
        <w:numPr>
          <w:ilvl w:val="0"/>
          <w:numId w:val="23"/>
        </w:numPr>
        <w:spacing w:after="240"/>
      </w:pPr>
      <w:r w:rsidRPr="00026A35">
        <w:t xml:space="preserve">Parmi les autres infractions pour lesquelles les femmes </w:t>
      </w:r>
      <w:r w:rsidR="000462E1">
        <w:t>sont principalement condamnées à mort, outre le terrorisme,</w:t>
      </w:r>
      <w:r w:rsidRPr="00026A35">
        <w:t xml:space="preserve"> figurent le meurtre avec préméditation de membres de leur famille proche dans un contexte de violence domestique</w:t>
      </w:r>
      <w:r>
        <w:t xml:space="preserve"> et</w:t>
      </w:r>
      <w:r w:rsidRPr="00026A35">
        <w:t xml:space="preserve"> le vol aggravé avec violences. </w:t>
      </w:r>
    </w:p>
    <w:p w14:paraId="621C73B3" w14:textId="1C92DACF" w:rsidR="003343E9" w:rsidRDefault="00C71F39" w:rsidP="00591C34">
      <w:pPr>
        <w:numPr>
          <w:ilvl w:val="0"/>
          <w:numId w:val="23"/>
        </w:numPr>
        <w:spacing w:after="240"/>
      </w:pPr>
      <w:r w:rsidRPr="00C71F39">
        <w:t xml:space="preserve">Selon une étude approfondie menée par le Cornell Center on the </w:t>
      </w:r>
      <w:proofErr w:type="spellStart"/>
      <w:r w:rsidRPr="00C71F39">
        <w:t>Death</w:t>
      </w:r>
      <w:proofErr w:type="spellEnd"/>
      <w:r w:rsidRPr="00C71F39">
        <w:t xml:space="preserve"> Penalty Worldwide, la plupart des femmes condamnées à mort l'ont été pour meurtre</w:t>
      </w:r>
      <w:r w:rsidR="009068AD">
        <w:t>, alors qu’elles avaien</w:t>
      </w:r>
      <w:r w:rsidRPr="00C71F39">
        <w:t>t très majoritairement subi des violences domestiques prolongées de la part d'un partenaire, d'un conjoint ou d'un autre membre de leur famille.</w:t>
      </w:r>
      <w:r w:rsidRPr="009068AD">
        <w:rPr>
          <w:vertAlign w:val="superscript"/>
        </w:rPr>
        <w:endnoteReference w:id="28"/>
      </w:r>
      <w:r w:rsidRPr="00C71F39">
        <w:t xml:space="preserve"> Dans de nombreux cas, les abus ont été répétés. Beaucoup de femmes condamnées à mort sont </w:t>
      </w:r>
      <w:r w:rsidR="009068AD">
        <w:t xml:space="preserve">ainsi </w:t>
      </w:r>
      <w:r w:rsidRPr="00C71F39">
        <w:t>des survivantes de violences sexistes et issues de milieux socio-économiques défavorisés.</w:t>
      </w:r>
      <w:r w:rsidRPr="009068AD">
        <w:rPr>
          <w:vertAlign w:val="superscript"/>
        </w:rPr>
        <w:endnoteReference w:id="29"/>
      </w:r>
      <w:r w:rsidRPr="00C71F39">
        <w:t xml:space="preserve"> </w:t>
      </w:r>
      <w:r w:rsidR="009068AD">
        <w:t>À l’échelle</w:t>
      </w:r>
      <w:r w:rsidRPr="00C71F39">
        <w:t xml:space="preserve"> mondial</w:t>
      </w:r>
      <w:r w:rsidR="009068AD">
        <w:t>e</w:t>
      </w:r>
      <w:r w:rsidRPr="00C71F39">
        <w:t>, les tribunaux considèrent rarement les violences sexistes comme un facteur atténuant lors de la détermination de la peine.</w:t>
      </w:r>
      <w:r w:rsidRPr="009068AD">
        <w:rPr>
          <w:vertAlign w:val="superscript"/>
        </w:rPr>
        <w:endnoteReference w:id="30"/>
      </w:r>
      <w:r w:rsidRPr="00C71F39">
        <w:t xml:space="preserve"> </w:t>
      </w:r>
      <w:r w:rsidR="009068AD">
        <w:t>De nombreuses recherchent indiquent en outre</w:t>
      </w:r>
      <w:r w:rsidRPr="00C71F39">
        <w:t xml:space="preserve"> que les tribunaux ne tiennent pas compte des rapports de force et des tactiques de contrôle coercitif qui peuvent influencer l'implication d'une femme dans un crime et sa culpabilité.</w:t>
      </w:r>
    </w:p>
    <w:p w14:paraId="0C6F59F3" w14:textId="77777777" w:rsidR="008A3229" w:rsidRDefault="009068AD" w:rsidP="00591C34">
      <w:pPr>
        <w:numPr>
          <w:ilvl w:val="0"/>
          <w:numId w:val="23"/>
        </w:numPr>
        <w:spacing w:after="240"/>
      </w:pPr>
      <w:r>
        <w:t>L</w:t>
      </w:r>
      <w:r w:rsidR="00C71F39" w:rsidRPr="00C71F39">
        <w:t>es femmes s</w:t>
      </w:r>
      <w:r>
        <w:t>eraie</w:t>
      </w:r>
      <w:r w:rsidR="00C71F39" w:rsidRPr="00C71F39">
        <w:t xml:space="preserve">nt plus susceptibles d'être condamnées à mort lorsque l'autorité judiciaire estime qu'elles enfreignent les normes de genre établies. </w:t>
      </w:r>
      <w:r>
        <w:t>Elles</w:t>
      </w:r>
      <w:r w:rsidR="00C71F39" w:rsidRPr="00C71F39">
        <w:t xml:space="preserve"> </w:t>
      </w:r>
      <w:r>
        <w:t xml:space="preserve">ne </w:t>
      </w:r>
      <w:r w:rsidR="00C71F39" w:rsidRPr="00C71F39">
        <w:t xml:space="preserve">sont </w:t>
      </w:r>
      <w:r>
        <w:t>pas uniquement</w:t>
      </w:r>
      <w:r w:rsidR="00C71F39" w:rsidRPr="00C71F39">
        <w:t xml:space="preserve"> </w:t>
      </w:r>
      <w:r w:rsidR="00D81277" w:rsidRPr="00C71F39">
        <w:t>jugées pour</w:t>
      </w:r>
      <w:r w:rsidR="00C71F39" w:rsidRPr="00C71F39">
        <w:t xml:space="preserve"> les actes qu'elles ont commis, mais </w:t>
      </w:r>
      <w:r>
        <w:t>également</w:t>
      </w:r>
      <w:r w:rsidR="00C71F39" w:rsidRPr="00C71F39">
        <w:t xml:space="preserve"> pour être prétendument « de mauvaises épouses, de mauvaises mères et de mauvaises femmes ».</w:t>
      </w:r>
      <w:r w:rsidR="00C71F39" w:rsidRPr="009068AD">
        <w:rPr>
          <w:vertAlign w:val="superscript"/>
        </w:rPr>
        <w:endnoteReference w:id="31"/>
      </w:r>
      <w:r w:rsidR="00D81277">
        <w:t xml:space="preserve"> </w:t>
      </w:r>
    </w:p>
    <w:p w14:paraId="7E4E1832" w14:textId="0AE4F37A" w:rsidR="00495982" w:rsidRPr="00340B1C" w:rsidRDefault="00D81277" w:rsidP="00591C34">
      <w:pPr>
        <w:numPr>
          <w:ilvl w:val="0"/>
          <w:numId w:val="23"/>
        </w:numPr>
        <w:spacing w:after="240"/>
      </w:pPr>
      <w:r>
        <w:t xml:space="preserve">En amont du jugement où les </w:t>
      </w:r>
      <w:proofErr w:type="spellStart"/>
      <w:r>
        <w:t>procureur</w:t>
      </w:r>
      <w:r w:rsidR="00E426B3">
        <w:t>·e</w:t>
      </w:r>
      <w:r>
        <w:t>s</w:t>
      </w:r>
      <w:proofErr w:type="spellEnd"/>
      <w:r>
        <w:t xml:space="preserve"> cherchent ainsi souvent à les diaboliser, l</w:t>
      </w:r>
      <w:r w:rsidRPr="00D81277">
        <w:t xml:space="preserve">es femmes qui font l’objet de poursuites pénales dans un contexte de violences domestiques, en particulier, sont </w:t>
      </w:r>
      <w:r w:rsidR="008A3229">
        <w:t>confrontée à des</w:t>
      </w:r>
      <w:r w:rsidRPr="00D81277">
        <w:t xml:space="preserve"> discrimination</w:t>
      </w:r>
      <w:r w:rsidR="008A3229">
        <w:t>s</w:t>
      </w:r>
      <w:r w:rsidRPr="00D81277">
        <w:t xml:space="preserve"> fondée</w:t>
      </w:r>
      <w:r w:rsidR="008A3229">
        <w:t>s</w:t>
      </w:r>
      <w:r w:rsidRPr="00D81277">
        <w:t xml:space="preserve"> sur le genre </w:t>
      </w:r>
      <w:r w:rsidR="008A3229">
        <w:t>dès l’arrestation</w:t>
      </w:r>
      <w:r w:rsidRPr="00D81277">
        <w:t xml:space="preserve">. Les femmes sont </w:t>
      </w:r>
      <w:r w:rsidR="008A3229">
        <w:t xml:space="preserve">ainsi </w:t>
      </w:r>
      <w:r w:rsidRPr="00D81277">
        <w:t>particulièrement vulnérables aux interrogatoires de la police, et très souvent font l'objet de menaces</w:t>
      </w:r>
      <w:r>
        <w:t xml:space="preserve"> sexo-spécifiques</w:t>
      </w:r>
      <w:r w:rsidRPr="00D81277">
        <w:t xml:space="preserve"> ou de violences sexuelles dans les commissariats et les prisons. </w:t>
      </w:r>
      <w:r w:rsidRPr="0095281E">
        <w:t>Les traumatismes qu'elles ont subis</w:t>
      </w:r>
      <w:r w:rsidR="0095281E" w:rsidRPr="0095281E">
        <w:t xml:space="preserve"> </w:t>
      </w:r>
      <w:r w:rsidR="0095281E">
        <w:t>peuvent déclencher</w:t>
      </w:r>
      <w:r w:rsidR="0095281E" w:rsidRPr="0095281E">
        <w:t xml:space="preserve"> </w:t>
      </w:r>
      <w:r w:rsidR="0095281E">
        <w:t xml:space="preserve">un </w:t>
      </w:r>
      <w:r w:rsidR="0095281E" w:rsidRPr="0095281E">
        <w:t>syndr</w:t>
      </w:r>
      <w:r w:rsidR="0095281E">
        <w:t>o</w:t>
      </w:r>
      <w:r w:rsidR="0095281E" w:rsidRPr="0095281E">
        <w:t>me de stress post-traumatique</w:t>
      </w:r>
      <w:r w:rsidRPr="0095281E">
        <w:t xml:space="preserve"> </w:t>
      </w:r>
      <w:r w:rsidR="0095281E" w:rsidRPr="0095281E">
        <w:t xml:space="preserve">pouvant altérer leur jugement </w:t>
      </w:r>
      <w:r w:rsidR="0095281E" w:rsidRPr="00340B1C">
        <w:t>et les</w:t>
      </w:r>
      <w:r w:rsidR="00A04652" w:rsidRPr="00340B1C">
        <w:t xml:space="preserve"> mener à admettre un crime qu’elles n’ont pas commis. </w:t>
      </w:r>
    </w:p>
    <w:p w14:paraId="5970A99F" w14:textId="4ACDF059" w:rsidR="00495982" w:rsidRDefault="00495982" w:rsidP="00591C34">
      <w:pPr>
        <w:numPr>
          <w:ilvl w:val="0"/>
          <w:numId w:val="23"/>
        </w:numPr>
        <w:spacing w:after="240"/>
      </w:pPr>
      <w:r>
        <w:t xml:space="preserve">Dans les affaires impliquant des victimes de violences domestiques, on relève </w:t>
      </w:r>
      <w:r w:rsidR="000F22D5">
        <w:t xml:space="preserve">en effet </w:t>
      </w:r>
      <w:r>
        <w:t>des discriminations à l’égard des femmes dans le cadre des</w:t>
      </w:r>
      <w:r w:rsidRPr="00495982">
        <w:t xml:space="preserve"> règles d’administration de la preuve</w:t>
      </w:r>
      <w:r>
        <w:t>.</w:t>
      </w:r>
      <w:r w:rsidRPr="00495982">
        <w:t xml:space="preserve"> </w:t>
      </w:r>
      <w:r>
        <w:t>L</w:t>
      </w:r>
      <w:r w:rsidRPr="00495982">
        <w:t xml:space="preserve">’aveu </w:t>
      </w:r>
      <w:r>
        <w:t xml:space="preserve">peut être utilisé à titre de preuve lorsqu’il est considéré </w:t>
      </w:r>
      <w:r w:rsidRPr="00495982">
        <w:t xml:space="preserve">sincère. Et il revient au juge d’en vérifier la sincérité. </w:t>
      </w:r>
      <w:r>
        <w:t>On observe que</w:t>
      </w:r>
      <w:r w:rsidR="00824402">
        <w:t>,</w:t>
      </w:r>
      <w:r>
        <w:t xml:space="preserve"> très souvent,</w:t>
      </w:r>
      <w:r w:rsidRPr="00495982">
        <w:t xml:space="preserve"> les femmes victimes de violences domestiques font des faux aveux. </w:t>
      </w:r>
      <w:r>
        <w:t>M</w:t>
      </w:r>
      <w:r w:rsidRPr="00495982">
        <w:t xml:space="preserve">alheureusement, les juges s’en tiennent </w:t>
      </w:r>
      <w:r>
        <w:t xml:space="preserve">à ces derniers </w:t>
      </w:r>
      <w:r w:rsidRPr="00495982">
        <w:t>pour entrer en voie de condamnation</w:t>
      </w:r>
      <w:r>
        <w:t xml:space="preserve">, sans </w:t>
      </w:r>
      <w:r w:rsidRPr="00495982">
        <w:t>s’assurer de leur sincérité</w:t>
      </w:r>
      <w:r>
        <w:t>.</w:t>
      </w:r>
    </w:p>
    <w:p w14:paraId="7BCCECCB" w14:textId="3C49FB8A" w:rsidR="00466A6D" w:rsidRPr="0095281E" w:rsidRDefault="00495982" w:rsidP="00591C34">
      <w:pPr>
        <w:numPr>
          <w:ilvl w:val="0"/>
          <w:numId w:val="23"/>
        </w:numPr>
        <w:spacing w:after="240"/>
      </w:pPr>
      <w:r>
        <w:t>Au Cameroun, les juges ne re</w:t>
      </w:r>
      <w:r w:rsidR="000F22D5">
        <w:t>çoiven</w:t>
      </w:r>
      <w:r>
        <w:t>t pas de</w:t>
      </w:r>
      <w:r w:rsidR="000F22D5">
        <w:t xml:space="preserve"> </w:t>
      </w:r>
      <w:r>
        <w:t xml:space="preserve">formations adéquates </w:t>
      </w:r>
      <w:r w:rsidR="000F22D5">
        <w:t>ni ne recourent à</w:t>
      </w:r>
      <w:r>
        <w:t xml:space="preserve"> des services d’</w:t>
      </w:r>
      <w:proofErr w:type="spellStart"/>
      <w:r>
        <w:t>expert</w:t>
      </w:r>
      <w:r w:rsidR="00E426B3">
        <w:t>·e</w:t>
      </w:r>
      <w:r>
        <w:t>s</w:t>
      </w:r>
      <w:proofErr w:type="spellEnd"/>
      <w:r>
        <w:t xml:space="preserve"> sur les questions de violences basées sur le genre</w:t>
      </w:r>
      <w:r w:rsidR="000F22D5">
        <w:t>.</w:t>
      </w:r>
      <w:bookmarkEnd w:id="1"/>
      <w:bookmarkEnd w:id="2"/>
    </w:p>
    <w:p w14:paraId="55565F2A" w14:textId="77777777" w:rsidR="00E620A4" w:rsidRDefault="00E620A4" w:rsidP="00E620A4">
      <w:pPr>
        <w:pStyle w:val="Titre1"/>
        <w:spacing w:before="0" w:after="0"/>
        <w:rPr>
          <w:b/>
          <w:bCs/>
          <w:i/>
          <w:iCs/>
          <w:color w:val="auto"/>
          <w:sz w:val="28"/>
          <w:szCs w:val="28"/>
          <w:u w:val="single"/>
        </w:rPr>
      </w:pPr>
      <w:bookmarkStart w:id="5" w:name="_Toc204345838"/>
    </w:p>
    <w:p w14:paraId="69F9DCA2" w14:textId="6113F2CC" w:rsidR="00711709" w:rsidRPr="00AB5FB0" w:rsidRDefault="00711709" w:rsidP="00E620A4">
      <w:pPr>
        <w:pStyle w:val="Titre1"/>
        <w:spacing w:before="0" w:after="240"/>
        <w:rPr>
          <w:b/>
          <w:bCs/>
          <w:i/>
          <w:iCs/>
          <w:color w:val="auto"/>
          <w:sz w:val="28"/>
          <w:szCs w:val="28"/>
          <w:u w:val="single"/>
        </w:rPr>
      </w:pPr>
      <w:r w:rsidRPr="00AB5FB0">
        <w:rPr>
          <w:b/>
          <w:bCs/>
          <w:i/>
          <w:iCs/>
          <w:color w:val="auto"/>
          <w:sz w:val="28"/>
          <w:szCs w:val="28"/>
          <w:u w:val="single"/>
        </w:rPr>
        <w:t xml:space="preserve">Suggestions de </w:t>
      </w:r>
      <w:r w:rsidR="0095281E">
        <w:rPr>
          <w:b/>
          <w:bCs/>
          <w:i/>
          <w:iCs/>
          <w:color w:val="auto"/>
          <w:sz w:val="28"/>
          <w:szCs w:val="28"/>
          <w:u w:val="single"/>
        </w:rPr>
        <w:t xml:space="preserve">points à traiter </w:t>
      </w:r>
      <w:r w:rsidRPr="00AB5FB0">
        <w:rPr>
          <w:b/>
          <w:bCs/>
          <w:i/>
          <w:iCs/>
          <w:color w:val="auto"/>
          <w:sz w:val="28"/>
          <w:szCs w:val="28"/>
          <w:u w:val="single"/>
        </w:rPr>
        <w:t xml:space="preserve">pour </w:t>
      </w:r>
      <w:bookmarkEnd w:id="5"/>
      <w:r w:rsidR="00A83779">
        <w:rPr>
          <w:b/>
          <w:bCs/>
          <w:i/>
          <w:iCs/>
          <w:color w:val="auto"/>
          <w:sz w:val="28"/>
          <w:szCs w:val="28"/>
          <w:u w:val="single"/>
        </w:rPr>
        <w:t>l’État du Cameroun</w:t>
      </w:r>
    </w:p>
    <w:p w14:paraId="67FF2ABD" w14:textId="77777777" w:rsidR="00934AD3" w:rsidRPr="00934AD3" w:rsidRDefault="00934AD3" w:rsidP="00934AD3">
      <w:pPr>
        <w:numPr>
          <w:ilvl w:val="0"/>
          <w:numId w:val="18"/>
        </w:numPr>
        <w:spacing w:after="240"/>
      </w:pPr>
      <w:r w:rsidRPr="00934AD3">
        <w:t>Combien de femmes ont été accusées de crimes passibles de la peine capitale ou condamnées à mort depuis 2018 ? Pour chaque femme, veuillez fournir des données démographiques, notamment l'identité de genre, l'âge, l'origine ethnique, la nationalité, l'âge des enfants à charge, ainsi que des détails concernant leur condamnation (crime, peine prononcée lors du procès et/ou en appel, autorité judiciaire, année de la condamnation/durée passée dans le couloir de la mort, et si la condamnation est définitive), la peine actuelle, l'état d'avancement des procédures de grâce et le lieu où elles se trouvent actuellement.</w:t>
      </w:r>
    </w:p>
    <w:p w14:paraId="03CC8C70" w14:textId="7C2490B1" w:rsidR="00934AD3" w:rsidRDefault="00934AD3" w:rsidP="00934AD3">
      <w:pPr>
        <w:numPr>
          <w:ilvl w:val="0"/>
          <w:numId w:val="18"/>
        </w:numPr>
        <w:spacing w:after="240"/>
      </w:pPr>
      <w:r w:rsidRPr="00934AD3">
        <w:t>Quelles sont les politiques mises en place pour protéger les droits et les intérêts des personnes enceintes ainsi que leur santé physique et mentale lorsqu'elles font l'objet de poursuites pour des crimes passibles de la peine de mort ?</w:t>
      </w:r>
    </w:p>
    <w:p w14:paraId="6FE7B0A6" w14:textId="28F1551C" w:rsidR="00934AD3" w:rsidRDefault="00934AD3" w:rsidP="00934AD3">
      <w:pPr>
        <w:numPr>
          <w:ilvl w:val="0"/>
          <w:numId w:val="18"/>
        </w:numPr>
        <w:spacing w:after="240"/>
      </w:pPr>
      <w:r w:rsidRPr="00934AD3">
        <w:t xml:space="preserve">Quelles actions, politiques ou procédures, sont prévues pour garantir que toute personne encourant la peine capitale ait accès à </w:t>
      </w:r>
      <w:proofErr w:type="spellStart"/>
      <w:r w:rsidRPr="00934AD3">
        <w:t>un</w:t>
      </w:r>
      <w:r w:rsidR="00E426B3">
        <w:t>·e</w:t>
      </w:r>
      <w:proofErr w:type="spellEnd"/>
      <w:r w:rsidRPr="00934AD3">
        <w:t xml:space="preserve"> </w:t>
      </w:r>
      <w:proofErr w:type="spellStart"/>
      <w:r w:rsidRPr="00934AD3">
        <w:t>avocat</w:t>
      </w:r>
      <w:r w:rsidR="00E426B3">
        <w:t>·e</w:t>
      </w:r>
      <w:proofErr w:type="spellEnd"/>
      <w:r w:rsidRPr="00934AD3">
        <w:t xml:space="preserve"> </w:t>
      </w:r>
      <w:proofErr w:type="spellStart"/>
      <w:r w:rsidRPr="00934AD3">
        <w:t>qualifié</w:t>
      </w:r>
      <w:r w:rsidR="00E426B3">
        <w:t>·e</w:t>
      </w:r>
      <w:proofErr w:type="spellEnd"/>
      <w:r w:rsidRPr="00934AD3">
        <w:t xml:space="preserve"> ayant une expérience préalable dans les affaires passibles de la peine capitale</w:t>
      </w:r>
      <w:r w:rsidR="0018503F">
        <w:t>, notamment sur la défense spécifique des femmes condamnées à mort,</w:t>
      </w:r>
      <w:r w:rsidRPr="00934AD3">
        <w:t xml:space="preserve"> et qu’elle soit interrogée en sa présence et celle d’</w:t>
      </w:r>
      <w:proofErr w:type="spellStart"/>
      <w:r w:rsidRPr="00934AD3">
        <w:t>un</w:t>
      </w:r>
      <w:r w:rsidR="00DC6061">
        <w:t>·e</w:t>
      </w:r>
      <w:proofErr w:type="spellEnd"/>
      <w:r w:rsidRPr="00934AD3">
        <w:t xml:space="preserve"> interpr</w:t>
      </w:r>
      <w:r>
        <w:t>è</w:t>
      </w:r>
      <w:r w:rsidRPr="00934AD3">
        <w:t>te ?</w:t>
      </w:r>
    </w:p>
    <w:p w14:paraId="0569EB14" w14:textId="66C09D14" w:rsidR="00934AD3" w:rsidRDefault="00934AD3" w:rsidP="00934AD3">
      <w:pPr>
        <w:numPr>
          <w:ilvl w:val="0"/>
          <w:numId w:val="18"/>
        </w:numPr>
        <w:spacing w:after="240"/>
      </w:pPr>
      <w:r w:rsidRPr="00934AD3">
        <w:t xml:space="preserve">Quelle formation est </w:t>
      </w:r>
      <w:r>
        <w:t xml:space="preserve">à disposition des </w:t>
      </w:r>
      <w:proofErr w:type="spellStart"/>
      <w:r w:rsidRPr="00934AD3">
        <w:t>avocat</w:t>
      </w:r>
      <w:r w:rsidR="00DC6061">
        <w:t>·e</w:t>
      </w:r>
      <w:r w:rsidRPr="00934AD3">
        <w:t>s</w:t>
      </w:r>
      <w:proofErr w:type="spellEnd"/>
      <w:r w:rsidRPr="00934AD3">
        <w:t xml:space="preserve"> représentant des femmes dans des procès où la peine capitale est encourue, en ce qui concerne les moyens de défense et les circonstances atténuantes spécifiques au genre, notamment les traumatismes, la violence sexiste, les pressions économiques et les responsabilités familiales ?</w:t>
      </w:r>
    </w:p>
    <w:p w14:paraId="0B1B7475" w14:textId="1F323E4A" w:rsidR="00934AD3" w:rsidRDefault="00934AD3" w:rsidP="00D216F1">
      <w:pPr>
        <w:numPr>
          <w:ilvl w:val="0"/>
          <w:numId w:val="18"/>
        </w:numPr>
        <w:spacing w:after="240"/>
      </w:pPr>
      <w:r w:rsidRPr="00D216F1">
        <w:t>Quelle formation est proposée aux juges présidant des procédures pénales, en particulier dans les affaires passibles de la peine de mort, afin de les sensibiliser à l'importance de prendre en compte les moyens de défense et les circonstances atténuantes spécifiques au genre dans les procès passibles de la peine capitale, notamment les traumatismes, la violence sexiste, les pressions économiques et les responsabilités familiales ?</w:t>
      </w:r>
    </w:p>
    <w:p w14:paraId="27FE2C59" w14:textId="152A23DB" w:rsidR="00A755B3" w:rsidRDefault="00A755B3" w:rsidP="00A755B3">
      <w:pPr>
        <w:pStyle w:val="Paragraphedeliste"/>
        <w:numPr>
          <w:ilvl w:val="0"/>
          <w:numId w:val="18"/>
        </w:numPr>
      </w:pPr>
      <w:r w:rsidRPr="00A755B3">
        <w:t>Compte tenu des développements concernant le syndrome de stress post-traumatique (SSPT) et des cas connus de poursuites judiciaires contre des victimes de violence domestique pour meurtre, existe-t-il des lignes directrices en matière de poursuites, des lignes directrices en matière de détermination de la peine ou des politiques adoptées par le gouvernement camerounais pour reconnaître la vulnérabilité et la culpabilité des victimes de violence domestique dans des circonstances similaires ?</w:t>
      </w:r>
    </w:p>
    <w:p w14:paraId="0FD0C65B" w14:textId="77777777" w:rsidR="00340B1C" w:rsidRPr="00934AD3" w:rsidRDefault="00340B1C" w:rsidP="00340B1C"/>
    <w:p w14:paraId="4D9CAC1B" w14:textId="666F52F2" w:rsidR="0072565D" w:rsidRPr="0072565D" w:rsidRDefault="0072565D" w:rsidP="0072565D">
      <w:pPr>
        <w:pStyle w:val="Paragraphedeliste"/>
        <w:numPr>
          <w:ilvl w:val="0"/>
          <w:numId w:val="18"/>
        </w:numPr>
        <w:spacing w:after="240"/>
      </w:pPr>
      <w:r w:rsidRPr="00EB31E2">
        <w:t xml:space="preserve">Le Gouvernement prévoit-il de </w:t>
      </w:r>
      <w:r>
        <w:t>mettre à disposition</w:t>
      </w:r>
      <w:r w:rsidRPr="00EB31E2">
        <w:t xml:space="preserve"> une évaluation médicale et psychologique dans toutes les affaires où la peine de mort est encourue, afin de garantir la responsabilité pénale effective de</w:t>
      </w:r>
      <w:r>
        <w:t>s personnes</w:t>
      </w:r>
      <w:r w:rsidRPr="00EB31E2">
        <w:t xml:space="preserve"> accusé</w:t>
      </w:r>
      <w:r>
        <w:t>es ?</w:t>
      </w:r>
    </w:p>
    <w:p w14:paraId="460804E7" w14:textId="36635F9D" w:rsidR="00173BD0" w:rsidRDefault="00A755B3" w:rsidP="00A755B3">
      <w:pPr>
        <w:pStyle w:val="Listenumros"/>
        <w:numPr>
          <w:ilvl w:val="0"/>
          <w:numId w:val="18"/>
        </w:numPr>
        <w:spacing w:after="240"/>
        <w:rPr>
          <w:lang w:val="fr-CH"/>
        </w:rPr>
      </w:pPr>
      <w:r>
        <w:rPr>
          <w:lang w:val="fr-CH"/>
        </w:rPr>
        <w:t>Quelles actions sont envisagées</w:t>
      </w:r>
      <w:r w:rsidRPr="005E0CD0">
        <w:rPr>
          <w:lang w:val="fr-CH"/>
        </w:rPr>
        <w:t xml:space="preserve"> pour répondre aux besoins des femmes privées de liberté, en particulier des femmes enceintes ou détenues avec leurs enfants</w:t>
      </w:r>
      <w:r>
        <w:rPr>
          <w:lang w:val="fr-CH"/>
        </w:rPr>
        <w:t> ?</w:t>
      </w:r>
    </w:p>
    <w:p w14:paraId="22AA9F44" w14:textId="201CBA37" w:rsidR="00A755B3" w:rsidRDefault="00A755B3" w:rsidP="00A755B3">
      <w:pPr>
        <w:numPr>
          <w:ilvl w:val="0"/>
          <w:numId w:val="18"/>
        </w:numPr>
        <w:spacing w:after="240"/>
      </w:pPr>
      <w:r w:rsidRPr="00A755B3">
        <w:t>Quelles politiques sont en place pour garantir que les femmes condamnées à mort aient un accès rapide et adéquat à des soins de santé généraux et spécifiques aux femmes, ainsi qu'à des services de conseil, y compris l'accès à des produits d'hygiène et menstruels ?</w:t>
      </w:r>
    </w:p>
    <w:p w14:paraId="3D915177" w14:textId="6FC12765" w:rsidR="00A755B3" w:rsidRPr="00A755B3" w:rsidRDefault="00A755B3" w:rsidP="00A755B3">
      <w:pPr>
        <w:numPr>
          <w:ilvl w:val="0"/>
          <w:numId w:val="18"/>
        </w:numPr>
        <w:spacing w:after="240"/>
      </w:pPr>
      <w:r w:rsidRPr="00A755B3">
        <w:t xml:space="preserve">Dans quelle mesure les conditions de détention des femmes condamnées à mort diffèrent-elles des conditions générales de détention des femmes en prison ? </w:t>
      </w:r>
    </w:p>
    <w:p w14:paraId="64AB2B15" w14:textId="53770AB4" w:rsidR="00E620A4" w:rsidRDefault="0022137D" w:rsidP="00934AD3">
      <w:pPr>
        <w:numPr>
          <w:ilvl w:val="0"/>
          <w:numId w:val="18"/>
        </w:numPr>
        <w:spacing w:after="240" w:line="259" w:lineRule="auto"/>
      </w:pPr>
      <w:r w:rsidRPr="0022137D">
        <w:t xml:space="preserve">Quelles mesures </w:t>
      </w:r>
      <w:r w:rsidR="00EB31E2">
        <w:t>peuvent être envisagées</w:t>
      </w:r>
      <w:r w:rsidRPr="0022137D">
        <w:t xml:space="preserve"> pour garantir le respect des normes et standards internationaux relatifs au traitement des personnes détenues, notamment les règles Nelson Mandela et les règles de Bangkok, y compris </w:t>
      </w:r>
      <w:r w:rsidR="00173BD0">
        <w:t>celles</w:t>
      </w:r>
      <w:r w:rsidR="00A755B3">
        <w:t xml:space="preserve"> des personnes</w:t>
      </w:r>
      <w:r w:rsidR="00173BD0">
        <w:t xml:space="preserve"> condamnées à mort</w:t>
      </w:r>
      <w:r w:rsidRPr="005C61B1">
        <w:t> ?</w:t>
      </w:r>
    </w:p>
    <w:p w14:paraId="116B10FA" w14:textId="3470251C" w:rsidR="00E620A4" w:rsidRDefault="00E620A4">
      <w:pPr>
        <w:spacing w:after="160" w:line="259" w:lineRule="auto"/>
        <w:jc w:val="left"/>
      </w:pPr>
    </w:p>
    <w:p w14:paraId="379DE6CF" w14:textId="77777777" w:rsidR="00E620A4" w:rsidRDefault="00E620A4">
      <w:pPr>
        <w:spacing w:after="160" w:line="259" w:lineRule="auto"/>
        <w:jc w:val="left"/>
      </w:pPr>
    </w:p>
    <w:p w14:paraId="54337210" w14:textId="77777777" w:rsidR="00E620A4" w:rsidRDefault="00E620A4">
      <w:pPr>
        <w:spacing w:after="160" w:line="259" w:lineRule="auto"/>
        <w:jc w:val="left"/>
      </w:pPr>
    </w:p>
    <w:p w14:paraId="5B1660A1" w14:textId="77777777" w:rsidR="00E620A4" w:rsidRDefault="00E620A4">
      <w:pPr>
        <w:spacing w:after="160" w:line="259" w:lineRule="auto"/>
        <w:jc w:val="left"/>
      </w:pPr>
    </w:p>
    <w:p w14:paraId="1EE490E1" w14:textId="77777777" w:rsidR="00E620A4" w:rsidRDefault="00E620A4">
      <w:pPr>
        <w:spacing w:after="160" w:line="259" w:lineRule="auto"/>
        <w:jc w:val="left"/>
      </w:pPr>
    </w:p>
    <w:p w14:paraId="500EADD7" w14:textId="77777777" w:rsidR="00E620A4" w:rsidRDefault="00E620A4">
      <w:pPr>
        <w:spacing w:after="160" w:line="259" w:lineRule="auto"/>
        <w:jc w:val="left"/>
      </w:pPr>
    </w:p>
    <w:p w14:paraId="6F779608" w14:textId="77777777" w:rsidR="00E620A4" w:rsidRDefault="00E620A4">
      <w:pPr>
        <w:spacing w:after="160" w:line="259" w:lineRule="auto"/>
        <w:jc w:val="left"/>
      </w:pPr>
    </w:p>
    <w:p w14:paraId="41B3A4D6" w14:textId="77777777" w:rsidR="00E620A4" w:rsidRDefault="00E620A4">
      <w:pPr>
        <w:spacing w:after="160" w:line="259" w:lineRule="auto"/>
        <w:jc w:val="left"/>
      </w:pPr>
    </w:p>
    <w:p w14:paraId="35CFBBD0" w14:textId="77777777" w:rsidR="00E620A4" w:rsidRDefault="00E620A4">
      <w:pPr>
        <w:spacing w:after="160" w:line="259" w:lineRule="auto"/>
        <w:jc w:val="left"/>
      </w:pPr>
    </w:p>
    <w:p w14:paraId="23BC13B5" w14:textId="77777777" w:rsidR="00E620A4" w:rsidRDefault="00E620A4">
      <w:pPr>
        <w:spacing w:after="160" w:line="259" w:lineRule="auto"/>
        <w:jc w:val="left"/>
      </w:pPr>
    </w:p>
    <w:p w14:paraId="784EF291" w14:textId="77777777" w:rsidR="00E620A4" w:rsidRDefault="00E620A4">
      <w:pPr>
        <w:spacing w:after="160" w:line="259" w:lineRule="auto"/>
        <w:jc w:val="left"/>
      </w:pPr>
    </w:p>
    <w:p w14:paraId="6A78AFBF" w14:textId="77777777" w:rsidR="00E620A4" w:rsidRDefault="00E620A4">
      <w:pPr>
        <w:spacing w:after="160" w:line="259" w:lineRule="auto"/>
        <w:jc w:val="left"/>
      </w:pPr>
    </w:p>
    <w:p w14:paraId="68410E80" w14:textId="77777777" w:rsidR="00E620A4" w:rsidRDefault="00E620A4">
      <w:pPr>
        <w:spacing w:after="160" w:line="259" w:lineRule="auto"/>
        <w:jc w:val="left"/>
      </w:pPr>
    </w:p>
    <w:p w14:paraId="10A0A45E" w14:textId="77777777" w:rsidR="00E620A4" w:rsidRDefault="00E620A4">
      <w:pPr>
        <w:spacing w:after="160" w:line="259" w:lineRule="auto"/>
        <w:jc w:val="left"/>
      </w:pPr>
    </w:p>
    <w:sectPr w:rsidR="00E620A4" w:rsidSect="005B32AD">
      <w:headerReference w:type="default" r:id="rId8"/>
      <w:footerReference w:type="default" r:id="rId9"/>
      <w:pgSz w:w="11906" w:h="16838"/>
      <w:pgMar w:top="1572" w:right="1417" w:bottom="1417" w:left="1417"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15EF0" w14:textId="77777777" w:rsidR="00065D5B" w:rsidRDefault="00065D5B" w:rsidP="005C7074">
      <w:pPr>
        <w:spacing w:line="240" w:lineRule="auto"/>
      </w:pPr>
      <w:r>
        <w:separator/>
      </w:r>
    </w:p>
  </w:endnote>
  <w:endnote w:type="continuationSeparator" w:id="0">
    <w:p w14:paraId="35E97B6B" w14:textId="77777777" w:rsidR="00065D5B" w:rsidRDefault="00065D5B" w:rsidP="005C7074">
      <w:pPr>
        <w:spacing w:line="240" w:lineRule="auto"/>
      </w:pPr>
      <w:r>
        <w:continuationSeparator/>
      </w:r>
    </w:p>
  </w:endnote>
  <w:endnote w:id="1">
    <w:p w14:paraId="4FD68A02" w14:textId="401D9F83" w:rsidR="007F1425" w:rsidRDefault="007F1425">
      <w:pPr>
        <w:pStyle w:val="Notedefin"/>
      </w:pPr>
      <w:r>
        <w:rPr>
          <w:rStyle w:val="Appeldenotedefin"/>
        </w:rPr>
        <w:endnoteRef/>
      </w:r>
      <w:r>
        <w:t xml:space="preserve"> </w:t>
      </w:r>
      <w:r w:rsidRPr="00EA258C">
        <w:rPr>
          <w:rFonts w:cstheme="minorHAnsi"/>
        </w:rPr>
        <w:t>ECPM,</w:t>
      </w:r>
      <w:r>
        <w:rPr>
          <w:rFonts w:cstheme="minorHAnsi"/>
        </w:rPr>
        <w:t xml:space="preserve"> </w:t>
      </w:r>
      <w:r w:rsidRPr="00EA258C">
        <w:rPr>
          <w:rFonts w:cstheme="minorHAnsi"/>
        </w:rPr>
        <w:t>Condamnés à l’oubli, mission d’enquête dans les couloirs de la mort, Cameroun, 2019</w:t>
      </w:r>
      <w:r>
        <w:rPr>
          <w:rFonts w:cstheme="minorHAnsi"/>
        </w:rPr>
        <w:t>, p. 25</w:t>
      </w:r>
      <w:r w:rsidRPr="00EA258C">
        <w:rPr>
          <w:rFonts w:cstheme="minorHAnsi"/>
        </w:rPr>
        <w:t xml:space="preserve">. Disponible : </w:t>
      </w:r>
      <w:hyperlink r:id="rId1" w:history="1">
        <w:r w:rsidRPr="00EA258C">
          <w:rPr>
            <w:rStyle w:val="Lienhypertexte"/>
            <w:rFonts w:cstheme="minorHAnsi"/>
          </w:rPr>
          <w:t>https://www.ecpm.org/app/uploads/2022/08/mission-enquete-cameroun-2019-FR.pdf</w:t>
        </w:r>
      </w:hyperlink>
      <w:r w:rsidRPr="00EA258C">
        <w:rPr>
          <w:rFonts w:cstheme="minorHAnsi"/>
        </w:rPr>
        <w:t xml:space="preserve">  </w:t>
      </w:r>
    </w:p>
  </w:endnote>
  <w:endnote w:id="2">
    <w:p w14:paraId="4521CB89" w14:textId="77777777" w:rsidR="004B3B9E" w:rsidRPr="00EA258C" w:rsidRDefault="004B3B9E" w:rsidP="004B3B9E">
      <w:pPr>
        <w:rPr>
          <w:rFonts w:asciiTheme="minorHAnsi" w:hAnsiTheme="minorHAnsi" w:cstheme="minorHAnsi"/>
          <w:sz w:val="20"/>
        </w:rPr>
      </w:pPr>
      <w:r w:rsidRPr="00EA258C">
        <w:rPr>
          <w:rStyle w:val="Appeldenotedefin"/>
          <w:rFonts w:asciiTheme="minorHAnsi" w:hAnsiTheme="minorHAnsi" w:cstheme="minorHAnsi"/>
          <w:sz w:val="20"/>
        </w:rPr>
        <w:endnoteRef/>
      </w:r>
      <w:r w:rsidRPr="00EA258C">
        <w:rPr>
          <w:rFonts w:asciiTheme="minorHAnsi" w:hAnsiTheme="minorHAnsi" w:cstheme="minorHAnsi"/>
          <w:sz w:val="20"/>
        </w:rPr>
        <w:t xml:space="preserve"> La Constitution de la République du Cameroun, 18 janvier 1996, art. 65. </w:t>
      </w:r>
    </w:p>
  </w:endnote>
  <w:endnote w:id="3">
    <w:p w14:paraId="3C8A2302" w14:textId="77777777" w:rsidR="004B3B9E" w:rsidRPr="0070391F" w:rsidRDefault="004B3B9E" w:rsidP="004B3B9E">
      <w:pPr>
        <w:pStyle w:val="Notedefin"/>
        <w:rPr>
          <w:rFonts w:cstheme="minorHAnsi"/>
          <w:lang w:val="en-US"/>
        </w:rPr>
      </w:pPr>
      <w:r w:rsidRPr="00EA258C">
        <w:rPr>
          <w:rStyle w:val="Appeldenotedefin"/>
          <w:rFonts w:cstheme="minorHAnsi"/>
        </w:rPr>
        <w:endnoteRef/>
      </w:r>
      <w:r w:rsidRPr="0070391F">
        <w:rPr>
          <w:rFonts w:cstheme="minorHAnsi"/>
          <w:lang w:val="en-US"/>
        </w:rPr>
        <w:t xml:space="preserve">  </w:t>
      </w:r>
      <w:r w:rsidRPr="0070391F">
        <w:rPr>
          <w:rFonts w:cstheme="minorHAnsi"/>
          <w:i/>
          <w:lang w:val="en-US"/>
        </w:rPr>
        <w:t>Ibid.</w:t>
      </w:r>
      <w:r w:rsidRPr="0070391F">
        <w:rPr>
          <w:rFonts w:cstheme="minorHAnsi"/>
          <w:lang w:val="en-US"/>
        </w:rPr>
        <w:t xml:space="preserve">, </w:t>
      </w:r>
      <w:proofErr w:type="spellStart"/>
      <w:r w:rsidRPr="0070391F">
        <w:rPr>
          <w:rFonts w:cstheme="minorHAnsi"/>
          <w:lang w:val="en-US"/>
        </w:rPr>
        <w:t>Préambule</w:t>
      </w:r>
      <w:proofErr w:type="spellEnd"/>
      <w:r w:rsidRPr="0070391F">
        <w:rPr>
          <w:rFonts w:cstheme="minorHAnsi"/>
          <w:lang w:val="en-US"/>
        </w:rPr>
        <w:t>.</w:t>
      </w:r>
    </w:p>
  </w:endnote>
  <w:endnote w:id="4">
    <w:p w14:paraId="1A6DCE35" w14:textId="77777777" w:rsidR="004B3B9E" w:rsidRPr="0070391F" w:rsidRDefault="004B3B9E" w:rsidP="004B3B9E">
      <w:pPr>
        <w:pStyle w:val="Notedefin"/>
        <w:rPr>
          <w:rFonts w:cstheme="minorHAnsi"/>
          <w:lang w:val="en-US"/>
        </w:rPr>
      </w:pPr>
      <w:r w:rsidRPr="00EA258C">
        <w:rPr>
          <w:rStyle w:val="Appeldenotedefin"/>
          <w:rFonts w:cstheme="minorHAnsi"/>
        </w:rPr>
        <w:endnoteRef/>
      </w:r>
      <w:r w:rsidRPr="0070391F">
        <w:rPr>
          <w:rFonts w:cstheme="minorHAnsi"/>
          <w:lang w:val="en-US"/>
        </w:rPr>
        <w:t xml:space="preserve">  </w:t>
      </w:r>
      <w:r w:rsidRPr="0070391F">
        <w:rPr>
          <w:rFonts w:cstheme="minorHAnsi"/>
          <w:i/>
          <w:lang w:val="en-US"/>
        </w:rPr>
        <w:t>Ibid.</w:t>
      </w:r>
    </w:p>
  </w:endnote>
  <w:endnote w:id="5">
    <w:p w14:paraId="018C8FDD" w14:textId="77777777" w:rsidR="004B3B9E" w:rsidRPr="0070391F" w:rsidRDefault="004B3B9E" w:rsidP="004B3B9E">
      <w:pPr>
        <w:pStyle w:val="Notedefin"/>
        <w:rPr>
          <w:rFonts w:cstheme="minorHAnsi"/>
          <w:lang w:val="en-US"/>
        </w:rPr>
      </w:pPr>
      <w:r w:rsidRPr="00EA258C">
        <w:rPr>
          <w:rStyle w:val="Appeldenotedefin"/>
          <w:rFonts w:cstheme="minorHAnsi"/>
        </w:rPr>
        <w:endnoteRef/>
      </w:r>
      <w:r w:rsidRPr="0070391F">
        <w:rPr>
          <w:rFonts w:cstheme="minorHAnsi"/>
          <w:lang w:val="en-US"/>
        </w:rPr>
        <w:t xml:space="preserve"> </w:t>
      </w:r>
      <w:r w:rsidRPr="0070391F">
        <w:rPr>
          <w:rFonts w:cstheme="minorHAnsi"/>
          <w:i/>
          <w:lang w:val="en-US"/>
        </w:rPr>
        <w:t>Ibid</w:t>
      </w:r>
      <w:r w:rsidRPr="0070391F">
        <w:rPr>
          <w:rFonts w:cstheme="minorHAnsi"/>
          <w:lang w:val="en-US"/>
        </w:rPr>
        <w:t>., art. 45.</w:t>
      </w:r>
    </w:p>
  </w:endnote>
  <w:endnote w:id="6">
    <w:p w14:paraId="0877C524" w14:textId="77777777" w:rsidR="004B3B9E" w:rsidRPr="0070391F" w:rsidRDefault="004B3B9E" w:rsidP="004B3B9E">
      <w:pPr>
        <w:pStyle w:val="Notedefin"/>
        <w:rPr>
          <w:rFonts w:cstheme="minorHAnsi"/>
          <w:lang w:val="en-US"/>
        </w:rPr>
      </w:pPr>
      <w:r w:rsidRPr="00EA258C">
        <w:rPr>
          <w:rStyle w:val="Appeldenotedefin"/>
          <w:rFonts w:cstheme="minorHAnsi"/>
        </w:rPr>
        <w:endnoteRef/>
      </w:r>
      <w:r w:rsidRPr="0070391F">
        <w:rPr>
          <w:rFonts w:cstheme="minorHAnsi"/>
          <w:lang w:val="en-US"/>
        </w:rPr>
        <w:t xml:space="preserve"> </w:t>
      </w:r>
      <w:r w:rsidRPr="0070391F">
        <w:rPr>
          <w:rFonts w:cstheme="minorHAnsi"/>
          <w:i/>
          <w:lang w:val="en-US"/>
        </w:rPr>
        <w:t>Ibid.</w:t>
      </w:r>
      <w:r w:rsidRPr="0070391F">
        <w:rPr>
          <w:rFonts w:cstheme="minorHAnsi"/>
          <w:lang w:val="en-US"/>
        </w:rPr>
        <w:t xml:space="preserve">, </w:t>
      </w:r>
      <w:proofErr w:type="spellStart"/>
      <w:r w:rsidRPr="0070391F">
        <w:rPr>
          <w:rFonts w:cstheme="minorHAnsi"/>
          <w:lang w:val="en-US"/>
        </w:rPr>
        <w:t>Préambule</w:t>
      </w:r>
      <w:proofErr w:type="spellEnd"/>
      <w:r w:rsidRPr="0070391F">
        <w:rPr>
          <w:rFonts w:cstheme="minorHAnsi"/>
          <w:lang w:val="en-US"/>
        </w:rPr>
        <w:t>.</w:t>
      </w:r>
    </w:p>
  </w:endnote>
  <w:endnote w:id="7">
    <w:p w14:paraId="75D29DDD" w14:textId="77777777" w:rsidR="004B3B9E" w:rsidRPr="0070391F" w:rsidRDefault="004B3B9E" w:rsidP="004B3B9E">
      <w:pPr>
        <w:rPr>
          <w:rFonts w:asciiTheme="minorHAnsi" w:hAnsiTheme="minorHAnsi" w:cstheme="minorHAnsi"/>
          <w:sz w:val="20"/>
          <w:lang w:val="en-US"/>
        </w:rPr>
      </w:pPr>
      <w:r w:rsidRPr="00EA258C">
        <w:rPr>
          <w:rStyle w:val="Appeldenotedefin"/>
          <w:rFonts w:asciiTheme="minorHAnsi" w:hAnsiTheme="minorHAnsi" w:cstheme="minorHAnsi"/>
          <w:sz w:val="20"/>
        </w:rPr>
        <w:endnoteRef/>
      </w:r>
      <w:r w:rsidRPr="0070391F">
        <w:rPr>
          <w:rFonts w:asciiTheme="minorHAnsi" w:hAnsiTheme="minorHAnsi" w:cstheme="minorHAnsi"/>
          <w:sz w:val="20"/>
          <w:lang w:val="en-US"/>
        </w:rPr>
        <w:t xml:space="preserve"> République du Cameroun, </w:t>
      </w:r>
      <w:r w:rsidRPr="0070391F">
        <w:rPr>
          <w:rFonts w:asciiTheme="minorHAnsi" w:hAnsiTheme="minorHAnsi" w:cstheme="minorHAnsi"/>
          <w:i/>
          <w:sz w:val="20"/>
          <w:lang w:val="en-US"/>
        </w:rPr>
        <w:t xml:space="preserve">Loi n° 2016/007 du 12 </w:t>
      </w:r>
      <w:proofErr w:type="spellStart"/>
      <w:r w:rsidRPr="0070391F">
        <w:rPr>
          <w:rFonts w:asciiTheme="minorHAnsi" w:hAnsiTheme="minorHAnsi" w:cstheme="minorHAnsi"/>
          <w:i/>
          <w:sz w:val="20"/>
          <w:lang w:val="en-US"/>
        </w:rPr>
        <w:t>juillet</w:t>
      </w:r>
      <w:proofErr w:type="spellEnd"/>
      <w:r w:rsidRPr="0070391F">
        <w:rPr>
          <w:rFonts w:asciiTheme="minorHAnsi" w:hAnsiTheme="minorHAnsi" w:cstheme="minorHAnsi"/>
          <w:i/>
          <w:sz w:val="20"/>
          <w:lang w:val="en-US"/>
        </w:rPr>
        <w:t xml:space="preserve"> 2016 </w:t>
      </w:r>
      <w:proofErr w:type="spellStart"/>
      <w:r w:rsidRPr="0070391F">
        <w:rPr>
          <w:rFonts w:asciiTheme="minorHAnsi" w:hAnsiTheme="minorHAnsi" w:cstheme="minorHAnsi"/>
          <w:i/>
          <w:sz w:val="20"/>
          <w:lang w:val="en-US"/>
        </w:rPr>
        <w:t>portant</w:t>
      </w:r>
      <w:proofErr w:type="spellEnd"/>
      <w:r w:rsidRPr="0070391F">
        <w:rPr>
          <w:rFonts w:asciiTheme="minorHAnsi" w:hAnsiTheme="minorHAnsi" w:cstheme="minorHAnsi"/>
          <w:i/>
          <w:sz w:val="20"/>
          <w:lang w:val="en-US"/>
        </w:rPr>
        <w:t xml:space="preserve"> Code </w:t>
      </w:r>
      <w:proofErr w:type="spellStart"/>
      <w:r w:rsidRPr="0070391F">
        <w:rPr>
          <w:rFonts w:asciiTheme="minorHAnsi" w:hAnsiTheme="minorHAnsi" w:cstheme="minorHAnsi"/>
          <w:i/>
          <w:sz w:val="20"/>
          <w:lang w:val="en-US"/>
        </w:rPr>
        <w:t>pénal</w:t>
      </w:r>
      <w:proofErr w:type="spellEnd"/>
      <w:r w:rsidRPr="0070391F">
        <w:rPr>
          <w:rFonts w:asciiTheme="minorHAnsi" w:hAnsiTheme="minorHAnsi" w:cstheme="minorHAnsi"/>
          <w:sz w:val="20"/>
          <w:lang w:val="en-US"/>
        </w:rPr>
        <w:t xml:space="preserve">, art. 102, art. 103, art. 111, art. 112, art. 236, art. 276, art. 351, art. 354 al.2. </w:t>
      </w:r>
    </w:p>
  </w:endnote>
  <w:endnote w:id="8">
    <w:p w14:paraId="752C389B" w14:textId="77777777" w:rsidR="004B3B9E" w:rsidRPr="00EA258C" w:rsidRDefault="004B3B9E" w:rsidP="004B3B9E">
      <w:pPr>
        <w:pStyle w:val="Notedefin"/>
        <w:rPr>
          <w:rFonts w:cstheme="minorHAnsi"/>
        </w:rPr>
      </w:pPr>
      <w:r w:rsidRPr="00EA258C">
        <w:rPr>
          <w:rStyle w:val="Appeldenotedefin"/>
          <w:rFonts w:cstheme="minorHAnsi"/>
        </w:rPr>
        <w:endnoteRef/>
      </w:r>
      <w:r w:rsidRPr="00EA258C">
        <w:rPr>
          <w:rFonts w:cstheme="minorHAnsi"/>
        </w:rPr>
        <w:t xml:space="preserve"> </w:t>
      </w:r>
      <w:r w:rsidRPr="00EA258C">
        <w:rPr>
          <w:rFonts w:cstheme="minorHAnsi"/>
          <w:i/>
        </w:rPr>
        <w:t>Ibid.</w:t>
      </w:r>
      <w:r w:rsidRPr="00EA258C">
        <w:rPr>
          <w:rFonts w:cstheme="minorHAnsi"/>
        </w:rPr>
        <w:t>, art. 2.</w:t>
      </w:r>
    </w:p>
  </w:endnote>
  <w:endnote w:id="9">
    <w:p w14:paraId="3C8489E5" w14:textId="77777777" w:rsidR="004B3B9E" w:rsidRPr="00EA258C" w:rsidRDefault="004B3B9E" w:rsidP="004B3B9E">
      <w:pPr>
        <w:pStyle w:val="Notedefin"/>
        <w:rPr>
          <w:rFonts w:cstheme="minorHAnsi"/>
        </w:rPr>
      </w:pPr>
      <w:r w:rsidRPr="00EA258C">
        <w:rPr>
          <w:rStyle w:val="Appeldenotedefin"/>
          <w:rFonts w:cstheme="minorHAnsi"/>
        </w:rPr>
        <w:endnoteRef/>
      </w:r>
      <w:r w:rsidRPr="00EA258C">
        <w:rPr>
          <w:rFonts w:cstheme="minorHAnsi"/>
        </w:rPr>
        <w:t xml:space="preserve"> République du Cameroun, Loi N° 2014/028 du 23 décembre 2014 portant répression des actes de terrorisme, art. 2, art. 3, art. 4, art.5.</w:t>
      </w:r>
    </w:p>
  </w:endnote>
  <w:endnote w:id="10">
    <w:p w14:paraId="43AAEC22" w14:textId="77777777" w:rsidR="004B3B9E" w:rsidRPr="00EA258C" w:rsidRDefault="004B3B9E" w:rsidP="004B3B9E">
      <w:pPr>
        <w:pStyle w:val="Notedefin"/>
        <w:rPr>
          <w:rFonts w:cstheme="minorHAnsi"/>
          <w:lang w:val="en-GB"/>
        </w:rPr>
      </w:pPr>
      <w:r w:rsidRPr="00EA258C">
        <w:rPr>
          <w:rStyle w:val="Appeldenotedefin"/>
          <w:rFonts w:cstheme="minorHAnsi"/>
        </w:rPr>
        <w:endnoteRef/>
      </w:r>
      <w:r w:rsidRPr="00EA258C">
        <w:rPr>
          <w:rFonts w:cstheme="minorHAnsi"/>
          <w:i/>
          <w:lang w:val="en-GB"/>
        </w:rPr>
        <w:t xml:space="preserve"> Ibid.</w:t>
      </w:r>
      <w:r w:rsidRPr="00EA258C">
        <w:rPr>
          <w:rFonts w:cstheme="minorHAnsi"/>
          <w:lang w:val="en-GB"/>
        </w:rPr>
        <w:t>, art. 4, art.5.</w:t>
      </w:r>
    </w:p>
  </w:endnote>
  <w:endnote w:id="11">
    <w:p w14:paraId="0F31BB4E" w14:textId="77777777" w:rsidR="004B3B9E" w:rsidRPr="00EA258C" w:rsidRDefault="004B3B9E" w:rsidP="004B3B9E">
      <w:pPr>
        <w:pStyle w:val="Notedefin"/>
        <w:rPr>
          <w:rFonts w:cstheme="minorHAnsi"/>
          <w:lang w:val="en-GB"/>
        </w:rPr>
      </w:pPr>
      <w:r w:rsidRPr="00EA258C">
        <w:rPr>
          <w:rStyle w:val="Appeldenotedefin"/>
          <w:rFonts w:cstheme="minorHAnsi"/>
        </w:rPr>
        <w:endnoteRef/>
      </w:r>
      <w:r w:rsidRPr="00EA258C">
        <w:rPr>
          <w:rFonts w:cstheme="minorHAnsi"/>
          <w:i/>
          <w:lang w:val="en-GB"/>
        </w:rPr>
        <w:t>Ibid.</w:t>
      </w:r>
      <w:r w:rsidRPr="00EA258C">
        <w:rPr>
          <w:rFonts w:cstheme="minorHAnsi"/>
          <w:lang w:val="en-GB"/>
        </w:rPr>
        <w:t>, art. 1</w:t>
      </w:r>
      <w:r w:rsidRPr="00EA258C">
        <w:rPr>
          <w:rFonts w:cstheme="minorHAnsi"/>
          <w:vertAlign w:val="superscript"/>
          <w:lang w:val="en-GB"/>
        </w:rPr>
        <w:t xml:space="preserve">er, </w:t>
      </w:r>
      <w:r w:rsidRPr="00EA258C">
        <w:rPr>
          <w:rFonts w:cstheme="minorHAnsi"/>
          <w:lang w:val="en-GB"/>
        </w:rPr>
        <w:t>§3.</w:t>
      </w:r>
    </w:p>
  </w:endnote>
  <w:endnote w:id="12">
    <w:p w14:paraId="01EB68D8" w14:textId="77777777" w:rsidR="004B3B9E" w:rsidRPr="00EA258C" w:rsidRDefault="004B3B9E" w:rsidP="004B3B9E">
      <w:pPr>
        <w:rPr>
          <w:rFonts w:asciiTheme="minorHAnsi" w:hAnsiTheme="minorHAnsi" w:cstheme="minorHAnsi"/>
          <w:sz w:val="20"/>
        </w:rPr>
      </w:pPr>
      <w:r w:rsidRPr="00EA258C">
        <w:rPr>
          <w:rStyle w:val="Appeldenotedefin"/>
          <w:rFonts w:asciiTheme="minorHAnsi" w:hAnsiTheme="minorHAnsi" w:cstheme="minorHAnsi"/>
          <w:sz w:val="20"/>
        </w:rPr>
        <w:endnoteRef/>
      </w:r>
      <w:r w:rsidRPr="00EA258C">
        <w:rPr>
          <w:rFonts w:asciiTheme="minorHAnsi" w:hAnsiTheme="minorHAnsi" w:cstheme="minorHAnsi"/>
          <w:sz w:val="20"/>
        </w:rPr>
        <w:t xml:space="preserve"> République du Cameroun, Loi N° 2017/012 du 12 juillet 2017 portant code de justice militaire, art. 61, art. 62, art. 63.</w:t>
      </w:r>
    </w:p>
  </w:endnote>
  <w:endnote w:id="13">
    <w:p w14:paraId="50517356" w14:textId="77777777" w:rsidR="003343E9" w:rsidRPr="00EA258C" w:rsidRDefault="003343E9" w:rsidP="003343E9">
      <w:pPr>
        <w:pStyle w:val="Notedefin"/>
        <w:rPr>
          <w:rFonts w:cstheme="minorHAnsi"/>
        </w:rPr>
      </w:pPr>
      <w:r w:rsidRPr="00EA258C">
        <w:rPr>
          <w:rStyle w:val="Appeldenotedefin"/>
          <w:rFonts w:cstheme="minorHAnsi"/>
        </w:rPr>
        <w:endnoteRef/>
      </w:r>
      <w:r w:rsidRPr="00EA258C">
        <w:rPr>
          <w:rFonts w:cstheme="minorHAnsi"/>
        </w:rPr>
        <w:t xml:space="preserve">Publié en février 2022. Disponible sur : </w:t>
      </w:r>
      <w:hyperlink r:id="rId2" w:history="1">
        <w:r w:rsidRPr="00EA258C">
          <w:rPr>
            <w:rStyle w:val="Lienhypertexte"/>
            <w:rFonts w:cstheme="minorHAnsi"/>
          </w:rPr>
          <w:t>http://www.minjustice.gov.cm/index.php/fr/publications/rapports/544-rapport-du-ministere-de-la-justice-sur-l-etat-droits-de-l-homme-au-cameroun-en-2020</w:t>
        </w:r>
      </w:hyperlink>
      <w:r w:rsidRPr="00EA258C">
        <w:rPr>
          <w:rFonts w:cstheme="minorHAnsi"/>
        </w:rPr>
        <w:t xml:space="preserve"> </w:t>
      </w:r>
    </w:p>
  </w:endnote>
  <w:endnote w:id="14">
    <w:p w14:paraId="5FC27B17" w14:textId="77777777" w:rsidR="003343E9" w:rsidRPr="00EA258C" w:rsidRDefault="003343E9" w:rsidP="003343E9">
      <w:pPr>
        <w:pStyle w:val="Notedefin"/>
        <w:rPr>
          <w:rFonts w:cstheme="minorHAnsi"/>
        </w:rPr>
      </w:pPr>
      <w:r w:rsidRPr="00EA258C">
        <w:rPr>
          <w:rStyle w:val="Appeldenotedefin"/>
          <w:rFonts w:cstheme="minorHAnsi"/>
        </w:rPr>
        <w:endnoteRef/>
      </w:r>
      <w:r w:rsidRPr="00EA258C">
        <w:rPr>
          <w:rFonts w:cstheme="minorHAnsi"/>
        </w:rPr>
        <w:t xml:space="preserve">Conseil économique et social des Nations unies. </w:t>
      </w:r>
      <w:r w:rsidRPr="00EA258C">
        <w:rPr>
          <w:rFonts w:cstheme="minorHAnsi"/>
          <w:i/>
        </w:rPr>
        <w:t>Application des Garanties pour la protection des droits des personnes passibles de la peine de mort</w:t>
      </w:r>
      <w:r w:rsidRPr="00EA258C">
        <w:rPr>
          <w:rFonts w:cstheme="minorHAnsi"/>
        </w:rPr>
        <w:t xml:space="preserve">. 24 mai 1989. </w:t>
      </w:r>
      <w:r w:rsidRPr="00EA258C">
        <w:rPr>
          <w:rFonts w:cstheme="minorHAnsi"/>
        </w:rPr>
        <w:br/>
        <w:t xml:space="preserve">Disponible </w:t>
      </w:r>
      <w:proofErr w:type="gramStart"/>
      <w:r w:rsidRPr="00EA258C">
        <w:rPr>
          <w:rFonts w:cstheme="minorHAnsi"/>
        </w:rPr>
        <w:t>sur:</w:t>
      </w:r>
      <w:proofErr w:type="gramEnd"/>
      <w:r w:rsidRPr="00EA258C">
        <w:rPr>
          <w:rFonts w:cstheme="minorHAnsi"/>
        </w:rPr>
        <w:t xml:space="preserve"> </w:t>
      </w:r>
      <w:hyperlink r:id="rId3" w:history="1">
        <w:r w:rsidRPr="00EA258C">
          <w:rPr>
            <w:rStyle w:val="Lienhypertexte"/>
            <w:rFonts w:cstheme="minorHAnsi"/>
          </w:rPr>
          <w:t>https://www.unodc.org/documents/commissions/CCPCJ/Crime_Resolutions/1980-1989/1989/ECOSOC/Resolution_1989-64.pdf</w:t>
        </w:r>
      </w:hyperlink>
      <w:r w:rsidRPr="00EA258C">
        <w:rPr>
          <w:rFonts w:cstheme="minorHAnsi"/>
        </w:rPr>
        <w:t xml:space="preserve"> </w:t>
      </w:r>
    </w:p>
  </w:endnote>
  <w:endnote w:id="15">
    <w:p w14:paraId="20608867" w14:textId="77777777" w:rsidR="007A0EC2" w:rsidRPr="00EA258C" w:rsidRDefault="007A0EC2" w:rsidP="007A0EC2">
      <w:pPr>
        <w:pStyle w:val="Notedefin"/>
        <w:rPr>
          <w:rFonts w:cstheme="minorHAnsi"/>
        </w:rPr>
      </w:pPr>
      <w:r w:rsidRPr="00EA258C">
        <w:rPr>
          <w:rStyle w:val="Appeldenotedefin"/>
          <w:rFonts w:cstheme="minorHAnsi"/>
        </w:rPr>
        <w:endnoteRef/>
      </w:r>
      <w:r w:rsidRPr="00EA258C">
        <w:rPr>
          <w:rFonts w:cstheme="minorHAnsi"/>
        </w:rPr>
        <w:t xml:space="preserve"> Assemblée générale des Nations unies, </w:t>
      </w:r>
      <w:r w:rsidRPr="00EA258C">
        <w:rPr>
          <w:rFonts w:cstheme="minorHAnsi"/>
          <w:i/>
        </w:rPr>
        <w:t>Pacte international relatif aux droits civils et politiques</w:t>
      </w:r>
      <w:r w:rsidRPr="00EA258C">
        <w:rPr>
          <w:rFonts w:cstheme="minorHAnsi"/>
        </w:rPr>
        <w:t xml:space="preserve">, 16 décembre 1966, art. 6, §2. Disponible sur : </w:t>
      </w:r>
      <w:hyperlink r:id="rId4" w:history="1">
        <w:r w:rsidRPr="00EA258C">
          <w:rPr>
            <w:rStyle w:val="Lienhypertexte"/>
            <w:rFonts w:cstheme="minorHAnsi"/>
          </w:rPr>
          <w:t>http://www.ohchr.org/FR/ProfessionalInterest/Pages/CCPR.aspx</w:t>
        </w:r>
      </w:hyperlink>
      <w:r w:rsidRPr="00EA258C">
        <w:rPr>
          <w:rFonts w:cstheme="minorHAnsi"/>
        </w:rPr>
        <w:t xml:space="preserve"> </w:t>
      </w:r>
    </w:p>
  </w:endnote>
  <w:endnote w:id="16">
    <w:p w14:paraId="325D898C" w14:textId="77777777" w:rsidR="007A0EC2" w:rsidRPr="00EA258C" w:rsidRDefault="007A0EC2" w:rsidP="007A0EC2">
      <w:pPr>
        <w:pStyle w:val="Notedefin"/>
        <w:rPr>
          <w:rFonts w:cstheme="minorHAnsi"/>
        </w:rPr>
      </w:pPr>
      <w:r w:rsidRPr="00EA258C">
        <w:rPr>
          <w:rStyle w:val="Appeldenotedefin"/>
          <w:rFonts w:cstheme="minorHAnsi"/>
        </w:rPr>
        <w:endnoteRef/>
      </w:r>
      <w:r w:rsidRPr="00EA258C">
        <w:rPr>
          <w:rFonts w:cstheme="minorHAnsi"/>
        </w:rPr>
        <w:t xml:space="preserve"> Observation générale n°36 sur l’article 6 du Pacte international relatif aux droits civils et politiques, concernant le droit à la vie, §39, Comité des droits de l’Homme (CCPR/C/GC/R.36/Rev.7)/ Disponible sur : </w:t>
      </w:r>
      <w:hyperlink r:id="rId5" w:history="1">
        <w:r w:rsidRPr="00EA258C">
          <w:rPr>
            <w:rStyle w:val="Lienhypertexte"/>
            <w:rFonts w:cstheme="minorHAnsi"/>
          </w:rPr>
          <w:t>https://www.ohchr.org/sites/default/files/Documents/HRBodies/CCPR/GCArticle6/GCArticle6_FR.pdf</w:t>
        </w:r>
      </w:hyperlink>
      <w:r w:rsidRPr="00EA258C">
        <w:rPr>
          <w:rFonts w:cstheme="minorHAnsi"/>
        </w:rPr>
        <w:t xml:space="preserve"> </w:t>
      </w:r>
    </w:p>
  </w:endnote>
  <w:endnote w:id="17">
    <w:p w14:paraId="213A015E" w14:textId="77777777" w:rsidR="00841C95" w:rsidRPr="00EA258C" w:rsidRDefault="00841C95" w:rsidP="00841C95">
      <w:pPr>
        <w:pStyle w:val="Notedefin"/>
        <w:rPr>
          <w:rFonts w:cstheme="minorHAnsi"/>
        </w:rPr>
      </w:pPr>
      <w:r w:rsidRPr="00EA258C">
        <w:rPr>
          <w:rStyle w:val="Appeldenotedefin"/>
          <w:rFonts w:cstheme="minorHAnsi"/>
        </w:rPr>
        <w:endnoteRef/>
      </w:r>
      <w:r w:rsidRPr="00EA258C">
        <w:rPr>
          <w:rFonts w:cstheme="minorHAnsi"/>
        </w:rPr>
        <w:t xml:space="preserve"> Assemblée générale des Nations unies, </w:t>
      </w:r>
      <w:r w:rsidRPr="00EA258C">
        <w:rPr>
          <w:rFonts w:cstheme="minorHAnsi"/>
          <w:i/>
        </w:rPr>
        <w:t>Pacte international relatif aux droits civils et politiques</w:t>
      </w:r>
      <w:r w:rsidRPr="00EA258C">
        <w:rPr>
          <w:rFonts w:cstheme="minorHAnsi"/>
        </w:rPr>
        <w:t xml:space="preserve">, 16 décembre 1966, art. 14, </w:t>
      </w:r>
      <w:r w:rsidRPr="00EA258C">
        <w:rPr>
          <w:rFonts w:cstheme="minorHAnsi"/>
          <w:color w:val="333333"/>
          <w:shd w:val="clear" w:color="auto" w:fill="FFFFFF"/>
        </w:rPr>
        <w:t>§ 1</w:t>
      </w:r>
      <w:r w:rsidRPr="00EA258C">
        <w:rPr>
          <w:rFonts w:cstheme="minorHAnsi"/>
        </w:rPr>
        <w:t xml:space="preserve">. Disponible sur : </w:t>
      </w:r>
      <w:hyperlink r:id="rId6" w:history="1">
        <w:r w:rsidRPr="00EA258C">
          <w:rPr>
            <w:rStyle w:val="Lienhypertexte"/>
            <w:rFonts w:cstheme="minorHAnsi"/>
          </w:rPr>
          <w:t>http://www.ohchr.org/FR/ProfessionalInterest/Pages/CCPR.aspx</w:t>
        </w:r>
      </w:hyperlink>
      <w:r w:rsidRPr="00EA258C">
        <w:rPr>
          <w:rFonts w:cstheme="minorHAnsi"/>
        </w:rPr>
        <w:t xml:space="preserve"> </w:t>
      </w:r>
    </w:p>
  </w:endnote>
  <w:endnote w:id="18">
    <w:p w14:paraId="49533490" w14:textId="77777777" w:rsidR="00841C95" w:rsidRPr="00EA258C" w:rsidRDefault="00841C95" w:rsidP="00841C95">
      <w:pPr>
        <w:pStyle w:val="Notedefin"/>
        <w:rPr>
          <w:rFonts w:cstheme="minorHAnsi"/>
        </w:rPr>
      </w:pPr>
      <w:r w:rsidRPr="00EA258C">
        <w:rPr>
          <w:rStyle w:val="Appeldenotedefin"/>
          <w:rFonts w:cstheme="minorHAnsi"/>
        </w:rPr>
        <w:endnoteRef/>
      </w:r>
      <w:r w:rsidRPr="00EA258C">
        <w:rPr>
          <w:rFonts w:cstheme="minorHAnsi"/>
        </w:rPr>
        <w:t xml:space="preserve"> </w:t>
      </w:r>
      <w:r>
        <w:rPr>
          <w:rFonts w:cstheme="minorHAnsi"/>
        </w:rPr>
        <w:t xml:space="preserve">Observations des membres du Réseau des avocats contre la peine de mort, rapportées en mars 2023 </w:t>
      </w:r>
    </w:p>
  </w:endnote>
  <w:endnote w:id="19">
    <w:p w14:paraId="181441BF" w14:textId="77777777" w:rsidR="00841C95" w:rsidRPr="00EA258C" w:rsidRDefault="00841C95" w:rsidP="00841C95">
      <w:pPr>
        <w:pStyle w:val="Notedefin"/>
        <w:rPr>
          <w:rFonts w:cstheme="minorHAnsi"/>
        </w:rPr>
      </w:pPr>
      <w:r w:rsidRPr="00EA258C">
        <w:rPr>
          <w:rStyle w:val="Appeldenotedefin"/>
          <w:rFonts w:cstheme="minorHAnsi"/>
        </w:rPr>
        <w:endnoteRef/>
      </w:r>
      <w:r w:rsidRPr="00EA258C">
        <w:rPr>
          <w:rFonts w:cstheme="minorHAnsi"/>
        </w:rPr>
        <w:t xml:space="preserve"> Assemblée générale des Nations unies, Pacte international relatif aux droits civils et politiques, 1966, art. 14, </w:t>
      </w:r>
      <w:r w:rsidRPr="00EA258C">
        <w:rPr>
          <w:rFonts w:cstheme="minorHAnsi"/>
          <w:color w:val="333333"/>
          <w:shd w:val="clear" w:color="auto" w:fill="FFFFFF"/>
        </w:rPr>
        <w:t xml:space="preserve">§ </w:t>
      </w:r>
      <w:r w:rsidRPr="00EA258C">
        <w:rPr>
          <w:rFonts w:cstheme="minorHAnsi"/>
        </w:rPr>
        <w:t>3, al. f.</w:t>
      </w:r>
    </w:p>
  </w:endnote>
  <w:endnote w:id="20">
    <w:p w14:paraId="5C195FF8" w14:textId="40FA9933" w:rsidR="000F22D5" w:rsidRDefault="000F22D5">
      <w:pPr>
        <w:pStyle w:val="Notedefin"/>
      </w:pPr>
      <w:r>
        <w:rPr>
          <w:rStyle w:val="Appeldenotedefin"/>
        </w:rPr>
        <w:endnoteRef/>
      </w:r>
      <w:r>
        <w:t xml:space="preserve"> </w:t>
      </w:r>
      <w:r w:rsidRPr="00EA258C">
        <w:rPr>
          <w:rFonts w:cstheme="minorHAnsi"/>
        </w:rPr>
        <w:t xml:space="preserve">ECPM, Condamnés à l’oubli, mission d’enquête dans les couloirs de la mort, Cameroun, 2019. Disponible : </w:t>
      </w:r>
      <w:hyperlink r:id="rId7" w:history="1">
        <w:r w:rsidRPr="00EA258C">
          <w:rPr>
            <w:rStyle w:val="Lienhypertexte"/>
            <w:rFonts w:cstheme="minorHAnsi"/>
          </w:rPr>
          <w:t>https://www.ecpm.org/app/uploads/2022/08/mission-enquete-cameroun-2019-FR.pdf</w:t>
        </w:r>
      </w:hyperlink>
      <w:r w:rsidRPr="00EA258C">
        <w:rPr>
          <w:rFonts w:cstheme="minorHAnsi"/>
        </w:rPr>
        <w:t xml:space="preserve">  </w:t>
      </w:r>
    </w:p>
  </w:endnote>
  <w:endnote w:id="21">
    <w:p w14:paraId="2A744D91" w14:textId="77777777" w:rsidR="00F32B0A" w:rsidRPr="00EA258C" w:rsidRDefault="00F32B0A" w:rsidP="00F32B0A">
      <w:pPr>
        <w:pStyle w:val="Notedefin"/>
        <w:rPr>
          <w:rFonts w:cstheme="minorHAnsi"/>
        </w:rPr>
      </w:pPr>
      <w:r w:rsidRPr="00EA258C">
        <w:rPr>
          <w:rStyle w:val="Appeldenotedefin"/>
          <w:rFonts w:cstheme="minorHAnsi"/>
        </w:rPr>
        <w:endnoteRef/>
      </w:r>
      <w:r w:rsidRPr="00EA258C">
        <w:rPr>
          <w:rFonts w:cstheme="minorHAnsi"/>
        </w:rPr>
        <w:t xml:space="preserve"> Tribunal militaire de Maroua, jugement n° 136/16 le 18/10/2016</w:t>
      </w:r>
    </w:p>
  </w:endnote>
  <w:endnote w:id="22">
    <w:p w14:paraId="6F2F51E8" w14:textId="77777777" w:rsidR="00146F67" w:rsidRPr="00EA258C" w:rsidRDefault="00146F67" w:rsidP="00146F67">
      <w:pPr>
        <w:pStyle w:val="Notedefin"/>
        <w:rPr>
          <w:rFonts w:cstheme="minorHAnsi"/>
        </w:rPr>
      </w:pPr>
      <w:r w:rsidRPr="00EA258C">
        <w:rPr>
          <w:rStyle w:val="Appeldenotedefin"/>
          <w:rFonts w:cstheme="minorHAnsi"/>
        </w:rPr>
        <w:endnoteRef/>
      </w:r>
      <w:r w:rsidRPr="00EA258C">
        <w:rPr>
          <w:rFonts w:cstheme="minorHAnsi"/>
        </w:rPr>
        <w:t xml:space="preserve"> Observations des membres du Réseau des avocats contre la peine de mort, rapportées en mars 2023</w:t>
      </w:r>
    </w:p>
  </w:endnote>
  <w:endnote w:id="23">
    <w:p w14:paraId="05662B58" w14:textId="366480D3" w:rsidR="00146F67" w:rsidRPr="00EA258C" w:rsidRDefault="00146F67" w:rsidP="00146F67">
      <w:pPr>
        <w:pStyle w:val="Notedefin"/>
        <w:rPr>
          <w:rFonts w:cstheme="minorHAnsi"/>
        </w:rPr>
      </w:pPr>
      <w:r w:rsidRPr="00EA258C">
        <w:rPr>
          <w:rStyle w:val="Appeldenotedefin"/>
          <w:rFonts w:cstheme="minorHAnsi"/>
        </w:rPr>
        <w:endnoteRef/>
      </w:r>
      <w:r w:rsidRPr="00EA258C">
        <w:rPr>
          <w:rFonts w:cstheme="minorHAnsi"/>
        </w:rPr>
        <w:t xml:space="preserve"> Human Rights Watch, </w:t>
      </w:r>
      <w:r w:rsidR="000F22D5">
        <w:rPr>
          <w:rFonts w:cstheme="minorHAnsi"/>
        </w:rPr>
        <w:t>« </w:t>
      </w:r>
      <w:r w:rsidRPr="00EA258C">
        <w:rPr>
          <w:rFonts w:cstheme="minorHAnsi"/>
        </w:rPr>
        <w:t>Cameroun : Recours régulier à la torture et à la détention au secret</w:t>
      </w:r>
      <w:r w:rsidR="000F22D5">
        <w:rPr>
          <w:rFonts w:cstheme="minorHAnsi"/>
        </w:rPr>
        <w:t> »</w:t>
      </w:r>
      <w:r w:rsidRPr="00EA258C">
        <w:rPr>
          <w:rFonts w:cstheme="minorHAnsi"/>
        </w:rPr>
        <w:t xml:space="preserve">, 6 mai 2019, Disponible : </w:t>
      </w:r>
      <w:hyperlink r:id="rId8" w:history="1">
        <w:r w:rsidRPr="00EA258C">
          <w:rPr>
            <w:rStyle w:val="Lienhypertexte"/>
            <w:rFonts w:cstheme="minorHAnsi"/>
          </w:rPr>
          <w:t>https://www.hrw.org/fr/news/2019/05/06/cameroun-recours-regulier-la-torture-et-la-detention-au-secret</w:t>
        </w:r>
      </w:hyperlink>
      <w:r w:rsidRPr="00EA258C">
        <w:rPr>
          <w:rFonts w:cstheme="minorHAnsi"/>
        </w:rPr>
        <w:t xml:space="preserve">  </w:t>
      </w:r>
    </w:p>
  </w:endnote>
  <w:endnote w:id="24">
    <w:p w14:paraId="259B3191" w14:textId="77777777" w:rsidR="00824402" w:rsidRPr="00A3408E" w:rsidRDefault="00824402" w:rsidP="00824402">
      <w:pPr>
        <w:pStyle w:val="Notedefin"/>
      </w:pPr>
      <w:r>
        <w:rPr>
          <w:rStyle w:val="Appeldenotedefin"/>
        </w:rPr>
        <w:endnoteRef/>
      </w:r>
      <w:r w:rsidRPr="00A3408E">
        <w:t xml:space="preserve"> </w:t>
      </w:r>
      <w:r w:rsidRPr="00EA258C">
        <w:rPr>
          <w:rFonts w:cstheme="minorHAnsi"/>
        </w:rPr>
        <w:t>ECPM,</w:t>
      </w:r>
      <w:r>
        <w:rPr>
          <w:rFonts w:cstheme="minorHAnsi"/>
        </w:rPr>
        <w:t xml:space="preserve"> </w:t>
      </w:r>
      <w:r w:rsidRPr="00EA258C">
        <w:rPr>
          <w:rFonts w:cstheme="minorHAnsi"/>
        </w:rPr>
        <w:t xml:space="preserve">Condamnés à l’oubli, mission d’enquête dans les couloirs de la mort, Cameroun, 2019. Disponible : </w:t>
      </w:r>
      <w:hyperlink r:id="rId9" w:history="1">
        <w:r w:rsidRPr="00EA258C">
          <w:rPr>
            <w:rStyle w:val="Lienhypertexte"/>
            <w:rFonts w:cstheme="minorHAnsi"/>
          </w:rPr>
          <w:t>https://www.ecpm.org/app/uploads/2022/08/mission-enquete-cameroun-2019-FR.pdf</w:t>
        </w:r>
      </w:hyperlink>
      <w:r w:rsidRPr="00EA258C">
        <w:rPr>
          <w:rFonts w:cstheme="minorHAnsi"/>
        </w:rPr>
        <w:t xml:space="preserve">  </w:t>
      </w:r>
    </w:p>
  </w:endnote>
  <w:endnote w:id="25">
    <w:p w14:paraId="5BEDC906" w14:textId="4F2CE613" w:rsidR="0048285B" w:rsidRDefault="0048285B">
      <w:pPr>
        <w:pStyle w:val="Notedefin"/>
      </w:pPr>
      <w:r>
        <w:rPr>
          <w:rStyle w:val="Appeldenotedefin"/>
        </w:rPr>
        <w:endnoteRef/>
      </w:r>
      <w:r>
        <w:t xml:space="preserve"> La famille de Mme Hélène </w:t>
      </w:r>
      <w:proofErr w:type="spellStart"/>
      <w:r>
        <w:t>Teuba</w:t>
      </w:r>
      <w:proofErr w:type="spellEnd"/>
      <w:r>
        <w:t xml:space="preserve"> a consenti de partager les informations, dont son identité, publiquement.</w:t>
      </w:r>
    </w:p>
  </w:endnote>
  <w:endnote w:id="26">
    <w:p w14:paraId="1EF3738C" w14:textId="2B411569" w:rsidR="00824402" w:rsidRDefault="00824402">
      <w:pPr>
        <w:pStyle w:val="Notedefin"/>
      </w:pPr>
      <w:r>
        <w:rPr>
          <w:rStyle w:val="Appeldenotedefin"/>
        </w:rPr>
        <w:endnoteRef/>
      </w:r>
      <w:r>
        <w:t xml:space="preserve"> </w:t>
      </w:r>
      <w:r w:rsidRPr="00824402">
        <w:t>Code pénal</w:t>
      </w:r>
      <w:r>
        <w:t xml:space="preserve"> camerounais</w:t>
      </w:r>
      <w:r w:rsidRPr="00824402">
        <w:t>, art. 78</w:t>
      </w:r>
      <w:r>
        <w:t>.</w:t>
      </w:r>
    </w:p>
  </w:endnote>
  <w:endnote w:id="27">
    <w:p w14:paraId="3A43F6E2" w14:textId="0099381D" w:rsidR="00824402" w:rsidRDefault="00824402">
      <w:pPr>
        <w:pStyle w:val="Notedefin"/>
      </w:pPr>
      <w:r>
        <w:rPr>
          <w:rStyle w:val="Appeldenotedefin"/>
        </w:rPr>
        <w:endnoteRef/>
      </w:r>
      <w:r>
        <w:t xml:space="preserve"> Ceci est d’autant plus surprenant que le juge qui a rendu la décision de condamnation a été sollicité pour donner un avis consultatif sur l’opportunité de dispenser Hélène </w:t>
      </w:r>
      <w:proofErr w:type="spellStart"/>
      <w:r>
        <w:t>Teuba</w:t>
      </w:r>
      <w:proofErr w:type="spellEnd"/>
      <w:r>
        <w:t xml:space="preserve"> de la peine de mort. Dans son avis, il ne relève toujours pas l’irresponsabilité pénale, mais relève que l’accusée est caractérielle et psychopathe. Avis consultatif du magistrat </w:t>
      </w:r>
      <w:proofErr w:type="spellStart"/>
      <w:r>
        <w:t>Djouendjeu</w:t>
      </w:r>
      <w:proofErr w:type="spellEnd"/>
      <w:r>
        <w:t xml:space="preserve"> </w:t>
      </w:r>
      <w:proofErr w:type="spellStart"/>
      <w:r>
        <w:t>Ngameni</w:t>
      </w:r>
      <w:proofErr w:type="spellEnd"/>
      <w:r>
        <w:t xml:space="preserve">, juge au tribunal du </w:t>
      </w:r>
      <w:proofErr w:type="spellStart"/>
      <w:r>
        <w:t>Ndé</w:t>
      </w:r>
      <w:proofErr w:type="spellEnd"/>
      <w:r>
        <w:t>, 30 janvier 2006, n° 99/CAB/PTPI/BGPE.</w:t>
      </w:r>
    </w:p>
  </w:endnote>
  <w:endnote w:id="28">
    <w:p w14:paraId="143D896A" w14:textId="7AC14D6D" w:rsidR="00C71F39" w:rsidRPr="006345E9" w:rsidRDefault="00C71F39">
      <w:pPr>
        <w:pStyle w:val="Notedefin"/>
        <w:rPr>
          <w:lang w:val="en-GB"/>
        </w:rPr>
      </w:pPr>
      <w:r>
        <w:rPr>
          <w:rStyle w:val="Appeldenotedefin"/>
        </w:rPr>
        <w:endnoteRef/>
      </w:r>
      <w:r w:rsidRPr="006345E9">
        <w:rPr>
          <w:lang w:val="en-GB"/>
        </w:rPr>
        <w:t xml:space="preserve"> </w:t>
      </w:r>
      <w:r w:rsidR="000F22D5" w:rsidRPr="006345E9">
        <w:rPr>
          <w:lang w:val="en-GB"/>
        </w:rPr>
        <w:t xml:space="preserve">Cornell Center on the Death Penalty Worldwide, </w:t>
      </w:r>
      <w:r w:rsidRPr="006345E9">
        <w:rPr>
          <w:i/>
          <w:iCs/>
          <w:lang w:val="en-GB"/>
        </w:rPr>
        <w:t>Judged for More Than Her Crime: A Global Overview of Women Facing the Death Penalty</w:t>
      </w:r>
      <w:r w:rsidRPr="006345E9">
        <w:rPr>
          <w:lang w:val="en-GB"/>
        </w:rPr>
        <w:t xml:space="preserve">, </w:t>
      </w:r>
      <w:proofErr w:type="spellStart"/>
      <w:r w:rsidRPr="006345E9">
        <w:rPr>
          <w:lang w:val="en-GB"/>
        </w:rPr>
        <w:t>septembre</w:t>
      </w:r>
      <w:proofErr w:type="spellEnd"/>
      <w:r w:rsidRPr="006345E9">
        <w:rPr>
          <w:lang w:val="en-GB"/>
        </w:rPr>
        <w:t xml:space="preserve"> 2018, p. 4, </w:t>
      </w:r>
      <w:hyperlink r:id="rId10" w:history="1">
        <w:r w:rsidRPr="006345E9">
          <w:rPr>
            <w:rStyle w:val="Lienhypertexte"/>
            <w:lang w:val="en-GB"/>
          </w:rPr>
          <w:t>https://www.deathpenaltyworldwide.org/wp- content/uploads/2019/12/Judged-More-Than-Her-Crime.pdf</w:t>
        </w:r>
      </w:hyperlink>
      <w:r w:rsidRPr="006345E9">
        <w:rPr>
          <w:lang w:val="en-GB"/>
        </w:rPr>
        <w:t xml:space="preserve">. </w:t>
      </w:r>
    </w:p>
  </w:endnote>
  <w:endnote w:id="29">
    <w:p w14:paraId="41771A1E" w14:textId="7BF9F69A" w:rsidR="00C71F39" w:rsidRDefault="00C71F39">
      <w:pPr>
        <w:pStyle w:val="Notedefin"/>
      </w:pPr>
      <w:r>
        <w:rPr>
          <w:rStyle w:val="Appeldenotedefin"/>
        </w:rPr>
        <w:endnoteRef/>
      </w:r>
      <w:r>
        <w:t xml:space="preserve"> </w:t>
      </w:r>
      <w:r w:rsidRPr="00C71F39">
        <w:rPr>
          <w:i/>
          <w:iCs/>
        </w:rPr>
        <w:t>Ibid.</w:t>
      </w:r>
    </w:p>
  </w:endnote>
  <w:endnote w:id="30">
    <w:p w14:paraId="444C9CFE" w14:textId="756C24E5" w:rsidR="00C71F39" w:rsidRDefault="00C71F39">
      <w:pPr>
        <w:pStyle w:val="Notedefin"/>
      </w:pPr>
      <w:r>
        <w:rPr>
          <w:rStyle w:val="Appeldenotedefin"/>
        </w:rPr>
        <w:endnoteRef/>
      </w:r>
      <w:r>
        <w:t xml:space="preserve"> </w:t>
      </w:r>
      <w:r w:rsidRPr="00C71F39">
        <w:rPr>
          <w:i/>
          <w:iCs/>
        </w:rPr>
        <w:t>Ibid.</w:t>
      </w:r>
    </w:p>
  </w:endnote>
  <w:endnote w:id="31">
    <w:p w14:paraId="108ACB06" w14:textId="526861F9" w:rsidR="00C71F39" w:rsidRDefault="00C71F39">
      <w:pPr>
        <w:pStyle w:val="Notedefin"/>
      </w:pPr>
      <w:r>
        <w:rPr>
          <w:rStyle w:val="Appeldenotedefin"/>
        </w:rPr>
        <w:endnoteRef/>
      </w:r>
      <w:r>
        <w:t xml:space="preserve"> </w:t>
      </w:r>
      <w:r w:rsidRPr="00C71F39">
        <w:rPr>
          <w:i/>
          <w:iCs/>
        </w:rPr>
        <w:t>Ibid.</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mpton Light">
    <w:panose1 w:val="00000500000000000000"/>
    <w:charset w:val="00"/>
    <w:family w:val="modern"/>
    <w:notTrueType/>
    <w:pitch w:val="variable"/>
    <w:sig w:usb0="00000007" w:usb1="00000001" w:usb2="00000000" w:usb3="00000000" w:csb0="00000093"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9814976"/>
      <w:docPartObj>
        <w:docPartGallery w:val="Page Numbers (Bottom of Page)"/>
        <w:docPartUnique/>
      </w:docPartObj>
    </w:sdtPr>
    <w:sdtContent>
      <w:p w14:paraId="457FCC6C" w14:textId="1C717A88" w:rsidR="00014D9D" w:rsidRDefault="00014D9D">
        <w:pPr>
          <w:pStyle w:val="Pieddepage"/>
          <w:jc w:val="center"/>
        </w:pPr>
        <w:r>
          <w:fldChar w:fldCharType="begin"/>
        </w:r>
        <w:r>
          <w:instrText>PAGE   \* MERGEFORMAT</w:instrText>
        </w:r>
        <w:r>
          <w:fldChar w:fldCharType="separate"/>
        </w:r>
        <w:r w:rsidR="00470FD1">
          <w:rPr>
            <w:noProof/>
          </w:rPr>
          <w:t>7</w:t>
        </w:r>
        <w:r>
          <w:fldChar w:fldCharType="end"/>
        </w:r>
      </w:p>
    </w:sdtContent>
  </w:sdt>
  <w:p w14:paraId="2320DD38" w14:textId="77777777" w:rsidR="00014D9D" w:rsidRDefault="00014D9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AB5F8" w14:textId="77777777" w:rsidR="00065D5B" w:rsidRDefault="00065D5B" w:rsidP="005C7074">
      <w:pPr>
        <w:spacing w:line="240" w:lineRule="auto"/>
      </w:pPr>
      <w:r>
        <w:separator/>
      </w:r>
    </w:p>
  </w:footnote>
  <w:footnote w:type="continuationSeparator" w:id="0">
    <w:p w14:paraId="09426063" w14:textId="77777777" w:rsidR="00065D5B" w:rsidRDefault="00065D5B" w:rsidP="005C707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45C20" w14:textId="103AA4E6" w:rsidR="00DC2295" w:rsidRDefault="00EC6403" w:rsidP="005B32AD">
    <w:pPr>
      <w:pStyle w:val="En-tte"/>
      <w:jc w:val="center"/>
    </w:pPr>
    <w:r>
      <w:rPr>
        <w:noProof/>
        <w:lang w:eastAsia="fr-FR"/>
        <w14:ligatures w14:val="standardContextual"/>
      </w:rPr>
      <w:drawing>
        <wp:inline distT="0" distB="0" distL="0" distR="0" wp14:anchorId="61FF56F1" wp14:editId="0DEEA728">
          <wp:extent cx="718664" cy="783325"/>
          <wp:effectExtent l="0" t="0" r="5715" b="0"/>
          <wp:docPr id="175761666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616668" name="Image 1757616668"/>
                  <pic:cNvPicPr/>
                </pic:nvPicPr>
                <pic:blipFill>
                  <a:blip r:embed="rId1">
                    <a:extLst>
                      <a:ext uri="{28A0092B-C50C-407E-A947-70E740481C1C}">
                        <a14:useLocalDpi xmlns:a14="http://schemas.microsoft.com/office/drawing/2010/main" val="0"/>
                      </a:ext>
                    </a:extLst>
                  </a:blip>
                  <a:stretch>
                    <a:fillRect/>
                  </a:stretch>
                </pic:blipFill>
                <pic:spPr>
                  <a:xfrm>
                    <a:off x="0" y="0"/>
                    <a:ext cx="731943" cy="797799"/>
                  </a:xfrm>
                  <a:prstGeom prst="rect">
                    <a:avLst/>
                  </a:prstGeom>
                </pic:spPr>
              </pic:pic>
            </a:graphicData>
          </a:graphic>
        </wp:inline>
      </w:drawing>
    </w:r>
    <w:r w:rsidR="00FC287F">
      <w:rPr>
        <w:noProof/>
        <w:lang w:eastAsia="fr-FR"/>
        <w14:ligatures w14:val="standardContextual"/>
      </w:rPr>
      <w:drawing>
        <wp:inline distT="0" distB="0" distL="0" distR="0" wp14:anchorId="34D4D31D" wp14:editId="43126BEA">
          <wp:extent cx="1493520" cy="639586"/>
          <wp:effectExtent l="0" t="0" r="0" b="8255"/>
          <wp:docPr id="53637330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373308" name="Image 536373308"/>
                  <pic:cNvPicPr/>
                </pic:nvPicPr>
                <pic:blipFill>
                  <a:blip r:embed="rId2">
                    <a:extLst>
                      <a:ext uri="{28A0092B-C50C-407E-A947-70E740481C1C}">
                        <a14:useLocalDpi xmlns:a14="http://schemas.microsoft.com/office/drawing/2010/main" val="0"/>
                      </a:ext>
                    </a:extLst>
                  </a:blip>
                  <a:stretch>
                    <a:fillRect/>
                  </a:stretch>
                </pic:blipFill>
                <pic:spPr>
                  <a:xfrm>
                    <a:off x="0" y="0"/>
                    <a:ext cx="1521382" cy="651518"/>
                  </a:xfrm>
                  <a:prstGeom prst="rect">
                    <a:avLst/>
                  </a:prstGeom>
                </pic:spPr>
              </pic:pic>
            </a:graphicData>
          </a:graphic>
        </wp:inline>
      </w:drawing>
    </w:r>
    <w:r w:rsidR="005B32AD">
      <w:rPr>
        <w:noProof/>
        <w:lang w:eastAsia="fr-FR"/>
        <w14:ligatures w14:val="standardContextual"/>
      </w:rPr>
      <w:drawing>
        <wp:inline distT="0" distB="0" distL="0" distR="0" wp14:anchorId="654C27D8" wp14:editId="0DC780CC">
          <wp:extent cx="1177711" cy="714796"/>
          <wp:effectExtent l="0" t="0" r="0" b="9525"/>
          <wp:docPr id="1102858392"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858392" name="Image 1102858392"/>
                  <pic:cNvPicPr/>
                </pic:nvPicPr>
                <pic:blipFill>
                  <a:blip r:embed="rId3">
                    <a:extLst>
                      <a:ext uri="{28A0092B-C50C-407E-A947-70E740481C1C}">
                        <a14:useLocalDpi xmlns:a14="http://schemas.microsoft.com/office/drawing/2010/main" val="0"/>
                      </a:ext>
                    </a:extLst>
                  </a:blip>
                  <a:stretch>
                    <a:fillRect/>
                  </a:stretch>
                </pic:blipFill>
                <pic:spPr>
                  <a:xfrm>
                    <a:off x="0" y="0"/>
                    <a:ext cx="1187629" cy="720816"/>
                  </a:xfrm>
                  <a:prstGeom prst="rect">
                    <a:avLst/>
                  </a:prstGeom>
                </pic:spPr>
              </pic:pic>
            </a:graphicData>
          </a:graphic>
        </wp:inline>
      </w:drawing>
    </w:r>
    <w:r w:rsidR="005B32AD">
      <w:rPr>
        <w:noProof/>
        <w:lang w:eastAsia="fr-FR"/>
        <w14:ligatures w14:val="standardContextual"/>
      </w:rPr>
      <w:drawing>
        <wp:inline distT="0" distB="0" distL="0" distR="0" wp14:anchorId="74C2D303" wp14:editId="0BD3FBC4">
          <wp:extent cx="1231188" cy="652780"/>
          <wp:effectExtent l="0" t="0" r="7620" b="0"/>
          <wp:docPr id="80652092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520921" name="Image 806520921"/>
                  <pic:cNvPicPr/>
                </pic:nvPicPr>
                <pic:blipFill>
                  <a:blip r:embed="rId4">
                    <a:extLst>
                      <a:ext uri="{28A0092B-C50C-407E-A947-70E740481C1C}">
                        <a14:useLocalDpi xmlns:a14="http://schemas.microsoft.com/office/drawing/2010/main" val="0"/>
                      </a:ext>
                    </a:extLst>
                  </a:blip>
                  <a:stretch>
                    <a:fillRect/>
                  </a:stretch>
                </pic:blipFill>
                <pic:spPr>
                  <a:xfrm>
                    <a:off x="0" y="0"/>
                    <a:ext cx="1240489" cy="65771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5C8E24E2"/>
    <w:lvl w:ilvl="0">
      <w:start w:val="1"/>
      <w:numFmt w:val="decimal"/>
      <w:pStyle w:val="Listenumros"/>
      <w:lvlText w:val="%1."/>
      <w:lvlJc w:val="left"/>
      <w:pPr>
        <w:tabs>
          <w:tab w:val="num" w:pos="360"/>
        </w:tabs>
        <w:ind w:left="360" w:hanging="360"/>
      </w:pPr>
    </w:lvl>
  </w:abstractNum>
  <w:abstractNum w:abstractNumId="1" w15:restartNumberingAfterBreak="0">
    <w:nsid w:val="00AC056B"/>
    <w:multiLevelType w:val="multilevel"/>
    <w:tmpl w:val="23643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F7391F"/>
    <w:multiLevelType w:val="multilevel"/>
    <w:tmpl w:val="229E6A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985DC9"/>
    <w:multiLevelType w:val="multilevel"/>
    <w:tmpl w:val="732E4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DF7141"/>
    <w:multiLevelType w:val="hybridMultilevel"/>
    <w:tmpl w:val="E800EA18"/>
    <w:lvl w:ilvl="0" w:tplc="34CCCD42">
      <w:start w:val="1"/>
      <w:numFmt w:val="decimal"/>
      <w:lvlText w:val="%1."/>
      <w:lvlJc w:val="left"/>
      <w:pPr>
        <w:ind w:left="720" w:hanging="360"/>
      </w:pPr>
      <w:rPr>
        <w:rFonts w:asciiTheme="minorHAnsi" w:hAnsiTheme="minorHAnsi" w:cstheme="minorHAnsi" w:hint="default"/>
        <w:b w:val="0"/>
        <w:color w:val="auto"/>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097F38"/>
    <w:multiLevelType w:val="multilevel"/>
    <w:tmpl w:val="C3BE0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77018E"/>
    <w:multiLevelType w:val="multilevel"/>
    <w:tmpl w:val="B324F816"/>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C53699"/>
    <w:multiLevelType w:val="multilevel"/>
    <w:tmpl w:val="B20867D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295FFD"/>
    <w:multiLevelType w:val="hybridMultilevel"/>
    <w:tmpl w:val="8A4054F4"/>
    <w:lvl w:ilvl="0" w:tplc="FFFFFFFF">
      <w:start w:val="1"/>
      <w:numFmt w:val="decimal"/>
      <w:lvlText w:val="%1."/>
      <w:lvlJc w:val="left"/>
      <w:pPr>
        <w:ind w:left="720" w:hanging="360"/>
      </w:pPr>
      <w:rPr>
        <w:rFonts w:asciiTheme="minorHAnsi" w:hAnsiTheme="minorHAnsi" w:cstheme="minorHAnsi" w:hint="default"/>
        <w:sz w:val="22"/>
        <w:szCs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252E0647"/>
    <w:multiLevelType w:val="hybridMultilevel"/>
    <w:tmpl w:val="588415FE"/>
    <w:lvl w:ilvl="0" w:tplc="FFFFFFFF">
      <w:start w:val="1"/>
      <w:numFmt w:val="decimal"/>
      <w:lvlText w:val="%1."/>
      <w:lvlJc w:val="left"/>
      <w:pPr>
        <w:ind w:left="720" w:hanging="360"/>
      </w:pPr>
      <w:rPr>
        <w:rFonts w:asciiTheme="minorHAnsi" w:hAnsiTheme="minorHAnsi" w:cstheme="minorHAnsi"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7A34E18"/>
    <w:multiLevelType w:val="hybridMultilevel"/>
    <w:tmpl w:val="08F63C68"/>
    <w:lvl w:ilvl="0" w:tplc="1270B848">
      <w:start w:val="1"/>
      <w:numFmt w:val="decimal"/>
      <w:lvlText w:val="%1."/>
      <w:lvlJc w:val="left"/>
      <w:pPr>
        <w:ind w:left="720" w:hanging="360"/>
      </w:pPr>
      <w:rPr>
        <w:rFonts w:ascii="Times New Roman" w:eastAsia="Times New Roman" w:hAnsi="Times New Roman" w:cs="Times New Roman"/>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7E531AE"/>
    <w:multiLevelType w:val="hybridMultilevel"/>
    <w:tmpl w:val="03089526"/>
    <w:lvl w:ilvl="0" w:tplc="033A2D8A">
      <w:start w:val="1"/>
      <w:numFmt w:val="decimal"/>
      <w:lvlText w:val="%1."/>
      <w:lvlJc w:val="left"/>
      <w:pPr>
        <w:ind w:left="720" w:hanging="360"/>
      </w:pPr>
      <w:rPr>
        <w:rFonts w:asciiTheme="minorHAnsi" w:hAnsiTheme="minorHAnsi" w:cstheme="minorHAnsi" w:hint="default"/>
        <w:b w:val="0"/>
        <w:bCs w:val="0"/>
        <w:sz w:val="22"/>
        <w:szCs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29A83EDE"/>
    <w:multiLevelType w:val="multilevel"/>
    <w:tmpl w:val="FBB29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BB3460"/>
    <w:multiLevelType w:val="multilevel"/>
    <w:tmpl w:val="18DE6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977D9B"/>
    <w:multiLevelType w:val="multilevel"/>
    <w:tmpl w:val="05DAF6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F11660"/>
    <w:multiLevelType w:val="multilevel"/>
    <w:tmpl w:val="23B424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540ABB"/>
    <w:multiLevelType w:val="hybridMultilevel"/>
    <w:tmpl w:val="96A48E5E"/>
    <w:lvl w:ilvl="0" w:tplc="6A76A45A">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7" w15:restartNumberingAfterBreak="0">
    <w:nsid w:val="47EC674D"/>
    <w:multiLevelType w:val="hybridMultilevel"/>
    <w:tmpl w:val="C0B42A9A"/>
    <w:lvl w:ilvl="0" w:tplc="B8D0B6EA">
      <w:start w:val="1"/>
      <w:numFmt w:val="decimal"/>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18" w15:restartNumberingAfterBreak="0">
    <w:nsid w:val="481923D5"/>
    <w:multiLevelType w:val="multilevel"/>
    <w:tmpl w:val="D5EC6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954481"/>
    <w:multiLevelType w:val="hybridMultilevel"/>
    <w:tmpl w:val="CFD8386E"/>
    <w:lvl w:ilvl="0" w:tplc="509E30AA">
      <w:start w:val="1"/>
      <w:numFmt w:val="decimal"/>
      <w:pStyle w:val="Normalrapport"/>
      <w:suff w:val="space"/>
      <w:lvlText w:val="%1."/>
      <w:lvlJc w:val="left"/>
      <w:pPr>
        <w:ind w:left="1560" w:firstLine="0"/>
      </w:pPr>
      <w:rPr>
        <w:rFonts w:ascii="Times New Roman" w:eastAsia="Times New Roman" w:hAnsi="Times New Roman" w:cs="Times New Roman"/>
        <w:b w:val="0"/>
        <w:bCs w:val="0"/>
        <w:i w:val="0"/>
        <w:iCs w:val="0"/>
        <w:w w:val="91"/>
        <w:sz w:val="24"/>
        <w:szCs w:val="24"/>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53A05FE6"/>
    <w:multiLevelType w:val="hybridMultilevel"/>
    <w:tmpl w:val="DC2E8C7A"/>
    <w:lvl w:ilvl="0" w:tplc="7660C7F6">
      <w:numFmt w:val="bullet"/>
      <w:lvlText w:val="-"/>
      <w:lvlJc w:val="left"/>
      <w:pPr>
        <w:ind w:left="720" w:hanging="360"/>
      </w:pPr>
      <w:rPr>
        <w:rFonts w:ascii="Calibri" w:eastAsiaTheme="minorHAnsi" w:hAnsi="Calibri" w:cstheme="minorBidi" w:hint="default"/>
        <w:b/>
        <w:i/>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9355291"/>
    <w:multiLevelType w:val="multilevel"/>
    <w:tmpl w:val="80FE0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0565A11"/>
    <w:multiLevelType w:val="hybridMultilevel"/>
    <w:tmpl w:val="11AEBE18"/>
    <w:lvl w:ilvl="0" w:tplc="FFFFFFFF">
      <w:start w:val="1"/>
      <w:numFmt w:val="decimal"/>
      <w:lvlText w:val="%1."/>
      <w:lvlJc w:val="left"/>
      <w:pPr>
        <w:ind w:left="720" w:hanging="360"/>
      </w:pPr>
      <w:rPr>
        <w:rFonts w:asciiTheme="minorHAnsi" w:hAnsiTheme="minorHAnsi" w:cstheme="minorHAnsi"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1702015"/>
    <w:multiLevelType w:val="multilevel"/>
    <w:tmpl w:val="E87A4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590772C"/>
    <w:multiLevelType w:val="multilevel"/>
    <w:tmpl w:val="25D81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BC15C5F"/>
    <w:multiLevelType w:val="hybridMultilevel"/>
    <w:tmpl w:val="11AEBE18"/>
    <w:lvl w:ilvl="0" w:tplc="FFFFFFFF">
      <w:start w:val="1"/>
      <w:numFmt w:val="decimal"/>
      <w:lvlText w:val="%1."/>
      <w:lvlJc w:val="left"/>
      <w:pPr>
        <w:ind w:left="720" w:hanging="360"/>
      </w:pPr>
      <w:rPr>
        <w:rFonts w:asciiTheme="minorHAnsi" w:hAnsiTheme="minorHAnsi" w:cstheme="minorHAnsi"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DB42888"/>
    <w:multiLevelType w:val="multilevel"/>
    <w:tmpl w:val="274C0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E0B3A4C"/>
    <w:multiLevelType w:val="multilevel"/>
    <w:tmpl w:val="4DD41E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01378663">
    <w:abstractNumId w:val="0"/>
  </w:num>
  <w:num w:numId="2" w16cid:durableId="1488404271">
    <w:abstractNumId w:val="0"/>
  </w:num>
  <w:num w:numId="3" w16cid:durableId="1579825196">
    <w:abstractNumId w:val="0"/>
  </w:num>
  <w:num w:numId="4" w16cid:durableId="955210703">
    <w:abstractNumId w:val="16"/>
  </w:num>
  <w:num w:numId="5" w16cid:durableId="1449817012">
    <w:abstractNumId w:val="0"/>
    <w:lvlOverride w:ilvl="0">
      <w:startOverride w:val="1"/>
    </w:lvlOverride>
  </w:num>
  <w:num w:numId="6" w16cid:durableId="2123643729">
    <w:abstractNumId w:val="0"/>
    <w:lvlOverride w:ilvl="0">
      <w:startOverride w:val="1"/>
    </w:lvlOverride>
  </w:num>
  <w:num w:numId="7" w16cid:durableId="2097089099">
    <w:abstractNumId w:val="0"/>
    <w:lvlOverride w:ilvl="0">
      <w:startOverride w:val="1"/>
    </w:lvlOverride>
  </w:num>
  <w:num w:numId="8" w16cid:durableId="766465089">
    <w:abstractNumId w:val="0"/>
    <w:lvlOverride w:ilvl="0">
      <w:startOverride w:val="1"/>
    </w:lvlOverride>
  </w:num>
  <w:num w:numId="9" w16cid:durableId="1065568868">
    <w:abstractNumId w:val="0"/>
    <w:lvlOverride w:ilvl="0">
      <w:startOverride w:val="1"/>
    </w:lvlOverride>
  </w:num>
  <w:num w:numId="10" w16cid:durableId="363602066">
    <w:abstractNumId w:val="0"/>
    <w:lvlOverride w:ilvl="0">
      <w:startOverride w:val="1"/>
    </w:lvlOverride>
  </w:num>
  <w:num w:numId="11" w16cid:durableId="1965228581">
    <w:abstractNumId w:val="0"/>
    <w:lvlOverride w:ilvl="0">
      <w:startOverride w:val="1"/>
    </w:lvlOverride>
  </w:num>
  <w:num w:numId="12" w16cid:durableId="1206141782">
    <w:abstractNumId w:val="0"/>
    <w:lvlOverride w:ilvl="0">
      <w:startOverride w:val="1"/>
    </w:lvlOverride>
  </w:num>
  <w:num w:numId="13" w16cid:durableId="2086024768">
    <w:abstractNumId w:val="17"/>
  </w:num>
  <w:num w:numId="14" w16cid:durableId="656884591">
    <w:abstractNumId w:val="0"/>
  </w:num>
  <w:num w:numId="15" w16cid:durableId="1155952224">
    <w:abstractNumId w:val="0"/>
  </w:num>
  <w:num w:numId="16" w16cid:durableId="983196022">
    <w:abstractNumId w:val="0"/>
  </w:num>
  <w:num w:numId="17" w16cid:durableId="118381471">
    <w:abstractNumId w:val="0"/>
  </w:num>
  <w:num w:numId="18" w16cid:durableId="1651787627">
    <w:abstractNumId w:val="15"/>
  </w:num>
  <w:num w:numId="19" w16cid:durableId="1793404561">
    <w:abstractNumId w:val="2"/>
  </w:num>
  <w:num w:numId="20" w16cid:durableId="1765568107">
    <w:abstractNumId w:val="14"/>
  </w:num>
  <w:num w:numId="21" w16cid:durableId="1684093398">
    <w:abstractNumId w:val="6"/>
  </w:num>
  <w:num w:numId="22" w16cid:durableId="1870561062">
    <w:abstractNumId w:val="20"/>
  </w:num>
  <w:num w:numId="23" w16cid:durableId="1022393246">
    <w:abstractNumId w:val="11"/>
  </w:num>
  <w:num w:numId="24" w16cid:durableId="1372920911">
    <w:abstractNumId w:val="4"/>
  </w:num>
  <w:num w:numId="25" w16cid:durableId="1703556847">
    <w:abstractNumId w:val="0"/>
  </w:num>
  <w:num w:numId="26" w16cid:durableId="967779606">
    <w:abstractNumId w:val="10"/>
  </w:num>
  <w:num w:numId="27" w16cid:durableId="490366151">
    <w:abstractNumId w:val="19"/>
  </w:num>
  <w:num w:numId="28" w16cid:durableId="2109736772">
    <w:abstractNumId w:val="13"/>
  </w:num>
  <w:num w:numId="29" w16cid:durableId="1313943070">
    <w:abstractNumId w:val="23"/>
  </w:num>
  <w:num w:numId="30" w16cid:durableId="934248354">
    <w:abstractNumId w:val="26"/>
  </w:num>
  <w:num w:numId="31" w16cid:durableId="1668093744">
    <w:abstractNumId w:val="12"/>
  </w:num>
  <w:num w:numId="32" w16cid:durableId="330067263">
    <w:abstractNumId w:val="24"/>
  </w:num>
  <w:num w:numId="33" w16cid:durableId="1488135092">
    <w:abstractNumId w:val="21"/>
  </w:num>
  <w:num w:numId="34" w16cid:durableId="1914970954">
    <w:abstractNumId w:val="3"/>
  </w:num>
  <w:num w:numId="35" w16cid:durableId="1504589436">
    <w:abstractNumId w:val="27"/>
  </w:num>
  <w:num w:numId="36" w16cid:durableId="247156849">
    <w:abstractNumId w:val="7"/>
  </w:num>
  <w:num w:numId="37" w16cid:durableId="1602106617">
    <w:abstractNumId w:val="5"/>
  </w:num>
  <w:num w:numId="38" w16cid:durableId="396051054">
    <w:abstractNumId w:val="18"/>
  </w:num>
  <w:num w:numId="39" w16cid:durableId="1446119524">
    <w:abstractNumId w:val="1"/>
  </w:num>
  <w:num w:numId="40" w16cid:durableId="691227652">
    <w:abstractNumId w:val="22"/>
  </w:num>
  <w:num w:numId="41" w16cid:durableId="1301113802">
    <w:abstractNumId w:val="8"/>
  </w:num>
  <w:num w:numId="42" w16cid:durableId="491677246">
    <w:abstractNumId w:val="25"/>
  </w:num>
  <w:num w:numId="43" w16cid:durableId="1757283243">
    <w:abstractNumId w:val="0"/>
  </w:num>
  <w:num w:numId="44" w16cid:durableId="18904517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074"/>
    <w:rsid w:val="00000C97"/>
    <w:rsid w:val="00014D9D"/>
    <w:rsid w:val="00026A35"/>
    <w:rsid w:val="000304E9"/>
    <w:rsid w:val="00044F3E"/>
    <w:rsid w:val="000462E1"/>
    <w:rsid w:val="00055BCC"/>
    <w:rsid w:val="00065D5B"/>
    <w:rsid w:val="000737A9"/>
    <w:rsid w:val="00075BAE"/>
    <w:rsid w:val="00083305"/>
    <w:rsid w:val="000B302E"/>
    <w:rsid w:val="000C61E6"/>
    <w:rsid w:val="000F22D5"/>
    <w:rsid w:val="000F5D08"/>
    <w:rsid w:val="00101C28"/>
    <w:rsid w:val="00121C79"/>
    <w:rsid w:val="00135BAD"/>
    <w:rsid w:val="00146F67"/>
    <w:rsid w:val="00147A8C"/>
    <w:rsid w:val="00173911"/>
    <w:rsid w:val="00173BD0"/>
    <w:rsid w:val="0018503F"/>
    <w:rsid w:val="001B52A2"/>
    <w:rsid w:val="001D7649"/>
    <w:rsid w:val="001F30BD"/>
    <w:rsid w:val="00200E00"/>
    <w:rsid w:val="00202BAA"/>
    <w:rsid w:val="00217A90"/>
    <w:rsid w:val="0022137D"/>
    <w:rsid w:val="00223E7F"/>
    <w:rsid w:val="00227606"/>
    <w:rsid w:val="0023455A"/>
    <w:rsid w:val="002566BE"/>
    <w:rsid w:val="0026261B"/>
    <w:rsid w:val="002953FE"/>
    <w:rsid w:val="00295AA5"/>
    <w:rsid w:val="002C0137"/>
    <w:rsid w:val="002D4777"/>
    <w:rsid w:val="002F6F47"/>
    <w:rsid w:val="00326B71"/>
    <w:rsid w:val="003343E9"/>
    <w:rsid w:val="00334F19"/>
    <w:rsid w:val="00334F2B"/>
    <w:rsid w:val="00340B1C"/>
    <w:rsid w:val="003523BD"/>
    <w:rsid w:val="00372795"/>
    <w:rsid w:val="003753CE"/>
    <w:rsid w:val="003B56AD"/>
    <w:rsid w:val="003C5E8C"/>
    <w:rsid w:val="0045000A"/>
    <w:rsid w:val="0045430A"/>
    <w:rsid w:val="00466A6D"/>
    <w:rsid w:val="00470FD1"/>
    <w:rsid w:val="0048285B"/>
    <w:rsid w:val="00484DC1"/>
    <w:rsid w:val="00485C3F"/>
    <w:rsid w:val="00495982"/>
    <w:rsid w:val="0049713A"/>
    <w:rsid w:val="004B0E1D"/>
    <w:rsid w:val="004B3B9E"/>
    <w:rsid w:val="004E1566"/>
    <w:rsid w:val="004F2EA2"/>
    <w:rsid w:val="004F5247"/>
    <w:rsid w:val="00536323"/>
    <w:rsid w:val="00541D55"/>
    <w:rsid w:val="00550DBC"/>
    <w:rsid w:val="00553517"/>
    <w:rsid w:val="0055489B"/>
    <w:rsid w:val="00564629"/>
    <w:rsid w:val="00566BC0"/>
    <w:rsid w:val="005860E6"/>
    <w:rsid w:val="00587EA0"/>
    <w:rsid w:val="00591C34"/>
    <w:rsid w:val="005946F2"/>
    <w:rsid w:val="005B32AD"/>
    <w:rsid w:val="005B6A11"/>
    <w:rsid w:val="005B70A5"/>
    <w:rsid w:val="005C61B1"/>
    <w:rsid w:val="005C7074"/>
    <w:rsid w:val="005E0CD0"/>
    <w:rsid w:val="006133F4"/>
    <w:rsid w:val="006345E9"/>
    <w:rsid w:val="00646046"/>
    <w:rsid w:val="0068450F"/>
    <w:rsid w:val="006A3489"/>
    <w:rsid w:val="006A5291"/>
    <w:rsid w:val="006B3063"/>
    <w:rsid w:val="006B5566"/>
    <w:rsid w:val="006C1BF4"/>
    <w:rsid w:val="006C42D5"/>
    <w:rsid w:val="00711709"/>
    <w:rsid w:val="0072565D"/>
    <w:rsid w:val="00727F62"/>
    <w:rsid w:val="00741436"/>
    <w:rsid w:val="00760016"/>
    <w:rsid w:val="00761918"/>
    <w:rsid w:val="007A0EC2"/>
    <w:rsid w:val="007C2705"/>
    <w:rsid w:val="007C629E"/>
    <w:rsid w:val="007E006E"/>
    <w:rsid w:val="007E114F"/>
    <w:rsid w:val="007E2206"/>
    <w:rsid w:val="007F1425"/>
    <w:rsid w:val="00802366"/>
    <w:rsid w:val="0080497E"/>
    <w:rsid w:val="00824402"/>
    <w:rsid w:val="00827075"/>
    <w:rsid w:val="00841C95"/>
    <w:rsid w:val="00842590"/>
    <w:rsid w:val="00892807"/>
    <w:rsid w:val="00896E9A"/>
    <w:rsid w:val="008A3229"/>
    <w:rsid w:val="008B51E7"/>
    <w:rsid w:val="008C4607"/>
    <w:rsid w:val="008E1219"/>
    <w:rsid w:val="008F5F63"/>
    <w:rsid w:val="00905A9D"/>
    <w:rsid w:val="009068AD"/>
    <w:rsid w:val="00921DB5"/>
    <w:rsid w:val="00923B0A"/>
    <w:rsid w:val="00934AD3"/>
    <w:rsid w:val="00942D7E"/>
    <w:rsid w:val="0095281E"/>
    <w:rsid w:val="00954462"/>
    <w:rsid w:val="00974D76"/>
    <w:rsid w:val="00983EDD"/>
    <w:rsid w:val="009843EE"/>
    <w:rsid w:val="00984BBD"/>
    <w:rsid w:val="00990A6F"/>
    <w:rsid w:val="009C0191"/>
    <w:rsid w:val="009D537C"/>
    <w:rsid w:val="009E2466"/>
    <w:rsid w:val="00A04652"/>
    <w:rsid w:val="00A3408E"/>
    <w:rsid w:val="00A35917"/>
    <w:rsid w:val="00A43060"/>
    <w:rsid w:val="00A755B3"/>
    <w:rsid w:val="00A81B2B"/>
    <w:rsid w:val="00A81DA9"/>
    <w:rsid w:val="00A83779"/>
    <w:rsid w:val="00AA0E56"/>
    <w:rsid w:val="00AB540E"/>
    <w:rsid w:val="00AB5FB0"/>
    <w:rsid w:val="00AE2B61"/>
    <w:rsid w:val="00AF0031"/>
    <w:rsid w:val="00B0074F"/>
    <w:rsid w:val="00B10882"/>
    <w:rsid w:val="00B26FCE"/>
    <w:rsid w:val="00B514BA"/>
    <w:rsid w:val="00B9338D"/>
    <w:rsid w:val="00BB0341"/>
    <w:rsid w:val="00BB36C8"/>
    <w:rsid w:val="00BD38DB"/>
    <w:rsid w:val="00BE67FF"/>
    <w:rsid w:val="00C10BD2"/>
    <w:rsid w:val="00C216F6"/>
    <w:rsid w:val="00C440CE"/>
    <w:rsid w:val="00C71F39"/>
    <w:rsid w:val="00C94C08"/>
    <w:rsid w:val="00CA71B1"/>
    <w:rsid w:val="00CC72E4"/>
    <w:rsid w:val="00CF0F84"/>
    <w:rsid w:val="00CF54CD"/>
    <w:rsid w:val="00D0695C"/>
    <w:rsid w:val="00D2137D"/>
    <w:rsid w:val="00D216F1"/>
    <w:rsid w:val="00D34D58"/>
    <w:rsid w:val="00D360B5"/>
    <w:rsid w:val="00D57917"/>
    <w:rsid w:val="00D6110D"/>
    <w:rsid w:val="00D74271"/>
    <w:rsid w:val="00D77E37"/>
    <w:rsid w:val="00D81277"/>
    <w:rsid w:val="00DA5C58"/>
    <w:rsid w:val="00DC2295"/>
    <w:rsid w:val="00DC6061"/>
    <w:rsid w:val="00DE43B2"/>
    <w:rsid w:val="00DE48CA"/>
    <w:rsid w:val="00E04881"/>
    <w:rsid w:val="00E25EC4"/>
    <w:rsid w:val="00E426B3"/>
    <w:rsid w:val="00E620A4"/>
    <w:rsid w:val="00E706AD"/>
    <w:rsid w:val="00E76828"/>
    <w:rsid w:val="00E802B2"/>
    <w:rsid w:val="00EB31E2"/>
    <w:rsid w:val="00EB4F48"/>
    <w:rsid w:val="00EC4866"/>
    <w:rsid w:val="00EC4A7F"/>
    <w:rsid w:val="00EC6403"/>
    <w:rsid w:val="00ED3C41"/>
    <w:rsid w:val="00EE1B2A"/>
    <w:rsid w:val="00EF743C"/>
    <w:rsid w:val="00F13644"/>
    <w:rsid w:val="00F2193D"/>
    <w:rsid w:val="00F27675"/>
    <w:rsid w:val="00F32B0A"/>
    <w:rsid w:val="00F33D39"/>
    <w:rsid w:val="00F44B7A"/>
    <w:rsid w:val="00F53FF2"/>
    <w:rsid w:val="00F617AE"/>
    <w:rsid w:val="00F71392"/>
    <w:rsid w:val="00F74157"/>
    <w:rsid w:val="00F84585"/>
    <w:rsid w:val="00F95F78"/>
    <w:rsid w:val="00FA712B"/>
    <w:rsid w:val="00FC287F"/>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3911E3"/>
  <w15:docId w15:val="{E126C042-180F-41A3-A5C2-A61D8BC1A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3"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3"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qFormat/>
    <w:rsid w:val="005C7074"/>
    <w:pPr>
      <w:spacing w:after="0" w:line="276" w:lineRule="auto"/>
      <w:jc w:val="both"/>
    </w:pPr>
    <w:rPr>
      <w:rFonts w:ascii="Calibri" w:hAnsi="Calibri"/>
      <w:kern w:val="0"/>
      <w14:ligatures w14:val="none"/>
    </w:rPr>
  </w:style>
  <w:style w:type="paragraph" w:styleId="Titre1">
    <w:name w:val="heading 1"/>
    <w:basedOn w:val="Normal"/>
    <w:next w:val="Normal"/>
    <w:link w:val="Titre1Car"/>
    <w:uiPriority w:val="9"/>
    <w:qFormat/>
    <w:rsid w:val="005C707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re2">
    <w:name w:val="heading 2"/>
    <w:basedOn w:val="Normal"/>
    <w:next w:val="Normal"/>
    <w:link w:val="Titre2Car"/>
    <w:uiPriority w:val="9"/>
    <w:semiHidden/>
    <w:unhideWhenUsed/>
    <w:qFormat/>
    <w:rsid w:val="005C707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re3">
    <w:name w:val="heading 3"/>
    <w:basedOn w:val="Normal"/>
    <w:next w:val="Normal"/>
    <w:link w:val="Titre3Car"/>
    <w:uiPriority w:val="9"/>
    <w:semiHidden/>
    <w:unhideWhenUsed/>
    <w:qFormat/>
    <w:rsid w:val="005C7074"/>
    <w:pPr>
      <w:keepNext/>
      <w:keepLines/>
      <w:spacing w:before="160" w:after="80"/>
      <w:outlineLvl w:val="2"/>
    </w:pPr>
    <w:rPr>
      <w:rFonts w:eastAsiaTheme="majorEastAsia" w:cstheme="majorBidi"/>
      <w:color w:val="2E74B5" w:themeColor="accent1" w:themeShade="BF"/>
      <w:sz w:val="28"/>
      <w:szCs w:val="28"/>
    </w:rPr>
  </w:style>
  <w:style w:type="paragraph" w:styleId="Titre4">
    <w:name w:val="heading 4"/>
    <w:basedOn w:val="Normal"/>
    <w:next w:val="Normal"/>
    <w:link w:val="Titre4Car"/>
    <w:uiPriority w:val="9"/>
    <w:semiHidden/>
    <w:unhideWhenUsed/>
    <w:qFormat/>
    <w:rsid w:val="005C7074"/>
    <w:pPr>
      <w:keepNext/>
      <w:keepLines/>
      <w:spacing w:before="80" w:after="40"/>
      <w:outlineLvl w:val="3"/>
    </w:pPr>
    <w:rPr>
      <w:rFonts w:eastAsiaTheme="majorEastAsia" w:cstheme="majorBidi"/>
      <w:i/>
      <w:iCs/>
      <w:color w:val="2E74B5" w:themeColor="accent1" w:themeShade="BF"/>
    </w:rPr>
  </w:style>
  <w:style w:type="paragraph" w:styleId="Titre5">
    <w:name w:val="heading 5"/>
    <w:basedOn w:val="Normal"/>
    <w:next w:val="Normal"/>
    <w:link w:val="Titre5Car"/>
    <w:uiPriority w:val="9"/>
    <w:semiHidden/>
    <w:unhideWhenUsed/>
    <w:qFormat/>
    <w:rsid w:val="005C7074"/>
    <w:pPr>
      <w:keepNext/>
      <w:keepLines/>
      <w:spacing w:before="80" w:after="40"/>
      <w:outlineLvl w:val="4"/>
    </w:pPr>
    <w:rPr>
      <w:rFonts w:eastAsiaTheme="majorEastAsia" w:cstheme="majorBidi"/>
      <w:color w:val="2E74B5" w:themeColor="accent1" w:themeShade="BF"/>
    </w:rPr>
  </w:style>
  <w:style w:type="paragraph" w:styleId="Titre6">
    <w:name w:val="heading 6"/>
    <w:basedOn w:val="Normal"/>
    <w:next w:val="Normal"/>
    <w:link w:val="Titre6Car"/>
    <w:uiPriority w:val="9"/>
    <w:semiHidden/>
    <w:unhideWhenUsed/>
    <w:qFormat/>
    <w:rsid w:val="005C7074"/>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5C7074"/>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5C7074"/>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5C7074"/>
    <w:pPr>
      <w:keepNext/>
      <w:keepLines/>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C7074"/>
    <w:rPr>
      <w:rFonts w:asciiTheme="majorHAnsi" w:eastAsiaTheme="majorEastAsia" w:hAnsiTheme="majorHAnsi" w:cstheme="majorBidi"/>
      <w:color w:val="2E74B5" w:themeColor="accent1" w:themeShade="BF"/>
      <w:sz w:val="40"/>
      <w:szCs w:val="40"/>
    </w:rPr>
  </w:style>
  <w:style w:type="character" w:customStyle="1" w:styleId="Titre2Car">
    <w:name w:val="Titre 2 Car"/>
    <w:basedOn w:val="Policepardfaut"/>
    <w:link w:val="Titre2"/>
    <w:uiPriority w:val="9"/>
    <w:semiHidden/>
    <w:rsid w:val="005C7074"/>
    <w:rPr>
      <w:rFonts w:asciiTheme="majorHAnsi" w:eastAsiaTheme="majorEastAsia" w:hAnsiTheme="majorHAnsi" w:cstheme="majorBidi"/>
      <w:color w:val="2E74B5" w:themeColor="accent1" w:themeShade="BF"/>
      <w:sz w:val="32"/>
      <w:szCs w:val="32"/>
    </w:rPr>
  </w:style>
  <w:style w:type="character" w:customStyle="1" w:styleId="Titre3Car">
    <w:name w:val="Titre 3 Car"/>
    <w:basedOn w:val="Policepardfaut"/>
    <w:link w:val="Titre3"/>
    <w:uiPriority w:val="9"/>
    <w:semiHidden/>
    <w:rsid w:val="005C7074"/>
    <w:rPr>
      <w:rFonts w:eastAsiaTheme="majorEastAsia" w:cstheme="majorBidi"/>
      <w:color w:val="2E74B5" w:themeColor="accent1" w:themeShade="BF"/>
      <w:sz w:val="28"/>
      <w:szCs w:val="28"/>
    </w:rPr>
  </w:style>
  <w:style w:type="character" w:customStyle="1" w:styleId="Titre4Car">
    <w:name w:val="Titre 4 Car"/>
    <w:basedOn w:val="Policepardfaut"/>
    <w:link w:val="Titre4"/>
    <w:uiPriority w:val="9"/>
    <w:semiHidden/>
    <w:rsid w:val="005C7074"/>
    <w:rPr>
      <w:rFonts w:eastAsiaTheme="majorEastAsia" w:cstheme="majorBidi"/>
      <w:i/>
      <w:iCs/>
      <w:color w:val="2E74B5" w:themeColor="accent1" w:themeShade="BF"/>
    </w:rPr>
  </w:style>
  <w:style w:type="character" w:customStyle="1" w:styleId="Titre5Car">
    <w:name w:val="Titre 5 Car"/>
    <w:basedOn w:val="Policepardfaut"/>
    <w:link w:val="Titre5"/>
    <w:uiPriority w:val="9"/>
    <w:semiHidden/>
    <w:rsid w:val="005C7074"/>
    <w:rPr>
      <w:rFonts w:eastAsiaTheme="majorEastAsia" w:cstheme="majorBidi"/>
      <w:color w:val="2E74B5" w:themeColor="accent1" w:themeShade="BF"/>
    </w:rPr>
  </w:style>
  <w:style w:type="character" w:customStyle="1" w:styleId="Titre6Car">
    <w:name w:val="Titre 6 Car"/>
    <w:basedOn w:val="Policepardfaut"/>
    <w:link w:val="Titre6"/>
    <w:uiPriority w:val="9"/>
    <w:semiHidden/>
    <w:rsid w:val="005C7074"/>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5C7074"/>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5C7074"/>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5C7074"/>
    <w:rPr>
      <w:rFonts w:eastAsiaTheme="majorEastAsia" w:cstheme="majorBidi"/>
      <w:color w:val="272727" w:themeColor="text1" w:themeTint="D8"/>
    </w:rPr>
  </w:style>
  <w:style w:type="paragraph" w:styleId="Titre">
    <w:name w:val="Title"/>
    <w:basedOn w:val="Normal"/>
    <w:next w:val="Normal"/>
    <w:link w:val="TitreCar"/>
    <w:uiPriority w:val="10"/>
    <w:qFormat/>
    <w:rsid w:val="005C70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5C7074"/>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5C7074"/>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5C7074"/>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5C7074"/>
    <w:pPr>
      <w:spacing w:before="160"/>
      <w:jc w:val="center"/>
    </w:pPr>
    <w:rPr>
      <w:i/>
      <w:iCs/>
      <w:color w:val="404040" w:themeColor="text1" w:themeTint="BF"/>
    </w:rPr>
  </w:style>
  <w:style w:type="character" w:customStyle="1" w:styleId="CitationCar">
    <w:name w:val="Citation Car"/>
    <w:basedOn w:val="Policepardfaut"/>
    <w:link w:val="Citation"/>
    <w:uiPriority w:val="29"/>
    <w:rsid w:val="005C7074"/>
    <w:rPr>
      <w:i/>
      <w:iCs/>
      <w:color w:val="404040" w:themeColor="text1" w:themeTint="BF"/>
    </w:rPr>
  </w:style>
  <w:style w:type="paragraph" w:styleId="Paragraphedeliste">
    <w:name w:val="List Paragraph"/>
    <w:basedOn w:val="Normal"/>
    <w:uiPriority w:val="34"/>
    <w:qFormat/>
    <w:rsid w:val="005C7074"/>
    <w:pPr>
      <w:ind w:left="720"/>
      <w:contextualSpacing/>
    </w:pPr>
  </w:style>
  <w:style w:type="character" w:styleId="Accentuationintense">
    <w:name w:val="Intense Emphasis"/>
    <w:basedOn w:val="Policepardfaut"/>
    <w:uiPriority w:val="21"/>
    <w:qFormat/>
    <w:rsid w:val="005C7074"/>
    <w:rPr>
      <w:i/>
      <w:iCs/>
      <w:color w:val="2E74B5" w:themeColor="accent1" w:themeShade="BF"/>
    </w:rPr>
  </w:style>
  <w:style w:type="paragraph" w:styleId="Citationintense">
    <w:name w:val="Intense Quote"/>
    <w:basedOn w:val="Normal"/>
    <w:next w:val="Normal"/>
    <w:link w:val="CitationintenseCar"/>
    <w:uiPriority w:val="30"/>
    <w:qFormat/>
    <w:rsid w:val="005C707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onintenseCar">
    <w:name w:val="Citation intense Car"/>
    <w:basedOn w:val="Policepardfaut"/>
    <w:link w:val="Citationintense"/>
    <w:uiPriority w:val="30"/>
    <w:rsid w:val="005C7074"/>
    <w:rPr>
      <w:i/>
      <w:iCs/>
      <w:color w:val="2E74B5" w:themeColor="accent1" w:themeShade="BF"/>
    </w:rPr>
  </w:style>
  <w:style w:type="character" w:styleId="Rfrenceintense">
    <w:name w:val="Intense Reference"/>
    <w:basedOn w:val="Policepardfaut"/>
    <w:uiPriority w:val="32"/>
    <w:qFormat/>
    <w:rsid w:val="005C7074"/>
    <w:rPr>
      <w:b/>
      <w:bCs/>
      <w:smallCaps/>
      <w:color w:val="2E74B5" w:themeColor="accent1" w:themeShade="BF"/>
      <w:spacing w:val="5"/>
    </w:rPr>
  </w:style>
  <w:style w:type="paragraph" w:styleId="Listenumros">
    <w:name w:val="List Number"/>
    <w:basedOn w:val="Normal"/>
    <w:uiPriority w:val="13"/>
    <w:rsid w:val="005C7074"/>
    <w:pPr>
      <w:numPr>
        <w:numId w:val="1"/>
      </w:numPr>
      <w:tabs>
        <w:tab w:val="left" w:pos="1134"/>
      </w:tabs>
      <w:spacing w:after="60" w:line="240" w:lineRule="auto"/>
    </w:pPr>
  </w:style>
  <w:style w:type="paragraph" w:styleId="Notedefin">
    <w:name w:val="endnote text"/>
    <w:basedOn w:val="Normal"/>
    <w:link w:val="NotedefinCar"/>
    <w:uiPriority w:val="99"/>
    <w:semiHidden/>
    <w:unhideWhenUsed/>
    <w:rsid w:val="005C7074"/>
    <w:pPr>
      <w:spacing w:line="240" w:lineRule="auto"/>
    </w:pPr>
    <w:rPr>
      <w:sz w:val="20"/>
      <w:szCs w:val="20"/>
    </w:rPr>
  </w:style>
  <w:style w:type="character" w:customStyle="1" w:styleId="NotedefinCar">
    <w:name w:val="Note de fin Car"/>
    <w:basedOn w:val="Policepardfaut"/>
    <w:link w:val="Notedefin"/>
    <w:uiPriority w:val="99"/>
    <w:semiHidden/>
    <w:rsid w:val="005C7074"/>
    <w:rPr>
      <w:rFonts w:ascii="Calibri" w:hAnsi="Calibri"/>
      <w:kern w:val="0"/>
      <w:sz w:val="20"/>
      <w:szCs w:val="20"/>
      <w14:ligatures w14:val="none"/>
    </w:rPr>
  </w:style>
  <w:style w:type="character" w:styleId="Appeldenotedefin">
    <w:name w:val="endnote reference"/>
    <w:basedOn w:val="Policepardfaut"/>
    <w:uiPriority w:val="99"/>
    <w:rsid w:val="005C7074"/>
    <w:rPr>
      <w:rFonts w:cs="Times New Roman"/>
      <w:vertAlign w:val="superscript"/>
    </w:rPr>
  </w:style>
  <w:style w:type="character" w:styleId="Lienhypertexte">
    <w:name w:val="Hyperlink"/>
    <w:basedOn w:val="Policepardfaut"/>
    <w:uiPriority w:val="99"/>
    <w:unhideWhenUsed/>
    <w:rsid w:val="005C7074"/>
    <w:rPr>
      <w:color w:val="0563C1" w:themeColor="hyperlink"/>
      <w:u w:val="single"/>
    </w:rPr>
  </w:style>
  <w:style w:type="character" w:customStyle="1" w:styleId="Mentionnonrsolue1">
    <w:name w:val="Mention non résolue1"/>
    <w:basedOn w:val="Policepardfaut"/>
    <w:uiPriority w:val="99"/>
    <w:semiHidden/>
    <w:unhideWhenUsed/>
    <w:rsid w:val="005C7074"/>
    <w:rPr>
      <w:color w:val="605E5C"/>
      <w:shd w:val="clear" w:color="auto" w:fill="E1DFDD"/>
    </w:rPr>
  </w:style>
  <w:style w:type="character" w:styleId="Marquedecommentaire">
    <w:name w:val="annotation reference"/>
    <w:basedOn w:val="Policepardfaut"/>
    <w:uiPriority w:val="99"/>
    <w:semiHidden/>
    <w:unhideWhenUsed/>
    <w:rsid w:val="00D34D58"/>
    <w:rPr>
      <w:sz w:val="16"/>
      <w:szCs w:val="16"/>
    </w:rPr>
  </w:style>
  <w:style w:type="paragraph" w:styleId="Commentaire">
    <w:name w:val="annotation text"/>
    <w:basedOn w:val="Normal"/>
    <w:link w:val="CommentaireCar"/>
    <w:uiPriority w:val="99"/>
    <w:unhideWhenUsed/>
    <w:rsid w:val="00D34D58"/>
    <w:pPr>
      <w:spacing w:line="240" w:lineRule="auto"/>
    </w:pPr>
    <w:rPr>
      <w:sz w:val="20"/>
      <w:szCs w:val="20"/>
    </w:rPr>
  </w:style>
  <w:style w:type="character" w:customStyle="1" w:styleId="CommentaireCar">
    <w:name w:val="Commentaire Car"/>
    <w:basedOn w:val="Policepardfaut"/>
    <w:link w:val="Commentaire"/>
    <w:uiPriority w:val="99"/>
    <w:rsid w:val="00D34D58"/>
    <w:rPr>
      <w:rFonts w:ascii="Calibri" w:hAnsi="Calibri"/>
      <w:kern w:val="0"/>
      <w:sz w:val="20"/>
      <w:szCs w:val="20"/>
      <w14:ligatures w14:val="none"/>
    </w:rPr>
  </w:style>
  <w:style w:type="paragraph" w:styleId="Objetducommentaire">
    <w:name w:val="annotation subject"/>
    <w:basedOn w:val="Commentaire"/>
    <w:next w:val="Commentaire"/>
    <w:link w:val="ObjetducommentaireCar"/>
    <w:uiPriority w:val="99"/>
    <w:semiHidden/>
    <w:unhideWhenUsed/>
    <w:rsid w:val="00D34D58"/>
    <w:rPr>
      <w:b/>
      <w:bCs/>
    </w:rPr>
  </w:style>
  <w:style w:type="character" w:customStyle="1" w:styleId="ObjetducommentaireCar">
    <w:name w:val="Objet du commentaire Car"/>
    <w:basedOn w:val="CommentaireCar"/>
    <w:link w:val="Objetducommentaire"/>
    <w:uiPriority w:val="99"/>
    <w:semiHidden/>
    <w:rsid w:val="00D34D58"/>
    <w:rPr>
      <w:rFonts w:ascii="Calibri" w:hAnsi="Calibri"/>
      <w:b/>
      <w:bCs/>
      <w:kern w:val="0"/>
      <w:sz w:val="20"/>
      <w:szCs w:val="20"/>
      <w14:ligatures w14:val="none"/>
    </w:rPr>
  </w:style>
  <w:style w:type="paragraph" w:customStyle="1" w:styleId="Pa1">
    <w:name w:val="Pa1"/>
    <w:basedOn w:val="Normal"/>
    <w:next w:val="Normal"/>
    <w:uiPriority w:val="99"/>
    <w:rsid w:val="005B6A11"/>
    <w:pPr>
      <w:autoSpaceDE w:val="0"/>
      <w:autoSpaceDN w:val="0"/>
      <w:adjustRightInd w:val="0"/>
      <w:spacing w:line="191" w:lineRule="atLeast"/>
      <w:jc w:val="left"/>
    </w:pPr>
    <w:rPr>
      <w:rFonts w:ascii="Campton Light" w:hAnsi="Campton Light"/>
      <w:sz w:val="24"/>
      <w:szCs w:val="24"/>
    </w:rPr>
  </w:style>
  <w:style w:type="paragraph" w:customStyle="1" w:styleId="Pa24">
    <w:name w:val="Pa24"/>
    <w:basedOn w:val="Normal"/>
    <w:next w:val="Normal"/>
    <w:uiPriority w:val="99"/>
    <w:rsid w:val="005B6A11"/>
    <w:pPr>
      <w:autoSpaceDE w:val="0"/>
      <w:autoSpaceDN w:val="0"/>
      <w:adjustRightInd w:val="0"/>
      <w:spacing w:line="191" w:lineRule="atLeast"/>
      <w:jc w:val="left"/>
    </w:pPr>
    <w:rPr>
      <w:rFonts w:ascii="Campton Light" w:hAnsi="Campton Light"/>
      <w:sz w:val="24"/>
      <w:szCs w:val="24"/>
    </w:rPr>
  </w:style>
  <w:style w:type="paragraph" w:styleId="Textedebulles">
    <w:name w:val="Balloon Text"/>
    <w:basedOn w:val="Normal"/>
    <w:link w:val="TextedebullesCar"/>
    <w:uiPriority w:val="99"/>
    <w:semiHidden/>
    <w:unhideWhenUsed/>
    <w:rsid w:val="0008330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83305"/>
    <w:rPr>
      <w:rFonts w:ascii="Tahoma" w:hAnsi="Tahoma" w:cs="Tahoma"/>
      <w:kern w:val="0"/>
      <w:sz w:val="16"/>
      <w:szCs w:val="16"/>
      <w14:ligatures w14:val="none"/>
    </w:rPr>
  </w:style>
  <w:style w:type="paragraph" w:styleId="NormalWeb">
    <w:name w:val="Normal (Web)"/>
    <w:basedOn w:val="Normal"/>
    <w:uiPriority w:val="99"/>
    <w:semiHidden/>
    <w:unhideWhenUsed/>
    <w:rsid w:val="00AA0E56"/>
    <w:rPr>
      <w:rFonts w:ascii="Times New Roman" w:hAnsi="Times New Roman" w:cs="Times New Roman"/>
      <w:sz w:val="24"/>
      <w:szCs w:val="24"/>
    </w:rPr>
  </w:style>
  <w:style w:type="paragraph" w:styleId="Rvision">
    <w:name w:val="Revision"/>
    <w:hidden/>
    <w:uiPriority w:val="99"/>
    <w:semiHidden/>
    <w:rsid w:val="00896E9A"/>
    <w:pPr>
      <w:spacing w:after="0" w:line="240" w:lineRule="auto"/>
    </w:pPr>
    <w:rPr>
      <w:rFonts w:ascii="Calibri" w:hAnsi="Calibri"/>
      <w:kern w:val="0"/>
      <w14:ligatures w14:val="none"/>
    </w:rPr>
  </w:style>
  <w:style w:type="paragraph" w:styleId="En-tte">
    <w:name w:val="header"/>
    <w:basedOn w:val="Normal"/>
    <w:link w:val="En-tteCar"/>
    <w:uiPriority w:val="99"/>
    <w:unhideWhenUsed/>
    <w:rsid w:val="00014D9D"/>
    <w:pPr>
      <w:tabs>
        <w:tab w:val="center" w:pos="4536"/>
        <w:tab w:val="right" w:pos="9072"/>
      </w:tabs>
      <w:spacing w:line="240" w:lineRule="auto"/>
    </w:pPr>
  </w:style>
  <w:style w:type="character" w:customStyle="1" w:styleId="En-tteCar">
    <w:name w:val="En-tête Car"/>
    <w:basedOn w:val="Policepardfaut"/>
    <w:link w:val="En-tte"/>
    <w:uiPriority w:val="99"/>
    <w:rsid w:val="00014D9D"/>
    <w:rPr>
      <w:rFonts w:ascii="Calibri" w:hAnsi="Calibri"/>
      <w:kern w:val="0"/>
      <w14:ligatures w14:val="none"/>
    </w:rPr>
  </w:style>
  <w:style w:type="paragraph" w:styleId="Pieddepage">
    <w:name w:val="footer"/>
    <w:basedOn w:val="Normal"/>
    <w:link w:val="PieddepageCar"/>
    <w:uiPriority w:val="99"/>
    <w:unhideWhenUsed/>
    <w:rsid w:val="00014D9D"/>
    <w:pPr>
      <w:tabs>
        <w:tab w:val="center" w:pos="4536"/>
        <w:tab w:val="right" w:pos="9072"/>
      </w:tabs>
      <w:spacing w:line="240" w:lineRule="auto"/>
    </w:pPr>
  </w:style>
  <w:style w:type="character" w:customStyle="1" w:styleId="PieddepageCar">
    <w:name w:val="Pied de page Car"/>
    <w:basedOn w:val="Policepardfaut"/>
    <w:link w:val="Pieddepage"/>
    <w:uiPriority w:val="99"/>
    <w:rsid w:val="00014D9D"/>
    <w:rPr>
      <w:rFonts w:ascii="Calibri" w:hAnsi="Calibri"/>
      <w:kern w:val="0"/>
      <w14:ligatures w14:val="none"/>
    </w:rPr>
  </w:style>
  <w:style w:type="paragraph" w:styleId="En-ttedetabledesmatires">
    <w:name w:val="TOC Heading"/>
    <w:basedOn w:val="Titre1"/>
    <w:next w:val="Normal"/>
    <w:uiPriority w:val="39"/>
    <w:unhideWhenUsed/>
    <w:qFormat/>
    <w:rsid w:val="00014D9D"/>
    <w:pPr>
      <w:spacing w:before="240" w:after="0" w:line="259" w:lineRule="auto"/>
      <w:jc w:val="left"/>
      <w:outlineLvl w:val="9"/>
    </w:pPr>
    <w:rPr>
      <w:sz w:val="32"/>
      <w:szCs w:val="32"/>
      <w:lang w:eastAsia="fr-FR"/>
    </w:rPr>
  </w:style>
  <w:style w:type="paragraph" w:styleId="TM1">
    <w:name w:val="toc 1"/>
    <w:basedOn w:val="Normal"/>
    <w:next w:val="Normal"/>
    <w:autoRedefine/>
    <w:uiPriority w:val="39"/>
    <w:unhideWhenUsed/>
    <w:rsid w:val="00014D9D"/>
    <w:pPr>
      <w:spacing w:after="100"/>
    </w:pPr>
  </w:style>
  <w:style w:type="paragraph" w:styleId="TM2">
    <w:name w:val="toc 2"/>
    <w:basedOn w:val="Normal"/>
    <w:next w:val="Normal"/>
    <w:autoRedefine/>
    <w:uiPriority w:val="39"/>
    <w:unhideWhenUsed/>
    <w:rsid w:val="00014D9D"/>
    <w:pPr>
      <w:spacing w:after="100"/>
      <w:ind w:left="220"/>
    </w:pPr>
  </w:style>
  <w:style w:type="paragraph" w:styleId="TM3">
    <w:name w:val="toc 3"/>
    <w:basedOn w:val="Normal"/>
    <w:next w:val="Normal"/>
    <w:autoRedefine/>
    <w:uiPriority w:val="39"/>
    <w:unhideWhenUsed/>
    <w:rsid w:val="00014D9D"/>
    <w:pPr>
      <w:spacing w:after="100"/>
      <w:ind w:left="440"/>
    </w:pPr>
  </w:style>
  <w:style w:type="character" w:customStyle="1" w:styleId="Mentionnonrsolue2">
    <w:name w:val="Mention non résolue2"/>
    <w:basedOn w:val="Policepardfaut"/>
    <w:uiPriority w:val="99"/>
    <w:semiHidden/>
    <w:unhideWhenUsed/>
    <w:rsid w:val="00550DBC"/>
    <w:rPr>
      <w:color w:val="605E5C"/>
      <w:shd w:val="clear" w:color="auto" w:fill="E1DFDD"/>
    </w:rPr>
  </w:style>
  <w:style w:type="character" w:styleId="Lienhypertextesuivivisit">
    <w:name w:val="FollowedHyperlink"/>
    <w:basedOn w:val="Policepardfaut"/>
    <w:uiPriority w:val="99"/>
    <w:semiHidden/>
    <w:unhideWhenUsed/>
    <w:rsid w:val="00E04881"/>
    <w:rPr>
      <w:color w:val="954F72" w:themeColor="followedHyperlink"/>
      <w:u w:val="single"/>
    </w:rPr>
  </w:style>
  <w:style w:type="paragraph" w:customStyle="1" w:styleId="Normalrapport">
    <w:name w:val="Normal rapport"/>
    <w:basedOn w:val="Paragraphedeliste"/>
    <w:link w:val="NormalrapportCar"/>
    <w:qFormat/>
    <w:rsid w:val="005E0CD0"/>
    <w:pPr>
      <w:widowControl w:val="0"/>
      <w:numPr>
        <w:numId w:val="27"/>
      </w:numPr>
      <w:tabs>
        <w:tab w:val="left" w:pos="570"/>
      </w:tabs>
      <w:autoSpaceDE w:val="0"/>
      <w:autoSpaceDN w:val="0"/>
      <w:spacing w:before="164" w:after="200" w:line="271" w:lineRule="auto"/>
      <w:ind w:right="223"/>
      <w:contextualSpacing w:val="0"/>
    </w:pPr>
    <w:rPr>
      <w:rFonts w:ascii="Garamond" w:eastAsia="Times New Roman" w:hAnsi="Garamond" w:cs="Times New Roman"/>
      <w:sz w:val="24"/>
      <w:szCs w:val="24"/>
      <w:lang w:eastAsia="fr-FR" w:bidi="fr-FR"/>
    </w:rPr>
  </w:style>
  <w:style w:type="character" w:customStyle="1" w:styleId="NormalrapportCar">
    <w:name w:val="Normal rapport Car"/>
    <w:basedOn w:val="Policepardfaut"/>
    <w:link w:val="Normalrapport"/>
    <w:rsid w:val="005E0CD0"/>
    <w:rPr>
      <w:rFonts w:ascii="Garamond" w:eastAsia="Times New Roman" w:hAnsi="Garamond" w:cs="Times New Roman"/>
      <w:kern w:val="0"/>
      <w:sz w:val="24"/>
      <w:szCs w:val="24"/>
      <w:lang w:eastAsia="fr-FR" w:bidi="fr-FR"/>
      <w14:ligatures w14:val="none"/>
    </w:rPr>
  </w:style>
  <w:style w:type="character" w:styleId="Mentionnonrsolue">
    <w:name w:val="Unresolved Mention"/>
    <w:basedOn w:val="Policepardfaut"/>
    <w:uiPriority w:val="99"/>
    <w:semiHidden/>
    <w:unhideWhenUsed/>
    <w:rsid w:val="00587E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574338">
      <w:bodyDiv w:val="1"/>
      <w:marLeft w:val="0"/>
      <w:marRight w:val="0"/>
      <w:marTop w:val="0"/>
      <w:marBottom w:val="0"/>
      <w:divBdr>
        <w:top w:val="none" w:sz="0" w:space="0" w:color="auto"/>
        <w:left w:val="none" w:sz="0" w:space="0" w:color="auto"/>
        <w:bottom w:val="none" w:sz="0" w:space="0" w:color="auto"/>
        <w:right w:val="none" w:sz="0" w:space="0" w:color="auto"/>
      </w:divBdr>
    </w:div>
    <w:div w:id="421344507">
      <w:bodyDiv w:val="1"/>
      <w:marLeft w:val="0"/>
      <w:marRight w:val="0"/>
      <w:marTop w:val="0"/>
      <w:marBottom w:val="0"/>
      <w:divBdr>
        <w:top w:val="none" w:sz="0" w:space="0" w:color="auto"/>
        <w:left w:val="none" w:sz="0" w:space="0" w:color="auto"/>
        <w:bottom w:val="none" w:sz="0" w:space="0" w:color="auto"/>
        <w:right w:val="none" w:sz="0" w:space="0" w:color="auto"/>
      </w:divBdr>
    </w:div>
    <w:div w:id="434860582">
      <w:bodyDiv w:val="1"/>
      <w:marLeft w:val="0"/>
      <w:marRight w:val="0"/>
      <w:marTop w:val="0"/>
      <w:marBottom w:val="0"/>
      <w:divBdr>
        <w:top w:val="none" w:sz="0" w:space="0" w:color="auto"/>
        <w:left w:val="none" w:sz="0" w:space="0" w:color="auto"/>
        <w:bottom w:val="none" w:sz="0" w:space="0" w:color="auto"/>
        <w:right w:val="none" w:sz="0" w:space="0" w:color="auto"/>
      </w:divBdr>
    </w:div>
    <w:div w:id="439028586">
      <w:bodyDiv w:val="1"/>
      <w:marLeft w:val="0"/>
      <w:marRight w:val="0"/>
      <w:marTop w:val="0"/>
      <w:marBottom w:val="0"/>
      <w:divBdr>
        <w:top w:val="none" w:sz="0" w:space="0" w:color="auto"/>
        <w:left w:val="none" w:sz="0" w:space="0" w:color="auto"/>
        <w:bottom w:val="none" w:sz="0" w:space="0" w:color="auto"/>
        <w:right w:val="none" w:sz="0" w:space="0" w:color="auto"/>
      </w:divBdr>
    </w:div>
    <w:div w:id="697045963">
      <w:bodyDiv w:val="1"/>
      <w:marLeft w:val="0"/>
      <w:marRight w:val="0"/>
      <w:marTop w:val="0"/>
      <w:marBottom w:val="0"/>
      <w:divBdr>
        <w:top w:val="none" w:sz="0" w:space="0" w:color="auto"/>
        <w:left w:val="none" w:sz="0" w:space="0" w:color="auto"/>
        <w:bottom w:val="none" w:sz="0" w:space="0" w:color="auto"/>
        <w:right w:val="none" w:sz="0" w:space="0" w:color="auto"/>
      </w:divBdr>
    </w:div>
    <w:div w:id="825173377">
      <w:bodyDiv w:val="1"/>
      <w:marLeft w:val="0"/>
      <w:marRight w:val="0"/>
      <w:marTop w:val="0"/>
      <w:marBottom w:val="0"/>
      <w:divBdr>
        <w:top w:val="none" w:sz="0" w:space="0" w:color="auto"/>
        <w:left w:val="none" w:sz="0" w:space="0" w:color="auto"/>
        <w:bottom w:val="none" w:sz="0" w:space="0" w:color="auto"/>
        <w:right w:val="none" w:sz="0" w:space="0" w:color="auto"/>
      </w:divBdr>
    </w:div>
    <w:div w:id="876819960">
      <w:bodyDiv w:val="1"/>
      <w:marLeft w:val="0"/>
      <w:marRight w:val="0"/>
      <w:marTop w:val="0"/>
      <w:marBottom w:val="0"/>
      <w:divBdr>
        <w:top w:val="none" w:sz="0" w:space="0" w:color="auto"/>
        <w:left w:val="none" w:sz="0" w:space="0" w:color="auto"/>
        <w:bottom w:val="none" w:sz="0" w:space="0" w:color="auto"/>
        <w:right w:val="none" w:sz="0" w:space="0" w:color="auto"/>
      </w:divBdr>
    </w:div>
    <w:div w:id="1212159546">
      <w:bodyDiv w:val="1"/>
      <w:marLeft w:val="0"/>
      <w:marRight w:val="0"/>
      <w:marTop w:val="0"/>
      <w:marBottom w:val="0"/>
      <w:divBdr>
        <w:top w:val="none" w:sz="0" w:space="0" w:color="auto"/>
        <w:left w:val="none" w:sz="0" w:space="0" w:color="auto"/>
        <w:bottom w:val="none" w:sz="0" w:space="0" w:color="auto"/>
        <w:right w:val="none" w:sz="0" w:space="0" w:color="auto"/>
      </w:divBdr>
    </w:div>
    <w:div w:id="1407341902">
      <w:bodyDiv w:val="1"/>
      <w:marLeft w:val="0"/>
      <w:marRight w:val="0"/>
      <w:marTop w:val="0"/>
      <w:marBottom w:val="0"/>
      <w:divBdr>
        <w:top w:val="none" w:sz="0" w:space="0" w:color="auto"/>
        <w:left w:val="none" w:sz="0" w:space="0" w:color="auto"/>
        <w:bottom w:val="none" w:sz="0" w:space="0" w:color="auto"/>
        <w:right w:val="none" w:sz="0" w:space="0" w:color="auto"/>
      </w:divBdr>
    </w:div>
    <w:div w:id="1407798861">
      <w:bodyDiv w:val="1"/>
      <w:marLeft w:val="0"/>
      <w:marRight w:val="0"/>
      <w:marTop w:val="0"/>
      <w:marBottom w:val="0"/>
      <w:divBdr>
        <w:top w:val="none" w:sz="0" w:space="0" w:color="auto"/>
        <w:left w:val="none" w:sz="0" w:space="0" w:color="auto"/>
        <w:bottom w:val="none" w:sz="0" w:space="0" w:color="auto"/>
        <w:right w:val="none" w:sz="0" w:space="0" w:color="auto"/>
      </w:divBdr>
    </w:div>
    <w:div w:id="1621642857">
      <w:bodyDiv w:val="1"/>
      <w:marLeft w:val="0"/>
      <w:marRight w:val="0"/>
      <w:marTop w:val="0"/>
      <w:marBottom w:val="0"/>
      <w:divBdr>
        <w:top w:val="none" w:sz="0" w:space="0" w:color="auto"/>
        <w:left w:val="none" w:sz="0" w:space="0" w:color="auto"/>
        <w:bottom w:val="none" w:sz="0" w:space="0" w:color="auto"/>
        <w:right w:val="none" w:sz="0" w:space="0" w:color="auto"/>
      </w:divBdr>
    </w:div>
    <w:div w:id="1623532815">
      <w:bodyDiv w:val="1"/>
      <w:marLeft w:val="0"/>
      <w:marRight w:val="0"/>
      <w:marTop w:val="0"/>
      <w:marBottom w:val="0"/>
      <w:divBdr>
        <w:top w:val="none" w:sz="0" w:space="0" w:color="auto"/>
        <w:left w:val="none" w:sz="0" w:space="0" w:color="auto"/>
        <w:bottom w:val="none" w:sz="0" w:space="0" w:color="auto"/>
        <w:right w:val="none" w:sz="0" w:space="0" w:color="auto"/>
      </w:divBdr>
    </w:div>
    <w:div w:id="1632665174">
      <w:bodyDiv w:val="1"/>
      <w:marLeft w:val="0"/>
      <w:marRight w:val="0"/>
      <w:marTop w:val="0"/>
      <w:marBottom w:val="0"/>
      <w:divBdr>
        <w:top w:val="none" w:sz="0" w:space="0" w:color="auto"/>
        <w:left w:val="none" w:sz="0" w:space="0" w:color="auto"/>
        <w:bottom w:val="none" w:sz="0" w:space="0" w:color="auto"/>
        <w:right w:val="none" w:sz="0" w:space="0" w:color="auto"/>
      </w:divBdr>
    </w:div>
    <w:div w:id="1691639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8" Type="http://schemas.openxmlformats.org/officeDocument/2006/relationships/hyperlink" Target="https://www.hrw.org/fr/news/2019/05/06/cameroun-recours-regulier-la-torture-et-la-detention-au-secret" TargetMode="External"/><Relationship Id="rId3" Type="http://schemas.openxmlformats.org/officeDocument/2006/relationships/hyperlink" Target="https://www.unodc.org/documents/commissions/CCPCJ/Crime_Resolutions/1980-1989/1989/ECOSOC/Resolution_1989-64.pdf" TargetMode="External"/><Relationship Id="rId7" Type="http://schemas.openxmlformats.org/officeDocument/2006/relationships/hyperlink" Target="https://www.ecpm.org/app/uploads/2022/08/mission-enquete-cameroun-2019-FR.pdf" TargetMode="External"/><Relationship Id="rId2" Type="http://schemas.openxmlformats.org/officeDocument/2006/relationships/hyperlink" Target="http://www.minjustice.gov.cm/index.php/fr/publications/rapports/544-rapport-du-ministere-de-la-justice-sur-l-etat-droits-de-l-homme-au-cameroun-en-2020" TargetMode="External"/><Relationship Id="rId1" Type="http://schemas.openxmlformats.org/officeDocument/2006/relationships/hyperlink" Target="https://www.ecpm.org/app/uploads/2022/08/mission-enquete-cameroun-2019-FR.pdf" TargetMode="External"/><Relationship Id="rId6" Type="http://schemas.openxmlformats.org/officeDocument/2006/relationships/hyperlink" Target="http://www.ohchr.org/FR/ProfessionalInterest/Pages/CCPR.aspx" TargetMode="External"/><Relationship Id="rId5" Type="http://schemas.openxmlformats.org/officeDocument/2006/relationships/hyperlink" Target="https://www.ohchr.org/sites/default/files/Documents/HRBodies/CCPR/GCArticle6/GCArticle6_FR.pdf" TargetMode="External"/><Relationship Id="rId10" Type="http://schemas.openxmlformats.org/officeDocument/2006/relationships/hyperlink" Target="https://www.deathpenaltyworldwide.org/wp-%20content/uploads/2019/12/Judged-More-Than-Her-Crime.pdf" TargetMode="External"/><Relationship Id="rId4" Type="http://schemas.openxmlformats.org/officeDocument/2006/relationships/hyperlink" Target="http://www.ohchr.org/FR/ProfessionalInterest/Pages/CCPR.aspx" TargetMode="External"/><Relationship Id="rId9" Type="http://schemas.openxmlformats.org/officeDocument/2006/relationships/hyperlink" Target="https://www.ecpm.org/app/uploads/2022/08/mission-enquete-cameroun-2019-FR.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48AF1-6FF5-4BA4-B5B1-E06E47A69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13</Pages>
  <Words>5583</Words>
  <Characters>30712</Characters>
  <Application>Microsoft Office Word</Application>
  <DocSecurity>0</DocSecurity>
  <Lines>255</Lines>
  <Paragraphs>72</Paragraphs>
  <ScaleCrop>false</ScaleCrop>
  <HeadingPairs>
    <vt:vector size="4" baseType="variant">
      <vt:variant>
        <vt:lpstr>Titre</vt:lpstr>
      </vt:variant>
      <vt:variant>
        <vt:i4>1</vt:i4>
      </vt:variant>
      <vt:variant>
        <vt:lpstr>Titres</vt:lpstr>
      </vt:variant>
      <vt:variant>
        <vt:i4>2</vt:i4>
      </vt:variant>
    </vt:vector>
  </HeadingPairs>
  <TitlesOfParts>
    <vt:vector size="3" baseType="lpstr">
      <vt:lpstr/>
      <vt:lpstr/>
      <vt:lpstr>Suggestions de points à traiter pour l’État du Cameroun</vt:lpstr>
    </vt:vector>
  </TitlesOfParts>
  <Company/>
  <LinksUpToDate>false</LinksUpToDate>
  <CharactersWithSpaces>36223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ecpm_AfriqueAsie</dc:creator>
  <cp:keywords/>
  <dc:description/>
  <cp:lastModifiedBy>Anna Dubarle</cp:lastModifiedBy>
  <cp:revision>7</cp:revision>
  <dcterms:created xsi:type="dcterms:W3CDTF">2025-09-24T13:54:00Z</dcterms:created>
  <dcterms:modified xsi:type="dcterms:W3CDTF">2025-09-25T10:05:00Z</dcterms:modified>
</cp:coreProperties>
</file>