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B4251" w14:textId="77777777" w:rsidR="00ED0B20" w:rsidRPr="0071620B" w:rsidRDefault="00ED0B20" w:rsidP="00ED0B20">
      <w:pPr>
        <w:spacing w:after="0" w:line="264" w:lineRule="auto"/>
        <w:jc w:val="center"/>
        <w:rPr>
          <w:rFonts w:ascii="MetaPro-Norm" w:hAnsi="MetaPro-Norm"/>
          <w:b/>
          <w:bCs/>
        </w:rPr>
      </w:pPr>
      <w:r w:rsidRPr="0071620B">
        <w:rPr>
          <w:rFonts w:ascii="MetaPro-Norm" w:hAnsi="MetaPro-Norm"/>
          <w:noProof/>
        </w:rPr>
        <w:drawing>
          <wp:inline distT="0" distB="0" distL="0" distR="0" wp14:anchorId="7E467620" wp14:editId="702E98BE">
            <wp:extent cx="1013460" cy="101346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HRWLogo" descr="HRWLogo"/>
                    <pic:cNvPicPr>
                      <a:picLocks noChangeAspect="1"/>
                    </pic:cNvPicPr>
                  </pic:nvPicPr>
                  <pic:blipFill>
                    <a:blip r:embed="rId8"/>
                    <a:stretch>
                      <a:fillRect/>
                    </a:stretch>
                  </pic:blipFill>
                  <pic:spPr>
                    <a:xfrm>
                      <a:off x="0" y="0"/>
                      <a:ext cx="1013460" cy="1013460"/>
                    </a:xfrm>
                    <a:prstGeom prst="rect">
                      <a:avLst/>
                    </a:prstGeom>
                    <a:ln w="12700" cap="flat">
                      <a:noFill/>
                      <a:miter lim="400000"/>
                    </a:ln>
                    <a:effectLst/>
                  </pic:spPr>
                </pic:pic>
              </a:graphicData>
            </a:graphic>
          </wp:inline>
        </w:drawing>
      </w:r>
    </w:p>
    <w:p w14:paraId="1EDBDC38" w14:textId="77777777" w:rsidR="00ED0B20" w:rsidRPr="0071620B" w:rsidRDefault="00ED0B20" w:rsidP="00ED0B20">
      <w:pPr>
        <w:spacing w:after="0" w:line="264" w:lineRule="auto"/>
        <w:jc w:val="center"/>
        <w:rPr>
          <w:rFonts w:ascii="MetaPro-Norm" w:hAnsi="MetaPro-Norm"/>
          <w:b/>
          <w:bCs/>
        </w:rPr>
      </w:pPr>
    </w:p>
    <w:p w14:paraId="492FB0C7" w14:textId="77777777" w:rsidR="00ED0B20" w:rsidRPr="0071620B" w:rsidRDefault="00ED0B20" w:rsidP="00ED0B20">
      <w:pPr>
        <w:spacing w:after="0" w:line="264" w:lineRule="auto"/>
        <w:jc w:val="center"/>
        <w:rPr>
          <w:rFonts w:ascii="MetaPro-Norm" w:hAnsi="MetaPro-Norm"/>
          <w:b/>
          <w:bCs/>
        </w:rPr>
      </w:pPr>
      <w:r w:rsidRPr="0071620B">
        <w:rPr>
          <w:rFonts w:ascii="MetaPro-Norm" w:hAnsi="MetaPro-Norm"/>
          <w:b/>
          <w:bCs/>
        </w:rPr>
        <w:t xml:space="preserve">Human Rights Watch Submission </w:t>
      </w:r>
    </w:p>
    <w:p w14:paraId="448792BC" w14:textId="48D2292A" w:rsidR="00ED0B20" w:rsidRPr="0071620B" w:rsidRDefault="00ED0B20" w:rsidP="00ED0B20">
      <w:pPr>
        <w:spacing w:after="0" w:line="264" w:lineRule="auto"/>
        <w:jc w:val="center"/>
        <w:rPr>
          <w:rFonts w:ascii="MetaPro-Norm" w:hAnsi="MetaPro-Norm"/>
          <w:b/>
          <w:bCs/>
        </w:rPr>
      </w:pPr>
      <w:r w:rsidRPr="0071620B">
        <w:rPr>
          <w:rFonts w:ascii="MetaPro-Norm" w:hAnsi="MetaPro-Norm"/>
          <w:b/>
          <w:bCs/>
        </w:rPr>
        <w:t xml:space="preserve">to the </w:t>
      </w:r>
      <w:r w:rsidRPr="0071620B">
        <w:rPr>
          <w:rFonts w:ascii="MetaPro-Norm" w:eastAsia="MetaPro-Norm" w:hAnsi="MetaPro-Norm" w:cs="MetaPro-Norm"/>
          <w:b/>
          <w:bCs/>
        </w:rPr>
        <w:t>United Nations Committee on the Elimination of Discrimination Against Women</w:t>
      </w:r>
    </w:p>
    <w:p w14:paraId="201516BB" w14:textId="1E065CDC" w:rsidR="00ED0B20" w:rsidRPr="0071620B" w:rsidRDefault="00ED0B20" w:rsidP="00ED0B20">
      <w:pPr>
        <w:spacing w:after="0" w:line="264" w:lineRule="auto"/>
        <w:jc w:val="center"/>
        <w:rPr>
          <w:rFonts w:ascii="MetaPro-Norm" w:hAnsi="MetaPro-Norm"/>
          <w:b/>
          <w:bCs/>
        </w:rPr>
      </w:pPr>
      <w:r w:rsidRPr="0071620B">
        <w:rPr>
          <w:rFonts w:ascii="MetaPro-Norm" w:hAnsi="MetaPro-Norm"/>
          <w:b/>
          <w:bCs/>
        </w:rPr>
        <w:t>Review of Armenia</w:t>
      </w:r>
    </w:p>
    <w:p w14:paraId="6415D501" w14:textId="729DBAEF" w:rsidR="00ED0B20" w:rsidRPr="0071620B" w:rsidRDefault="00ED0B20" w:rsidP="00ED0B20">
      <w:pPr>
        <w:spacing w:after="0" w:line="264" w:lineRule="auto"/>
        <w:jc w:val="center"/>
        <w:rPr>
          <w:rFonts w:ascii="MetaPro-Norm" w:hAnsi="MetaPro-Norm"/>
          <w:b/>
          <w:bCs/>
        </w:rPr>
      </w:pPr>
      <w:r w:rsidRPr="0071620B">
        <w:rPr>
          <w:rFonts w:ascii="MetaPro-Norm" w:hAnsi="MetaPro-Norm"/>
          <w:b/>
          <w:bCs/>
        </w:rPr>
        <w:t>83rd Session</w:t>
      </w:r>
    </w:p>
    <w:p w14:paraId="349975BC" w14:textId="4256856F" w:rsidR="00ED0B20" w:rsidRPr="0071620B" w:rsidRDefault="00ED0B20" w:rsidP="00ED0B20">
      <w:pPr>
        <w:spacing w:after="0" w:line="264" w:lineRule="auto"/>
        <w:jc w:val="center"/>
        <w:rPr>
          <w:rFonts w:ascii="MetaPro-Norm" w:hAnsi="MetaPro-Norm"/>
          <w:b/>
          <w:bCs/>
        </w:rPr>
      </w:pPr>
      <w:r w:rsidRPr="0071620B">
        <w:rPr>
          <w:rFonts w:ascii="MetaPro-Norm" w:hAnsi="MetaPro-Norm"/>
          <w:b/>
          <w:bCs/>
        </w:rPr>
        <w:t>September 2022</w:t>
      </w:r>
    </w:p>
    <w:p w14:paraId="6AD4D44A" w14:textId="01E0FB65" w:rsidR="00ED0B20" w:rsidRPr="0071620B" w:rsidRDefault="00ED0B20" w:rsidP="00ED0B20">
      <w:pPr>
        <w:spacing w:after="0" w:line="264" w:lineRule="auto"/>
        <w:jc w:val="center"/>
        <w:rPr>
          <w:rFonts w:ascii="MetaPro-Norm" w:hAnsi="MetaPro-Norm"/>
          <w:b/>
          <w:bCs/>
        </w:rPr>
      </w:pPr>
    </w:p>
    <w:p w14:paraId="0C49D7BB" w14:textId="1ECDCDA3" w:rsidR="00ED0B20" w:rsidRPr="0071620B" w:rsidRDefault="00ED0B20"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We write in advance of the 83rd Session of the Committee on the Elimination of Discrimination Against Women (“the </w:t>
      </w:r>
      <w:r w:rsidR="00E3768D" w:rsidRPr="0071620B">
        <w:rPr>
          <w:rFonts w:ascii="MetaPro-Norm" w:eastAsia="MetaPro-Norm" w:hAnsi="MetaPro-Norm" w:cs="MetaPro-Norm"/>
          <w:sz w:val="22"/>
          <w:szCs w:val="22"/>
        </w:rPr>
        <w:t>C</w:t>
      </w:r>
      <w:r w:rsidRPr="0071620B">
        <w:rPr>
          <w:rFonts w:ascii="MetaPro-Norm" w:eastAsia="MetaPro-Norm" w:hAnsi="MetaPro-Norm" w:cs="MetaPro-Norm"/>
          <w:sz w:val="22"/>
          <w:szCs w:val="22"/>
        </w:rPr>
        <w:t xml:space="preserve">ommittee”) and its review of Armenia to highlight areas of concern regarding the government of </w:t>
      </w:r>
      <w:r w:rsidR="00031AFB" w:rsidRPr="0071620B">
        <w:rPr>
          <w:rFonts w:ascii="MetaPro-Norm" w:eastAsia="MetaPro-Norm" w:hAnsi="MetaPro-Norm" w:cs="MetaPro-Norm"/>
          <w:sz w:val="22"/>
          <w:szCs w:val="22"/>
        </w:rPr>
        <w:t>Armenia’s</w:t>
      </w:r>
      <w:r w:rsidRPr="0071620B">
        <w:rPr>
          <w:rFonts w:ascii="MetaPro-Norm" w:eastAsia="MetaPro-Norm" w:hAnsi="MetaPro-Norm" w:cs="MetaPro-Norm"/>
          <w:sz w:val="22"/>
          <w:szCs w:val="22"/>
        </w:rPr>
        <w:t xml:space="preserve"> compliance with the Convention on the Elimination of All Forms of Discrimination against Women (CEDAW). This submission addresses </w:t>
      </w:r>
      <w:r w:rsidR="0071620B">
        <w:rPr>
          <w:rFonts w:ascii="MetaPro-Norm" w:eastAsia="MetaPro-Norm" w:hAnsi="MetaPro-Norm" w:cs="MetaPro-Norm"/>
          <w:sz w:val="22"/>
          <w:szCs w:val="22"/>
        </w:rPr>
        <w:t>a</w:t>
      </w:r>
      <w:r w:rsidRPr="0071620B">
        <w:rPr>
          <w:rFonts w:ascii="MetaPro-Norm" w:eastAsia="MetaPro-Norm" w:hAnsi="MetaPro-Norm" w:cs="MetaPro-Norm"/>
          <w:sz w:val="22"/>
          <w:szCs w:val="22"/>
        </w:rPr>
        <w:t xml:space="preserve">rticles 1, 2, </w:t>
      </w:r>
      <w:r w:rsidR="002119F5" w:rsidRPr="0071620B">
        <w:rPr>
          <w:rFonts w:ascii="MetaPro-Norm" w:eastAsia="MetaPro-Norm" w:hAnsi="MetaPro-Norm" w:cs="MetaPro-Norm"/>
          <w:sz w:val="22"/>
          <w:szCs w:val="22"/>
        </w:rPr>
        <w:t xml:space="preserve">and </w:t>
      </w:r>
      <w:r w:rsidRPr="0071620B">
        <w:rPr>
          <w:rFonts w:ascii="MetaPro-Norm" w:eastAsia="MetaPro-Norm" w:hAnsi="MetaPro-Norm" w:cs="MetaPro-Norm"/>
          <w:sz w:val="22"/>
          <w:szCs w:val="22"/>
        </w:rPr>
        <w:t>10</w:t>
      </w:r>
      <w:r w:rsidR="00031AFB" w:rsidRPr="0071620B">
        <w:rPr>
          <w:rFonts w:ascii="MetaPro-Norm" w:eastAsia="MetaPro-Norm" w:hAnsi="MetaPro-Norm" w:cs="MetaPro-Norm"/>
          <w:sz w:val="22"/>
          <w:szCs w:val="22"/>
        </w:rPr>
        <w:t xml:space="preserve"> </w:t>
      </w:r>
      <w:r w:rsidRPr="0071620B">
        <w:rPr>
          <w:rFonts w:ascii="MetaPro-Norm" w:eastAsia="MetaPro-Norm" w:hAnsi="MetaPro-Norm" w:cs="MetaPro-Norm"/>
          <w:sz w:val="22"/>
          <w:szCs w:val="22"/>
        </w:rPr>
        <w:t>of the Convention</w:t>
      </w:r>
      <w:r w:rsidR="00031AFB" w:rsidRPr="0071620B">
        <w:rPr>
          <w:rFonts w:ascii="MetaPro-Norm" w:eastAsia="MetaPro-Norm" w:hAnsi="MetaPro-Norm" w:cs="MetaPro-Norm"/>
          <w:sz w:val="22"/>
          <w:szCs w:val="22"/>
        </w:rPr>
        <w:t xml:space="preserve"> and </w:t>
      </w:r>
      <w:r w:rsidRPr="0071620B">
        <w:rPr>
          <w:rFonts w:ascii="MetaPro-Norm" w:eastAsia="MetaPro-Norm" w:hAnsi="MetaPro-Norm" w:cs="MetaPro-Norm"/>
          <w:sz w:val="22"/>
          <w:szCs w:val="22"/>
        </w:rPr>
        <w:t>covers violence against women and girls, access to education during the Covid-19 pandemic, and protection of education from attack.</w:t>
      </w:r>
      <w:r w:rsidR="009C5C8A" w:rsidRPr="0071620B">
        <w:rPr>
          <w:rFonts w:ascii="MetaPro-Norm" w:eastAsia="MetaPro-Norm" w:hAnsi="MetaPro-Norm" w:cs="MetaPro-Norm"/>
          <w:sz w:val="22"/>
          <w:szCs w:val="22"/>
        </w:rPr>
        <w:t xml:space="preserve"> This is an updated submission following Human Rights Watch’s June 2021 submission to the </w:t>
      </w:r>
      <w:r w:rsidR="005B7828" w:rsidRPr="0071620B">
        <w:rPr>
          <w:rFonts w:ascii="MetaPro-Norm" w:eastAsia="MetaPro-Norm" w:hAnsi="MetaPro-Norm" w:cs="MetaPro-Norm"/>
          <w:sz w:val="22"/>
          <w:szCs w:val="22"/>
        </w:rPr>
        <w:t>C</w:t>
      </w:r>
      <w:r w:rsidR="009C5C8A" w:rsidRPr="0071620B">
        <w:rPr>
          <w:rFonts w:ascii="MetaPro-Norm" w:eastAsia="MetaPro-Norm" w:hAnsi="MetaPro-Norm" w:cs="MetaPro-Norm"/>
          <w:sz w:val="22"/>
          <w:szCs w:val="22"/>
        </w:rPr>
        <w:t>ommittee during its 81st pre-session for its review of Armenia.</w:t>
      </w:r>
      <w:r w:rsidR="009C5C8A" w:rsidRPr="0071620B">
        <w:rPr>
          <w:rStyle w:val="FootnoteReference"/>
          <w:rFonts w:ascii="MetaPro-Medi" w:eastAsia="MetaPro-Norm" w:hAnsi="MetaPro-Medi" w:cs="MetaPro-Norm"/>
          <w:sz w:val="22"/>
          <w:szCs w:val="22"/>
        </w:rPr>
        <w:footnoteReference w:id="2"/>
      </w:r>
    </w:p>
    <w:p w14:paraId="196CAD9E" w14:textId="794D48A2" w:rsidR="00ED0B20" w:rsidRPr="0071620B" w:rsidRDefault="00ED0B20" w:rsidP="00ED0B20">
      <w:pPr>
        <w:pStyle w:val="NoSpacing"/>
        <w:spacing w:line="22" w:lineRule="atLeast"/>
        <w:rPr>
          <w:rFonts w:ascii="MetaPro-Norm" w:eastAsia="MetaPro-Norm" w:hAnsi="MetaPro-Norm" w:cs="MetaPro-Norm"/>
          <w:sz w:val="22"/>
          <w:szCs w:val="22"/>
        </w:rPr>
      </w:pPr>
    </w:p>
    <w:p w14:paraId="0F35BE1D" w14:textId="29A78025" w:rsidR="00ED0B20" w:rsidRPr="0071620B" w:rsidRDefault="00ED0B20" w:rsidP="00ED0B20">
      <w:pPr>
        <w:pStyle w:val="NoSpacing"/>
        <w:spacing w:line="22" w:lineRule="atLeast"/>
        <w:rPr>
          <w:rFonts w:ascii="MetaPro-Norm" w:eastAsia="MetaPro-Norm" w:hAnsi="MetaPro-Norm" w:cs="MetaPro-Norm"/>
          <w:b/>
          <w:bCs/>
          <w:sz w:val="22"/>
          <w:szCs w:val="22"/>
        </w:rPr>
      </w:pPr>
      <w:r w:rsidRPr="0071620B">
        <w:rPr>
          <w:rFonts w:ascii="MetaPro-Norm" w:eastAsia="MetaPro-Norm" w:hAnsi="MetaPro-Norm" w:cs="MetaPro-Norm"/>
          <w:b/>
          <w:bCs/>
          <w:sz w:val="22"/>
          <w:szCs w:val="22"/>
        </w:rPr>
        <w:t>Violence Against Women (articles 1 and 2)</w:t>
      </w:r>
    </w:p>
    <w:p w14:paraId="225BD5F5" w14:textId="737C2FA9" w:rsidR="00BA0A9E" w:rsidRPr="0071620B" w:rsidRDefault="00BA0A9E" w:rsidP="64BCEDA3">
      <w:pPr>
        <w:spacing w:after="0" w:line="264" w:lineRule="auto"/>
        <w:rPr>
          <w:rFonts w:ascii="MetaPro-Norm" w:eastAsia="MetaPro-Norm" w:hAnsi="MetaPro-Norm" w:cs="MetaPro-Norm"/>
          <w:b/>
          <w:bCs/>
          <w:color w:val="000000" w:themeColor="text1"/>
        </w:rPr>
      </w:pPr>
    </w:p>
    <w:p w14:paraId="5ABB7E23" w14:textId="5C9ACF4D" w:rsidR="00BA0A9E" w:rsidRPr="0071620B" w:rsidRDefault="50C203DE" w:rsidP="64BCEDA3">
      <w:pPr>
        <w:spacing w:after="0" w:line="264" w:lineRule="auto"/>
        <w:rPr>
          <w:rFonts w:ascii="MetaPro-Norm" w:eastAsia="MetaPro-Norm" w:hAnsi="MetaPro-Norm" w:cs="MetaPro-Norm"/>
          <w:color w:val="000000" w:themeColor="text1"/>
        </w:rPr>
      </w:pPr>
      <w:r w:rsidRPr="0071620B">
        <w:rPr>
          <w:rFonts w:ascii="MetaPro-Norm" w:eastAsia="MetaPro-Norm" w:hAnsi="MetaPro-Norm" w:cs="MetaPro-Norm"/>
          <w:color w:val="000000" w:themeColor="text1"/>
        </w:rPr>
        <w:t>In December 2017, Armenia’s parliament passed a law on violence in the family, putting in place a legal framework to address violence against women</w:t>
      </w:r>
      <w:r w:rsidR="004830D0" w:rsidRPr="0071620B">
        <w:rPr>
          <w:rFonts w:ascii="MetaPro-Norm" w:eastAsia="MetaPro-Norm" w:hAnsi="MetaPro-Norm" w:cs="MetaPro-Norm"/>
          <w:color w:val="000000" w:themeColor="text1"/>
        </w:rPr>
        <w:t>.</w:t>
      </w:r>
      <w:r w:rsidR="00BA0A9E" w:rsidRPr="009D3428">
        <w:rPr>
          <w:rStyle w:val="FootnoteReference"/>
          <w:rFonts w:ascii="MetaPro-Medi" w:eastAsia="MetaPro-Norm" w:hAnsi="MetaPro-Medi" w:cs="MetaPro-Norm"/>
          <w:color w:val="000000" w:themeColor="text1"/>
        </w:rPr>
        <w:footnoteReference w:id="3"/>
      </w:r>
      <w:r w:rsidR="004830D0" w:rsidRPr="0071620B">
        <w:rPr>
          <w:rFonts w:ascii="MetaPro-Norm" w:eastAsia="MetaPro-Norm" w:hAnsi="MetaPro-Norm" w:cs="MetaPro-Norm"/>
          <w:color w:val="000000" w:themeColor="text1"/>
        </w:rPr>
        <w:t xml:space="preserve"> </w:t>
      </w:r>
      <w:r w:rsidRPr="0071620B">
        <w:rPr>
          <w:rFonts w:ascii="MetaPro-Norm" w:eastAsia="MetaPro-Norm" w:hAnsi="MetaPro-Norm" w:cs="MetaPro-Norm"/>
          <w:color w:val="000000" w:themeColor="text1"/>
        </w:rPr>
        <w:t>However</w:t>
      </w:r>
      <w:r w:rsidR="004830D0" w:rsidRPr="0071620B">
        <w:rPr>
          <w:rFonts w:ascii="MetaPro-Norm" w:eastAsia="MetaPro-Norm" w:hAnsi="MetaPro-Norm" w:cs="MetaPro-Norm"/>
          <w:color w:val="000000" w:themeColor="text1"/>
        </w:rPr>
        <w:t>,</w:t>
      </w:r>
      <w:r w:rsidRPr="0071620B">
        <w:rPr>
          <w:rFonts w:ascii="MetaPro-Norm" w:eastAsia="MetaPro-Norm" w:hAnsi="MetaPro-Norm" w:cs="MetaPro-Norm"/>
          <w:color w:val="000000" w:themeColor="text1"/>
        </w:rPr>
        <w:t xml:space="preserve"> women and girls remain at risk until the police </w:t>
      </w:r>
      <w:r w:rsidR="00F87D44" w:rsidRPr="0071620B">
        <w:rPr>
          <w:rFonts w:ascii="MetaPro-Norm" w:eastAsia="MetaPro-Norm" w:hAnsi="MetaPro-Norm" w:cs="MetaPro-Norm"/>
          <w:color w:val="000000" w:themeColor="text1"/>
        </w:rPr>
        <w:t xml:space="preserve">comprehensively change how they </w:t>
      </w:r>
      <w:r w:rsidRPr="0071620B">
        <w:rPr>
          <w:rFonts w:ascii="MetaPro-Norm" w:eastAsia="MetaPro-Norm" w:hAnsi="MetaPro-Norm" w:cs="MetaPro-Norm"/>
          <w:color w:val="000000" w:themeColor="text1"/>
        </w:rPr>
        <w:t xml:space="preserve">respond to complaints of domestic violence and </w:t>
      </w:r>
      <w:r w:rsidR="00F87D44" w:rsidRPr="0071620B">
        <w:rPr>
          <w:rFonts w:ascii="MetaPro-Norm" w:eastAsia="MetaPro-Norm" w:hAnsi="MetaPro-Norm" w:cs="MetaPro-Norm"/>
          <w:color w:val="000000" w:themeColor="text1"/>
        </w:rPr>
        <w:t xml:space="preserve">the government ensures </w:t>
      </w:r>
      <w:r w:rsidRPr="0071620B">
        <w:rPr>
          <w:rFonts w:ascii="MetaPro-Norm" w:eastAsia="MetaPro-Norm" w:hAnsi="MetaPro-Norm" w:cs="MetaPro-Norm"/>
          <w:color w:val="000000" w:themeColor="text1"/>
        </w:rPr>
        <w:t>accessible, quality services for survivors.</w:t>
      </w:r>
    </w:p>
    <w:p w14:paraId="19DC4CC2" w14:textId="7C7BA3AD"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1347DD42" w14:textId="27FC6DFD" w:rsidR="004B788F" w:rsidRPr="0071620B" w:rsidRDefault="561FB452" w:rsidP="64BCEDA3">
      <w:pPr>
        <w:spacing w:after="0" w:line="264" w:lineRule="auto"/>
        <w:rPr>
          <w:rFonts w:ascii="MetaPro-Norm" w:eastAsia="MetaPro-Norm" w:hAnsi="MetaPro-Norm" w:cs="MetaPro-Norm"/>
          <w:color w:val="000000" w:themeColor="text1"/>
        </w:rPr>
      </w:pPr>
      <w:r w:rsidRPr="0071620B">
        <w:rPr>
          <w:rFonts w:ascii="MetaPro-Norm" w:eastAsia="MetaPro-Norm" w:hAnsi="MetaPro-Norm" w:cs="MetaPro-Norm"/>
          <w:color w:val="000000" w:themeColor="text1"/>
        </w:rPr>
        <w:t>Domestic violence cases remain largely underreported. According to the 2021 Survey on Domestic Violence against Women in Armenia</w:t>
      </w:r>
      <w:r w:rsidR="0071620B">
        <w:rPr>
          <w:rFonts w:ascii="MetaPro-Norm" w:eastAsia="MetaPro-Norm" w:hAnsi="MetaPro-Norm" w:cs="MetaPro-Norm"/>
          <w:color w:val="000000" w:themeColor="text1"/>
        </w:rPr>
        <w:t>,</w:t>
      </w:r>
      <w:r w:rsidRPr="0071620B">
        <w:rPr>
          <w:rFonts w:ascii="MetaPro-Norm" w:eastAsia="MetaPro-Norm" w:hAnsi="MetaPro-Norm" w:cs="MetaPro-Norm"/>
          <w:color w:val="000000" w:themeColor="text1"/>
        </w:rPr>
        <w:t xml:space="preserve"> only 5</w:t>
      </w:r>
      <w:r w:rsidR="00FB17CA" w:rsidRPr="0071620B">
        <w:rPr>
          <w:rFonts w:ascii="MetaPro-Norm" w:eastAsia="MetaPro-Norm" w:hAnsi="MetaPro-Norm" w:cs="MetaPro-Norm"/>
          <w:color w:val="000000" w:themeColor="text1"/>
        </w:rPr>
        <w:t xml:space="preserve"> percent</w:t>
      </w:r>
      <w:r w:rsidRPr="0071620B">
        <w:rPr>
          <w:rFonts w:ascii="MetaPro-Norm" w:eastAsia="MetaPro-Norm" w:hAnsi="MetaPro-Norm" w:cs="MetaPro-Norm"/>
          <w:color w:val="000000" w:themeColor="text1"/>
        </w:rPr>
        <w:t xml:space="preserve"> of women who experiences physical or sexual violence said they sought help from police and 53</w:t>
      </w:r>
      <w:r w:rsidR="00FB17CA" w:rsidRPr="0071620B">
        <w:rPr>
          <w:rFonts w:ascii="MetaPro-Norm" w:eastAsia="MetaPro-Norm" w:hAnsi="MetaPro-Norm" w:cs="MetaPro-Norm"/>
          <w:color w:val="000000" w:themeColor="text1"/>
        </w:rPr>
        <w:t>.</w:t>
      </w:r>
      <w:r w:rsidRPr="0071620B">
        <w:rPr>
          <w:rFonts w:ascii="MetaPro-Norm" w:eastAsia="MetaPro-Norm" w:hAnsi="MetaPro-Norm" w:cs="MetaPro-Norm"/>
          <w:color w:val="000000" w:themeColor="text1"/>
        </w:rPr>
        <w:t xml:space="preserve">5 </w:t>
      </w:r>
      <w:r w:rsidR="00FB17CA" w:rsidRPr="0071620B">
        <w:rPr>
          <w:rFonts w:ascii="MetaPro-Norm" w:eastAsia="MetaPro-Norm" w:hAnsi="MetaPro-Norm" w:cs="MetaPro-Norm"/>
          <w:color w:val="000000" w:themeColor="text1"/>
        </w:rPr>
        <w:t>percent</w:t>
      </w:r>
      <w:r w:rsidRPr="0071620B">
        <w:rPr>
          <w:rFonts w:ascii="MetaPro-Norm" w:eastAsia="MetaPro-Norm" w:hAnsi="MetaPro-Norm" w:cs="MetaPro-Norm"/>
          <w:color w:val="000000" w:themeColor="text1"/>
        </w:rPr>
        <w:t xml:space="preserve"> said that help is not expected from </w:t>
      </w:r>
      <w:r w:rsidRPr="0071620B">
        <w:rPr>
          <w:rFonts w:ascii="MetaPro-Norm" w:eastAsia="MetaPro-Norm" w:hAnsi="MetaPro-Norm" w:cs="MetaPro-Norm"/>
          <w:color w:val="000000" w:themeColor="text1"/>
        </w:rPr>
        <w:lastRenderedPageBreak/>
        <w:t>anyone</w:t>
      </w:r>
      <w:r w:rsidR="00F7107D">
        <w:rPr>
          <w:rFonts w:ascii="MetaPro-Norm" w:eastAsia="MetaPro-Norm" w:hAnsi="MetaPro-Norm" w:cs="MetaPro-Norm"/>
          <w:color w:val="000000" w:themeColor="text1"/>
        </w:rPr>
        <w:t>.</w:t>
      </w:r>
      <w:r w:rsidR="374B1E6B" w:rsidRPr="009D3428">
        <w:rPr>
          <w:rStyle w:val="FootnoteReference"/>
          <w:rFonts w:ascii="MetaPro-Medi" w:eastAsia="MetaPro-Norm" w:hAnsi="MetaPro-Medi" w:cs="MetaPro-Norm"/>
          <w:color w:val="000000" w:themeColor="text1"/>
        </w:rPr>
        <w:footnoteReference w:id="4"/>
      </w:r>
      <w:r w:rsidRPr="0071620B">
        <w:rPr>
          <w:rFonts w:ascii="MetaPro-Norm" w:eastAsia="MetaPro-Norm" w:hAnsi="MetaPro-Norm" w:cs="MetaPro-Norm"/>
          <w:color w:val="000000" w:themeColor="text1"/>
        </w:rPr>
        <w:t xml:space="preserve"> </w:t>
      </w:r>
      <w:r w:rsidR="374B1E6B" w:rsidRPr="0071620B">
        <w:br/>
      </w:r>
    </w:p>
    <w:p w14:paraId="706826C1" w14:textId="79BA84B8" w:rsidR="00BA0A9E" w:rsidRPr="0071620B" w:rsidRDefault="50C203DE" w:rsidP="64BCEDA3">
      <w:pPr>
        <w:spacing w:after="0" w:line="264" w:lineRule="auto"/>
        <w:rPr>
          <w:rFonts w:ascii="MetaPro-Norm" w:eastAsia="MetaPro-Norm" w:hAnsi="MetaPro-Norm" w:cs="MetaPro-Norm"/>
          <w:vertAlign w:val="superscript"/>
        </w:rPr>
      </w:pPr>
      <w:r w:rsidRPr="0071620B">
        <w:rPr>
          <w:rFonts w:ascii="MetaPro-Norm" w:eastAsia="MetaPro-Norm" w:hAnsi="MetaPro-Norm" w:cs="MetaPro-Norm"/>
          <w:color w:val="000000" w:themeColor="text1"/>
        </w:rPr>
        <w:t>In 2017</w:t>
      </w:r>
      <w:r w:rsidR="00D40AA8">
        <w:rPr>
          <w:rFonts w:ascii="MetaPro-Norm" w:eastAsia="MetaPro-Norm" w:hAnsi="MetaPro-Norm" w:cs="MetaPro-Norm"/>
          <w:color w:val="000000" w:themeColor="text1"/>
        </w:rPr>
        <w:t>,</w:t>
      </w:r>
      <w:r w:rsidRPr="0071620B">
        <w:rPr>
          <w:rFonts w:ascii="MetaPro-Norm" w:eastAsia="MetaPro-Norm" w:hAnsi="MetaPro-Norm" w:cs="MetaPro-Norm"/>
          <w:color w:val="000000" w:themeColor="text1"/>
        </w:rPr>
        <w:t xml:space="preserve"> Human Rights Watch spoke with 12 survivors of severe domestic abuse in Armenia. The women said their husbands or male partners punched and kicked them, raped them, struck them with furniture and other objects, confined them in their homes, stalked them, and threatened or attempted to kill them with knives or other sharp objects. Five women said the attacks against them continued during pregnancy; three said they had miscarriages after their husbands beat them.</w:t>
      </w:r>
      <w:r w:rsidR="00BA0A9E" w:rsidRPr="009D3428">
        <w:rPr>
          <w:rStyle w:val="FootnoteReference"/>
          <w:rFonts w:ascii="MetaPro-Medi" w:eastAsia="MetaPro-Norm" w:hAnsi="MetaPro-Medi" w:cs="MetaPro-Norm"/>
          <w:color w:val="000000" w:themeColor="text1"/>
        </w:rPr>
        <w:footnoteReference w:id="5"/>
      </w:r>
    </w:p>
    <w:p w14:paraId="5429667E" w14:textId="1CD9BBA1"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24908DC2" w14:textId="3A0FA14D"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Those interviewed said that when they reported abuse to police or other authorities, the authorities did nothing to investigate cases, </w:t>
      </w:r>
      <w:r w:rsidR="00F87D44" w:rsidRPr="0071620B">
        <w:rPr>
          <w:rFonts w:ascii="MetaPro-Norm" w:eastAsia="MetaPro-Norm" w:hAnsi="MetaPro-Norm" w:cs="MetaPro-Norm"/>
          <w:color w:val="000000" w:themeColor="text1"/>
        </w:rPr>
        <w:t xml:space="preserve">prevent further violence </w:t>
      </w:r>
      <w:r w:rsidRPr="0071620B">
        <w:rPr>
          <w:rFonts w:ascii="MetaPro-Norm" w:eastAsia="MetaPro-Norm" w:hAnsi="MetaPro-Norm" w:cs="MetaPro-Norm"/>
          <w:color w:val="000000" w:themeColor="text1"/>
        </w:rPr>
        <w:t xml:space="preserve">or hold the attackers accountable. In some cases, the authorities encouraged women to drop complaints and reconcile with their abusers. The authorities did not refer the women for services or assistance. </w:t>
      </w:r>
    </w:p>
    <w:p w14:paraId="753EE938" w14:textId="6E940E07"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3F739C37" w14:textId="521B6EE1" w:rsidR="00BA0A9E" w:rsidRPr="0071620B" w:rsidRDefault="50C203DE" w:rsidP="00BA0A9E">
      <w:pPr>
        <w:spacing w:after="0" w:line="264" w:lineRule="auto"/>
      </w:pPr>
      <w:r w:rsidRPr="0071620B">
        <w:rPr>
          <w:rFonts w:ascii="MetaPro-Norm" w:eastAsia="MetaPro-Norm" w:hAnsi="MetaPro-Norm" w:cs="MetaPro-Norm"/>
          <w:color w:val="000000" w:themeColor="text1"/>
        </w:rPr>
        <w:t>The 2017 family violence law requires police to intervene</w:t>
      </w:r>
      <w:r w:rsidR="00F87D44" w:rsidRPr="0071620B">
        <w:rPr>
          <w:rFonts w:ascii="MetaPro-Norm" w:eastAsia="MetaPro-Norm" w:hAnsi="MetaPro-Norm" w:cs="MetaPro-Norm"/>
          <w:color w:val="000000" w:themeColor="text1"/>
        </w:rPr>
        <w:t xml:space="preserve"> urgently</w:t>
      </w:r>
      <w:r w:rsidRPr="0071620B">
        <w:rPr>
          <w:rFonts w:ascii="MetaPro-Norm" w:eastAsia="MetaPro-Norm" w:hAnsi="MetaPro-Norm" w:cs="MetaPro-Norm"/>
          <w:color w:val="000000" w:themeColor="text1"/>
        </w:rPr>
        <w:t xml:space="preserve"> “when there is a reasonable assumption of an immediate threat of repetition or the continuation of violence” in the family. But in practice, law enforcement bodies lack awareness and training on protection mechanisms envisaged by the law, such as protection orders, and do not adequately use them. </w:t>
      </w:r>
    </w:p>
    <w:p w14:paraId="0EB210D6" w14:textId="7FCC3C53"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3BC1F1FC" w14:textId="1E4B7F59"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According to official data, during </w:t>
      </w:r>
      <w:r w:rsidR="1C059FEE" w:rsidRPr="0071620B">
        <w:rPr>
          <w:rFonts w:ascii="MetaPro-Norm" w:eastAsia="MetaPro-Norm" w:hAnsi="MetaPro-Norm" w:cs="MetaPro-Norm"/>
          <w:color w:val="000000" w:themeColor="text1"/>
        </w:rPr>
        <w:t xml:space="preserve">the first six months of </w:t>
      </w:r>
      <w:r w:rsidRPr="0071620B">
        <w:rPr>
          <w:rFonts w:ascii="MetaPro-Norm" w:eastAsia="MetaPro-Norm" w:hAnsi="MetaPro-Norm" w:cs="MetaPro-Norm"/>
          <w:color w:val="000000" w:themeColor="text1"/>
        </w:rPr>
        <w:t>202</w:t>
      </w:r>
      <w:r w:rsidR="38F4BF38" w:rsidRPr="0071620B">
        <w:rPr>
          <w:rFonts w:ascii="MetaPro-Norm" w:eastAsia="MetaPro-Norm" w:hAnsi="MetaPro-Norm" w:cs="MetaPro-Norm"/>
          <w:color w:val="000000" w:themeColor="text1"/>
        </w:rPr>
        <w:t>2</w:t>
      </w:r>
      <w:r w:rsidRPr="0071620B">
        <w:rPr>
          <w:rFonts w:ascii="MetaPro-Norm" w:eastAsia="MetaPro-Norm" w:hAnsi="MetaPro-Norm" w:cs="MetaPro-Norm"/>
          <w:color w:val="000000" w:themeColor="text1"/>
        </w:rPr>
        <w:t xml:space="preserve">, authorities investigated </w:t>
      </w:r>
      <w:r w:rsidR="556173DF" w:rsidRPr="0071620B">
        <w:rPr>
          <w:rFonts w:ascii="MetaPro-Norm" w:eastAsia="MetaPro-Norm" w:hAnsi="MetaPro-Norm" w:cs="MetaPro-Norm"/>
          <w:color w:val="000000" w:themeColor="text1"/>
        </w:rPr>
        <w:t xml:space="preserve">391 </w:t>
      </w:r>
      <w:r w:rsidRPr="0071620B">
        <w:rPr>
          <w:rFonts w:ascii="MetaPro-Norm" w:eastAsia="MetaPro-Norm" w:hAnsi="MetaPro-Norm" w:cs="MetaPro-Norm"/>
          <w:color w:val="000000" w:themeColor="text1"/>
        </w:rPr>
        <w:t>criminal domestic violence complaints</w:t>
      </w:r>
      <w:r w:rsidR="556173DF" w:rsidRPr="0071620B">
        <w:rPr>
          <w:rFonts w:ascii="MetaPro-Norm" w:eastAsia="MetaPro-Norm" w:hAnsi="MetaPro-Norm" w:cs="MetaPro-Norm"/>
          <w:color w:val="000000" w:themeColor="text1"/>
        </w:rPr>
        <w:t xml:space="preserve">. </w:t>
      </w:r>
      <w:r w:rsidR="7D3A7C36" w:rsidRPr="0071620B">
        <w:rPr>
          <w:rFonts w:ascii="MetaPro-Norm" w:eastAsia="MetaPro-Norm" w:hAnsi="MetaPro-Norm" w:cs="MetaPro-Norm"/>
          <w:color w:val="000000" w:themeColor="text1"/>
        </w:rPr>
        <w:t>C</w:t>
      </w:r>
      <w:r w:rsidR="556173DF" w:rsidRPr="0071620B">
        <w:rPr>
          <w:rFonts w:ascii="MetaPro-Norm" w:eastAsia="MetaPro-Norm" w:hAnsi="MetaPro-Norm" w:cs="MetaPro-Norm"/>
          <w:color w:val="000000" w:themeColor="text1"/>
        </w:rPr>
        <w:t>harges</w:t>
      </w:r>
      <w:r w:rsidRPr="0071620B">
        <w:rPr>
          <w:rFonts w:ascii="MetaPro-Norm" w:eastAsia="MetaPro-Norm" w:hAnsi="MetaPro-Norm" w:cs="MetaPro-Norm"/>
          <w:color w:val="000000" w:themeColor="text1"/>
        </w:rPr>
        <w:t xml:space="preserve"> were brought </w:t>
      </w:r>
      <w:r w:rsidR="556173DF" w:rsidRPr="0071620B">
        <w:rPr>
          <w:rFonts w:ascii="MetaPro-Norm" w:eastAsia="MetaPro-Norm" w:hAnsi="MetaPro-Norm" w:cs="MetaPro-Norm"/>
          <w:color w:val="000000" w:themeColor="text1"/>
        </w:rPr>
        <w:t xml:space="preserve">against 128 persons, </w:t>
      </w:r>
      <w:r w:rsidRPr="0071620B">
        <w:rPr>
          <w:rFonts w:ascii="MetaPro-Norm" w:eastAsia="MetaPro-Norm" w:hAnsi="MetaPro-Norm" w:cs="MetaPro-Norm"/>
          <w:color w:val="000000" w:themeColor="text1"/>
        </w:rPr>
        <w:t xml:space="preserve">and in </w:t>
      </w:r>
      <w:r w:rsidR="556173DF" w:rsidRPr="0071620B">
        <w:rPr>
          <w:rFonts w:ascii="MetaPro-Norm" w:eastAsia="MetaPro-Norm" w:hAnsi="MetaPro-Norm" w:cs="MetaPro-Norm"/>
          <w:color w:val="000000" w:themeColor="text1"/>
        </w:rPr>
        <w:t xml:space="preserve">85 </w:t>
      </w:r>
      <w:r w:rsidRPr="0071620B">
        <w:rPr>
          <w:rFonts w:ascii="MetaPro-Norm" w:eastAsia="MetaPro-Norm" w:hAnsi="MetaPro-Norm" w:cs="MetaPro-Norm"/>
          <w:color w:val="000000" w:themeColor="text1"/>
        </w:rPr>
        <w:t xml:space="preserve">of those the husband was identified as the alleged perpetrator. </w:t>
      </w:r>
      <w:r w:rsidR="002D1D42" w:rsidRPr="0071620B">
        <w:rPr>
          <w:rFonts w:ascii="MetaPro-Norm" w:eastAsia="MetaPro-Norm" w:hAnsi="MetaPro-Norm" w:cs="MetaPro-Norm"/>
          <w:color w:val="000000" w:themeColor="text1"/>
        </w:rPr>
        <w:t>Twenty-one</w:t>
      </w:r>
      <w:r w:rsidR="00F87D44" w:rsidRPr="0071620B">
        <w:rPr>
          <w:rFonts w:ascii="MetaPro-Norm" w:eastAsia="MetaPro-Norm" w:hAnsi="MetaPro-Norm" w:cs="MetaPro-Norm"/>
          <w:color w:val="000000" w:themeColor="text1"/>
        </w:rPr>
        <w:t xml:space="preserve"> </w:t>
      </w:r>
      <w:r w:rsidR="556173DF" w:rsidRPr="0071620B">
        <w:rPr>
          <w:rFonts w:ascii="MetaPro-Norm" w:eastAsia="MetaPro-Norm" w:hAnsi="MetaPro-Norm" w:cs="MetaPro-Norm"/>
          <w:color w:val="000000" w:themeColor="text1"/>
        </w:rPr>
        <w:t>cases were initiated on failure to fulfill urgent intervention or protective orders on domestic violence</w:t>
      </w:r>
      <w:r w:rsidR="00A139C6" w:rsidRPr="0071620B">
        <w:rPr>
          <w:rFonts w:ascii="MetaPro-Norm" w:eastAsia="MetaPro-Norm" w:hAnsi="MetaPro-Norm" w:cs="MetaPro-Norm"/>
          <w:color w:val="000000" w:themeColor="text1"/>
        </w:rPr>
        <w:t>.</w:t>
      </w:r>
      <w:r w:rsidRPr="009D3428">
        <w:rPr>
          <w:rStyle w:val="FootnoteReference"/>
          <w:rFonts w:ascii="MetaPro-Medi" w:eastAsia="MetaPro-Norm" w:hAnsi="MetaPro-Medi" w:cs="MetaPro-Norm"/>
          <w:color w:val="000000" w:themeColor="text1"/>
        </w:rPr>
        <w:footnoteReference w:id="6"/>
      </w:r>
    </w:p>
    <w:p w14:paraId="3E35D815" w14:textId="6E9EF175" w:rsidR="00BA0A9E" w:rsidRPr="0071620B" w:rsidRDefault="00BA0A9E" w:rsidP="00BA0A9E">
      <w:pPr>
        <w:spacing w:after="0" w:line="264" w:lineRule="auto"/>
        <w:rPr>
          <w:rFonts w:ascii="MetaPro-Norm" w:eastAsia="MetaPro-Norm" w:hAnsi="MetaPro-Norm" w:cs="MetaPro-Norm"/>
          <w:color w:val="000000" w:themeColor="text1"/>
        </w:rPr>
      </w:pPr>
    </w:p>
    <w:p w14:paraId="6B25F8AF" w14:textId="589091CF" w:rsidR="00BA0A9E" w:rsidRPr="0071620B" w:rsidRDefault="50C203DE" w:rsidP="00BA0A9E">
      <w:pPr>
        <w:spacing w:after="0" w:line="264" w:lineRule="auto"/>
      </w:pPr>
      <w:r w:rsidRPr="0071620B">
        <w:rPr>
          <w:rFonts w:ascii="MetaPro-Norm" w:eastAsia="MetaPro-Norm" w:hAnsi="MetaPro-Norm" w:cs="MetaPro-Norm"/>
          <w:i/>
          <w:iCs/>
          <w:color w:val="000000" w:themeColor="text1"/>
        </w:rPr>
        <w:t xml:space="preserve">Lack of Legal Remedies </w:t>
      </w:r>
    </w:p>
    <w:p w14:paraId="01CBAB4C" w14:textId="1E02E4A1"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Armenian law does not effectively protect survivors of domestic violence. The law defines domestic violence as “a physical, sexual, psychological, or economic act of violence” between </w:t>
      </w:r>
      <w:r w:rsidRPr="0071620B">
        <w:rPr>
          <w:rFonts w:ascii="MetaPro-Norm" w:eastAsia="MetaPro-Norm" w:hAnsi="MetaPro-Norm" w:cs="MetaPro-Norm"/>
          <w:color w:val="000000" w:themeColor="text1"/>
        </w:rPr>
        <w:lastRenderedPageBreak/>
        <w:t>family members, including spouses in unregistered marriages. It is not clear if the law applies to couples who are not in either registered or unregistered marriages.</w:t>
      </w:r>
    </w:p>
    <w:p w14:paraId="6871EFEE" w14:textId="7504B24C"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2F7CC760" w14:textId="573D03FF" w:rsidR="00BA0A9E" w:rsidRPr="0071620B" w:rsidRDefault="50C203DE" w:rsidP="00BA0A9E">
      <w:pPr>
        <w:spacing w:after="0" w:line="264" w:lineRule="auto"/>
      </w:pPr>
      <w:r w:rsidRPr="0071620B">
        <w:rPr>
          <w:rFonts w:ascii="MetaPro-Norm" w:eastAsia="MetaPro-Norm" w:hAnsi="MetaPro-Norm" w:cs="MetaPro-Norm"/>
          <w:color w:val="000000" w:themeColor="text1"/>
        </w:rPr>
        <w:t>Just before submitting the law</w:t>
      </w:r>
      <w:r w:rsidRPr="0071620B">
        <w:rPr>
          <w:rFonts w:ascii="Calibri" w:eastAsia="Calibri" w:hAnsi="Calibri" w:cs="Calibri"/>
          <w:color w:val="000000" w:themeColor="text1"/>
        </w:rPr>
        <w:t xml:space="preserve"> on violence in the family</w:t>
      </w:r>
      <w:r w:rsidRPr="0071620B">
        <w:rPr>
          <w:rFonts w:ascii="MetaPro-Norm" w:eastAsia="MetaPro-Norm" w:hAnsi="MetaPro-Norm" w:cs="MetaPro-Norm"/>
          <w:color w:val="000000" w:themeColor="text1"/>
        </w:rPr>
        <w:t xml:space="preserve"> to parliament in mid-November 2017, the government revised the law to include “strengthening of traditional values in the family” as a key principle. Authorities also changed the title to add the concept of “restoring harmony in the family.”</w:t>
      </w:r>
    </w:p>
    <w:p w14:paraId="7DA0FC9B" w14:textId="3D0EC199"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1BB594A5" w14:textId="34285310" w:rsidR="00BA0A9E" w:rsidRPr="0071620B" w:rsidRDefault="50C203DE" w:rsidP="00BA0A9E">
      <w:pPr>
        <w:spacing w:after="0" w:line="264" w:lineRule="auto"/>
        <w:rPr>
          <w:rFonts w:ascii="MetaPro-Norm" w:eastAsia="MetaPro-Norm" w:hAnsi="MetaPro-Norm" w:cs="MetaPro-Norm"/>
          <w:vertAlign w:val="superscript"/>
        </w:rPr>
      </w:pPr>
      <w:r w:rsidRPr="0071620B">
        <w:rPr>
          <w:rFonts w:ascii="MetaPro-Norm" w:eastAsia="MetaPro-Norm" w:hAnsi="MetaPro-Norm" w:cs="MetaPro-Norm"/>
          <w:color w:val="000000" w:themeColor="text1"/>
        </w:rPr>
        <w:t xml:space="preserve">The Coalition to Stop Violence against Women, a union of local women’s rights groups, expressed concerns that the new law’s principle of “traditional values” could be used to reinforce obsolete and problematic gender roles and stereotypes. Activists also fear an emphasis on “restoring harmony” could be used to pressure women to remain in abusive relationships. In addition, domestic violence is neither a stand-alone felony nor an aggravating criminal circumstance in the </w:t>
      </w:r>
      <w:r w:rsidR="00887C1D">
        <w:rPr>
          <w:rFonts w:ascii="MetaPro-Norm" w:eastAsia="MetaPro-Norm" w:hAnsi="MetaPro-Norm" w:cs="MetaPro-Norm"/>
          <w:color w:val="000000" w:themeColor="text1"/>
        </w:rPr>
        <w:t>c</w:t>
      </w:r>
      <w:r w:rsidRPr="0071620B">
        <w:rPr>
          <w:rFonts w:ascii="MetaPro-Norm" w:eastAsia="MetaPro-Norm" w:hAnsi="MetaPro-Norm" w:cs="MetaPro-Norm"/>
          <w:color w:val="000000" w:themeColor="text1"/>
        </w:rPr>
        <w:t>riminal code.</w:t>
      </w:r>
      <w:r w:rsidR="00BA0A9E" w:rsidRPr="009D3428">
        <w:rPr>
          <w:rStyle w:val="FootnoteReference"/>
          <w:rFonts w:ascii="MetaPro-Medi" w:eastAsia="MetaPro-Norm" w:hAnsi="MetaPro-Medi" w:cs="MetaPro-Norm"/>
          <w:color w:val="000000" w:themeColor="text1"/>
        </w:rPr>
        <w:footnoteReference w:id="7"/>
      </w:r>
    </w:p>
    <w:p w14:paraId="5638A9DF" w14:textId="6BDE3AE1"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79AA0526" w14:textId="1E9CC286" w:rsidR="00BA0A9E" w:rsidRPr="0071620B" w:rsidRDefault="50C203DE" w:rsidP="00BA0A9E">
      <w:pPr>
        <w:spacing w:after="0" w:line="264" w:lineRule="auto"/>
      </w:pPr>
      <w:r w:rsidRPr="0071620B">
        <w:rPr>
          <w:rFonts w:ascii="MetaPro-Norm" w:eastAsia="MetaPro-Norm" w:hAnsi="MetaPro-Norm" w:cs="MetaPro-Norm"/>
          <w:color w:val="000000" w:themeColor="text1"/>
        </w:rPr>
        <w:t>The government signed the Council of Europe Convention on Preventing and Combating Violence against Women and Domestic Violence (Istanbul Convention) in 2018, but the ratification process has stalled amidst a campaign by some government officials that promoted blatant falsehoods about the convention.</w:t>
      </w:r>
      <w:r w:rsidR="00BA0A9E" w:rsidRPr="009D3428">
        <w:rPr>
          <w:rStyle w:val="FootnoteReference"/>
          <w:rFonts w:ascii="MetaPro-Medi" w:eastAsia="MetaPro-Norm" w:hAnsi="MetaPro-Medi" w:cs="MetaPro-Norm"/>
          <w:color w:val="000000" w:themeColor="text1"/>
        </w:rPr>
        <w:footnoteReference w:id="8"/>
      </w:r>
      <w:r w:rsidRPr="0071620B">
        <w:rPr>
          <w:rFonts w:ascii="MetaPro-Norm" w:eastAsia="MetaPro-Norm" w:hAnsi="MetaPro-Norm" w:cs="MetaPro-Norm"/>
          <w:color w:val="000000" w:themeColor="text1"/>
        </w:rPr>
        <w:t xml:space="preserve"> </w:t>
      </w:r>
    </w:p>
    <w:p w14:paraId="512586F8" w14:textId="3F537DFE" w:rsidR="2FA44403" w:rsidRPr="0071620B" w:rsidRDefault="2FA44403" w:rsidP="2FA44403">
      <w:pPr>
        <w:spacing w:after="0" w:line="264" w:lineRule="auto"/>
        <w:rPr>
          <w:rFonts w:ascii="MetaPro-Norm" w:eastAsia="MetaPro-Norm" w:hAnsi="MetaPro-Norm" w:cs="MetaPro-Norm"/>
          <w:color w:val="000000" w:themeColor="text1"/>
        </w:rPr>
      </w:pPr>
    </w:p>
    <w:p w14:paraId="6EC46C62" w14:textId="06638FCF" w:rsidR="00BA0A9E" w:rsidRPr="0071620B" w:rsidRDefault="50C203DE" w:rsidP="00BA0A9E">
      <w:pPr>
        <w:spacing w:after="0" w:line="264" w:lineRule="auto"/>
      </w:pPr>
      <w:r w:rsidRPr="0071620B">
        <w:rPr>
          <w:rFonts w:ascii="MetaPro-Norm" w:eastAsia="MetaPro-Norm" w:hAnsi="MetaPro-Norm" w:cs="MetaPro-Norm"/>
          <w:i/>
          <w:iCs/>
          <w:color w:val="000000" w:themeColor="text1"/>
        </w:rPr>
        <w:t>Inadequate shelter, rehabilitation</w:t>
      </w:r>
      <w:r w:rsidR="00887C1D">
        <w:rPr>
          <w:rFonts w:ascii="MetaPro-Norm" w:eastAsia="MetaPro-Norm" w:hAnsi="MetaPro-Norm" w:cs="MetaPro-Norm"/>
          <w:i/>
          <w:iCs/>
          <w:color w:val="000000" w:themeColor="text1"/>
        </w:rPr>
        <w:t xml:space="preserve">, </w:t>
      </w:r>
      <w:r w:rsidRPr="0071620B">
        <w:rPr>
          <w:rFonts w:ascii="MetaPro-Norm" w:eastAsia="MetaPro-Norm" w:hAnsi="MetaPro-Norm" w:cs="MetaPro-Norm"/>
          <w:i/>
          <w:iCs/>
          <w:color w:val="000000" w:themeColor="text1"/>
        </w:rPr>
        <w:t>and support services</w:t>
      </w:r>
    </w:p>
    <w:p w14:paraId="5BF2F93C" w14:textId="3DE5BD34" w:rsidR="199A8619" w:rsidRPr="0071620B" w:rsidRDefault="50C203DE" w:rsidP="199A8619">
      <w:pPr>
        <w:spacing w:after="0" w:line="264" w:lineRule="auto"/>
        <w:rPr>
          <w:rFonts w:ascii="MetaPro-Norm" w:eastAsia="MetaPro-Norm" w:hAnsi="MetaPro-Norm" w:cs="MetaPro-Norm"/>
          <w:color w:val="000000" w:themeColor="text1"/>
        </w:rPr>
      </w:pPr>
      <w:r w:rsidRPr="0071620B">
        <w:rPr>
          <w:rFonts w:ascii="MetaPro-Norm" w:eastAsia="MetaPro-Norm" w:hAnsi="MetaPro-Norm" w:cs="MetaPro-Norm"/>
          <w:color w:val="000000" w:themeColor="text1"/>
        </w:rPr>
        <w:t xml:space="preserve">Many women said they lived with their abusers for years because they had no means of escape. The country has only two domestic violence shelters, both in the capital, Yerevan, run by nongovernmental organizations, each with a capacity for five women and their children. </w:t>
      </w:r>
      <w:r w:rsidR="00BC2FF7" w:rsidRPr="0071620B">
        <w:rPr>
          <w:rFonts w:ascii="MetaPro-Norm" w:eastAsia="MetaPro-Norm" w:hAnsi="MetaPro-Norm" w:cs="MetaPro-Norm"/>
          <w:color w:val="000000" w:themeColor="text1"/>
        </w:rPr>
        <w:t xml:space="preserve">Shelters, and many services, are generally not accessible to women with disabilities. </w:t>
      </w:r>
      <w:r w:rsidRPr="0071620B">
        <w:rPr>
          <w:rFonts w:ascii="MetaPro-Norm" w:eastAsia="MetaPro-Norm" w:hAnsi="MetaPro-Norm" w:cs="MetaPro-Norm"/>
          <w:color w:val="000000" w:themeColor="text1"/>
        </w:rPr>
        <w:t>Council of Europe standards call for at least one specialized shelter in every region, and one shelter space per 10,000 people. With a population of approximately 2.9 million, Armenia should have approximately 290 shelter spaces. The new law mandates creating government-run shelters, but does not specify the number of shelters or their capacity. Armenia also lacks a general hot-line service for survivors of domestic violence.</w:t>
      </w:r>
      <w:r w:rsidR="00BA0A9E" w:rsidRPr="009D3428">
        <w:rPr>
          <w:rStyle w:val="FootnoteReference"/>
          <w:rFonts w:ascii="MetaPro-Medi" w:eastAsia="MetaPro-Norm" w:hAnsi="MetaPro-Medi" w:cs="MetaPro-Norm"/>
          <w:color w:val="000000" w:themeColor="text1"/>
        </w:rPr>
        <w:footnoteReference w:id="9"/>
      </w:r>
    </w:p>
    <w:p w14:paraId="7E9483AA" w14:textId="607DAF2A" w:rsidR="00BA0A9E" w:rsidRPr="0071620B" w:rsidRDefault="50C203DE" w:rsidP="00BA0A9E">
      <w:pPr>
        <w:spacing w:after="0" w:line="264" w:lineRule="auto"/>
      </w:pPr>
      <w:r w:rsidRPr="0071620B">
        <w:rPr>
          <w:rFonts w:ascii="MetaPro-Norm" w:eastAsia="MetaPro-Norm" w:hAnsi="MetaPro-Norm" w:cs="MetaPro-Norm"/>
          <w:color w:val="000000" w:themeColor="text1"/>
        </w:rPr>
        <w:t xml:space="preserve"> </w:t>
      </w:r>
    </w:p>
    <w:p w14:paraId="2D9BB591" w14:textId="7F6E4111" w:rsidR="00BA0A9E" w:rsidRPr="0071620B" w:rsidRDefault="00716FFB" w:rsidP="00BA0A9E">
      <w:pPr>
        <w:spacing w:after="0" w:line="264" w:lineRule="auto"/>
        <w:rPr>
          <w:rFonts w:ascii="MetaPro-Norm" w:hAnsi="MetaPro-Norm"/>
          <w:i/>
          <w:iCs/>
        </w:rPr>
      </w:pPr>
      <w:r w:rsidRPr="0071620B">
        <w:rPr>
          <w:rFonts w:ascii="MetaPro-Norm" w:hAnsi="MetaPro-Norm"/>
          <w:i/>
          <w:iCs/>
        </w:rPr>
        <w:lastRenderedPageBreak/>
        <w:t xml:space="preserve">Human Rights Watch recommends that the </w:t>
      </w:r>
      <w:r w:rsidR="00D53364" w:rsidRPr="0071620B">
        <w:rPr>
          <w:rFonts w:ascii="MetaPro-Norm" w:hAnsi="MetaPro-Norm"/>
          <w:i/>
          <w:iCs/>
        </w:rPr>
        <w:t>C</w:t>
      </w:r>
      <w:r w:rsidRPr="0071620B">
        <w:rPr>
          <w:rFonts w:ascii="MetaPro-Norm" w:hAnsi="MetaPro-Norm"/>
          <w:i/>
          <w:iCs/>
        </w:rPr>
        <w:t>ommittee call on the government of Armenia to:</w:t>
      </w:r>
    </w:p>
    <w:p w14:paraId="4973221F" w14:textId="68630005" w:rsidR="00BA0A9E" w:rsidRPr="0071620B" w:rsidRDefault="00D81765"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E</w:t>
      </w:r>
      <w:r w:rsidR="50C203DE" w:rsidRPr="0071620B">
        <w:rPr>
          <w:rFonts w:ascii="MetaPro-Norm" w:eastAsia="MetaPro-Norm" w:hAnsi="MetaPro-Norm" w:cs="MetaPro-Norm"/>
        </w:rPr>
        <w:t>nsure the prompt, thorough, and impartial investigation of all domestic violence cases, using methods that mitigate risks for survivors, and prosecute and punish the attackers</w:t>
      </w:r>
      <w:r w:rsidR="00C960A8" w:rsidRPr="0071620B">
        <w:rPr>
          <w:rFonts w:ascii="MetaPro-Norm" w:eastAsia="MetaPro-Norm" w:hAnsi="MetaPro-Norm" w:cs="MetaPro-Norm"/>
        </w:rPr>
        <w:t>.</w:t>
      </w:r>
    </w:p>
    <w:p w14:paraId="4C94904C" w14:textId="6435D051" w:rsidR="00BA0A9E" w:rsidRPr="0071620B" w:rsidRDefault="00C079AA"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T</w:t>
      </w:r>
      <w:r w:rsidR="50C203DE" w:rsidRPr="0071620B">
        <w:rPr>
          <w:rFonts w:ascii="MetaPro-Norm" w:eastAsia="MetaPro-Norm" w:hAnsi="MetaPro-Norm" w:cs="MetaPro-Norm"/>
        </w:rPr>
        <w:t xml:space="preserve">rain all law enforcement agents and the judiciary about the 2017 family violence law, and </w:t>
      </w:r>
      <w:r w:rsidR="0061644F" w:rsidRPr="0071620B">
        <w:rPr>
          <w:rFonts w:ascii="MetaPro-Norm" w:eastAsia="MetaPro-Norm" w:hAnsi="MetaPro-Norm" w:cs="MetaPro-Norm"/>
        </w:rPr>
        <w:t xml:space="preserve">take </w:t>
      </w:r>
      <w:r w:rsidR="50C203DE" w:rsidRPr="0071620B">
        <w:rPr>
          <w:rFonts w:ascii="MetaPro-Norm" w:eastAsia="MetaPro-Norm" w:hAnsi="MetaPro-Norm" w:cs="MetaPro-Norm"/>
        </w:rPr>
        <w:t>measures to monitor its enforcement and impact</w:t>
      </w:r>
      <w:r w:rsidR="0061644F" w:rsidRPr="0071620B">
        <w:rPr>
          <w:rFonts w:ascii="MetaPro-Norm" w:eastAsia="MetaPro-Norm" w:hAnsi="MetaPro-Norm" w:cs="MetaPro-Norm"/>
        </w:rPr>
        <w:t>.</w:t>
      </w:r>
    </w:p>
    <w:p w14:paraId="403D5160" w14:textId="224C3ADC" w:rsidR="00BA0A9E" w:rsidRPr="0071620B" w:rsidRDefault="00CE0AA3"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E</w:t>
      </w:r>
      <w:r w:rsidR="50C203DE" w:rsidRPr="0071620B">
        <w:rPr>
          <w:rFonts w:ascii="MetaPro-Norm" w:eastAsia="MetaPro-Norm" w:hAnsi="MetaPro-Norm" w:cs="MetaPro-Norm"/>
        </w:rPr>
        <w:t>nsure immediate access to protection for survivors of domestic abuse through increasing the availability of shelter spaces, including in rural areas,</w:t>
      </w:r>
      <w:r w:rsidR="00CC0D94" w:rsidRPr="0071620B">
        <w:rPr>
          <w:rFonts w:ascii="MetaPro-Norm" w:eastAsia="MetaPro-Norm" w:hAnsi="MetaPro-Norm" w:cs="MetaPro-Norm"/>
        </w:rPr>
        <w:t xml:space="preserve"> </w:t>
      </w:r>
      <w:r w:rsidR="50C203DE" w:rsidRPr="0071620B">
        <w:rPr>
          <w:rFonts w:ascii="MetaPro-Norm" w:eastAsia="MetaPro-Norm" w:hAnsi="MetaPro-Norm" w:cs="MetaPro-Norm"/>
        </w:rPr>
        <w:t>the issuing of short- and long-term protection orders</w:t>
      </w:r>
      <w:r w:rsidR="003763C2" w:rsidRPr="0071620B">
        <w:rPr>
          <w:rFonts w:ascii="MetaPro-Norm" w:eastAsia="MetaPro-Norm" w:hAnsi="MetaPro-Norm" w:cs="MetaPro-Norm"/>
        </w:rPr>
        <w:t>, and making shelters and services accessible to women with disabilities.</w:t>
      </w:r>
    </w:p>
    <w:p w14:paraId="4CB137E6" w14:textId="3490A336" w:rsidR="00BA0A9E" w:rsidRPr="0071620B" w:rsidRDefault="001C2044"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Make available</w:t>
      </w:r>
      <w:r w:rsidR="50C203DE" w:rsidRPr="0071620B">
        <w:rPr>
          <w:rFonts w:ascii="MetaPro-Norm" w:eastAsia="MetaPro-Norm" w:hAnsi="MetaPro-Norm" w:cs="MetaPro-Norm"/>
        </w:rPr>
        <w:t xml:space="preserve"> comprehensive and quality medical, psychological, legal</w:t>
      </w:r>
      <w:r w:rsidR="00887C1D">
        <w:rPr>
          <w:rFonts w:ascii="MetaPro-Norm" w:eastAsia="MetaPro-Norm" w:hAnsi="MetaPro-Norm" w:cs="MetaPro-Norm"/>
        </w:rPr>
        <w:t>,</w:t>
      </w:r>
      <w:r w:rsidR="50C203DE" w:rsidRPr="0071620B">
        <w:rPr>
          <w:rFonts w:ascii="MetaPro-Norm" w:eastAsia="MetaPro-Norm" w:hAnsi="MetaPro-Norm" w:cs="MetaPro-Norm"/>
        </w:rPr>
        <w:t xml:space="preserve"> and other services for </w:t>
      </w:r>
      <w:r w:rsidR="00C56856" w:rsidRPr="0071620B">
        <w:rPr>
          <w:rFonts w:ascii="MetaPro-Norm" w:eastAsia="MetaPro-Norm" w:hAnsi="MetaPro-Norm" w:cs="MetaPro-Norm"/>
        </w:rPr>
        <w:t xml:space="preserve">domestic violence </w:t>
      </w:r>
      <w:r w:rsidR="50C203DE" w:rsidRPr="0071620B">
        <w:rPr>
          <w:rFonts w:ascii="MetaPro-Norm" w:eastAsia="MetaPro-Norm" w:hAnsi="MetaPro-Norm" w:cs="MetaPro-Norm"/>
        </w:rPr>
        <w:t>survivors and their children</w:t>
      </w:r>
      <w:r w:rsidR="009F653B" w:rsidRPr="0071620B">
        <w:rPr>
          <w:rFonts w:ascii="MetaPro-Norm" w:eastAsia="MetaPro-Norm" w:hAnsi="MetaPro-Norm" w:cs="MetaPro-Norm"/>
        </w:rPr>
        <w:t>.</w:t>
      </w:r>
    </w:p>
    <w:p w14:paraId="00D0C3A7" w14:textId="6B2A9CCB" w:rsidR="00BA0A9E" w:rsidRPr="0071620B" w:rsidRDefault="00CE2279"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 xml:space="preserve">Take </w:t>
      </w:r>
      <w:r w:rsidR="50C203DE" w:rsidRPr="0071620B">
        <w:rPr>
          <w:rFonts w:ascii="MetaPro-Norm" w:eastAsia="MetaPro-Norm" w:hAnsi="MetaPro-Norm" w:cs="MetaPro-Norm"/>
        </w:rPr>
        <w:t>steps to educate the public about the law, how to file complaints, and the availability of services</w:t>
      </w:r>
      <w:r w:rsidR="009F653B" w:rsidRPr="0071620B">
        <w:rPr>
          <w:rFonts w:ascii="MetaPro-Norm" w:eastAsia="MetaPro-Norm" w:hAnsi="MetaPro-Norm" w:cs="MetaPro-Norm"/>
        </w:rPr>
        <w:t>.</w:t>
      </w:r>
    </w:p>
    <w:p w14:paraId="600D06C6" w14:textId="410DC5F5" w:rsidR="00BA0A9E" w:rsidRPr="0071620B" w:rsidRDefault="00B62266" w:rsidP="00D53364">
      <w:pPr>
        <w:pStyle w:val="ListParagraph"/>
        <w:numPr>
          <w:ilvl w:val="0"/>
          <w:numId w:val="1"/>
        </w:numPr>
        <w:spacing w:after="0" w:line="264" w:lineRule="auto"/>
        <w:rPr>
          <w:rFonts w:ascii="MetaPro-Norm" w:eastAsia="MetaPro-Norm" w:hAnsi="MetaPro-Norm" w:cs="MetaPro-Norm"/>
        </w:rPr>
      </w:pPr>
      <w:r w:rsidRPr="0071620B">
        <w:rPr>
          <w:rFonts w:ascii="MetaPro-Norm" w:eastAsia="MetaPro-Norm" w:hAnsi="MetaPro-Norm" w:cs="MetaPro-Norm"/>
        </w:rPr>
        <w:t>Amend the law or criminal code to m</w:t>
      </w:r>
      <w:r w:rsidR="001F62DB" w:rsidRPr="0071620B">
        <w:rPr>
          <w:rFonts w:ascii="MetaPro-Norm" w:eastAsia="MetaPro-Norm" w:hAnsi="MetaPro-Norm" w:cs="MetaPro-Norm"/>
        </w:rPr>
        <w:t xml:space="preserve">ake </w:t>
      </w:r>
      <w:r w:rsidR="50C203DE" w:rsidRPr="0071620B">
        <w:rPr>
          <w:rFonts w:ascii="MetaPro-Norm" w:eastAsia="MetaPro-Norm" w:hAnsi="MetaPro-Norm" w:cs="MetaPro-Norm"/>
        </w:rPr>
        <w:t>domestic violence a standalone criminal offense</w:t>
      </w:r>
      <w:r w:rsidR="00A14330" w:rsidRPr="0071620B">
        <w:rPr>
          <w:rFonts w:ascii="MetaPro-Norm" w:eastAsia="MetaPro-Norm" w:hAnsi="MetaPro-Norm" w:cs="MetaPro-Norm"/>
        </w:rPr>
        <w:t xml:space="preserve">. Such a step </w:t>
      </w:r>
      <w:r w:rsidR="50C203DE" w:rsidRPr="0071620B">
        <w:rPr>
          <w:rFonts w:ascii="MetaPro-Norm" w:eastAsia="MetaPro-Norm" w:hAnsi="MetaPro-Norm" w:cs="MetaPro-Norm"/>
        </w:rPr>
        <w:t>would help to ensure an optimal response, particularly in cases of abusive patterns of behavior in which individual acts of violence do not reach the criminal threshold</w:t>
      </w:r>
      <w:r w:rsidR="007C2590" w:rsidRPr="0071620B">
        <w:rPr>
          <w:rFonts w:ascii="MetaPro-Norm" w:eastAsia="MetaPro-Norm" w:hAnsi="MetaPro-Norm" w:cs="MetaPro-Norm"/>
        </w:rPr>
        <w:t>.</w:t>
      </w:r>
      <w:r w:rsidR="50C203DE" w:rsidRPr="0071620B">
        <w:rPr>
          <w:rFonts w:ascii="MetaPro-Norm" w:eastAsia="MetaPro-Norm" w:hAnsi="MetaPro-Norm" w:cs="MetaPro-Norm"/>
        </w:rPr>
        <w:t xml:space="preserve"> </w:t>
      </w:r>
    </w:p>
    <w:p w14:paraId="47AE73DF" w14:textId="77777777" w:rsidR="00377941" w:rsidRPr="0071620B" w:rsidRDefault="0021270E" w:rsidP="00D53364">
      <w:pPr>
        <w:pStyle w:val="ListParagraph"/>
        <w:numPr>
          <w:ilvl w:val="0"/>
          <w:numId w:val="1"/>
        </w:numPr>
        <w:spacing w:after="0" w:line="264" w:lineRule="auto"/>
        <w:rPr>
          <w:rFonts w:ascii="MetaPro-Norm" w:eastAsia="MetaPro-Norm" w:hAnsi="MetaPro-Norm" w:cs="MetaPro-Norm"/>
          <w:b/>
          <w:bCs/>
        </w:rPr>
      </w:pPr>
      <w:r w:rsidRPr="0071620B">
        <w:rPr>
          <w:rFonts w:ascii="MetaPro-Norm" w:eastAsia="MetaPro-Norm" w:hAnsi="MetaPro-Norm" w:cs="MetaPro-Norm"/>
        </w:rPr>
        <w:t xml:space="preserve">Ratify </w:t>
      </w:r>
      <w:r w:rsidR="50C203DE" w:rsidRPr="0071620B">
        <w:rPr>
          <w:rFonts w:ascii="MetaPro-Norm" w:eastAsia="MetaPro-Norm" w:hAnsi="MetaPro-Norm" w:cs="MetaPro-Norm"/>
        </w:rPr>
        <w:t>the Istanbul Convention</w:t>
      </w:r>
      <w:r w:rsidRPr="0071620B">
        <w:rPr>
          <w:rFonts w:ascii="MetaPro-Norm" w:eastAsia="MetaPro-Norm" w:hAnsi="MetaPro-Norm" w:cs="MetaPro-Norm"/>
        </w:rPr>
        <w:t xml:space="preserve"> without further delay.</w:t>
      </w:r>
    </w:p>
    <w:p w14:paraId="79DB985D" w14:textId="034E1E81" w:rsidR="00BA0A9E" w:rsidRPr="0071620B" w:rsidRDefault="00BA0A9E" w:rsidP="00377941">
      <w:pPr>
        <w:spacing w:after="0" w:line="264" w:lineRule="auto"/>
        <w:rPr>
          <w:rFonts w:ascii="MetaPro-Norm" w:eastAsia="MetaPro-Norm" w:hAnsi="MetaPro-Norm" w:cs="MetaPro-Norm"/>
          <w:b/>
          <w:bCs/>
        </w:rPr>
      </w:pPr>
    </w:p>
    <w:p w14:paraId="2F19035F" w14:textId="12288AB1" w:rsidR="00ED0B20" w:rsidRPr="0071620B" w:rsidRDefault="00ED0B20" w:rsidP="00ED0B20">
      <w:pPr>
        <w:pStyle w:val="NoSpacing"/>
        <w:spacing w:line="22" w:lineRule="atLeast"/>
        <w:rPr>
          <w:rFonts w:ascii="MetaPro-Norm" w:eastAsia="MetaPro-Norm" w:hAnsi="MetaPro-Norm" w:cs="MetaPro-Norm"/>
          <w:b/>
          <w:bCs/>
          <w:sz w:val="22"/>
          <w:szCs w:val="22"/>
        </w:rPr>
      </w:pPr>
      <w:r w:rsidRPr="0071620B">
        <w:rPr>
          <w:rFonts w:ascii="MetaPro-Norm" w:eastAsia="MetaPro-Norm" w:hAnsi="MetaPro-Norm" w:cs="MetaPro-Norm"/>
          <w:b/>
          <w:bCs/>
          <w:sz w:val="22"/>
          <w:szCs w:val="22"/>
        </w:rPr>
        <w:t xml:space="preserve">Access to Education during </w:t>
      </w:r>
      <w:r w:rsidR="00887C1D">
        <w:rPr>
          <w:rFonts w:ascii="MetaPro-Norm" w:eastAsia="MetaPro-Norm" w:hAnsi="MetaPro-Norm" w:cs="MetaPro-Norm"/>
          <w:b/>
          <w:bCs/>
          <w:sz w:val="22"/>
          <w:szCs w:val="22"/>
        </w:rPr>
        <w:t xml:space="preserve">the </w:t>
      </w:r>
      <w:r w:rsidRPr="0071620B">
        <w:rPr>
          <w:rFonts w:ascii="MetaPro-Norm" w:eastAsia="MetaPro-Norm" w:hAnsi="MetaPro-Norm" w:cs="MetaPro-Norm"/>
          <w:b/>
          <w:bCs/>
          <w:sz w:val="22"/>
          <w:szCs w:val="22"/>
        </w:rPr>
        <w:t>Covid-19 Pandemic (article 10)</w:t>
      </w:r>
    </w:p>
    <w:p w14:paraId="6A3DB52E" w14:textId="3CCC5F04" w:rsidR="00ED0B20" w:rsidRPr="0071620B" w:rsidRDefault="00ED0B20" w:rsidP="00ED0B20">
      <w:pPr>
        <w:pStyle w:val="NoSpacing"/>
        <w:spacing w:line="22" w:lineRule="atLeast"/>
        <w:rPr>
          <w:rFonts w:ascii="MetaPro-Norm" w:eastAsia="MetaPro-Norm" w:hAnsi="MetaPro-Norm" w:cs="MetaPro-Norm"/>
          <w:b/>
          <w:bCs/>
          <w:sz w:val="22"/>
          <w:szCs w:val="22"/>
        </w:rPr>
      </w:pPr>
    </w:p>
    <w:p w14:paraId="5D198D44" w14:textId="2E199296" w:rsidR="002F45A8" w:rsidRPr="0071620B" w:rsidRDefault="00C1747E"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In response to the Covid-19 pandemic, </w:t>
      </w:r>
      <w:r w:rsidR="0004029D" w:rsidRPr="0071620B">
        <w:rPr>
          <w:rFonts w:ascii="MetaPro-Norm" w:eastAsia="MetaPro-Norm" w:hAnsi="MetaPro-Norm" w:cs="MetaPro-Norm"/>
          <w:sz w:val="22"/>
          <w:szCs w:val="22"/>
        </w:rPr>
        <w:t>Armenia closed its schools and opted for various forms of distance learning for its students.</w:t>
      </w:r>
      <w:r w:rsidR="0004029D" w:rsidRPr="009D3428">
        <w:rPr>
          <w:rStyle w:val="FootnoteReference"/>
          <w:rFonts w:ascii="MetaPro-Medi" w:eastAsia="MetaPro-Norm" w:hAnsi="MetaPro-Medi" w:cs="MetaPro-Norm"/>
          <w:sz w:val="22"/>
          <w:szCs w:val="22"/>
        </w:rPr>
        <w:footnoteReference w:id="10"/>
      </w:r>
      <w:r w:rsidR="0004029D" w:rsidRPr="0071620B">
        <w:rPr>
          <w:rFonts w:ascii="MetaPro-Norm" w:eastAsia="MetaPro-Norm" w:hAnsi="MetaPro-Norm" w:cs="MetaPro-Norm"/>
          <w:sz w:val="22"/>
          <w:szCs w:val="22"/>
        </w:rPr>
        <w:t xml:space="preserve"> </w:t>
      </w:r>
      <w:r w:rsidR="003A2351" w:rsidRPr="0071620B">
        <w:rPr>
          <w:rFonts w:ascii="MetaPro-Norm" w:eastAsia="MetaPro-Norm" w:hAnsi="MetaPro-Norm" w:cs="MetaPro-Norm"/>
          <w:sz w:val="22"/>
          <w:szCs w:val="22"/>
        </w:rPr>
        <w:t xml:space="preserve">In 2020, </w:t>
      </w:r>
      <w:r w:rsidR="0004029D" w:rsidRPr="0071620B">
        <w:rPr>
          <w:rFonts w:ascii="MetaPro-Norm" w:eastAsia="MetaPro-Norm" w:hAnsi="MetaPro-Norm" w:cs="MetaPro-Norm"/>
          <w:sz w:val="22"/>
          <w:szCs w:val="22"/>
        </w:rPr>
        <w:t xml:space="preserve">Armenia’s schools were fully closed for nine weeks and </w:t>
      </w:r>
      <w:r w:rsidR="2D191898" w:rsidRPr="0071620B">
        <w:rPr>
          <w:rFonts w:ascii="MetaPro-Norm" w:eastAsia="MetaPro-Norm" w:hAnsi="MetaPro-Norm" w:cs="MetaPro-Norm"/>
          <w:sz w:val="22"/>
          <w:szCs w:val="22"/>
        </w:rPr>
        <w:t xml:space="preserve">only </w:t>
      </w:r>
      <w:r w:rsidR="0004029D" w:rsidRPr="0071620B">
        <w:rPr>
          <w:rFonts w:ascii="MetaPro-Norm" w:eastAsia="MetaPro-Norm" w:hAnsi="MetaPro-Norm" w:cs="MetaPro-Norm"/>
          <w:sz w:val="22"/>
          <w:szCs w:val="22"/>
        </w:rPr>
        <w:t>partially open for four weeks</w:t>
      </w:r>
      <w:r w:rsidR="005B7828" w:rsidRPr="0071620B">
        <w:rPr>
          <w:rFonts w:ascii="MetaPro-Norm" w:eastAsia="MetaPro-Norm" w:hAnsi="MetaPro-Norm" w:cs="MetaPro-Norm"/>
          <w:sz w:val="22"/>
          <w:szCs w:val="22"/>
        </w:rPr>
        <w:t>, affecting 600,000 students</w:t>
      </w:r>
      <w:r w:rsidR="0004029D" w:rsidRPr="0071620B">
        <w:rPr>
          <w:rFonts w:ascii="MetaPro-Norm" w:eastAsia="MetaPro-Norm" w:hAnsi="MetaPro-Norm" w:cs="MetaPro-Norm"/>
          <w:sz w:val="22"/>
          <w:szCs w:val="22"/>
        </w:rPr>
        <w:t>.</w:t>
      </w:r>
      <w:r w:rsidR="0004029D" w:rsidRPr="0071620B">
        <w:rPr>
          <w:rStyle w:val="FootnoteReference"/>
          <w:rFonts w:ascii="MetaPro-Medi" w:eastAsia="MetaPro-Norm" w:hAnsi="MetaPro-Medi" w:cs="MetaPro-Norm"/>
          <w:sz w:val="22"/>
          <w:szCs w:val="22"/>
        </w:rPr>
        <w:footnoteReference w:id="11"/>
      </w:r>
    </w:p>
    <w:p w14:paraId="07EE341E" w14:textId="77777777" w:rsidR="002F45A8" w:rsidRPr="0071620B" w:rsidRDefault="002F45A8" w:rsidP="00ED0B20">
      <w:pPr>
        <w:pStyle w:val="NoSpacing"/>
        <w:spacing w:line="22" w:lineRule="atLeast"/>
        <w:rPr>
          <w:rFonts w:ascii="MetaPro-Norm" w:eastAsia="MetaPro-Norm" w:hAnsi="MetaPro-Norm" w:cs="MetaPro-Norm"/>
          <w:sz w:val="22"/>
          <w:szCs w:val="22"/>
        </w:rPr>
      </w:pPr>
    </w:p>
    <w:p w14:paraId="443D2BAB" w14:textId="40F3B103" w:rsidR="00C1747E" w:rsidRPr="0071620B" w:rsidRDefault="002F45A8"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According to UNICEF, emergency measures taken during the first months of the pandemic, including distance learning, made it possible for 80</w:t>
      </w:r>
      <w:r w:rsidR="006E78DD" w:rsidRPr="0071620B">
        <w:rPr>
          <w:rFonts w:ascii="MetaPro-Norm" w:eastAsia="MetaPro-Norm" w:hAnsi="MetaPro-Norm" w:cs="MetaPro-Norm"/>
          <w:sz w:val="22"/>
          <w:szCs w:val="22"/>
        </w:rPr>
        <w:t xml:space="preserve"> percent</w:t>
      </w:r>
      <w:r w:rsidRPr="0071620B">
        <w:rPr>
          <w:rFonts w:ascii="MetaPro-Norm" w:eastAsia="MetaPro-Norm" w:hAnsi="MetaPro-Norm" w:cs="MetaPro-Norm"/>
          <w:sz w:val="22"/>
          <w:szCs w:val="22"/>
        </w:rPr>
        <w:t xml:space="preserve"> of schoolchildren in primary through upper-secondary school to continue their learning during the school closures.</w:t>
      </w:r>
      <w:r w:rsidRPr="0071620B">
        <w:rPr>
          <w:rStyle w:val="FootnoteReference"/>
          <w:rFonts w:ascii="MetaPro-Medi" w:eastAsia="MetaPro-Norm" w:hAnsi="MetaPro-Medi" w:cs="MetaPro-Norm"/>
          <w:sz w:val="22"/>
          <w:szCs w:val="22"/>
        </w:rPr>
        <w:footnoteReference w:id="12"/>
      </w:r>
      <w:r w:rsidR="006E78DD" w:rsidRPr="0071620B">
        <w:rPr>
          <w:rFonts w:ascii="MetaPro-Norm" w:eastAsia="MetaPro-Norm" w:hAnsi="MetaPro-Norm" w:cs="MetaPro-Norm"/>
          <w:sz w:val="22"/>
          <w:szCs w:val="22"/>
        </w:rPr>
        <w:t xml:space="preserve"> Despite this, </w:t>
      </w:r>
      <w:r w:rsidR="00B13044" w:rsidRPr="0071620B">
        <w:rPr>
          <w:rFonts w:ascii="MetaPro-Norm" w:eastAsia="MetaPro-Norm" w:hAnsi="MetaPro-Norm" w:cs="MetaPro-Norm"/>
          <w:sz w:val="22"/>
          <w:szCs w:val="22"/>
        </w:rPr>
        <w:t xml:space="preserve">those </w:t>
      </w:r>
      <w:r w:rsidR="00B13044" w:rsidRPr="0071620B">
        <w:rPr>
          <w:rFonts w:ascii="MetaPro-Norm" w:eastAsia="MetaPro-Norm" w:hAnsi="MetaPro-Norm" w:cs="MetaPro-Norm"/>
          <w:sz w:val="22"/>
          <w:szCs w:val="22"/>
        </w:rPr>
        <w:lastRenderedPageBreak/>
        <w:t xml:space="preserve">in </w:t>
      </w:r>
      <w:r w:rsidR="006B163A" w:rsidRPr="0071620B">
        <w:rPr>
          <w:rFonts w:ascii="MetaPro-Norm" w:eastAsia="MetaPro-Norm" w:hAnsi="MetaPro-Norm" w:cs="MetaPro-Norm"/>
          <w:sz w:val="22"/>
          <w:szCs w:val="22"/>
        </w:rPr>
        <w:t xml:space="preserve">low-income </w:t>
      </w:r>
      <w:r w:rsidR="00331D9C" w:rsidRPr="0071620B">
        <w:rPr>
          <w:rFonts w:ascii="MetaPro-Norm" w:eastAsia="MetaPro-Norm" w:hAnsi="MetaPro-Norm" w:cs="MetaPro-Norm"/>
          <w:sz w:val="22"/>
          <w:szCs w:val="22"/>
        </w:rPr>
        <w:t xml:space="preserve">households </w:t>
      </w:r>
      <w:r w:rsidR="006E1E5F" w:rsidRPr="0071620B">
        <w:rPr>
          <w:rFonts w:ascii="MetaPro-Norm" w:eastAsia="MetaPro-Norm" w:hAnsi="MetaPro-Norm" w:cs="MetaPro-Norm"/>
          <w:sz w:val="22"/>
          <w:szCs w:val="22"/>
        </w:rPr>
        <w:t xml:space="preserve">and children with special educational needs and disabilities </w:t>
      </w:r>
      <w:r w:rsidR="006B163A" w:rsidRPr="0071620B">
        <w:rPr>
          <w:rFonts w:ascii="MetaPro-Norm" w:eastAsia="MetaPro-Norm" w:hAnsi="MetaPro-Norm" w:cs="MetaPro-Norm"/>
          <w:sz w:val="22"/>
          <w:szCs w:val="22"/>
        </w:rPr>
        <w:t>were</w:t>
      </w:r>
      <w:r w:rsidR="00331D9C" w:rsidRPr="0071620B">
        <w:rPr>
          <w:rFonts w:ascii="MetaPro-Norm" w:eastAsia="MetaPro-Norm" w:hAnsi="MetaPro-Norm" w:cs="MetaPro-Norm"/>
          <w:sz w:val="22"/>
          <w:szCs w:val="22"/>
        </w:rPr>
        <w:t xml:space="preserve"> among</w:t>
      </w:r>
      <w:r w:rsidR="00B13044" w:rsidRPr="0071620B">
        <w:rPr>
          <w:rFonts w:ascii="MetaPro-Norm" w:eastAsia="MetaPro-Norm" w:hAnsi="MetaPro-Norm" w:cs="MetaPro-Norm"/>
          <w:sz w:val="22"/>
          <w:szCs w:val="22"/>
        </w:rPr>
        <w:t xml:space="preserve"> the hardest to reach.</w:t>
      </w:r>
      <w:r w:rsidR="0004029D" w:rsidRPr="0071620B">
        <w:rPr>
          <w:rStyle w:val="FootnoteReference"/>
          <w:rFonts w:ascii="MetaPro-Medi" w:eastAsia="MetaPro-Norm" w:hAnsi="MetaPro-Medi" w:cs="MetaPro-Norm"/>
          <w:sz w:val="22"/>
          <w:szCs w:val="22"/>
        </w:rPr>
        <w:footnoteReference w:id="13"/>
      </w:r>
    </w:p>
    <w:p w14:paraId="00B65DBB" w14:textId="77777777" w:rsidR="00C1747E" w:rsidRPr="0071620B" w:rsidRDefault="00C1747E" w:rsidP="00ED0B20">
      <w:pPr>
        <w:pStyle w:val="NoSpacing"/>
        <w:spacing w:line="22" w:lineRule="atLeast"/>
        <w:rPr>
          <w:rFonts w:ascii="MetaPro-Norm" w:eastAsia="MetaPro-Norm" w:hAnsi="MetaPro-Norm" w:cs="MetaPro-Norm"/>
          <w:sz w:val="22"/>
          <w:szCs w:val="22"/>
        </w:rPr>
      </w:pPr>
    </w:p>
    <w:p w14:paraId="0765E896" w14:textId="3D0B8A34" w:rsidR="00BA0A9E" w:rsidRPr="0071620B" w:rsidRDefault="000A61C1"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Interviews </w:t>
      </w:r>
      <w:r w:rsidR="005B7828" w:rsidRPr="0071620B">
        <w:rPr>
          <w:rFonts w:ascii="MetaPro-Norm" w:eastAsia="MetaPro-Norm" w:hAnsi="MetaPro-Norm" w:cs="MetaPro-Norm"/>
          <w:sz w:val="22"/>
          <w:szCs w:val="22"/>
        </w:rPr>
        <w:t xml:space="preserve">Human Rights Watch </w:t>
      </w:r>
      <w:r w:rsidRPr="0071620B">
        <w:rPr>
          <w:rFonts w:ascii="MetaPro-Norm" w:eastAsia="MetaPro-Norm" w:hAnsi="MetaPro-Norm" w:cs="MetaPro-Norm"/>
          <w:sz w:val="22"/>
          <w:szCs w:val="22"/>
        </w:rPr>
        <w:t>conducted in Armenia</w:t>
      </w:r>
      <w:r w:rsidR="00326C28" w:rsidRPr="0071620B">
        <w:rPr>
          <w:rFonts w:ascii="MetaPro-Norm" w:eastAsia="MetaPro-Norm" w:hAnsi="MetaPro-Norm" w:cs="MetaPro-Norm"/>
          <w:sz w:val="22"/>
          <w:szCs w:val="22"/>
        </w:rPr>
        <w:t xml:space="preserve"> showed </w:t>
      </w:r>
      <w:r w:rsidR="005B7828" w:rsidRPr="0071620B">
        <w:rPr>
          <w:rFonts w:ascii="MetaPro-Norm" w:eastAsia="MetaPro-Norm" w:hAnsi="MetaPro-Norm" w:cs="MetaPro-Norm"/>
          <w:sz w:val="22"/>
          <w:szCs w:val="22"/>
        </w:rPr>
        <w:t xml:space="preserve">some </w:t>
      </w:r>
      <w:r w:rsidR="00186A88" w:rsidRPr="0071620B">
        <w:rPr>
          <w:rFonts w:ascii="MetaPro-Norm" w:eastAsia="MetaPro-Norm" w:hAnsi="MetaPro-Norm" w:cs="MetaPro-Norm"/>
          <w:sz w:val="22"/>
          <w:szCs w:val="22"/>
        </w:rPr>
        <w:t>negative impacts on women’s</w:t>
      </w:r>
      <w:r w:rsidR="002119F5" w:rsidRPr="0071620B">
        <w:rPr>
          <w:rFonts w:ascii="MetaPro-Norm" w:eastAsia="MetaPro-Norm" w:hAnsi="MetaPro-Norm" w:cs="MetaPro-Norm"/>
          <w:sz w:val="22"/>
          <w:szCs w:val="22"/>
        </w:rPr>
        <w:t xml:space="preserve"> daily</w:t>
      </w:r>
      <w:r w:rsidR="00186A88" w:rsidRPr="0071620B">
        <w:rPr>
          <w:rFonts w:ascii="MetaPro-Norm" w:eastAsia="MetaPro-Norm" w:hAnsi="MetaPro-Norm" w:cs="MetaPro-Norm"/>
          <w:sz w:val="22"/>
          <w:szCs w:val="22"/>
        </w:rPr>
        <w:t xml:space="preserve"> live</w:t>
      </w:r>
      <w:r w:rsidR="00A47099" w:rsidRPr="0071620B">
        <w:rPr>
          <w:rFonts w:ascii="MetaPro-Norm" w:eastAsia="MetaPro-Norm" w:hAnsi="MetaPro-Norm" w:cs="MetaPro-Norm"/>
          <w:sz w:val="22"/>
          <w:szCs w:val="22"/>
        </w:rPr>
        <w:t>s</w:t>
      </w:r>
      <w:r w:rsidR="00186A88" w:rsidRPr="0071620B">
        <w:rPr>
          <w:rFonts w:ascii="MetaPro-Norm" w:eastAsia="MetaPro-Norm" w:hAnsi="MetaPro-Norm" w:cs="MetaPro-Norm"/>
          <w:sz w:val="22"/>
          <w:szCs w:val="22"/>
        </w:rPr>
        <w:t xml:space="preserve"> and girls’ education.</w:t>
      </w:r>
    </w:p>
    <w:p w14:paraId="37373674" w14:textId="5C30D508" w:rsidR="000A61C1" w:rsidRPr="0071620B" w:rsidRDefault="000A61C1" w:rsidP="00ED0B20">
      <w:pPr>
        <w:pStyle w:val="NoSpacing"/>
        <w:spacing w:line="22" w:lineRule="atLeast"/>
        <w:rPr>
          <w:rFonts w:ascii="MetaPro-Norm" w:eastAsia="MetaPro-Norm" w:hAnsi="MetaPro-Norm" w:cs="MetaPro-Norm"/>
          <w:sz w:val="22"/>
          <w:szCs w:val="22"/>
        </w:rPr>
      </w:pPr>
    </w:p>
    <w:p w14:paraId="58698C64" w14:textId="5FC1D90D" w:rsidR="000A61C1" w:rsidRPr="0071620B" w:rsidRDefault="000A61C1"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One girl we interviewed described how the limited number of devices at home affected her </w:t>
      </w:r>
      <w:r w:rsidR="00AF1EDE" w:rsidRPr="0071620B">
        <w:rPr>
          <w:rFonts w:ascii="MetaPro-Norm" w:eastAsia="MetaPro-Norm" w:hAnsi="MetaPro-Norm" w:cs="MetaPro-Norm"/>
          <w:sz w:val="22"/>
          <w:szCs w:val="22"/>
        </w:rPr>
        <w:t xml:space="preserve">ability to </w:t>
      </w:r>
      <w:r w:rsidR="007A1A2C" w:rsidRPr="0071620B">
        <w:rPr>
          <w:rFonts w:ascii="MetaPro-Norm" w:eastAsia="MetaPro-Norm" w:hAnsi="MetaPro-Norm" w:cs="MetaPro-Norm"/>
          <w:sz w:val="22"/>
          <w:szCs w:val="22"/>
        </w:rPr>
        <w:t>learn</w:t>
      </w:r>
      <w:r w:rsidRPr="0071620B">
        <w:rPr>
          <w:rFonts w:ascii="MetaPro-Norm" w:eastAsia="MetaPro-Norm" w:hAnsi="MetaPro-Norm" w:cs="MetaPro-Norm"/>
          <w:sz w:val="22"/>
          <w:szCs w:val="22"/>
        </w:rPr>
        <w:t xml:space="preserve">. “Me and my brother were using the same mobile phone,” said </w:t>
      </w:r>
      <w:r w:rsidR="000A736D" w:rsidRPr="0071620B">
        <w:rPr>
          <w:rFonts w:ascii="MetaPro-Norm" w:eastAsia="MetaPro-Norm" w:hAnsi="MetaPro-Norm" w:cs="MetaPro-Norm"/>
          <w:sz w:val="22"/>
          <w:szCs w:val="22"/>
        </w:rPr>
        <w:t xml:space="preserve">the </w:t>
      </w:r>
      <w:r w:rsidRPr="0071620B">
        <w:rPr>
          <w:rFonts w:ascii="MetaPro-Norm" w:eastAsia="MetaPro-Norm" w:hAnsi="MetaPro-Norm" w:cs="MetaPro-Norm"/>
          <w:sz w:val="22"/>
          <w:szCs w:val="22"/>
        </w:rPr>
        <w:t>16-year-old student from Armavir, Armenia. “His classes would start later than mine, but there were times when they would coincide, and I would miss classes.”</w:t>
      </w:r>
      <w:r w:rsidR="000A736D" w:rsidRPr="0071620B">
        <w:rPr>
          <w:rStyle w:val="FootnoteReference"/>
          <w:rFonts w:ascii="MetaPro-Medi" w:eastAsia="MetaPro-Norm" w:hAnsi="MetaPro-Medi" w:cs="MetaPro-Norm"/>
          <w:sz w:val="22"/>
          <w:szCs w:val="22"/>
        </w:rPr>
        <w:footnoteReference w:id="14"/>
      </w:r>
      <w:r w:rsidR="00DE2309" w:rsidRPr="0071620B">
        <w:rPr>
          <w:rFonts w:ascii="MetaPro-Norm" w:eastAsia="MetaPro-Norm" w:hAnsi="MetaPro-Norm" w:cs="MetaPro-Norm"/>
          <w:sz w:val="22"/>
          <w:szCs w:val="22"/>
        </w:rPr>
        <w:t xml:space="preserve"> The girl elaborated, saying that because she couldn’t call her teacher to explain the lesson again, she “was reading [her]self, trying to self-educate.”</w:t>
      </w:r>
      <w:r w:rsidR="00DE2309" w:rsidRPr="0071620B">
        <w:rPr>
          <w:rStyle w:val="FootnoteReference"/>
          <w:rFonts w:ascii="MetaPro-Medi" w:eastAsia="MetaPro-Norm" w:hAnsi="MetaPro-Medi" w:cs="MetaPro-Norm"/>
          <w:sz w:val="22"/>
          <w:szCs w:val="22"/>
        </w:rPr>
        <w:footnoteReference w:id="15"/>
      </w:r>
    </w:p>
    <w:p w14:paraId="1CC0E0D2" w14:textId="2E7D9954" w:rsidR="00DE2309" w:rsidRPr="0071620B" w:rsidRDefault="00DE2309" w:rsidP="00ED0B20">
      <w:pPr>
        <w:pStyle w:val="NoSpacing"/>
        <w:spacing w:line="22" w:lineRule="atLeast"/>
        <w:rPr>
          <w:rFonts w:ascii="MetaPro-Norm" w:eastAsia="MetaPro-Norm" w:hAnsi="MetaPro-Norm" w:cs="MetaPro-Norm"/>
          <w:sz w:val="22"/>
          <w:szCs w:val="22"/>
        </w:rPr>
      </w:pPr>
    </w:p>
    <w:p w14:paraId="236FF878" w14:textId="4E7DD136" w:rsidR="00DE2309" w:rsidRPr="0071620B" w:rsidRDefault="00DE2309"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The girl also took on more responsibilities while at home learning remotely</w:t>
      </w:r>
      <w:r w:rsidR="00573CD9" w:rsidRPr="0071620B">
        <w:rPr>
          <w:rFonts w:ascii="MetaPro-Norm" w:eastAsia="MetaPro-Norm" w:hAnsi="MetaPro-Norm" w:cs="MetaPro-Norm"/>
          <w:sz w:val="22"/>
          <w:szCs w:val="22"/>
        </w:rPr>
        <w:t xml:space="preserve"> and said</w:t>
      </w:r>
      <w:r w:rsidRPr="0071620B">
        <w:rPr>
          <w:rFonts w:ascii="MetaPro-Norm" w:eastAsia="MetaPro-Norm" w:hAnsi="MetaPro-Norm" w:cs="MetaPro-Norm"/>
          <w:sz w:val="22"/>
          <w:szCs w:val="22"/>
        </w:rPr>
        <w:t>: “I had to allocate more time to learning, and also to help to my younger brother both during classes and to do homework.”</w:t>
      </w:r>
      <w:r w:rsidR="00573CD9" w:rsidRPr="0071620B">
        <w:rPr>
          <w:rStyle w:val="FootnoteReference"/>
          <w:rFonts w:ascii="MetaPro-Medi" w:eastAsia="MetaPro-Norm" w:hAnsi="MetaPro-Medi" w:cs="MetaPro-Norm"/>
          <w:sz w:val="22"/>
          <w:szCs w:val="22"/>
        </w:rPr>
        <w:footnoteReference w:id="16"/>
      </w:r>
    </w:p>
    <w:p w14:paraId="125EC969" w14:textId="5961797D" w:rsidR="00573CD9" w:rsidRPr="0071620B" w:rsidRDefault="00573CD9" w:rsidP="00ED0B20">
      <w:pPr>
        <w:pStyle w:val="NoSpacing"/>
        <w:spacing w:line="22" w:lineRule="atLeast"/>
        <w:rPr>
          <w:rFonts w:ascii="MetaPro-Norm" w:eastAsia="MetaPro-Norm" w:hAnsi="MetaPro-Norm" w:cs="MetaPro-Norm"/>
          <w:sz w:val="22"/>
          <w:szCs w:val="22"/>
        </w:rPr>
      </w:pPr>
    </w:p>
    <w:p w14:paraId="779B2FBE" w14:textId="4C77CCEB" w:rsidR="000A3B50" w:rsidRPr="0071620B" w:rsidRDefault="00573CD9"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Individuals we interviewed also spoke of the additional responsibilities placed on women while their children were home learning. </w:t>
      </w:r>
      <w:r w:rsidR="3DD9D731" w:rsidRPr="0071620B">
        <w:rPr>
          <w:rFonts w:ascii="MetaPro-Norm" w:eastAsia="MetaPro-Norm" w:hAnsi="MetaPro-Norm" w:cs="MetaPro-Norm"/>
          <w:sz w:val="22"/>
          <w:szCs w:val="22"/>
        </w:rPr>
        <w:t xml:space="preserve">One mother Human Rights Watch interviewed said: “I have all the household on me, now </w:t>
      </w:r>
      <w:r w:rsidR="005B7828" w:rsidRPr="0071620B">
        <w:rPr>
          <w:rFonts w:ascii="MetaPro-Norm" w:eastAsia="MetaPro-Norm" w:hAnsi="MetaPro-Norm" w:cs="MetaPro-Norm"/>
          <w:sz w:val="22"/>
          <w:szCs w:val="22"/>
        </w:rPr>
        <w:t xml:space="preserve">I </w:t>
      </w:r>
      <w:r w:rsidR="3DD9D731" w:rsidRPr="0071620B">
        <w:rPr>
          <w:rFonts w:ascii="MetaPro-Norm" w:eastAsia="MetaPro-Norm" w:hAnsi="MetaPro-Norm" w:cs="MetaPro-Norm"/>
          <w:sz w:val="22"/>
          <w:szCs w:val="22"/>
        </w:rPr>
        <w:t>have to do teaching too. Teachers get paid for it, but now I have both teaching and household responsibilities.” She added: “I have a husband, but it is like there is no one.”</w:t>
      </w:r>
      <w:r w:rsidR="000A3B50" w:rsidRPr="0071620B">
        <w:rPr>
          <w:rStyle w:val="FootnoteReference"/>
          <w:rFonts w:ascii="MetaPro-Medi" w:eastAsia="MetaPro-Norm" w:hAnsi="MetaPro-Medi" w:cs="MetaPro-Norm"/>
          <w:sz w:val="22"/>
          <w:szCs w:val="22"/>
        </w:rPr>
        <w:footnoteReference w:id="17"/>
      </w:r>
    </w:p>
    <w:p w14:paraId="29F29E10" w14:textId="77777777" w:rsidR="000A3B50" w:rsidRPr="0071620B" w:rsidRDefault="000A3B50" w:rsidP="00ED0B20">
      <w:pPr>
        <w:pStyle w:val="NoSpacing"/>
        <w:spacing w:line="22" w:lineRule="atLeast"/>
        <w:rPr>
          <w:rFonts w:ascii="MetaPro-Norm" w:eastAsia="MetaPro-Norm" w:hAnsi="MetaPro-Norm" w:cs="MetaPro-Norm"/>
          <w:sz w:val="22"/>
          <w:szCs w:val="22"/>
        </w:rPr>
      </w:pPr>
    </w:p>
    <w:p w14:paraId="0B7EA108" w14:textId="61620AF7" w:rsidR="00573CD9" w:rsidRPr="0071620B" w:rsidRDefault="00573CD9"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 xml:space="preserve">One 13-year-old boy we interviewed said that before </w:t>
      </w:r>
      <w:r w:rsidR="00EA2A86" w:rsidRPr="0071620B">
        <w:rPr>
          <w:rFonts w:ascii="MetaPro-Norm" w:eastAsia="MetaPro-Norm" w:hAnsi="MetaPro-Norm" w:cs="MetaPro-Norm"/>
          <w:sz w:val="22"/>
          <w:szCs w:val="22"/>
        </w:rPr>
        <w:t>the pandemic</w:t>
      </w:r>
      <w:r w:rsidRPr="0071620B">
        <w:rPr>
          <w:rFonts w:ascii="MetaPro-Norm" w:eastAsia="MetaPro-Norm" w:hAnsi="MetaPro-Norm" w:cs="MetaPro-Norm"/>
          <w:sz w:val="22"/>
          <w:szCs w:val="22"/>
        </w:rPr>
        <w:t>, his teacher would explain the lesson at school, and his mother or sister would explain it one more time at home.</w:t>
      </w:r>
      <w:r w:rsidR="00CC4FF6" w:rsidRPr="0071620B">
        <w:rPr>
          <w:rStyle w:val="FootnoteReference"/>
          <w:rFonts w:ascii="MetaPro-Medi" w:eastAsia="MetaPro-Norm" w:hAnsi="MetaPro-Medi" w:cs="MetaPro-Norm"/>
          <w:sz w:val="22"/>
          <w:szCs w:val="22"/>
        </w:rPr>
        <w:footnoteReference w:id="18"/>
      </w:r>
      <w:r w:rsidRPr="0071620B">
        <w:rPr>
          <w:rFonts w:ascii="MetaPro-Norm" w:eastAsia="MetaPro-Norm" w:hAnsi="MetaPro-Norm" w:cs="MetaPro-Norm"/>
          <w:sz w:val="22"/>
          <w:szCs w:val="22"/>
        </w:rPr>
        <w:t xml:space="preserve"> This changed after the pandemic. “When we started distance classes all the burden and expectations were on us and on my mother,” the boy said. “My mother had to record the lesson for me</w:t>
      </w:r>
      <w:r w:rsidR="00822B7C" w:rsidRPr="0071620B">
        <w:rPr>
          <w:rFonts w:ascii="MetaPro-Norm" w:eastAsia="MetaPro-Norm" w:hAnsi="MetaPro-Norm" w:cs="MetaPro-Norm"/>
          <w:sz w:val="22"/>
          <w:szCs w:val="22"/>
        </w:rPr>
        <w:t>,</w:t>
      </w:r>
      <w:r w:rsidRPr="0071620B">
        <w:rPr>
          <w:rFonts w:ascii="MetaPro-Norm" w:eastAsia="MetaPro-Norm" w:hAnsi="MetaPro-Norm" w:cs="MetaPro-Norm"/>
          <w:sz w:val="22"/>
          <w:szCs w:val="22"/>
        </w:rPr>
        <w:t xml:space="preserve"> then I learned it, we recorded my homework and sent it to teacher.”</w:t>
      </w:r>
      <w:r w:rsidR="00520527" w:rsidRPr="0071620B">
        <w:rPr>
          <w:rStyle w:val="FootnoteReference"/>
          <w:rFonts w:ascii="MetaPro-Medi" w:eastAsia="MetaPro-Norm" w:hAnsi="MetaPro-Medi" w:cs="MetaPro-Norm"/>
          <w:sz w:val="22"/>
          <w:szCs w:val="22"/>
        </w:rPr>
        <w:footnoteReference w:id="19"/>
      </w:r>
    </w:p>
    <w:p w14:paraId="61F26AFC" w14:textId="5C3B70C9" w:rsidR="00CC4FF6" w:rsidRPr="0071620B" w:rsidRDefault="00CC4FF6" w:rsidP="00ED0B20">
      <w:pPr>
        <w:pStyle w:val="NoSpacing"/>
        <w:spacing w:line="22" w:lineRule="atLeast"/>
        <w:rPr>
          <w:rFonts w:ascii="MetaPro-Norm" w:eastAsia="MetaPro-Norm" w:hAnsi="MetaPro-Norm" w:cs="MetaPro-Norm"/>
          <w:sz w:val="22"/>
          <w:szCs w:val="22"/>
        </w:rPr>
      </w:pPr>
    </w:p>
    <w:p w14:paraId="6F62B166" w14:textId="437301EA" w:rsidR="00CC4FF6" w:rsidRPr="0071620B" w:rsidRDefault="00CC4FF6"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lastRenderedPageBreak/>
        <w:t>Financial difficulties</w:t>
      </w:r>
      <w:r w:rsidR="00D80078" w:rsidRPr="0071620B">
        <w:rPr>
          <w:rFonts w:ascii="MetaPro-Norm" w:eastAsia="MetaPro-Norm" w:hAnsi="MetaPro-Norm" w:cs="MetaPro-Norm"/>
          <w:sz w:val="22"/>
          <w:szCs w:val="22"/>
        </w:rPr>
        <w:t xml:space="preserve"> affect</w:t>
      </w:r>
      <w:r w:rsidR="00822B7C" w:rsidRPr="0071620B">
        <w:rPr>
          <w:rFonts w:ascii="MetaPro-Norm" w:eastAsia="MetaPro-Norm" w:hAnsi="MetaPro-Norm" w:cs="MetaPro-Norm"/>
          <w:sz w:val="22"/>
          <w:szCs w:val="22"/>
        </w:rPr>
        <w:t>ed</w:t>
      </w:r>
      <w:r w:rsidR="00D80078" w:rsidRPr="0071620B">
        <w:rPr>
          <w:rFonts w:ascii="MetaPro-Norm" w:eastAsia="MetaPro-Norm" w:hAnsi="MetaPro-Norm" w:cs="MetaPro-Norm"/>
          <w:sz w:val="22"/>
          <w:szCs w:val="22"/>
        </w:rPr>
        <w:t xml:space="preserve"> girls’ ability to access online learning, as well as </w:t>
      </w:r>
      <w:r w:rsidRPr="0071620B">
        <w:rPr>
          <w:rFonts w:ascii="MetaPro-Norm" w:eastAsia="MetaPro-Norm" w:hAnsi="MetaPro-Norm" w:cs="MetaPro-Norm"/>
          <w:sz w:val="22"/>
          <w:szCs w:val="22"/>
        </w:rPr>
        <w:t>further compound the stressors women face</w:t>
      </w:r>
      <w:r w:rsidR="007B7A26" w:rsidRPr="0071620B">
        <w:rPr>
          <w:rFonts w:ascii="MetaPro-Norm" w:eastAsia="MetaPro-Norm" w:hAnsi="MetaPro-Norm" w:cs="MetaPro-Norm"/>
          <w:sz w:val="22"/>
          <w:szCs w:val="22"/>
        </w:rPr>
        <w:t xml:space="preserve"> </w:t>
      </w:r>
      <w:r w:rsidRPr="0071620B">
        <w:rPr>
          <w:rFonts w:ascii="MetaPro-Norm" w:eastAsia="MetaPro-Norm" w:hAnsi="MetaPro-Norm" w:cs="MetaPro-Norm"/>
          <w:sz w:val="22"/>
          <w:szCs w:val="22"/>
        </w:rPr>
        <w:t xml:space="preserve">when </w:t>
      </w:r>
      <w:r w:rsidR="004A5B4E" w:rsidRPr="0071620B">
        <w:rPr>
          <w:rFonts w:ascii="MetaPro-Norm" w:eastAsia="MetaPro-Norm" w:hAnsi="MetaPro-Norm" w:cs="MetaPro-Norm"/>
          <w:sz w:val="22"/>
          <w:szCs w:val="22"/>
        </w:rPr>
        <w:t>caring for children at home.</w:t>
      </w:r>
      <w:r w:rsidRPr="0071620B">
        <w:rPr>
          <w:rFonts w:ascii="MetaPro-Norm" w:eastAsia="MetaPro-Norm" w:hAnsi="MetaPro-Norm" w:cs="MetaPro-Norm"/>
          <w:sz w:val="22"/>
          <w:szCs w:val="22"/>
        </w:rPr>
        <w:t xml:space="preserve"> </w:t>
      </w:r>
      <w:r w:rsidR="00822B7C" w:rsidRPr="0071620B">
        <w:rPr>
          <w:rFonts w:ascii="MetaPro-Norm" w:eastAsia="MetaPro-Norm" w:hAnsi="MetaPro-Norm" w:cs="MetaPro-Norm"/>
          <w:sz w:val="22"/>
          <w:szCs w:val="22"/>
        </w:rPr>
        <w:t>A</w:t>
      </w:r>
      <w:r w:rsidR="00AE20D1" w:rsidRPr="0071620B">
        <w:rPr>
          <w:rFonts w:ascii="MetaPro-Norm" w:eastAsia="MetaPro-Norm" w:hAnsi="MetaPro-Norm" w:cs="MetaPro-Norm"/>
          <w:sz w:val="22"/>
          <w:szCs w:val="22"/>
        </w:rPr>
        <w:t xml:space="preserve"> </w:t>
      </w:r>
      <w:r w:rsidR="00CC3BFC" w:rsidRPr="0071620B">
        <w:rPr>
          <w:rFonts w:ascii="MetaPro-Norm" w:eastAsia="MetaPro-Norm" w:hAnsi="MetaPro-Norm" w:cs="MetaPro-Norm"/>
          <w:sz w:val="22"/>
          <w:szCs w:val="22"/>
        </w:rPr>
        <w:t>mother</w:t>
      </w:r>
      <w:r w:rsidR="00AE20D1" w:rsidRPr="0071620B">
        <w:rPr>
          <w:rFonts w:ascii="MetaPro-Norm" w:eastAsia="MetaPro-Norm" w:hAnsi="MetaPro-Norm" w:cs="MetaPro-Norm"/>
          <w:sz w:val="22"/>
          <w:szCs w:val="22"/>
        </w:rPr>
        <w:t xml:space="preserve"> we interviewed </w:t>
      </w:r>
      <w:r w:rsidR="002178E9" w:rsidRPr="0071620B">
        <w:rPr>
          <w:rFonts w:ascii="MetaPro-Norm" w:eastAsia="MetaPro-Norm" w:hAnsi="MetaPro-Norm" w:cs="MetaPro-Norm"/>
          <w:sz w:val="22"/>
          <w:szCs w:val="22"/>
        </w:rPr>
        <w:t>said: “I asked the school of my daughter for device, they said they will provide a computer if I have cable internet connection at home, I do not have and do not have enough earnings to get it.”</w:t>
      </w:r>
      <w:r w:rsidR="002178E9" w:rsidRPr="0071620B">
        <w:rPr>
          <w:rStyle w:val="FootnoteReference"/>
          <w:rFonts w:ascii="MetaPro-Medi" w:eastAsia="MetaPro-Norm" w:hAnsi="MetaPro-Medi" w:cs="MetaPro-Norm"/>
          <w:sz w:val="22"/>
          <w:szCs w:val="22"/>
        </w:rPr>
        <w:footnoteReference w:id="20"/>
      </w:r>
    </w:p>
    <w:p w14:paraId="19C747BB" w14:textId="77777777" w:rsidR="000A61C1" w:rsidRPr="0071620B" w:rsidRDefault="000A61C1" w:rsidP="00ED0B20">
      <w:pPr>
        <w:pStyle w:val="NoSpacing"/>
        <w:spacing w:line="22" w:lineRule="atLeast"/>
        <w:rPr>
          <w:rFonts w:ascii="MetaPro-Norm" w:eastAsia="MetaPro-Norm" w:hAnsi="MetaPro-Norm" w:cs="MetaPro-Norm"/>
          <w:sz w:val="22"/>
          <w:szCs w:val="22"/>
        </w:rPr>
      </w:pPr>
    </w:p>
    <w:p w14:paraId="4BD94E1C" w14:textId="31F1B628" w:rsidR="00BA0A9E" w:rsidRPr="0071620B" w:rsidRDefault="00BA0A9E" w:rsidP="00BA0A9E">
      <w:pPr>
        <w:spacing w:after="0" w:line="264" w:lineRule="auto"/>
        <w:rPr>
          <w:rFonts w:ascii="MetaPro-Norm" w:hAnsi="MetaPro-Norm"/>
          <w:i/>
          <w:iCs/>
        </w:rPr>
      </w:pPr>
      <w:r w:rsidRPr="0071620B">
        <w:rPr>
          <w:rFonts w:ascii="MetaPro-Norm" w:hAnsi="MetaPro-Norm"/>
          <w:i/>
          <w:iCs/>
        </w:rPr>
        <w:t xml:space="preserve">Human Rights Watch recommends that the </w:t>
      </w:r>
      <w:r w:rsidR="00FB17CA" w:rsidRPr="0071620B">
        <w:rPr>
          <w:rFonts w:ascii="MetaPro-Norm" w:hAnsi="MetaPro-Norm"/>
          <w:i/>
          <w:iCs/>
        </w:rPr>
        <w:t>C</w:t>
      </w:r>
      <w:r w:rsidRPr="0071620B">
        <w:rPr>
          <w:rFonts w:ascii="MetaPro-Norm" w:hAnsi="MetaPro-Norm"/>
          <w:i/>
          <w:iCs/>
        </w:rPr>
        <w:t>ommittee call on the government of Armenia to:</w:t>
      </w:r>
    </w:p>
    <w:p w14:paraId="645A9258" w14:textId="52B2E6D3" w:rsidR="00DA0E7D" w:rsidRPr="0071620B" w:rsidRDefault="007D4938" w:rsidP="00DA0E7D">
      <w:pPr>
        <w:pStyle w:val="ListParagraph"/>
        <w:numPr>
          <w:ilvl w:val="0"/>
          <w:numId w:val="5"/>
        </w:numPr>
        <w:spacing w:after="0" w:line="22" w:lineRule="atLeast"/>
        <w:rPr>
          <w:rFonts w:eastAsiaTheme="minorEastAsia"/>
        </w:rPr>
      </w:pPr>
      <w:r w:rsidRPr="0071620B">
        <w:rPr>
          <w:rFonts w:ascii="MetaPro-Norm" w:eastAsia="MetaPro-Norm" w:hAnsi="MetaPro-Norm" w:cs="MetaPro-Norm"/>
        </w:rPr>
        <w:t>Explicitly allocate educational resources strategically to vulnerable and low-income groups, children traditionally at risk of exclusion from education,</w:t>
      </w:r>
      <w:r w:rsidR="00EA5F62" w:rsidRPr="0071620B">
        <w:rPr>
          <w:rFonts w:ascii="MetaPro-Norm" w:eastAsia="MetaPro-Norm" w:hAnsi="MetaPro-Norm" w:cs="MetaPro-Norm"/>
        </w:rPr>
        <w:t xml:space="preserve"> including girls,</w:t>
      </w:r>
      <w:r w:rsidRPr="0071620B">
        <w:rPr>
          <w:rFonts w:ascii="MetaPro-Norm" w:eastAsia="MetaPro-Norm" w:hAnsi="MetaPro-Norm" w:cs="MetaPro-Norm"/>
        </w:rPr>
        <w:t xml:space="preserve"> </w:t>
      </w:r>
      <w:r w:rsidR="001E268A" w:rsidRPr="0071620B">
        <w:rPr>
          <w:rFonts w:ascii="MetaPro-Norm" w:eastAsia="MetaPro-Norm" w:hAnsi="MetaPro-Norm" w:cs="MetaPro-Norm"/>
        </w:rPr>
        <w:t xml:space="preserve">children with disabilities, </w:t>
      </w:r>
      <w:r w:rsidRPr="0071620B">
        <w:rPr>
          <w:rFonts w:ascii="MetaPro-Norm" w:eastAsia="MetaPro-Norm" w:hAnsi="MetaPro-Norm" w:cs="MetaPro-Norm"/>
        </w:rPr>
        <w:t>and those shown to have been particularly affected in their education during the pandemic.</w:t>
      </w:r>
    </w:p>
    <w:p w14:paraId="71C85C7E" w14:textId="516E4858" w:rsidR="00AA635D" w:rsidRPr="0071620B" w:rsidRDefault="00AA635D" w:rsidP="00DA0E7D">
      <w:pPr>
        <w:pStyle w:val="ListParagraph"/>
        <w:numPr>
          <w:ilvl w:val="0"/>
          <w:numId w:val="5"/>
        </w:numPr>
        <w:spacing w:after="0" w:line="22" w:lineRule="atLeast"/>
        <w:rPr>
          <w:rFonts w:ascii="MetaPro-Norm" w:eastAsia="MetaPro-Norm" w:hAnsi="MetaPro-Norm" w:cs="MetaPro-Norm"/>
        </w:rPr>
      </w:pPr>
      <w:r w:rsidRPr="0071620B">
        <w:rPr>
          <w:rFonts w:ascii="MetaPro-Norm" w:eastAsia="MetaPro-Norm" w:hAnsi="MetaPro-Norm" w:cs="MetaPro-Norm"/>
        </w:rPr>
        <w:t xml:space="preserve">Adopt measures to </w:t>
      </w:r>
      <w:r w:rsidR="00602B64" w:rsidRPr="0071620B">
        <w:rPr>
          <w:rFonts w:ascii="MetaPro-Norm" w:eastAsia="MetaPro-Norm" w:hAnsi="MetaPro-Norm" w:cs="MetaPro-Norm"/>
        </w:rPr>
        <w:t xml:space="preserve">ensure access to </w:t>
      </w:r>
      <w:r w:rsidRPr="0071620B">
        <w:rPr>
          <w:rFonts w:ascii="MetaPro-Norm" w:eastAsia="MetaPro-Norm" w:hAnsi="MetaPro-Norm" w:cs="MetaPro-Norm"/>
        </w:rPr>
        <w:t>affordable, reliable, quality, and accessible internet, including targeted measures to provide free, equitable access to the internet for educational content, and capable devices for every student.</w:t>
      </w:r>
      <w:r w:rsidR="00943DC8" w:rsidRPr="0071620B">
        <w:rPr>
          <w:rFonts w:ascii="MetaPro-Norm" w:eastAsia="MetaPro-Norm" w:hAnsi="MetaPro-Norm" w:cs="MetaPro-Norm"/>
        </w:rPr>
        <w:t xml:space="preserve"> Children most likely to be excluded or have inadequate access, including those from marginalized or vulnerable communities, living in rural areas, with disabilities, or living in families with multiple children, or due to their gender, should receive targeted support.</w:t>
      </w:r>
    </w:p>
    <w:p w14:paraId="13D1213A" w14:textId="1A6BA1D4" w:rsidR="001F3D78" w:rsidRPr="0071620B" w:rsidRDefault="001F3D78" w:rsidP="001F3D78">
      <w:pPr>
        <w:numPr>
          <w:ilvl w:val="0"/>
          <w:numId w:val="5"/>
        </w:numPr>
        <w:spacing w:after="0" w:line="22" w:lineRule="atLeast"/>
        <w:rPr>
          <w:rFonts w:ascii="MetaPro-Norm" w:eastAsia="MetaPro-Norm" w:hAnsi="MetaPro-Norm" w:cs="MetaPro-Norm"/>
        </w:rPr>
      </w:pPr>
      <w:r w:rsidRPr="0071620B">
        <w:rPr>
          <w:rFonts w:ascii="MetaPro-Norm" w:eastAsia="MetaPro-Norm" w:hAnsi="MetaPro-Norm" w:cs="MetaPro-Norm"/>
        </w:rPr>
        <w:t>Focus on mitigating the disproportionate effects on children and adolescents who already experience barriers accessing education, or who are at higher risk of being excluded, including girls, ones who come from poor households, or who come from other vulnerable communities.</w:t>
      </w:r>
    </w:p>
    <w:p w14:paraId="3F0528E6" w14:textId="77777777" w:rsidR="00CB312E" w:rsidRPr="0071620B" w:rsidRDefault="00CB312E" w:rsidP="00ED0B20">
      <w:pPr>
        <w:pStyle w:val="NoSpacing"/>
        <w:spacing w:line="22" w:lineRule="atLeast"/>
        <w:rPr>
          <w:rFonts w:ascii="MetaPro-Norm" w:eastAsia="MetaPro-Norm" w:hAnsi="MetaPro-Norm" w:cs="MetaPro-Norm"/>
          <w:b/>
          <w:bCs/>
          <w:sz w:val="22"/>
          <w:szCs w:val="22"/>
        </w:rPr>
      </w:pPr>
    </w:p>
    <w:p w14:paraId="0DFB42F0" w14:textId="6F044511" w:rsidR="00D84003" w:rsidRPr="0071620B" w:rsidRDefault="00ED0B20" w:rsidP="00ED0B20">
      <w:pPr>
        <w:pStyle w:val="NoSpacing"/>
        <w:spacing w:line="22" w:lineRule="atLeast"/>
        <w:rPr>
          <w:rFonts w:ascii="MetaPro-Norm" w:eastAsia="MetaPro-Norm" w:hAnsi="MetaPro-Norm" w:cs="MetaPro-Norm"/>
          <w:b/>
          <w:bCs/>
          <w:sz w:val="22"/>
          <w:szCs w:val="22"/>
        </w:rPr>
      </w:pPr>
      <w:r w:rsidRPr="0071620B">
        <w:rPr>
          <w:rFonts w:ascii="MetaPro-Norm" w:eastAsia="MetaPro-Norm" w:hAnsi="MetaPro-Norm" w:cs="MetaPro-Norm"/>
          <w:b/>
          <w:bCs/>
          <w:sz w:val="22"/>
          <w:szCs w:val="22"/>
        </w:rPr>
        <w:t>Protection of Education from Attack (</w:t>
      </w:r>
      <w:r w:rsidR="00887C1D">
        <w:rPr>
          <w:rFonts w:ascii="MetaPro-Norm" w:eastAsia="MetaPro-Norm" w:hAnsi="MetaPro-Norm" w:cs="MetaPro-Norm"/>
          <w:b/>
          <w:bCs/>
          <w:sz w:val="22"/>
          <w:szCs w:val="22"/>
        </w:rPr>
        <w:t>a</w:t>
      </w:r>
      <w:r w:rsidRPr="0071620B">
        <w:rPr>
          <w:rFonts w:ascii="MetaPro-Norm" w:eastAsia="MetaPro-Norm" w:hAnsi="MetaPro-Norm" w:cs="MetaPro-Norm"/>
          <w:b/>
          <w:bCs/>
          <w:sz w:val="22"/>
          <w:szCs w:val="22"/>
        </w:rPr>
        <w:t>rticle 10)</w:t>
      </w:r>
    </w:p>
    <w:p w14:paraId="7EB199F1" w14:textId="7E6BA676" w:rsidR="00ED0B20" w:rsidRPr="0071620B" w:rsidRDefault="00ED0B20" w:rsidP="00ED0B20">
      <w:pPr>
        <w:pStyle w:val="NoSpacing"/>
        <w:spacing w:line="22" w:lineRule="atLeast"/>
        <w:rPr>
          <w:rFonts w:ascii="MetaPro-Norm" w:eastAsia="MetaPro-Norm" w:hAnsi="MetaPro-Norm" w:cs="MetaPro-Norm"/>
          <w:b/>
          <w:bCs/>
          <w:sz w:val="22"/>
          <w:szCs w:val="22"/>
        </w:rPr>
      </w:pPr>
    </w:p>
    <w:p w14:paraId="2118CAE2" w14:textId="3D2A2CB0" w:rsidR="000645EA" w:rsidRPr="0071620B" w:rsidRDefault="00BA0A9E" w:rsidP="009C5C8A">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In September 2021</w:t>
      </w:r>
      <w:r w:rsidR="009C5C8A" w:rsidRPr="0071620B">
        <w:rPr>
          <w:rFonts w:ascii="MetaPro-Norm" w:eastAsia="MetaPro-Norm" w:hAnsi="MetaPro-Norm" w:cs="MetaPro-Norm"/>
          <w:sz w:val="22"/>
          <w:szCs w:val="22"/>
        </w:rPr>
        <w:t xml:space="preserve">, </w:t>
      </w:r>
      <w:r w:rsidR="00CB312E" w:rsidRPr="0071620B">
        <w:rPr>
          <w:rFonts w:ascii="MetaPro-Norm" w:eastAsia="MetaPro-Norm" w:hAnsi="MetaPro-Norm" w:cs="MetaPro-Norm"/>
          <w:sz w:val="22"/>
          <w:szCs w:val="22"/>
        </w:rPr>
        <w:t>Human Rights Watch</w:t>
      </w:r>
      <w:r w:rsidR="009C5C8A" w:rsidRPr="0071620B">
        <w:rPr>
          <w:rFonts w:ascii="MetaPro-Norm" w:eastAsia="MetaPro-Norm" w:hAnsi="MetaPro-Norm" w:cs="MetaPro-Norm"/>
          <w:sz w:val="22"/>
          <w:szCs w:val="22"/>
        </w:rPr>
        <w:t xml:space="preserve"> released a publication documenting attacks on schools</w:t>
      </w:r>
      <w:r w:rsidR="00B924E5" w:rsidRPr="0071620B">
        <w:rPr>
          <w:rFonts w:ascii="MetaPro-Norm" w:eastAsia="MetaPro-Norm" w:hAnsi="MetaPro-Norm" w:cs="MetaPro-Norm"/>
          <w:sz w:val="22"/>
          <w:szCs w:val="22"/>
        </w:rPr>
        <w:t xml:space="preserve"> by both sides to the conflict</w:t>
      </w:r>
      <w:r w:rsidR="009C5C8A" w:rsidRPr="0071620B">
        <w:rPr>
          <w:rFonts w:ascii="MetaPro-Norm" w:eastAsia="MetaPro-Norm" w:hAnsi="MetaPro-Norm" w:cs="MetaPro-Norm"/>
          <w:sz w:val="22"/>
          <w:szCs w:val="22"/>
        </w:rPr>
        <w:t xml:space="preserve"> during the Nagorno-Karabakh War.</w:t>
      </w:r>
      <w:r w:rsidR="009C5C8A" w:rsidRPr="0071620B">
        <w:rPr>
          <w:rStyle w:val="FootnoteReference"/>
          <w:rFonts w:ascii="MetaPro-Medi" w:eastAsia="MetaPro-Norm" w:hAnsi="MetaPro-Medi" w:cs="MetaPro-Norm"/>
          <w:sz w:val="22"/>
          <w:szCs w:val="22"/>
        </w:rPr>
        <w:footnoteReference w:id="21"/>
      </w:r>
      <w:r w:rsidR="009C5C8A" w:rsidRPr="0071620B">
        <w:rPr>
          <w:rFonts w:ascii="MetaPro-Norm" w:eastAsia="MetaPro-Norm" w:hAnsi="MetaPro-Norm" w:cs="MetaPro-Norm"/>
          <w:sz w:val="22"/>
          <w:szCs w:val="22"/>
        </w:rPr>
        <w:t xml:space="preserve"> The report looked at what happened to schools during the fighting between September 27 and November 9</w:t>
      </w:r>
      <w:r w:rsidR="00572EF6" w:rsidRPr="0071620B">
        <w:rPr>
          <w:rFonts w:ascii="MetaPro-Norm" w:eastAsia="MetaPro-Norm" w:hAnsi="MetaPro-Norm" w:cs="MetaPro-Norm"/>
          <w:sz w:val="22"/>
          <w:szCs w:val="22"/>
        </w:rPr>
        <w:t xml:space="preserve">, </w:t>
      </w:r>
      <w:r w:rsidR="00CC4FF6" w:rsidRPr="0071620B">
        <w:rPr>
          <w:rFonts w:ascii="MetaPro-Norm" w:eastAsia="MetaPro-Norm" w:hAnsi="MetaPro-Norm" w:cs="MetaPro-Norm"/>
          <w:sz w:val="22"/>
          <w:szCs w:val="22"/>
        </w:rPr>
        <w:t>2020,</w:t>
      </w:r>
      <w:r w:rsidR="00DE2309" w:rsidRPr="0071620B">
        <w:rPr>
          <w:rFonts w:ascii="MetaPro-Norm" w:eastAsia="MetaPro-Norm" w:hAnsi="MetaPro-Norm" w:cs="MetaPro-Norm"/>
          <w:sz w:val="22"/>
          <w:szCs w:val="22"/>
        </w:rPr>
        <w:t xml:space="preserve"> </w:t>
      </w:r>
      <w:r w:rsidR="009C5C8A" w:rsidRPr="0071620B">
        <w:rPr>
          <w:rFonts w:ascii="MetaPro-Norm" w:eastAsia="MetaPro-Norm" w:hAnsi="MetaPro-Norm" w:cs="MetaPro-Norm"/>
          <w:sz w:val="22"/>
          <w:szCs w:val="22"/>
        </w:rPr>
        <w:t>and reveal</w:t>
      </w:r>
      <w:r w:rsidR="00572EF6" w:rsidRPr="0071620B">
        <w:rPr>
          <w:rFonts w:ascii="MetaPro-Norm" w:eastAsia="MetaPro-Norm" w:hAnsi="MetaPro-Norm" w:cs="MetaPro-Norm"/>
          <w:sz w:val="22"/>
          <w:szCs w:val="22"/>
        </w:rPr>
        <w:t>ed</w:t>
      </w:r>
      <w:r w:rsidR="009C5C8A" w:rsidRPr="0071620B">
        <w:rPr>
          <w:rFonts w:ascii="MetaPro-Norm" w:eastAsia="MetaPro-Norm" w:hAnsi="MetaPro-Norm" w:cs="MetaPro-Norm"/>
          <w:sz w:val="22"/>
          <w:szCs w:val="22"/>
        </w:rPr>
        <w:t xml:space="preserve"> some of the consequences of the conflict for school children.</w:t>
      </w:r>
      <w:r w:rsidR="00A52131" w:rsidRPr="0071620B">
        <w:rPr>
          <w:rFonts w:ascii="MetaPro-Norm" w:eastAsia="MetaPro-Norm" w:hAnsi="MetaPro-Norm" w:cs="MetaPro-Norm"/>
          <w:sz w:val="22"/>
          <w:szCs w:val="22"/>
        </w:rPr>
        <w:t xml:space="preserve"> We examined multiple cases of attacks on schools and the military use of schools by all parties to the conflict.</w:t>
      </w:r>
    </w:p>
    <w:p w14:paraId="1AB02734" w14:textId="77777777" w:rsidR="00E95D80" w:rsidRPr="0071620B" w:rsidRDefault="00E95D80" w:rsidP="009C5C8A">
      <w:pPr>
        <w:pStyle w:val="NoSpacing"/>
        <w:spacing w:line="22" w:lineRule="atLeast"/>
        <w:rPr>
          <w:rFonts w:ascii="MetaPro-Norm" w:eastAsia="MetaPro-Norm" w:hAnsi="MetaPro-Norm" w:cs="MetaPro-Norm"/>
          <w:sz w:val="22"/>
          <w:szCs w:val="22"/>
        </w:rPr>
      </w:pPr>
    </w:p>
    <w:p w14:paraId="18B8D189" w14:textId="0B8D2A63" w:rsidR="00E95D80" w:rsidRPr="0071620B" w:rsidRDefault="7A690C45" w:rsidP="009C5C8A">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As recognized by this Committee in its </w:t>
      </w:r>
      <w:r w:rsidRPr="0071620B">
        <w:rPr>
          <w:rFonts w:ascii="MetaPro-Norm" w:eastAsia="MetaPro-Norm" w:hAnsi="MetaPro-Norm" w:cs="MetaPro-Norm"/>
          <w:i/>
          <w:iCs/>
          <w:sz w:val="22"/>
          <w:szCs w:val="22"/>
        </w:rPr>
        <w:t>General Recommendation No. 30, </w:t>
      </w:r>
      <w:r w:rsidRPr="0071620B">
        <w:rPr>
          <w:rFonts w:ascii="MetaPro-Norm" w:eastAsia="MetaPro-Norm" w:hAnsi="MetaPro-Norm" w:cs="MetaPro-Norm"/>
          <w:sz w:val="22"/>
          <w:szCs w:val="22"/>
        </w:rPr>
        <w:t>attacks on students and schools, and the use of schools for military purposes, disproportionately affect girls, who are sometimes the focus of targeted attacks and are more likely to be kept out of school due to security concerns.</w:t>
      </w:r>
      <w:r w:rsidR="00E95D80" w:rsidRPr="0071620B">
        <w:rPr>
          <w:rStyle w:val="FootnoteReference"/>
          <w:rFonts w:ascii="MetaPro-Medi" w:eastAsia="MetaPro-Norm" w:hAnsi="MetaPro-Medi" w:cs="MetaPro-Norm"/>
          <w:sz w:val="22"/>
          <w:szCs w:val="22"/>
        </w:rPr>
        <w:footnoteReference w:id="22"/>
      </w:r>
    </w:p>
    <w:p w14:paraId="01A9C63A" w14:textId="77777777" w:rsidR="00396E48" w:rsidRPr="0071620B" w:rsidRDefault="00396E48" w:rsidP="009C5C8A">
      <w:pPr>
        <w:pStyle w:val="NoSpacing"/>
        <w:spacing w:line="22" w:lineRule="atLeast"/>
        <w:rPr>
          <w:rFonts w:ascii="MetaPro-Norm" w:eastAsia="MetaPro-Norm" w:hAnsi="MetaPro-Norm" w:cs="MetaPro-Norm"/>
          <w:sz w:val="22"/>
          <w:szCs w:val="22"/>
        </w:rPr>
      </w:pPr>
    </w:p>
    <w:p w14:paraId="4B976ABD" w14:textId="11DA9E6E" w:rsidR="00105F76" w:rsidRPr="0071620B" w:rsidRDefault="0062556A" w:rsidP="00ED0B20">
      <w:pPr>
        <w:pStyle w:val="NoSpacing"/>
        <w:spacing w:line="22" w:lineRule="atLeast"/>
        <w:rPr>
          <w:rFonts w:ascii="MetaPro-Norm" w:eastAsia="MetaPro-Norm" w:hAnsi="MetaPro-Norm" w:cs="MetaPro-Norm"/>
          <w:sz w:val="22"/>
          <w:szCs w:val="22"/>
        </w:rPr>
      </w:pPr>
      <w:r w:rsidRPr="0071620B">
        <w:rPr>
          <w:rFonts w:ascii="MetaPro-Norm" w:eastAsia="MetaPro-Norm" w:hAnsi="MetaPro-Norm" w:cs="MetaPro-Norm"/>
          <w:sz w:val="22"/>
          <w:szCs w:val="22"/>
        </w:rPr>
        <w:t>In March 2017</w:t>
      </w:r>
      <w:r w:rsidR="00887C1D">
        <w:rPr>
          <w:rFonts w:ascii="MetaPro-Norm" w:eastAsia="MetaPro-Norm" w:hAnsi="MetaPro-Norm" w:cs="MetaPro-Norm"/>
          <w:sz w:val="22"/>
          <w:szCs w:val="22"/>
        </w:rPr>
        <w:t>,</w:t>
      </w:r>
      <w:r w:rsidRPr="0071620B">
        <w:rPr>
          <w:rFonts w:ascii="MetaPro-Norm" w:eastAsia="MetaPro-Norm" w:hAnsi="MetaPro-Norm" w:cs="MetaPro-Norm"/>
          <w:sz w:val="22"/>
          <w:szCs w:val="22"/>
        </w:rPr>
        <w:t xml:space="preserve"> Armenia endorsed the Safe Schools Declaration.</w:t>
      </w:r>
      <w:r w:rsidRPr="0071620B">
        <w:rPr>
          <w:rStyle w:val="FootnoteReference"/>
          <w:rFonts w:ascii="MetaPro-Medi" w:eastAsia="MetaPro-Norm" w:hAnsi="MetaPro-Medi" w:cs="MetaPro-Norm"/>
          <w:sz w:val="22"/>
          <w:szCs w:val="22"/>
        </w:rPr>
        <w:footnoteReference w:id="23"/>
      </w:r>
      <w:r w:rsidRPr="0071620B">
        <w:rPr>
          <w:rFonts w:ascii="MetaPro-Norm" w:eastAsia="MetaPro-Norm" w:hAnsi="MetaPro-Norm" w:cs="MetaPro-Norm"/>
          <w:sz w:val="22"/>
          <w:szCs w:val="22"/>
        </w:rPr>
        <w:t xml:space="preserve"> </w:t>
      </w:r>
      <w:r w:rsidR="33EAEA23" w:rsidRPr="0071620B">
        <w:rPr>
          <w:rFonts w:ascii="MetaPro-Norm" w:eastAsia="MetaPro-Norm" w:hAnsi="MetaPro-Norm" w:cs="MetaPro-Norm"/>
          <w:sz w:val="22"/>
          <w:szCs w:val="22"/>
        </w:rPr>
        <w:t>The Safe Schools Declaration is a political commitment to take concrete steps to make students, teachers, and schools safer during armed conflict.</w:t>
      </w:r>
      <w:r w:rsidR="00396E48" w:rsidRPr="0071620B">
        <w:rPr>
          <w:rFonts w:ascii="MetaPro-Norm" w:eastAsia="MetaPro-Norm" w:hAnsi="MetaPro-Norm" w:cs="MetaPro-Norm"/>
          <w:sz w:val="22"/>
          <w:szCs w:val="22"/>
          <w:vertAlign w:val="superscript"/>
        </w:rPr>
        <w:footnoteReference w:id="24"/>
      </w:r>
      <w:r w:rsidR="33EAEA23" w:rsidRPr="0071620B">
        <w:rPr>
          <w:rFonts w:ascii="MetaPro-Norm" w:eastAsia="MetaPro-Norm" w:hAnsi="MetaPro-Norm" w:cs="MetaPro-Norm"/>
          <w:sz w:val="22"/>
          <w:szCs w:val="22"/>
        </w:rPr>
        <w:t xml:space="preserve"> </w:t>
      </w:r>
    </w:p>
    <w:p w14:paraId="50CEEE55" w14:textId="77777777" w:rsidR="00396E48" w:rsidRPr="0071620B" w:rsidRDefault="00396E48" w:rsidP="00ED0B20">
      <w:pPr>
        <w:pStyle w:val="NoSpacing"/>
        <w:spacing w:line="22" w:lineRule="atLeast"/>
        <w:rPr>
          <w:rFonts w:ascii="MetaPro-Norm" w:eastAsia="MetaPro-Norm" w:hAnsi="MetaPro-Norm" w:cs="MetaPro-Norm"/>
          <w:sz w:val="22"/>
          <w:szCs w:val="22"/>
        </w:rPr>
      </w:pPr>
    </w:p>
    <w:p w14:paraId="4F0BF2CF" w14:textId="31320BCC" w:rsidR="00105F76" w:rsidRPr="0071620B" w:rsidRDefault="00105F76" w:rsidP="00105F76">
      <w:pPr>
        <w:spacing w:after="0" w:line="264" w:lineRule="auto"/>
        <w:rPr>
          <w:rFonts w:ascii="MetaPro-Norm" w:hAnsi="MetaPro-Norm"/>
          <w:i/>
          <w:iCs/>
        </w:rPr>
      </w:pPr>
      <w:r w:rsidRPr="0071620B">
        <w:rPr>
          <w:rFonts w:ascii="MetaPro-Norm" w:hAnsi="MetaPro-Norm"/>
          <w:i/>
          <w:iCs/>
        </w:rPr>
        <w:t xml:space="preserve">Human Rights Watch recommends that the </w:t>
      </w:r>
      <w:r w:rsidR="00FB17CA" w:rsidRPr="0071620B">
        <w:rPr>
          <w:rFonts w:ascii="MetaPro-Norm" w:hAnsi="MetaPro-Norm"/>
          <w:i/>
          <w:iCs/>
        </w:rPr>
        <w:t>C</w:t>
      </w:r>
      <w:r w:rsidRPr="0071620B">
        <w:rPr>
          <w:rFonts w:ascii="MetaPro-Norm" w:hAnsi="MetaPro-Norm"/>
          <w:i/>
          <w:iCs/>
        </w:rPr>
        <w:t xml:space="preserve">ommittee </w:t>
      </w:r>
      <w:r w:rsidR="002119F5" w:rsidRPr="0071620B">
        <w:rPr>
          <w:rFonts w:ascii="MetaPro-Norm" w:hAnsi="MetaPro-Norm"/>
          <w:i/>
          <w:iCs/>
        </w:rPr>
        <w:t xml:space="preserve">congratulate Armenia on endorsing the Safe Schools Declaration and </w:t>
      </w:r>
      <w:r w:rsidRPr="0071620B">
        <w:rPr>
          <w:rFonts w:ascii="MetaPro-Norm" w:hAnsi="MetaPro-Norm"/>
          <w:i/>
          <w:iCs/>
        </w:rPr>
        <w:t>call on the government of Armenia to:</w:t>
      </w:r>
    </w:p>
    <w:p w14:paraId="059FAD26" w14:textId="0BF1EF60" w:rsidR="00396E48" w:rsidRPr="0071620B" w:rsidRDefault="00396E48" w:rsidP="00396E48">
      <w:pPr>
        <w:pStyle w:val="ListParagraph"/>
        <w:numPr>
          <w:ilvl w:val="0"/>
          <w:numId w:val="3"/>
        </w:numPr>
        <w:spacing w:after="0" w:line="22" w:lineRule="atLeast"/>
        <w:rPr>
          <w:rFonts w:ascii="MetaPro-Norm" w:hAnsi="MetaPro-Norm"/>
        </w:rPr>
      </w:pPr>
      <w:r w:rsidRPr="0071620B">
        <w:rPr>
          <w:rFonts w:ascii="MetaPro-Norm" w:hAnsi="MetaPro-Norm"/>
        </w:rPr>
        <w:t>Ensure Armenian laws, policies, or trainings provide explicit protection for schools and universities from military use during armed conflict.</w:t>
      </w:r>
    </w:p>
    <w:p w14:paraId="070D4A71" w14:textId="32F8D6E1" w:rsidR="00396E48" w:rsidRPr="0071620B" w:rsidRDefault="00396E48" w:rsidP="00105F76">
      <w:pPr>
        <w:pStyle w:val="ListParagraph"/>
        <w:numPr>
          <w:ilvl w:val="0"/>
          <w:numId w:val="3"/>
        </w:numPr>
        <w:spacing w:after="0" w:line="264" w:lineRule="auto"/>
        <w:rPr>
          <w:rFonts w:ascii="MetaPro-Norm" w:hAnsi="MetaPro-Norm"/>
        </w:rPr>
      </w:pPr>
      <w:r w:rsidRPr="0071620B">
        <w:rPr>
          <w:rFonts w:ascii="MetaPro-Norm" w:hAnsi="MetaPro-Norm"/>
        </w:rPr>
        <w:t xml:space="preserve">Share </w:t>
      </w:r>
      <w:r w:rsidR="00797BB3" w:rsidRPr="0071620B">
        <w:rPr>
          <w:rFonts w:ascii="MetaPro-Norm" w:hAnsi="MetaPro-Norm"/>
        </w:rPr>
        <w:t xml:space="preserve">any </w:t>
      </w:r>
      <w:r w:rsidRPr="0071620B">
        <w:rPr>
          <w:rFonts w:ascii="MetaPro-Norm" w:hAnsi="MetaPro-Norm"/>
        </w:rPr>
        <w:t>examples of its implementation of the Safe Schools Declaration</w:t>
      </w:r>
      <w:r w:rsidR="00797BB3" w:rsidRPr="0071620B">
        <w:rPr>
          <w:rFonts w:ascii="MetaPro-Norm" w:hAnsi="MetaPro-Norm"/>
        </w:rPr>
        <w:t xml:space="preserve"> </w:t>
      </w:r>
      <w:r w:rsidRPr="0071620B">
        <w:rPr>
          <w:rFonts w:ascii="MetaPro-Norm" w:hAnsi="MetaPro-Norm"/>
        </w:rPr>
        <w:t>with other countries that have endorsed the Safe Schools Declaration.</w:t>
      </w:r>
    </w:p>
    <w:sectPr w:rsidR="00396E48" w:rsidRPr="0071620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260BB" w14:textId="77777777" w:rsidR="004A17E8" w:rsidRDefault="004A17E8" w:rsidP="009C5C8A">
      <w:pPr>
        <w:spacing w:after="0" w:line="240" w:lineRule="auto"/>
      </w:pPr>
      <w:r>
        <w:separator/>
      </w:r>
    </w:p>
  </w:endnote>
  <w:endnote w:type="continuationSeparator" w:id="0">
    <w:p w14:paraId="0BF35ADC" w14:textId="77777777" w:rsidR="004A17E8" w:rsidRDefault="004A17E8" w:rsidP="009C5C8A">
      <w:pPr>
        <w:spacing w:after="0" w:line="240" w:lineRule="auto"/>
      </w:pPr>
      <w:r>
        <w:continuationSeparator/>
      </w:r>
    </w:p>
  </w:endnote>
  <w:endnote w:type="continuationNotice" w:id="1">
    <w:p w14:paraId="726B114E" w14:textId="77777777" w:rsidR="004A17E8" w:rsidRDefault="004A17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etaPro-Medi">
    <w:panose1 w:val="020B0604030101020102"/>
    <w:charset w:val="00"/>
    <w:family w:val="swiss"/>
    <w:notTrueType/>
    <w:pitch w:val="variable"/>
    <w:sig w:usb0="A00002FF" w:usb1="4000207B" w:usb2="00000000" w:usb3="00000000" w:csb0="0000009F" w:csb1="00000000"/>
  </w:font>
  <w:font w:name="Yu Mincho">
    <w:altName w:val="Yu Mincho"/>
    <w:charset w:val="80"/>
    <w:family w:val="roman"/>
    <w:pitch w:val="variable"/>
    <w:sig w:usb0="800002E7" w:usb1="2AC7FCFF" w:usb2="00000012" w:usb3="00000000" w:csb0="0002009F" w:csb1="00000000"/>
  </w:font>
  <w:font w:name="MetaPro-Bold">
    <w:panose1 w:val="020B0804030101020102"/>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553169"/>
      <w:docPartObj>
        <w:docPartGallery w:val="Page Numbers (Bottom of Page)"/>
        <w:docPartUnique/>
      </w:docPartObj>
    </w:sdtPr>
    <w:sdtEndPr>
      <w:rPr>
        <w:rFonts w:ascii="MetaPro-Bold" w:hAnsi="MetaPro-Bold"/>
        <w:noProof/>
        <w:sz w:val="20"/>
        <w:szCs w:val="20"/>
      </w:rPr>
    </w:sdtEndPr>
    <w:sdtContent>
      <w:p w14:paraId="7F24C434" w14:textId="332C39CA" w:rsidR="000A61C1" w:rsidRPr="000A61C1" w:rsidRDefault="000A61C1">
        <w:pPr>
          <w:pStyle w:val="Footer"/>
          <w:jc w:val="center"/>
          <w:rPr>
            <w:rFonts w:ascii="MetaPro-Bold" w:hAnsi="MetaPro-Bold"/>
            <w:sz w:val="20"/>
            <w:szCs w:val="20"/>
          </w:rPr>
        </w:pPr>
        <w:r w:rsidRPr="000A61C1">
          <w:rPr>
            <w:rFonts w:ascii="MetaPro-Bold" w:hAnsi="MetaPro-Bold"/>
            <w:sz w:val="20"/>
            <w:szCs w:val="20"/>
          </w:rPr>
          <w:fldChar w:fldCharType="begin"/>
        </w:r>
        <w:r w:rsidRPr="000A61C1">
          <w:rPr>
            <w:rFonts w:ascii="MetaPro-Bold" w:hAnsi="MetaPro-Bold"/>
            <w:sz w:val="20"/>
            <w:szCs w:val="20"/>
          </w:rPr>
          <w:instrText xml:space="preserve"> PAGE   \* MERGEFORMAT </w:instrText>
        </w:r>
        <w:r w:rsidRPr="000A61C1">
          <w:rPr>
            <w:rFonts w:ascii="MetaPro-Bold" w:hAnsi="MetaPro-Bold"/>
            <w:sz w:val="20"/>
            <w:szCs w:val="20"/>
          </w:rPr>
          <w:fldChar w:fldCharType="separate"/>
        </w:r>
        <w:r w:rsidRPr="000A61C1">
          <w:rPr>
            <w:rFonts w:ascii="MetaPro-Bold" w:hAnsi="MetaPro-Bold"/>
            <w:noProof/>
            <w:sz w:val="20"/>
            <w:szCs w:val="20"/>
          </w:rPr>
          <w:t>2</w:t>
        </w:r>
        <w:r w:rsidRPr="000A61C1">
          <w:rPr>
            <w:rFonts w:ascii="MetaPro-Bold" w:hAnsi="MetaPro-Bold"/>
            <w:noProof/>
            <w:sz w:val="20"/>
            <w:szCs w:val="20"/>
          </w:rPr>
          <w:fldChar w:fldCharType="end"/>
        </w:r>
      </w:p>
    </w:sdtContent>
  </w:sdt>
  <w:p w14:paraId="50940580" w14:textId="77777777" w:rsidR="000A61C1" w:rsidRDefault="000A6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6E538" w14:textId="77777777" w:rsidR="004A17E8" w:rsidRDefault="004A17E8" w:rsidP="009C5C8A">
      <w:pPr>
        <w:spacing w:after="0" w:line="240" w:lineRule="auto"/>
      </w:pPr>
      <w:r>
        <w:separator/>
      </w:r>
    </w:p>
  </w:footnote>
  <w:footnote w:type="continuationSeparator" w:id="0">
    <w:p w14:paraId="5B86BCCA" w14:textId="77777777" w:rsidR="004A17E8" w:rsidRDefault="004A17E8" w:rsidP="009C5C8A">
      <w:pPr>
        <w:spacing w:after="0" w:line="240" w:lineRule="auto"/>
      </w:pPr>
      <w:r>
        <w:continuationSeparator/>
      </w:r>
    </w:p>
  </w:footnote>
  <w:footnote w:type="continuationNotice" w:id="1">
    <w:p w14:paraId="7DC08F68" w14:textId="77777777" w:rsidR="004A17E8" w:rsidRDefault="004A17E8">
      <w:pPr>
        <w:spacing w:after="0" w:line="240" w:lineRule="auto"/>
      </w:pPr>
    </w:p>
  </w:footnote>
  <w:footnote w:id="2">
    <w:p w14:paraId="4402410E" w14:textId="2CF401FC" w:rsidR="009C5C8A" w:rsidRDefault="009C5C8A">
      <w:pPr>
        <w:pStyle w:val="FootnoteText"/>
      </w:pPr>
      <w:r w:rsidRPr="00E238E4">
        <w:rPr>
          <w:rStyle w:val="FootnoteReference"/>
          <w:rFonts w:ascii="MetaPro-Medi" w:hAnsi="MetaPro-Medi"/>
          <w:sz w:val="22"/>
          <w:szCs w:val="22"/>
        </w:rPr>
        <w:footnoteRef/>
      </w:r>
      <w:r>
        <w:t xml:space="preserve"> </w:t>
      </w:r>
      <w:r w:rsidR="00244DE7" w:rsidRPr="002A4724">
        <w:rPr>
          <w:rFonts w:ascii="MetaPro-Norm" w:hAnsi="MetaPro-Norm"/>
          <w:sz w:val="16"/>
          <w:szCs w:val="16"/>
        </w:rPr>
        <w:t>“Submission to the Committee on the Elimination of Discrimination against Women Review of Armenia, 81st pre-session</w:t>
      </w:r>
      <w:r w:rsidR="00D556F1">
        <w:rPr>
          <w:rFonts w:ascii="MetaPro-Norm" w:hAnsi="MetaPro-Norm"/>
          <w:sz w:val="16"/>
          <w:szCs w:val="16"/>
        </w:rPr>
        <w:t>,</w:t>
      </w:r>
      <w:r w:rsidR="00244DE7" w:rsidRPr="002A4724">
        <w:rPr>
          <w:rFonts w:ascii="MetaPro-Norm" w:hAnsi="MetaPro-Norm"/>
          <w:sz w:val="16"/>
          <w:szCs w:val="16"/>
        </w:rPr>
        <w:t>” Human Rights Watch statement, June 24, 2021, https://www.hrw.org/news/2021/06/24/submission-committee-elimination-discrimination-against-women-review-armenia.</w:t>
      </w:r>
    </w:p>
  </w:footnote>
  <w:footnote w:id="3">
    <w:p w14:paraId="58AE726F" w14:textId="6A8330BA" w:rsidR="64BCEDA3" w:rsidRDefault="64BCEDA3" w:rsidP="00377941">
      <w:pPr>
        <w:pStyle w:val="FootnoteText"/>
        <w:rPr>
          <w:rFonts w:ascii="Calibri" w:eastAsia="Calibri" w:hAnsi="Calibri" w:cs="Calibri"/>
          <w:sz w:val="16"/>
          <w:szCs w:val="16"/>
        </w:rPr>
      </w:pPr>
      <w:r w:rsidRPr="00FB17CA">
        <w:rPr>
          <w:rStyle w:val="FootnoteReference"/>
          <w:rFonts w:ascii="MetaPro-Medi" w:hAnsi="MetaPro-Medi"/>
          <w:sz w:val="22"/>
          <w:szCs w:val="22"/>
        </w:rPr>
        <w:footnoteRef/>
      </w:r>
      <w:r>
        <w:t xml:space="preserve"> </w:t>
      </w:r>
      <w:r w:rsidRPr="00FB17CA">
        <w:rPr>
          <w:rFonts w:ascii="MetaPro-Norm" w:hAnsi="MetaPro-Norm"/>
          <w:sz w:val="16"/>
          <w:szCs w:val="16"/>
        </w:rPr>
        <w:t xml:space="preserve">“The Law on Prevention of Violence in the Family, Protection of Victims of Violence in the Family, and Restoration of Peace in the Family,” </w:t>
      </w:r>
      <w:hyperlink r:id="rId1" w:history="1">
        <w:hyperlink r:id="rId2" w:history="1">
          <w:r w:rsidRPr="00FB17CA">
            <w:rPr>
              <w:rFonts w:ascii="MetaPro-Norm" w:hAnsi="MetaPro-Norm"/>
              <w:sz w:val="16"/>
              <w:szCs w:val="16"/>
            </w:rPr>
            <w:t>https://www.refworld.org/pdfid/5a6b2e274.pdf</w:t>
          </w:r>
        </w:hyperlink>
      </w:hyperlink>
      <w:r w:rsidRPr="00FB17CA">
        <w:rPr>
          <w:rFonts w:ascii="MetaPro-Norm" w:hAnsi="MetaPro-Norm"/>
          <w:sz w:val="16"/>
          <w:szCs w:val="16"/>
        </w:rPr>
        <w:t xml:space="preserve"> (accessed June 17, 2021).</w:t>
      </w:r>
    </w:p>
  </w:footnote>
  <w:footnote w:id="4">
    <w:p w14:paraId="10BDFB89" w14:textId="6B2878AC" w:rsidR="6FACFA59" w:rsidRDefault="6FACFA59" w:rsidP="00377941">
      <w:pPr>
        <w:pStyle w:val="FootnoteText"/>
      </w:pPr>
      <w:r w:rsidRPr="009D3428">
        <w:rPr>
          <w:rStyle w:val="FootnoteReference"/>
          <w:rFonts w:ascii="MetaPro-Medi" w:hAnsi="MetaPro-Medi"/>
          <w:sz w:val="22"/>
          <w:szCs w:val="22"/>
        </w:rPr>
        <w:footnoteRef/>
      </w:r>
      <w:r>
        <w:t xml:space="preserve"> </w:t>
      </w:r>
      <w:r w:rsidRPr="00CF5483">
        <w:rPr>
          <w:rFonts w:ascii="MetaPro-Norm" w:hAnsi="MetaPro-Norm"/>
          <w:i/>
          <w:iCs/>
          <w:sz w:val="16"/>
          <w:szCs w:val="16"/>
        </w:rPr>
        <w:t>Survey on Domestic Violence against Women</w:t>
      </w:r>
      <w:r w:rsidR="00BC77A4" w:rsidRPr="00CF5483">
        <w:rPr>
          <w:rFonts w:ascii="MetaPro-Norm" w:hAnsi="MetaPro-Norm"/>
          <w:i/>
          <w:iCs/>
          <w:sz w:val="16"/>
          <w:szCs w:val="16"/>
        </w:rPr>
        <w:t xml:space="preserve">: </w:t>
      </w:r>
      <w:r w:rsidRPr="00CF5483">
        <w:rPr>
          <w:rFonts w:ascii="MetaPro-Norm" w:hAnsi="MetaPro-Norm"/>
          <w:i/>
          <w:iCs/>
          <w:sz w:val="16"/>
          <w:szCs w:val="16"/>
        </w:rPr>
        <w:t>Analytical Report</w:t>
      </w:r>
      <w:r w:rsidR="00BC77A4">
        <w:rPr>
          <w:rFonts w:ascii="MetaPro-Norm" w:hAnsi="MetaPro-Norm"/>
          <w:sz w:val="16"/>
          <w:szCs w:val="16"/>
        </w:rPr>
        <w:t xml:space="preserve">, </w:t>
      </w:r>
      <w:r w:rsidRPr="00BC77A4">
        <w:rPr>
          <w:rFonts w:ascii="MetaPro-Norm" w:hAnsi="MetaPro-Norm"/>
          <w:sz w:val="16"/>
          <w:szCs w:val="16"/>
        </w:rPr>
        <w:t>2021</w:t>
      </w:r>
      <w:r w:rsidR="00BC77A4">
        <w:rPr>
          <w:rFonts w:ascii="MetaPro-Norm" w:hAnsi="MetaPro-Norm"/>
          <w:sz w:val="16"/>
          <w:szCs w:val="16"/>
        </w:rPr>
        <w:t>,</w:t>
      </w:r>
      <w:r w:rsidRPr="00BC77A4">
        <w:rPr>
          <w:rFonts w:ascii="MetaPro-Norm" w:hAnsi="MetaPro-Norm"/>
          <w:sz w:val="16"/>
          <w:szCs w:val="16"/>
        </w:rPr>
        <w:t xml:space="preserve"> https://armstat.am/file/article/gbv_report_eng.pdf</w:t>
      </w:r>
      <w:r w:rsidR="00BC77A4">
        <w:rPr>
          <w:rFonts w:ascii="MetaPro-Norm" w:hAnsi="MetaPro-Norm"/>
          <w:sz w:val="16"/>
          <w:szCs w:val="16"/>
        </w:rPr>
        <w:t xml:space="preserve"> (accessed September 16, 2022)</w:t>
      </w:r>
      <w:r w:rsidR="00CF5483">
        <w:rPr>
          <w:rFonts w:ascii="MetaPro-Norm" w:hAnsi="MetaPro-Norm"/>
          <w:sz w:val="16"/>
          <w:szCs w:val="16"/>
        </w:rPr>
        <w:t>.</w:t>
      </w:r>
    </w:p>
  </w:footnote>
  <w:footnote w:id="5">
    <w:p w14:paraId="0853A6B5" w14:textId="6C618D40" w:rsidR="64BCEDA3" w:rsidRDefault="64BCEDA3" w:rsidP="00377941">
      <w:pPr>
        <w:pStyle w:val="FootnoteText"/>
        <w:rPr>
          <w:rFonts w:ascii="Calibri" w:eastAsia="Calibri" w:hAnsi="Calibri" w:cs="Calibri"/>
          <w:sz w:val="16"/>
          <w:szCs w:val="16"/>
          <w:lang w:val="en-GB"/>
        </w:rPr>
      </w:pPr>
      <w:r w:rsidRPr="009D3428">
        <w:rPr>
          <w:rStyle w:val="FootnoteReference"/>
          <w:rFonts w:ascii="MetaPro-Medi" w:hAnsi="MetaPro-Medi"/>
          <w:sz w:val="22"/>
          <w:szCs w:val="22"/>
        </w:rPr>
        <w:footnoteRef/>
      </w:r>
      <w:r>
        <w:t xml:space="preserve"> </w:t>
      </w:r>
      <w:r w:rsidRPr="00CF5483">
        <w:rPr>
          <w:rFonts w:ascii="MetaPro-Norm" w:hAnsi="MetaPro-Norm"/>
          <w:sz w:val="16"/>
          <w:szCs w:val="16"/>
        </w:rPr>
        <w:t xml:space="preserve">“Armenia: Little Protection, Aid for Domestic Violence Survivors: New Law Should Enhance Safety, Services, Justice,” Human Rights Watch news release, January 12, 2018, </w:t>
      </w:r>
      <w:hyperlink r:id="rId3" w:history="1">
        <w:hyperlink r:id="rId4" w:history="1">
          <w:r w:rsidRPr="00CF5483">
            <w:rPr>
              <w:rFonts w:ascii="MetaPro-Norm" w:hAnsi="MetaPro-Norm"/>
              <w:sz w:val="16"/>
              <w:szCs w:val="16"/>
            </w:rPr>
            <w:t>https://www.hrw.org/news/2018/01/12/armenia-little-protection-aid-domestic-violence-survivors</w:t>
          </w:r>
        </w:hyperlink>
      </w:hyperlink>
      <w:r w:rsidR="00CF5483">
        <w:rPr>
          <w:rFonts w:ascii="MetaPro-Norm" w:hAnsi="MetaPro-Norm"/>
          <w:sz w:val="16"/>
          <w:szCs w:val="16"/>
        </w:rPr>
        <w:t>.</w:t>
      </w:r>
    </w:p>
  </w:footnote>
  <w:footnote w:id="6">
    <w:p w14:paraId="3C70E712" w14:textId="286C65F3" w:rsidR="5637E090" w:rsidRPr="008A158B" w:rsidRDefault="5637E090">
      <w:pPr>
        <w:pStyle w:val="FootnoteText"/>
        <w:rPr>
          <w:rFonts w:ascii="MetaPro-Norm" w:hAnsi="MetaPro-Norm"/>
          <w:sz w:val="16"/>
          <w:szCs w:val="16"/>
        </w:rPr>
      </w:pPr>
      <w:r w:rsidRPr="009D3428">
        <w:rPr>
          <w:rStyle w:val="FootnoteReference"/>
          <w:rFonts w:ascii="MetaPro-Medi" w:hAnsi="MetaPro-Medi"/>
          <w:sz w:val="22"/>
          <w:szCs w:val="22"/>
        </w:rPr>
        <w:footnoteRef/>
      </w:r>
      <w:r>
        <w:t xml:space="preserve"> </w:t>
      </w:r>
      <w:r w:rsidRPr="00CF5483">
        <w:rPr>
          <w:rFonts w:ascii="MetaPro-Norm" w:hAnsi="MetaPro-Norm"/>
          <w:sz w:val="16"/>
          <w:szCs w:val="16"/>
        </w:rPr>
        <w:t>“Information on the Results of the Investigation of Domestic Violence Cases in the Proceedings of the RA Investigation Committee in 2020</w:t>
      </w:r>
      <w:r w:rsidR="00CF5483">
        <w:rPr>
          <w:rFonts w:ascii="MetaPro-Norm" w:hAnsi="MetaPro-Norm"/>
          <w:sz w:val="16"/>
          <w:szCs w:val="16"/>
        </w:rPr>
        <w:t>,</w:t>
      </w:r>
      <w:r w:rsidRPr="00CF5483">
        <w:rPr>
          <w:rFonts w:ascii="MetaPro-Norm" w:hAnsi="MetaPro-Norm"/>
          <w:sz w:val="16"/>
          <w:szCs w:val="16"/>
        </w:rPr>
        <w:t xml:space="preserve">” </w:t>
      </w:r>
      <w:r w:rsidR="00ED51E0" w:rsidRPr="00CF5483">
        <w:rPr>
          <w:rFonts w:ascii="MetaPro-Norm" w:hAnsi="MetaPro-Norm"/>
          <w:sz w:val="16"/>
          <w:szCs w:val="16"/>
        </w:rPr>
        <w:t xml:space="preserve">February 19, 2021, </w:t>
      </w:r>
      <w:r w:rsidR="00BE58C4" w:rsidRPr="00CF5483">
        <w:rPr>
          <w:rFonts w:ascii="MetaPro-Norm" w:hAnsi="MetaPro-Norm"/>
          <w:sz w:val="16"/>
          <w:szCs w:val="16"/>
        </w:rPr>
        <w:t>Investigative Committee of the Republic of Armenia</w:t>
      </w:r>
      <w:r w:rsidR="00BE58C4">
        <w:rPr>
          <w:rFonts w:ascii="MetaPro-Norm" w:hAnsi="MetaPro-Norm"/>
          <w:sz w:val="16"/>
          <w:szCs w:val="16"/>
        </w:rPr>
        <w:t xml:space="preserve"> </w:t>
      </w:r>
      <w:r w:rsidR="009F591F" w:rsidRPr="00CF5483">
        <w:rPr>
          <w:rFonts w:ascii="MetaPro-Norm" w:hAnsi="MetaPro-Norm"/>
          <w:sz w:val="16"/>
          <w:szCs w:val="16"/>
        </w:rPr>
        <w:t>(</w:t>
      </w:r>
      <w:r w:rsidR="00ED51E0" w:rsidRPr="00CF5483">
        <w:rPr>
          <w:rFonts w:ascii="MetaPro-Norm" w:hAnsi="MetaPro-Norm"/>
          <w:sz w:val="16"/>
          <w:szCs w:val="16"/>
        </w:rPr>
        <w:t xml:space="preserve">accessed </w:t>
      </w:r>
      <w:r w:rsidR="02ACAC7C" w:rsidRPr="00CF5483">
        <w:rPr>
          <w:rFonts w:ascii="MetaPro-Norm" w:hAnsi="MetaPro-Norm"/>
          <w:sz w:val="16"/>
          <w:szCs w:val="16"/>
        </w:rPr>
        <w:t>July 27, 2022</w:t>
      </w:r>
      <w:r w:rsidR="0079785A" w:rsidRPr="00CF5483">
        <w:rPr>
          <w:rFonts w:ascii="MetaPro-Norm" w:hAnsi="MetaPro-Norm"/>
          <w:sz w:val="16"/>
          <w:szCs w:val="16"/>
        </w:rPr>
        <w:t>)</w:t>
      </w:r>
      <w:r w:rsidR="00CF5483">
        <w:rPr>
          <w:rFonts w:ascii="MetaPro-Norm" w:hAnsi="MetaPro-Norm"/>
          <w:sz w:val="16"/>
          <w:szCs w:val="16"/>
        </w:rPr>
        <w:t xml:space="preserve">; </w:t>
      </w:r>
      <w:r w:rsidR="008C2987">
        <w:rPr>
          <w:rFonts w:ascii="MetaPro-Norm" w:hAnsi="MetaPro-Norm"/>
          <w:sz w:val="16"/>
          <w:szCs w:val="16"/>
        </w:rPr>
        <w:t>“</w:t>
      </w:r>
      <w:r w:rsidR="008A158B" w:rsidRPr="008A158B">
        <w:rPr>
          <w:rFonts w:ascii="MetaPro-Norm" w:hAnsi="MetaPro-Norm"/>
          <w:sz w:val="16"/>
          <w:szCs w:val="16"/>
        </w:rPr>
        <w:t>Summary information about the criminal cases investigated by the RA Investigative Committee during the first half of 2022 regarding domestic violence</w:t>
      </w:r>
      <w:r w:rsidR="008A158B">
        <w:rPr>
          <w:rFonts w:ascii="MetaPro-Norm" w:hAnsi="MetaPro-Norm"/>
          <w:sz w:val="16"/>
          <w:szCs w:val="16"/>
        </w:rPr>
        <w:t>,</w:t>
      </w:r>
      <w:r w:rsidR="008C2987">
        <w:rPr>
          <w:rFonts w:ascii="MetaPro-Norm" w:hAnsi="MetaPro-Norm"/>
          <w:sz w:val="16"/>
          <w:szCs w:val="16"/>
        </w:rPr>
        <w:t>” Investigative Committee,</w:t>
      </w:r>
      <w:r w:rsidR="008A158B">
        <w:rPr>
          <w:rFonts w:ascii="MetaPro-Norm" w:hAnsi="MetaPro-Norm"/>
          <w:sz w:val="16"/>
          <w:szCs w:val="16"/>
        </w:rPr>
        <w:t xml:space="preserve"> July 27, 2022, </w:t>
      </w:r>
      <w:r w:rsidR="00CF5483" w:rsidRPr="008A158B">
        <w:rPr>
          <w:rFonts w:ascii="MetaPro-Norm" w:hAnsi="MetaPro-Norm"/>
          <w:sz w:val="16"/>
          <w:szCs w:val="16"/>
        </w:rPr>
        <w:t>https://www.investigative.am/news/view/2022-tvakani-arajin-kisamyak-yntanekan-brnutyunner.html</w:t>
      </w:r>
      <w:r w:rsidR="02ACAC7C" w:rsidRPr="00CF5483">
        <w:rPr>
          <w:rFonts w:ascii="MetaPro-Norm" w:hAnsi="MetaPro-Norm"/>
          <w:sz w:val="16"/>
          <w:szCs w:val="16"/>
        </w:rPr>
        <w:t xml:space="preserve"> (accessed September 13, 2022)</w:t>
      </w:r>
      <w:r w:rsidR="008A158B">
        <w:rPr>
          <w:rFonts w:ascii="MetaPro-Norm" w:hAnsi="MetaPro-Norm"/>
          <w:sz w:val="16"/>
          <w:szCs w:val="16"/>
        </w:rPr>
        <w:t>.</w:t>
      </w:r>
    </w:p>
  </w:footnote>
  <w:footnote w:id="7">
    <w:p w14:paraId="26898910" w14:textId="781BE7E6" w:rsidR="64BCEDA3" w:rsidRDefault="64BCEDA3" w:rsidP="00377941">
      <w:pPr>
        <w:pStyle w:val="FootnoteText"/>
        <w:rPr>
          <w:rFonts w:ascii="Calibri" w:eastAsia="Calibri" w:hAnsi="Calibri" w:cs="Calibri"/>
          <w:sz w:val="16"/>
          <w:szCs w:val="16"/>
          <w:lang w:val="en-GB"/>
        </w:rPr>
      </w:pPr>
      <w:r w:rsidRPr="009D3428">
        <w:rPr>
          <w:rStyle w:val="FootnoteReference"/>
          <w:rFonts w:ascii="MetaPro-Medi" w:hAnsi="MetaPro-Medi"/>
          <w:sz w:val="22"/>
          <w:szCs w:val="22"/>
        </w:rPr>
        <w:footnoteRef/>
      </w:r>
      <w:r>
        <w:t xml:space="preserve"> </w:t>
      </w:r>
      <w:r w:rsidRPr="00051EDB">
        <w:rPr>
          <w:rFonts w:ascii="MetaPro-Norm" w:eastAsia="Calibri" w:hAnsi="MetaPro-Norm" w:cs="Calibri"/>
          <w:sz w:val="16"/>
          <w:szCs w:val="16"/>
          <w:lang w:val="en-GB"/>
        </w:rPr>
        <w:t>Anahit Chilingaryan, “Countering Domestic Violence Myths in Armenia: European Rights Body Issues Key Opinion,</w:t>
      </w:r>
      <w:r w:rsidR="00051EDB">
        <w:rPr>
          <w:rFonts w:ascii="MetaPro-Norm" w:eastAsia="Calibri" w:hAnsi="MetaPro-Norm" w:cs="Calibri"/>
          <w:sz w:val="16"/>
          <w:szCs w:val="16"/>
          <w:lang w:val="en-GB"/>
        </w:rPr>
        <w:t xml:space="preserve">” </w:t>
      </w:r>
      <w:r w:rsidRPr="00051EDB">
        <w:rPr>
          <w:rFonts w:ascii="MetaPro-Norm" w:eastAsia="Calibri" w:hAnsi="MetaPro-Norm" w:cs="Calibri"/>
          <w:sz w:val="16"/>
          <w:szCs w:val="16"/>
          <w:lang w:val="en-GB"/>
        </w:rPr>
        <w:t xml:space="preserve">commentary, Human Rights </w:t>
      </w:r>
      <w:r w:rsidR="00051EDB">
        <w:rPr>
          <w:rFonts w:ascii="MetaPro-Norm" w:eastAsia="Calibri" w:hAnsi="MetaPro-Norm" w:cs="Calibri"/>
          <w:sz w:val="16"/>
          <w:szCs w:val="16"/>
          <w:lang w:val="en-GB"/>
        </w:rPr>
        <w:t>D</w:t>
      </w:r>
      <w:r w:rsidRPr="00051EDB">
        <w:rPr>
          <w:rFonts w:ascii="MetaPro-Norm" w:eastAsia="Calibri" w:hAnsi="MetaPro-Norm" w:cs="Calibri"/>
          <w:sz w:val="16"/>
          <w:szCs w:val="16"/>
          <w:lang w:val="en-GB"/>
        </w:rPr>
        <w:t xml:space="preserve">ispatch, October 24, 2019, </w:t>
      </w:r>
      <w:hyperlink r:id="rId5" w:history="1">
        <w:r w:rsidRPr="00051EDB">
          <w:rPr>
            <w:rFonts w:ascii="MetaPro-Norm" w:eastAsia="Calibri" w:hAnsi="MetaPro-Norm" w:cs="Calibri"/>
            <w:sz w:val="16"/>
            <w:szCs w:val="16"/>
            <w:lang w:val="en-GB"/>
          </w:rPr>
          <w:t>https://www.hrw.org/news/2019/10/24/countering-domestic-violence-myths-armenia</w:t>
        </w:r>
      </w:hyperlink>
      <w:r w:rsidR="00051EDB" w:rsidRPr="00051EDB">
        <w:rPr>
          <w:rFonts w:ascii="MetaPro-Norm" w:eastAsia="Calibri" w:hAnsi="MetaPro-Norm" w:cs="Calibri"/>
          <w:sz w:val="16"/>
          <w:szCs w:val="16"/>
          <w:lang w:val="en-GB"/>
        </w:rPr>
        <w:t>.</w:t>
      </w:r>
    </w:p>
  </w:footnote>
  <w:footnote w:id="8">
    <w:p w14:paraId="3719D1E8" w14:textId="2C8C5BB2" w:rsidR="64BCEDA3" w:rsidRDefault="64BCEDA3" w:rsidP="00377941">
      <w:pPr>
        <w:pStyle w:val="FootnoteText"/>
        <w:rPr>
          <w:rStyle w:val="Hyperlink"/>
          <w:rFonts w:ascii="Calibri" w:eastAsia="Calibri" w:hAnsi="Calibri" w:cs="Calibri"/>
          <w:sz w:val="16"/>
          <w:szCs w:val="16"/>
          <w:lang w:val="en-GB"/>
        </w:rPr>
      </w:pPr>
      <w:r w:rsidRPr="009D3428">
        <w:rPr>
          <w:rStyle w:val="FootnoteReference"/>
          <w:rFonts w:ascii="MetaPro-Medi" w:hAnsi="MetaPro-Medi"/>
          <w:sz w:val="22"/>
          <w:szCs w:val="22"/>
        </w:rPr>
        <w:footnoteRef/>
      </w:r>
      <w:r>
        <w:t xml:space="preserve"> </w:t>
      </w:r>
      <w:hyperlink r:id="rId6" w:history="1">
        <w:r w:rsidR="00E93B3A" w:rsidRPr="00E93B3A">
          <w:rPr>
            <w:rFonts w:ascii="MetaPro-Norm" w:eastAsia="Calibri" w:hAnsi="MetaPro-Norm" w:cs="Calibri"/>
            <w:sz w:val="16"/>
            <w:szCs w:val="16"/>
            <w:lang w:val="en-GB"/>
          </w:rPr>
          <w:t>Ibid.</w:t>
        </w:r>
      </w:hyperlink>
    </w:p>
  </w:footnote>
  <w:footnote w:id="9">
    <w:p w14:paraId="25ADF39C" w14:textId="4371D203" w:rsidR="64BCEDA3" w:rsidRDefault="64BCEDA3" w:rsidP="00377941">
      <w:pPr>
        <w:pStyle w:val="FootnoteText"/>
        <w:rPr>
          <w:rFonts w:ascii="MetaPro-Norm" w:hAnsi="MetaPro-Norm"/>
          <w:i/>
          <w:iCs/>
        </w:rPr>
      </w:pPr>
      <w:r w:rsidRPr="009D3428">
        <w:rPr>
          <w:rStyle w:val="FootnoteReference"/>
          <w:rFonts w:ascii="MetaPro-Medi" w:hAnsi="MetaPro-Medi"/>
          <w:sz w:val="22"/>
          <w:szCs w:val="22"/>
        </w:rPr>
        <w:footnoteRef/>
      </w:r>
      <w:r>
        <w:t xml:space="preserve"> </w:t>
      </w:r>
      <w:r w:rsidRPr="00E93B3A">
        <w:rPr>
          <w:rFonts w:ascii="MetaPro-Norm" w:eastAsia="Calibri" w:hAnsi="MetaPro-Norm" w:cs="Calibri"/>
          <w:sz w:val="16"/>
          <w:szCs w:val="16"/>
          <w:lang w:val="en-GB"/>
        </w:rPr>
        <w:t xml:space="preserve">“Armenia: Little Protection, Aid for Domestic Violence Survivors: New Law Should Enhance Safety, Services, Justice,” Human Rights Watch news release, January 12, 2018, </w:t>
      </w:r>
      <w:hyperlink r:id="rId7" w:history="1">
        <w:hyperlink r:id="rId8" w:history="1">
          <w:r w:rsidRPr="00E93B3A">
            <w:rPr>
              <w:rFonts w:ascii="MetaPro-Norm" w:eastAsia="Calibri" w:hAnsi="MetaPro-Norm" w:cs="Calibri"/>
              <w:sz w:val="16"/>
              <w:szCs w:val="16"/>
              <w:lang w:val="en-GB"/>
            </w:rPr>
            <w:t>https://www.hrw.org/news/2018/01/12/armenia-little-protection-aid-domestic-violence-survivors</w:t>
          </w:r>
        </w:hyperlink>
      </w:hyperlink>
      <w:r w:rsidR="00E93B3A">
        <w:rPr>
          <w:rFonts w:ascii="MetaPro-Norm" w:eastAsia="Calibri" w:hAnsi="MetaPro-Norm" w:cs="Calibri"/>
          <w:sz w:val="16"/>
          <w:szCs w:val="16"/>
          <w:lang w:val="en-GB"/>
        </w:rPr>
        <w:t>.</w:t>
      </w:r>
    </w:p>
  </w:footnote>
  <w:footnote w:id="10">
    <w:p w14:paraId="4E37DBEB" w14:textId="66319970" w:rsidR="0004029D" w:rsidRDefault="0004029D">
      <w:pPr>
        <w:pStyle w:val="FootnoteText"/>
      </w:pPr>
      <w:r w:rsidRPr="00E238E4">
        <w:rPr>
          <w:rStyle w:val="FootnoteReference"/>
          <w:rFonts w:ascii="MetaPro-Medi" w:hAnsi="MetaPro-Medi"/>
          <w:sz w:val="22"/>
          <w:szCs w:val="22"/>
        </w:rPr>
        <w:footnoteRef/>
      </w:r>
      <w:r>
        <w:t xml:space="preserve"> </w:t>
      </w:r>
      <w:r w:rsidRPr="002A4724">
        <w:rPr>
          <w:rFonts w:ascii="MetaPro-Norm" w:hAnsi="MetaPro-Norm"/>
          <w:sz w:val="16"/>
          <w:szCs w:val="16"/>
        </w:rPr>
        <w:t>“Global monitoring of school closures caused by Covid-19: Distance learning modalities,” UNESCO, https://covid19.uis.unesco.org/global-monitoring-school-closures-covid19/country-dashboard/ (accessed September 2, 2022).</w:t>
      </w:r>
    </w:p>
  </w:footnote>
  <w:footnote w:id="11">
    <w:p w14:paraId="7BC1A335" w14:textId="7B1EEA1D" w:rsidR="0004029D" w:rsidRDefault="0004029D">
      <w:pPr>
        <w:pStyle w:val="FootnoteText"/>
      </w:pPr>
      <w:r w:rsidRPr="00E238E4">
        <w:rPr>
          <w:rStyle w:val="FootnoteReference"/>
          <w:rFonts w:ascii="MetaPro-Medi" w:hAnsi="MetaPro-Medi"/>
          <w:sz w:val="22"/>
          <w:szCs w:val="22"/>
        </w:rPr>
        <w:footnoteRef/>
      </w:r>
      <w:r>
        <w:t xml:space="preserve"> </w:t>
      </w:r>
      <w:r w:rsidRPr="002A4724">
        <w:rPr>
          <w:rFonts w:ascii="MetaPro-Norm" w:hAnsi="MetaPro-Norm"/>
          <w:sz w:val="16"/>
          <w:szCs w:val="16"/>
        </w:rPr>
        <w:t>“Global monitoring of school closures caused by Covid-19: Data by Country,” UNESCO, https://covid19.uis.unesco.org/global-monitoring-school-closures-covid19/country-dashboard/ (accessed September 2, 2022).</w:t>
      </w:r>
    </w:p>
  </w:footnote>
  <w:footnote w:id="12">
    <w:p w14:paraId="6DF011A4" w14:textId="77777777" w:rsidR="005E7B72" w:rsidRDefault="002F45A8">
      <w:pPr>
        <w:pStyle w:val="FootnoteText"/>
        <w:rPr>
          <w:rFonts w:ascii="MetaPro-Norm" w:hAnsi="MetaPro-Norm"/>
          <w:sz w:val="16"/>
          <w:szCs w:val="16"/>
        </w:rPr>
      </w:pPr>
      <w:r w:rsidRPr="00E238E4">
        <w:rPr>
          <w:rStyle w:val="FootnoteReference"/>
          <w:rFonts w:ascii="MetaPro-Medi" w:hAnsi="MetaPro-Medi"/>
          <w:sz w:val="22"/>
          <w:szCs w:val="22"/>
        </w:rPr>
        <w:footnoteRef/>
      </w:r>
      <w:r w:rsidRPr="00E238E4">
        <w:rPr>
          <w:rStyle w:val="FootnoteReference"/>
          <w:rFonts w:ascii="MetaPro-Medi" w:hAnsi="MetaPro-Medi"/>
          <w:sz w:val="22"/>
          <w:szCs w:val="22"/>
        </w:rPr>
        <w:t xml:space="preserve"> </w:t>
      </w:r>
      <w:r w:rsidR="000A4B63" w:rsidRPr="00E238E4">
        <w:rPr>
          <w:rFonts w:ascii="MetaPro-Norm" w:hAnsi="MetaPro-Norm"/>
          <w:sz w:val="16"/>
          <w:szCs w:val="16"/>
        </w:rPr>
        <w:t>UNICEF</w:t>
      </w:r>
      <w:r w:rsidR="000A4B63">
        <w:t>,</w:t>
      </w:r>
      <w:r w:rsidR="000A4B63" w:rsidRPr="00E238E4">
        <w:rPr>
          <w:rFonts w:ascii="MetaPro-Norm" w:hAnsi="MetaPro-Norm"/>
          <w:sz w:val="16"/>
          <w:szCs w:val="16"/>
        </w:rPr>
        <w:t xml:space="preserve"> </w:t>
      </w:r>
      <w:r w:rsidR="000A4B63" w:rsidRPr="00E238E4">
        <w:rPr>
          <w:rFonts w:ascii="MetaPro-Norm" w:hAnsi="MetaPro-Norm"/>
          <w:i/>
          <w:iCs/>
          <w:sz w:val="16"/>
          <w:szCs w:val="16"/>
        </w:rPr>
        <w:t xml:space="preserve">Distance Education and Remote Learning </w:t>
      </w:r>
      <w:r w:rsidR="0089547F" w:rsidRPr="00E238E4">
        <w:rPr>
          <w:rFonts w:ascii="MetaPro-Norm" w:hAnsi="MetaPro-Norm"/>
          <w:i/>
          <w:iCs/>
          <w:sz w:val="16"/>
          <w:szCs w:val="16"/>
        </w:rPr>
        <w:t>Practices in Armenia: Analysis of the Education System Response to COVID-19</w:t>
      </w:r>
      <w:r w:rsidR="0089547F" w:rsidRPr="00E238E4">
        <w:rPr>
          <w:rFonts w:ascii="MetaPro-Norm" w:hAnsi="MetaPro-Norm"/>
          <w:sz w:val="16"/>
          <w:szCs w:val="16"/>
        </w:rPr>
        <w:t xml:space="preserve">, </w:t>
      </w:r>
      <w:r w:rsidR="00434B07" w:rsidRPr="00E238E4">
        <w:rPr>
          <w:rFonts w:ascii="MetaPro-Norm" w:hAnsi="MetaPro-Norm"/>
          <w:sz w:val="16"/>
          <w:szCs w:val="16"/>
        </w:rPr>
        <w:t>2022, https://www.unicef.org/armenia/media/12701/file/Distance%20Education%20and%20Remote%20Learning%20Practices%</w:t>
      </w:r>
    </w:p>
    <w:p w14:paraId="775C3262" w14:textId="26BE4F2C" w:rsidR="002F45A8" w:rsidRPr="00E238E4" w:rsidRDefault="00434B07">
      <w:pPr>
        <w:pStyle w:val="FootnoteText"/>
        <w:rPr>
          <w:rFonts w:ascii="MetaPro-Norm" w:hAnsi="MetaPro-Norm"/>
          <w:sz w:val="16"/>
          <w:szCs w:val="16"/>
        </w:rPr>
      </w:pPr>
      <w:r w:rsidRPr="00E238E4">
        <w:rPr>
          <w:rFonts w:ascii="MetaPro-Norm" w:hAnsi="MetaPro-Norm"/>
          <w:sz w:val="16"/>
          <w:szCs w:val="16"/>
        </w:rPr>
        <w:t>20in%20Armenia.pdf (accessed September 2, 2022)</w:t>
      </w:r>
      <w:r w:rsidR="002F45A8" w:rsidRPr="00E238E4">
        <w:rPr>
          <w:rFonts w:ascii="MetaPro-Norm" w:hAnsi="MetaPro-Norm"/>
          <w:sz w:val="16"/>
          <w:szCs w:val="16"/>
        </w:rPr>
        <w:t>, p. 12</w:t>
      </w:r>
      <w:r w:rsidR="00E238E4" w:rsidRPr="00E238E4">
        <w:rPr>
          <w:rFonts w:ascii="MetaPro-Norm" w:hAnsi="MetaPro-Norm"/>
          <w:sz w:val="16"/>
          <w:szCs w:val="16"/>
        </w:rPr>
        <w:t>.</w:t>
      </w:r>
    </w:p>
  </w:footnote>
  <w:footnote w:id="13">
    <w:p w14:paraId="00D2642F" w14:textId="77777777" w:rsidR="00F22114" w:rsidRDefault="0004029D" w:rsidP="00F22114">
      <w:pPr>
        <w:pStyle w:val="FootnoteText"/>
        <w:rPr>
          <w:rFonts w:ascii="MetaPro-Norm" w:hAnsi="MetaPro-Norm"/>
          <w:sz w:val="16"/>
          <w:szCs w:val="16"/>
        </w:rPr>
      </w:pPr>
      <w:r w:rsidRPr="00E238E4">
        <w:rPr>
          <w:rStyle w:val="FootnoteReference"/>
          <w:rFonts w:ascii="MetaPro-Medi" w:hAnsi="MetaPro-Medi"/>
          <w:sz w:val="22"/>
          <w:szCs w:val="22"/>
        </w:rPr>
        <w:footnoteRef/>
      </w:r>
      <w:r w:rsidRPr="00E238E4">
        <w:rPr>
          <w:rStyle w:val="FootnoteReference"/>
          <w:rFonts w:ascii="MetaPro-Medi" w:hAnsi="MetaPro-Medi"/>
          <w:sz w:val="22"/>
          <w:szCs w:val="22"/>
        </w:rPr>
        <w:t xml:space="preserve"> </w:t>
      </w:r>
      <w:r w:rsidR="004904A5" w:rsidRPr="00E238E4">
        <w:rPr>
          <w:rFonts w:ascii="MetaPro-Norm" w:hAnsi="MetaPro-Norm"/>
          <w:sz w:val="16"/>
          <w:szCs w:val="16"/>
        </w:rPr>
        <w:t xml:space="preserve">“As COVID-19 numbers </w:t>
      </w:r>
      <w:proofErr w:type="spellStart"/>
      <w:r w:rsidR="004904A5" w:rsidRPr="00E238E4">
        <w:rPr>
          <w:rFonts w:ascii="MetaPro-Norm" w:hAnsi="MetaPro-Norm"/>
          <w:sz w:val="16"/>
          <w:szCs w:val="16"/>
        </w:rPr>
        <w:t>stabilise</w:t>
      </w:r>
      <w:proofErr w:type="spellEnd"/>
      <w:r w:rsidR="004904A5" w:rsidRPr="00E238E4">
        <w:rPr>
          <w:rFonts w:ascii="MetaPro-Norm" w:hAnsi="MetaPro-Norm"/>
          <w:sz w:val="16"/>
          <w:szCs w:val="16"/>
        </w:rPr>
        <w:t xml:space="preserve"> Armenia goes back to school,” </w:t>
      </w:r>
      <w:r w:rsidR="00D74B17" w:rsidRPr="00E238E4">
        <w:rPr>
          <w:rFonts w:ascii="MetaPro-Norm" w:hAnsi="MetaPro-Norm"/>
          <w:i/>
          <w:iCs/>
          <w:sz w:val="16"/>
          <w:szCs w:val="16"/>
        </w:rPr>
        <w:t>OC Media</w:t>
      </w:r>
      <w:r w:rsidR="00D74B17" w:rsidRPr="00E238E4">
        <w:rPr>
          <w:rFonts w:ascii="MetaPro-Norm" w:hAnsi="MetaPro-Norm"/>
          <w:sz w:val="16"/>
          <w:szCs w:val="16"/>
        </w:rPr>
        <w:t xml:space="preserve">, </w:t>
      </w:r>
      <w:r w:rsidR="004904A5" w:rsidRPr="00E238E4">
        <w:rPr>
          <w:rFonts w:ascii="MetaPro-Norm" w:hAnsi="MetaPro-Norm"/>
          <w:sz w:val="16"/>
          <w:szCs w:val="16"/>
        </w:rPr>
        <w:t xml:space="preserve">September 15, 2020, </w:t>
      </w:r>
      <w:r w:rsidRPr="00E238E4">
        <w:rPr>
          <w:rFonts w:ascii="MetaPro-Norm" w:hAnsi="MetaPro-Norm"/>
          <w:sz w:val="16"/>
          <w:szCs w:val="16"/>
        </w:rPr>
        <w:t>https://oc-media.org/as-covid-19-numbers-stabilise-armenia-goes-back-to-school/</w:t>
      </w:r>
      <w:r w:rsidR="004904A5" w:rsidRPr="00E238E4">
        <w:rPr>
          <w:rFonts w:ascii="MetaPro-Norm" w:hAnsi="MetaPro-Norm"/>
          <w:sz w:val="16"/>
          <w:szCs w:val="16"/>
        </w:rPr>
        <w:t xml:space="preserve"> (accessed September 2, 2022)</w:t>
      </w:r>
      <w:r w:rsidR="00F22114">
        <w:rPr>
          <w:rFonts w:ascii="MetaPro-Norm" w:hAnsi="MetaPro-Norm"/>
          <w:sz w:val="16"/>
          <w:szCs w:val="16"/>
        </w:rPr>
        <w:t xml:space="preserve">; </w:t>
      </w:r>
      <w:r w:rsidR="00F22114" w:rsidRPr="00E238E4">
        <w:rPr>
          <w:rFonts w:ascii="MetaPro-Norm" w:hAnsi="MetaPro-Norm"/>
          <w:sz w:val="16"/>
          <w:szCs w:val="16"/>
        </w:rPr>
        <w:t>UNICEF</w:t>
      </w:r>
      <w:r w:rsidR="00F22114">
        <w:t>,</w:t>
      </w:r>
      <w:r w:rsidR="00F22114" w:rsidRPr="00E238E4">
        <w:rPr>
          <w:rFonts w:ascii="MetaPro-Norm" w:hAnsi="MetaPro-Norm"/>
          <w:sz w:val="16"/>
          <w:szCs w:val="16"/>
        </w:rPr>
        <w:t xml:space="preserve"> </w:t>
      </w:r>
      <w:r w:rsidR="00F22114" w:rsidRPr="00E238E4">
        <w:rPr>
          <w:rFonts w:ascii="MetaPro-Norm" w:hAnsi="MetaPro-Norm"/>
          <w:i/>
          <w:iCs/>
          <w:sz w:val="16"/>
          <w:szCs w:val="16"/>
        </w:rPr>
        <w:t>Distance Education and Remote Learning Practices in Armenia: Analysis of the Education System Response to COVID-19</w:t>
      </w:r>
      <w:r w:rsidR="00F22114" w:rsidRPr="00E238E4">
        <w:rPr>
          <w:rFonts w:ascii="MetaPro-Norm" w:hAnsi="MetaPro-Norm"/>
          <w:sz w:val="16"/>
          <w:szCs w:val="16"/>
        </w:rPr>
        <w:t>, 2022, https://www.unicef.org/armenia/media/12701/file/Distance%20Education%20and%20Remote%20Learning%20Practices%</w:t>
      </w:r>
    </w:p>
    <w:p w14:paraId="306A6C49" w14:textId="1AE0E117" w:rsidR="0004029D" w:rsidRDefault="00F22114" w:rsidP="00F22114">
      <w:pPr>
        <w:pStyle w:val="FootnoteText"/>
      </w:pPr>
      <w:r w:rsidRPr="00E238E4">
        <w:rPr>
          <w:rFonts w:ascii="MetaPro-Norm" w:hAnsi="MetaPro-Norm"/>
          <w:sz w:val="16"/>
          <w:szCs w:val="16"/>
        </w:rPr>
        <w:t>20in%20Armenia.pdf (accessed September 2, 2022), p. 12.</w:t>
      </w:r>
    </w:p>
  </w:footnote>
  <w:footnote w:id="14">
    <w:p w14:paraId="27B5B070" w14:textId="79B81AC2" w:rsidR="000A736D" w:rsidRDefault="000A736D">
      <w:pPr>
        <w:pStyle w:val="FootnoteText"/>
      </w:pPr>
      <w:r w:rsidRPr="00E238E4">
        <w:rPr>
          <w:rStyle w:val="FootnoteReference"/>
          <w:rFonts w:ascii="MetaPro-Medi" w:hAnsi="MetaPro-Medi"/>
          <w:sz w:val="22"/>
          <w:szCs w:val="22"/>
        </w:rPr>
        <w:footnoteRef/>
      </w:r>
      <w:r>
        <w:t xml:space="preserve"> </w:t>
      </w:r>
      <w:r w:rsidRPr="00E238E4">
        <w:rPr>
          <w:rFonts w:ascii="MetaPro-Norm" w:hAnsi="MetaPro-Norm"/>
          <w:sz w:val="16"/>
          <w:szCs w:val="16"/>
        </w:rPr>
        <w:t xml:space="preserve">Human Rights Watch interview with 16-year-old student, Armavir, Armenia, </w:t>
      </w:r>
      <w:r w:rsidR="00DE2309" w:rsidRPr="00E238E4">
        <w:rPr>
          <w:rFonts w:ascii="MetaPro-Norm" w:hAnsi="MetaPro-Norm"/>
          <w:sz w:val="16"/>
          <w:szCs w:val="16"/>
        </w:rPr>
        <w:t>June 16, 2020.</w:t>
      </w:r>
    </w:p>
  </w:footnote>
  <w:footnote w:id="15">
    <w:p w14:paraId="6ED83EB7" w14:textId="43398418" w:rsidR="00DE2309" w:rsidRDefault="00DE2309">
      <w:pPr>
        <w:pStyle w:val="FootnoteText"/>
      </w:pPr>
      <w:r w:rsidRPr="00E238E4">
        <w:rPr>
          <w:rStyle w:val="FootnoteReference"/>
          <w:rFonts w:ascii="MetaPro-Medi" w:hAnsi="MetaPro-Medi"/>
          <w:sz w:val="22"/>
          <w:szCs w:val="22"/>
        </w:rPr>
        <w:footnoteRef/>
      </w:r>
      <w:r>
        <w:t xml:space="preserve"> </w:t>
      </w:r>
      <w:r w:rsidRPr="00E238E4">
        <w:rPr>
          <w:rFonts w:ascii="MetaPro-Norm" w:hAnsi="MetaPro-Norm"/>
          <w:sz w:val="16"/>
          <w:szCs w:val="16"/>
        </w:rPr>
        <w:t>Ibid.</w:t>
      </w:r>
    </w:p>
  </w:footnote>
  <w:footnote w:id="16">
    <w:p w14:paraId="3EAFFCCC" w14:textId="60818DE3" w:rsidR="00573CD9" w:rsidRDefault="00573CD9">
      <w:pPr>
        <w:pStyle w:val="FootnoteText"/>
      </w:pPr>
      <w:r w:rsidRPr="00E238E4">
        <w:rPr>
          <w:rStyle w:val="FootnoteReference"/>
          <w:rFonts w:ascii="MetaPro-Medi" w:hAnsi="MetaPro-Medi"/>
          <w:sz w:val="22"/>
          <w:szCs w:val="22"/>
        </w:rPr>
        <w:footnoteRef/>
      </w:r>
      <w:r>
        <w:t xml:space="preserve"> </w:t>
      </w:r>
      <w:r w:rsidRPr="00E238E4">
        <w:rPr>
          <w:rFonts w:ascii="MetaPro-Norm" w:hAnsi="MetaPro-Norm"/>
          <w:sz w:val="16"/>
          <w:szCs w:val="16"/>
        </w:rPr>
        <w:t>Ibid.</w:t>
      </w:r>
    </w:p>
  </w:footnote>
  <w:footnote w:id="17">
    <w:p w14:paraId="6E47AA48" w14:textId="42D07811" w:rsidR="000A3B50" w:rsidRDefault="000A3B50">
      <w:pPr>
        <w:pStyle w:val="FootnoteText"/>
      </w:pPr>
      <w:r w:rsidRPr="00E238E4">
        <w:rPr>
          <w:rStyle w:val="FootnoteReference"/>
          <w:rFonts w:ascii="MetaPro-Medi" w:hAnsi="MetaPro-Medi"/>
          <w:sz w:val="22"/>
          <w:szCs w:val="22"/>
        </w:rPr>
        <w:footnoteRef/>
      </w:r>
      <w:r w:rsidRPr="00E238E4">
        <w:rPr>
          <w:rStyle w:val="FootnoteReference"/>
          <w:rFonts w:ascii="MetaPro-Medi" w:hAnsi="MetaPro-Medi"/>
          <w:sz w:val="22"/>
          <w:szCs w:val="22"/>
        </w:rPr>
        <w:t xml:space="preserve"> </w:t>
      </w:r>
      <w:r w:rsidRPr="00E238E4">
        <w:rPr>
          <w:rFonts w:ascii="MetaPro-Norm" w:hAnsi="MetaPro-Norm"/>
          <w:sz w:val="16"/>
          <w:szCs w:val="16"/>
        </w:rPr>
        <w:t>Human Rights Watch interview with mother, Yerevan, Armenia, via phone, April 29, 2020.</w:t>
      </w:r>
    </w:p>
  </w:footnote>
  <w:footnote w:id="18">
    <w:p w14:paraId="37C033D3" w14:textId="47996652" w:rsidR="00CC4FF6" w:rsidRDefault="00CC4FF6">
      <w:pPr>
        <w:pStyle w:val="FootnoteText"/>
      </w:pPr>
      <w:r w:rsidRPr="00E238E4">
        <w:rPr>
          <w:rStyle w:val="FootnoteReference"/>
          <w:rFonts w:ascii="MetaPro-Medi" w:hAnsi="MetaPro-Medi"/>
          <w:sz w:val="22"/>
          <w:szCs w:val="22"/>
        </w:rPr>
        <w:footnoteRef/>
      </w:r>
      <w:r>
        <w:t xml:space="preserve"> </w:t>
      </w:r>
      <w:r w:rsidRPr="00804D95">
        <w:rPr>
          <w:rFonts w:ascii="MetaPro-Norm" w:hAnsi="MetaPro-Norm"/>
          <w:sz w:val="16"/>
          <w:szCs w:val="16"/>
        </w:rPr>
        <w:t>Human Rights Watch interview with 13-year-old boy via Zoom, June 30, 2020.</w:t>
      </w:r>
    </w:p>
  </w:footnote>
  <w:footnote w:id="19">
    <w:p w14:paraId="26FCC505" w14:textId="77777777" w:rsidR="00520527" w:rsidRDefault="00520527" w:rsidP="00520527">
      <w:pPr>
        <w:pStyle w:val="FootnoteText"/>
      </w:pPr>
      <w:r w:rsidRPr="00E238E4">
        <w:rPr>
          <w:rStyle w:val="FootnoteReference"/>
          <w:rFonts w:ascii="MetaPro-Medi" w:hAnsi="MetaPro-Medi"/>
          <w:sz w:val="22"/>
          <w:szCs w:val="22"/>
        </w:rPr>
        <w:footnoteRef/>
      </w:r>
      <w:r>
        <w:t xml:space="preserve"> </w:t>
      </w:r>
      <w:r w:rsidRPr="00804D95">
        <w:rPr>
          <w:rFonts w:ascii="MetaPro-Norm" w:hAnsi="MetaPro-Norm"/>
          <w:sz w:val="16"/>
          <w:szCs w:val="16"/>
        </w:rPr>
        <w:t>Ibid.</w:t>
      </w:r>
    </w:p>
  </w:footnote>
  <w:footnote w:id="20">
    <w:p w14:paraId="070B4F11" w14:textId="5C26521D" w:rsidR="002178E9" w:rsidRDefault="002178E9">
      <w:pPr>
        <w:pStyle w:val="FootnoteText"/>
      </w:pPr>
      <w:r w:rsidRPr="00E238E4">
        <w:rPr>
          <w:rStyle w:val="FootnoteReference"/>
          <w:rFonts w:ascii="MetaPro-Medi" w:hAnsi="MetaPro-Medi"/>
          <w:sz w:val="22"/>
          <w:szCs w:val="22"/>
        </w:rPr>
        <w:footnoteRef/>
      </w:r>
      <w:r>
        <w:t xml:space="preserve"> </w:t>
      </w:r>
      <w:r w:rsidRPr="00804D95">
        <w:rPr>
          <w:rFonts w:ascii="MetaPro-Norm" w:hAnsi="MetaPro-Norm"/>
          <w:sz w:val="16"/>
          <w:szCs w:val="16"/>
        </w:rPr>
        <w:t>Human Rights Watch interview with mother, Yerevan, Armenia, via phone, April 29, 2020.</w:t>
      </w:r>
    </w:p>
  </w:footnote>
  <w:footnote w:id="21">
    <w:p w14:paraId="616642C3" w14:textId="226700FE" w:rsidR="009C5C8A" w:rsidRPr="00804D95" w:rsidRDefault="009C5C8A" w:rsidP="00233B83">
      <w:pPr>
        <w:pStyle w:val="FootnoteText"/>
        <w:rPr>
          <w:rFonts w:ascii="MetaPro-Norm" w:hAnsi="MetaPro-Norm"/>
          <w:sz w:val="16"/>
          <w:szCs w:val="16"/>
        </w:rPr>
      </w:pPr>
      <w:r w:rsidRPr="00E238E4">
        <w:rPr>
          <w:rStyle w:val="FootnoteReference"/>
          <w:rFonts w:ascii="MetaPro-Medi" w:hAnsi="MetaPro-Medi"/>
          <w:sz w:val="22"/>
          <w:szCs w:val="22"/>
        </w:rPr>
        <w:footnoteRef/>
      </w:r>
      <w:r w:rsidRPr="00E238E4">
        <w:rPr>
          <w:rStyle w:val="FootnoteReference"/>
          <w:rFonts w:ascii="MetaPro-Medi" w:hAnsi="MetaPro-Medi"/>
          <w:sz w:val="22"/>
          <w:szCs w:val="22"/>
        </w:rPr>
        <w:t xml:space="preserve"> </w:t>
      </w:r>
      <w:r w:rsidR="00233B83" w:rsidRPr="00804D95">
        <w:rPr>
          <w:rFonts w:ascii="MetaPro-Norm" w:hAnsi="MetaPro-Norm"/>
          <w:sz w:val="16"/>
          <w:szCs w:val="16"/>
        </w:rPr>
        <w:t xml:space="preserve">Bill Van Esveld and Tanya Lokshina, </w:t>
      </w:r>
      <w:r w:rsidR="00622042" w:rsidRPr="00804D95">
        <w:rPr>
          <w:rFonts w:ascii="MetaPro-Norm" w:hAnsi="MetaPro-Norm"/>
          <w:sz w:val="16"/>
          <w:szCs w:val="16"/>
        </w:rPr>
        <w:t xml:space="preserve">“Lessons of War: </w:t>
      </w:r>
      <w:r w:rsidR="00622042" w:rsidRPr="00622042">
        <w:rPr>
          <w:rFonts w:ascii="MetaPro-Norm" w:hAnsi="MetaPro-Norm"/>
          <w:sz w:val="16"/>
          <w:szCs w:val="16"/>
        </w:rPr>
        <w:t>Attacks on Schools During the Nagorno-Karabakh War</w:t>
      </w:r>
      <w:r w:rsidR="00622042" w:rsidRPr="00804D95">
        <w:rPr>
          <w:rFonts w:ascii="MetaPro-Norm" w:hAnsi="MetaPro-Norm"/>
          <w:sz w:val="16"/>
          <w:szCs w:val="16"/>
        </w:rPr>
        <w:t xml:space="preserve">,” </w:t>
      </w:r>
      <w:r w:rsidR="00EA3E2B" w:rsidRPr="00804D95">
        <w:rPr>
          <w:rFonts w:ascii="MetaPro-Norm" w:hAnsi="MetaPro-Norm"/>
          <w:sz w:val="16"/>
          <w:szCs w:val="16"/>
        </w:rPr>
        <w:t xml:space="preserve">commentary, </w:t>
      </w:r>
      <w:r w:rsidR="00083BD8" w:rsidRPr="00804D95">
        <w:rPr>
          <w:rFonts w:ascii="MetaPro-Norm" w:hAnsi="MetaPro-Norm"/>
          <w:sz w:val="16"/>
          <w:szCs w:val="16"/>
        </w:rPr>
        <w:t xml:space="preserve">Human Rights Watch witness piece, September 8, 2021, </w:t>
      </w:r>
      <w:r w:rsidR="007B53CF" w:rsidRPr="00804D95">
        <w:rPr>
          <w:rFonts w:ascii="MetaPro-Norm" w:hAnsi="MetaPro-Norm"/>
          <w:sz w:val="16"/>
          <w:szCs w:val="16"/>
        </w:rPr>
        <w:t>https://www.hrw.org/news/2021/09/08/</w:t>
      </w:r>
      <w:r w:rsidR="006840C6" w:rsidRPr="00804D95">
        <w:rPr>
          <w:rFonts w:ascii="MetaPro-Norm" w:hAnsi="MetaPro-Norm"/>
          <w:sz w:val="16"/>
          <w:szCs w:val="16"/>
        </w:rPr>
        <w:t>lessons-war</w:t>
      </w:r>
      <w:r w:rsidR="007B53CF" w:rsidRPr="00804D95">
        <w:rPr>
          <w:rFonts w:ascii="MetaPro-Norm" w:hAnsi="MetaPro-Norm"/>
          <w:sz w:val="16"/>
          <w:szCs w:val="16"/>
        </w:rPr>
        <w:t>.</w:t>
      </w:r>
    </w:p>
  </w:footnote>
  <w:footnote w:id="22">
    <w:p w14:paraId="3130F517" w14:textId="77777777" w:rsidR="00E95D80" w:rsidRDefault="00E95D80" w:rsidP="00E95D80">
      <w:pPr>
        <w:pStyle w:val="FootnoteText"/>
      </w:pPr>
      <w:r w:rsidRPr="00E238E4">
        <w:rPr>
          <w:rStyle w:val="FootnoteReference"/>
          <w:rFonts w:ascii="MetaPro-Medi" w:hAnsi="MetaPro-Medi"/>
          <w:sz w:val="22"/>
          <w:szCs w:val="22"/>
        </w:rPr>
        <w:footnoteRef/>
      </w:r>
      <w:r>
        <w:t xml:space="preserve"> </w:t>
      </w:r>
      <w:r w:rsidRPr="005C468B">
        <w:rPr>
          <w:rFonts w:ascii="MetaPro-Norm" w:hAnsi="MetaPro-Norm"/>
          <w:sz w:val="16"/>
          <w:szCs w:val="16"/>
        </w:rPr>
        <w:t>U</w:t>
      </w:r>
      <w:r>
        <w:rPr>
          <w:rFonts w:ascii="MetaPro-Norm" w:hAnsi="MetaPro-Norm"/>
          <w:sz w:val="16"/>
          <w:szCs w:val="16"/>
        </w:rPr>
        <w:t>nited Nations</w:t>
      </w:r>
      <w:r w:rsidRPr="005C468B">
        <w:rPr>
          <w:rFonts w:ascii="MetaPro-Norm" w:hAnsi="MetaPro-Norm"/>
          <w:sz w:val="16"/>
          <w:szCs w:val="16"/>
        </w:rPr>
        <w:t xml:space="preserve"> Committee on the Elimination of Discrimination against Women, General Recommendation 30, Women in conflict prevention, conflict and post-conflict situations (2013), Compilation of General Comments and General Recommendations Adopted, UN Doc. CEDAW/C/GC/30 (2013). </w:t>
      </w:r>
    </w:p>
  </w:footnote>
  <w:footnote w:id="23">
    <w:p w14:paraId="75FC4F9C" w14:textId="77777777" w:rsidR="0062556A" w:rsidRDefault="0062556A" w:rsidP="0062556A">
      <w:pPr>
        <w:pStyle w:val="FootnoteText"/>
      </w:pPr>
      <w:r w:rsidRPr="00B57AC4">
        <w:rPr>
          <w:rStyle w:val="FootnoteReference"/>
          <w:rFonts w:ascii="MetaPro-Medi" w:hAnsi="MetaPro-Medi"/>
          <w:sz w:val="22"/>
          <w:szCs w:val="22"/>
        </w:rPr>
        <w:footnoteRef/>
      </w:r>
      <w:r w:rsidRPr="00B57AC4">
        <w:rPr>
          <w:rStyle w:val="FootnoteReference"/>
          <w:rFonts w:ascii="MetaPro-Medi" w:hAnsi="MetaPro-Medi"/>
          <w:sz w:val="22"/>
          <w:szCs w:val="22"/>
        </w:rPr>
        <w:t xml:space="preserve"> </w:t>
      </w:r>
      <w:r>
        <w:rPr>
          <w:rFonts w:ascii="MetaPro-Norm" w:hAnsi="MetaPro-Norm"/>
          <w:sz w:val="16"/>
          <w:szCs w:val="16"/>
        </w:rPr>
        <w:t>Global Coalition to Protect Education from Attack</w:t>
      </w:r>
      <w:r w:rsidRPr="001F7DF2">
        <w:rPr>
          <w:rFonts w:ascii="MetaPro-Norm" w:hAnsi="MetaPro-Norm"/>
          <w:sz w:val="16"/>
          <w:szCs w:val="16"/>
        </w:rPr>
        <w:t xml:space="preserve">, “Safe Schools Declaration Endorsements,” https://ssd.protectingeducation.org/endorsement/ (accessed </w:t>
      </w:r>
      <w:r>
        <w:rPr>
          <w:rFonts w:ascii="MetaPro-Norm" w:hAnsi="MetaPro-Norm"/>
          <w:sz w:val="16"/>
          <w:szCs w:val="16"/>
        </w:rPr>
        <w:t>September 2,</w:t>
      </w:r>
      <w:r w:rsidRPr="001F7DF2">
        <w:rPr>
          <w:rFonts w:ascii="MetaPro-Norm" w:hAnsi="MetaPro-Norm"/>
          <w:sz w:val="16"/>
          <w:szCs w:val="16"/>
        </w:rPr>
        <w:t xml:space="preserve"> 2022).</w:t>
      </w:r>
    </w:p>
  </w:footnote>
  <w:footnote w:id="24">
    <w:p w14:paraId="122EADB4" w14:textId="0E259245" w:rsidR="00396E48" w:rsidRDefault="00396E48" w:rsidP="00396E48">
      <w:pPr>
        <w:pStyle w:val="FootnoteText"/>
      </w:pPr>
      <w:r w:rsidRPr="00832C4C">
        <w:rPr>
          <w:rStyle w:val="FootnoteReference"/>
          <w:rFonts w:ascii="MetaPro-Medi" w:hAnsi="MetaPro-Medi"/>
          <w:sz w:val="22"/>
          <w:szCs w:val="22"/>
        </w:rPr>
        <w:footnoteRef/>
      </w:r>
      <w:r>
        <w:t xml:space="preserve"> </w:t>
      </w:r>
      <w:r w:rsidR="00E445E1">
        <w:t>“</w:t>
      </w:r>
      <w:r w:rsidRPr="001F7DF2">
        <w:rPr>
          <w:rFonts w:ascii="MetaPro-Norm" w:hAnsi="MetaPro-Norm"/>
          <w:sz w:val="16"/>
          <w:szCs w:val="16"/>
        </w:rPr>
        <w:t>Safe Schools Declaration,</w:t>
      </w:r>
      <w:r w:rsidR="00E445E1">
        <w:rPr>
          <w:rFonts w:ascii="MetaPro-Norm" w:hAnsi="MetaPro-Norm"/>
          <w:sz w:val="16"/>
          <w:szCs w:val="16"/>
        </w:rPr>
        <w:t>”</w:t>
      </w:r>
      <w:r w:rsidRPr="001F7DF2">
        <w:rPr>
          <w:rFonts w:ascii="MetaPro-Norm" w:hAnsi="MetaPro-Norm"/>
          <w:sz w:val="16"/>
          <w:szCs w:val="16"/>
        </w:rPr>
        <w:t xml:space="preserve"> 2015, https://www.regjeringen.no/globalassets/departementene/ud/vedlegg/utvikling/safe_schools_declaration.pdf</w:t>
      </w:r>
      <w:r>
        <w:rPr>
          <w:rFonts w:ascii="MetaPro-Norm" w:hAnsi="MetaPro-Norm"/>
          <w:sz w:val="16"/>
          <w:szCs w:val="16"/>
        </w:rPr>
        <w:t xml:space="preserve"> (accessed August 23, 2022)</w:t>
      </w:r>
      <w:r w:rsidRPr="001F7DF2">
        <w:rPr>
          <w:rFonts w:ascii="MetaPro-Norm" w:hAnsi="MetaPro-Norm"/>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4BCEDA3" w14:paraId="2CAE8092" w14:textId="77777777" w:rsidTr="00514125">
      <w:tc>
        <w:tcPr>
          <w:tcW w:w="3120" w:type="dxa"/>
        </w:tcPr>
        <w:p w14:paraId="29EAEE41" w14:textId="09B7D81A" w:rsidR="64BCEDA3" w:rsidRDefault="64BCEDA3" w:rsidP="00514125">
          <w:pPr>
            <w:pStyle w:val="Header"/>
            <w:ind w:left="-115"/>
          </w:pPr>
        </w:p>
      </w:tc>
      <w:tc>
        <w:tcPr>
          <w:tcW w:w="3120" w:type="dxa"/>
        </w:tcPr>
        <w:p w14:paraId="0ACABEEF" w14:textId="5B73DB4C" w:rsidR="64BCEDA3" w:rsidRDefault="64BCEDA3" w:rsidP="00514125">
          <w:pPr>
            <w:pStyle w:val="Header"/>
            <w:jc w:val="center"/>
          </w:pPr>
        </w:p>
      </w:tc>
      <w:tc>
        <w:tcPr>
          <w:tcW w:w="3120" w:type="dxa"/>
        </w:tcPr>
        <w:p w14:paraId="0F526C03" w14:textId="23A151F4" w:rsidR="64BCEDA3" w:rsidRDefault="64BCEDA3" w:rsidP="00514125">
          <w:pPr>
            <w:pStyle w:val="Header"/>
            <w:ind w:right="-115"/>
            <w:jc w:val="right"/>
          </w:pPr>
        </w:p>
      </w:tc>
    </w:tr>
  </w:tbl>
  <w:p w14:paraId="47A730A7" w14:textId="31E32E84" w:rsidR="64BCEDA3" w:rsidRDefault="64BCEDA3" w:rsidP="00514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1C1D"/>
    <w:multiLevelType w:val="hybridMultilevel"/>
    <w:tmpl w:val="5EFE8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64C0C"/>
    <w:multiLevelType w:val="hybridMultilevel"/>
    <w:tmpl w:val="38522E72"/>
    <w:lvl w:ilvl="0" w:tplc="BF6404D2">
      <w:numFmt w:val="bullet"/>
      <w:lvlText w:val=""/>
      <w:lvlJc w:val="left"/>
      <w:pPr>
        <w:ind w:left="720" w:hanging="360"/>
      </w:pPr>
      <w:rPr>
        <w:rFonts w:ascii="Symbol" w:eastAsia="MetaPro-Norm" w:hAnsi="Symbol" w:cs="MetaPro-Nor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BD81B"/>
    <w:multiLevelType w:val="hybridMultilevel"/>
    <w:tmpl w:val="FFFFFFFF"/>
    <w:lvl w:ilvl="0" w:tplc="666CBB4A">
      <w:start w:val="1"/>
      <w:numFmt w:val="bullet"/>
      <w:lvlText w:val="·"/>
      <w:lvlJc w:val="left"/>
      <w:pPr>
        <w:ind w:left="720" w:hanging="360"/>
      </w:pPr>
      <w:rPr>
        <w:rFonts w:ascii="Symbol" w:hAnsi="Symbol" w:hint="default"/>
      </w:rPr>
    </w:lvl>
    <w:lvl w:ilvl="1" w:tplc="B28EA68A">
      <w:start w:val="1"/>
      <w:numFmt w:val="bullet"/>
      <w:lvlText w:val="o"/>
      <w:lvlJc w:val="left"/>
      <w:pPr>
        <w:ind w:left="1440" w:hanging="360"/>
      </w:pPr>
      <w:rPr>
        <w:rFonts w:ascii="Courier New" w:hAnsi="Courier New" w:hint="default"/>
      </w:rPr>
    </w:lvl>
    <w:lvl w:ilvl="2" w:tplc="AB508DDC">
      <w:start w:val="1"/>
      <w:numFmt w:val="bullet"/>
      <w:lvlText w:val=""/>
      <w:lvlJc w:val="left"/>
      <w:pPr>
        <w:ind w:left="2160" w:hanging="360"/>
      </w:pPr>
      <w:rPr>
        <w:rFonts w:ascii="Wingdings" w:hAnsi="Wingdings" w:hint="default"/>
      </w:rPr>
    </w:lvl>
    <w:lvl w:ilvl="3" w:tplc="A3F80D14">
      <w:start w:val="1"/>
      <w:numFmt w:val="bullet"/>
      <w:lvlText w:val=""/>
      <w:lvlJc w:val="left"/>
      <w:pPr>
        <w:ind w:left="2880" w:hanging="360"/>
      </w:pPr>
      <w:rPr>
        <w:rFonts w:ascii="Symbol" w:hAnsi="Symbol" w:hint="default"/>
      </w:rPr>
    </w:lvl>
    <w:lvl w:ilvl="4" w:tplc="FF5CF402">
      <w:start w:val="1"/>
      <w:numFmt w:val="bullet"/>
      <w:lvlText w:val="o"/>
      <w:lvlJc w:val="left"/>
      <w:pPr>
        <w:ind w:left="3600" w:hanging="360"/>
      </w:pPr>
      <w:rPr>
        <w:rFonts w:ascii="Courier New" w:hAnsi="Courier New" w:hint="default"/>
      </w:rPr>
    </w:lvl>
    <w:lvl w:ilvl="5" w:tplc="85F23B98">
      <w:start w:val="1"/>
      <w:numFmt w:val="bullet"/>
      <w:lvlText w:val=""/>
      <w:lvlJc w:val="left"/>
      <w:pPr>
        <w:ind w:left="4320" w:hanging="360"/>
      </w:pPr>
      <w:rPr>
        <w:rFonts w:ascii="Wingdings" w:hAnsi="Wingdings" w:hint="default"/>
      </w:rPr>
    </w:lvl>
    <w:lvl w:ilvl="6" w:tplc="BFC0DCEE">
      <w:start w:val="1"/>
      <w:numFmt w:val="bullet"/>
      <w:lvlText w:val=""/>
      <w:lvlJc w:val="left"/>
      <w:pPr>
        <w:ind w:left="5040" w:hanging="360"/>
      </w:pPr>
      <w:rPr>
        <w:rFonts w:ascii="Symbol" w:hAnsi="Symbol" w:hint="default"/>
      </w:rPr>
    </w:lvl>
    <w:lvl w:ilvl="7" w:tplc="191832BE">
      <w:start w:val="1"/>
      <w:numFmt w:val="bullet"/>
      <w:lvlText w:val="o"/>
      <w:lvlJc w:val="left"/>
      <w:pPr>
        <w:ind w:left="5760" w:hanging="360"/>
      </w:pPr>
      <w:rPr>
        <w:rFonts w:ascii="Courier New" w:hAnsi="Courier New" w:hint="default"/>
      </w:rPr>
    </w:lvl>
    <w:lvl w:ilvl="8" w:tplc="1B48D874">
      <w:start w:val="1"/>
      <w:numFmt w:val="bullet"/>
      <w:lvlText w:val=""/>
      <w:lvlJc w:val="left"/>
      <w:pPr>
        <w:ind w:left="6480" w:hanging="360"/>
      </w:pPr>
      <w:rPr>
        <w:rFonts w:ascii="Wingdings" w:hAnsi="Wingdings" w:hint="default"/>
      </w:rPr>
    </w:lvl>
  </w:abstractNum>
  <w:abstractNum w:abstractNumId="4" w15:restartNumberingAfterBreak="0">
    <w:nsid w:val="3A8B21F9"/>
    <w:multiLevelType w:val="hybridMultilevel"/>
    <w:tmpl w:val="1F0EAE94"/>
    <w:lvl w:ilvl="0" w:tplc="3ECC689A">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C40760"/>
    <w:multiLevelType w:val="hybridMultilevel"/>
    <w:tmpl w:val="6FEC328A"/>
    <w:lvl w:ilvl="0" w:tplc="2DD8195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5821081">
    <w:abstractNumId w:val="3"/>
  </w:num>
  <w:num w:numId="2" w16cid:durableId="600377970">
    <w:abstractNumId w:val="1"/>
  </w:num>
  <w:num w:numId="3" w16cid:durableId="728769416">
    <w:abstractNumId w:val="4"/>
  </w:num>
  <w:num w:numId="4" w16cid:durableId="59599337">
    <w:abstractNumId w:val="2"/>
  </w:num>
  <w:num w:numId="5" w16cid:durableId="488793545">
    <w:abstractNumId w:val="5"/>
  </w:num>
  <w:num w:numId="6" w16cid:durableId="131749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B20"/>
    <w:rsid w:val="00010478"/>
    <w:rsid w:val="00013B82"/>
    <w:rsid w:val="00013D86"/>
    <w:rsid w:val="00031AFB"/>
    <w:rsid w:val="0004029D"/>
    <w:rsid w:val="00047C12"/>
    <w:rsid w:val="00051EDB"/>
    <w:rsid w:val="00052B6C"/>
    <w:rsid w:val="00053180"/>
    <w:rsid w:val="000534DD"/>
    <w:rsid w:val="000645EA"/>
    <w:rsid w:val="00080A61"/>
    <w:rsid w:val="00083B1B"/>
    <w:rsid w:val="00083BD8"/>
    <w:rsid w:val="00097A3D"/>
    <w:rsid w:val="000A07F7"/>
    <w:rsid w:val="000A3B50"/>
    <w:rsid w:val="000A4B63"/>
    <w:rsid w:val="000A61C1"/>
    <w:rsid w:val="000A736D"/>
    <w:rsid w:val="000C619C"/>
    <w:rsid w:val="000F419D"/>
    <w:rsid w:val="000F7B87"/>
    <w:rsid w:val="00105F76"/>
    <w:rsid w:val="0012003C"/>
    <w:rsid w:val="001239EA"/>
    <w:rsid w:val="00124D07"/>
    <w:rsid w:val="001279F8"/>
    <w:rsid w:val="00132C77"/>
    <w:rsid w:val="001425F8"/>
    <w:rsid w:val="00155A3E"/>
    <w:rsid w:val="001572A9"/>
    <w:rsid w:val="00172B6F"/>
    <w:rsid w:val="001750BF"/>
    <w:rsid w:val="00178A7D"/>
    <w:rsid w:val="001850FB"/>
    <w:rsid w:val="00186646"/>
    <w:rsid w:val="00186A88"/>
    <w:rsid w:val="00187EB4"/>
    <w:rsid w:val="001917FF"/>
    <w:rsid w:val="001A7438"/>
    <w:rsid w:val="001C2044"/>
    <w:rsid w:val="001E02C9"/>
    <w:rsid w:val="001E268A"/>
    <w:rsid w:val="001F132A"/>
    <w:rsid w:val="001F3D78"/>
    <w:rsid w:val="001F62DB"/>
    <w:rsid w:val="002112A5"/>
    <w:rsid w:val="002119F5"/>
    <w:rsid w:val="0021270E"/>
    <w:rsid w:val="00215147"/>
    <w:rsid w:val="002178E9"/>
    <w:rsid w:val="00222831"/>
    <w:rsid w:val="00233B83"/>
    <w:rsid w:val="00244DE7"/>
    <w:rsid w:val="00245DC3"/>
    <w:rsid w:val="002537F2"/>
    <w:rsid w:val="002840F2"/>
    <w:rsid w:val="00295A3A"/>
    <w:rsid w:val="002A161D"/>
    <w:rsid w:val="002A4724"/>
    <w:rsid w:val="002B3C97"/>
    <w:rsid w:val="002C0861"/>
    <w:rsid w:val="002C8E92"/>
    <w:rsid w:val="002D1D42"/>
    <w:rsid w:val="002D25F9"/>
    <w:rsid w:val="002F45A8"/>
    <w:rsid w:val="002F73B1"/>
    <w:rsid w:val="003114D4"/>
    <w:rsid w:val="00326C28"/>
    <w:rsid w:val="00331D9C"/>
    <w:rsid w:val="003565E5"/>
    <w:rsid w:val="00361ED1"/>
    <w:rsid w:val="00362840"/>
    <w:rsid w:val="003714B7"/>
    <w:rsid w:val="003763C2"/>
    <w:rsid w:val="00377941"/>
    <w:rsid w:val="00377DEA"/>
    <w:rsid w:val="00382AAB"/>
    <w:rsid w:val="00383093"/>
    <w:rsid w:val="00394780"/>
    <w:rsid w:val="00396E48"/>
    <w:rsid w:val="003A2351"/>
    <w:rsid w:val="003B132A"/>
    <w:rsid w:val="003B77BB"/>
    <w:rsid w:val="003C58B7"/>
    <w:rsid w:val="003D471C"/>
    <w:rsid w:val="003D5AEA"/>
    <w:rsid w:val="00400B18"/>
    <w:rsid w:val="00406BCD"/>
    <w:rsid w:val="00430311"/>
    <w:rsid w:val="00434B07"/>
    <w:rsid w:val="00457A47"/>
    <w:rsid w:val="00470C27"/>
    <w:rsid w:val="004750F1"/>
    <w:rsid w:val="004830D0"/>
    <w:rsid w:val="004904A5"/>
    <w:rsid w:val="004948C8"/>
    <w:rsid w:val="004A17E8"/>
    <w:rsid w:val="004A2CCA"/>
    <w:rsid w:val="004A5B4E"/>
    <w:rsid w:val="004B788F"/>
    <w:rsid w:val="004C63AC"/>
    <w:rsid w:val="004F7B11"/>
    <w:rsid w:val="00511F5F"/>
    <w:rsid w:val="00514125"/>
    <w:rsid w:val="00520527"/>
    <w:rsid w:val="00523443"/>
    <w:rsid w:val="0054052D"/>
    <w:rsid w:val="00547EFE"/>
    <w:rsid w:val="005551F2"/>
    <w:rsid w:val="00557A07"/>
    <w:rsid w:val="00572EF6"/>
    <w:rsid w:val="00573CD9"/>
    <w:rsid w:val="0059046E"/>
    <w:rsid w:val="00593B5A"/>
    <w:rsid w:val="005B57B9"/>
    <w:rsid w:val="005B7828"/>
    <w:rsid w:val="005C468B"/>
    <w:rsid w:val="005D20DA"/>
    <w:rsid w:val="005E6C7A"/>
    <w:rsid w:val="005E7B72"/>
    <w:rsid w:val="00602B64"/>
    <w:rsid w:val="0060426A"/>
    <w:rsid w:val="0061644F"/>
    <w:rsid w:val="00616C35"/>
    <w:rsid w:val="00622042"/>
    <w:rsid w:val="0062556A"/>
    <w:rsid w:val="006260D2"/>
    <w:rsid w:val="0064298A"/>
    <w:rsid w:val="006613D1"/>
    <w:rsid w:val="006702B3"/>
    <w:rsid w:val="006704A0"/>
    <w:rsid w:val="006840C6"/>
    <w:rsid w:val="006B163A"/>
    <w:rsid w:val="006B77F7"/>
    <w:rsid w:val="006C5CD2"/>
    <w:rsid w:val="006D59F5"/>
    <w:rsid w:val="006D6A1A"/>
    <w:rsid w:val="006E0C4F"/>
    <w:rsid w:val="006E1E5F"/>
    <w:rsid w:val="006E622E"/>
    <w:rsid w:val="006E78DD"/>
    <w:rsid w:val="006F2135"/>
    <w:rsid w:val="006F5E1B"/>
    <w:rsid w:val="00702176"/>
    <w:rsid w:val="007119E2"/>
    <w:rsid w:val="0071620B"/>
    <w:rsid w:val="00716FFB"/>
    <w:rsid w:val="0072952B"/>
    <w:rsid w:val="0075361D"/>
    <w:rsid w:val="00783DB1"/>
    <w:rsid w:val="007937C7"/>
    <w:rsid w:val="0079785A"/>
    <w:rsid w:val="00797BB3"/>
    <w:rsid w:val="007A1A2C"/>
    <w:rsid w:val="007B53CF"/>
    <w:rsid w:val="007B7A26"/>
    <w:rsid w:val="007C2590"/>
    <w:rsid w:val="007C6DA0"/>
    <w:rsid w:val="007D4938"/>
    <w:rsid w:val="00801ECA"/>
    <w:rsid w:val="00804D95"/>
    <w:rsid w:val="00822B7C"/>
    <w:rsid w:val="008742B6"/>
    <w:rsid w:val="00887C1D"/>
    <w:rsid w:val="008922B5"/>
    <w:rsid w:val="0089547F"/>
    <w:rsid w:val="00895F48"/>
    <w:rsid w:val="008A158B"/>
    <w:rsid w:val="008B03F9"/>
    <w:rsid w:val="008B1908"/>
    <w:rsid w:val="008B76E8"/>
    <w:rsid w:val="008C2987"/>
    <w:rsid w:val="008C3275"/>
    <w:rsid w:val="008D5610"/>
    <w:rsid w:val="008F7E3D"/>
    <w:rsid w:val="0090247A"/>
    <w:rsid w:val="00914086"/>
    <w:rsid w:val="009140D1"/>
    <w:rsid w:val="00916CF5"/>
    <w:rsid w:val="0092741F"/>
    <w:rsid w:val="00931F86"/>
    <w:rsid w:val="00943DC8"/>
    <w:rsid w:val="00972462"/>
    <w:rsid w:val="009778DD"/>
    <w:rsid w:val="0098734D"/>
    <w:rsid w:val="009C5C8A"/>
    <w:rsid w:val="009C6BB8"/>
    <w:rsid w:val="009D32CE"/>
    <w:rsid w:val="009D3428"/>
    <w:rsid w:val="009D757B"/>
    <w:rsid w:val="009F591F"/>
    <w:rsid w:val="009F595D"/>
    <w:rsid w:val="009F653B"/>
    <w:rsid w:val="00A139C6"/>
    <w:rsid w:val="00A14330"/>
    <w:rsid w:val="00A167C6"/>
    <w:rsid w:val="00A47099"/>
    <w:rsid w:val="00A50AAB"/>
    <w:rsid w:val="00A52131"/>
    <w:rsid w:val="00A553EE"/>
    <w:rsid w:val="00A637D6"/>
    <w:rsid w:val="00A97CE3"/>
    <w:rsid w:val="00AA635D"/>
    <w:rsid w:val="00AB6B3F"/>
    <w:rsid w:val="00AC09DC"/>
    <w:rsid w:val="00AC3506"/>
    <w:rsid w:val="00AE20D1"/>
    <w:rsid w:val="00AF1787"/>
    <w:rsid w:val="00AF1EDE"/>
    <w:rsid w:val="00B11FB7"/>
    <w:rsid w:val="00B13044"/>
    <w:rsid w:val="00B2767B"/>
    <w:rsid w:val="00B41FA6"/>
    <w:rsid w:val="00B5473B"/>
    <w:rsid w:val="00B57AC4"/>
    <w:rsid w:val="00B62266"/>
    <w:rsid w:val="00B73CB4"/>
    <w:rsid w:val="00B77786"/>
    <w:rsid w:val="00B86A7F"/>
    <w:rsid w:val="00B918BE"/>
    <w:rsid w:val="00B924E5"/>
    <w:rsid w:val="00BA0A9E"/>
    <w:rsid w:val="00BA38BE"/>
    <w:rsid w:val="00BA468C"/>
    <w:rsid w:val="00BA5677"/>
    <w:rsid w:val="00BA7F17"/>
    <w:rsid w:val="00BB250E"/>
    <w:rsid w:val="00BC2FF7"/>
    <w:rsid w:val="00BC77A4"/>
    <w:rsid w:val="00BD5EB5"/>
    <w:rsid w:val="00BE24B7"/>
    <w:rsid w:val="00BE296D"/>
    <w:rsid w:val="00BE391F"/>
    <w:rsid w:val="00BE58C4"/>
    <w:rsid w:val="00BE7AD5"/>
    <w:rsid w:val="00C079AA"/>
    <w:rsid w:val="00C11077"/>
    <w:rsid w:val="00C1747E"/>
    <w:rsid w:val="00C31ACB"/>
    <w:rsid w:val="00C37588"/>
    <w:rsid w:val="00C435EF"/>
    <w:rsid w:val="00C4594E"/>
    <w:rsid w:val="00C56856"/>
    <w:rsid w:val="00C74221"/>
    <w:rsid w:val="00C960A8"/>
    <w:rsid w:val="00CB312E"/>
    <w:rsid w:val="00CB6B41"/>
    <w:rsid w:val="00CC0D94"/>
    <w:rsid w:val="00CC3BFC"/>
    <w:rsid w:val="00CC4FF6"/>
    <w:rsid w:val="00CD450E"/>
    <w:rsid w:val="00CE0AA3"/>
    <w:rsid w:val="00CE2279"/>
    <w:rsid w:val="00CF5483"/>
    <w:rsid w:val="00D03528"/>
    <w:rsid w:val="00D22476"/>
    <w:rsid w:val="00D36BBA"/>
    <w:rsid w:val="00D40AA8"/>
    <w:rsid w:val="00D422E1"/>
    <w:rsid w:val="00D53364"/>
    <w:rsid w:val="00D544CC"/>
    <w:rsid w:val="00D556F1"/>
    <w:rsid w:val="00D74B17"/>
    <w:rsid w:val="00D80078"/>
    <w:rsid w:val="00D81765"/>
    <w:rsid w:val="00D81CFA"/>
    <w:rsid w:val="00D83BB3"/>
    <w:rsid w:val="00D84003"/>
    <w:rsid w:val="00D93231"/>
    <w:rsid w:val="00DA0E7D"/>
    <w:rsid w:val="00DC1669"/>
    <w:rsid w:val="00DE1841"/>
    <w:rsid w:val="00DE189B"/>
    <w:rsid w:val="00DE2309"/>
    <w:rsid w:val="00E05B16"/>
    <w:rsid w:val="00E07808"/>
    <w:rsid w:val="00E12D1B"/>
    <w:rsid w:val="00E176DF"/>
    <w:rsid w:val="00E238E4"/>
    <w:rsid w:val="00E3143A"/>
    <w:rsid w:val="00E3768D"/>
    <w:rsid w:val="00E445E1"/>
    <w:rsid w:val="00E5195C"/>
    <w:rsid w:val="00E65AF9"/>
    <w:rsid w:val="00E8543D"/>
    <w:rsid w:val="00E93B3A"/>
    <w:rsid w:val="00E95D80"/>
    <w:rsid w:val="00EA2A86"/>
    <w:rsid w:val="00EA3E2B"/>
    <w:rsid w:val="00EA5F62"/>
    <w:rsid w:val="00EA70DD"/>
    <w:rsid w:val="00EB08F3"/>
    <w:rsid w:val="00EC19E5"/>
    <w:rsid w:val="00EC68AB"/>
    <w:rsid w:val="00ED0B20"/>
    <w:rsid w:val="00ED51E0"/>
    <w:rsid w:val="00EE4658"/>
    <w:rsid w:val="00EE6C60"/>
    <w:rsid w:val="00F22114"/>
    <w:rsid w:val="00F32A6F"/>
    <w:rsid w:val="00F501C7"/>
    <w:rsid w:val="00F65A39"/>
    <w:rsid w:val="00F7107D"/>
    <w:rsid w:val="00F86831"/>
    <w:rsid w:val="00F87D44"/>
    <w:rsid w:val="00FB17CA"/>
    <w:rsid w:val="00FD0FEC"/>
    <w:rsid w:val="00FD7511"/>
    <w:rsid w:val="00FE27E5"/>
    <w:rsid w:val="00FF01A6"/>
    <w:rsid w:val="00FF0A37"/>
    <w:rsid w:val="00FF31FB"/>
    <w:rsid w:val="00FF3F86"/>
    <w:rsid w:val="012FC5F4"/>
    <w:rsid w:val="01E6E425"/>
    <w:rsid w:val="024EE574"/>
    <w:rsid w:val="02ACAC7C"/>
    <w:rsid w:val="02EA822E"/>
    <w:rsid w:val="03099CD8"/>
    <w:rsid w:val="03B8A277"/>
    <w:rsid w:val="03BAC393"/>
    <w:rsid w:val="03F50D9E"/>
    <w:rsid w:val="04FE4EE6"/>
    <w:rsid w:val="05B6B844"/>
    <w:rsid w:val="05CEE482"/>
    <w:rsid w:val="0643CDA9"/>
    <w:rsid w:val="09A4DFBF"/>
    <w:rsid w:val="0A4F7E59"/>
    <w:rsid w:val="0A6258A8"/>
    <w:rsid w:val="0D55655E"/>
    <w:rsid w:val="0E44500F"/>
    <w:rsid w:val="0EEA7824"/>
    <w:rsid w:val="0F35932A"/>
    <w:rsid w:val="0F93B482"/>
    <w:rsid w:val="1051F4F5"/>
    <w:rsid w:val="125A18D3"/>
    <w:rsid w:val="12BBC254"/>
    <w:rsid w:val="13443A21"/>
    <w:rsid w:val="13B5E40E"/>
    <w:rsid w:val="145E7882"/>
    <w:rsid w:val="14FE8FB4"/>
    <w:rsid w:val="15C1C855"/>
    <w:rsid w:val="16094EFA"/>
    <w:rsid w:val="16549234"/>
    <w:rsid w:val="180643D4"/>
    <w:rsid w:val="18102360"/>
    <w:rsid w:val="199A8619"/>
    <w:rsid w:val="19B27F86"/>
    <w:rsid w:val="19FECB88"/>
    <w:rsid w:val="1C059FEE"/>
    <w:rsid w:val="1D4B0BB8"/>
    <w:rsid w:val="1E062F1E"/>
    <w:rsid w:val="1FAE9DA9"/>
    <w:rsid w:val="206D43BE"/>
    <w:rsid w:val="2351A717"/>
    <w:rsid w:val="2481DBFB"/>
    <w:rsid w:val="24D2EE55"/>
    <w:rsid w:val="274723A5"/>
    <w:rsid w:val="27D66BC4"/>
    <w:rsid w:val="29061887"/>
    <w:rsid w:val="2908CE4B"/>
    <w:rsid w:val="2935FB37"/>
    <w:rsid w:val="2A261F97"/>
    <w:rsid w:val="2C4F1EB9"/>
    <w:rsid w:val="2D191898"/>
    <w:rsid w:val="2FA44403"/>
    <w:rsid w:val="30A77B65"/>
    <w:rsid w:val="31CA3418"/>
    <w:rsid w:val="326D1782"/>
    <w:rsid w:val="3288A75C"/>
    <w:rsid w:val="32E5CA89"/>
    <w:rsid w:val="3354C9A2"/>
    <w:rsid w:val="33EAEA23"/>
    <w:rsid w:val="35AD6E34"/>
    <w:rsid w:val="35B85B93"/>
    <w:rsid w:val="366952A6"/>
    <w:rsid w:val="367701A8"/>
    <w:rsid w:val="36965028"/>
    <w:rsid w:val="36DF9D35"/>
    <w:rsid w:val="374B1E6B"/>
    <w:rsid w:val="3778A573"/>
    <w:rsid w:val="37818E1D"/>
    <w:rsid w:val="3865A9D0"/>
    <w:rsid w:val="38F4BF38"/>
    <w:rsid w:val="391475D4"/>
    <w:rsid w:val="3A60D42F"/>
    <w:rsid w:val="3BE975C0"/>
    <w:rsid w:val="3C9C917C"/>
    <w:rsid w:val="3D1C8EFA"/>
    <w:rsid w:val="3DD9D731"/>
    <w:rsid w:val="3E32AE4D"/>
    <w:rsid w:val="3F128C35"/>
    <w:rsid w:val="3F3F2510"/>
    <w:rsid w:val="3FF6A7E8"/>
    <w:rsid w:val="422BB386"/>
    <w:rsid w:val="422D1BDE"/>
    <w:rsid w:val="42D3E8FF"/>
    <w:rsid w:val="4300B3B0"/>
    <w:rsid w:val="43ADDAB7"/>
    <w:rsid w:val="43BF59C5"/>
    <w:rsid w:val="48C2DD33"/>
    <w:rsid w:val="49318A0A"/>
    <w:rsid w:val="4B4E6846"/>
    <w:rsid w:val="4C5AE452"/>
    <w:rsid w:val="4C620FEC"/>
    <w:rsid w:val="4D79EBEA"/>
    <w:rsid w:val="4E3B2101"/>
    <w:rsid w:val="4E426A38"/>
    <w:rsid w:val="50C203DE"/>
    <w:rsid w:val="514C7600"/>
    <w:rsid w:val="51797382"/>
    <w:rsid w:val="51BE6A71"/>
    <w:rsid w:val="53264CE4"/>
    <w:rsid w:val="535A9F79"/>
    <w:rsid w:val="54AA550E"/>
    <w:rsid w:val="54CFFE1D"/>
    <w:rsid w:val="556173DF"/>
    <w:rsid w:val="560EDBC5"/>
    <w:rsid w:val="561FB452"/>
    <w:rsid w:val="5637E090"/>
    <w:rsid w:val="56BED916"/>
    <w:rsid w:val="577D4C5A"/>
    <w:rsid w:val="57DA3CB6"/>
    <w:rsid w:val="58E736B9"/>
    <w:rsid w:val="590A719A"/>
    <w:rsid w:val="5956F06D"/>
    <w:rsid w:val="5A908BFE"/>
    <w:rsid w:val="5AD3A424"/>
    <w:rsid w:val="5AEB9D91"/>
    <w:rsid w:val="5CA76750"/>
    <w:rsid w:val="5CAD7B08"/>
    <w:rsid w:val="5CC57475"/>
    <w:rsid w:val="5CDA788A"/>
    <w:rsid w:val="5CDF7194"/>
    <w:rsid w:val="5DDDAFEC"/>
    <w:rsid w:val="5F625959"/>
    <w:rsid w:val="5F684576"/>
    <w:rsid w:val="6056AB94"/>
    <w:rsid w:val="606EA501"/>
    <w:rsid w:val="6118FB28"/>
    <w:rsid w:val="622E5769"/>
    <w:rsid w:val="6274062F"/>
    <w:rsid w:val="62A9CBFC"/>
    <w:rsid w:val="6360B75C"/>
    <w:rsid w:val="64BCEDA3"/>
    <w:rsid w:val="64E3B630"/>
    <w:rsid w:val="6652C9B7"/>
    <w:rsid w:val="6668CD09"/>
    <w:rsid w:val="66BB29A3"/>
    <w:rsid w:val="6775B53B"/>
    <w:rsid w:val="68FCA97E"/>
    <w:rsid w:val="6B6CC3F6"/>
    <w:rsid w:val="6BDD263A"/>
    <w:rsid w:val="6C419E7A"/>
    <w:rsid w:val="6CCE5002"/>
    <w:rsid w:val="6D4508AD"/>
    <w:rsid w:val="6E8A7477"/>
    <w:rsid w:val="6EA26DE4"/>
    <w:rsid w:val="6FACFA59"/>
    <w:rsid w:val="705DE41E"/>
    <w:rsid w:val="70ADF8CD"/>
    <w:rsid w:val="70FED7C9"/>
    <w:rsid w:val="7142CCE4"/>
    <w:rsid w:val="73014EF2"/>
    <w:rsid w:val="751EFAEF"/>
    <w:rsid w:val="767862EB"/>
    <w:rsid w:val="76ACB580"/>
    <w:rsid w:val="77752E07"/>
    <w:rsid w:val="78129FB5"/>
    <w:rsid w:val="786E6026"/>
    <w:rsid w:val="78B389E6"/>
    <w:rsid w:val="78CC0F14"/>
    <w:rsid w:val="799EC7DB"/>
    <w:rsid w:val="7A10EF1D"/>
    <w:rsid w:val="7A690C45"/>
    <w:rsid w:val="7A8D60CA"/>
    <w:rsid w:val="7ACF6261"/>
    <w:rsid w:val="7B33A7D0"/>
    <w:rsid w:val="7B5824AC"/>
    <w:rsid w:val="7C5FE77B"/>
    <w:rsid w:val="7D3A7C36"/>
    <w:rsid w:val="7E25BA2B"/>
    <w:rsid w:val="7ED910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53ED6"/>
  <w15:chartTrackingRefBased/>
  <w15:docId w15:val="{844E4CCF-F73C-4E13-89EC-6CDD5AF9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B20"/>
  </w:style>
  <w:style w:type="paragraph" w:styleId="Heading1">
    <w:name w:val="heading 1"/>
    <w:basedOn w:val="Normal"/>
    <w:next w:val="Normal"/>
    <w:link w:val="Heading1Char"/>
    <w:uiPriority w:val="9"/>
    <w:qFormat/>
    <w:rsid w:val="00244D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5D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D0B20"/>
    <w:pPr>
      <w:spacing w:after="0" w:line="240" w:lineRule="auto"/>
    </w:pPr>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unhideWhenUsed/>
    <w:rsid w:val="009C5C8A"/>
    <w:pPr>
      <w:spacing w:after="0" w:line="240" w:lineRule="auto"/>
    </w:pPr>
    <w:rPr>
      <w:sz w:val="20"/>
      <w:szCs w:val="20"/>
    </w:rPr>
  </w:style>
  <w:style w:type="character" w:customStyle="1" w:styleId="FootnoteTextChar">
    <w:name w:val="Footnote Text Char"/>
    <w:basedOn w:val="DefaultParagraphFont"/>
    <w:link w:val="FootnoteText"/>
    <w:uiPriority w:val="99"/>
    <w:rsid w:val="009C5C8A"/>
    <w:rPr>
      <w:sz w:val="20"/>
      <w:szCs w:val="20"/>
    </w:rPr>
  </w:style>
  <w:style w:type="character" w:styleId="FootnoteReference">
    <w:name w:val="footnote reference"/>
    <w:basedOn w:val="DefaultParagraphFont"/>
    <w:uiPriority w:val="99"/>
    <w:unhideWhenUsed/>
    <w:rsid w:val="009C5C8A"/>
    <w:rPr>
      <w:vertAlign w:val="superscript"/>
    </w:rPr>
  </w:style>
  <w:style w:type="character" w:styleId="Hyperlink">
    <w:name w:val="Hyperlink"/>
    <w:basedOn w:val="DefaultParagraphFont"/>
    <w:uiPriority w:val="99"/>
    <w:unhideWhenUsed/>
    <w:rsid w:val="009C5C8A"/>
    <w:rPr>
      <w:color w:val="0563C1" w:themeColor="hyperlink"/>
      <w:u w:val="single"/>
    </w:rPr>
  </w:style>
  <w:style w:type="character" w:styleId="UnresolvedMention">
    <w:name w:val="Unresolved Mention"/>
    <w:basedOn w:val="DefaultParagraphFont"/>
    <w:uiPriority w:val="99"/>
    <w:semiHidden/>
    <w:unhideWhenUsed/>
    <w:rsid w:val="009C5C8A"/>
    <w:rPr>
      <w:color w:val="605E5C"/>
      <w:shd w:val="clear" w:color="auto" w:fill="E1DFDD"/>
    </w:rPr>
  </w:style>
  <w:style w:type="paragraph" w:styleId="NormalWeb">
    <w:name w:val="Normal (Web)"/>
    <w:basedOn w:val="Normal"/>
    <w:uiPriority w:val="99"/>
    <w:semiHidden/>
    <w:unhideWhenUsed/>
    <w:rsid w:val="009C5C8A"/>
    <w:rPr>
      <w:rFonts w:ascii="Times New Roman" w:hAnsi="Times New Roman" w:cs="Times New Roman"/>
      <w:sz w:val="24"/>
      <w:szCs w:val="24"/>
    </w:rPr>
  </w:style>
  <w:style w:type="paragraph" w:styleId="ListParagraph">
    <w:name w:val="List Paragraph"/>
    <w:basedOn w:val="Normal"/>
    <w:uiPriority w:val="34"/>
    <w:qFormat/>
    <w:rsid w:val="00B918BE"/>
    <w:pPr>
      <w:ind w:left="720"/>
      <w:contextualSpacing/>
    </w:pPr>
  </w:style>
  <w:style w:type="paragraph" w:customStyle="1" w:styleId="Default">
    <w:name w:val="Default"/>
    <w:rsid w:val="00105F76"/>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0A61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1C1"/>
  </w:style>
  <w:style w:type="paragraph" w:styleId="Footer">
    <w:name w:val="footer"/>
    <w:basedOn w:val="Normal"/>
    <w:link w:val="FooterChar"/>
    <w:uiPriority w:val="99"/>
    <w:unhideWhenUsed/>
    <w:rsid w:val="000A61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1C1"/>
  </w:style>
  <w:style w:type="character" w:styleId="FollowedHyperlink">
    <w:name w:val="FollowedHyperlink"/>
    <w:basedOn w:val="DefaultParagraphFont"/>
    <w:uiPriority w:val="99"/>
    <w:semiHidden/>
    <w:unhideWhenUsed/>
    <w:rsid w:val="002119F5"/>
    <w:rPr>
      <w:color w:val="954F72" w:themeColor="followedHyperlink"/>
      <w:u w:val="single"/>
    </w:rPr>
  </w:style>
  <w:style w:type="character" w:customStyle="1" w:styleId="Heading1Char">
    <w:name w:val="Heading 1 Char"/>
    <w:basedOn w:val="DefaultParagraphFont"/>
    <w:link w:val="Heading1"/>
    <w:uiPriority w:val="9"/>
    <w:rsid w:val="00244D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5DC3"/>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70C27"/>
    <w:rPr>
      <w:sz w:val="16"/>
      <w:szCs w:val="16"/>
    </w:rPr>
  </w:style>
  <w:style w:type="paragraph" w:styleId="CommentText">
    <w:name w:val="annotation text"/>
    <w:basedOn w:val="Normal"/>
    <w:link w:val="CommentTextChar"/>
    <w:uiPriority w:val="99"/>
    <w:unhideWhenUsed/>
    <w:rsid w:val="00470C27"/>
    <w:pPr>
      <w:spacing w:line="240" w:lineRule="auto"/>
    </w:pPr>
    <w:rPr>
      <w:sz w:val="20"/>
      <w:szCs w:val="20"/>
    </w:rPr>
  </w:style>
  <w:style w:type="character" w:customStyle="1" w:styleId="CommentTextChar">
    <w:name w:val="Comment Text Char"/>
    <w:basedOn w:val="DefaultParagraphFont"/>
    <w:link w:val="CommentText"/>
    <w:uiPriority w:val="99"/>
    <w:rsid w:val="00470C27"/>
    <w:rPr>
      <w:sz w:val="20"/>
      <w:szCs w:val="20"/>
    </w:rPr>
  </w:style>
  <w:style w:type="paragraph" w:styleId="CommentSubject">
    <w:name w:val="annotation subject"/>
    <w:basedOn w:val="CommentText"/>
    <w:next w:val="CommentText"/>
    <w:link w:val="CommentSubjectChar"/>
    <w:uiPriority w:val="99"/>
    <w:semiHidden/>
    <w:unhideWhenUsed/>
    <w:rsid w:val="00470C27"/>
    <w:rPr>
      <w:b/>
      <w:bCs/>
    </w:rPr>
  </w:style>
  <w:style w:type="character" w:customStyle="1" w:styleId="CommentSubjectChar">
    <w:name w:val="Comment Subject Char"/>
    <w:basedOn w:val="CommentTextChar"/>
    <w:link w:val="CommentSubject"/>
    <w:uiPriority w:val="99"/>
    <w:semiHidden/>
    <w:rsid w:val="00470C27"/>
    <w:rPr>
      <w:b/>
      <w:bCs/>
      <w:sz w:val="20"/>
      <w:szCs w:val="20"/>
    </w:rPr>
  </w:style>
  <w:style w:type="paragraph" w:styleId="Revision">
    <w:name w:val="Revision"/>
    <w:hidden/>
    <w:uiPriority w:val="99"/>
    <w:semiHidden/>
    <w:rsid w:val="00E3768D"/>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6D6A1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445066">
      <w:bodyDiv w:val="1"/>
      <w:marLeft w:val="0"/>
      <w:marRight w:val="0"/>
      <w:marTop w:val="0"/>
      <w:marBottom w:val="0"/>
      <w:divBdr>
        <w:top w:val="none" w:sz="0" w:space="0" w:color="auto"/>
        <w:left w:val="none" w:sz="0" w:space="0" w:color="auto"/>
        <w:bottom w:val="none" w:sz="0" w:space="0" w:color="auto"/>
        <w:right w:val="none" w:sz="0" w:space="0" w:color="auto"/>
      </w:divBdr>
    </w:div>
    <w:div w:id="388651568">
      <w:bodyDiv w:val="1"/>
      <w:marLeft w:val="0"/>
      <w:marRight w:val="0"/>
      <w:marTop w:val="0"/>
      <w:marBottom w:val="0"/>
      <w:divBdr>
        <w:top w:val="none" w:sz="0" w:space="0" w:color="auto"/>
        <w:left w:val="none" w:sz="0" w:space="0" w:color="auto"/>
        <w:bottom w:val="none" w:sz="0" w:space="0" w:color="auto"/>
        <w:right w:val="none" w:sz="0" w:space="0" w:color="auto"/>
      </w:divBdr>
    </w:div>
    <w:div w:id="394165033">
      <w:bodyDiv w:val="1"/>
      <w:marLeft w:val="0"/>
      <w:marRight w:val="0"/>
      <w:marTop w:val="0"/>
      <w:marBottom w:val="0"/>
      <w:divBdr>
        <w:top w:val="none" w:sz="0" w:space="0" w:color="auto"/>
        <w:left w:val="none" w:sz="0" w:space="0" w:color="auto"/>
        <w:bottom w:val="none" w:sz="0" w:space="0" w:color="auto"/>
        <w:right w:val="none" w:sz="0" w:space="0" w:color="auto"/>
      </w:divBdr>
    </w:div>
    <w:div w:id="621883629">
      <w:bodyDiv w:val="1"/>
      <w:marLeft w:val="0"/>
      <w:marRight w:val="0"/>
      <w:marTop w:val="0"/>
      <w:marBottom w:val="0"/>
      <w:divBdr>
        <w:top w:val="none" w:sz="0" w:space="0" w:color="auto"/>
        <w:left w:val="none" w:sz="0" w:space="0" w:color="auto"/>
        <w:bottom w:val="none" w:sz="0" w:space="0" w:color="auto"/>
        <w:right w:val="none" w:sz="0" w:space="0" w:color="auto"/>
      </w:divBdr>
    </w:div>
    <w:div w:id="669915889">
      <w:bodyDiv w:val="1"/>
      <w:marLeft w:val="0"/>
      <w:marRight w:val="0"/>
      <w:marTop w:val="0"/>
      <w:marBottom w:val="0"/>
      <w:divBdr>
        <w:top w:val="none" w:sz="0" w:space="0" w:color="auto"/>
        <w:left w:val="none" w:sz="0" w:space="0" w:color="auto"/>
        <w:bottom w:val="none" w:sz="0" w:space="0" w:color="auto"/>
        <w:right w:val="none" w:sz="0" w:space="0" w:color="auto"/>
      </w:divBdr>
      <w:divsChild>
        <w:div w:id="391277669">
          <w:marLeft w:val="0"/>
          <w:marRight w:val="0"/>
          <w:marTop w:val="0"/>
          <w:marBottom w:val="0"/>
          <w:divBdr>
            <w:top w:val="none" w:sz="0" w:space="0" w:color="auto"/>
            <w:left w:val="none" w:sz="0" w:space="0" w:color="auto"/>
            <w:bottom w:val="none" w:sz="0" w:space="0" w:color="auto"/>
            <w:right w:val="none" w:sz="0" w:space="0" w:color="auto"/>
          </w:divBdr>
        </w:div>
      </w:divsChild>
    </w:div>
    <w:div w:id="722866942">
      <w:bodyDiv w:val="1"/>
      <w:marLeft w:val="0"/>
      <w:marRight w:val="0"/>
      <w:marTop w:val="0"/>
      <w:marBottom w:val="0"/>
      <w:divBdr>
        <w:top w:val="none" w:sz="0" w:space="0" w:color="auto"/>
        <w:left w:val="none" w:sz="0" w:space="0" w:color="auto"/>
        <w:bottom w:val="none" w:sz="0" w:space="0" w:color="auto"/>
        <w:right w:val="none" w:sz="0" w:space="0" w:color="auto"/>
      </w:divBdr>
    </w:div>
    <w:div w:id="875773939">
      <w:bodyDiv w:val="1"/>
      <w:marLeft w:val="0"/>
      <w:marRight w:val="0"/>
      <w:marTop w:val="0"/>
      <w:marBottom w:val="0"/>
      <w:divBdr>
        <w:top w:val="none" w:sz="0" w:space="0" w:color="auto"/>
        <w:left w:val="none" w:sz="0" w:space="0" w:color="auto"/>
        <w:bottom w:val="none" w:sz="0" w:space="0" w:color="auto"/>
        <w:right w:val="none" w:sz="0" w:space="0" w:color="auto"/>
      </w:divBdr>
    </w:div>
    <w:div w:id="878325655">
      <w:bodyDiv w:val="1"/>
      <w:marLeft w:val="0"/>
      <w:marRight w:val="0"/>
      <w:marTop w:val="0"/>
      <w:marBottom w:val="0"/>
      <w:divBdr>
        <w:top w:val="none" w:sz="0" w:space="0" w:color="auto"/>
        <w:left w:val="none" w:sz="0" w:space="0" w:color="auto"/>
        <w:bottom w:val="none" w:sz="0" w:space="0" w:color="auto"/>
        <w:right w:val="none" w:sz="0" w:space="0" w:color="auto"/>
      </w:divBdr>
    </w:div>
    <w:div w:id="949359987">
      <w:bodyDiv w:val="1"/>
      <w:marLeft w:val="0"/>
      <w:marRight w:val="0"/>
      <w:marTop w:val="0"/>
      <w:marBottom w:val="0"/>
      <w:divBdr>
        <w:top w:val="none" w:sz="0" w:space="0" w:color="auto"/>
        <w:left w:val="none" w:sz="0" w:space="0" w:color="auto"/>
        <w:bottom w:val="none" w:sz="0" w:space="0" w:color="auto"/>
        <w:right w:val="none" w:sz="0" w:space="0" w:color="auto"/>
      </w:divBdr>
    </w:div>
    <w:div w:id="1053117192">
      <w:bodyDiv w:val="1"/>
      <w:marLeft w:val="0"/>
      <w:marRight w:val="0"/>
      <w:marTop w:val="0"/>
      <w:marBottom w:val="0"/>
      <w:divBdr>
        <w:top w:val="none" w:sz="0" w:space="0" w:color="auto"/>
        <w:left w:val="none" w:sz="0" w:space="0" w:color="auto"/>
        <w:bottom w:val="none" w:sz="0" w:space="0" w:color="auto"/>
        <w:right w:val="none" w:sz="0" w:space="0" w:color="auto"/>
      </w:divBdr>
    </w:div>
    <w:div w:id="1158422868">
      <w:bodyDiv w:val="1"/>
      <w:marLeft w:val="0"/>
      <w:marRight w:val="0"/>
      <w:marTop w:val="0"/>
      <w:marBottom w:val="0"/>
      <w:divBdr>
        <w:top w:val="none" w:sz="0" w:space="0" w:color="auto"/>
        <w:left w:val="none" w:sz="0" w:space="0" w:color="auto"/>
        <w:bottom w:val="none" w:sz="0" w:space="0" w:color="auto"/>
        <w:right w:val="none" w:sz="0" w:space="0" w:color="auto"/>
      </w:divBdr>
    </w:div>
    <w:div w:id="1173374915">
      <w:bodyDiv w:val="1"/>
      <w:marLeft w:val="0"/>
      <w:marRight w:val="0"/>
      <w:marTop w:val="0"/>
      <w:marBottom w:val="0"/>
      <w:divBdr>
        <w:top w:val="none" w:sz="0" w:space="0" w:color="auto"/>
        <w:left w:val="none" w:sz="0" w:space="0" w:color="auto"/>
        <w:bottom w:val="none" w:sz="0" w:space="0" w:color="auto"/>
        <w:right w:val="none" w:sz="0" w:space="0" w:color="auto"/>
      </w:divBdr>
    </w:div>
    <w:div w:id="1183741587">
      <w:bodyDiv w:val="1"/>
      <w:marLeft w:val="0"/>
      <w:marRight w:val="0"/>
      <w:marTop w:val="0"/>
      <w:marBottom w:val="0"/>
      <w:divBdr>
        <w:top w:val="none" w:sz="0" w:space="0" w:color="auto"/>
        <w:left w:val="none" w:sz="0" w:space="0" w:color="auto"/>
        <w:bottom w:val="none" w:sz="0" w:space="0" w:color="auto"/>
        <w:right w:val="none" w:sz="0" w:space="0" w:color="auto"/>
      </w:divBdr>
    </w:div>
    <w:div w:id="1209342800">
      <w:bodyDiv w:val="1"/>
      <w:marLeft w:val="0"/>
      <w:marRight w:val="0"/>
      <w:marTop w:val="0"/>
      <w:marBottom w:val="0"/>
      <w:divBdr>
        <w:top w:val="none" w:sz="0" w:space="0" w:color="auto"/>
        <w:left w:val="none" w:sz="0" w:space="0" w:color="auto"/>
        <w:bottom w:val="none" w:sz="0" w:space="0" w:color="auto"/>
        <w:right w:val="none" w:sz="0" w:space="0" w:color="auto"/>
      </w:divBdr>
      <w:divsChild>
        <w:div w:id="1339312232">
          <w:marLeft w:val="0"/>
          <w:marRight w:val="0"/>
          <w:marTop w:val="0"/>
          <w:marBottom w:val="0"/>
          <w:divBdr>
            <w:top w:val="none" w:sz="0" w:space="0" w:color="auto"/>
            <w:left w:val="none" w:sz="0" w:space="0" w:color="auto"/>
            <w:bottom w:val="none" w:sz="0" w:space="0" w:color="auto"/>
            <w:right w:val="none" w:sz="0" w:space="0" w:color="auto"/>
          </w:divBdr>
        </w:div>
      </w:divsChild>
    </w:div>
    <w:div w:id="1221862863">
      <w:bodyDiv w:val="1"/>
      <w:marLeft w:val="0"/>
      <w:marRight w:val="0"/>
      <w:marTop w:val="0"/>
      <w:marBottom w:val="0"/>
      <w:divBdr>
        <w:top w:val="none" w:sz="0" w:space="0" w:color="auto"/>
        <w:left w:val="none" w:sz="0" w:space="0" w:color="auto"/>
        <w:bottom w:val="none" w:sz="0" w:space="0" w:color="auto"/>
        <w:right w:val="none" w:sz="0" w:space="0" w:color="auto"/>
      </w:divBdr>
    </w:div>
    <w:div w:id="1292245501">
      <w:bodyDiv w:val="1"/>
      <w:marLeft w:val="0"/>
      <w:marRight w:val="0"/>
      <w:marTop w:val="0"/>
      <w:marBottom w:val="0"/>
      <w:divBdr>
        <w:top w:val="none" w:sz="0" w:space="0" w:color="auto"/>
        <w:left w:val="none" w:sz="0" w:space="0" w:color="auto"/>
        <w:bottom w:val="none" w:sz="0" w:space="0" w:color="auto"/>
        <w:right w:val="none" w:sz="0" w:space="0" w:color="auto"/>
      </w:divBdr>
    </w:div>
    <w:div w:id="1375811478">
      <w:bodyDiv w:val="1"/>
      <w:marLeft w:val="0"/>
      <w:marRight w:val="0"/>
      <w:marTop w:val="0"/>
      <w:marBottom w:val="0"/>
      <w:divBdr>
        <w:top w:val="none" w:sz="0" w:space="0" w:color="auto"/>
        <w:left w:val="none" w:sz="0" w:space="0" w:color="auto"/>
        <w:bottom w:val="none" w:sz="0" w:space="0" w:color="auto"/>
        <w:right w:val="none" w:sz="0" w:space="0" w:color="auto"/>
      </w:divBdr>
    </w:div>
    <w:div w:id="1495494528">
      <w:bodyDiv w:val="1"/>
      <w:marLeft w:val="0"/>
      <w:marRight w:val="0"/>
      <w:marTop w:val="0"/>
      <w:marBottom w:val="0"/>
      <w:divBdr>
        <w:top w:val="none" w:sz="0" w:space="0" w:color="auto"/>
        <w:left w:val="none" w:sz="0" w:space="0" w:color="auto"/>
        <w:bottom w:val="none" w:sz="0" w:space="0" w:color="auto"/>
        <w:right w:val="none" w:sz="0" w:space="0" w:color="auto"/>
      </w:divBdr>
    </w:div>
    <w:div w:id="1580095331">
      <w:bodyDiv w:val="1"/>
      <w:marLeft w:val="0"/>
      <w:marRight w:val="0"/>
      <w:marTop w:val="0"/>
      <w:marBottom w:val="0"/>
      <w:divBdr>
        <w:top w:val="none" w:sz="0" w:space="0" w:color="auto"/>
        <w:left w:val="none" w:sz="0" w:space="0" w:color="auto"/>
        <w:bottom w:val="none" w:sz="0" w:space="0" w:color="auto"/>
        <w:right w:val="none" w:sz="0" w:space="0" w:color="auto"/>
      </w:divBdr>
    </w:div>
    <w:div w:id="1594556713">
      <w:bodyDiv w:val="1"/>
      <w:marLeft w:val="0"/>
      <w:marRight w:val="0"/>
      <w:marTop w:val="0"/>
      <w:marBottom w:val="0"/>
      <w:divBdr>
        <w:top w:val="none" w:sz="0" w:space="0" w:color="auto"/>
        <w:left w:val="none" w:sz="0" w:space="0" w:color="auto"/>
        <w:bottom w:val="none" w:sz="0" w:space="0" w:color="auto"/>
        <w:right w:val="none" w:sz="0" w:space="0" w:color="auto"/>
      </w:divBdr>
    </w:div>
    <w:div w:id="1677921014">
      <w:bodyDiv w:val="1"/>
      <w:marLeft w:val="0"/>
      <w:marRight w:val="0"/>
      <w:marTop w:val="0"/>
      <w:marBottom w:val="0"/>
      <w:divBdr>
        <w:top w:val="none" w:sz="0" w:space="0" w:color="auto"/>
        <w:left w:val="none" w:sz="0" w:space="0" w:color="auto"/>
        <w:bottom w:val="none" w:sz="0" w:space="0" w:color="auto"/>
        <w:right w:val="none" w:sz="0" w:space="0" w:color="auto"/>
      </w:divBdr>
    </w:div>
    <w:div w:id="1690377225">
      <w:bodyDiv w:val="1"/>
      <w:marLeft w:val="0"/>
      <w:marRight w:val="0"/>
      <w:marTop w:val="0"/>
      <w:marBottom w:val="0"/>
      <w:divBdr>
        <w:top w:val="none" w:sz="0" w:space="0" w:color="auto"/>
        <w:left w:val="none" w:sz="0" w:space="0" w:color="auto"/>
        <w:bottom w:val="none" w:sz="0" w:space="0" w:color="auto"/>
        <w:right w:val="none" w:sz="0" w:space="0" w:color="auto"/>
      </w:divBdr>
    </w:div>
    <w:div w:id="1723675188">
      <w:bodyDiv w:val="1"/>
      <w:marLeft w:val="0"/>
      <w:marRight w:val="0"/>
      <w:marTop w:val="0"/>
      <w:marBottom w:val="0"/>
      <w:divBdr>
        <w:top w:val="none" w:sz="0" w:space="0" w:color="auto"/>
        <w:left w:val="none" w:sz="0" w:space="0" w:color="auto"/>
        <w:bottom w:val="none" w:sz="0" w:space="0" w:color="auto"/>
        <w:right w:val="none" w:sz="0" w:space="0" w:color="auto"/>
      </w:divBdr>
    </w:div>
    <w:div w:id="1766344570">
      <w:bodyDiv w:val="1"/>
      <w:marLeft w:val="0"/>
      <w:marRight w:val="0"/>
      <w:marTop w:val="0"/>
      <w:marBottom w:val="0"/>
      <w:divBdr>
        <w:top w:val="none" w:sz="0" w:space="0" w:color="auto"/>
        <w:left w:val="none" w:sz="0" w:space="0" w:color="auto"/>
        <w:bottom w:val="none" w:sz="0" w:space="0" w:color="auto"/>
        <w:right w:val="none" w:sz="0" w:space="0" w:color="auto"/>
      </w:divBdr>
    </w:div>
    <w:div w:id="1884436120">
      <w:bodyDiv w:val="1"/>
      <w:marLeft w:val="0"/>
      <w:marRight w:val="0"/>
      <w:marTop w:val="0"/>
      <w:marBottom w:val="0"/>
      <w:divBdr>
        <w:top w:val="none" w:sz="0" w:space="0" w:color="auto"/>
        <w:left w:val="none" w:sz="0" w:space="0" w:color="auto"/>
        <w:bottom w:val="none" w:sz="0" w:space="0" w:color="auto"/>
        <w:right w:val="none" w:sz="0" w:space="0" w:color="auto"/>
      </w:divBdr>
    </w:div>
    <w:div w:id="2009089570">
      <w:bodyDiv w:val="1"/>
      <w:marLeft w:val="0"/>
      <w:marRight w:val="0"/>
      <w:marTop w:val="0"/>
      <w:marBottom w:val="0"/>
      <w:divBdr>
        <w:top w:val="none" w:sz="0" w:space="0" w:color="auto"/>
        <w:left w:val="none" w:sz="0" w:space="0" w:color="auto"/>
        <w:bottom w:val="none" w:sz="0" w:space="0" w:color="auto"/>
        <w:right w:val="none" w:sz="0" w:space="0" w:color="auto"/>
      </w:divBdr>
    </w:div>
    <w:div w:id="2010910906">
      <w:bodyDiv w:val="1"/>
      <w:marLeft w:val="0"/>
      <w:marRight w:val="0"/>
      <w:marTop w:val="0"/>
      <w:marBottom w:val="0"/>
      <w:divBdr>
        <w:top w:val="none" w:sz="0" w:space="0" w:color="auto"/>
        <w:left w:val="none" w:sz="0" w:space="0" w:color="auto"/>
        <w:bottom w:val="none" w:sz="0" w:space="0" w:color="auto"/>
        <w:right w:val="none" w:sz="0" w:space="0" w:color="auto"/>
      </w:divBdr>
    </w:div>
    <w:div w:id="2066677923">
      <w:bodyDiv w:val="1"/>
      <w:marLeft w:val="0"/>
      <w:marRight w:val="0"/>
      <w:marTop w:val="0"/>
      <w:marBottom w:val="0"/>
      <w:divBdr>
        <w:top w:val="none" w:sz="0" w:space="0" w:color="auto"/>
        <w:left w:val="none" w:sz="0" w:space="0" w:color="auto"/>
        <w:bottom w:val="none" w:sz="0" w:space="0" w:color="auto"/>
        <w:right w:val="none" w:sz="0" w:space="0" w:color="auto"/>
      </w:divBdr>
    </w:div>
    <w:div w:id="2078741113">
      <w:bodyDiv w:val="1"/>
      <w:marLeft w:val="0"/>
      <w:marRight w:val="0"/>
      <w:marTop w:val="0"/>
      <w:marBottom w:val="0"/>
      <w:divBdr>
        <w:top w:val="none" w:sz="0" w:space="0" w:color="auto"/>
        <w:left w:val="none" w:sz="0" w:space="0" w:color="auto"/>
        <w:bottom w:val="none" w:sz="0" w:space="0" w:color="auto"/>
        <w:right w:val="none" w:sz="0" w:space="0" w:color="auto"/>
      </w:divBdr>
    </w:div>
    <w:div w:id="212044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8/01/12/armenia-little-protection-aid-domestic-violence-survivors" TargetMode="External"/><Relationship Id="rId3" Type="http://schemas.openxmlformats.org/officeDocument/2006/relationships/hyperlink" Target="https://www.hrw.org/news/2018/01/12/armenia-little-protection-aid-domestic-violence-survivors" TargetMode="External"/><Relationship Id="rId7" Type="http://schemas.openxmlformats.org/officeDocument/2006/relationships/hyperlink" Target="https://www.hrw.org/news/2018/01/12/armenia-little-protection-aid-domestic-violence-survivors" TargetMode="External"/><Relationship Id="rId2" Type="http://schemas.openxmlformats.org/officeDocument/2006/relationships/hyperlink" Target="https://www.refworld.org/pdfid/5a6b2e274.pdf" TargetMode="External"/><Relationship Id="rId1" Type="http://schemas.openxmlformats.org/officeDocument/2006/relationships/hyperlink" Target="https://www.refworld.org/pdfid/5a6b2e274.pdf" TargetMode="External"/><Relationship Id="rId6" Type="http://schemas.openxmlformats.org/officeDocument/2006/relationships/hyperlink" Target="https://www.hrw.org/news/2019/10/24/countering-domestic-violence-myths-armenia" TargetMode="External"/><Relationship Id="rId5" Type="http://schemas.openxmlformats.org/officeDocument/2006/relationships/hyperlink" Target="https://www.hrw.org/news/2019/10/24/countering-domestic-violence-myths-armenia" TargetMode="External"/><Relationship Id="rId4" Type="http://schemas.openxmlformats.org/officeDocument/2006/relationships/hyperlink" Target="https://www.hrw.org/news/2018/01/12/armenia-little-protection-aid-domestic-violence-surviv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30F19-D466-42C6-ABB2-E80A4AD0A419}">
  <ds:schemaRefs>
    <ds:schemaRef ds:uri="http://schemas.openxmlformats.org/officeDocument/2006/bibliography"/>
  </ds:schemaRefs>
</ds:datastoreItem>
</file>

<file path=customXml/itemProps2.xml><?xml version="1.0" encoding="utf-8"?>
<ds:datastoreItem xmlns:ds="http://schemas.openxmlformats.org/officeDocument/2006/customXml" ds:itemID="{ADFC02D9-682A-4021-8768-A97A395557A9}"/>
</file>

<file path=customXml/itemProps3.xml><?xml version="1.0" encoding="utf-8"?>
<ds:datastoreItem xmlns:ds="http://schemas.openxmlformats.org/officeDocument/2006/customXml" ds:itemID="{AB007626-4F3C-4CF4-95B3-8EC4DE0D35E6}"/>
</file>

<file path=customXml/itemProps4.xml><?xml version="1.0" encoding="utf-8"?>
<ds:datastoreItem xmlns:ds="http://schemas.openxmlformats.org/officeDocument/2006/customXml" ds:itemID="{FAFB7C0D-CF5D-4978-8F1D-A8C0EE3B4B45}"/>
</file>

<file path=docProps/app.xml><?xml version="1.0" encoding="utf-8"?>
<Properties xmlns="http://schemas.openxmlformats.org/officeDocument/2006/extended-properties" xmlns:vt="http://schemas.openxmlformats.org/officeDocument/2006/docPropsVTypes">
  <Template>Normal</Template>
  <TotalTime>52</TotalTime>
  <Pages>7</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Links>
    <vt:vector size="204" baseType="variant">
      <vt:variant>
        <vt:i4>5701710</vt:i4>
      </vt:variant>
      <vt:variant>
        <vt:i4>56</vt:i4>
      </vt:variant>
      <vt:variant>
        <vt:i4>0</vt:i4>
      </vt:variant>
      <vt:variant>
        <vt:i4>5</vt:i4>
      </vt:variant>
      <vt:variant>
        <vt:lpwstr>https://www.hrw.org/news/2018/01/12/armenia-little-protection-aid-domestic-violence-survivors</vt:lpwstr>
      </vt:variant>
      <vt:variant>
        <vt:lpwstr/>
      </vt:variant>
      <vt:variant>
        <vt:i4>7667734</vt:i4>
      </vt:variant>
      <vt:variant>
        <vt:i4>53</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_ftnref6</vt:lpwstr>
      </vt:variant>
      <vt:variant>
        <vt:i4>7143548</vt:i4>
      </vt:variant>
      <vt:variant>
        <vt:i4>51</vt:i4>
      </vt:variant>
      <vt:variant>
        <vt:i4>0</vt:i4>
      </vt:variant>
      <vt:variant>
        <vt:i4>5</vt:i4>
      </vt:variant>
      <vt:variant>
        <vt:lpwstr>https://www.hrw.org/news/2019/10/24/countering-domestic-violence-myths-armenia</vt:lpwstr>
      </vt:variant>
      <vt:variant>
        <vt:lpwstr/>
      </vt:variant>
      <vt:variant>
        <vt:i4>7733270</vt:i4>
      </vt:variant>
      <vt:variant>
        <vt:i4>48</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_ftnref5</vt:lpwstr>
      </vt:variant>
      <vt:variant>
        <vt:i4>7143548</vt:i4>
      </vt:variant>
      <vt:variant>
        <vt:i4>45</vt:i4>
      </vt:variant>
      <vt:variant>
        <vt:i4>0</vt:i4>
      </vt:variant>
      <vt:variant>
        <vt:i4>5</vt:i4>
      </vt:variant>
      <vt:variant>
        <vt:lpwstr>https://www.hrw.org/news/2019/10/24/countering-domestic-violence-myths-armenia</vt:lpwstr>
      </vt:variant>
      <vt:variant>
        <vt:lpwstr/>
      </vt:variant>
      <vt:variant>
        <vt:i4>7798806</vt:i4>
      </vt:variant>
      <vt:variant>
        <vt:i4>42</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_ftnref4</vt:lpwstr>
      </vt:variant>
      <vt:variant>
        <vt:i4>2687034</vt:i4>
      </vt:variant>
      <vt:variant>
        <vt:i4>39</vt:i4>
      </vt:variant>
      <vt:variant>
        <vt:i4>0</vt:i4>
      </vt:variant>
      <vt:variant>
        <vt:i4>5</vt:i4>
      </vt:variant>
      <vt:variant>
        <vt:lpwstr>https://www.investigative.am/news/view/2020yntanekan-brnutyan-veraberyal0.html</vt:lpwstr>
      </vt:variant>
      <vt:variant>
        <vt:lpwstr/>
      </vt:variant>
      <vt:variant>
        <vt:i4>7340054</vt:i4>
      </vt:variant>
      <vt:variant>
        <vt:i4>36</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_ftnref3</vt:lpwstr>
      </vt:variant>
      <vt:variant>
        <vt:i4>5701710</vt:i4>
      </vt:variant>
      <vt:variant>
        <vt:i4>33</vt:i4>
      </vt:variant>
      <vt:variant>
        <vt:i4>0</vt:i4>
      </vt:variant>
      <vt:variant>
        <vt:i4>5</vt:i4>
      </vt:variant>
      <vt:variant>
        <vt:lpwstr>https://www.hrw.org/news/2018/01/12/armenia-little-protection-aid-domestic-violence-survivors</vt:lpwstr>
      </vt:variant>
      <vt:variant>
        <vt:lpwstr/>
      </vt:variant>
      <vt:variant>
        <vt:i4>7405590</vt:i4>
      </vt:variant>
      <vt:variant>
        <vt:i4>30</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_ftnref2</vt:lpwstr>
      </vt:variant>
      <vt:variant>
        <vt:i4>1507357</vt:i4>
      </vt:variant>
      <vt:variant>
        <vt:i4>27</vt:i4>
      </vt:variant>
      <vt:variant>
        <vt:i4>0</vt:i4>
      </vt:variant>
      <vt:variant>
        <vt:i4>5</vt:i4>
      </vt:variant>
      <vt:variant>
        <vt:lpwstr>https://www.refworld.org/pdfid/5a6b2e274.pdf</vt:lpwstr>
      </vt:variant>
      <vt:variant>
        <vt:lpwstr/>
      </vt:variant>
      <vt:variant>
        <vt:i4>7471126</vt:i4>
      </vt:variant>
      <vt:variant>
        <vt:i4>24</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_ftnref1</vt:lpwstr>
      </vt:variant>
      <vt:variant>
        <vt:i4>2490370</vt:i4>
      </vt:variant>
      <vt:variant>
        <vt:i4>21</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_ftn6</vt:lpwstr>
      </vt:variant>
      <vt:variant>
        <vt:i4>2490370</vt:i4>
      </vt:variant>
      <vt:variant>
        <vt:i4>18</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_ftn5</vt:lpwstr>
      </vt:variant>
      <vt:variant>
        <vt:i4>2490370</vt:i4>
      </vt:variant>
      <vt:variant>
        <vt:i4>15</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_ftn4</vt:lpwstr>
      </vt:variant>
      <vt:variant>
        <vt:i4>2490370</vt:i4>
      </vt:variant>
      <vt:variant>
        <vt:i4>12</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_ftn3</vt:lpwstr>
      </vt:variant>
      <vt:variant>
        <vt:i4>2490370</vt:i4>
      </vt:variant>
      <vt:variant>
        <vt:i4>9</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_ftn2</vt:lpwstr>
      </vt:variant>
      <vt:variant>
        <vt:i4>2490370</vt:i4>
      </vt:variant>
      <vt:variant>
        <vt:i4>2</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_ftn1</vt:lpwstr>
      </vt:variant>
      <vt:variant>
        <vt:i4>2490370</vt:i4>
      </vt:variant>
      <vt:variant>
        <vt:i4>0</vt:i4>
      </vt:variant>
      <vt:variant>
        <vt:i4>0</vt:i4>
      </vt:variant>
      <vt:variant>
        <vt:i4>5</vt:i4>
      </vt:variant>
      <vt:variant>
        <vt:lpwstr>https://usc-word-edit.officeapps.live.com/we/wordeditorframe.aspx?ui=en%2DUS&amp;rs=en%2DUS&amp;wopisrc=https%3A%2F%2Fhrworg-my.sharepoint.com%2Fpersonal%2Flapuenk_hrw_org%2F_vti_bin%2Fwopi.ashx%2Ffiles%2Fea777c9ad3e744dbb78370c15487d33a&amp;wdlor=c1C1EB2FD-F62B-42B3-8BB3-E3682696D8B0&amp;wdenableroaming=1&amp;mscc=1&amp;wdodb=1&amp;hid=D134EB9E-0E9B-419B-A289-18C074044BC3&amp;wdorigin=Outlook-Body&amp;wdhostclicktime=1663069795103&amp;jsapi=1&amp;jsapiver=v1&amp;newsession=1&amp;corrid=b666943a-9683-48f6-b479-063285f67e2f&amp;usid=b666943a-9683-48f6-b479-063285f67e2f&amp;sftc=1&amp;cac=1&amp;mtf=1&amp;sfp=1&amp;instantedit=1&amp;wopicomplete=1&amp;wdredirectionreason=Unified_SingleFlush&amp;rct=Medium&amp;ctp=LeastProtected</vt:lpwstr>
      </vt:variant>
      <vt:variant>
        <vt:lpwstr>_ftn1</vt:lpwstr>
      </vt:variant>
      <vt:variant>
        <vt:i4>5701710</vt:i4>
      </vt:variant>
      <vt:variant>
        <vt:i4>41</vt:i4>
      </vt:variant>
      <vt:variant>
        <vt:i4>0</vt:i4>
      </vt:variant>
      <vt:variant>
        <vt:i4>5</vt:i4>
      </vt:variant>
      <vt:variant>
        <vt:lpwstr>https://www.hrw.org/news/2018/01/12/armenia-little-protection-aid-domestic-violence-survivors</vt:lpwstr>
      </vt:variant>
      <vt:variant>
        <vt:lpwstr/>
      </vt:variant>
      <vt:variant>
        <vt:i4>5701710</vt:i4>
      </vt:variant>
      <vt:variant>
        <vt:i4>39</vt:i4>
      </vt:variant>
      <vt:variant>
        <vt:i4>0</vt:i4>
      </vt:variant>
      <vt:variant>
        <vt:i4>5</vt:i4>
      </vt:variant>
      <vt:variant>
        <vt:lpwstr>https://www.hrw.org/news/2018/01/12/armenia-little-protection-aid-domestic-violence-survivors</vt:lpwstr>
      </vt:variant>
      <vt:variant>
        <vt:lpwstr/>
      </vt:variant>
      <vt:variant>
        <vt:i4>7143548</vt:i4>
      </vt:variant>
      <vt:variant>
        <vt:i4>35</vt:i4>
      </vt:variant>
      <vt:variant>
        <vt:i4>0</vt:i4>
      </vt:variant>
      <vt:variant>
        <vt:i4>5</vt:i4>
      </vt:variant>
      <vt:variant>
        <vt:lpwstr>https://www.hrw.org/news/2019/10/24/countering-domestic-violence-myths-armenia</vt:lpwstr>
      </vt:variant>
      <vt:variant>
        <vt:lpwstr/>
      </vt:variant>
      <vt:variant>
        <vt:i4>7143548</vt:i4>
      </vt:variant>
      <vt:variant>
        <vt:i4>33</vt:i4>
      </vt:variant>
      <vt:variant>
        <vt:i4>0</vt:i4>
      </vt:variant>
      <vt:variant>
        <vt:i4>5</vt:i4>
      </vt:variant>
      <vt:variant>
        <vt:lpwstr>https://www.hrw.org/news/2019/10/24/countering-domestic-violence-myths-armenia</vt:lpwstr>
      </vt:variant>
      <vt:variant>
        <vt:lpwstr/>
      </vt:variant>
      <vt:variant>
        <vt:i4>7143548</vt:i4>
      </vt:variant>
      <vt:variant>
        <vt:i4>29</vt:i4>
      </vt:variant>
      <vt:variant>
        <vt:i4>0</vt:i4>
      </vt:variant>
      <vt:variant>
        <vt:i4>5</vt:i4>
      </vt:variant>
      <vt:variant>
        <vt:lpwstr>https://www.hrw.org/news/2019/10/24/countering-domestic-violence-myths-armenia</vt:lpwstr>
      </vt:variant>
      <vt:variant>
        <vt:lpwstr/>
      </vt:variant>
      <vt:variant>
        <vt:i4>7143548</vt:i4>
      </vt:variant>
      <vt:variant>
        <vt:i4>27</vt:i4>
      </vt:variant>
      <vt:variant>
        <vt:i4>0</vt:i4>
      </vt:variant>
      <vt:variant>
        <vt:i4>5</vt:i4>
      </vt:variant>
      <vt:variant>
        <vt:lpwstr>https://www.hrw.org/news/2019/10/24/countering-domestic-violence-myths-armenia</vt:lpwstr>
      </vt:variant>
      <vt:variant>
        <vt:lpwstr/>
      </vt:variant>
      <vt:variant>
        <vt:i4>6291583</vt:i4>
      </vt:variant>
      <vt:variant>
        <vt:i4>24</vt:i4>
      </vt:variant>
      <vt:variant>
        <vt:i4>0</vt:i4>
      </vt:variant>
      <vt:variant>
        <vt:i4>5</vt:i4>
      </vt:variant>
      <vt:variant>
        <vt:lpwstr>https://www.investigative.am/news/view/2022-tvakani-arajin-kisamyak-yntanekan-brnutyunner.html</vt:lpwstr>
      </vt:variant>
      <vt:variant>
        <vt:lpwstr/>
      </vt:variant>
      <vt:variant>
        <vt:i4>2687034</vt:i4>
      </vt:variant>
      <vt:variant>
        <vt:i4>17</vt:i4>
      </vt:variant>
      <vt:variant>
        <vt:i4>0</vt:i4>
      </vt:variant>
      <vt:variant>
        <vt:i4>5</vt:i4>
      </vt:variant>
      <vt:variant>
        <vt:lpwstr>https://www.investigative.am/news/view/2020yntanekan-brnutyan-veraberyal0.html</vt:lpwstr>
      </vt:variant>
      <vt:variant>
        <vt:lpwstr/>
      </vt:variant>
      <vt:variant>
        <vt:i4>2687034</vt:i4>
      </vt:variant>
      <vt:variant>
        <vt:i4>15</vt:i4>
      </vt:variant>
      <vt:variant>
        <vt:i4>0</vt:i4>
      </vt:variant>
      <vt:variant>
        <vt:i4>5</vt:i4>
      </vt:variant>
      <vt:variant>
        <vt:lpwstr>https://www.investigative.am/news/view/2020yntanekan-brnutyan-veraberyal0.html</vt:lpwstr>
      </vt:variant>
      <vt:variant>
        <vt:lpwstr/>
      </vt:variant>
      <vt:variant>
        <vt:i4>5701710</vt:i4>
      </vt:variant>
      <vt:variant>
        <vt:i4>11</vt:i4>
      </vt:variant>
      <vt:variant>
        <vt:i4>0</vt:i4>
      </vt:variant>
      <vt:variant>
        <vt:i4>5</vt:i4>
      </vt:variant>
      <vt:variant>
        <vt:lpwstr>https://www.hrw.org/news/2018/01/12/armenia-little-protection-aid-domestic-violence-survivors</vt:lpwstr>
      </vt:variant>
      <vt:variant>
        <vt:lpwstr/>
      </vt:variant>
      <vt:variant>
        <vt:i4>5701710</vt:i4>
      </vt:variant>
      <vt:variant>
        <vt:i4>9</vt:i4>
      </vt:variant>
      <vt:variant>
        <vt:i4>0</vt:i4>
      </vt:variant>
      <vt:variant>
        <vt:i4>5</vt:i4>
      </vt:variant>
      <vt:variant>
        <vt:lpwstr>https://www.hrw.org/news/2018/01/12/armenia-little-protection-aid-domestic-violence-survivors</vt:lpwstr>
      </vt:variant>
      <vt:variant>
        <vt:lpwstr/>
      </vt:variant>
      <vt:variant>
        <vt:i4>1572871</vt:i4>
      </vt:variant>
      <vt:variant>
        <vt:i4>6</vt:i4>
      </vt:variant>
      <vt:variant>
        <vt:i4>0</vt:i4>
      </vt:variant>
      <vt:variant>
        <vt:i4>5</vt:i4>
      </vt:variant>
      <vt:variant>
        <vt:lpwstr>https://armstat.am/file/article/gbv_report_eng.pdf</vt:lpwstr>
      </vt:variant>
      <vt:variant>
        <vt:lpwstr/>
      </vt:variant>
      <vt:variant>
        <vt:i4>1507357</vt:i4>
      </vt:variant>
      <vt:variant>
        <vt:i4>2</vt:i4>
      </vt:variant>
      <vt:variant>
        <vt:i4>0</vt:i4>
      </vt:variant>
      <vt:variant>
        <vt:i4>5</vt:i4>
      </vt:variant>
      <vt:variant>
        <vt:lpwstr>https://www.refworld.org/pdfid/5a6b2e274.pdf</vt:lpwstr>
      </vt:variant>
      <vt:variant>
        <vt:lpwstr/>
      </vt:variant>
      <vt:variant>
        <vt:i4>1507357</vt:i4>
      </vt:variant>
      <vt:variant>
        <vt:i4>0</vt:i4>
      </vt:variant>
      <vt:variant>
        <vt:i4>0</vt:i4>
      </vt:variant>
      <vt:variant>
        <vt:i4>5</vt:i4>
      </vt:variant>
      <vt:variant>
        <vt:lpwstr>https://www.refworld.org/pdfid/5a6b2e274.pdf</vt:lpwstr>
      </vt:variant>
      <vt:variant>
        <vt:lpwstr/>
      </vt:variant>
      <vt:variant>
        <vt:i4>1572871</vt:i4>
      </vt:variant>
      <vt:variant>
        <vt:i4>0</vt:i4>
      </vt:variant>
      <vt:variant>
        <vt:i4>0</vt:i4>
      </vt:variant>
      <vt:variant>
        <vt:i4>5</vt:i4>
      </vt:variant>
      <vt:variant>
        <vt:lpwstr>https://armstat.am/file/article/gbv_report_eng.pdf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 Puente</dc:creator>
  <cp:keywords/>
  <dc:description/>
  <cp:lastModifiedBy>Katherine La Puente</cp:lastModifiedBy>
  <cp:revision>17</cp:revision>
  <dcterms:created xsi:type="dcterms:W3CDTF">2022-09-16T21:07:00Z</dcterms:created>
  <dcterms:modified xsi:type="dcterms:W3CDTF">2022-09-20T18:16:00Z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