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b w:val="1"/>
          <w:bCs w:val="1"/>
          <w:sz w:val="32"/>
          <w:szCs w:val="32"/>
        </w:rPr>
        <w:drawing>
          <wp:inline distB="114300" distT="114300" distL="114300" distR="114300">
            <wp:extent cx="1695450" cy="1204913"/>
            <wp:effectExtent b="0" l="0" r="0" t="0"/>
            <wp:docPr id="1" name="image1.png"/>
            <a:graphic>
              <a:graphicData uri="http://schemas.openxmlformats.org/drawingml/2006/picture">
                <pic:pic>
                  <pic:nvPicPr>
                    <pic:cNvPr id="0" name="image1.png"/>
                    <pic:cNvPicPr preferRelativeResize="0"/>
                  </pic:nvPicPr>
                  <pic:blipFill>
                    <a:blip r:embed="rId8"/>
                    <a:srcRect b="-8035" l="0" r="0" t="0"/>
                    <a:stretch>
                      <a:fillRect/>
                    </a:stretch>
                  </pic:blipFill>
                  <pic:spPr>
                    <a:xfrm>
                      <a:off x="0" y="0"/>
                      <a:ext cx="1695450" cy="12049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Human Rights Violations Based on Sexual</w:t>
      </w:r>
    </w:p>
    <w:p w:rsidR="00000000" w:rsidDel="00000000" w:rsidP="00000000" w:rsidRDefault="00000000" w:rsidRPr="00000000" w14:paraId="0000000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Orientation and Gender Identity in Tajikistan</w:t>
      </w:r>
    </w:p>
    <w:p w:rsidR="00000000" w:rsidDel="00000000" w:rsidP="00000000" w:rsidRDefault="00000000" w:rsidRPr="00000000" w14:paraId="000000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Alternative Report</w:t>
      </w:r>
    </w:p>
    <w:p w:rsidR="00000000" w:rsidDel="00000000" w:rsidP="00000000" w:rsidRDefault="00000000" w:rsidRPr="00000000" w14:paraId="000000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 a commentary on the report E/C.12/TJK/FCO/4 by Tajikistan and as a response to the Concluding Observations E/C.12/TJK/CO/4 </w:t>
      </w:r>
    </w:p>
    <w:p w:rsidR="00000000" w:rsidDel="00000000" w:rsidP="00000000" w:rsidRDefault="00000000" w:rsidRPr="00000000" w14:paraId="000000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79th Session of the Committee on Economic, Social and Cultural Rights</w:t>
      </w:r>
    </w:p>
    <w:p w:rsidR="00000000" w:rsidDel="00000000" w:rsidP="00000000" w:rsidRDefault="00000000" w:rsidRPr="00000000" w14:paraId="000000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Follow-up to concluding observations</w:t>
      </w:r>
    </w:p>
    <w:p w:rsidR="00000000" w:rsidDel="00000000" w:rsidP="00000000" w:rsidRDefault="00000000" w:rsidRPr="00000000" w14:paraId="000000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submitting organization is ECOM - Eurasian Coalition on Health, Rights, Gender and Sexual Diversity, an international association with a mission to support the development of national LGBT communities and their activism, to promote human rights, health, and social well-being for people of gender and sexual diversity in Eastern Europe and Central Asia (EECA). The network currently has 95 members from 19 countries, including Tajikistan. ECOM was founded in 2011 and registered as an Association in Estonia in 2013.</w:t>
      </w:r>
    </w:p>
    <w:p w:rsidR="00000000" w:rsidDel="00000000" w:rsidP="00000000" w:rsidRDefault="00000000" w:rsidRPr="00000000" w14:paraId="000000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ECOM - Eurasian Coalition on Health, Rights, Gender and Sexual Diversity </w:t>
      </w:r>
    </w:p>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Tallinn, Estonia </w:t>
      </w:r>
    </w:p>
    <w:p w:rsidR="00000000" w:rsidDel="00000000" w:rsidP="00000000" w:rsidRDefault="00000000" w:rsidRPr="00000000" w14:paraId="00000019">
      <w:pPr>
        <w:rPr>
          <w:rFonts w:ascii="Arial" w:cs="Arial" w:eastAsia="Arial" w:hAnsi="Arial"/>
          <w:sz w:val="22"/>
          <w:szCs w:val="22"/>
        </w:rPr>
      </w:pPr>
      <w:hyperlink r:id="rId9">
        <w:r w:rsidDel="00000000" w:rsidR="00000000" w:rsidRPr="00000000">
          <w:rPr>
            <w:rFonts w:ascii="Arial" w:cs="Arial" w:eastAsia="Arial" w:hAnsi="Arial"/>
            <w:color w:val="1155cc"/>
            <w:sz w:val="22"/>
            <w:szCs w:val="22"/>
            <w:u w:val="single"/>
            <w:rtl w:val="0"/>
          </w:rPr>
          <w:t xml:space="preserve">www.ecom.ngo</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Elvira Tilek</w:t>
      </w:r>
    </w:p>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w:t>
      </w:r>
      <w:hyperlink r:id="rId10">
        <w:r w:rsidDel="00000000" w:rsidR="00000000" w:rsidRPr="00000000">
          <w:rPr>
            <w:rFonts w:ascii="Arial" w:cs="Arial" w:eastAsia="Arial" w:hAnsi="Arial"/>
            <w:color w:val="1155cc"/>
            <w:sz w:val="22"/>
            <w:szCs w:val="22"/>
            <w:u w:val="single"/>
            <w:rtl w:val="0"/>
          </w:rPr>
          <w:t xml:space="preserve">elvira@ecom.ngo</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January 2026</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w:t>
      </w:r>
    </w:p>
    <w:p w:rsidR="00000000" w:rsidDel="00000000" w:rsidP="00000000" w:rsidRDefault="00000000" w:rsidRPr="00000000" w14:paraId="0000002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 Tajikistan acceded to the International Covenant on Economic, Social and Cultural Rights in 1999 and has a ‘State Party’ status within the framework of the Covenant. Tajikistan submitted a follow-up report to the concluding observations on its fourth periodic report, which included its response to the Concluding Observations that the Committee on Economic, Social and Cultural Rights has presented to it in 2022. </w:t>
      </w:r>
    </w:p>
    <w:p w:rsidR="00000000" w:rsidDel="00000000" w:rsidP="00000000" w:rsidRDefault="00000000" w:rsidRPr="00000000" w14:paraId="000000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The follow-up report lacks information regarding lesbian, gay, bisexual, and transgender individuals (LGBT). The purpose of this report is to provide on the current status of the Committee's recommendations regarding LGBT people.</w:t>
      </w:r>
    </w:p>
    <w:p w:rsidR="00000000" w:rsidDel="00000000" w:rsidP="00000000" w:rsidRDefault="00000000" w:rsidRPr="00000000" w14:paraId="000000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Positive aspects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 ECOM recognizes the important step Tajikistan has taken to ensure equality by adopting anti-discrimination legislation that prohibits discrimination. Although the law does not directly prohibit discrimination based on sexual orientation or gender identity (SOGI), the list of protected grounds is open-ended, meaning that, in theory, LGBT people are also protected by this law.</w:t>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Principal subjects of concern and recommendations</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Civil Society, human rights defenders</w:t>
      </w:r>
    </w:p>
    <w:p w:rsidR="00000000" w:rsidDel="00000000" w:rsidP="00000000" w:rsidRDefault="00000000" w:rsidRPr="00000000" w14:paraId="0000003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 In its Concluding Observations, the Committee expressed concern about excessive restrictions, both in law and in practice, on non-governmental organizations concerning their registration and reporting obligations regarding external grants, particularly on organizations working for the rights of lesbian, gay, bisexual, transgender, and intersex individuals</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Fonts w:ascii="Arial" w:cs="Arial" w:eastAsia="Arial" w:hAnsi="Arial"/>
          <w:sz w:val="22"/>
          <w:szCs w:val="22"/>
          <w:rtl w:val="0"/>
        </w:rPr>
        <w:t xml:space="preserve">. In its follow-up report, Tajikistan ignored these concerns and did not provide information on how the recommendation on civil society was being implemented. </w:t>
      </w:r>
    </w:p>
    <w:p w:rsidR="00000000" w:rsidDel="00000000" w:rsidP="00000000" w:rsidRDefault="00000000" w:rsidRPr="00000000" w14:paraId="000000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 In response to concerns expressed by the Committee regarding reports of arrests, detention, and trials without due process of human rights defenders</w:t>
      </w:r>
      <w:r w:rsidDel="00000000" w:rsidR="00000000" w:rsidRPr="00000000">
        <w:rPr>
          <w:rFonts w:ascii="Arial" w:cs="Arial" w:eastAsia="Arial" w:hAnsi="Arial"/>
          <w:sz w:val="22"/>
          <w:szCs w:val="22"/>
          <w:vertAlign w:val="superscript"/>
        </w:rPr>
        <w:footnoteReference w:customMarkFollows="0" w:id="1"/>
      </w:r>
      <w:r w:rsidDel="00000000" w:rsidR="00000000" w:rsidRPr="00000000">
        <w:rPr>
          <w:rFonts w:ascii="Arial" w:cs="Arial" w:eastAsia="Arial" w:hAnsi="Arial"/>
          <w:sz w:val="22"/>
          <w:szCs w:val="22"/>
          <w:rtl w:val="0"/>
        </w:rPr>
        <w:t xml:space="preserve">, Tajikistan stated that arrests, investigations, preliminary inquiries, and detentions of accused persons, including journalists and other representatives of civil society, are carried out in compliance with the laws of Tajikistan</w:t>
      </w:r>
      <w:r w:rsidDel="00000000" w:rsidR="00000000" w:rsidRPr="00000000">
        <w:rPr>
          <w:rFonts w:ascii="Arial" w:cs="Arial" w:eastAsia="Arial" w:hAnsi="Arial"/>
          <w:sz w:val="22"/>
          <w:szCs w:val="22"/>
          <w:vertAlign w:val="superscript"/>
        </w:rPr>
        <w:footnoteReference w:customMarkFollows="0" w:id="2"/>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 Since 2022, when the state received the concluding observations, the situation with civil society and human rights defenders has not only failed to improve, but significant persecution has taken place.</w:t>
      </w:r>
    </w:p>
    <w:p w:rsidR="00000000" w:rsidDel="00000000" w:rsidP="00000000" w:rsidRDefault="00000000" w:rsidRPr="00000000" w14:paraId="000000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 In November 2023, the Tajik Minister of Justice announced that 700 NGOs in Tajikistan had been liquidated over an 18-month period. Human rights defenders working on so-called sensitive issues have been reportedly subjected to threats and intimidation. This crackdown has drawn international concern, with the UN Special Rapporteur on the situation of human rights defenders underscoring that the dissolution of human rights NGOs signals a deteriorating environment for civil society and human rights defenders in Tajikistan</w:t>
      </w:r>
      <w:r w:rsidDel="00000000" w:rsidR="00000000" w:rsidRPr="00000000">
        <w:rPr>
          <w:rFonts w:ascii="Arial" w:cs="Arial" w:eastAsia="Arial" w:hAnsi="Arial"/>
          <w:sz w:val="22"/>
          <w:szCs w:val="22"/>
          <w:vertAlign w:val="superscript"/>
        </w:rPr>
        <w:footnoteReference w:customMarkFollows="0" w:id="3"/>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8. In 2025, another 29 public organizations in Tajikistan officially "voluntarily" ceased operations. However, numerous reports indicate that this occurred under continued pressure from the authorities</w:t>
      </w:r>
      <w:r w:rsidDel="00000000" w:rsidR="00000000" w:rsidRPr="00000000">
        <w:rPr>
          <w:rFonts w:ascii="Arial" w:cs="Arial" w:eastAsia="Arial" w:hAnsi="Arial"/>
          <w:sz w:val="22"/>
          <w:szCs w:val="22"/>
          <w:vertAlign w:val="superscript"/>
        </w:rPr>
        <w:footnoteReference w:customMarkFollows="0" w:id="4"/>
      </w:r>
      <w:r w:rsidDel="00000000" w:rsidR="00000000" w:rsidRPr="00000000">
        <w:rPr>
          <w:rFonts w:ascii="Arial" w:cs="Arial" w:eastAsia="Arial" w:hAnsi="Arial"/>
          <w:sz w:val="22"/>
          <w:szCs w:val="22"/>
          <w:rtl w:val="0"/>
        </w:rPr>
        <w:t xml:space="preserve">. The reasons include intensified inspections by the Ministry of Justice and tax authorities, reporting requirements that are virtually impossible to meet within the required deadlines, and the threat of unscheduled inspections and lawsuits for non-compliance with statutory regulations. NGO leaders reported verbal warnings, asking them to voluntarily close their organizations to avoid "serious consequences."</w:t>
      </w:r>
    </w:p>
    <w:p w:rsidR="00000000" w:rsidDel="00000000" w:rsidP="00000000" w:rsidRDefault="00000000" w:rsidRPr="00000000" w14:paraId="000000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9. For activists working on SOGI and HIV issues, this creates a particularly unsafe environment: the risk of arbitrary arrests and harsh sentences is compounded by a climate of fear and self-censorship, forcing organizations and individual activists to hide their activities and limit their human rights work to avoid pressure from the authorities.</w:t>
      </w:r>
    </w:p>
    <w:p w:rsidR="00000000" w:rsidDel="00000000" w:rsidP="00000000" w:rsidRDefault="00000000" w:rsidRPr="00000000" w14:paraId="000000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Non-discrimination</w:t>
      </w:r>
    </w:p>
    <w:p w:rsidR="00000000" w:rsidDel="00000000" w:rsidP="00000000" w:rsidRDefault="00000000" w:rsidRPr="00000000" w14:paraId="0000004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 In 2020, a working group was established to draft the first anti-discrimination law (On Equality and the elimination of all forms of discrimination), including SOGI as protected grounds. By the time the law was passed in July 2022, these provisions had been removed</w:t>
      </w:r>
      <w:r w:rsidDel="00000000" w:rsidR="00000000" w:rsidRPr="00000000">
        <w:rPr>
          <w:rFonts w:ascii="Arial" w:cs="Arial" w:eastAsia="Arial" w:hAnsi="Arial"/>
          <w:sz w:val="22"/>
          <w:szCs w:val="22"/>
          <w:vertAlign w:val="superscript"/>
        </w:rPr>
        <w:footnoteReference w:customMarkFollows="0" w:id="5"/>
      </w:r>
      <w:r w:rsidDel="00000000" w:rsidR="00000000" w:rsidRPr="00000000">
        <w:rPr>
          <w:rFonts w:ascii="Arial" w:cs="Arial" w:eastAsia="Arial" w:hAnsi="Arial"/>
          <w:sz w:val="22"/>
          <w:szCs w:val="22"/>
          <w:rtl w:val="0"/>
        </w:rPr>
        <w:t xml:space="preserve">. The anti-discrimination law defines discrimination as follows: “any refusal, preference, restriction or privilege based on grounds (…) of gender, religion, disability, age, property status or other circumstances that lead to the deterioration or hindrance of the exercise of rights.”</w:t>
      </w:r>
    </w:p>
    <w:p w:rsidR="00000000" w:rsidDel="00000000" w:rsidP="00000000" w:rsidRDefault="00000000" w:rsidRPr="00000000" w14:paraId="000000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11. Article 2(2) of the International Covenant on Economic, Social and Cultural Rights</w:t>
      </w:r>
      <w:r w:rsidDel="00000000" w:rsidR="00000000" w:rsidRPr="00000000">
        <w:rPr>
          <w:rFonts w:ascii="Arial" w:cs="Arial" w:eastAsia="Arial" w:hAnsi="Arial"/>
          <w:sz w:val="22"/>
          <w:szCs w:val="22"/>
          <w:vertAlign w:val="superscript"/>
        </w:rPr>
        <w:footnoteReference w:customMarkFollows="0" w:id="6"/>
      </w:r>
      <w:r w:rsidDel="00000000" w:rsidR="00000000" w:rsidRPr="00000000">
        <w:rPr>
          <w:rFonts w:ascii="Arial" w:cs="Arial" w:eastAsia="Arial" w:hAnsi="Arial"/>
          <w:sz w:val="22"/>
          <w:szCs w:val="22"/>
          <w:rtl w:val="0"/>
        </w:rPr>
        <w:t xml:space="preserve"> requires that the rights enunciated in the Covenant will be exercised without discrimination of any kind as to race, colour, sex, language, religion, political or other opinion, national or social origin, property, birth or other status. General Comment No. 20 clarifies that the term "other status" includes sexual orientation and gender identity</w:t>
      </w:r>
      <w:r w:rsidDel="00000000" w:rsidR="00000000" w:rsidRPr="00000000">
        <w:rPr>
          <w:rFonts w:ascii="Arial" w:cs="Arial" w:eastAsia="Arial" w:hAnsi="Arial"/>
          <w:sz w:val="22"/>
          <w:szCs w:val="22"/>
          <w:vertAlign w:val="superscript"/>
        </w:rPr>
        <w:footnoteReference w:customMarkFollows="0" w:id="7"/>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 However, there are serious concerns that Tajikistan's legislation, which prohibits discrimination based on "other circumstances" in anti-discrimination law, is insufficient for LGBT people. Despite the mechanisms adopted three years ago, there are no known cases of LGBT people submitting complaints to the Ombudsperson. This may indicate serious barriers in access to justice, driven by stigma, lack of trust and limited legal protection.</w:t>
      </w:r>
      <w:r w:rsidDel="00000000" w:rsidR="00000000" w:rsidRPr="00000000">
        <w:rPr>
          <w:rFonts w:ascii="Arial" w:cs="Arial" w:eastAsia="Arial" w:hAnsi="Arial"/>
          <w:sz w:val="22"/>
          <w:szCs w:val="22"/>
          <w:vertAlign w:val="superscript"/>
        </w:rPr>
        <w:footnoteReference w:customMarkFollows="0" w:id="8"/>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13. The anti-discrimination law, while important as a first step, remains insufficient to meet Tajikistan's international obligations. It formally prohibits discrimination on a broad range of grounds, but without explicit protection for LGBT individuals.</w:t>
      </w:r>
    </w:p>
    <w:p w:rsidR="00000000" w:rsidDel="00000000" w:rsidP="00000000" w:rsidRDefault="00000000" w:rsidRPr="00000000" w14:paraId="000000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Lesbian, gay, bisexual, transgender persons</w:t>
      </w:r>
    </w:p>
    <w:p w:rsidR="00000000" w:rsidDel="00000000" w:rsidP="00000000" w:rsidRDefault="00000000" w:rsidRPr="00000000" w14:paraId="00000049">
      <w:pPr>
        <w:rPr>
          <w:rFonts w:ascii="Arial" w:cs="Arial" w:eastAsia="Arial" w:hAnsi="Arial"/>
          <w:b w:val="1"/>
          <w:bCs w:val="1"/>
          <w:i w:val="1"/>
          <w:iCs w:val="1"/>
          <w:sz w:val="22"/>
          <w:szCs w:val="22"/>
        </w:rPr>
      </w:pPr>
      <w:r w:rsidDel="00000000" w:rsidR="00000000" w:rsidRPr="00000000">
        <w:rPr>
          <w:rtl w:val="0"/>
        </w:rPr>
      </w:r>
    </w:p>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Hate Crimes</w:t>
      </w:r>
      <w:r w:rsidDel="00000000" w:rsidR="00000000" w:rsidRPr="00000000">
        <w:rPr>
          <w:rtl w:val="0"/>
        </w:rPr>
      </w:r>
    </w:p>
    <w:p w:rsidR="00000000" w:rsidDel="00000000" w:rsidP="00000000" w:rsidRDefault="00000000" w:rsidRPr="00000000" w14:paraId="0000004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14. Tajikistan's legislation considers incitement to national, racial, regional, or religious hatred as an aggravating factor, but does not include hatred based on SOGI as one of them. This leads to the fact that hate crimes do not receive the proper response from the state and are a pressing problem for LGBT people in the country.</w:t>
      </w:r>
    </w:p>
    <w:p w:rsidR="00000000" w:rsidDel="00000000" w:rsidP="00000000" w:rsidRDefault="00000000" w:rsidRPr="00000000" w14:paraId="000000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 In law enforcement practice, such cases are most often classified as assault, threats, or hooliganism, without acknowledging their discriminatory nature or recording relevant statistics</w:t>
      </w:r>
      <w:r w:rsidDel="00000000" w:rsidR="00000000" w:rsidRPr="00000000">
        <w:rPr>
          <w:rFonts w:ascii="Arial" w:cs="Arial" w:eastAsia="Arial" w:hAnsi="Arial"/>
          <w:sz w:val="22"/>
          <w:szCs w:val="22"/>
          <w:vertAlign w:val="superscript"/>
        </w:rPr>
        <w:footnoteReference w:customMarkFollows="0" w:id="9"/>
      </w:r>
      <w:r w:rsidDel="00000000" w:rsidR="00000000" w:rsidRPr="00000000">
        <w:rPr>
          <w:rFonts w:ascii="Arial" w:cs="Arial" w:eastAsia="Arial" w:hAnsi="Arial"/>
          <w:sz w:val="22"/>
          <w:szCs w:val="22"/>
          <w:rtl w:val="0"/>
        </w:rPr>
        <w:t xml:space="preserve">. As a result, LGBT people may remain legally unprotected despite their actual vulnerability, which is inconsistent with Tajikistan's international obligations under the UN.</w:t>
      </w:r>
    </w:p>
    <w:p w:rsidR="00000000" w:rsidDel="00000000" w:rsidP="00000000" w:rsidRDefault="00000000" w:rsidRPr="00000000" w14:paraId="0000004E">
      <w:pPr>
        <w:rPr>
          <w:rFonts w:ascii="Arial" w:cs="Arial" w:eastAsia="Arial" w:hAnsi="Arial"/>
          <w:b w:val="1"/>
          <w:bCs w:val="1"/>
          <w:i w:val="1"/>
          <w:iCs w:val="1"/>
          <w:sz w:val="22"/>
          <w:szCs w:val="22"/>
        </w:rPr>
      </w:pPr>
      <w:r w:rsidDel="00000000" w:rsidR="00000000" w:rsidRPr="00000000">
        <w:rPr>
          <w:rtl w:val="0"/>
        </w:rPr>
      </w:r>
    </w:p>
    <w:p w:rsidR="00000000" w:rsidDel="00000000" w:rsidP="00000000" w:rsidRDefault="00000000" w:rsidRPr="00000000" w14:paraId="0000004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Law enforcement </w:t>
      </w:r>
    </w:p>
    <w:p w:rsidR="00000000" w:rsidDel="00000000" w:rsidP="00000000" w:rsidRDefault="00000000" w:rsidRPr="00000000" w14:paraId="0000005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 Information that the Tajik authorities had compiled a registry of LGBT people appeared in 2017 in a newspaper published by Tajikistan's state prosecutor</w:t>
      </w:r>
      <w:r w:rsidDel="00000000" w:rsidR="00000000" w:rsidRPr="00000000">
        <w:rPr>
          <w:rFonts w:ascii="Arial" w:cs="Arial" w:eastAsia="Arial" w:hAnsi="Arial"/>
          <w:sz w:val="22"/>
          <w:szCs w:val="22"/>
          <w:vertAlign w:val="superscript"/>
        </w:rPr>
        <w:footnoteReference w:customMarkFollows="0" w:id="10"/>
      </w:r>
      <w:r w:rsidDel="00000000" w:rsidR="00000000" w:rsidRPr="00000000">
        <w:rPr>
          <w:rFonts w:ascii="Arial" w:cs="Arial" w:eastAsia="Arial" w:hAnsi="Arial"/>
          <w:sz w:val="22"/>
          <w:szCs w:val="22"/>
          <w:rtl w:val="0"/>
        </w:rPr>
        <w:t xml:space="preserve">. In 2024, the Minister of the Interior announced that he did not have such a list</w:t>
      </w:r>
      <w:r w:rsidDel="00000000" w:rsidR="00000000" w:rsidRPr="00000000">
        <w:rPr>
          <w:rFonts w:ascii="Arial" w:cs="Arial" w:eastAsia="Arial" w:hAnsi="Arial"/>
          <w:sz w:val="22"/>
          <w:szCs w:val="22"/>
          <w:vertAlign w:val="superscript"/>
        </w:rPr>
        <w:footnoteReference w:customMarkFollows="0" w:id="11"/>
      </w:r>
      <w:r w:rsidDel="00000000" w:rsidR="00000000" w:rsidRPr="00000000">
        <w:rPr>
          <w:rFonts w:ascii="Arial" w:cs="Arial" w:eastAsia="Arial" w:hAnsi="Arial"/>
          <w:sz w:val="22"/>
          <w:szCs w:val="22"/>
          <w:rtl w:val="0"/>
        </w:rPr>
        <w:t xml:space="preserve">. But, in the Sughd region, more than 10 cases have been reported in 2024 in which law enforcement officers allegedly lured LGBTI individuals into fake meetings to trap them. These unofficial raids are used to falsely register them in a database, gather their personal information—such as social media contacts—and extort money from them</w:t>
      </w:r>
      <w:r w:rsidDel="00000000" w:rsidR="00000000" w:rsidRPr="00000000">
        <w:rPr>
          <w:rFonts w:ascii="Arial" w:cs="Arial" w:eastAsia="Arial" w:hAnsi="Arial"/>
          <w:sz w:val="22"/>
          <w:szCs w:val="22"/>
          <w:vertAlign w:val="superscript"/>
        </w:rPr>
        <w:footnoteReference w:customMarkFollows="0" w:id="12"/>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sz w:val="22"/>
          <w:szCs w:val="22"/>
          <w:rtl w:val="0"/>
        </w:rPr>
        <w:t xml:space="preserve">17. In Tajikistan, LGBT individuals are not criminalized. However, the country has developed a practice of using alternative criminal provisions to persecute LGBT people. In 2024, Article 241 “Illegal production and circulation of pornographic materials or objects” of the Criminal Code was most frequently used against LGBT people. </w:t>
      </w:r>
    </w:p>
    <w:p w:rsidR="00000000" w:rsidDel="00000000" w:rsidP="00000000" w:rsidRDefault="00000000" w:rsidRPr="00000000" w14:paraId="000000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 Law enforcement agencies specifically target LGBT people, confiscate their mobile phones and computers for inspection without court orders, and threaten prosecution under Article 241 in cases where they find personal photos or videos. The main motive is extortion of money</w:t>
      </w:r>
      <w:r w:rsidDel="00000000" w:rsidR="00000000" w:rsidRPr="00000000">
        <w:rPr>
          <w:rFonts w:ascii="Arial" w:cs="Arial" w:eastAsia="Arial" w:hAnsi="Arial"/>
          <w:sz w:val="22"/>
          <w:szCs w:val="22"/>
          <w:vertAlign w:val="superscript"/>
        </w:rPr>
        <w:footnoteReference w:customMarkFollows="0" w:id="13"/>
      </w:r>
      <w:r w:rsidDel="00000000" w:rsidR="00000000" w:rsidRPr="00000000">
        <w:rPr>
          <w:rFonts w:ascii="Arial" w:cs="Arial" w:eastAsia="Arial" w:hAnsi="Arial"/>
          <w:sz w:val="22"/>
          <w:szCs w:val="22"/>
          <w:rtl w:val="0"/>
        </w:rPr>
        <w:t xml:space="preserve">. After seizing cell phones, law enforcement officers were reported to copy contacts, photos, and messages to lure other suspected LGBT people into meetings, where they too are detained and subjected to abuse</w:t>
      </w:r>
      <w:r w:rsidDel="00000000" w:rsidR="00000000" w:rsidRPr="00000000">
        <w:rPr>
          <w:rFonts w:ascii="Arial" w:cs="Arial" w:eastAsia="Arial" w:hAnsi="Arial"/>
          <w:sz w:val="22"/>
          <w:szCs w:val="22"/>
          <w:vertAlign w:val="superscript"/>
        </w:rPr>
        <w:footnoteReference w:customMarkFollows="0" w:id="14"/>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19. In its Concluding Observations, the Committee recommended that the State party provide effective protection against all forms of discrimination and violence based on sexual orientation and gender identity</w:t>
      </w:r>
      <w:r w:rsidDel="00000000" w:rsidR="00000000" w:rsidRPr="00000000">
        <w:rPr>
          <w:rFonts w:ascii="Arial" w:cs="Arial" w:eastAsia="Arial" w:hAnsi="Arial"/>
          <w:sz w:val="22"/>
          <w:szCs w:val="22"/>
          <w:vertAlign w:val="superscript"/>
        </w:rPr>
        <w:footnoteReference w:customMarkFollows="0" w:id="15"/>
      </w:r>
      <w:r w:rsidDel="00000000" w:rsidR="00000000" w:rsidRPr="00000000">
        <w:rPr>
          <w:rFonts w:ascii="Arial" w:cs="Arial" w:eastAsia="Arial" w:hAnsi="Arial"/>
          <w:sz w:val="22"/>
          <w:szCs w:val="22"/>
          <w:rtl w:val="0"/>
        </w:rPr>
        <w:t xml:space="preserve">. Tajikistan has not provided any data on the implementation of this recommendation in the follow-up report. Information available to ECOM demonstrates that the state not only fails to eliminate discrimination and violence against LGBT people in Tajikistan, but is also one of the most active perpetrators of violence and discrimination against LGBT people.</w:t>
      </w:r>
    </w:p>
    <w:p w:rsidR="00000000" w:rsidDel="00000000" w:rsidP="00000000" w:rsidRDefault="00000000" w:rsidRPr="00000000" w14:paraId="0000005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Violence against Women</w:t>
      </w:r>
    </w:p>
    <w:p w:rsidR="00000000" w:rsidDel="00000000" w:rsidP="00000000" w:rsidRDefault="00000000" w:rsidRPr="00000000" w14:paraId="0000005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 Family law in Tajikistan does not recognize same-sex unions. The Constitution and the Family Code define marriage only as a union between a man and a woman, leaving LGBT people without legal rights related to family life, such as joint property, inheritance, alimony, guardianship, or the ability to make medical decisions for a partner. </w:t>
      </w:r>
    </w:p>
    <w:p w:rsidR="00000000" w:rsidDel="00000000" w:rsidP="00000000" w:rsidRDefault="00000000" w:rsidRPr="00000000" w14:paraId="000000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 Sexual autonomy is also a sensitive issue. Although the law requires consent in marriage and states that spouses are equal, forced marriages remain common, including cases where young lesbian and bisexual women and trans people are pressured into heterosexual marriages to “correct” their sexual orientation or gender identity. This violates their right to choose a partner freely</w:t>
      </w:r>
      <w:r w:rsidDel="00000000" w:rsidR="00000000" w:rsidRPr="00000000">
        <w:rPr>
          <w:rFonts w:ascii="Arial" w:cs="Arial" w:eastAsia="Arial" w:hAnsi="Arial"/>
          <w:sz w:val="22"/>
          <w:szCs w:val="22"/>
          <w:vertAlign w:val="superscript"/>
        </w:rPr>
        <w:footnoteReference w:customMarkFollows="0" w:id="16"/>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22. The 2013 Law on the Prevention of Domestic Violence was an important step, offering tools like restraining orders and crisis centers. However, it has significant gaps: it does not recognize sexual orientation or gender identity as factors needing special protection, and most of its measures focus on heterosexual couples. As a result, LGBT people—who often face violence from parents or other relatives—remain largely unprotected</w:t>
      </w:r>
      <w:r w:rsidDel="00000000" w:rsidR="00000000" w:rsidRPr="00000000">
        <w:rPr>
          <w:rFonts w:ascii="Arial" w:cs="Arial" w:eastAsia="Arial" w:hAnsi="Arial"/>
          <w:sz w:val="22"/>
          <w:szCs w:val="22"/>
          <w:vertAlign w:val="superscript"/>
        </w:rPr>
        <w:footnoteReference w:customMarkFollows="0" w:id="17"/>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23. In its Concluding Observations, the Committee recommended that the State adopt comprehensive legislation to criminalize all forms of gender-based violence, including domestic violence, marital rape, and sexual assault within and outside marriage. Its implementation could, among other things, help LGBT people facing domestic violence outside of marriage.</w:t>
      </w:r>
    </w:p>
    <w:p w:rsidR="00000000" w:rsidDel="00000000" w:rsidP="00000000" w:rsidRDefault="00000000" w:rsidRPr="00000000" w14:paraId="000000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Right to work</w:t>
      </w:r>
    </w:p>
    <w:p w:rsidR="00000000" w:rsidDel="00000000" w:rsidP="00000000" w:rsidRDefault="00000000" w:rsidRPr="00000000" w14:paraId="00000062">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Informal economy</w:t>
      </w:r>
    </w:p>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Legal Gender Recognition </w:t>
      </w:r>
      <w:r w:rsidDel="00000000" w:rsidR="00000000" w:rsidRPr="00000000">
        <w:rPr>
          <w:rtl w:val="0"/>
        </w:rPr>
      </w:r>
    </w:p>
    <w:p w:rsidR="00000000" w:rsidDel="00000000" w:rsidP="00000000" w:rsidRDefault="00000000" w:rsidRPr="00000000" w14:paraId="0000006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24. Article 74 of Tajikistan’s Law “On State Registration of Civil Status Acts” allows people to change their gender marker and their first and last name if they provide an official medical report confirming a gender change. In theory, this makes legal gender recognition possible. </w:t>
      </w:r>
    </w:p>
    <w:p w:rsidR="00000000" w:rsidDel="00000000" w:rsidP="00000000" w:rsidRDefault="00000000" w:rsidRPr="00000000" w14:paraId="000000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25. In practice, it is blocked. Tajikistan has not approved any standard medical form, and no medical institution is authorized to issue the required certificate. As a result, civil registry offices often refuse applications or refer individuals to court, creating legal uncertainty. </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26. Trans individuals cannot change their identification documents to accurately reflect their appearance, which forces them to present IDs that do not match their gender identity. This discrepancy exposes them to discrimination in the workplace, educational settings, and everyday situations, increasing their risk of violence. As a result, many are driven into informal economies and experience ongoing social and economic exclusion. Eliminating this legal barrier is crucial to ensuring that trans people can fully access their economic, social, and cultural rights.</w:t>
      </w:r>
    </w:p>
    <w:p w:rsidR="00000000" w:rsidDel="00000000" w:rsidP="00000000" w:rsidRDefault="00000000" w:rsidRPr="00000000" w14:paraId="000000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27. In its Concluding Observations, the Committee was concerned about the exclusion of workers in the informal economy and non-traditional forms of employment from the scope of application of the Labour Code and recommended that Tajikistan ensure that workers in the informal economy are included within the scope of the Labour Code and other labour legislation and the social protection system as well as collect information on the informal economy</w:t>
      </w:r>
      <w:r w:rsidDel="00000000" w:rsidR="00000000" w:rsidRPr="00000000">
        <w:rPr>
          <w:rFonts w:ascii="Arial" w:cs="Arial" w:eastAsia="Arial" w:hAnsi="Arial"/>
          <w:sz w:val="22"/>
          <w:szCs w:val="22"/>
          <w:vertAlign w:val="superscript"/>
        </w:rPr>
        <w:footnoteReference w:customMarkFollows="0" w:id="18"/>
      </w:r>
      <w:r w:rsidDel="00000000" w:rsidR="00000000" w:rsidRPr="00000000">
        <w:rPr>
          <w:rFonts w:ascii="Arial" w:cs="Arial" w:eastAsia="Arial" w:hAnsi="Arial"/>
          <w:sz w:val="22"/>
          <w:szCs w:val="22"/>
          <w:rtl w:val="0"/>
        </w:rPr>
        <w:t xml:space="preserve">. Unfortunately, the state does not ensure access to labor rights for trans people.</w:t>
      </w:r>
    </w:p>
    <w:p w:rsidR="00000000" w:rsidDel="00000000" w:rsidP="00000000" w:rsidRDefault="00000000" w:rsidRPr="00000000" w14:paraId="000000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Right to social security</w:t>
      </w:r>
    </w:p>
    <w:p w:rsidR="00000000" w:rsidDel="00000000" w:rsidP="00000000" w:rsidRDefault="00000000" w:rsidRPr="00000000" w14:paraId="0000006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28. Because Tajikistan lacks effective tools to address workplace discrimination, LGBT people cannot defend their labor rights. Many are pushed into the informal economy or left unemployed. With little or no social security contributions, they remain largely unprotected.</w:t>
      </w:r>
    </w:p>
    <w:p w:rsidR="00000000" w:rsidDel="00000000" w:rsidP="00000000" w:rsidRDefault="00000000" w:rsidRPr="00000000" w14:paraId="000000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29. In its Concluding Observations, the Committee recommended to establish a non-contributory social security system for those not in the labour market, such as older persons, persons with disabilities, and others belonging to marginalized and disadvantaged groups</w:t>
      </w:r>
      <w:r w:rsidDel="00000000" w:rsidR="00000000" w:rsidRPr="00000000">
        <w:rPr>
          <w:rFonts w:ascii="Arial" w:cs="Arial" w:eastAsia="Arial" w:hAnsi="Arial"/>
          <w:sz w:val="22"/>
          <w:szCs w:val="22"/>
          <w:vertAlign w:val="superscript"/>
        </w:rPr>
        <w:footnoteReference w:customMarkFollows="0" w:id="19"/>
      </w:r>
      <w:r w:rsidDel="00000000" w:rsidR="00000000" w:rsidRPr="00000000">
        <w:rPr>
          <w:rFonts w:ascii="Arial" w:cs="Arial" w:eastAsia="Arial" w:hAnsi="Arial"/>
          <w:sz w:val="22"/>
          <w:szCs w:val="22"/>
          <w:rtl w:val="0"/>
        </w:rPr>
        <w:t xml:space="preserve">. Tajikistan did not provide information, regardless of this recommendation in its follow-up report. </w:t>
      </w:r>
    </w:p>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Right to housing</w:t>
      </w:r>
    </w:p>
    <w:p w:rsidR="00000000" w:rsidDel="00000000" w:rsidP="00000000" w:rsidRDefault="00000000" w:rsidRPr="00000000" w14:paraId="0000007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30. LGBT people often find themselves in vulnerable situations due to homophobia and transphobia. Relatives may evict LGBT adolescents and young adults from their homes. Discrimination at school and at work leaves LGBT people destitute. Furthermore, discrimination exists in the real estate market, with landlords reluctant to rent to LGBT people. This leads to some LGBTI people becoming homeless.</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 In its Concluding Observations, the Committee recommended to prevent homelessness in cases of eviction by ensuring the availability of adequate alternative housing</w:t>
      </w:r>
      <w:r w:rsidDel="00000000" w:rsidR="00000000" w:rsidRPr="00000000">
        <w:rPr>
          <w:rFonts w:ascii="Arial" w:cs="Arial" w:eastAsia="Arial" w:hAnsi="Arial"/>
          <w:sz w:val="22"/>
          <w:szCs w:val="22"/>
          <w:vertAlign w:val="superscript"/>
        </w:rPr>
        <w:footnoteReference w:customMarkFollows="0" w:id="20"/>
      </w:r>
      <w:r w:rsidDel="00000000" w:rsidR="00000000" w:rsidRPr="00000000">
        <w:rPr>
          <w:rFonts w:ascii="Arial" w:cs="Arial" w:eastAsia="Arial" w:hAnsi="Arial"/>
          <w:sz w:val="22"/>
          <w:szCs w:val="22"/>
          <w:rtl w:val="0"/>
        </w:rPr>
        <w:t xml:space="preserve">. Those alternative housing should be LGBTI friendly.</w:t>
      </w:r>
    </w:p>
    <w:p w:rsidR="00000000" w:rsidDel="00000000" w:rsidP="00000000" w:rsidRDefault="00000000" w:rsidRPr="00000000" w14:paraId="000000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Right to physical and mental health</w:t>
      </w:r>
    </w:p>
    <w:p w:rsidR="00000000" w:rsidDel="00000000" w:rsidP="00000000" w:rsidRDefault="00000000" w:rsidRPr="00000000" w14:paraId="0000007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9">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Persons living with HIV</w:t>
      </w:r>
    </w:p>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32. Tajikistan still criminalizes both the transmission of HIV and creating a “threat of infection” under Article 125 of the Criminal Code. In 2019, parliament increased penalties by classifying intentional HIV transmission as a “serious” crime.</w:t>
      </w:r>
    </w:p>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33. In 2023–2024, the Supreme Court took its first step toward a more humane approach by issuing guidance to unify how courts handle HIV cases. This move is seen as an early step toward possible decriminalization.</w:t>
      </w:r>
    </w:p>
    <w:p w:rsidR="00000000" w:rsidDel="00000000" w:rsidP="00000000" w:rsidRDefault="00000000" w:rsidRPr="00000000" w14:paraId="000000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33. However, international organizations warn that criminalizing “the threat of infection or transmission” continues to harm people living with HIV. It reinforces stigma, discourages voluntary testing, and limits access to essential health and social services. Despite the Supreme Court’s efforts, the law itself remains unchanged and continues to negatively affect people’s rights to health, privacy, family life, and freedom from discrimination.</w:t>
      </w:r>
    </w:p>
    <w:p w:rsidR="00000000" w:rsidDel="00000000" w:rsidP="00000000" w:rsidRDefault="00000000" w:rsidRPr="00000000" w14:paraId="000000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34. Since 2016, there have been reports that security forces in Tajikistan allegedly maintain a registry of individuals with diverse SOGI, subjecting them to systematic discrimination and human rights violations, including forced HIV testing. These actions are often driven by corruption or personal career advancement, linked to performance quotas that require officers to meet a minimum number of arrests or convictions</w:t>
      </w:r>
      <w:r w:rsidDel="00000000" w:rsidR="00000000" w:rsidRPr="00000000">
        <w:rPr>
          <w:rFonts w:ascii="Arial" w:cs="Arial" w:eastAsia="Arial" w:hAnsi="Arial"/>
          <w:sz w:val="22"/>
          <w:szCs w:val="22"/>
          <w:vertAlign w:val="superscript"/>
        </w:rPr>
        <w:footnoteReference w:customMarkFollows="0" w:id="21"/>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35. In 2023, ECOM documented 25 cases of human rights violations directed towards LGBT people. In 15 of them law enforcement officers arranged fake dates to force people to undergo rapid HIV testing, threatening to out them, and in some cases, revealing their HIV status to their colleagues and family members</w:t>
      </w:r>
      <w:r w:rsidDel="00000000" w:rsidR="00000000" w:rsidRPr="00000000">
        <w:rPr>
          <w:rFonts w:ascii="Arial" w:cs="Arial" w:eastAsia="Arial" w:hAnsi="Arial"/>
          <w:sz w:val="22"/>
          <w:szCs w:val="22"/>
          <w:vertAlign w:val="superscript"/>
        </w:rPr>
        <w:footnoteReference w:customMarkFollows="0" w:id="22"/>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36. De facto barriers for people living with HIV persist in a number of areas, including rights to education and work. HIV was included in lists of "limiting diseases" for certain professions and education. There have been cases of students with HIV being expelled from medical schools and applicants with HIV being denied admission to study, despite non-discrimination guarantees in the country's legislation. This demonstrates the inconsistency of these practices with the principle of equal access to employment and education</w:t>
      </w:r>
      <w:r w:rsidDel="00000000" w:rsidR="00000000" w:rsidRPr="00000000">
        <w:rPr>
          <w:rFonts w:ascii="Arial" w:cs="Arial" w:eastAsia="Arial" w:hAnsi="Arial"/>
          <w:sz w:val="22"/>
          <w:szCs w:val="22"/>
          <w:vertAlign w:val="superscript"/>
        </w:rPr>
        <w:footnoteReference w:customMarkFollows="0" w:id="23"/>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Right to education</w:t>
      </w:r>
    </w:p>
    <w:p w:rsidR="00000000" w:rsidDel="00000000" w:rsidP="00000000" w:rsidRDefault="00000000" w:rsidRPr="00000000" w14:paraId="0000008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37. Tajikistan lacks accessible sexual and reproductive education for adolescents, which is essential for reducing HIV and STIs among young people. Schools and universities lack anti-bullying mechanisms to help LGBT youth assert their rights in educational institutions. This leads to education being non-inclusive and inaccessible to LGBT people.</w:t>
      </w:r>
    </w:p>
    <w:p w:rsidR="00000000" w:rsidDel="00000000" w:rsidP="00000000" w:rsidRDefault="00000000" w:rsidRPr="00000000" w14:paraId="000000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38. In its Concluding Observations, the Committee recommended that the State party enhance its efforts to achieve universal access to quality education at all levels, but Tajikistan did not provide any data regardless this recommendation</w:t>
      </w:r>
      <w:r w:rsidDel="00000000" w:rsidR="00000000" w:rsidRPr="00000000">
        <w:rPr>
          <w:rFonts w:ascii="Arial" w:cs="Arial" w:eastAsia="Arial" w:hAnsi="Arial"/>
          <w:sz w:val="22"/>
          <w:szCs w:val="22"/>
          <w:vertAlign w:val="superscript"/>
        </w:rPr>
        <w:footnoteReference w:customMarkFollows="0" w:id="24"/>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Conclusion</w:t>
      </w:r>
    </w:p>
    <w:p w:rsidR="00000000" w:rsidDel="00000000" w:rsidP="00000000" w:rsidRDefault="00000000" w:rsidRPr="00000000" w14:paraId="0000008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39. Not only has Tajikistan failed to implement the recommendations regarding civil society and human rights defenders, but the situation has worsened significantly. Numerous organizations have been forced to close.</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40. Not a single recommendation concerning the rights of LGBTI people was implemented or reflected in the state's follow-up report.</w:t>
      </w:r>
    </w:p>
    <w:p w:rsidR="00000000" w:rsidDel="00000000" w:rsidP="00000000" w:rsidRDefault="00000000" w:rsidRPr="00000000" w14:paraId="000000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41. Data collected by ECOM and other human rights organizations demonstrate the urgent need for decisive measures aimed at improving LGBTI people's access to economic, social, and cultural rights. These measures should include:</w:t>
      </w:r>
    </w:p>
    <w:p w:rsidR="00000000" w:rsidDel="00000000" w:rsidP="00000000" w:rsidRDefault="00000000" w:rsidRPr="00000000" w14:paraId="000000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Adding SOGI as a protected characteristic in the anti-discrimination law.</w:t>
      </w:r>
    </w:p>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Introduce guidelines for government agencies on non-discriminatory treatment of LGBT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people and prohibit outing.</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Ensure effective, impartial, and prompt investigations into reports of violence and blackmail against LGBT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individuals and people living with HIV, including by officials.</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Introduce into the Criminal Code the qualifying feature “motivated by hatred towards SOGI”; establish an aggravating motive for all relevant offenses (violence, threats, damage to property, etc.).</w:t>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Establish an administrative, accessible, rapid, and non-discriminatory procedure for legal gender recognition (change of sex/name/gender marker in documents) based on self-determination without the requirement for surgery, sterilization, diagnosis of a disorder, court order, or divorce.</w:t>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Approve a standard format for medical reports (optional, not mandatory) and a list of authorized bodies, including the Civil Registry Office; introduce reasonable timeframes and fixed state fees for the provision of necessary services.</w:t>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Include explicit guarantees for LGBT people in the domestic violence prevention law, recognize the “right to sexual autonomy,” provide for protective orders and access to shelters without discrimination</w:t>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Bring criminal legislation, including provisions on HIV, into line with UN guidelines: limit criminal liability to cases of intentional and proven transmission, eliminate the concept of "placement in danger," and guarantee the protection of the confidentiality of status.</w:t>
      </w:r>
    </w:p>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Strengthen the work of the Human Rights Commissioner to protect individuals based on their sexual orientation, gender identity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 provide investigative powers, the right to request information, and recommend sanctions.</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Include indicators on sexual orientation, gender identity, and HIV in national strategies (human rights, health, education, youth issues) and SDG reporting.</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Institutionalize the participation of LGBTI human rights defenders and HIV service organizations in policy development and ensure public discussions.</w:t>
      </w:r>
    </w:p>
    <w:p w:rsidR="00000000" w:rsidDel="00000000" w:rsidP="00000000" w:rsidRDefault="00000000" w:rsidRPr="00000000" w14:paraId="0000009D">
      <w:pPr>
        <w:rPr/>
      </w:pPr>
      <w:r w:rsidDel="00000000" w:rsidR="00000000" w:rsidRPr="00000000">
        <w:rPr>
          <w:rtl w:val="0"/>
        </w:rPr>
      </w:r>
    </w:p>
    <w:sectPr>
      <w:headerReference r:id="rId11"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E/C.12/TJK/CO/4, para 10-11</w:t>
      </w:r>
    </w:p>
  </w:footnote>
  <w:footnote w:id="1">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E/C.12/TJK/CO/4, para 12-13</w:t>
      </w:r>
    </w:p>
  </w:footnote>
  <w:footnote w:id="2">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E/C.12/TJK/FCO/4, para 1-3</w:t>
      </w:r>
    </w:p>
  </w:footnote>
  <w:footnote w:id="3">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OHCHR: Tajikistan: UN expert criticises dissolution of 700 NGOs, March 2024. URL: </w:t>
      </w:r>
      <w:hyperlink r:id="rId1">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https://www.ohchr.org/en/press-releases/2024/03/tajikistan-un-expert-criticises-dissolution-700-ngos</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4">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Post № 1170749798430955 / AsiaPlus. – URL:  </w:t>
      </w:r>
      <w:hyperlink r:id="rId2">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https://www.facebook.com/asiaplustj/posts/1170749798430955/</w:t>
        </w:r>
      </w:hyperlink>
      <w:r w:rsidDel="00000000" w:rsidR="00000000" w:rsidRPr="00000000">
        <w:rPr>
          <w:rtl w:val="0"/>
        </w:rPr>
      </w:r>
    </w:p>
  </w:footnote>
  <w:footnote w:id="5">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Ilga Europe and Central Asia: Annual Review 2025: Tajikistan, February 2025. URL: </w:t>
      </w:r>
      <w:hyperlink r:id="rId3">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https://www.ilga-europe.org/files/uploads/2025/02/Annual-Review-2025-Tajikistan.pdf</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6">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OHCHR: International Covenant on Economic, Social and Cultural Rights, 1966. URL: </w:t>
      </w:r>
      <w:hyperlink r:id="rId4">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https://www.ohchr.org/en/instruments-mechanisms/instruments/international-covenant-economic-social-and-cultural-rights</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7">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OHCHR, E/C.12/GC/20, July 2009. URL: </w:t>
      </w:r>
      <w:hyperlink r:id="rId5">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https://www.ohchr.org/en/documents/general-comments-and-recommendations/general-comment-no-20-2009-non-discrimination</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9">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Ibid.</w:t>
      </w:r>
      <w:r w:rsidDel="00000000" w:rsidR="00000000" w:rsidRPr="00000000">
        <w:rPr>
          <w:rtl w:val="0"/>
        </w:rPr>
      </w:r>
    </w:p>
  </w:footnote>
  <w:footnote w:id="10">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The Guardian, “Tajikistan authorities draw up list of gay and lesbian citizens “, October 2017. URL: </w:t>
      </w:r>
      <w:hyperlink r:id="rId6">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https://www.theguardian.com/world/2017/oct/17/tajikistan-gay-lesbian-register-medical-checks</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1">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Radio Ozodi (Liberty), “Вопрос журналиста о списке ЛГБТ привел министра внутренних дел в негодование “, February 2024. URL: </w:t>
      </w:r>
      <w:hyperlink r:id="rId7">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https://rus.ozodi.org/a/32820952.html</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2">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Ilga Europe and Central Asia: Annual Review 2025: Tajikistan, February 2025. </w:t>
      </w:r>
    </w:p>
  </w:footnote>
  <w:footnote w:id="13">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“National Report on Violations of the Rights of LGBT People in Tajikistan”, 2024. </w:t>
      </w:r>
    </w:p>
  </w:footnote>
  <w:footnote w:id="14">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Ilga Europe and Central Asia: Annual Review 2025: Tajikistan, February 2025. </w:t>
      </w:r>
    </w:p>
  </w:footnote>
  <w:footnote w:id="15">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E/C.12/TJK/CO/4, para 21-22</w:t>
      </w:r>
    </w:p>
  </w:footnote>
  <w:footnote w:id="18">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E/C.12/TJK/CO/4, para 38-39</w:t>
      </w:r>
    </w:p>
  </w:footnote>
  <w:footnote w:id="19">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E/C.12/TJK/CO/4, para 43-43</w:t>
      </w:r>
    </w:p>
  </w:footnote>
  <w:footnote w:id="20">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E/C.12/TJK/CO/4, para 46-47</w:t>
      </w:r>
    </w:p>
  </w:footnote>
  <w:footnote w:id="21">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Analysis of national legislation of Tajikistan related to SOGI and HIV, 2025-2026. </w:t>
      </w:r>
    </w:p>
  </w:footnote>
  <w:footnote w:id="22">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“National Report on Violations of the Rights of LGBT People in Tajikistan”, 2023. </w:t>
      </w:r>
    </w:p>
  </w:footnote>
  <w:footnote w:id="23">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Analysis of national legislation of Tajikistan related to SOGI and HIV, 2025-2026.</w:t>
      </w:r>
    </w:p>
  </w:footnote>
  <w:footnote w:id="24">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E/C.12/TJK/CO/4, para 54-55</w:t>
      </w:r>
    </w:p>
  </w:footnote>
  <w:footnote w:id="8">
    <w:p w:rsidR="00000000" w:rsidDel="00000000" w:rsidP="00000000" w:rsidRDefault="00000000" w:rsidRPr="00000000" w14:paraId="000000B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ECOM, Analysis of national legislation of Tajikistan related to SOGI and HIV, 2025-2026. URL: </w:t>
      </w:r>
      <w:hyperlink r:id="rId8">
        <w:r w:rsidDel="00000000" w:rsidR="00000000" w:rsidRPr="00000000">
          <w:rPr>
            <w:color w:val="1155cc"/>
            <w:sz w:val="20"/>
            <w:szCs w:val="20"/>
            <w:u w:val="single"/>
            <w:rtl w:val="0"/>
          </w:rPr>
          <w:t xml:space="preserve">https://ecom.ngo/en/library/analysis-tajikistan-legislation-sogi-hiv-2025/</w:t>
        </w:r>
      </w:hyperlink>
      <w:r w:rsidDel="00000000" w:rsidR="00000000" w:rsidRPr="00000000">
        <w:rPr>
          <w:sz w:val="20"/>
          <w:szCs w:val="20"/>
          <w:rtl w:val="0"/>
        </w:rPr>
        <w:t xml:space="preserve"> </w:t>
      </w:r>
    </w:p>
  </w:footnote>
  <w:footnote w:id="16">
    <w:p w:rsidR="00000000" w:rsidDel="00000000" w:rsidP="00000000" w:rsidRDefault="00000000" w:rsidRPr="00000000" w14:paraId="000000B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ECOM, Analysis of national legislation of Tajikistan related to SOGI and HIV, 2025-2026. URL: </w:t>
      </w:r>
      <w:hyperlink r:id="rId9">
        <w:r w:rsidDel="00000000" w:rsidR="00000000" w:rsidRPr="00000000">
          <w:rPr>
            <w:color w:val="1155cc"/>
            <w:sz w:val="20"/>
            <w:szCs w:val="20"/>
            <w:u w:val="single"/>
            <w:rtl w:val="0"/>
          </w:rPr>
          <w:t xml:space="preserve">https://ecom.ngo/en/library/analysis-tajikistan-legislation-sogi-hiv-2025/</w:t>
        </w:r>
      </w:hyperlink>
      <w:r w:rsidDel="00000000" w:rsidR="00000000" w:rsidRPr="00000000">
        <w:rPr>
          <w:rtl w:val="0"/>
        </w:rPr>
      </w:r>
    </w:p>
  </w:footnote>
  <w:footnote w:id="17">
    <w:p w:rsidR="00000000" w:rsidDel="00000000" w:rsidP="00000000" w:rsidRDefault="00000000" w:rsidRPr="00000000" w14:paraId="000000B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42"/>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840D98"/>
    <w:rPr>
      <w:color w:val="0563c1" w:themeColor="hyperlink"/>
      <w:u w:val="single"/>
    </w:rPr>
  </w:style>
  <w:style w:type="character" w:styleId="UnresolvedMention">
    <w:name w:val="Unresolved Mention"/>
    <w:basedOn w:val="DefaultParagraphFont"/>
    <w:uiPriority w:val="99"/>
    <w:semiHidden w:val="1"/>
    <w:unhideWhenUsed w:val="1"/>
    <w:rsid w:val="00840D98"/>
    <w:rPr>
      <w:color w:val="605e5c"/>
      <w:shd w:color="auto" w:fill="e1dfdd" w:val="clear"/>
    </w:rPr>
  </w:style>
  <w:style w:type="paragraph" w:styleId="ListParagraph">
    <w:name w:val="List Paragraph"/>
    <w:basedOn w:val="Normal"/>
    <w:uiPriority w:val="34"/>
    <w:qFormat w:val="1"/>
    <w:rsid w:val="00840D98"/>
    <w:pPr>
      <w:ind w:left="720"/>
      <w:contextualSpacing w:val="1"/>
    </w:pPr>
  </w:style>
  <w:style w:type="paragraph" w:styleId="NormalWeb">
    <w:name w:val="Normal (Web)"/>
    <w:basedOn w:val="Normal"/>
    <w:uiPriority w:val="99"/>
    <w:semiHidden w:val="1"/>
    <w:unhideWhenUsed w:val="1"/>
    <w:rsid w:val="00840D98"/>
    <w:rPr>
      <w:rFonts w:ascii="Times New Roman" w:cs="Times New Roman" w:hAnsi="Times New Roman"/>
    </w:rPr>
  </w:style>
  <w:style w:type="paragraph" w:styleId="FootnoteText">
    <w:name w:val="footnote text"/>
    <w:basedOn w:val="Normal"/>
    <w:link w:val="FootnoteTextChar"/>
    <w:uiPriority w:val="99"/>
    <w:semiHidden w:val="1"/>
    <w:unhideWhenUsed w:val="1"/>
    <w:rsid w:val="00440763"/>
    <w:rPr>
      <w:sz w:val="20"/>
      <w:szCs w:val="20"/>
    </w:rPr>
  </w:style>
  <w:style w:type="character" w:styleId="FootnoteTextChar" w:customStyle="1">
    <w:name w:val="Footnote Text Char"/>
    <w:basedOn w:val="DefaultParagraphFont"/>
    <w:link w:val="FootnoteText"/>
    <w:uiPriority w:val="99"/>
    <w:semiHidden w:val="1"/>
    <w:rsid w:val="00440763"/>
    <w:rPr>
      <w:sz w:val="20"/>
      <w:szCs w:val="20"/>
    </w:rPr>
  </w:style>
  <w:style w:type="character" w:styleId="FootnoteReference">
    <w:name w:val="footnote reference"/>
    <w:basedOn w:val="DefaultParagraphFont"/>
    <w:uiPriority w:val="99"/>
    <w:semiHidden w:val="1"/>
    <w:unhideWhenUsed w:val="1"/>
    <w:rsid w:val="00440763"/>
    <w:rPr>
      <w:vertAlign w:val="superscript"/>
    </w:rPr>
  </w:style>
  <w:style w:type="character" w:styleId="FollowedHyperlink">
    <w:name w:val="FollowedHyperlink"/>
    <w:basedOn w:val="DefaultParagraphFont"/>
    <w:uiPriority w:val="99"/>
    <w:semiHidden w:val="1"/>
    <w:unhideWhenUsed w:val="1"/>
    <w:rsid w:val="00F07C19"/>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mailto:elvira@ecom.ngo" TargetMode="External"/><Relationship Id="rId9" Type="http://schemas.openxmlformats.org/officeDocument/2006/relationships/hyperlink" Target="http://www.ecom.ngo"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press-releases/2024/03/tajikistan-un-expert-criticises-dissolution-700-ngos" TargetMode="External"/><Relationship Id="rId2" Type="http://schemas.openxmlformats.org/officeDocument/2006/relationships/hyperlink" Target="https://www.facebook.com/asiaplustj/posts/1170749798430955/" TargetMode="External"/><Relationship Id="rId3" Type="http://schemas.openxmlformats.org/officeDocument/2006/relationships/hyperlink" Target="https://www.ilga-europe.org/files/uploads/2025/02/Annual-Review-2025-Tajikistan.pdf" TargetMode="External"/><Relationship Id="rId4" Type="http://schemas.openxmlformats.org/officeDocument/2006/relationships/hyperlink" Target="https://www.ohchr.org/en/instruments-mechanisms/instruments/international-covenant-economic-social-and-cultural-rights" TargetMode="External"/><Relationship Id="rId9" Type="http://schemas.openxmlformats.org/officeDocument/2006/relationships/hyperlink" Target="https://ecom.ngo/en/library/analysis-tajikistan-legislation-sogi-hiv-2025/" TargetMode="External"/><Relationship Id="rId5" Type="http://schemas.openxmlformats.org/officeDocument/2006/relationships/hyperlink" Target="https://www.ohchr.org/en/documents/general-comments-and-recommendations/general-comment-no-20-2009-non-discrimination" TargetMode="External"/><Relationship Id="rId6" Type="http://schemas.openxmlformats.org/officeDocument/2006/relationships/hyperlink" Target="https://www.theguardian.com/world/2017/oct/17/tajikistan-gay-lesbian-register-medical-checks" TargetMode="External"/><Relationship Id="rId7" Type="http://schemas.openxmlformats.org/officeDocument/2006/relationships/hyperlink" Target="https://rus.ozodi.org/a/32820952.html" TargetMode="External"/><Relationship Id="rId8" Type="http://schemas.openxmlformats.org/officeDocument/2006/relationships/hyperlink" Target="https://ecom.ngo/en/library/analysis-tajikistan-legislation-sogi-hiv-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d6FQcjiM937UHNofqrju3S/J7w==">CgMxLjA4AHIhMXVLZFdQMzZiTXNqS3ZPMEt5enFsbDN4MzF3REZQUWJs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2025-12-01T10:14:00Z</dcterms:created>
  <dc:creator>Nadira</dc:creator>
</cp:coreProperties>
</file>