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5D013" w14:textId="77777777" w:rsidR="005505F6" w:rsidRDefault="005505F6" w:rsidP="00192117">
      <w:pPr>
        <w:pStyle w:val="Default"/>
        <w:jc w:val="both"/>
      </w:pPr>
    </w:p>
    <w:p w14:paraId="380C5B65" w14:textId="77777777" w:rsidR="005505F6" w:rsidRDefault="005505F6" w:rsidP="00192117">
      <w:pPr>
        <w:pStyle w:val="Default"/>
        <w:jc w:val="both"/>
      </w:pPr>
    </w:p>
    <w:p w14:paraId="4D1AFA26" w14:textId="77777777" w:rsidR="005505F6" w:rsidRDefault="005505F6" w:rsidP="00192117">
      <w:pPr>
        <w:pStyle w:val="Default"/>
        <w:jc w:val="both"/>
      </w:pPr>
    </w:p>
    <w:p w14:paraId="1EFB5016" w14:textId="77777777" w:rsidR="005505F6" w:rsidRDefault="005505F6" w:rsidP="00192117">
      <w:pPr>
        <w:pStyle w:val="Default"/>
        <w:jc w:val="both"/>
      </w:pPr>
      <w:r>
        <w:rPr>
          <w:noProof/>
          <w:lang w:val="fr-CH" w:eastAsia="fr-CH"/>
        </w:rPr>
        <w:drawing>
          <wp:anchor distT="0" distB="0" distL="114300" distR="114300" simplePos="0" relativeHeight="251658240" behindDoc="0" locked="0" layoutInCell="1" allowOverlap="1" wp14:anchorId="7187C5BD" wp14:editId="00B9E8BD">
            <wp:simplePos x="0" y="0"/>
            <wp:positionH relativeFrom="column">
              <wp:posOffset>3100705</wp:posOffset>
            </wp:positionH>
            <wp:positionV relativeFrom="paragraph">
              <wp:posOffset>-387985</wp:posOffset>
            </wp:positionV>
            <wp:extent cx="967740" cy="1257300"/>
            <wp:effectExtent l="0" t="0" r="0" b="12700"/>
            <wp:wrapThrough wrapText="bothSides">
              <wp:wrapPolygon edited="0">
                <wp:start x="5669" y="0"/>
                <wp:lineTo x="567" y="436"/>
                <wp:lineTo x="0" y="11782"/>
                <wp:lineTo x="0" y="21382"/>
                <wp:lineTo x="20976" y="21382"/>
                <wp:lineTo x="20976" y="7418"/>
                <wp:lineTo x="17008" y="6982"/>
                <wp:lineTo x="20409" y="3055"/>
                <wp:lineTo x="20409" y="1745"/>
                <wp:lineTo x="15307" y="0"/>
                <wp:lineTo x="5669" y="0"/>
              </wp:wrapPolygon>
            </wp:wrapThrough>
            <wp:docPr id="2" name="Picture 2" descr="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vernment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67740"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C0C06" w14:textId="77777777" w:rsidR="005505F6" w:rsidRDefault="005505F6" w:rsidP="00192117">
      <w:pPr>
        <w:pStyle w:val="Default"/>
        <w:jc w:val="both"/>
      </w:pPr>
    </w:p>
    <w:p w14:paraId="5CA60637" w14:textId="77777777" w:rsidR="005505F6" w:rsidRDefault="005505F6" w:rsidP="00192117">
      <w:pPr>
        <w:pStyle w:val="Default"/>
        <w:jc w:val="both"/>
      </w:pPr>
    </w:p>
    <w:p w14:paraId="6849431F" w14:textId="77777777" w:rsidR="005505F6" w:rsidRDefault="005505F6" w:rsidP="00192117">
      <w:pPr>
        <w:pStyle w:val="Default"/>
        <w:jc w:val="both"/>
      </w:pPr>
    </w:p>
    <w:p w14:paraId="5DA0DF9D" w14:textId="77777777" w:rsidR="005505F6" w:rsidRDefault="005505F6" w:rsidP="00192117">
      <w:pPr>
        <w:pStyle w:val="Default"/>
        <w:jc w:val="both"/>
      </w:pPr>
    </w:p>
    <w:p w14:paraId="7FAF84B0" w14:textId="77777777" w:rsidR="005505F6" w:rsidRDefault="005505F6" w:rsidP="00192117">
      <w:pPr>
        <w:pStyle w:val="Default"/>
        <w:jc w:val="both"/>
      </w:pPr>
    </w:p>
    <w:p w14:paraId="0B826168" w14:textId="77777777" w:rsidR="005505F6" w:rsidRDefault="005505F6" w:rsidP="00192117">
      <w:pPr>
        <w:pStyle w:val="Default"/>
        <w:jc w:val="both"/>
      </w:pPr>
    </w:p>
    <w:p w14:paraId="23DF83DD" w14:textId="77777777" w:rsidR="005505F6" w:rsidRDefault="005505F6" w:rsidP="00192117">
      <w:pPr>
        <w:pStyle w:val="Default"/>
        <w:jc w:val="both"/>
      </w:pPr>
    </w:p>
    <w:p w14:paraId="50D267C9" w14:textId="77777777" w:rsidR="00A8782D" w:rsidRDefault="00A8782D" w:rsidP="00192117">
      <w:pPr>
        <w:pStyle w:val="Default"/>
        <w:jc w:val="both"/>
        <w:rPr>
          <w:rFonts w:ascii="Times New Roman" w:hAnsi="Times New Roman" w:cs="Times New Roman"/>
          <w:b/>
          <w:sz w:val="23"/>
          <w:szCs w:val="23"/>
        </w:rPr>
      </w:pPr>
    </w:p>
    <w:p w14:paraId="32E47432" w14:textId="77777777" w:rsidR="00A8782D" w:rsidRDefault="00A8782D" w:rsidP="00192117">
      <w:pPr>
        <w:pStyle w:val="Default"/>
        <w:jc w:val="both"/>
        <w:rPr>
          <w:rFonts w:ascii="Times New Roman" w:hAnsi="Times New Roman" w:cs="Times New Roman"/>
          <w:b/>
          <w:sz w:val="23"/>
          <w:szCs w:val="23"/>
        </w:rPr>
      </w:pPr>
    </w:p>
    <w:p w14:paraId="014A6468" w14:textId="77777777" w:rsidR="00A8782D" w:rsidRDefault="00A8782D" w:rsidP="00192117">
      <w:pPr>
        <w:pStyle w:val="Default"/>
        <w:jc w:val="both"/>
        <w:rPr>
          <w:rFonts w:ascii="Times New Roman" w:hAnsi="Times New Roman" w:cs="Times New Roman"/>
          <w:b/>
          <w:sz w:val="23"/>
          <w:szCs w:val="23"/>
        </w:rPr>
      </w:pPr>
      <w:r>
        <w:rPr>
          <w:rFonts w:ascii="Times New Roman" w:hAnsi="Times New Roman" w:cs="Times New Roman"/>
          <w:b/>
          <w:sz w:val="23"/>
          <w:szCs w:val="23"/>
        </w:rPr>
        <w:t xml:space="preserve">                     </w:t>
      </w:r>
      <w:r w:rsidR="00192117" w:rsidRPr="00192117">
        <w:rPr>
          <w:rFonts w:ascii="Times New Roman" w:hAnsi="Times New Roman" w:cs="Times New Roman"/>
          <w:b/>
          <w:sz w:val="23"/>
          <w:szCs w:val="23"/>
        </w:rPr>
        <w:t>OFFICIAL STATEMENT BY HEAD OF DELEGATION FOR UGANDA</w:t>
      </w:r>
    </w:p>
    <w:p w14:paraId="1DFA8CC6" w14:textId="77777777" w:rsidR="00A8782D" w:rsidRDefault="00A8782D" w:rsidP="00192117">
      <w:pPr>
        <w:pStyle w:val="Default"/>
        <w:jc w:val="both"/>
        <w:rPr>
          <w:rFonts w:ascii="Times New Roman" w:hAnsi="Times New Roman" w:cs="Times New Roman"/>
          <w:b/>
          <w:sz w:val="23"/>
          <w:szCs w:val="23"/>
        </w:rPr>
      </w:pPr>
    </w:p>
    <w:p w14:paraId="2FF75B1A" w14:textId="77777777" w:rsidR="00A8782D" w:rsidRDefault="00A8782D" w:rsidP="00192117">
      <w:pPr>
        <w:pStyle w:val="Default"/>
        <w:jc w:val="both"/>
        <w:rPr>
          <w:rFonts w:ascii="Times New Roman" w:hAnsi="Times New Roman" w:cs="Times New Roman"/>
          <w:b/>
          <w:sz w:val="23"/>
          <w:szCs w:val="23"/>
        </w:rPr>
      </w:pPr>
    </w:p>
    <w:p w14:paraId="3F6ECB40" w14:textId="77777777" w:rsidR="00A8782D" w:rsidRDefault="00192117" w:rsidP="00192117">
      <w:pPr>
        <w:pStyle w:val="Default"/>
        <w:jc w:val="both"/>
        <w:rPr>
          <w:rFonts w:ascii="Times New Roman" w:hAnsi="Times New Roman" w:cs="Times New Roman"/>
          <w:b/>
          <w:sz w:val="23"/>
          <w:szCs w:val="23"/>
        </w:rPr>
      </w:pPr>
      <w:r w:rsidRPr="00192117">
        <w:rPr>
          <w:rFonts w:ascii="Times New Roman" w:hAnsi="Times New Roman" w:cs="Times New Roman"/>
          <w:b/>
          <w:sz w:val="23"/>
          <w:szCs w:val="23"/>
        </w:rPr>
        <w:t xml:space="preserve"> </w:t>
      </w:r>
    </w:p>
    <w:p w14:paraId="18782D6F" w14:textId="77777777" w:rsidR="00A8782D" w:rsidRDefault="00A8782D" w:rsidP="00192117">
      <w:pPr>
        <w:pStyle w:val="Default"/>
        <w:jc w:val="both"/>
        <w:rPr>
          <w:rFonts w:ascii="Times New Roman" w:hAnsi="Times New Roman" w:cs="Times New Roman"/>
          <w:b/>
          <w:sz w:val="23"/>
          <w:szCs w:val="23"/>
        </w:rPr>
      </w:pPr>
    </w:p>
    <w:p w14:paraId="5573A894" w14:textId="77777777" w:rsidR="00A8782D" w:rsidRDefault="00A8782D" w:rsidP="00192117">
      <w:pPr>
        <w:pStyle w:val="Default"/>
        <w:jc w:val="both"/>
        <w:rPr>
          <w:rFonts w:ascii="Times New Roman" w:hAnsi="Times New Roman" w:cs="Times New Roman"/>
          <w:b/>
          <w:sz w:val="23"/>
          <w:szCs w:val="23"/>
        </w:rPr>
      </w:pPr>
      <w:r>
        <w:rPr>
          <w:rFonts w:ascii="Times New Roman" w:hAnsi="Times New Roman" w:cs="Times New Roman"/>
          <w:b/>
          <w:sz w:val="23"/>
          <w:szCs w:val="23"/>
        </w:rPr>
        <w:t xml:space="preserve">                                                     </w:t>
      </w:r>
      <w:r w:rsidR="00192117" w:rsidRPr="00192117">
        <w:rPr>
          <w:rFonts w:ascii="Times New Roman" w:hAnsi="Times New Roman" w:cs="Times New Roman"/>
          <w:b/>
          <w:sz w:val="23"/>
          <w:szCs w:val="23"/>
        </w:rPr>
        <w:t xml:space="preserve">HONOURABLE SULAIMAN MADADA </w:t>
      </w:r>
    </w:p>
    <w:p w14:paraId="51172AE1" w14:textId="77777777" w:rsidR="00A8782D" w:rsidRDefault="00A8782D" w:rsidP="00192117">
      <w:pPr>
        <w:pStyle w:val="Default"/>
        <w:jc w:val="both"/>
        <w:rPr>
          <w:rFonts w:ascii="Times New Roman" w:hAnsi="Times New Roman" w:cs="Times New Roman"/>
          <w:b/>
          <w:sz w:val="23"/>
          <w:szCs w:val="23"/>
        </w:rPr>
      </w:pPr>
    </w:p>
    <w:p w14:paraId="00D4CFE9" w14:textId="77777777" w:rsidR="00A8782D" w:rsidRDefault="00A8782D" w:rsidP="00192117">
      <w:pPr>
        <w:pStyle w:val="Default"/>
        <w:jc w:val="both"/>
        <w:rPr>
          <w:rFonts w:ascii="Times New Roman" w:hAnsi="Times New Roman" w:cs="Times New Roman"/>
          <w:b/>
          <w:sz w:val="23"/>
          <w:szCs w:val="23"/>
        </w:rPr>
      </w:pPr>
    </w:p>
    <w:p w14:paraId="7F38CCC5" w14:textId="77777777" w:rsidR="00A8782D" w:rsidRDefault="00A8782D" w:rsidP="00192117">
      <w:pPr>
        <w:pStyle w:val="Default"/>
        <w:jc w:val="both"/>
        <w:rPr>
          <w:rFonts w:ascii="Times New Roman" w:hAnsi="Times New Roman" w:cs="Times New Roman"/>
          <w:b/>
          <w:sz w:val="23"/>
          <w:szCs w:val="23"/>
        </w:rPr>
      </w:pPr>
    </w:p>
    <w:p w14:paraId="4114AB70" w14:textId="77777777" w:rsidR="00A8782D" w:rsidRDefault="00A8782D" w:rsidP="00192117">
      <w:pPr>
        <w:pStyle w:val="Default"/>
        <w:jc w:val="both"/>
        <w:rPr>
          <w:rFonts w:ascii="Times New Roman" w:hAnsi="Times New Roman" w:cs="Times New Roman"/>
          <w:b/>
          <w:sz w:val="23"/>
          <w:szCs w:val="23"/>
        </w:rPr>
      </w:pPr>
    </w:p>
    <w:p w14:paraId="5101AF18" w14:textId="77777777" w:rsidR="00A8782D" w:rsidRDefault="00A8782D" w:rsidP="00192117">
      <w:pPr>
        <w:pStyle w:val="Default"/>
        <w:jc w:val="both"/>
        <w:rPr>
          <w:rFonts w:ascii="Times New Roman" w:hAnsi="Times New Roman" w:cs="Times New Roman"/>
          <w:b/>
          <w:sz w:val="23"/>
          <w:szCs w:val="23"/>
        </w:rPr>
      </w:pPr>
    </w:p>
    <w:p w14:paraId="48A70987" w14:textId="77777777" w:rsidR="00A8782D" w:rsidRDefault="00A8782D" w:rsidP="00192117">
      <w:pPr>
        <w:pStyle w:val="Default"/>
        <w:jc w:val="both"/>
        <w:rPr>
          <w:rFonts w:ascii="Times New Roman" w:hAnsi="Times New Roman" w:cs="Times New Roman"/>
          <w:b/>
          <w:sz w:val="23"/>
          <w:szCs w:val="23"/>
        </w:rPr>
      </w:pPr>
      <w:r>
        <w:rPr>
          <w:rFonts w:ascii="Times New Roman" w:hAnsi="Times New Roman" w:cs="Times New Roman"/>
          <w:b/>
          <w:sz w:val="23"/>
          <w:szCs w:val="23"/>
        </w:rPr>
        <w:t xml:space="preserve">                                       </w:t>
      </w:r>
      <w:r w:rsidR="00192117" w:rsidRPr="00192117">
        <w:rPr>
          <w:rFonts w:ascii="Times New Roman" w:hAnsi="Times New Roman" w:cs="Times New Roman"/>
          <w:b/>
          <w:sz w:val="23"/>
          <w:szCs w:val="23"/>
        </w:rPr>
        <w:t xml:space="preserve">MINISTER OF STATE FOR ELDERLY AND DISABILITY </w:t>
      </w:r>
    </w:p>
    <w:p w14:paraId="4B2569C4" w14:textId="77777777" w:rsidR="00A8782D" w:rsidRDefault="00A8782D" w:rsidP="00192117">
      <w:pPr>
        <w:pStyle w:val="Default"/>
        <w:jc w:val="both"/>
        <w:rPr>
          <w:rFonts w:ascii="Times New Roman" w:hAnsi="Times New Roman" w:cs="Times New Roman"/>
          <w:b/>
          <w:sz w:val="23"/>
          <w:szCs w:val="23"/>
        </w:rPr>
      </w:pPr>
    </w:p>
    <w:p w14:paraId="7557695A" w14:textId="77777777" w:rsidR="00A8782D" w:rsidRDefault="00A8782D" w:rsidP="00192117">
      <w:pPr>
        <w:pStyle w:val="Default"/>
        <w:jc w:val="both"/>
        <w:rPr>
          <w:rFonts w:ascii="Times New Roman" w:hAnsi="Times New Roman" w:cs="Times New Roman"/>
          <w:b/>
          <w:sz w:val="23"/>
          <w:szCs w:val="23"/>
        </w:rPr>
      </w:pPr>
    </w:p>
    <w:p w14:paraId="3571AA24" w14:textId="77777777" w:rsidR="00A8782D" w:rsidRDefault="00A8782D" w:rsidP="00192117">
      <w:pPr>
        <w:pStyle w:val="Default"/>
        <w:jc w:val="both"/>
        <w:rPr>
          <w:rFonts w:ascii="Times New Roman" w:hAnsi="Times New Roman" w:cs="Times New Roman"/>
          <w:b/>
          <w:sz w:val="23"/>
          <w:szCs w:val="23"/>
        </w:rPr>
      </w:pPr>
    </w:p>
    <w:p w14:paraId="6498F813" w14:textId="77777777" w:rsidR="00A8782D" w:rsidRDefault="00A8782D" w:rsidP="00192117">
      <w:pPr>
        <w:pStyle w:val="Default"/>
        <w:jc w:val="both"/>
        <w:rPr>
          <w:rFonts w:ascii="Times New Roman" w:hAnsi="Times New Roman" w:cs="Times New Roman"/>
          <w:b/>
          <w:sz w:val="23"/>
          <w:szCs w:val="23"/>
        </w:rPr>
      </w:pPr>
    </w:p>
    <w:p w14:paraId="5B71D84D" w14:textId="77777777" w:rsidR="00A8782D" w:rsidRDefault="00A8782D" w:rsidP="00192117">
      <w:pPr>
        <w:pStyle w:val="Default"/>
        <w:jc w:val="both"/>
        <w:rPr>
          <w:rFonts w:ascii="Times New Roman" w:hAnsi="Times New Roman" w:cs="Times New Roman"/>
          <w:b/>
          <w:sz w:val="23"/>
          <w:szCs w:val="23"/>
        </w:rPr>
      </w:pPr>
    </w:p>
    <w:p w14:paraId="3983F54A" w14:textId="77777777" w:rsidR="00A8782D" w:rsidRDefault="00A8782D" w:rsidP="00192117">
      <w:pPr>
        <w:pStyle w:val="Default"/>
        <w:jc w:val="both"/>
        <w:rPr>
          <w:rFonts w:ascii="Times New Roman" w:hAnsi="Times New Roman" w:cs="Times New Roman"/>
          <w:b/>
          <w:sz w:val="23"/>
          <w:szCs w:val="23"/>
        </w:rPr>
      </w:pPr>
    </w:p>
    <w:p w14:paraId="1665E044" w14:textId="77777777" w:rsidR="00192117" w:rsidRPr="00192117" w:rsidRDefault="00A8782D" w:rsidP="00192117">
      <w:pPr>
        <w:pStyle w:val="Default"/>
        <w:jc w:val="both"/>
        <w:rPr>
          <w:rFonts w:ascii="Times New Roman" w:hAnsi="Times New Roman" w:cs="Times New Roman"/>
          <w:b/>
          <w:sz w:val="23"/>
          <w:szCs w:val="23"/>
        </w:rPr>
      </w:pPr>
      <w:r>
        <w:rPr>
          <w:rFonts w:ascii="Times New Roman" w:hAnsi="Times New Roman" w:cs="Times New Roman"/>
          <w:b/>
          <w:sz w:val="23"/>
          <w:szCs w:val="23"/>
        </w:rPr>
        <w:t xml:space="preserve">                                                              </w:t>
      </w:r>
      <w:r w:rsidR="00192117" w:rsidRPr="00192117">
        <w:rPr>
          <w:rFonts w:ascii="Times New Roman" w:hAnsi="Times New Roman" w:cs="Times New Roman"/>
          <w:b/>
          <w:sz w:val="23"/>
          <w:szCs w:val="23"/>
        </w:rPr>
        <w:t>10TH JUNE 2015 AT GENEVA</w:t>
      </w:r>
    </w:p>
    <w:p w14:paraId="5D595603" w14:textId="77777777" w:rsidR="00192117" w:rsidRDefault="00192117" w:rsidP="00192117">
      <w:pPr>
        <w:pStyle w:val="Default"/>
        <w:jc w:val="both"/>
      </w:pPr>
    </w:p>
    <w:p w14:paraId="47458B9A" w14:textId="77777777" w:rsidR="005505F6" w:rsidRDefault="005505F6" w:rsidP="00192117">
      <w:pPr>
        <w:pStyle w:val="Default"/>
        <w:jc w:val="both"/>
        <w:rPr>
          <w:rFonts w:ascii="Times New Roman" w:hAnsi="Times New Roman" w:cs="Times New Roman"/>
          <w:sz w:val="23"/>
          <w:szCs w:val="23"/>
        </w:rPr>
      </w:pPr>
    </w:p>
    <w:p w14:paraId="52097CF8" w14:textId="77777777" w:rsidR="005505F6" w:rsidRDefault="005505F6" w:rsidP="00192117">
      <w:pPr>
        <w:pStyle w:val="Default"/>
        <w:jc w:val="both"/>
        <w:rPr>
          <w:rFonts w:ascii="Times New Roman" w:hAnsi="Times New Roman" w:cs="Times New Roman"/>
          <w:sz w:val="23"/>
          <w:szCs w:val="23"/>
        </w:rPr>
      </w:pPr>
    </w:p>
    <w:p w14:paraId="510C10C2" w14:textId="77777777" w:rsidR="005505F6" w:rsidRDefault="005505F6" w:rsidP="00192117">
      <w:pPr>
        <w:pStyle w:val="Default"/>
        <w:jc w:val="both"/>
        <w:rPr>
          <w:rFonts w:ascii="Times New Roman" w:hAnsi="Times New Roman" w:cs="Times New Roman"/>
          <w:sz w:val="23"/>
          <w:szCs w:val="23"/>
        </w:rPr>
      </w:pPr>
    </w:p>
    <w:p w14:paraId="56EBB413" w14:textId="77777777" w:rsidR="005505F6" w:rsidRDefault="005505F6" w:rsidP="00192117">
      <w:pPr>
        <w:pStyle w:val="Default"/>
        <w:jc w:val="both"/>
        <w:rPr>
          <w:rFonts w:ascii="Times New Roman" w:hAnsi="Times New Roman" w:cs="Times New Roman"/>
          <w:sz w:val="23"/>
          <w:szCs w:val="23"/>
        </w:rPr>
      </w:pPr>
    </w:p>
    <w:p w14:paraId="2B680F53" w14:textId="77777777" w:rsidR="005505F6" w:rsidRDefault="005505F6" w:rsidP="00192117">
      <w:pPr>
        <w:pStyle w:val="Default"/>
        <w:jc w:val="both"/>
        <w:rPr>
          <w:rFonts w:ascii="Times New Roman" w:hAnsi="Times New Roman" w:cs="Times New Roman"/>
          <w:sz w:val="23"/>
          <w:szCs w:val="23"/>
        </w:rPr>
      </w:pPr>
    </w:p>
    <w:p w14:paraId="5220B57F" w14:textId="77777777" w:rsidR="005505F6" w:rsidRDefault="005505F6" w:rsidP="00192117">
      <w:pPr>
        <w:pStyle w:val="Default"/>
        <w:jc w:val="both"/>
        <w:rPr>
          <w:rFonts w:ascii="Times New Roman" w:hAnsi="Times New Roman" w:cs="Times New Roman"/>
          <w:sz w:val="23"/>
          <w:szCs w:val="23"/>
        </w:rPr>
      </w:pPr>
    </w:p>
    <w:p w14:paraId="4BDFBAE1" w14:textId="77777777" w:rsidR="005505F6" w:rsidRDefault="005505F6" w:rsidP="00192117">
      <w:pPr>
        <w:pStyle w:val="Default"/>
        <w:jc w:val="both"/>
        <w:rPr>
          <w:rFonts w:ascii="Times New Roman" w:hAnsi="Times New Roman" w:cs="Times New Roman"/>
          <w:sz w:val="23"/>
          <w:szCs w:val="23"/>
        </w:rPr>
      </w:pPr>
    </w:p>
    <w:p w14:paraId="6111193C" w14:textId="77777777" w:rsidR="005505F6" w:rsidRDefault="005505F6" w:rsidP="00192117">
      <w:pPr>
        <w:pStyle w:val="Default"/>
        <w:jc w:val="both"/>
        <w:rPr>
          <w:rFonts w:ascii="Times New Roman" w:hAnsi="Times New Roman" w:cs="Times New Roman"/>
          <w:sz w:val="23"/>
          <w:szCs w:val="23"/>
        </w:rPr>
      </w:pPr>
    </w:p>
    <w:p w14:paraId="68020848" w14:textId="77777777" w:rsidR="005505F6" w:rsidRDefault="005505F6" w:rsidP="00192117">
      <w:pPr>
        <w:pStyle w:val="Default"/>
        <w:jc w:val="both"/>
        <w:rPr>
          <w:rFonts w:ascii="Times New Roman" w:hAnsi="Times New Roman" w:cs="Times New Roman"/>
          <w:sz w:val="23"/>
          <w:szCs w:val="23"/>
        </w:rPr>
      </w:pPr>
    </w:p>
    <w:p w14:paraId="3104AB2B" w14:textId="77777777" w:rsidR="005505F6" w:rsidRDefault="005505F6" w:rsidP="00192117">
      <w:pPr>
        <w:pStyle w:val="Default"/>
        <w:jc w:val="both"/>
        <w:rPr>
          <w:rFonts w:ascii="Times New Roman" w:hAnsi="Times New Roman" w:cs="Times New Roman"/>
          <w:sz w:val="23"/>
          <w:szCs w:val="23"/>
        </w:rPr>
      </w:pPr>
    </w:p>
    <w:p w14:paraId="1B275183" w14:textId="77777777" w:rsidR="005505F6" w:rsidRDefault="005505F6" w:rsidP="00192117">
      <w:pPr>
        <w:pStyle w:val="Default"/>
        <w:jc w:val="both"/>
        <w:rPr>
          <w:rFonts w:ascii="Times New Roman" w:hAnsi="Times New Roman" w:cs="Times New Roman"/>
          <w:sz w:val="23"/>
          <w:szCs w:val="23"/>
        </w:rPr>
      </w:pPr>
    </w:p>
    <w:p w14:paraId="4E6ECD9B" w14:textId="77777777" w:rsidR="005505F6" w:rsidRDefault="005505F6" w:rsidP="00192117">
      <w:pPr>
        <w:pStyle w:val="Default"/>
        <w:jc w:val="both"/>
        <w:rPr>
          <w:rFonts w:ascii="Times New Roman" w:hAnsi="Times New Roman" w:cs="Times New Roman"/>
          <w:sz w:val="23"/>
          <w:szCs w:val="23"/>
        </w:rPr>
      </w:pPr>
    </w:p>
    <w:p w14:paraId="0BD283EF" w14:textId="77777777" w:rsidR="005505F6" w:rsidRDefault="005505F6" w:rsidP="00192117">
      <w:pPr>
        <w:pStyle w:val="Default"/>
        <w:jc w:val="both"/>
        <w:rPr>
          <w:rFonts w:ascii="Times New Roman" w:hAnsi="Times New Roman" w:cs="Times New Roman"/>
          <w:sz w:val="23"/>
          <w:szCs w:val="23"/>
        </w:rPr>
      </w:pPr>
    </w:p>
    <w:p w14:paraId="261C2C63" w14:textId="77777777" w:rsidR="005505F6" w:rsidRDefault="005505F6" w:rsidP="00192117">
      <w:pPr>
        <w:pStyle w:val="Default"/>
        <w:jc w:val="both"/>
        <w:rPr>
          <w:rFonts w:ascii="Times New Roman" w:hAnsi="Times New Roman" w:cs="Times New Roman"/>
          <w:sz w:val="23"/>
          <w:szCs w:val="23"/>
        </w:rPr>
      </w:pPr>
    </w:p>
    <w:p w14:paraId="21DF8D29" w14:textId="77777777" w:rsidR="00A8782D" w:rsidRDefault="00A8782D" w:rsidP="005505F6">
      <w:pPr>
        <w:pStyle w:val="Default"/>
        <w:rPr>
          <w:rFonts w:ascii="Times New Roman" w:hAnsi="Times New Roman" w:cs="Times New Roman"/>
          <w:sz w:val="23"/>
          <w:szCs w:val="23"/>
        </w:rPr>
      </w:pPr>
    </w:p>
    <w:p w14:paraId="18372468" w14:textId="5F48E568"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lastRenderedPageBreak/>
        <w:t>Committee members I have the Honour to present the Initial report of the Republic of Uganda.</w:t>
      </w:r>
      <w:r w:rsidR="002A6A4A" w:rsidRPr="005505F6">
        <w:rPr>
          <w:rFonts w:ascii="Century Gothic" w:hAnsi="Century Gothic" w:cs="Times New Roman"/>
          <w:sz w:val="28"/>
          <w:szCs w:val="28"/>
        </w:rPr>
        <w:t xml:space="preserve"> Uganda ratified the ICESCR in 1987 but was only able to submit its initial report in July </w:t>
      </w:r>
      <w:r w:rsidR="004D6B0A" w:rsidRPr="005505F6">
        <w:rPr>
          <w:rFonts w:ascii="Century Gothic" w:hAnsi="Century Gothic" w:cs="Times New Roman"/>
          <w:sz w:val="28"/>
          <w:szCs w:val="28"/>
        </w:rPr>
        <w:t>2012</w:t>
      </w:r>
      <w:r w:rsidR="004D6B0A">
        <w:rPr>
          <w:rFonts w:ascii="Century Gothic" w:hAnsi="Century Gothic" w:cs="Times New Roman"/>
          <w:sz w:val="28"/>
          <w:szCs w:val="28"/>
        </w:rPr>
        <w:t xml:space="preserve"> </w:t>
      </w:r>
      <w:r w:rsidR="004D6B0A" w:rsidRPr="005505F6">
        <w:rPr>
          <w:rFonts w:ascii="Century Gothic" w:hAnsi="Century Gothic" w:cs="Times New Roman"/>
          <w:sz w:val="28"/>
          <w:szCs w:val="28"/>
        </w:rPr>
        <w:t>which</w:t>
      </w:r>
      <w:r w:rsidR="002A6A4A" w:rsidRPr="005505F6">
        <w:rPr>
          <w:rFonts w:ascii="Century Gothic" w:hAnsi="Century Gothic" w:cs="Times New Roman"/>
          <w:sz w:val="28"/>
          <w:szCs w:val="28"/>
        </w:rPr>
        <w:t xml:space="preserve"> is being considered today. A list of issues was generated by</w:t>
      </w:r>
      <w:r w:rsidR="00A8782D">
        <w:rPr>
          <w:rFonts w:ascii="Century Gothic" w:hAnsi="Century Gothic" w:cs="Times New Roman"/>
          <w:sz w:val="28"/>
          <w:szCs w:val="28"/>
        </w:rPr>
        <w:t xml:space="preserve"> </w:t>
      </w:r>
      <w:r w:rsidR="002A6A4A" w:rsidRPr="005505F6">
        <w:rPr>
          <w:rFonts w:ascii="Century Gothic" w:hAnsi="Century Gothic" w:cs="Times New Roman"/>
          <w:sz w:val="28"/>
          <w:szCs w:val="28"/>
        </w:rPr>
        <w:t>the committee during its 53</w:t>
      </w:r>
      <w:r w:rsidR="002A6A4A" w:rsidRPr="005505F6">
        <w:rPr>
          <w:rFonts w:ascii="Century Gothic" w:hAnsi="Century Gothic" w:cs="Times New Roman"/>
          <w:sz w:val="28"/>
          <w:szCs w:val="28"/>
          <w:vertAlign w:val="superscript"/>
        </w:rPr>
        <w:t>rd</w:t>
      </w:r>
      <w:r w:rsidR="002A6A4A" w:rsidRPr="005505F6">
        <w:rPr>
          <w:rFonts w:ascii="Century Gothic" w:hAnsi="Century Gothic" w:cs="Times New Roman"/>
          <w:sz w:val="28"/>
          <w:szCs w:val="28"/>
        </w:rPr>
        <w:t xml:space="preserve"> sitting and responses to the issues raised have been made. </w:t>
      </w:r>
    </w:p>
    <w:p w14:paraId="167C5A56" w14:textId="77777777" w:rsidR="00192117" w:rsidRPr="005505F6" w:rsidRDefault="00192117" w:rsidP="005505F6">
      <w:pPr>
        <w:pStyle w:val="Default"/>
        <w:jc w:val="both"/>
        <w:rPr>
          <w:rFonts w:ascii="Century Gothic" w:hAnsi="Century Gothic"/>
          <w:sz w:val="28"/>
          <w:szCs w:val="28"/>
        </w:rPr>
      </w:pPr>
    </w:p>
    <w:p w14:paraId="3BA263B1" w14:textId="77777777" w:rsidR="002A6A4A" w:rsidRPr="005505F6" w:rsidRDefault="00A8782D" w:rsidP="005505F6">
      <w:pPr>
        <w:jc w:val="both"/>
        <w:rPr>
          <w:rFonts w:ascii="Century Gothic" w:hAnsi="Century Gothic" w:cs="Times New Roman"/>
          <w:color w:val="000000"/>
          <w:sz w:val="28"/>
          <w:szCs w:val="28"/>
        </w:rPr>
      </w:pPr>
      <w:r>
        <w:rPr>
          <w:rFonts w:ascii="Century Gothic" w:hAnsi="Century Gothic" w:cs="Times New Roman"/>
          <w:color w:val="000000"/>
          <w:sz w:val="28"/>
          <w:szCs w:val="28"/>
        </w:rPr>
        <w:t>In most parts of Uganda, Land use is Arable</w:t>
      </w:r>
      <w:r w:rsidR="002A6A4A" w:rsidRPr="005505F6">
        <w:rPr>
          <w:rFonts w:ascii="Century Gothic" w:hAnsi="Century Gothic" w:cs="Times New Roman"/>
          <w:color w:val="000000"/>
          <w:sz w:val="28"/>
          <w:szCs w:val="28"/>
        </w:rPr>
        <w:t xml:space="preserve"> (21.57 per cent); permanent crops (8.92 per cent); other (69.51 per cent) (2005)</w:t>
      </w:r>
    </w:p>
    <w:p w14:paraId="5FD75DF5" w14:textId="77777777" w:rsidR="002A6A4A" w:rsidRPr="005505F6" w:rsidRDefault="002A6A4A" w:rsidP="005505F6">
      <w:pPr>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 xml:space="preserve">The colonial boundaries created by Britain to delimit Uganda grouped together a wide range of ethnic groups with different political systems and cultures. There are about 20 ethnic groups among them the </w:t>
      </w:r>
      <w:proofErr w:type="spellStart"/>
      <w:r w:rsidRPr="005505F6">
        <w:rPr>
          <w:rFonts w:ascii="Century Gothic" w:hAnsi="Century Gothic" w:cs="Times New Roman"/>
          <w:color w:val="000000"/>
          <w:sz w:val="28"/>
          <w:szCs w:val="28"/>
        </w:rPr>
        <w:t>Baganda</w:t>
      </w:r>
      <w:proofErr w:type="spellEnd"/>
      <w:r w:rsidRPr="005505F6">
        <w:rPr>
          <w:rFonts w:ascii="Century Gothic" w:hAnsi="Century Gothic" w:cs="Times New Roman"/>
          <w:color w:val="000000"/>
          <w:sz w:val="28"/>
          <w:szCs w:val="28"/>
        </w:rPr>
        <w:t xml:space="preserve"> (16.9 per cent), </w:t>
      </w:r>
      <w:proofErr w:type="spellStart"/>
      <w:r w:rsidRPr="005505F6">
        <w:rPr>
          <w:rFonts w:ascii="Century Gothic" w:hAnsi="Century Gothic" w:cs="Times New Roman"/>
          <w:color w:val="000000"/>
          <w:sz w:val="28"/>
          <w:szCs w:val="28"/>
        </w:rPr>
        <w:t>Banyakole</w:t>
      </w:r>
      <w:proofErr w:type="spellEnd"/>
      <w:r w:rsidRPr="005505F6">
        <w:rPr>
          <w:rFonts w:ascii="Century Gothic" w:hAnsi="Century Gothic" w:cs="Times New Roman"/>
          <w:color w:val="000000"/>
          <w:sz w:val="28"/>
          <w:szCs w:val="28"/>
        </w:rPr>
        <w:t xml:space="preserve"> (9.5 per cent), </w:t>
      </w:r>
      <w:proofErr w:type="spellStart"/>
      <w:r w:rsidRPr="005505F6">
        <w:rPr>
          <w:rFonts w:ascii="Century Gothic" w:hAnsi="Century Gothic" w:cs="Times New Roman"/>
          <w:color w:val="000000"/>
          <w:sz w:val="28"/>
          <w:szCs w:val="28"/>
        </w:rPr>
        <w:t>Basoga</w:t>
      </w:r>
      <w:proofErr w:type="spellEnd"/>
      <w:r w:rsidRPr="005505F6">
        <w:rPr>
          <w:rFonts w:ascii="Century Gothic" w:hAnsi="Century Gothic" w:cs="Times New Roman"/>
          <w:color w:val="000000"/>
          <w:sz w:val="28"/>
          <w:szCs w:val="28"/>
        </w:rPr>
        <w:t xml:space="preserve"> (8.4 per cent), </w:t>
      </w:r>
      <w:proofErr w:type="spellStart"/>
      <w:r w:rsidRPr="005505F6">
        <w:rPr>
          <w:rFonts w:ascii="Century Gothic" w:hAnsi="Century Gothic" w:cs="Times New Roman"/>
          <w:color w:val="000000"/>
          <w:sz w:val="28"/>
          <w:szCs w:val="28"/>
        </w:rPr>
        <w:t>Bakiga</w:t>
      </w:r>
      <w:proofErr w:type="spellEnd"/>
      <w:r w:rsidRPr="005505F6">
        <w:rPr>
          <w:rFonts w:ascii="Century Gothic" w:hAnsi="Century Gothic" w:cs="Times New Roman"/>
          <w:color w:val="000000"/>
          <w:sz w:val="28"/>
          <w:szCs w:val="28"/>
        </w:rPr>
        <w:t xml:space="preserve"> (6.9 per cent), </w:t>
      </w:r>
      <w:proofErr w:type="spellStart"/>
      <w:r w:rsidRPr="005505F6">
        <w:rPr>
          <w:rFonts w:ascii="Century Gothic" w:hAnsi="Century Gothic" w:cs="Times New Roman"/>
          <w:color w:val="000000"/>
          <w:sz w:val="28"/>
          <w:szCs w:val="28"/>
        </w:rPr>
        <w:t>Iteso</w:t>
      </w:r>
      <w:proofErr w:type="spellEnd"/>
      <w:r w:rsidRPr="005505F6">
        <w:rPr>
          <w:rFonts w:ascii="Century Gothic" w:hAnsi="Century Gothic" w:cs="Times New Roman"/>
          <w:color w:val="000000"/>
          <w:sz w:val="28"/>
          <w:szCs w:val="28"/>
        </w:rPr>
        <w:t xml:space="preserve"> (6.4 per cent), Langi (6.1 per cent), Acholi (4.7 per cent), </w:t>
      </w:r>
      <w:proofErr w:type="spellStart"/>
      <w:r w:rsidRPr="005505F6">
        <w:rPr>
          <w:rFonts w:ascii="Century Gothic" w:hAnsi="Century Gothic" w:cs="Times New Roman"/>
          <w:color w:val="000000"/>
          <w:sz w:val="28"/>
          <w:szCs w:val="28"/>
        </w:rPr>
        <w:t>Bagisu</w:t>
      </w:r>
      <w:proofErr w:type="spellEnd"/>
      <w:r w:rsidRPr="005505F6">
        <w:rPr>
          <w:rFonts w:ascii="Century Gothic" w:hAnsi="Century Gothic" w:cs="Times New Roman"/>
          <w:color w:val="000000"/>
          <w:sz w:val="28"/>
          <w:szCs w:val="28"/>
        </w:rPr>
        <w:t xml:space="preserve"> (4.6 per cent), </w:t>
      </w:r>
      <w:proofErr w:type="spellStart"/>
      <w:r w:rsidRPr="005505F6">
        <w:rPr>
          <w:rFonts w:ascii="Century Gothic" w:hAnsi="Century Gothic" w:cs="Times New Roman"/>
          <w:color w:val="000000"/>
          <w:sz w:val="28"/>
          <w:szCs w:val="28"/>
        </w:rPr>
        <w:t>Lugbara</w:t>
      </w:r>
      <w:proofErr w:type="spellEnd"/>
      <w:r w:rsidRPr="005505F6">
        <w:rPr>
          <w:rFonts w:ascii="Century Gothic" w:hAnsi="Century Gothic" w:cs="Times New Roman"/>
          <w:color w:val="000000"/>
          <w:sz w:val="28"/>
          <w:szCs w:val="28"/>
        </w:rPr>
        <w:t xml:space="preserve"> (4.2 per cent), </w:t>
      </w:r>
      <w:proofErr w:type="spellStart"/>
      <w:r w:rsidRPr="005505F6">
        <w:rPr>
          <w:rFonts w:ascii="Century Gothic" w:hAnsi="Century Gothic" w:cs="Times New Roman"/>
          <w:color w:val="000000"/>
          <w:sz w:val="28"/>
          <w:szCs w:val="28"/>
        </w:rPr>
        <w:t>Banyoro</w:t>
      </w:r>
      <w:proofErr w:type="spellEnd"/>
      <w:r w:rsidRPr="005505F6">
        <w:rPr>
          <w:rFonts w:ascii="Century Gothic" w:hAnsi="Century Gothic" w:cs="Times New Roman"/>
          <w:color w:val="000000"/>
          <w:sz w:val="28"/>
          <w:szCs w:val="28"/>
        </w:rPr>
        <w:t xml:space="preserve"> (2.7 per cent), other (29.6 per cent) (2002 Census – results from 2014 Census not yet publicly available)</w:t>
      </w:r>
    </w:p>
    <w:p w14:paraId="643C65FB" w14:textId="77777777" w:rsidR="002A6A4A" w:rsidRPr="005505F6" w:rsidRDefault="002A6A4A" w:rsidP="005505F6">
      <w:pPr>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 xml:space="preserve">The official language is English. There are four main linguistic groups, which can be divided roughly by region. Luganda is spoken in the Central area, Luo in the North, </w:t>
      </w:r>
      <w:proofErr w:type="spellStart"/>
      <w:r w:rsidRPr="005505F6">
        <w:rPr>
          <w:rFonts w:ascii="Century Gothic" w:hAnsi="Century Gothic" w:cs="Times New Roman"/>
          <w:color w:val="000000"/>
          <w:sz w:val="28"/>
          <w:szCs w:val="28"/>
        </w:rPr>
        <w:t>Ateso</w:t>
      </w:r>
      <w:proofErr w:type="spellEnd"/>
      <w:r w:rsidRPr="005505F6">
        <w:rPr>
          <w:rFonts w:ascii="Century Gothic" w:hAnsi="Century Gothic" w:cs="Times New Roman"/>
          <w:color w:val="000000"/>
          <w:sz w:val="28"/>
          <w:szCs w:val="28"/>
        </w:rPr>
        <w:t xml:space="preserve"> in the east and </w:t>
      </w:r>
      <w:proofErr w:type="spellStart"/>
      <w:r w:rsidRPr="005505F6">
        <w:rPr>
          <w:rFonts w:ascii="Century Gothic" w:hAnsi="Century Gothic" w:cs="Times New Roman"/>
          <w:color w:val="000000"/>
          <w:sz w:val="28"/>
          <w:szCs w:val="28"/>
        </w:rPr>
        <w:t>Runyakitara</w:t>
      </w:r>
      <w:proofErr w:type="spellEnd"/>
      <w:r w:rsidRPr="005505F6">
        <w:rPr>
          <w:rFonts w:ascii="Century Gothic" w:hAnsi="Century Gothic" w:cs="Times New Roman"/>
          <w:color w:val="000000"/>
          <w:sz w:val="28"/>
          <w:szCs w:val="28"/>
        </w:rPr>
        <w:t xml:space="preserve"> in the West, but there are also a number of other indigenous languages.</w:t>
      </w:r>
    </w:p>
    <w:p w14:paraId="7C213030" w14:textId="77777777" w:rsidR="002A6A4A" w:rsidRPr="005505F6" w:rsidRDefault="005505F6" w:rsidP="005505F6">
      <w:pPr>
        <w:autoSpaceDE w:val="0"/>
        <w:autoSpaceDN w:val="0"/>
        <w:adjustRightInd w:val="0"/>
        <w:spacing w:after="0" w:line="240" w:lineRule="auto"/>
        <w:jc w:val="both"/>
        <w:rPr>
          <w:rFonts w:ascii="Century Gothic" w:hAnsi="Century Gothic" w:cs="Times New Roman"/>
          <w:color w:val="000000"/>
          <w:sz w:val="28"/>
          <w:szCs w:val="28"/>
        </w:rPr>
      </w:pPr>
      <w:r>
        <w:rPr>
          <w:rFonts w:ascii="Century Gothic" w:hAnsi="Century Gothic" w:cs="Times New Roman"/>
          <w:color w:val="000000"/>
          <w:sz w:val="28"/>
          <w:szCs w:val="28"/>
        </w:rPr>
        <w:t>Reli</w:t>
      </w:r>
      <w:r w:rsidRPr="005505F6">
        <w:rPr>
          <w:rFonts w:ascii="Century Gothic" w:hAnsi="Century Gothic" w:cs="Times New Roman"/>
          <w:color w:val="000000"/>
          <w:sz w:val="28"/>
          <w:szCs w:val="28"/>
        </w:rPr>
        <w:t>gious</w:t>
      </w:r>
      <w:r w:rsidR="002A6A4A" w:rsidRPr="005505F6">
        <w:rPr>
          <w:rFonts w:ascii="Century Gothic" w:hAnsi="Century Gothic" w:cs="Times New Roman"/>
          <w:color w:val="000000"/>
          <w:sz w:val="28"/>
          <w:szCs w:val="28"/>
        </w:rPr>
        <w:t xml:space="preserve"> groups include; Roman Catholic (41.9 per cent), Anglican (35.9 per cent), Muslim (12.1 per cent), Pentecostal (4.6 per cent), Seventh Day Adventist (1.5 per cent), other (3.1 per cent), none 0.9 (per cent) (2002 Census)</w:t>
      </w:r>
    </w:p>
    <w:p w14:paraId="204291C2" w14:textId="77777777" w:rsidR="002A6A4A" w:rsidRPr="005505F6" w:rsidRDefault="002A6A4A" w:rsidP="005505F6">
      <w:pPr>
        <w:jc w:val="both"/>
        <w:rPr>
          <w:rFonts w:ascii="Century Gothic" w:hAnsi="Century Gothic" w:cs="Times New Roman"/>
          <w:color w:val="000000"/>
          <w:sz w:val="28"/>
          <w:szCs w:val="28"/>
        </w:rPr>
      </w:pPr>
    </w:p>
    <w:p w14:paraId="34DE7DBE" w14:textId="77777777" w:rsidR="002A6A4A" w:rsidRPr="005505F6" w:rsidRDefault="002A6A4A" w:rsidP="005505F6">
      <w:pPr>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In 1995, the government restored the legal system to one based on English Common law and customary law.</w:t>
      </w:r>
    </w:p>
    <w:p w14:paraId="568AB9B0" w14:textId="2E336C67" w:rsidR="00192117" w:rsidRPr="005505F6" w:rsidRDefault="001D38CA"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The </w:t>
      </w:r>
      <w:r w:rsidR="002A6A4A" w:rsidRPr="005505F6">
        <w:rPr>
          <w:rFonts w:ascii="Century Gothic" w:hAnsi="Century Gothic" w:cs="Times New Roman"/>
          <w:sz w:val="28"/>
          <w:szCs w:val="28"/>
        </w:rPr>
        <w:t>President</w:t>
      </w:r>
      <w:r w:rsidRPr="005505F6">
        <w:rPr>
          <w:rFonts w:ascii="Century Gothic" w:hAnsi="Century Gothic" w:cs="Times New Roman"/>
          <w:sz w:val="28"/>
          <w:szCs w:val="28"/>
        </w:rPr>
        <w:t xml:space="preserve"> is </w:t>
      </w:r>
      <w:r w:rsidR="005505F6">
        <w:rPr>
          <w:rFonts w:ascii="Century Gothic" w:hAnsi="Century Gothic" w:cs="Times New Roman"/>
          <w:sz w:val="28"/>
          <w:szCs w:val="28"/>
        </w:rPr>
        <w:t xml:space="preserve">His Excellency, Gen. </w:t>
      </w:r>
      <w:proofErr w:type="spellStart"/>
      <w:r w:rsidR="005505F6">
        <w:rPr>
          <w:rFonts w:ascii="Century Gothic" w:hAnsi="Century Gothic" w:cs="Times New Roman"/>
          <w:sz w:val="28"/>
          <w:szCs w:val="28"/>
        </w:rPr>
        <w:t>Yoweri</w:t>
      </w:r>
      <w:proofErr w:type="spellEnd"/>
      <w:r w:rsidR="005505F6">
        <w:rPr>
          <w:rFonts w:ascii="Century Gothic" w:hAnsi="Century Gothic" w:cs="Times New Roman"/>
          <w:sz w:val="28"/>
          <w:szCs w:val="28"/>
        </w:rPr>
        <w:t xml:space="preserve"> </w:t>
      </w:r>
      <w:proofErr w:type="spellStart"/>
      <w:r w:rsidR="005505F6">
        <w:rPr>
          <w:rFonts w:ascii="Century Gothic" w:hAnsi="Century Gothic" w:cs="Times New Roman"/>
          <w:sz w:val="28"/>
          <w:szCs w:val="28"/>
        </w:rPr>
        <w:t>Kaguta</w:t>
      </w:r>
      <w:proofErr w:type="spellEnd"/>
      <w:r w:rsidR="005505F6">
        <w:rPr>
          <w:rFonts w:ascii="Century Gothic" w:hAnsi="Century Gothic" w:cs="Times New Roman"/>
          <w:sz w:val="28"/>
          <w:szCs w:val="28"/>
        </w:rPr>
        <w:t xml:space="preserve"> Museveni, </w:t>
      </w:r>
      <w:r w:rsidR="004D6B0A">
        <w:rPr>
          <w:rFonts w:ascii="Century Gothic" w:hAnsi="Century Gothic" w:cs="Times New Roman"/>
          <w:sz w:val="28"/>
          <w:szCs w:val="28"/>
        </w:rPr>
        <w:t>the Prime</w:t>
      </w:r>
      <w:r w:rsidR="005505F6">
        <w:rPr>
          <w:rFonts w:ascii="Century Gothic" w:hAnsi="Century Gothic" w:cs="Times New Roman"/>
          <w:sz w:val="28"/>
          <w:szCs w:val="28"/>
        </w:rPr>
        <w:t xml:space="preserve"> Minister is Dr </w:t>
      </w:r>
      <w:proofErr w:type="spellStart"/>
      <w:r w:rsidR="005505F6">
        <w:rPr>
          <w:rFonts w:ascii="Century Gothic" w:hAnsi="Century Gothic" w:cs="Times New Roman"/>
          <w:sz w:val="28"/>
          <w:szCs w:val="28"/>
        </w:rPr>
        <w:t>Ruhakana</w:t>
      </w:r>
      <w:proofErr w:type="spellEnd"/>
      <w:r w:rsidR="005505F6">
        <w:rPr>
          <w:rFonts w:ascii="Century Gothic" w:hAnsi="Century Gothic" w:cs="Times New Roman"/>
          <w:sz w:val="28"/>
          <w:szCs w:val="28"/>
        </w:rPr>
        <w:t xml:space="preserve"> </w:t>
      </w:r>
      <w:proofErr w:type="spellStart"/>
      <w:r w:rsidR="005505F6">
        <w:rPr>
          <w:rFonts w:ascii="Century Gothic" w:hAnsi="Century Gothic" w:cs="Times New Roman"/>
          <w:sz w:val="28"/>
          <w:szCs w:val="28"/>
        </w:rPr>
        <w:t>Rugunda</w:t>
      </w:r>
      <w:proofErr w:type="spellEnd"/>
      <w:r w:rsidR="002A6A4A" w:rsidRPr="005505F6">
        <w:rPr>
          <w:rFonts w:ascii="Century Gothic" w:hAnsi="Century Gothic" w:cs="Times New Roman"/>
          <w:sz w:val="28"/>
          <w:szCs w:val="28"/>
        </w:rPr>
        <w:t xml:space="preserve">. The Prime Minister is leader of government business in Parliament </w:t>
      </w:r>
      <w:r w:rsidR="005505F6">
        <w:rPr>
          <w:rFonts w:ascii="Century Gothic" w:hAnsi="Century Gothic" w:cs="Times New Roman"/>
          <w:sz w:val="28"/>
          <w:szCs w:val="28"/>
        </w:rPr>
        <w:t xml:space="preserve">and </w:t>
      </w:r>
      <w:r w:rsidR="002A6A4A" w:rsidRPr="005505F6">
        <w:rPr>
          <w:rFonts w:ascii="Century Gothic" w:hAnsi="Century Gothic" w:cs="Times New Roman"/>
          <w:sz w:val="28"/>
          <w:szCs w:val="28"/>
        </w:rPr>
        <w:t>assists the President in the supervision of Cabinet.</w:t>
      </w:r>
    </w:p>
    <w:p w14:paraId="230282B6" w14:textId="77777777" w:rsidR="002A6A4A" w:rsidRPr="005505F6" w:rsidRDefault="002A6A4A" w:rsidP="005505F6">
      <w:pPr>
        <w:pStyle w:val="Default"/>
        <w:jc w:val="both"/>
        <w:rPr>
          <w:rFonts w:ascii="Century Gothic" w:hAnsi="Century Gothic" w:cs="Times New Roman"/>
          <w:sz w:val="28"/>
          <w:szCs w:val="28"/>
        </w:rPr>
      </w:pPr>
    </w:p>
    <w:p w14:paraId="325D3791" w14:textId="77777777" w:rsidR="002A6A4A" w:rsidRPr="005505F6" w:rsidRDefault="002A6A4A"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Unicameral National Assembly</w:t>
      </w:r>
      <w:r w:rsidR="001D38CA" w:rsidRPr="005505F6">
        <w:rPr>
          <w:rFonts w:ascii="Century Gothic" w:hAnsi="Century Gothic" w:cs="Times New Roman"/>
          <w:sz w:val="28"/>
          <w:szCs w:val="28"/>
        </w:rPr>
        <w:t xml:space="preserve"> is </w:t>
      </w:r>
      <w:r w:rsidRPr="005505F6">
        <w:rPr>
          <w:rFonts w:ascii="Century Gothic" w:hAnsi="Century Gothic" w:cs="Times New Roman"/>
          <w:sz w:val="28"/>
          <w:szCs w:val="28"/>
        </w:rPr>
        <w:t xml:space="preserve">332 seats; 215 members elected by popular vote; 104 nominated by legally established special interest groups – </w:t>
      </w:r>
      <w:r w:rsidRPr="005505F6">
        <w:rPr>
          <w:rFonts w:ascii="Century Gothic" w:hAnsi="Century Gothic" w:cs="Times New Roman"/>
          <w:sz w:val="28"/>
          <w:szCs w:val="28"/>
        </w:rPr>
        <w:lastRenderedPageBreak/>
        <w:t>women (79), army (10), disabled persons (5), youth (5) and labour (5); 13 ex officio members; to serve five-year terms.</w:t>
      </w:r>
    </w:p>
    <w:p w14:paraId="3D297909" w14:textId="77777777" w:rsidR="002A6A4A" w:rsidRPr="005505F6" w:rsidRDefault="002A6A4A" w:rsidP="005505F6">
      <w:pPr>
        <w:pStyle w:val="Default"/>
        <w:jc w:val="both"/>
        <w:rPr>
          <w:rFonts w:ascii="Century Gothic" w:hAnsi="Century Gothic" w:cs="Times New Roman"/>
          <w:sz w:val="28"/>
          <w:szCs w:val="28"/>
        </w:rPr>
      </w:pPr>
    </w:p>
    <w:p w14:paraId="7B15336B" w14:textId="77777777" w:rsidR="002A6A4A" w:rsidRPr="005505F6" w:rsidRDefault="005505F6" w:rsidP="005505F6">
      <w:pPr>
        <w:pStyle w:val="Default"/>
        <w:jc w:val="both"/>
        <w:rPr>
          <w:rFonts w:ascii="Century Gothic" w:hAnsi="Century Gothic" w:cs="Times New Roman"/>
          <w:sz w:val="28"/>
          <w:szCs w:val="28"/>
        </w:rPr>
      </w:pPr>
      <w:r>
        <w:rPr>
          <w:rFonts w:ascii="Century Gothic" w:hAnsi="Century Gothic" w:cs="Times New Roman"/>
          <w:sz w:val="28"/>
          <w:szCs w:val="28"/>
        </w:rPr>
        <w:t>The Judicial C</w:t>
      </w:r>
      <w:r w:rsidR="001D38CA" w:rsidRPr="005505F6">
        <w:rPr>
          <w:rFonts w:ascii="Century Gothic" w:hAnsi="Century Gothic" w:cs="Times New Roman"/>
          <w:sz w:val="28"/>
          <w:szCs w:val="28"/>
        </w:rPr>
        <w:t xml:space="preserve">ourts of record are the Supreme Court, </w:t>
      </w:r>
      <w:r w:rsidR="002A6A4A" w:rsidRPr="005505F6">
        <w:rPr>
          <w:rFonts w:ascii="Century Gothic" w:hAnsi="Century Gothic" w:cs="Times New Roman"/>
          <w:sz w:val="28"/>
          <w:szCs w:val="28"/>
        </w:rPr>
        <w:t>Court of Appeal and High Court (judges are appointed by the President and approved by the legislature</w:t>
      </w:r>
      <w:r w:rsidR="002A6A4A" w:rsidRPr="005505F6">
        <w:rPr>
          <w:rFonts w:ascii="Century Gothic" w:hAnsi="Century Gothic"/>
          <w:sz w:val="28"/>
          <w:szCs w:val="28"/>
        </w:rPr>
        <w:t>).</w:t>
      </w:r>
    </w:p>
    <w:p w14:paraId="77629850" w14:textId="77777777" w:rsidR="00192117" w:rsidRPr="005505F6" w:rsidRDefault="00192117" w:rsidP="005505F6">
      <w:pPr>
        <w:pStyle w:val="Default"/>
        <w:jc w:val="both"/>
        <w:rPr>
          <w:rFonts w:ascii="Century Gothic" w:hAnsi="Century Gothic" w:cs="Times New Roman"/>
          <w:sz w:val="28"/>
          <w:szCs w:val="28"/>
        </w:rPr>
      </w:pPr>
    </w:p>
    <w:p w14:paraId="1C7A2C6D" w14:textId="77777777"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Uganda undertakes to honour treaty obligations and to this end endeavours to interpret the various articles contained in the covenant in good faith with a view to realising each covenant’s objectives. This commitment is reiterated under principle xxviii of Uganda’s foreign policy objectives enshrined in the Constitution. Among other things, the foreign policy of Uganda shall be based on the principles of respect for international law and treaty obligations and opposition to all forms of domination, racism and other forms of oppression and exploitation. </w:t>
      </w:r>
    </w:p>
    <w:p w14:paraId="160712B7" w14:textId="77777777" w:rsidR="00192117" w:rsidRPr="005505F6" w:rsidRDefault="00192117" w:rsidP="005505F6">
      <w:pPr>
        <w:pStyle w:val="Default"/>
        <w:jc w:val="both"/>
        <w:rPr>
          <w:rFonts w:ascii="Century Gothic" w:hAnsi="Century Gothic" w:cs="Times New Roman"/>
          <w:sz w:val="28"/>
          <w:szCs w:val="28"/>
        </w:rPr>
      </w:pPr>
    </w:p>
    <w:p w14:paraId="2865A40A" w14:textId="77777777"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Furthermore, the Uganda Constitution also imposes a general duty on the state to bring domestic laws into conformity with obligations under international law. However rules and obligations imposed by international law will not be binding on Uganda unless they are ratified and translated into national law, but courts can rely on ratified provisions to make judgements through judicial activism. Hence, under article 123 (2) Parliament shall make laws to govern ratification of treaties, conventions agreement or other arrangements committing Uganda in the International sphere. </w:t>
      </w:r>
    </w:p>
    <w:p w14:paraId="5E52D7E4" w14:textId="77777777" w:rsidR="00192117" w:rsidRPr="005505F6" w:rsidRDefault="00192117" w:rsidP="005505F6">
      <w:pPr>
        <w:pStyle w:val="Default"/>
        <w:jc w:val="both"/>
        <w:rPr>
          <w:rFonts w:ascii="Century Gothic" w:hAnsi="Century Gothic" w:cs="Times New Roman"/>
          <w:sz w:val="28"/>
          <w:szCs w:val="28"/>
        </w:rPr>
      </w:pPr>
    </w:p>
    <w:p w14:paraId="2B3131E0" w14:textId="77777777"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As noted above, the Government of Uganda is committed to promotion and protection of human rights including economic, social and cultural rights. To this end it has in the Constitution provided for economic, social cultural rights extensively in its National Objectives and Principles of State Policy for guidance in the interpretation of the Constitution. </w:t>
      </w:r>
    </w:p>
    <w:p w14:paraId="1953355F" w14:textId="77777777" w:rsidR="00192117" w:rsidRPr="005505F6" w:rsidRDefault="00192117" w:rsidP="005505F6">
      <w:pPr>
        <w:pStyle w:val="Default"/>
        <w:jc w:val="both"/>
        <w:rPr>
          <w:rFonts w:ascii="Century Gothic" w:hAnsi="Century Gothic" w:cs="Times New Roman"/>
          <w:sz w:val="28"/>
          <w:szCs w:val="28"/>
        </w:rPr>
      </w:pPr>
    </w:p>
    <w:p w14:paraId="28332C92" w14:textId="77777777"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The Government’ commitment to promote the Covenant rights is demonstrated in the establishment of various institutions ranging from the Judiciary, Parliament, line ministries, Amnesty Commission, Equal Opportunities Commission and the Uganda National Human Rights Commission whose mandate includes the sensitization of the population on </w:t>
      </w:r>
      <w:r w:rsidRPr="005505F6">
        <w:rPr>
          <w:rFonts w:ascii="Century Gothic" w:hAnsi="Century Gothic" w:cs="Times New Roman"/>
          <w:sz w:val="28"/>
          <w:szCs w:val="28"/>
        </w:rPr>
        <w:lastRenderedPageBreak/>
        <w:t xml:space="preserve">human rights. The Commission has undertaken awareness programmes to the Police, Army, Government departments and civil society. </w:t>
      </w:r>
    </w:p>
    <w:p w14:paraId="4E419336" w14:textId="77777777" w:rsidR="00192117" w:rsidRPr="005505F6" w:rsidRDefault="00192117" w:rsidP="005505F6">
      <w:pPr>
        <w:pStyle w:val="Default"/>
        <w:jc w:val="both"/>
        <w:rPr>
          <w:rFonts w:ascii="Century Gothic" w:hAnsi="Century Gothic" w:cs="Times New Roman"/>
          <w:sz w:val="28"/>
          <w:szCs w:val="28"/>
        </w:rPr>
      </w:pPr>
    </w:p>
    <w:p w14:paraId="44B964F8" w14:textId="77777777"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Although, the provisions of the Covenant have not all been domesticated into national law, substantial provisions have been domesticated and effected as will be seen in the discussion </w:t>
      </w:r>
      <w:r w:rsidR="001D38CA" w:rsidRPr="005505F6">
        <w:rPr>
          <w:rFonts w:ascii="Century Gothic" w:hAnsi="Century Gothic" w:cs="Times New Roman"/>
          <w:sz w:val="28"/>
          <w:szCs w:val="28"/>
        </w:rPr>
        <w:t>in the report</w:t>
      </w:r>
      <w:r w:rsidRPr="005505F6">
        <w:rPr>
          <w:rFonts w:ascii="Century Gothic" w:hAnsi="Century Gothic" w:cs="Times New Roman"/>
          <w:sz w:val="28"/>
          <w:szCs w:val="28"/>
        </w:rPr>
        <w:t xml:space="preserve">. </w:t>
      </w:r>
    </w:p>
    <w:p w14:paraId="17635C95" w14:textId="77777777" w:rsidR="00192117" w:rsidRPr="005505F6" w:rsidRDefault="00192117" w:rsidP="005505F6">
      <w:pPr>
        <w:pStyle w:val="Default"/>
        <w:jc w:val="both"/>
        <w:rPr>
          <w:rFonts w:ascii="Century Gothic" w:hAnsi="Century Gothic" w:cs="Times New Roman"/>
          <w:sz w:val="28"/>
          <w:szCs w:val="28"/>
        </w:rPr>
      </w:pPr>
    </w:p>
    <w:p w14:paraId="59E3757A" w14:textId="77777777"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The International Covenant on Economic, Social and Cultural Rights applies to Uganda, it having been ratified on the 21</w:t>
      </w:r>
      <w:r w:rsidR="001D38CA" w:rsidRPr="005505F6">
        <w:rPr>
          <w:rFonts w:ascii="Century Gothic" w:hAnsi="Century Gothic" w:cs="Times New Roman"/>
          <w:sz w:val="28"/>
          <w:szCs w:val="28"/>
          <w:vertAlign w:val="superscript"/>
        </w:rPr>
        <w:t>st</w:t>
      </w:r>
      <w:r w:rsidR="001D38CA" w:rsidRPr="005505F6">
        <w:rPr>
          <w:rFonts w:ascii="Century Gothic" w:hAnsi="Century Gothic" w:cs="Times New Roman"/>
          <w:sz w:val="28"/>
          <w:szCs w:val="28"/>
        </w:rPr>
        <w:t xml:space="preserve"> </w:t>
      </w:r>
      <w:r w:rsidRPr="005505F6">
        <w:rPr>
          <w:rFonts w:ascii="Century Gothic" w:hAnsi="Century Gothic" w:cs="Times New Roman"/>
          <w:sz w:val="28"/>
          <w:szCs w:val="28"/>
        </w:rPr>
        <w:t>day of January 1987 and entered into force on the 21</w:t>
      </w:r>
      <w:r w:rsidR="001D38CA" w:rsidRPr="005505F6">
        <w:rPr>
          <w:rFonts w:ascii="Century Gothic" w:hAnsi="Century Gothic" w:cs="Times New Roman"/>
          <w:sz w:val="28"/>
          <w:szCs w:val="28"/>
          <w:vertAlign w:val="superscript"/>
        </w:rPr>
        <w:t>st</w:t>
      </w:r>
      <w:r w:rsidR="001D38CA" w:rsidRPr="005505F6">
        <w:rPr>
          <w:rFonts w:ascii="Century Gothic" w:hAnsi="Century Gothic" w:cs="Times New Roman"/>
          <w:sz w:val="28"/>
          <w:szCs w:val="28"/>
        </w:rPr>
        <w:t xml:space="preserve"> </w:t>
      </w:r>
      <w:r w:rsidRPr="005505F6">
        <w:rPr>
          <w:rFonts w:ascii="Century Gothic" w:hAnsi="Century Gothic" w:cs="Times New Roman"/>
          <w:sz w:val="28"/>
          <w:szCs w:val="28"/>
        </w:rPr>
        <w:t>April 1987. Uganda is yet to sign and ratify the Optional Protocol on Economic Social and Cultural Rights.</w:t>
      </w:r>
    </w:p>
    <w:p w14:paraId="061EAFC0" w14:textId="77777777" w:rsidR="00192117" w:rsidRPr="005505F6" w:rsidRDefault="00192117" w:rsidP="005505F6">
      <w:pPr>
        <w:pStyle w:val="Default"/>
        <w:jc w:val="both"/>
        <w:rPr>
          <w:rFonts w:ascii="Century Gothic" w:hAnsi="Century Gothic" w:cs="Times New Roman"/>
          <w:sz w:val="28"/>
          <w:szCs w:val="28"/>
        </w:rPr>
      </w:pPr>
    </w:p>
    <w:p w14:paraId="624917D6" w14:textId="4F11ADF2"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 Uganda is a dualist State and as such all international instruments that she adopts and or ratifies do not apply directly. Upon ratification, the Treaty or other instrument has to be domesticated under the Treaties Ratification Act. The Covenant on ESCR is therefore not directly enforceable in Uganda. It may also be noted that the Constitution of Uganda provides and recognizes in its Chapter IV some economic, social, cultural rights which </w:t>
      </w:r>
      <w:bookmarkStart w:id="0" w:name="_GoBack"/>
      <w:bookmarkEnd w:id="0"/>
      <w:r w:rsidR="004D6B0A" w:rsidRPr="005505F6">
        <w:rPr>
          <w:rFonts w:ascii="Century Gothic" w:hAnsi="Century Gothic" w:cs="Times New Roman"/>
          <w:sz w:val="28"/>
          <w:szCs w:val="28"/>
        </w:rPr>
        <w:t>may</w:t>
      </w:r>
      <w:r w:rsidR="004D6B0A">
        <w:rPr>
          <w:rFonts w:ascii="Century Gothic" w:hAnsi="Century Gothic" w:cs="Times New Roman"/>
          <w:sz w:val="28"/>
          <w:szCs w:val="28"/>
        </w:rPr>
        <w:t xml:space="preserve"> </w:t>
      </w:r>
      <w:r w:rsidR="004D6B0A" w:rsidRPr="005505F6">
        <w:rPr>
          <w:rFonts w:ascii="Century Gothic" w:hAnsi="Century Gothic" w:cs="Times New Roman"/>
          <w:sz w:val="28"/>
          <w:szCs w:val="28"/>
        </w:rPr>
        <w:t>be</w:t>
      </w:r>
      <w:r w:rsidRPr="005505F6">
        <w:rPr>
          <w:rFonts w:ascii="Century Gothic" w:hAnsi="Century Gothic" w:cs="Times New Roman"/>
          <w:sz w:val="28"/>
          <w:szCs w:val="28"/>
        </w:rPr>
        <w:t xml:space="preserve"> enforceable</w:t>
      </w:r>
      <w:r w:rsidR="001D38CA" w:rsidRPr="005505F6">
        <w:rPr>
          <w:rFonts w:ascii="Century Gothic" w:hAnsi="Century Gothic" w:cs="Times New Roman"/>
          <w:sz w:val="28"/>
          <w:szCs w:val="28"/>
        </w:rPr>
        <w:t xml:space="preserve"> and the Judiciary through judicial activism has been enforcing the rights on the covenant. </w:t>
      </w:r>
      <w:r w:rsidRPr="005505F6">
        <w:rPr>
          <w:rFonts w:ascii="Century Gothic" w:hAnsi="Century Gothic" w:cs="Times New Roman"/>
          <w:sz w:val="28"/>
          <w:szCs w:val="28"/>
        </w:rPr>
        <w:t xml:space="preserve"> </w:t>
      </w:r>
    </w:p>
    <w:p w14:paraId="29246AB3" w14:textId="77777777" w:rsidR="00192117" w:rsidRPr="005505F6" w:rsidRDefault="00192117" w:rsidP="005505F6">
      <w:pPr>
        <w:pStyle w:val="Default"/>
        <w:jc w:val="both"/>
        <w:rPr>
          <w:rFonts w:ascii="Century Gothic" w:hAnsi="Century Gothic" w:cs="Arial"/>
          <w:sz w:val="28"/>
          <w:szCs w:val="28"/>
        </w:rPr>
      </w:pPr>
    </w:p>
    <w:p w14:paraId="751E1576" w14:textId="77777777" w:rsidR="001D38CA"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The majority of the economic, social and cultural rights a</w:t>
      </w:r>
      <w:r w:rsidR="003E264C">
        <w:rPr>
          <w:rFonts w:ascii="Century Gothic" w:hAnsi="Century Gothic" w:cs="Times New Roman"/>
          <w:sz w:val="28"/>
          <w:szCs w:val="28"/>
        </w:rPr>
        <w:t xml:space="preserve">s outlined in the Covenant are </w:t>
      </w:r>
      <w:r w:rsidRPr="005505F6">
        <w:rPr>
          <w:rFonts w:ascii="Century Gothic" w:hAnsi="Century Gothic" w:cs="Times New Roman"/>
          <w:sz w:val="28"/>
          <w:szCs w:val="28"/>
        </w:rPr>
        <w:t xml:space="preserve">highlighted in the Constitution as National Objectives and Principles of State Policy </w:t>
      </w:r>
    </w:p>
    <w:p w14:paraId="1E2A582A" w14:textId="77777777" w:rsidR="003E264C" w:rsidRPr="005505F6" w:rsidRDefault="003E264C" w:rsidP="005505F6">
      <w:pPr>
        <w:pStyle w:val="Default"/>
        <w:jc w:val="both"/>
        <w:rPr>
          <w:rFonts w:ascii="Century Gothic" w:hAnsi="Century Gothic" w:cs="Times New Roman"/>
          <w:sz w:val="28"/>
          <w:szCs w:val="28"/>
        </w:rPr>
      </w:pPr>
    </w:p>
    <w:p w14:paraId="59850651" w14:textId="77777777" w:rsidR="00192117" w:rsidRPr="005505F6" w:rsidRDefault="00192117" w:rsidP="005505F6">
      <w:pPr>
        <w:pStyle w:val="Default"/>
        <w:jc w:val="both"/>
        <w:rPr>
          <w:rFonts w:ascii="Century Gothic" w:hAnsi="Century Gothic" w:cs="Times New Roman"/>
          <w:sz w:val="28"/>
          <w:szCs w:val="28"/>
        </w:rPr>
      </w:pPr>
      <w:r w:rsidRPr="005505F6">
        <w:rPr>
          <w:rFonts w:ascii="Century Gothic" w:hAnsi="Century Gothic" w:cs="Times New Roman"/>
          <w:sz w:val="28"/>
          <w:szCs w:val="28"/>
        </w:rPr>
        <w:t xml:space="preserve">Although the State recognizes the Covenant under International Law it has not been domesticated into Ugandan law to give effect to its provisions in its entirety. This notwithstanding, Ugandan Courts have adjudicated some rights such as the right to a clean and healthy environment however there has been little </w:t>
      </w:r>
      <w:r w:rsidR="001D38CA" w:rsidRPr="005505F6">
        <w:rPr>
          <w:rFonts w:ascii="Century Gothic" w:hAnsi="Century Gothic" w:cs="Times New Roman"/>
          <w:sz w:val="28"/>
          <w:szCs w:val="28"/>
        </w:rPr>
        <w:t>r</w:t>
      </w:r>
      <w:r w:rsidRPr="005505F6">
        <w:rPr>
          <w:rFonts w:ascii="Century Gothic" w:hAnsi="Century Gothic" w:cs="Times New Roman"/>
          <w:sz w:val="28"/>
          <w:szCs w:val="28"/>
        </w:rPr>
        <w:t>eference to the Covenant when interpreting or enforcing relevant domestic legislation. Uganda has not made any Declarations or Reservations under the Covenant</w:t>
      </w:r>
      <w:r w:rsidR="001D38CA" w:rsidRPr="005505F6">
        <w:rPr>
          <w:rFonts w:ascii="Century Gothic" w:hAnsi="Century Gothic" w:cs="Times New Roman"/>
          <w:sz w:val="28"/>
          <w:szCs w:val="28"/>
        </w:rPr>
        <w:t xml:space="preserve"> on Economic social and Cultural Rights.</w:t>
      </w:r>
      <w:r w:rsidRPr="005505F6">
        <w:rPr>
          <w:rFonts w:ascii="Century Gothic" w:hAnsi="Century Gothic" w:cs="Times New Roman"/>
          <w:sz w:val="28"/>
          <w:szCs w:val="28"/>
        </w:rPr>
        <w:t xml:space="preserve"> </w:t>
      </w:r>
    </w:p>
    <w:p w14:paraId="5F504111" w14:textId="77777777" w:rsidR="001D38CA" w:rsidRPr="005505F6" w:rsidRDefault="001D38CA" w:rsidP="005505F6">
      <w:pPr>
        <w:autoSpaceDE w:val="0"/>
        <w:autoSpaceDN w:val="0"/>
        <w:adjustRightInd w:val="0"/>
        <w:spacing w:after="0" w:line="240" w:lineRule="auto"/>
        <w:jc w:val="both"/>
        <w:rPr>
          <w:rFonts w:ascii="Century Gothic" w:hAnsi="Century Gothic" w:cs="Times New Roman"/>
          <w:color w:val="000000"/>
          <w:sz w:val="28"/>
          <w:szCs w:val="28"/>
        </w:rPr>
      </w:pPr>
    </w:p>
    <w:p w14:paraId="24DD1BBE" w14:textId="77777777" w:rsidR="00192117" w:rsidRPr="005505F6" w:rsidRDefault="00192117" w:rsidP="005505F6">
      <w:pPr>
        <w:autoSpaceDE w:val="0"/>
        <w:autoSpaceDN w:val="0"/>
        <w:adjustRightInd w:val="0"/>
        <w:spacing w:after="0" w:line="240" w:lineRule="auto"/>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 xml:space="preserve">The Government of Uganda in its efforts to meet her obligations under the Covenant has established partnerships and initiatives with its development partners and in so doing received support towards Government programmes relating to the covenant rights discussed in the body of this report. Support has been from International Agencies and International </w:t>
      </w:r>
      <w:r w:rsidRPr="005505F6">
        <w:rPr>
          <w:rFonts w:ascii="Century Gothic" w:hAnsi="Century Gothic" w:cs="Times New Roman"/>
          <w:color w:val="000000"/>
          <w:sz w:val="28"/>
          <w:szCs w:val="28"/>
        </w:rPr>
        <w:lastRenderedPageBreak/>
        <w:t xml:space="preserve">Financial Institutions, Foreign Governments from North America including the USA and Canada, the EU Member states, Asian and Far East states as well as other African states. </w:t>
      </w:r>
    </w:p>
    <w:p w14:paraId="517E1772" w14:textId="77777777" w:rsidR="00192117" w:rsidRPr="005505F6" w:rsidRDefault="00192117" w:rsidP="005505F6">
      <w:pPr>
        <w:jc w:val="both"/>
        <w:rPr>
          <w:rFonts w:ascii="Century Gothic" w:hAnsi="Century Gothic"/>
          <w:sz w:val="28"/>
          <w:szCs w:val="28"/>
        </w:rPr>
      </w:pPr>
    </w:p>
    <w:p w14:paraId="6D565EEE" w14:textId="77777777" w:rsidR="00192117" w:rsidRPr="005505F6" w:rsidRDefault="00192117" w:rsidP="005505F6">
      <w:pPr>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 xml:space="preserve">Uganda’s Vision 2040 and the National Development Plan (NDP) </w:t>
      </w:r>
      <w:r w:rsidR="001D38CA" w:rsidRPr="005505F6">
        <w:rPr>
          <w:rFonts w:ascii="Century Gothic" w:hAnsi="Century Gothic" w:cs="Times New Roman"/>
          <w:color w:val="000000"/>
          <w:sz w:val="28"/>
          <w:szCs w:val="28"/>
        </w:rPr>
        <w:t xml:space="preserve">recognize several development strategies that put the economic social and cultural rights at the forefront of development planning. Key to these strategies is </w:t>
      </w:r>
      <w:r w:rsidRPr="005505F6">
        <w:rPr>
          <w:rFonts w:ascii="Century Gothic" w:hAnsi="Century Gothic" w:cs="Times New Roman"/>
          <w:color w:val="000000"/>
          <w:sz w:val="28"/>
          <w:szCs w:val="28"/>
        </w:rPr>
        <w:t>social protection as one of key strategies for transformi</w:t>
      </w:r>
      <w:r w:rsidR="005505F6">
        <w:rPr>
          <w:rFonts w:ascii="Century Gothic" w:hAnsi="Century Gothic" w:cs="Times New Roman"/>
          <w:color w:val="000000"/>
          <w:sz w:val="28"/>
          <w:szCs w:val="28"/>
        </w:rPr>
        <w:t>ng Uganda from a low level</w:t>
      </w:r>
      <w:r w:rsidRPr="005505F6">
        <w:rPr>
          <w:rFonts w:ascii="Century Gothic" w:hAnsi="Century Gothic" w:cs="Times New Roman"/>
          <w:color w:val="000000"/>
          <w:sz w:val="28"/>
          <w:szCs w:val="28"/>
        </w:rPr>
        <w:t xml:space="preserve"> to a modern and prosperous country. It emphasizes diversification and provision of comprehensive social protection measures for the different categories of the population as a measure to reduce vulnerability and enhance productivity of the human resource. The Plan outlines activities to “develop and implement social transfer programmes to the older persons 65 years and above, persons with disabilities and the poorest quartile of the population” </w:t>
      </w:r>
    </w:p>
    <w:p w14:paraId="2584CD98" w14:textId="77777777" w:rsidR="00ED2DDE" w:rsidRPr="005505F6" w:rsidRDefault="001D38CA" w:rsidP="005505F6">
      <w:pPr>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With development programmes in place Uganda has been able to reduce poverty levels from 31.5 in 2005/6 to current 19.7 in year 20</w:t>
      </w:r>
      <w:r w:rsidR="00ED2DDE" w:rsidRPr="005505F6">
        <w:rPr>
          <w:rFonts w:ascii="Century Gothic" w:hAnsi="Century Gothic" w:cs="Times New Roman"/>
          <w:color w:val="000000"/>
          <w:sz w:val="28"/>
          <w:szCs w:val="28"/>
        </w:rPr>
        <w:t>12/13.</w:t>
      </w:r>
    </w:p>
    <w:p w14:paraId="72D000E1" w14:textId="77777777" w:rsidR="00ED2DDE" w:rsidRPr="005505F6" w:rsidRDefault="00ED2DDE" w:rsidP="005505F6">
      <w:pPr>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We welcome the committee comments and issues and look forward to the concluding observations and recommendations.</w:t>
      </w:r>
    </w:p>
    <w:p w14:paraId="30BEAE93" w14:textId="77777777" w:rsidR="00ED2DDE" w:rsidRPr="005505F6" w:rsidRDefault="00ED2DDE" w:rsidP="005505F6">
      <w:pPr>
        <w:jc w:val="both"/>
        <w:rPr>
          <w:rFonts w:ascii="Century Gothic" w:hAnsi="Century Gothic" w:cs="Times New Roman"/>
          <w:color w:val="000000"/>
          <w:sz w:val="28"/>
          <w:szCs w:val="28"/>
        </w:rPr>
      </w:pPr>
    </w:p>
    <w:p w14:paraId="1E3C1A8A" w14:textId="77777777" w:rsidR="00192117" w:rsidRDefault="00ED2DDE" w:rsidP="005505F6">
      <w:pPr>
        <w:jc w:val="both"/>
        <w:rPr>
          <w:rFonts w:ascii="Century Gothic" w:hAnsi="Century Gothic" w:cs="Times New Roman"/>
          <w:color w:val="000000"/>
          <w:sz w:val="28"/>
          <w:szCs w:val="28"/>
        </w:rPr>
      </w:pPr>
      <w:r w:rsidRPr="005505F6">
        <w:rPr>
          <w:rFonts w:ascii="Century Gothic" w:hAnsi="Century Gothic" w:cs="Times New Roman"/>
          <w:color w:val="000000"/>
          <w:sz w:val="28"/>
          <w:szCs w:val="28"/>
        </w:rPr>
        <w:t xml:space="preserve">FOR GOD AND MY COUNTRY </w:t>
      </w:r>
      <w:r w:rsidR="001D38CA" w:rsidRPr="005505F6">
        <w:rPr>
          <w:rFonts w:ascii="Century Gothic" w:hAnsi="Century Gothic" w:cs="Times New Roman"/>
          <w:color w:val="000000"/>
          <w:sz w:val="28"/>
          <w:szCs w:val="28"/>
        </w:rPr>
        <w:t xml:space="preserve"> </w:t>
      </w:r>
    </w:p>
    <w:p w14:paraId="02D2F182" w14:textId="77777777" w:rsidR="005505F6" w:rsidRPr="005505F6" w:rsidRDefault="005505F6" w:rsidP="005505F6">
      <w:pPr>
        <w:jc w:val="both"/>
        <w:rPr>
          <w:rFonts w:ascii="Century Gothic" w:hAnsi="Century Gothic" w:cs="Times New Roman"/>
          <w:color w:val="000000"/>
          <w:sz w:val="28"/>
          <w:szCs w:val="28"/>
        </w:rPr>
      </w:pPr>
      <w:r>
        <w:rPr>
          <w:rFonts w:ascii="Century Gothic" w:hAnsi="Century Gothic" w:cs="Times New Roman"/>
          <w:color w:val="000000"/>
          <w:sz w:val="28"/>
          <w:szCs w:val="28"/>
        </w:rPr>
        <w:t>MINISTER OF STATE FOR ELDERLY AND DISABILITY AFFAIRS</w:t>
      </w:r>
    </w:p>
    <w:sectPr w:rsidR="005505F6" w:rsidRPr="005505F6" w:rsidSect="005505F6">
      <w:pgSz w:w="12240" w:h="16340"/>
      <w:pgMar w:top="2147" w:right="862" w:bottom="913" w:left="105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HDIBP+Calibri">
    <w:altName w:val="Cambri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050A3"/>
    <w:multiLevelType w:val="hybridMultilevel"/>
    <w:tmpl w:val="157444FE"/>
    <w:lvl w:ilvl="0" w:tplc="866C5A2E">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117"/>
    <w:rsid w:val="00192117"/>
    <w:rsid w:val="001D38CA"/>
    <w:rsid w:val="002A6A4A"/>
    <w:rsid w:val="003E264C"/>
    <w:rsid w:val="004D6B0A"/>
    <w:rsid w:val="005505F6"/>
    <w:rsid w:val="0094597B"/>
    <w:rsid w:val="00A8782D"/>
    <w:rsid w:val="00D06552"/>
    <w:rsid w:val="00ED2DDE"/>
    <w:rsid w:val="00F65F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3BD974"/>
  <w15:docId w15:val="{3506AF71-64B5-417A-B5FE-5E33FD148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92117"/>
    <w:pPr>
      <w:autoSpaceDE w:val="0"/>
      <w:autoSpaceDN w:val="0"/>
      <w:adjustRightInd w:val="0"/>
      <w:spacing w:after="0" w:line="240" w:lineRule="auto"/>
    </w:pPr>
    <w:rPr>
      <w:rFonts w:ascii="LHDIBP+Calibri" w:hAnsi="LHDIBP+Calibri" w:cs="LHDIBP+Calibri"/>
      <w:color w:val="000000"/>
      <w:sz w:val="24"/>
      <w:szCs w:val="24"/>
    </w:rPr>
  </w:style>
  <w:style w:type="paragraph" w:styleId="ListParagraph">
    <w:name w:val="List Paragraph"/>
    <w:basedOn w:val="Normal"/>
    <w:uiPriority w:val="34"/>
    <w:qFormat/>
    <w:rsid w:val="00192117"/>
    <w:pPr>
      <w:ind w:left="720"/>
      <w:contextualSpacing/>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C189E0-F5BB-4DF3-9936-C1CB89FDEE90}"/>
</file>

<file path=customXml/itemProps2.xml><?xml version="1.0" encoding="utf-8"?>
<ds:datastoreItem xmlns:ds="http://schemas.openxmlformats.org/officeDocument/2006/customXml" ds:itemID="{28C48A4A-878F-44DF-AB11-58BB849E4D5A}"/>
</file>

<file path=customXml/itemProps3.xml><?xml version="1.0" encoding="utf-8"?>
<ds:datastoreItem xmlns:ds="http://schemas.openxmlformats.org/officeDocument/2006/customXml" ds:itemID="{D0B31B15-F4F2-4065-A68B-51323235CCE3}"/>
</file>

<file path=docProps/app.xml><?xml version="1.0" encoding="utf-8"?>
<Properties xmlns="http://schemas.openxmlformats.org/officeDocument/2006/extended-properties" xmlns:vt="http://schemas.openxmlformats.org/officeDocument/2006/docPropsVTypes">
  <Template>Normal</Template>
  <TotalTime>1</TotalTime>
  <Pages>5</Pages>
  <Words>1222</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Nabiryo</dc:creator>
  <cp:lastModifiedBy>Benjamin Mukabire</cp:lastModifiedBy>
  <cp:revision>2</cp:revision>
  <cp:lastPrinted>2015-06-05T09:14:00Z</cp:lastPrinted>
  <dcterms:created xsi:type="dcterms:W3CDTF">2015-06-05T12:59:00Z</dcterms:created>
  <dcterms:modified xsi:type="dcterms:W3CDTF">2015-06-05T12:59:00Z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