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A1DF9A" w14:textId="6EE98D26" w:rsidR="00545C58" w:rsidRDefault="00545C58" w:rsidP="007D322D">
      <w:pPr>
        <w:jc w:val="center"/>
        <w:rPr>
          <w:rFonts w:asciiTheme="majorBidi" w:hAnsiTheme="majorBidi" w:cstheme="majorBidi"/>
          <w:b/>
          <w:bCs/>
          <w:color w:val="FF0000"/>
          <w:sz w:val="28"/>
          <w:szCs w:val="28"/>
        </w:rPr>
      </w:pPr>
      <w:r w:rsidRPr="00545C58">
        <w:rPr>
          <w:rFonts w:asciiTheme="majorBidi" w:hAnsiTheme="majorBidi" w:cstheme="majorBidi"/>
          <w:b/>
          <w:bCs/>
          <w:color w:val="1F3864" w:themeColor="accent5" w:themeShade="80"/>
          <w:sz w:val="28"/>
          <w:szCs w:val="28"/>
          <w:lang w:val="en-GB"/>
        </w:rPr>
        <w:t>Maat for Peace’</w:t>
      </w:r>
      <w:r w:rsidRPr="00545C58">
        <w:rPr>
          <w:rFonts w:asciiTheme="majorBidi" w:hAnsiTheme="majorBidi" w:cstheme="majorBidi"/>
          <w:b/>
          <w:bCs/>
          <w:color w:val="1F3864" w:themeColor="accent5" w:themeShade="80"/>
          <w:sz w:val="28"/>
          <w:szCs w:val="28"/>
        </w:rPr>
        <w:t xml:space="preserve"> report submitted to the Committee on the Rights of the Child on </w:t>
      </w:r>
      <w:r w:rsidRPr="00545C58">
        <w:rPr>
          <w:rFonts w:asciiTheme="majorBidi" w:hAnsiTheme="majorBidi" w:cstheme="majorBidi"/>
          <w:b/>
          <w:bCs/>
          <w:color w:val="FF0000"/>
          <w:sz w:val="28"/>
          <w:szCs w:val="28"/>
        </w:rPr>
        <w:t>Spain</w:t>
      </w:r>
    </w:p>
    <w:p w14:paraId="2A348DD0" w14:textId="0EC65CC4" w:rsidR="00545C58" w:rsidRPr="00545C58" w:rsidRDefault="00545C58" w:rsidP="007D322D">
      <w:pPr>
        <w:pBdr>
          <w:bottom w:val="single" w:sz="18" w:space="1" w:color="auto"/>
        </w:pBdr>
        <w:jc w:val="center"/>
        <w:rPr>
          <w:rFonts w:asciiTheme="majorBidi" w:hAnsiTheme="majorBidi" w:cstheme="majorBidi"/>
          <w:sz w:val="24"/>
          <w:szCs w:val="24"/>
          <w:rtl/>
        </w:rPr>
      </w:pPr>
      <w:r w:rsidRPr="00545C58">
        <w:rPr>
          <w:rFonts w:asciiTheme="majorBidi" w:hAnsiTheme="majorBidi" w:cstheme="majorBidi"/>
          <w:sz w:val="24"/>
          <w:szCs w:val="24"/>
        </w:rPr>
        <w:t>December 2024</w:t>
      </w:r>
    </w:p>
    <w:p w14:paraId="6FC6308C" w14:textId="38FACBDD" w:rsidR="006B1AFB" w:rsidRDefault="00545C58" w:rsidP="007D322D">
      <w:pPr>
        <w:jc w:val="both"/>
        <w:rPr>
          <w:rFonts w:asciiTheme="majorBidi" w:hAnsiTheme="majorBidi" w:cstheme="majorBidi"/>
          <w:sz w:val="24"/>
          <w:szCs w:val="24"/>
        </w:rPr>
      </w:pPr>
      <w:r w:rsidRPr="00545C58">
        <w:rPr>
          <w:rFonts w:asciiTheme="majorBidi" w:hAnsiTheme="majorBidi" w:cstheme="majorBidi"/>
          <w:sz w:val="24"/>
          <w:szCs w:val="24"/>
        </w:rPr>
        <w:t>Spain signed the Convention on the Rights of the Child on 26 January 1990 and ratified it on 6 December of the same year (hereinafter referred to as the “Convention”). The Convention obliges ratifying States to protect and promote the rights of all children in their territory, including in the areas of health, education, protection from discrimination and violence, and other fundamental rights. Spain submitted its seventh periodic report to the United Nations Committee on the Rights of the Child (hereinafter referred to as the “Committee”) in March 2024, although it was due in 2023. This follows the submission of the combined fifth and sixth periodic reports in May 2016, which were due in October 2015, reflecting a typical delay by the Spanish government in submitting its reports to the Committee</w:t>
      </w:r>
      <w:r w:rsidR="007D322D">
        <w:rPr>
          <w:rStyle w:val="FootnoteReference"/>
          <w:rFonts w:asciiTheme="majorBidi" w:hAnsiTheme="majorBidi" w:cstheme="majorBidi"/>
          <w:sz w:val="24"/>
          <w:szCs w:val="24"/>
        </w:rPr>
        <w:footnoteReference w:id="1"/>
      </w:r>
      <w:r w:rsidRPr="00545C58">
        <w:rPr>
          <w:rFonts w:asciiTheme="majorBidi" w:hAnsiTheme="majorBidi" w:cstheme="majorBidi"/>
          <w:sz w:val="24"/>
          <w:szCs w:val="24"/>
        </w:rPr>
        <w:t>.</w:t>
      </w:r>
    </w:p>
    <w:p w14:paraId="297EB092" w14:textId="6ED5D02C" w:rsidR="00545C58" w:rsidRDefault="00545C58" w:rsidP="007D322D">
      <w:pPr>
        <w:jc w:val="both"/>
        <w:rPr>
          <w:rFonts w:asciiTheme="majorBidi" w:hAnsiTheme="majorBidi" w:cstheme="majorBidi"/>
          <w:sz w:val="24"/>
          <w:szCs w:val="24"/>
        </w:rPr>
      </w:pPr>
      <w:r w:rsidRPr="00545C58">
        <w:rPr>
          <w:rFonts w:asciiTheme="majorBidi" w:hAnsiTheme="majorBidi" w:cstheme="majorBidi"/>
          <w:sz w:val="24"/>
          <w:szCs w:val="24"/>
        </w:rPr>
        <w:t>In this context, the Maat for Peace, Development and Human Rights is submitting its current report to the Committee on the Rights of the Child, with the aim of assessing Spain's compliance with the provisions of the Convention and identifying shortcomings in the implementation of some of its provisions. This report comes within the framework of the Foundation's support for the Committee's efforts to conduct an objective and comprehensive assessment of Spain's file in this regard.</w:t>
      </w:r>
    </w:p>
    <w:p w14:paraId="3935E165" w14:textId="78CAF21E" w:rsidR="00545C58" w:rsidRPr="00545C58" w:rsidRDefault="00545C58" w:rsidP="007D322D">
      <w:pPr>
        <w:jc w:val="both"/>
        <w:rPr>
          <w:rFonts w:asciiTheme="majorBidi" w:hAnsiTheme="majorBidi" w:cstheme="majorBidi"/>
          <w:b/>
          <w:bCs/>
          <w:color w:val="ED0000"/>
          <w:sz w:val="28"/>
          <w:szCs w:val="28"/>
        </w:rPr>
      </w:pPr>
      <w:r w:rsidRPr="00545C58">
        <w:rPr>
          <w:rFonts w:asciiTheme="majorBidi" w:hAnsiTheme="majorBidi" w:cstheme="majorBidi"/>
          <w:b/>
          <w:bCs/>
          <w:color w:val="ED0000"/>
          <w:sz w:val="28"/>
          <w:szCs w:val="28"/>
        </w:rPr>
        <w:t>Non-discrimination (Article 2)</w:t>
      </w:r>
    </w:p>
    <w:p w14:paraId="6949B5BB" w14:textId="607C747F" w:rsidR="00545C58" w:rsidRDefault="00545C58" w:rsidP="007D322D">
      <w:pPr>
        <w:jc w:val="both"/>
        <w:rPr>
          <w:rFonts w:asciiTheme="majorBidi" w:hAnsiTheme="majorBidi" w:cstheme="majorBidi"/>
          <w:sz w:val="24"/>
          <w:szCs w:val="24"/>
        </w:rPr>
      </w:pPr>
      <w:r w:rsidRPr="00545C58">
        <w:rPr>
          <w:rFonts w:asciiTheme="majorBidi" w:hAnsiTheme="majorBidi" w:cstheme="majorBidi"/>
          <w:sz w:val="24"/>
          <w:szCs w:val="24"/>
        </w:rPr>
        <w:t xml:space="preserve">Protecting children’s rights and ensuring that they are not discriminated against are national priorities in Spain, as the Spanish authorities seek to implement the principles of the Convention on the Rights of the Child, which guarantee the protection of all children from all forms of discrimination. However, Maat has identified some discriminatory practices against children in Spain, which require a review to ensure their compatibility with the provisions of the Convention. Maat has observed discrimination against Spanish-speaking students in schools in Catalonia. In line with separatist tendencies there, schools are required to implement a “linguistic immersion” policy, whereby most subjects are taught in Catalan. Although the stated aim of this policy is to promote the use of Catalan, many families have long complained that the practical application of this policy forces children and their parents to use Catalan, while reducing the role of Spanish. This situation has led some families to resort to the courts, which resulted in a ruling by the High Court of Justice of Catalonia requiring schools to allocate at least 25% of teaching hours to </w:t>
      </w:r>
      <w:r w:rsidRPr="00545C58">
        <w:rPr>
          <w:rFonts w:asciiTheme="majorBidi" w:hAnsiTheme="majorBidi" w:cstheme="majorBidi"/>
          <w:sz w:val="24"/>
          <w:szCs w:val="24"/>
        </w:rPr>
        <w:lastRenderedPageBreak/>
        <w:t>Spanish. However, the ruling has continued to be ignored, while those calling for the expansion of the use of Spanish in schools are reportedly facing persistent cases of intimidation and bullying. As a result, they have filed complaints with the European Parliament, which has called on the Catalan and Spanish authorities to ensure equal treatment of the two languages ​​in the curriculum and teaching time, and to ensure that no child is discriminated against because of their language. In the absence of a response, parents have had no alternative but to file individual lawsuits against schools and government authorities</w:t>
      </w:r>
      <w:r w:rsidR="007D322D">
        <w:rPr>
          <w:rStyle w:val="FootnoteReference"/>
          <w:rFonts w:asciiTheme="majorBidi" w:hAnsiTheme="majorBidi" w:cstheme="majorBidi"/>
          <w:sz w:val="24"/>
          <w:szCs w:val="24"/>
        </w:rPr>
        <w:footnoteReference w:id="2"/>
      </w:r>
      <w:r w:rsidRPr="00545C58">
        <w:rPr>
          <w:rFonts w:asciiTheme="majorBidi" w:hAnsiTheme="majorBidi" w:cstheme="majorBidi"/>
          <w:sz w:val="24"/>
          <w:szCs w:val="24"/>
        </w:rPr>
        <w:t>.</w:t>
      </w:r>
    </w:p>
    <w:p w14:paraId="7E02FFCC" w14:textId="16CF0995" w:rsidR="00545C58" w:rsidRDefault="00545C58" w:rsidP="007D322D">
      <w:pPr>
        <w:jc w:val="both"/>
        <w:rPr>
          <w:rFonts w:asciiTheme="majorBidi" w:hAnsiTheme="majorBidi" w:cstheme="majorBidi"/>
          <w:sz w:val="24"/>
          <w:szCs w:val="24"/>
        </w:rPr>
      </w:pPr>
      <w:r w:rsidRPr="00545C58">
        <w:rPr>
          <w:rFonts w:asciiTheme="majorBidi" w:hAnsiTheme="majorBidi" w:cstheme="majorBidi"/>
          <w:sz w:val="24"/>
          <w:szCs w:val="24"/>
        </w:rPr>
        <w:t>In a related context, on 10 April 2024, the European Parliament adopted the European Pact on Asylum and Migration (EPAM), which includes ten laws aimed at unifying the Common European Asylum System (CEAS). Although these texts are now part of EU law and directly applicable in Spain, Maat expresses its concern about some provisions that may conflict with human rights in general and with the Convention on the Rights of the Child in particular. This concern is highlighted in relation to the discriminatory provisions imposed by the Pact on children who are third-country nationals or stateless persons compared to their peers who are citizens of member states, as it allows children to be detained at borders - with their families or alone - either for reasons of examination or threats to national security or public order, which exposes them to various types of violations by security forces, smugglers and human traffickers, and hinders their access to basic services such as education, health and legal support on an equal footing with other children who are citizens of EU countries</w:t>
      </w:r>
      <w:r w:rsidR="007D322D">
        <w:rPr>
          <w:rStyle w:val="FootnoteReference"/>
          <w:rFonts w:asciiTheme="majorBidi" w:hAnsiTheme="majorBidi" w:cstheme="majorBidi"/>
          <w:sz w:val="24"/>
          <w:szCs w:val="24"/>
        </w:rPr>
        <w:footnoteReference w:id="3"/>
      </w:r>
      <w:r w:rsidR="007D322D">
        <w:rPr>
          <w:rStyle w:val="FootnoteReference"/>
          <w:rFonts w:asciiTheme="majorBidi" w:hAnsiTheme="majorBidi" w:cstheme="majorBidi"/>
          <w:sz w:val="24"/>
          <w:szCs w:val="24"/>
        </w:rPr>
        <w:footnoteReference w:id="4"/>
      </w:r>
      <w:r w:rsidRPr="00545C58">
        <w:rPr>
          <w:rFonts w:asciiTheme="majorBidi" w:hAnsiTheme="majorBidi" w:cstheme="majorBidi"/>
          <w:sz w:val="24"/>
          <w:szCs w:val="24"/>
        </w:rPr>
        <w:t>.</w:t>
      </w:r>
    </w:p>
    <w:p w14:paraId="55A27FF1" w14:textId="56131452" w:rsidR="007D322D" w:rsidRDefault="00545C58" w:rsidP="007D322D">
      <w:pPr>
        <w:jc w:val="both"/>
        <w:rPr>
          <w:rFonts w:asciiTheme="majorBidi" w:hAnsiTheme="majorBidi" w:cstheme="majorBidi"/>
          <w:sz w:val="24"/>
          <w:szCs w:val="24"/>
        </w:rPr>
      </w:pPr>
      <w:r w:rsidRPr="00545C58">
        <w:rPr>
          <w:rFonts w:asciiTheme="majorBidi" w:hAnsiTheme="majorBidi" w:cstheme="majorBidi"/>
          <w:sz w:val="24"/>
          <w:szCs w:val="24"/>
        </w:rPr>
        <w:t>Finally, reports reviewed by Maat indicate that the immigration authorities in Spain determine the ages of migrant children - especially Africans - through biometric measurements or visual assessments that are sometimes discriminatory; some children are considered adults with random and repeated dates of birth and then placed in adult camps until they are distributed to Spanish or European cities in general, which results in them being deprived of some of the privileges reserved for migrant children such as housing and education support</w:t>
      </w:r>
      <w:r w:rsidR="007D322D">
        <w:rPr>
          <w:rStyle w:val="FootnoteReference"/>
          <w:rFonts w:asciiTheme="majorBidi" w:hAnsiTheme="majorBidi" w:cstheme="majorBidi"/>
          <w:sz w:val="24"/>
          <w:szCs w:val="24"/>
        </w:rPr>
        <w:footnoteReference w:id="5"/>
      </w:r>
      <w:r w:rsidRPr="00545C58">
        <w:rPr>
          <w:rFonts w:asciiTheme="majorBidi" w:hAnsiTheme="majorBidi" w:cstheme="majorBidi"/>
          <w:sz w:val="24"/>
          <w:szCs w:val="24"/>
        </w:rPr>
        <w:t>.</w:t>
      </w:r>
    </w:p>
    <w:p w14:paraId="44E33BDC" w14:textId="050CC306" w:rsidR="00545C58" w:rsidRDefault="00545C58" w:rsidP="007D322D">
      <w:pPr>
        <w:jc w:val="both"/>
        <w:rPr>
          <w:rFonts w:asciiTheme="majorBidi" w:hAnsiTheme="majorBidi" w:cstheme="majorBidi"/>
          <w:sz w:val="24"/>
          <w:szCs w:val="24"/>
        </w:rPr>
      </w:pPr>
      <w:r w:rsidRPr="00545C58">
        <w:rPr>
          <w:rFonts w:asciiTheme="majorBidi" w:hAnsiTheme="majorBidi" w:cstheme="majorBidi"/>
          <w:sz w:val="24"/>
          <w:szCs w:val="24"/>
        </w:rPr>
        <w:t>All of the above constitutes a violation of the principle of non-discrimination contained in Article 2 of the Convention on the Rights of the Child, and threatens the full implementation of all rights guaranteed to children under the Convention.</w:t>
      </w:r>
    </w:p>
    <w:p w14:paraId="3FF34457" w14:textId="77777777" w:rsidR="00D10910" w:rsidRDefault="00D10910" w:rsidP="007D322D">
      <w:pPr>
        <w:jc w:val="both"/>
        <w:rPr>
          <w:rFonts w:asciiTheme="majorBidi" w:hAnsiTheme="majorBidi" w:cstheme="majorBidi"/>
          <w:sz w:val="24"/>
          <w:szCs w:val="24"/>
        </w:rPr>
      </w:pPr>
    </w:p>
    <w:p w14:paraId="5B256D3A" w14:textId="28CAB9C9" w:rsidR="00545C58" w:rsidRPr="00545C58" w:rsidRDefault="00545C58" w:rsidP="007D322D">
      <w:pPr>
        <w:jc w:val="both"/>
        <w:rPr>
          <w:rFonts w:asciiTheme="majorBidi" w:hAnsiTheme="majorBidi" w:cstheme="majorBidi"/>
          <w:b/>
          <w:bCs/>
          <w:color w:val="ED0000"/>
          <w:sz w:val="28"/>
          <w:szCs w:val="28"/>
        </w:rPr>
      </w:pPr>
      <w:r w:rsidRPr="00545C58">
        <w:rPr>
          <w:rFonts w:asciiTheme="majorBidi" w:hAnsiTheme="majorBidi" w:cstheme="majorBidi"/>
          <w:b/>
          <w:bCs/>
          <w:color w:val="ED0000"/>
          <w:sz w:val="28"/>
          <w:szCs w:val="28"/>
        </w:rPr>
        <w:lastRenderedPageBreak/>
        <w:t>Right to life (Article 6)</w:t>
      </w:r>
    </w:p>
    <w:p w14:paraId="6F124738" w14:textId="2B431001" w:rsidR="007D322D" w:rsidRDefault="00545C58" w:rsidP="007D322D">
      <w:pPr>
        <w:jc w:val="both"/>
        <w:rPr>
          <w:rFonts w:asciiTheme="majorBidi" w:hAnsiTheme="majorBidi" w:cstheme="majorBidi"/>
          <w:sz w:val="24"/>
          <w:szCs w:val="24"/>
        </w:rPr>
      </w:pPr>
      <w:r w:rsidRPr="00545C58">
        <w:rPr>
          <w:rFonts w:asciiTheme="majorBidi" w:hAnsiTheme="majorBidi" w:cstheme="majorBidi"/>
          <w:sz w:val="24"/>
          <w:szCs w:val="24"/>
        </w:rPr>
        <w:t>It is estimated that the phenomenon of proxy violence is increasing in Spain, where children are sometimes victims, with child murders being committed in the context of other crimes, such as violence against women. Maat has seen reports that between 20 June and 22 September 2024, three children were killed in violent incidents targeting their mothers</w:t>
      </w:r>
      <w:r w:rsidR="007D322D">
        <w:rPr>
          <w:rStyle w:val="FootnoteReference"/>
          <w:rFonts w:asciiTheme="majorBidi" w:hAnsiTheme="majorBidi" w:cstheme="majorBidi"/>
          <w:sz w:val="24"/>
          <w:szCs w:val="24"/>
        </w:rPr>
        <w:footnoteReference w:id="6"/>
      </w:r>
      <w:r w:rsidRPr="00545C58">
        <w:rPr>
          <w:rFonts w:asciiTheme="majorBidi" w:hAnsiTheme="majorBidi" w:cstheme="majorBidi"/>
          <w:sz w:val="24"/>
          <w:szCs w:val="24"/>
        </w:rPr>
        <w:t>. In a shocking example from June 2021, a father killed his two daughters, aged six and one, by drowning them in the sea in revenge against their mother. Reports also indicate that some women commit similar crimes out of revenge against their husbands, making children’s lives an instrument of revenge in both cases. Between 2013 and 2021, statistics documented the murder of at least 39 children in Spain by one of their parents or their mother’s current or former partners</w:t>
      </w:r>
      <w:r w:rsidR="007D322D">
        <w:rPr>
          <w:rStyle w:val="FootnoteReference"/>
          <w:rFonts w:asciiTheme="majorBidi" w:hAnsiTheme="majorBidi" w:cstheme="majorBidi"/>
          <w:sz w:val="24"/>
          <w:szCs w:val="24"/>
        </w:rPr>
        <w:footnoteReference w:id="7"/>
      </w:r>
      <w:r w:rsidRPr="00545C58">
        <w:rPr>
          <w:rFonts w:asciiTheme="majorBidi" w:hAnsiTheme="majorBidi" w:cstheme="majorBidi"/>
          <w:sz w:val="24"/>
          <w:szCs w:val="24"/>
        </w:rPr>
        <w:t>.</w:t>
      </w:r>
    </w:p>
    <w:p w14:paraId="3F9B74B8" w14:textId="49D982F9" w:rsidR="00D10910" w:rsidRDefault="00545C58" w:rsidP="007D322D">
      <w:pPr>
        <w:jc w:val="both"/>
        <w:rPr>
          <w:rFonts w:asciiTheme="majorBidi" w:hAnsiTheme="majorBidi" w:cstheme="majorBidi"/>
          <w:sz w:val="24"/>
          <w:szCs w:val="24"/>
        </w:rPr>
      </w:pPr>
      <w:r w:rsidRPr="00545C58">
        <w:rPr>
          <w:rFonts w:asciiTheme="majorBidi" w:hAnsiTheme="majorBidi" w:cstheme="majorBidi"/>
          <w:sz w:val="24"/>
          <w:szCs w:val="24"/>
        </w:rPr>
        <w:t>In a related context, August 2024 witnessed the murder of an 11-year-old child, who was stabbed to death in the "Angel Tardio" football stadium in Toledo province. He was stabbed 11 times by a masked attacker who also tried to assault other children, but his attempts failed. Despite the rapid intervention of emergency teams, who sent a medical helicopter and an intensive care unit, the child unfortunately passed away. The security authorities were able to arrest the perpetrator, a 20-year-old man, who was later revealed to suffer from mental disorders</w:t>
      </w:r>
      <w:r w:rsidR="00D10910">
        <w:rPr>
          <w:rStyle w:val="FootnoteReference"/>
          <w:rFonts w:asciiTheme="majorBidi" w:hAnsiTheme="majorBidi" w:cstheme="majorBidi"/>
          <w:sz w:val="24"/>
          <w:szCs w:val="24"/>
        </w:rPr>
        <w:footnoteReference w:id="8"/>
      </w:r>
      <w:r w:rsidRPr="00545C58">
        <w:rPr>
          <w:rFonts w:asciiTheme="majorBidi" w:hAnsiTheme="majorBidi" w:cstheme="majorBidi"/>
          <w:sz w:val="24"/>
          <w:szCs w:val="24"/>
        </w:rPr>
        <w:t>.</w:t>
      </w:r>
    </w:p>
    <w:p w14:paraId="0636C15D" w14:textId="00CFD142" w:rsidR="00545C58" w:rsidRDefault="00545C58" w:rsidP="007D322D">
      <w:pPr>
        <w:jc w:val="both"/>
        <w:rPr>
          <w:rFonts w:asciiTheme="majorBidi" w:hAnsiTheme="majorBidi" w:cstheme="majorBidi"/>
          <w:sz w:val="24"/>
          <w:szCs w:val="24"/>
        </w:rPr>
      </w:pPr>
      <w:r w:rsidRPr="00545C58">
        <w:rPr>
          <w:rFonts w:asciiTheme="majorBidi" w:hAnsiTheme="majorBidi" w:cstheme="majorBidi"/>
          <w:sz w:val="24"/>
          <w:szCs w:val="24"/>
        </w:rPr>
        <w:t>Maat believes that the spread of such crimes, even if the Spanish authorities are not involved in them, reflects that Spain needs to strengthen its efforts to eliminate them and achieve the optimal implementation of the provisions of Article 6 of the Convention.</w:t>
      </w:r>
    </w:p>
    <w:p w14:paraId="1BF750C7" w14:textId="3F64C465" w:rsidR="00F433B2" w:rsidRPr="00F433B2" w:rsidRDefault="00F433B2" w:rsidP="007D322D">
      <w:pPr>
        <w:jc w:val="both"/>
        <w:rPr>
          <w:rFonts w:asciiTheme="majorBidi" w:hAnsiTheme="majorBidi" w:cstheme="majorBidi"/>
          <w:b/>
          <w:bCs/>
          <w:color w:val="ED0000"/>
          <w:sz w:val="28"/>
          <w:szCs w:val="28"/>
        </w:rPr>
      </w:pPr>
      <w:r w:rsidRPr="00F433B2">
        <w:rPr>
          <w:rFonts w:asciiTheme="majorBidi" w:hAnsiTheme="majorBidi" w:cstheme="majorBidi"/>
          <w:b/>
          <w:bCs/>
          <w:color w:val="ED0000"/>
          <w:sz w:val="28"/>
          <w:szCs w:val="28"/>
        </w:rPr>
        <w:t>Protection from Violence (Article 19)</w:t>
      </w:r>
    </w:p>
    <w:p w14:paraId="79E2B4C9" w14:textId="08401F7C" w:rsidR="00F433B2" w:rsidRPr="00F433B2" w:rsidRDefault="00F433B2" w:rsidP="007D322D">
      <w:pPr>
        <w:jc w:val="both"/>
        <w:rPr>
          <w:rFonts w:asciiTheme="majorBidi" w:hAnsiTheme="majorBidi" w:cstheme="majorBidi"/>
          <w:sz w:val="24"/>
          <w:szCs w:val="24"/>
        </w:rPr>
      </w:pPr>
      <w:r w:rsidRPr="00F433B2">
        <w:rPr>
          <w:rFonts w:asciiTheme="majorBidi" w:hAnsiTheme="majorBidi" w:cstheme="majorBidi"/>
          <w:sz w:val="24"/>
          <w:szCs w:val="24"/>
        </w:rPr>
        <w:t>Spain has issued Law No. 8 of 2021 on the comprehensive protection of children and adolescents from violence, which applies nationwide, including in the autonomous regions. This law aims to guarantee and promote the fundamental rights of children and adolescents, protecting them psychologically, physically, mentally and morally from any violations, providing them with awareness and comprehensive protection in all aspects of their lives, and ensuring redress for any of them who have been subjected to any form of violence</w:t>
      </w:r>
      <w:r w:rsidR="00D10910">
        <w:rPr>
          <w:rStyle w:val="FootnoteReference"/>
          <w:rFonts w:asciiTheme="majorBidi" w:hAnsiTheme="majorBidi" w:cstheme="majorBidi"/>
          <w:sz w:val="24"/>
          <w:szCs w:val="24"/>
        </w:rPr>
        <w:footnoteReference w:id="9"/>
      </w:r>
      <w:r w:rsidRPr="00F433B2">
        <w:rPr>
          <w:rFonts w:asciiTheme="majorBidi" w:hAnsiTheme="majorBidi" w:cstheme="majorBidi"/>
          <w:sz w:val="24"/>
          <w:szCs w:val="24"/>
        </w:rPr>
        <w:t xml:space="preserve">. In the context of implementing this law, the Spanish Council of Ministers adopted on November 15, 2022, a National Strategy for the Elimination of Violence against Children and Adolescents. This strategy aims to establish the </w:t>
      </w:r>
      <w:r w:rsidRPr="00F433B2">
        <w:rPr>
          <w:rFonts w:asciiTheme="majorBidi" w:hAnsiTheme="majorBidi" w:cstheme="majorBidi"/>
          <w:sz w:val="24"/>
          <w:szCs w:val="24"/>
        </w:rPr>
        <w:lastRenderedPageBreak/>
        <w:t>foundations for cooperation between the various Spanish authorities to prevent all forms of violence against children and adolescents, which reflects Spain’s commitment to its obligations under Article 19 of the Convention</w:t>
      </w:r>
      <w:r w:rsidR="00D10910">
        <w:rPr>
          <w:rStyle w:val="FootnoteReference"/>
          <w:rFonts w:asciiTheme="majorBidi" w:hAnsiTheme="majorBidi" w:cstheme="majorBidi"/>
          <w:sz w:val="24"/>
          <w:szCs w:val="24"/>
        </w:rPr>
        <w:footnoteReference w:id="10"/>
      </w:r>
      <w:r w:rsidRPr="00F433B2">
        <w:rPr>
          <w:rFonts w:asciiTheme="majorBidi" w:hAnsiTheme="majorBidi" w:cstheme="majorBidi"/>
          <w:sz w:val="24"/>
          <w:szCs w:val="24"/>
        </w:rPr>
        <w:t>.</w:t>
      </w:r>
    </w:p>
    <w:p w14:paraId="6D3C0F0F" w14:textId="2B3F1D64" w:rsidR="00F433B2" w:rsidRDefault="00F433B2" w:rsidP="007D322D">
      <w:pPr>
        <w:jc w:val="both"/>
        <w:rPr>
          <w:rFonts w:asciiTheme="majorBidi" w:hAnsiTheme="majorBidi" w:cstheme="majorBidi"/>
          <w:sz w:val="24"/>
          <w:szCs w:val="24"/>
        </w:rPr>
      </w:pPr>
      <w:r w:rsidRPr="00F433B2">
        <w:rPr>
          <w:rFonts w:asciiTheme="majorBidi" w:hAnsiTheme="majorBidi" w:cstheme="majorBidi"/>
          <w:sz w:val="24"/>
          <w:szCs w:val="24"/>
        </w:rPr>
        <w:t>Despite these efforts, which Maat appreciates, Spain allows children under the age of 18 to watch bullfights, and sometimes even participate in these shows held in public squares. Most controversial is the decision of the autonomous Balearic Islands, which agreed in October 2024 to allow children to attend such shows, after it had been banned in the region. The justification for this decision was that bullfighting is part of the Spanish cultural heritage and it is important to involve children in this tradition. However, reports seen by Maat indicate that participating in or even watching such shows can have serious effects on children’s psychological health</w:t>
      </w:r>
      <w:r w:rsidR="00D10910">
        <w:rPr>
          <w:rStyle w:val="FootnoteReference"/>
          <w:rFonts w:asciiTheme="majorBidi" w:hAnsiTheme="majorBidi" w:cstheme="majorBidi"/>
          <w:sz w:val="24"/>
          <w:szCs w:val="24"/>
        </w:rPr>
        <w:footnoteReference w:id="11"/>
      </w:r>
      <w:r w:rsidRPr="00F433B2">
        <w:rPr>
          <w:rFonts w:asciiTheme="majorBidi" w:hAnsiTheme="majorBidi" w:cstheme="majorBidi"/>
          <w:sz w:val="24"/>
          <w:szCs w:val="24"/>
        </w:rPr>
        <w:t>. It also hinders the proper implementation of Article 19 of the Convention.</w:t>
      </w:r>
    </w:p>
    <w:p w14:paraId="7873C4A6" w14:textId="471DA30E" w:rsidR="00F433B2" w:rsidRPr="00F433B2" w:rsidRDefault="00F433B2" w:rsidP="007D322D">
      <w:pPr>
        <w:jc w:val="both"/>
        <w:rPr>
          <w:rFonts w:asciiTheme="majorBidi" w:hAnsiTheme="majorBidi" w:cstheme="majorBidi"/>
          <w:b/>
          <w:bCs/>
          <w:color w:val="ED0000"/>
          <w:sz w:val="28"/>
          <w:szCs w:val="28"/>
        </w:rPr>
      </w:pPr>
      <w:r w:rsidRPr="00F433B2">
        <w:rPr>
          <w:rFonts w:asciiTheme="majorBidi" w:hAnsiTheme="majorBidi" w:cstheme="majorBidi"/>
          <w:b/>
          <w:bCs/>
          <w:color w:val="ED0000"/>
          <w:sz w:val="28"/>
          <w:szCs w:val="28"/>
        </w:rPr>
        <w:t>Children with disabilities (Article 23)</w:t>
      </w:r>
    </w:p>
    <w:p w14:paraId="0C4C175C" w14:textId="1C8F2B74" w:rsidR="00F433B2" w:rsidRPr="00F433B2" w:rsidRDefault="00F433B2" w:rsidP="007D322D">
      <w:pPr>
        <w:jc w:val="both"/>
        <w:rPr>
          <w:rFonts w:asciiTheme="majorBidi" w:hAnsiTheme="majorBidi" w:cstheme="majorBidi"/>
          <w:sz w:val="24"/>
          <w:szCs w:val="24"/>
        </w:rPr>
      </w:pPr>
      <w:r w:rsidRPr="00F433B2">
        <w:rPr>
          <w:rFonts w:asciiTheme="majorBidi" w:hAnsiTheme="majorBidi" w:cstheme="majorBidi"/>
          <w:sz w:val="24"/>
          <w:szCs w:val="24"/>
        </w:rPr>
        <w:t>Protecting the rights of children with disabilities in Spain is an essential part of the government’s commitment to ensuring equality and inclusiveness. Spain ratified the Convention on the Rights of Persons with Disabilities in December 2007</w:t>
      </w:r>
      <w:r w:rsidR="00D10910">
        <w:rPr>
          <w:rStyle w:val="FootnoteReference"/>
          <w:rFonts w:asciiTheme="majorBidi" w:hAnsiTheme="majorBidi" w:cstheme="majorBidi"/>
          <w:sz w:val="24"/>
          <w:szCs w:val="24"/>
        </w:rPr>
        <w:footnoteReference w:id="12"/>
      </w:r>
      <w:r w:rsidRPr="00F433B2">
        <w:rPr>
          <w:rFonts w:asciiTheme="majorBidi" w:hAnsiTheme="majorBidi" w:cstheme="majorBidi"/>
          <w:sz w:val="24"/>
          <w:szCs w:val="24"/>
        </w:rPr>
        <w:t>, which aims to promote and protect the rights of children with disabilities and ensure that they enjoy all human rights and fundamental freedoms on an equal basis with others. The Spanish government works to provide an appropriate educational, health and social environment for children with disabilities, through policies and programs aimed at their full integration into society. This is also part of the implementation of Article 23 of the Convention.</w:t>
      </w:r>
    </w:p>
    <w:p w14:paraId="5E28CC0F" w14:textId="2606B8C3" w:rsidR="00F433B2" w:rsidRPr="00F433B2" w:rsidRDefault="00F433B2" w:rsidP="007D322D">
      <w:pPr>
        <w:jc w:val="both"/>
        <w:rPr>
          <w:rFonts w:asciiTheme="majorBidi" w:hAnsiTheme="majorBidi" w:cstheme="majorBidi"/>
          <w:sz w:val="24"/>
          <w:szCs w:val="24"/>
        </w:rPr>
      </w:pPr>
      <w:r w:rsidRPr="00F433B2">
        <w:rPr>
          <w:rFonts w:asciiTheme="majorBidi" w:hAnsiTheme="majorBidi" w:cstheme="majorBidi"/>
          <w:sz w:val="24"/>
          <w:szCs w:val="24"/>
        </w:rPr>
        <w:t xml:space="preserve">In confirmation of this, on 17 February 2024, the reform of Article 49 of the Spanish Constitution on the rights of persons with disabilities entered into force. This amendment represents a shift from a narrow concept of disability based on pathological aspects to a comprehensive vision that integrates social and human rights. The reform establishes the principle of universal access, and emphasizes the right to participation, with particular attention to the protection of persons with disabilities, especially women and minors, taking into account their special needs. </w:t>
      </w:r>
      <w:r>
        <w:rPr>
          <w:rFonts w:asciiTheme="majorBidi" w:hAnsiTheme="majorBidi" w:cstheme="majorBidi"/>
          <w:sz w:val="24"/>
          <w:szCs w:val="24"/>
        </w:rPr>
        <w:t>Maat</w:t>
      </w:r>
      <w:r w:rsidRPr="00F433B2">
        <w:rPr>
          <w:rFonts w:asciiTheme="majorBidi" w:hAnsiTheme="majorBidi" w:cstheme="majorBidi"/>
          <w:sz w:val="24"/>
          <w:szCs w:val="24"/>
        </w:rPr>
        <w:t xml:space="preserve"> notes that this reform clearly integrates the fundamental principles of the Convention on the Rights of Persons with Disabilities into the Spanish constitutional text</w:t>
      </w:r>
      <w:r w:rsidR="00D10910">
        <w:rPr>
          <w:rStyle w:val="FootnoteReference"/>
          <w:rFonts w:asciiTheme="majorBidi" w:hAnsiTheme="majorBidi" w:cstheme="majorBidi"/>
          <w:sz w:val="24"/>
          <w:szCs w:val="24"/>
        </w:rPr>
        <w:footnoteReference w:id="13"/>
      </w:r>
      <w:r w:rsidRPr="00F433B2">
        <w:rPr>
          <w:rFonts w:asciiTheme="majorBidi" w:hAnsiTheme="majorBidi" w:cstheme="majorBidi"/>
          <w:sz w:val="24"/>
          <w:szCs w:val="24"/>
        </w:rPr>
        <w:t>.</w:t>
      </w:r>
    </w:p>
    <w:p w14:paraId="0AA5EF97" w14:textId="498EAD84" w:rsidR="00F433B2" w:rsidRDefault="00F433B2" w:rsidP="007D322D">
      <w:pPr>
        <w:jc w:val="both"/>
        <w:rPr>
          <w:rFonts w:asciiTheme="majorBidi" w:hAnsiTheme="majorBidi" w:cstheme="majorBidi"/>
          <w:sz w:val="24"/>
          <w:szCs w:val="24"/>
        </w:rPr>
      </w:pPr>
      <w:r w:rsidRPr="00F433B2">
        <w:rPr>
          <w:rFonts w:asciiTheme="majorBidi" w:hAnsiTheme="majorBidi" w:cstheme="majorBidi"/>
          <w:sz w:val="24"/>
          <w:szCs w:val="24"/>
        </w:rPr>
        <w:lastRenderedPageBreak/>
        <w:t>As for financial assistance for children, the total annual allowance in 2023 for each child under the age of 18, who does not have a disability or has a disability of less than 33%, is 588 euros. If the family income is below a certain threshold, the allowance rises to 638 euros per year for each child. For dependent children with a disability rate of 33% or more, a financial allowance of 1,000 euros per year is allocated. Minors with a disability rate of 65% or more are granted an annual allowance of 5,439 euros</w:t>
      </w:r>
      <w:r w:rsidR="00D10910">
        <w:rPr>
          <w:rStyle w:val="FootnoteReference"/>
          <w:rFonts w:asciiTheme="majorBidi" w:hAnsiTheme="majorBidi" w:cstheme="majorBidi"/>
          <w:sz w:val="24"/>
          <w:szCs w:val="24"/>
        </w:rPr>
        <w:footnoteReference w:id="14"/>
      </w:r>
      <w:r w:rsidRPr="00F433B2">
        <w:rPr>
          <w:rFonts w:asciiTheme="majorBidi" w:hAnsiTheme="majorBidi" w:cstheme="majorBidi"/>
          <w:sz w:val="24"/>
          <w:szCs w:val="24"/>
        </w:rPr>
        <w:t>.</w:t>
      </w:r>
    </w:p>
    <w:p w14:paraId="43F8E939" w14:textId="19526880" w:rsidR="00F433B2" w:rsidRPr="00F433B2" w:rsidRDefault="00F433B2" w:rsidP="007D322D">
      <w:pPr>
        <w:jc w:val="both"/>
        <w:rPr>
          <w:rFonts w:asciiTheme="majorBidi" w:hAnsiTheme="majorBidi" w:cstheme="majorBidi"/>
          <w:b/>
          <w:bCs/>
          <w:color w:val="ED0000"/>
          <w:sz w:val="28"/>
          <w:szCs w:val="28"/>
        </w:rPr>
      </w:pPr>
      <w:r w:rsidRPr="00F433B2">
        <w:rPr>
          <w:rFonts w:asciiTheme="majorBidi" w:hAnsiTheme="majorBidi" w:cstheme="majorBidi"/>
          <w:b/>
          <w:bCs/>
          <w:color w:val="ED0000"/>
          <w:sz w:val="28"/>
          <w:szCs w:val="28"/>
        </w:rPr>
        <w:t>Children's right to education (Article 28)</w:t>
      </w:r>
    </w:p>
    <w:p w14:paraId="3F18087F" w14:textId="59D446FC" w:rsidR="00F433B2" w:rsidRPr="00F433B2" w:rsidRDefault="00F433B2" w:rsidP="007D322D">
      <w:pPr>
        <w:jc w:val="both"/>
        <w:rPr>
          <w:rFonts w:asciiTheme="majorBidi" w:hAnsiTheme="majorBidi" w:cstheme="majorBidi"/>
          <w:sz w:val="24"/>
          <w:szCs w:val="24"/>
        </w:rPr>
      </w:pPr>
      <w:r w:rsidRPr="00F433B2">
        <w:rPr>
          <w:rFonts w:asciiTheme="majorBidi" w:hAnsiTheme="majorBidi" w:cstheme="majorBidi"/>
          <w:sz w:val="24"/>
          <w:szCs w:val="24"/>
        </w:rPr>
        <w:t>Education in Spain is one of the most advanced education systems in Europe, free and accessible to all, and compulsory for all children between the ages of 6 and 16 without discrimination</w:t>
      </w:r>
      <w:r w:rsidR="00D10910">
        <w:rPr>
          <w:rStyle w:val="FootnoteReference"/>
          <w:rFonts w:asciiTheme="majorBidi" w:hAnsiTheme="majorBidi" w:cstheme="majorBidi"/>
          <w:sz w:val="24"/>
          <w:szCs w:val="24"/>
        </w:rPr>
        <w:footnoteReference w:id="15"/>
      </w:r>
      <w:r w:rsidRPr="00F433B2">
        <w:rPr>
          <w:rFonts w:asciiTheme="majorBidi" w:hAnsiTheme="majorBidi" w:cstheme="majorBidi"/>
          <w:sz w:val="24"/>
          <w:szCs w:val="24"/>
        </w:rPr>
        <w:t>. This is in line with the provisions of Article 28 of the Convention and reinforces the rights of children to education, whether they are citizens or foreigners.</w:t>
      </w:r>
    </w:p>
    <w:p w14:paraId="59F1EE5D" w14:textId="4C32BE2D" w:rsidR="00F433B2" w:rsidRDefault="00F433B2" w:rsidP="007D322D">
      <w:pPr>
        <w:jc w:val="both"/>
        <w:rPr>
          <w:rFonts w:asciiTheme="majorBidi" w:hAnsiTheme="majorBidi" w:cstheme="majorBidi"/>
          <w:sz w:val="24"/>
          <w:szCs w:val="24"/>
        </w:rPr>
      </w:pPr>
      <w:r w:rsidRPr="00F433B2">
        <w:rPr>
          <w:rFonts w:asciiTheme="majorBidi" w:hAnsiTheme="majorBidi" w:cstheme="majorBidi"/>
          <w:sz w:val="24"/>
          <w:szCs w:val="24"/>
        </w:rPr>
        <w:t>In contrast, Maat points out that unaccompanied or undocumented migrant children face significant challenges while waiting for the results of their age determination by the immigration authorities in Spain and its autonomous communities, such as the Canary Islands. This period often lasts for several months, and there are reports of serious errors in these tests, sometimes due to racist motives. During this period, children are denied their right to enroll in schools or even to obtain temporary work opportunities</w:t>
      </w:r>
      <w:r w:rsidR="00D10910">
        <w:rPr>
          <w:rStyle w:val="FootnoteReference"/>
          <w:rFonts w:asciiTheme="majorBidi" w:hAnsiTheme="majorBidi" w:cstheme="majorBidi"/>
          <w:sz w:val="24"/>
          <w:szCs w:val="24"/>
        </w:rPr>
        <w:footnoteReference w:id="16"/>
      </w:r>
      <w:r w:rsidRPr="00F433B2">
        <w:rPr>
          <w:rFonts w:asciiTheme="majorBidi" w:hAnsiTheme="majorBidi" w:cstheme="majorBidi"/>
          <w:sz w:val="24"/>
          <w:szCs w:val="24"/>
        </w:rPr>
        <w:t>, which constitutes a flagrant violation of their right to education as stipulated in Article 28 of the Convention on the Rights of the Child.</w:t>
      </w:r>
    </w:p>
    <w:p w14:paraId="0C3D0A75" w14:textId="77777777" w:rsidR="00F433B2" w:rsidRPr="00F433B2" w:rsidRDefault="00F433B2" w:rsidP="007D322D">
      <w:pPr>
        <w:jc w:val="both"/>
        <w:rPr>
          <w:rFonts w:asciiTheme="majorBidi" w:hAnsiTheme="majorBidi" w:cstheme="majorBidi"/>
          <w:b/>
          <w:bCs/>
          <w:color w:val="ED0000"/>
          <w:sz w:val="28"/>
          <w:szCs w:val="28"/>
        </w:rPr>
      </w:pPr>
      <w:r w:rsidRPr="00F433B2">
        <w:rPr>
          <w:rFonts w:asciiTheme="majorBidi" w:hAnsiTheme="majorBidi" w:cstheme="majorBidi"/>
          <w:b/>
          <w:bCs/>
          <w:color w:val="ED0000"/>
          <w:sz w:val="28"/>
          <w:szCs w:val="28"/>
        </w:rPr>
        <w:t>Children in detention (Article 37)</w:t>
      </w:r>
    </w:p>
    <w:p w14:paraId="3B4417F0" w14:textId="3B0E4FF0" w:rsidR="00F433B2" w:rsidRPr="00F433B2" w:rsidRDefault="00F433B2" w:rsidP="007D322D">
      <w:pPr>
        <w:jc w:val="both"/>
        <w:rPr>
          <w:rFonts w:asciiTheme="majorBidi" w:hAnsiTheme="majorBidi" w:cstheme="majorBidi"/>
          <w:sz w:val="24"/>
          <w:szCs w:val="24"/>
        </w:rPr>
      </w:pPr>
      <w:r w:rsidRPr="00F433B2">
        <w:rPr>
          <w:rFonts w:asciiTheme="majorBidi" w:hAnsiTheme="majorBidi" w:cstheme="majorBidi"/>
          <w:sz w:val="24"/>
          <w:szCs w:val="24"/>
        </w:rPr>
        <w:t>Spain is an attractive destination for migrants from several regions, including Morocco due to its geographical proximity, and Latin American countries due to the common Spanish language. The Canary Islands (a group of Spanish islands in the Atlantic Ocean) are the subject of ongoing investigations into abuses and ill-treatment of migrants, including children, in their reception centres such as Gran Canaria and Tenerife. According to testimonies from some children, they were sexually assaulted by adults staying with them in a detention centre in Las Palmas. Children also reported being beaten for no reason by the authorities of a centre in Tenerife. The children’s testimonies also confirm that the authorities of these centres cover up the abuses committed against them without taking the necessary legal action</w:t>
      </w:r>
      <w:r w:rsidR="00D10910">
        <w:rPr>
          <w:rStyle w:val="FootnoteReference"/>
          <w:rFonts w:asciiTheme="majorBidi" w:hAnsiTheme="majorBidi" w:cstheme="majorBidi"/>
          <w:sz w:val="24"/>
          <w:szCs w:val="24"/>
        </w:rPr>
        <w:footnoteReference w:id="17"/>
      </w:r>
      <w:r w:rsidRPr="00F433B2">
        <w:rPr>
          <w:rFonts w:asciiTheme="majorBidi" w:hAnsiTheme="majorBidi" w:cstheme="majorBidi"/>
          <w:sz w:val="24"/>
          <w:szCs w:val="24"/>
        </w:rPr>
        <w:t>.</w:t>
      </w:r>
    </w:p>
    <w:p w14:paraId="3E57200A" w14:textId="3D3D5EAD" w:rsidR="00F433B2" w:rsidRPr="00F433B2" w:rsidRDefault="00F433B2" w:rsidP="007D322D">
      <w:pPr>
        <w:jc w:val="both"/>
        <w:rPr>
          <w:rFonts w:asciiTheme="majorBidi" w:hAnsiTheme="majorBidi" w:cstheme="majorBidi"/>
          <w:sz w:val="24"/>
          <w:szCs w:val="24"/>
        </w:rPr>
      </w:pPr>
      <w:r w:rsidRPr="00F433B2">
        <w:rPr>
          <w:rFonts w:asciiTheme="majorBidi" w:hAnsiTheme="majorBidi" w:cstheme="majorBidi"/>
          <w:sz w:val="24"/>
          <w:szCs w:val="24"/>
        </w:rPr>
        <w:lastRenderedPageBreak/>
        <w:t>Currently, the Canary Islands host more than 5,600 migrant children, despite their capacity not exceeding 2,000. In response to this situation, the central government in Madrid allocated 50 million euros in August 2024 to support the Canary Islands in managing these increasing numbers</w:t>
      </w:r>
      <w:r w:rsidR="00D10910">
        <w:rPr>
          <w:rStyle w:val="FootnoteReference"/>
          <w:rFonts w:asciiTheme="majorBidi" w:hAnsiTheme="majorBidi" w:cstheme="majorBidi"/>
          <w:sz w:val="24"/>
          <w:szCs w:val="24"/>
        </w:rPr>
        <w:footnoteReference w:id="18"/>
      </w:r>
      <w:r w:rsidRPr="00F433B2">
        <w:rPr>
          <w:rFonts w:asciiTheme="majorBidi" w:hAnsiTheme="majorBidi" w:cstheme="majorBidi"/>
          <w:sz w:val="24"/>
          <w:szCs w:val="24"/>
        </w:rPr>
        <w:t>.</w:t>
      </w:r>
    </w:p>
    <w:p w14:paraId="3D69BF53" w14:textId="00CC2C3B" w:rsidR="00D10910" w:rsidRDefault="00F433B2" w:rsidP="007D322D">
      <w:pPr>
        <w:jc w:val="both"/>
        <w:rPr>
          <w:rFonts w:asciiTheme="majorBidi" w:hAnsiTheme="majorBidi" w:cstheme="majorBidi"/>
          <w:sz w:val="24"/>
          <w:szCs w:val="24"/>
        </w:rPr>
      </w:pPr>
      <w:r w:rsidRPr="00F433B2">
        <w:rPr>
          <w:rFonts w:asciiTheme="majorBidi" w:hAnsiTheme="majorBidi" w:cstheme="majorBidi"/>
          <w:sz w:val="24"/>
          <w:szCs w:val="24"/>
        </w:rPr>
        <w:t xml:space="preserve">In December 2023, testimonies were received from minors who reported that they had been subjected to physical violence and harassment by staff at a detention </w:t>
      </w:r>
      <w:proofErr w:type="spellStart"/>
      <w:r w:rsidRPr="00F433B2">
        <w:rPr>
          <w:rFonts w:asciiTheme="majorBidi" w:hAnsiTheme="majorBidi" w:cstheme="majorBidi"/>
          <w:sz w:val="24"/>
          <w:szCs w:val="24"/>
        </w:rPr>
        <w:t>centre</w:t>
      </w:r>
      <w:proofErr w:type="spellEnd"/>
      <w:r w:rsidRPr="00F433B2">
        <w:rPr>
          <w:rFonts w:asciiTheme="majorBidi" w:hAnsiTheme="majorBidi" w:cstheme="majorBidi"/>
          <w:sz w:val="24"/>
          <w:szCs w:val="24"/>
        </w:rPr>
        <w:t xml:space="preserve"> in Gran Canaria, run by the Siglo Rapid Response Foundation. </w:t>
      </w:r>
      <w:r w:rsidR="007D322D" w:rsidRPr="007D322D">
        <w:rPr>
          <w:rFonts w:asciiTheme="majorBidi" w:hAnsiTheme="majorBidi" w:cstheme="majorBidi"/>
          <w:sz w:val="24"/>
          <w:szCs w:val="24"/>
        </w:rPr>
        <w:t xml:space="preserve">One child reported that he was severely beaten by the director of the Tavera Center in November 2023, after a staff member grabbed him to restrain him. </w:t>
      </w:r>
      <w:r w:rsidRPr="00F433B2">
        <w:rPr>
          <w:rFonts w:asciiTheme="majorBidi" w:hAnsiTheme="majorBidi" w:cstheme="majorBidi"/>
          <w:sz w:val="24"/>
          <w:szCs w:val="24"/>
        </w:rPr>
        <w:t>After hearing the child's screams, some of the detained children broke down the door of the room to rescue their colleague, but the next day the administration threatened them not to disclose the incident to anyone. These events led 12 children to leave the center and wander the streets. Other testimonies reported that children who sought help at the San Cristóbal de las Palmas police station were met with neglect and indifference. As a result, the children filed a direct complaint with the court with the support of a legal aid organization. Maat notes that the Siglo Foundation is involved in cases of embezzlement of public funds and forgery, with several of its directors being investigated by the Spanish Public Prosecutor's Office</w:t>
      </w:r>
      <w:r w:rsidR="00D10910">
        <w:rPr>
          <w:rStyle w:val="FootnoteReference"/>
          <w:rFonts w:asciiTheme="majorBidi" w:hAnsiTheme="majorBidi" w:cstheme="majorBidi"/>
          <w:sz w:val="24"/>
          <w:szCs w:val="24"/>
        </w:rPr>
        <w:footnoteReference w:id="19"/>
      </w:r>
      <w:r w:rsidRPr="00F433B2">
        <w:rPr>
          <w:rFonts w:asciiTheme="majorBidi" w:hAnsiTheme="majorBidi" w:cstheme="majorBidi"/>
          <w:sz w:val="24"/>
          <w:szCs w:val="24"/>
        </w:rPr>
        <w:t>.</w:t>
      </w:r>
    </w:p>
    <w:p w14:paraId="62100E89" w14:textId="1CDDB742" w:rsidR="00F433B2" w:rsidRDefault="00D10910" w:rsidP="007D322D">
      <w:pPr>
        <w:jc w:val="both"/>
        <w:rPr>
          <w:rFonts w:asciiTheme="majorBidi" w:hAnsiTheme="majorBidi" w:cstheme="majorBidi"/>
          <w:sz w:val="24"/>
          <w:szCs w:val="24"/>
        </w:rPr>
      </w:pPr>
      <w:r>
        <w:rPr>
          <w:rFonts w:asciiTheme="majorBidi" w:hAnsiTheme="majorBidi" w:cstheme="majorBidi"/>
          <w:sz w:val="24"/>
          <w:szCs w:val="24"/>
        </w:rPr>
        <w:t>T</w:t>
      </w:r>
      <w:r w:rsidR="00F433B2" w:rsidRPr="00F433B2">
        <w:rPr>
          <w:rFonts w:asciiTheme="majorBidi" w:hAnsiTheme="majorBidi" w:cstheme="majorBidi"/>
          <w:sz w:val="24"/>
          <w:szCs w:val="24"/>
        </w:rPr>
        <w:t>hese serious practices hinder the implementation of the provisions of Article 37 of the Convention, and Maat notes the weakness and limited measures taken by the Spanish authorities to address these violations.</w:t>
      </w:r>
    </w:p>
    <w:p w14:paraId="5A435595" w14:textId="12303527" w:rsidR="007D322D" w:rsidRPr="007D322D" w:rsidRDefault="007D322D" w:rsidP="007D322D">
      <w:pPr>
        <w:jc w:val="both"/>
        <w:rPr>
          <w:rFonts w:asciiTheme="majorBidi" w:hAnsiTheme="majorBidi" w:cstheme="majorBidi"/>
          <w:b/>
          <w:bCs/>
          <w:color w:val="ED0000"/>
          <w:sz w:val="28"/>
          <w:szCs w:val="28"/>
        </w:rPr>
      </w:pPr>
      <w:r w:rsidRPr="007D322D">
        <w:rPr>
          <w:rFonts w:asciiTheme="majorBidi" w:hAnsiTheme="majorBidi" w:cstheme="majorBidi"/>
          <w:b/>
          <w:bCs/>
          <w:color w:val="ED0000"/>
          <w:sz w:val="28"/>
          <w:szCs w:val="28"/>
        </w:rPr>
        <w:t>Recommendations</w:t>
      </w:r>
    </w:p>
    <w:p w14:paraId="643715B6" w14:textId="1A0058D1" w:rsidR="007D322D" w:rsidRPr="007D322D" w:rsidRDefault="007D322D" w:rsidP="007D322D">
      <w:pPr>
        <w:jc w:val="both"/>
        <w:rPr>
          <w:rFonts w:asciiTheme="majorBidi" w:hAnsiTheme="majorBidi" w:cstheme="majorBidi"/>
          <w:b/>
          <w:bCs/>
          <w:sz w:val="24"/>
          <w:szCs w:val="24"/>
        </w:rPr>
      </w:pPr>
      <w:r w:rsidRPr="007D322D">
        <w:rPr>
          <w:rFonts w:asciiTheme="majorBidi" w:hAnsiTheme="majorBidi" w:cstheme="majorBidi"/>
          <w:b/>
          <w:bCs/>
          <w:sz w:val="24"/>
          <w:szCs w:val="24"/>
        </w:rPr>
        <w:t>Based on the information we have obtained in the report, Maat for Peace, Development and Human Rights proposes the following recommendations to the Spanish authorities to ensure the optimal implementation of the provisions of the Convention on the Rights of the Child:</w:t>
      </w:r>
    </w:p>
    <w:p w14:paraId="3048C621" w14:textId="57AA77DB" w:rsidR="007D322D" w:rsidRPr="007D322D" w:rsidRDefault="007D322D" w:rsidP="007D322D">
      <w:pPr>
        <w:pStyle w:val="ListParagraph"/>
        <w:numPr>
          <w:ilvl w:val="0"/>
          <w:numId w:val="40"/>
        </w:numPr>
        <w:jc w:val="both"/>
        <w:rPr>
          <w:rFonts w:asciiTheme="majorBidi" w:hAnsiTheme="majorBidi" w:cstheme="majorBidi"/>
          <w:sz w:val="24"/>
          <w:szCs w:val="24"/>
        </w:rPr>
      </w:pPr>
      <w:r w:rsidRPr="007D322D">
        <w:rPr>
          <w:rFonts w:asciiTheme="majorBidi" w:hAnsiTheme="majorBidi" w:cstheme="majorBidi"/>
          <w:sz w:val="24"/>
          <w:szCs w:val="24"/>
        </w:rPr>
        <w:t>Submit periodic reports to the Committee on the Rights of the Child on time and without delay.</w:t>
      </w:r>
    </w:p>
    <w:p w14:paraId="72E59FC0" w14:textId="6A1119F8" w:rsidR="007D322D" w:rsidRPr="007D322D" w:rsidRDefault="007D322D" w:rsidP="007D322D">
      <w:pPr>
        <w:pStyle w:val="ListParagraph"/>
        <w:numPr>
          <w:ilvl w:val="0"/>
          <w:numId w:val="40"/>
        </w:numPr>
        <w:jc w:val="both"/>
        <w:rPr>
          <w:rFonts w:asciiTheme="majorBidi" w:hAnsiTheme="majorBidi" w:cstheme="majorBidi"/>
          <w:sz w:val="24"/>
          <w:szCs w:val="24"/>
        </w:rPr>
      </w:pPr>
      <w:r w:rsidRPr="007D322D">
        <w:rPr>
          <w:rFonts w:asciiTheme="majorBidi" w:hAnsiTheme="majorBidi" w:cstheme="majorBidi"/>
          <w:sz w:val="24"/>
          <w:szCs w:val="24"/>
        </w:rPr>
        <w:t>Ensure equal access to education between Spanish-speaking children and their peers in Catalonia by implementing the judicial rulings regarding the allocation of 25% of teaching in Spanish.</w:t>
      </w:r>
    </w:p>
    <w:p w14:paraId="6E2E78B1" w14:textId="66A437D0" w:rsidR="007D322D" w:rsidRPr="007D322D" w:rsidRDefault="007D322D" w:rsidP="007D322D">
      <w:pPr>
        <w:pStyle w:val="ListParagraph"/>
        <w:numPr>
          <w:ilvl w:val="0"/>
          <w:numId w:val="40"/>
        </w:numPr>
        <w:jc w:val="both"/>
        <w:rPr>
          <w:rFonts w:asciiTheme="majorBidi" w:hAnsiTheme="majorBidi" w:cstheme="majorBidi"/>
          <w:sz w:val="24"/>
          <w:szCs w:val="24"/>
        </w:rPr>
      </w:pPr>
      <w:r w:rsidRPr="007D322D">
        <w:rPr>
          <w:rFonts w:asciiTheme="majorBidi" w:hAnsiTheme="majorBidi" w:cstheme="majorBidi"/>
          <w:sz w:val="24"/>
          <w:szCs w:val="24"/>
        </w:rPr>
        <w:lastRenderedPageBreak/>
        <w:t>Review policies and practices related to determining the ages of migrant children, to ensure their accuracy and freedom from racial bias or any errors that affect children's rights.</w:t>
      </w:r>
    </w:p>
    <w:p w14:paraId="07D90688" w14:textId="086A43B2" w:rsidR="007D322D" w:rsidRPr="007D322D" w:rsidRDefault="007D322D" w:rsidP="007D322D">
      <w:pPr>
        <w:pStyle w:val="ListParagraph"/>
        <w:numPr>
          <w:ilvl w:val="0"/>
          <w:numId w:val="40"/>
        </w:numPr>
        <w:jc w:val="both"/>
        <w:rPr>
          <w:rFonts w:asciiTheme="majorBidi" w:hAnsiTheme="majorBidi" w:cstheme="majorBidi"/>
          <w:sz w:val="24"/>
          <w:szCs w:val="24"/>
        </w:rPr>
      </w:pPr>
      <w:r w:rsidRPr="007D322D">
        <w:rPr>
          <w:rFonts w:asciiTheme="majorBidi" w:hAnsiTheme="majorBidi" w:cstheme="majorBidi"/>
          <w:sz w:val="24"/>
          <w:szCs w:val="24"/>
        </w:rPr>
        <w:t>Tighten control over reception centers for migrant children and care institutions to prevent physical violence and sexual harassment and ensure accountability for those responsible for violations.</w:t>
      </w:r>
    </w:p>
    <w:p w14:paraId="2BDC35FF" w14:textId="62A9D385" w:rsidR="007D322D" w:rsidRPr="007D322D" w:rsidRDefault="007D322D" w:rsidP="007D322D">
      <w:pPr>
        <w:pStyle w:val="ListParagraph"/>
        <w:numPr>
          <w:ilvl w:val="0"/>
          <w:numId w:val="40"/>
        </w:numPr>
        <w:jc w:val="both"/>
        <w:rPr>
          <w:rFonts w:asciiTheme="majorBidi" w:hAnsiTheme="majorBidi" w:cstheme="majorBidi"/>
          <w:sz w:val="24"/>
          <w:szCs w:val="24"/>
        </w:rPr>
      </w:pPr>
      <w:r w:rsidRPr="007D322D">
        <w:rPr>
          <w:rFonts w:asciiTheme="majorBidi" w:hAnsiTheme="majorBidi" w:cstheme="majorBidi"/>
          <w:sz w:val="24"/>
          <w:szCs w:val="24"/>
        </w:rPr>
        <w:t>Launch comprehensive awareness-raising programs targeting communities and institutions to protect children from violence in all its forms.</w:t>
      </w:r>
    </w:p>
    <w:p w14:paraId="3A104005" w14:textId="6F316752" w:rsidR="007D322D" w:rsidRPr="007D322D" w:rsidRDefault="007D322D" w:rsidP="007D322D">
      <w:pPr>
        <w:pStyle w:val="ListParagraph"/>
        <w:numPr>
          <w:ilvl w:val="0"/>
          <w:numId w:val="40"/>
        </w:numPr>
        <w:jc w:val="both"/>
        <w:rPr>
          <w:rFonts w:asciiTheme="majorBidi" w:hAnsiTheme="majorBidi" w:cstheme="majorBidi"/>
          <w:sz w:val="24"/>
          <w:szCs w:val="24"/>
        </w:rPr>
      </w:pPr>
      <w:r w:rsidRPr="007D322D">
        <w:rPr>
          <w:rFonts w:asciiTheme="majorBidi" w:hAnsiTheme="majorBidi" w:cstheme="majorBidi"/>
          <w:sz w:val="24"/>
          <w:szCs w:val="24"/>
        </w:rPr>
        <w:t>Establish specialized units to provide psychosocial support to children who have suffered violence or lost a parent as a result of domestic crimes. Increase awareness campaigns on the effects of domestic violence on children.</w:t>
      </w:r>
    </w:p>
    <w:p w14:paraId="46BB3723" w14:textId="65A4ACBA" w:rsidR="007D322D" w:rsidRPr="007D322D" w:rsidRDefault="007D322D" w:rsidP="007D322D">
      <w:pPr>
        <w:pStyle w:val="ListParagraph"/>
        <w:numPr>
          <w:ilvl w:val="0"/>
          <w:numId w:val="40"/>
        </w:numPr>
        <w:jc w:val="both"/>
        <w:rPr>
          <w:rFonts w:asciiTheme="majorBidi" w:hAnsiTheme="majorBidi" w:cstheme="majorBidi"/>
          <w:sz w:val="24"/>
          <w:szCs w:val="24"/>
        </w:rPr>
      </w:pPr>
      <w:r w:rsidRPr="007D322D">
        <w:rPr>
          <w:rFonts w:asciiTheme="majorBidi" w:hAnsiTheme="majorBidi" w:cstheme="majorBidi"/>
          <w:sz w:val="24"/>
          <w:szCs w:val="24"/>
        </w:rPr>
        <w:t>Expand the capacity of migrant child reception centres to avoid overcrowding and ensure a safe and appropriate environment to meet their needs.</w:t>
      </w:r>
    </w:p>
    <w:p w14:paraId="173F23BE" w14:textId="0205BD60" w:rsidR="007D322D" w:rsidRPr="007D322D" w:rsidRDefault="007D322D" w:rsidP="007D322D">
      <w:pPr>
        <w:pStyle w:val="ListParagraph"/>
        <w:numPr>
          <w:ilvl w:val="0"/>
          <w:numId w:val="40"/>
        </w:numPr>
        <w:jc w:val="both"/>
        <w:rPr>
          <w:rFonts w:asciiTheme="majorBidi" w:hAnsiTheme="majorBidi" w:cstheme="majorBidi"/>
          <w:sz w:val="24"/>
          <w:szCs w:val="24"/>
        </w:rPr>
      </w:pPr>
      <w:r w:rsidRPr="007D322D">
        <w:rPr>
          <w:rFonts w:asciiTheme="majorBidi" w:hAnsiTheme="majorBidi" w:cstheme="majorBidi"/>
          <w:sz w:val="24"/>
          <w:szCs w:val="24"/>
        </w:rPr>
        <w:t>Establish independent mechanisms to monitor conditions inside detention centres and ensure their compliance with international human rights standards.</w:t>
      </w:r>
    </w:p>
    <w:p w14:paraId="4098F882" w14:textId="77777777" w:rsidR="007D322D" w:rsidRDefault="007D322D" w:rsidP="007D322D">
      <w:pPr>
        <w:pStyle w:val="ListParagraph"/>
        <w:numPr>
          <w:ilvl w:val="0"/>
          <w:numId w:val="40"/>
        </w:numPr>
        <w:jc w:val="both"/>
        <w:rPr>
          <w:rFonts w:asciiTheme="majorBidi" w:hAnsiTheme="majorBidi" w:cstheme="majorBidi"/>
          <w:sz w:val="24"/>
          <w:szCs w:val="24"/>
        </w:rPr>
      </w:pPr>
      <w:r w:rsidRPr="007D322D">
        <w:rPr>
          <w:rFonts w:asciiTheme="majorBidi" w:hAnsiTheme="majorBidi" w:cstheme="majorBidi"/>
          <w:sz w:val="24"/>
          <w:szCs w:val="24"/>
        </w:rPr>
        <w:t>Simplify administrative procedures to enable migrant children to enroll in schools regardless of their official documentation status.</w:t>
      </w:r>
    </w:p>
    <w:p w14:paraId="3023FFDB" w14:textId="3B68DAA6" w:rsidR="007D322D" w:rsidRPr="007D322D" w:rsidRDefault="007D322D" w:rsidP="007D322D">
      <w:pPr>
        <w:pStyle w:val="ListParagraph"/>
        <w:numPr>
          <w:ilvl w:val="0"/>
          <w:numId w:val="40"/>
        </w:numPr>
        <w:jc w:val="both"/>
        <w:rPr>
          <w:rFonts w:asciiTheme="majorBidi" w:hAnsiTheme="majorBidi" w:cstheme="majorBidi"/>
          <w:sz w:val="24"/>
          <w:szCs w:val="24"/>
          <w:rtl/>
        </w:rPr>
      </w:pPr>
      <w:r w:rsidRPr="007D322D">
        <w:rPr>
          <w:rFonts w:asciiTheme="majorBidi" w:hAnsiTheme="majorBidi" w:cstheme="majorBidi"/>
          <w:sz w:val="24"/>
          <w:szCs w:val="24"/>
        </w:rPr>
        <w:t>Investigate violations that have occurred in centres such as Siglo and ensure that strict legal action is taken against any human rights violations, embezzlement or mismanagement.</w:t>
      </w:r>
    </w:p>
    <w:sectPr w:rsidR="007D322D" w:rsidRPr="007D322D" w:rsidSect="00786D2C">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F9779E" w14:textId="77777777" w:rsidR="00B6152E" w:rsidRDefault="00B6152E" w:rsidP="004F6D5A">
      <w:pPr>
        <w:spacing w:after="0" w:line="240" w:lineRule="auto"/>
      </w:pPr>
      <w:r>
        <w:separator/>
      </w:r>
    </w:p>
  </w:endnote>
  <w:endnote w:type="continuationSeparator" w:id="0">
    <w:p w14:paraId="4A957B19" w14:textId="77777777" w:rsidR="00B6152E" w:rsidRDefault="00B6152E" w:rsidP="004F6D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00"/>
    <w:family w:val="roman"/>
    <w:pitch w:val="variable"/>
    <w:sig w:usb0="00002003" w:usb1="80000000" w:usb2="00000008" w:usb3="00000000" w:csb0="00000041"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5444"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16"/>
      <w:gridCol w:w="567"/>
      <w:gridCol w:w="1276"/>
      <w:gridCol w:w="536"/>
      <w:gridCol w:w="1812"/>
      <w:gridCol w:w="412"/>
      <w:gridCol w:w="4272"/>
    </w:tblGrid>
    <w:tr w:rsidR="00646A53" w14:paraId="228E00F9" w14:textId="77777777" w:rsidTr="007A601B">
      <w:trPr>
        <w:jc w:val="center"/>
      </w:trPr>
      <w:tc>
        <w:tcPr>
          <w:tcW w:w="646" w:type="pct"/>
          <w:vMerge w:val="restart"/>
          <w:vAlign w:val="center"/>
        </w:tcPr>
        <w:p w14:paraId="289FA700" w14:textId="77777777" w:rsidR="00646A53" w:rsidRDefault="00646A53" w:rsidP="00646A53">
          <w:pPr>
            <w:spacing w:after="60"/>
            <w:jc w:val="center"/>
            <w:rPr>
              <w:noProof/>
              <w:rtl/>
            </w:rPr>
          </w:pPr>
          <w:r>
            <w:rPr>
              <w:rFonts w:hint="cs"/>
              <w:noProof/>
              <w:lang w:val="en-GB" w:eastAsia="en-GB"/>
            </w:rPr>
            <w:drawing>
              <wp:inline distT="0" distB="0" distL="0" distR="0" wp14:anchorId="6E1055C6" wp14:editId="03B771DD">
                <wp:extent cx="721378" cy="560173"/>
                <wp:effectExtent l="0" t="0" r="2540" b="0"/>
                <wp:docPr id="2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729535" cy="56650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354" w:type="pct"/>
          <w:gridSpan w:val="6"/>
        </w:tcPr>
        <w:p w14:paraId="0FD67016" w14:textId="77777777" w:rsidR="00646A53" w:rsidRDefault="00646A53" w:rsidP="00646A53">
          <w:pPr>
            <w:spacing w:after="60"/>
            <w:rPr>
              <w:rFonts w:ascii="Times New Roman" w:hAnsi="Times New Roman" w:cs="Times New Roman"/>
              <w:b/>
              <w:bCs/>
              <w:color w:val="000066"/>
              <w:sz w:val="20"/>
              <w:szCs w:val="20"/>
            </w:rPr>
          </w:pPr>
        </w:p>
        <w:p w14:paraId="3096C19A" w14:textId="77777777" w:rsidR="00646A53" w:rsidRPr="00EB74DC" w:rsidRDefault="00646A53" w:rsidP="00646A53">
          <w:pPr>
            <w:spacing w:after="60"/>
            <w:jc w:val="center"/>
            <w:rPr>
              <w:rFonts w:ascii="Times New Roman" w:hAnsi="Times New Roman" w:cs="Times New Roman"/>
              <w:b/>
              <w:bCs/>
              <w:color w:val="3333FF"/>
              <w:sz w:val="20"/>
              <w:szCs w:val="20"/>
            </w:rPr>
          </w:pPr>
          <w:r w:rsidRPr="00EB74DC">
            <w:rPr>
              <w:rFonts w:ascii="Times New Roman" w:hAnsi="Times New Roman" w:cs="Times New Roman"/>
              <w:b/>
              <w:bCs/>
              <w:color w:val="3333FF"/>
              <w:sz w:val="20"/>
              <w:szCs w:val="20"/>
            </w:rPr>
            <w:t>Organization in special consultative status with the Economic and Social Council since 2016</w:t>
          </w:r>
        </w:p>
      </w:tc>
    </w:tr>
    <w:tr w:rsidR="00646A53" w14:paraId="2DF3C675" w14:textId="77777777" w:rsidTr="007A601B">
      <w:trPr>
        <w:jc w:val="center"/>
      </w:trPr>
      <w:tc>
        <w:tcPr>
          <w:tcW w:w="646" w:type="pct"/>
          <w:vMerge/>
        </w:tcPr>
        <w:p w14:paraId="3CC803A2" w14:textId="77777777" w:rsidR="00646A53" w:rsidRDefault="00646A53" w:rsidP="00646A53">
          <w:pPr>
            <w:jc w:val="center"/>
            <w:rPr>
              <w:b/>
              <w:bCs/>
              <w:noProof/>
              <w:lang w:bidi="ar-EG"/>
            </w:rPr>
          </w:pPr>
        </w:p>
      </w:tc>
      <w:tc>
        <w:tcPr>
          <w:tcW w:w="278" w:type="pct"/>
          <w:vMerge w:val="restart"/>
          <w:vAlign w:val="center"/>
        </w:tcPr>
        <w:p w14:paraId="60403A03" w14:textId="77777777" w:rsidR="00646A53" w:rsidRPr="000F15D5" w:rsidRDefault="00646A53" w:rsidP="00646A53">
          <w:pPr>
            <w:jc w:val="center"/>
            <w:rPr>
              <w:b/>
              <w:bCs/>
              <w:lang w:bidi="ar-EG"/>
            </w:rPr>
          </w:pPr>
          <w:r>
            <w:rPr>
              <w:b/>
              <w:bCs/>
              <w:noProof/>
              <w:lang w:val="en-GB" w:eastAsia="en-GB"/>
            </w:rPr>
            <w:drawing>
              <wp:inline distT="0" distB="0" distL="0" distR="0" wp14:anchorId="2F97D22D" wp14:editId="6E66C63C">
                <wp:extent cx="113208" cy="180000"/>
                <wp:effectExtent l="0" t="0" r="1270" b="0"/>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صورة 7"/>
                        <pic:cNvPicPr/>
                      </pic:nvPicPr>
                      <pic:blipFill>
                        <a:blip r:embed="rId2" cstate="print">
                          <a:extLst>
                            <a:ext uri="{28A0092B-C50C-407E-A947-70E740481C1C}">
                              <a14:useLocalDpi xmlns:a14="http://schemas.microsoft.com/office/drawing/2010/main" val="0"/>
                            </a:ext>
                          </a:extLst>
                        </a:blip>
                        <a:stretch>
                          <a:fillRect/>
                        </a:stretch>
                      </pic:blipFill>
                      <pic:spPr>
                        <a:xfrm>
                          <a:off x="0" y="0"/>
                          <a:ext cx="113208" cy="180000"/>
                        </a:xfrm>
                        <a:prstGeom prst="rect">
                          <a:avLst/>
                        </a:prstGeom>
                      </pic:spPr>
                    </pic:pic>
                  </a:graphicData>
                </a:graphic>
              </wp:inline>
            </w:drawing>
          </w:r>
        </w:p>
      </w:tc>
      <w:tc>
        <w:tcPr>
          <w:tcW w:w="4076" w:type="pct"/>
          <w:gridSpan w:val="5"/>
          <w:vAlign w:val="center"/>
        </w:tcPr>
        <w:p w14:paraId="1AFE6EF7" w14:textId="77777777" w:rsidR="00646A53" w:rsidRPr="000F15D5" w:rsidRDefault="00646A53" w:rsidP="00646A53">
          <w:pPr>
            <w:ind w:left="-57"/>
            <w:rPr>
              <w:rFonts w:asciiTheme="majorBidi" w:hAnsiTheme="majorBidi" w:cstheme="majorBidi"/>
              <w:color w:val="000000"/>
              <w:sz w:val="18"/>
              <w:szCs w:val="18"/>
              <w:shd w:val="clear" w:color="auto" w:fill="FFFFFF"/>
            </w:rPr>
          </w:pPr>
          <w:r w:rsidRPr="0086433E">
            <w:rPr>
              <w:rFonts w:asciiTheme="majorBidi" w:eastAsia="Times New Roman" w:hAnsiTheme="majorBidi" w:cstheme="majorBidi"/>
              <w:b/>
              <w:bCs/>
              <w:color w:val="000000"/>
              <w:sz w:val="18"/>
              <w:szCs w:val="18"/>
            </w:rPr>
            <w:t>Headquarters</w:t>
          </w:r>
          <w:r>
            <w:rPr>
              <w:rFonts w:asciiTheme="majorBidi" w:eastAsia="Times New Roman" w:hAnsiTheme="majorBidi" w:cstheme="majorBidi"/>
              <w:color w:val="000000"/>
              <w:sz w:val="18"/>
              <w:szCs w:val="18"/>
            </w:rPr>
            <w:t>:</w:t>
          </w:r>
          <w:r w:rsidRPr="000F15D5">
            <w:rPr>
              <w:rFonts w:asciiTheme="majorBidi" w:eastAsia="Times New Roman" w:hAnsiTheme="majorBidi" w:cstheme="majorBidi"/>
              <w:color w:val="000000"/>
              <w:sz w:val="18"/>
              <w:szCs w:val="18"/>
            </w:rPr>
            <w:t>148 Misr Helwan El-</w:t>
          </w:r>
          <w:proofErr w:type="spellStart"/>
          <w:r w:rsidRPr="000F15D5">
            <w:rPr>
              <w:rFonts w:asciiTheme="majorBidi" w:eastAsia="Times New Roman" w:hAnsiTheme="majorBidi" w:cstheme="majorBidi"/>
              <w:color w:val="000000"/>
              <w:sz w:val="18"/>
              <w:szCs w:val="18"/>
            </w:rPr>
            <w:t>Zyrae</w:t>
          </w:r>
          <w:proofErr w:type="spellEnd"/>
          <w:r w:rsidRPr="000F15D5">
            <w:rPr>
              <w:rFonts w:asciiTheme="majorBidi" w:eastAsia="Times New Roman" w:hAnsiTheme="majorBidi" w:cstheme="majorBidi"/>
              <w:color w:val="000000"/>
              <w:sz w:val="18"/>
              <w:szCs w:val="18"/>
            </w:rPr>
            <w:t xml:space="preserve"> Road, El </w:t>
          </w:r>
          <w:proofErr w:type="spellStart"/>
          <w:r w:rsidRPr="000F15D5">
            <w:rPr>
              <w:rFonts w:asciiTheme="majorBidi" w:eastAsia="Times New Roman" w:hAnsiTheme="majorBidi" w:cstheme="majorBidi"/>
              <w:color w:val="000000"/>
              <w:sz w:val="18"/>
              <w:szCs w:val="18"/>
            </w:rPr>
            <w:t>Matbaa</w:t>
          </w:r>
          <w:proofErr w:type="spellEnd"/>
          <w:r w:rsidRPr="000F15D5">
            <w:rPr>
              <w:rFonts w:asciiTheme="majorBidi" w:eastAsia="Times New Roman" w:hAnsiTheme="majorBidi" w:cstheme="majorBidi"/>
              <w:color w:val="000000"/>
              <w:sz w:val="18"/>
              <w:szCs w:val="18"/>
              <w:rtl/>
            </w:rPr>
            <w:t xml:space="preserve"> </w:t>
          </w:r>
          <w:r w:rsidRPr="000F15D5">
            <w:rPr>
              <w:rFonts w:asciiTheme="majorBidi" w:eastAsia="Times New Roman" w:hAnsiTheme="majorBidi" w:cstheme="majorBidi"/>
              <w:color w:val="000000"/>
              <w:sz w:val="18"/>
              <w:szCs w:val="18"/>
            </w:rPr>
            <w:t xml:space="preserve">Sq, </w:t>
          </w:r>
          <w:proofErr w:type="spellStart"/>
          <w:r w:rsidRPr="000F15D5">
            <w:rPr>
              <w:rFonts w:asciiTheme="majorBidi" w:eastAsia="Times New Roman" w:hAnsiTheme="majorBidi" w:cstheme="majorBidi"/>
              <w:color w:val="000000"/>
              <w:sz w:val="18"/>
              <w:szCs w:val="18"/>
            </w:rPr>
            <w:t>Hadayek</w:t>
          </w:r>
          <w:proofErr w:type="spellEnd"/>
          <w:r w:rsidRPr="000F15D5">
            <w:rPr>
              <w:rFonts w:asciiTheme="majorBidi" w:eastAsia="Times New Roman" w:hAnsiTheme="majorBidi" w:cstheme="majorBidi"/>
              <w:color w:val="000000"/>
              <w:sz w:val="18"/>
              <w:szCs w:val="18"/>
            </w:rPr>
            <w:t xml:space="preserve"> El Maadi, 4</w:t>
          </w:r>
          <w:r w:rsidRPr="000F15D5">
            <w:rPr>
              <w:rFonts w:asciiTheme="majorBidi" w:eastAsia="Times New Roman" w:hAnsiTheme="majorBidi" w:cstheme="majorBidi"/>
              <w:color w:val="000000"/>
              <w:sz w:val="18"/>
              <w:szCs w:val="18"/>
              <w:vertAlign w:val="superscript"/>
            </w:rPr>
            <w:t>th</w:t>
          </w:r>
          <w:r w:rsidRPr="000F15D5">
            <w:rPr>
              <w:rFonts w:asciiTheme="majorBidi" w:eastAsia="Times New Roman" w:hAnsiTheme="majorBidi" w:cstheme="majorBidi"/>
              <w:color w:val="000000"/>
              <w:sz w:val="18"/>
              <w:szCs w:val="18"/>
            </w:rPr>
            <w:t xml:space="preserve"> Floor, No 41, Cairo, Egypt</w:t>
          </w:r>
          <w:r w:rsidRPr="000F15D5">
            <w:rPr>
              <w:rFonts w:asciiTheme="majorBidi" w:eastAsia="Times New Roman" w:hAnsiTheme="majorBidi" w:cstheme="majorBidi"/>
              <w:color w:val="FF0000"/>
              <w:sz w:val="18"/>
              <w:szCs w:val="18"/>
            </w:rPr>
            <w:t xml:space="preserve"> </w:t>
          </w:r>
        </w:p>
      </w:tc>
    </w:tr>
    <w:tr w:rsidR="00646A53" w14:paraId="21D64D10" w14:textId="77777777" w:rsidTr="007A601B">
      <w:trPr>
        <w:jc w:val="center"/>
      </w:trPr>
      <w:tc>
        <w:tcPr>
          <w:tcW w:w="646" w:type="pct"/>
          <w:vMerge/>
        </w:tcPr>
        <w:p w14:paraId="7C115057" w14:textId="77777777" w:rsidR="00646A53" w:rsidRDefault="00646A53" w:rsidP="00646A53">
          <w:pPr>
            <w:jc w:val="center"/>
            <w:rPr>
              <w:lang w:bidi="ar-EG"/>
            </w:rPr>
          </w:pPr>
        </w:p>
      </w:tc>
      <w:tc>
        <w:tcPr>
          <w:tcW w:w="278" w:type="pct"/>
          <w:vMerge/>
          <w:vAlign w:val="center"/>
        </w:tcPr>
        <w:p w14:paraId="3F4411A4" w14:textId="77777777" w:rsidR="00646A53" w:rsidRDefault="00646A53" w:rsidP="00646A53">
          <w:pPr>
            <w:jc w:val="center"/>
            <w:rPr>
              <w:lang w:bidi="ar-EG"/>
            </w:rPr>
          </w:pPr>
        </w:p>
      </w:tc>
      <w:tc>
        <w:tcPr>
          <w:tcW w:w="4076" w:type="pct"/>
          <w:gridSpan w:val="5"/>
          <w:vAlign w:val="center"/>
        </w:tcPr>
        <w:p w14:paraId="31659A1E" w14:textId="77777777" w:rsidR="00646A53" w:rsidRPr="000F15D5" w:rsidRDefault="00646A53" w:rsidP="00646A53">
          <w:pPr>
            <w:rPr>
              <w:rFonts w:asciiTheme="majorBidi" w:hAnsiTheme="majorBidi" w:cstheme="majorBidi"/>
              <w:color w:val="000000"/>
              <w:sz w:val="18"/>
              <w:szCs w:val="18"/>
              <w:shd w:val="clear" w:color="auto" w:fill="FFFFFF"/>
            </w:rPr>
          </w:pPr>
          <w:r w:rsidRPr="005C2948">
            <w:rPr>
              <w:rFonts w:asciiTheme="majorBidi" w:hAnsiTheme="majorBidi" w:cstheme="majorBidi"/>
              <w:b/>
              <w:bCs/>
              <w:color w:val="000000" w:themeColor="text1"/>
              <w:sz w:val="18"/>
              <w:szCs w:val="18"/>
              <w:shd w:val="clear" w:color="auto" w:fill="FFFFFF"/>
            </w:rPr>
            <w:t>Maat Training Center</w:t>
          </w:r>
          <w:r>
            <w:rPr>
              <w:rFonts w:asciiTheme="majorBidi" w:hAnsiTheme="majorBidi" w:cstheme="majorBidi"/>
              <w:color w:val="000000"/>
              <w:sz w:val="18"/>
              <w:szCs w:val="18"/>
              <w:shd w:val="clear" w:color="auto" w:fill="FFFFFF"/>
            </w:rPr>
            <w:t xml:space="preserve">: </w:t>
          </w:r>
          <w:r w:rsidRPr="000F15D5">
            <w:rPr>
              <w:rFonts w:asciiTheme="majorBidi" w:hAnsiTheme="majorBidi" w:cstheme="majorBidi"/>
              <w:color w:val="000000"/>
              <w:sz w:val="18"/>
              <w:szCs w:val="18"/>
              <w:shd w:val="clear" w:color="auto" w:fill="FFFFFF"/>
            </w:rPr>
            <w:t xml:space="preserve">380 Corniche El Nil St., </w:t>
          </w:r>
          <w:proofErr w:type="spellStart"/>
          <w:r w:rsidRPr="000F15D5">
            <w:rPr>
              <w:rFonts w:asciiTheme="majorBidi" w:hAnsiTheme="majorBidi" w:cstheme="majorBidi"/>
              <w:color w:val="000000"/>
              <w:sz w:val="18"/>
              <w:szCs w:val="18"/>
              <w:shd w:val="clear" w:color="auto" w:fill="FFFFFF"/>
            </w:rPr>
            <w:t>Gawharet</w:t>
          </w:r>
          <w:proofErr w:type="spellEnd"/>
          <w:r w:rsidRPr="000F15D5">
            <w:rPr>
              <w:rFonts w:asciiTheme="majorBidi" w:hAnsiTheme="majorBidi" w:cstheme="majorBidi"/>
              <w:color w:val="000000"/>
              <w:sz w:val="18"/>
              <w:szCs w:val="18"/>
              <w:shd w:val="clear" w:color="auto" w:fill="FFFFFF"/>
            </w:rPr>
            <w:t xml:space="preserve"> El Maadi Tower,38th Floor, Tower B, Cairo, Egypt</w:t>
          </w:r>
        </w:p>
      </w:tc>
    </w:tr>
    <w:tr w:rsidR="00646A53" w14:paraId="7F46E2BA" w14:textId="77777777" w:rsidTr="007A601B">
      <w:trPr>
        <w:jc w:val="center"/>
      </w:trPr>
      <w:tc>
        <w:tcPr>
          <w:tcW w:w="646" w:type="pct"/>
          <w:vMerge/>
        </w:tcPr>
        <w:p w14:paraId="35572253" w14:textId="77777777" w:rsidR="00646A53" w:rsidRDefault="00646A53" w:rsidP="00646A53">
          <w:pPr>
            <w:jc w:val="center"/>
            <w:rPr>
              <w:noProof/>
              <w:lang w:bidi="ar-EG"/>
            </w:rPr>
          </w:pPr>
        </w:p>
      </w:tc>
      <w:tc>
        <w:tcPr>
          <w:tcW w:w="278" w:type="pct"/>
          <w:vAlign w:val="center"/>
        </w:tcPr>
        <w:p w14:paraId="6ACC96E0" w14:textId="77777777" w:rsidR="00646A53" w:rsidRDefault="00646A53" w:rsidP="00646A53">
          <w:pPr>
            <w:jc w:val="center"/>
            <w:rPr>
              <w:lang w:bidi="ar-EG"/>
            </w:rPr>
          </w:pPr>
          <w:r>
            <w:rPr>
              <w:noProof/>
              <w:lang w:val="en-GB" w:eastAsia="en-GB"/>
            </w:rPr>
            <w:drawing>
              <wp:inline distT="0" distB="0" distL="0" distR="0" wp14:anchorId="77CFED58" wp14:editId="7ED14B6A">
                <wp:extent cx="178378" cy="180000"/>
                <wp:effectExtent l="0" t="0" r="0" b="0"/>
                <wp:docPr id="1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صورة 8"/>
                        <pic:cNvPicPr/>
                      </pic:nvPicPr>
                      <pic:blipFill>
                        <a:blip r:embed="rId3"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626" w:type="pct"/>
          <w:vAlign w:val="center"/>
        </w:tcPr>
        <w:p w14:paraId="45C50F94" w14:textId="77777777" w:rsidR="00646A53" w:rsidRPr="000F15D5" w:rsidRDefault="00646A53" w:rsidP="00646A53">
          <w:pPr>
            <w:rPr>
              <w:sz w:val="18"/>
              <w:szCs w:val="18"/>
              <w:lang w:bidi="ar-EG"/>
            </w:rPr>
          </w:pPr>
          <w:r w:rsidRPr="000F15D5">
            <w:rPr>
              <w:rFonts w:ascii="Tahoma" w:hAnsi="Tahoma" w:cs="Tahoma"/>
              <w:color w:val="000000"/>
              <w:sz w:val="18"/>
              <w:szCs w:val="18"/>
              <w:shd w:val="clear" w:color="auto" w:fill="FFFFFF"/>
            </w:rPr>
            <w:t>490 El Maadi</w:t>
          </w:r>
          <w:r w:rsidRPr="000F15D5">
            <w:rPr>
              <w:sz w:val="18"/>
              <w:szCs w:val="18"/>
              <w:lang w:bidi="ar-EG"/>
            </w:rPr>
            <w:t xml:space="preserve"> </w:t>
          </w:r>
        </w:p>
      </w:tc>
      <w:tc>
        <w:tcPr>
          <w:tcW w:w="1152" w:type="pct"/>
          <w:gridSpan w:val="2"/>
          <w:vAlign w:val="center"/>
        </w:tcPr>
        <w:p w14:paraId="33F37283" w14:textId="77777777" w:rsidR="00646A53" w:rsidRPr="000F15D5" w:rsidRDefault="00646A53" w:rsidP="00646A53">
          <w:pPr>
            <w:rPr>
              <w:sz w:val="18"/>
              <w:szCs w:val="18"/>
              <w:lang w:bidi="ar-EG"/>
            </w:rPr>
          </w:pPr>
          <w:r w:rsidRPr="00A20672">
            <w:rPr>
              <w:b/>
              <w:bCs/>
              <w:noProof/>
              <w:sz w:val="18"/>
              <w:szCs w:val="18"/>
              <w:lang w:bidi="ar-EG"/>
            </w:rPr>
            <w:t>WWW</w:t>
          </w:r>
          <w:r>
            <w:rPr>
              <w:b/>
              <w:bCs/>
              <w:noProof/>
              <w:sz w:val="18"/>
              <w:szCs w:val="18"/>
              <w:lang w:bidi="ar-EG"/>
            </w:rPr>
            <w:t>.</w:t>
          </w:r>
          <w:r w:rsidRPr="0086433E">
            <w:rPr>
              <w:rFonts w:ascii="Times New Roman" w:eastAsia="Times New Roman" w:hAnsi="Times New Roman" w:cs="Times New Roman"/>
              <w:color w:val="000000"/>
              <w:sz w:val="20"/>
              <w:szCs w:val="20"/>
            </w:rPr>
            <w:t>maatpeace.org </w:t>
          </w:r>
        </w:p>
      </w:tc>
      <w:tc>
        <w:tcPr>
          <w:tcW w:w="202" w:type="pct"/>
          <w:vAlign w:val="center"/>
        </w:tcPr>
        <w:p w14:paraId="1D7CEBF3" w14:textId="77777777" w:rsidR="00646A53" w:rsidRPr="00A20672" w:rsidRDefault="00646A53" w:rsidP="00646A53">
          <w:pPr>
            <w:rPr>
              <w:b/>
              <w:bCs/>
              <w:sz w:val="18"/>
              <w:szCs w:val="18"/>
              <w:lang w:bidi="ar-EG"/>
            </w:rPr>
          </w:pPr>
          <w:r>
            <w:rPr>
              <w:b/>
              <w:bCs/>
              <w:noProof/>
              <w:sz w:val="18"/>
              <w:szCs w:val="18"/>
              <w:lang w:val="en-GB" w:eastAsia="en-GB"/>
            </w:rPr>
            <w:drawing>
              <wp:inline distT="0" distB="0" distL="0" distR="0" wp14:anchorId="3E472ADA" wp14:editId="4B43C516">
                <wp:extent cx="185455" cy="180000"/>
                <wp:effectExtent l="0" t="0" r="5080" b="0"/>
                <wp:docPr id="20"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صورة 15"/>
                        <pic:cNvPicPr/>
                      </pic:nvPicPr>
                      <pic:blipFill>
                        <a:blip r:embed="rId4" cstate="print">
                          <a:extLst>
                            <a:ext uri="{28A0092B-C50C-407E-A947-70E740481C1C}">
                              <a14:useLocalDpi xmlns:a14="http://schemas.microsoft.com/office/drawing/2010/main" val="0"/>
                            </a:ext>
                          </a:extLst>
                        </a:blip>
                        <a:stretch>
                          <a:fillRect/>
                        </a:stretch>
                      </pic:blipFill>
                      <pic:spPr>
                        <a:xfrm>
                          <a:off x="0" y="0"/>
                          <a:ext cx="185455" cy="180000"/>
                        </a:xfrm>
                        <a:prstGeom prst="rect">
                          <a:avLst/>
                        </a:prstGeom>
                      </pic:spPr>
                    </pic:pic>
                  </a:graphicData>
                </a:graphic>
              </wp:inline>
            </w:drawing>
          </w:r>
        </w:p>
      </w:tc>
      <w:tc>
        <w:tcPr>
          <w:tcW w:w="2096" w:type="pct"/>
          <w:vAlign w:val="center"/>
        </w:tcPr>
        <w:p w14:paraId="5C749361" w14:textId="77777777" w:rsidR="00646A53" w:rsidRPr="000F15D5" w:rsidRDefault="00646A53" w:rsidP="00646A53">
          <w:pPr>
            <w:rPr>
              <w:sz w:val="18"/>
              <w:szCs w:val="18"/>
              <w:lang w:bidi="ar-EG"/>
            </w:rPr>
          </w:pPr>
          <w:r w:rsidRPr="0086433E">
            <w:rPr>
              <w:rStyle w:val="apple-style-span"/>
              <w:color w:val="000000"/>
              <w:sz w:val="20"/>
              <w:szCs w:val="20"/>
            </w:rPr>
            <w:t>maat@maatpeace.org</w:t>
          </w:r>
        </w:p>
      </w:tc>
    </w:tr>
    <w:tr w:rsidR="00646A53" w14:paraId="20A66BA8" w14:textId="77777777" w:rsidTr="007A601B">
      <w:trPr>
        <w:jc w:val="center"/>
      </w:trPr>
      <w:tc>
        <w:tcPr>
          <w:tcW w:w="646" w:type="pct"/>
          <w:vMerge/>
        </w:tcPr>
        <w:p w14:paraId="5D74E863" w14:textId="77777777" w:rsidR="00646A53" w:rsidRDefault="00646A53" w:rsidP="00646A53">
          <w:pPr>
            <w:jc w:val="center"/>
            <w:rPr>
              <w:noProof/>
              <w:lang w:bidi="ar-EG"/>
            </w:rPr>
          </w:pPr>
        </w:p>
      </w:tc>
      <w:tc>
        <w:tcPr>
          <w:tcW w:w="278" w:type="pct"/>
          <w:vAlign w:val="center"/>
        </w:tcPr>
        <w:p w14:paraId="690410AE" w14:textId="77777777" w:rsidR="00646A53" w:rsidRDefault="00646A53" w:rsidP="00646A53">
          <w:pPr>
            <w:jc w:val="center"/>
            <w:rPr>
              <w:noProof/>
              <w:lang w:bidi="ar-EG"/>
            </w:rPr>
          </w:pPr>
          <w:r>
            <w:rPr>
              <w:noProof/>
              <w:lang w:val="en-GB" w:eastAsia="en-GB"/>
            </w:rPr>
            <w:drawing>
              <wp:inline distT="0" distB="0" distL="0" distR="0" wp14:anchorId="01ECB94F" wp14:editId="718DB6C8">
                <wp:extent cx="178378" cy="180000"/>
                <wp:effectExtent l="0" t="0" r="0" b="0"/>
                <wp:docPr id="21"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صورة 9"/>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889" w:type="pct"/>
          <w:gridSpan w:val="2"/>
          <w:vAlign w:val="center"/>
        </w:tcPr>
        <w:p w14:paraId="5C00C092" w14:textId="77777777" w:rsidR="00646A53" w:rsidRPr="00DE0507" w:rsidRDefault="00646A53" w:rsidP="00646A53">
          <w:pPr>
            <w:rPr>
              <w:rFonts w:ascii="Tahoma" w:hAnsi="Tahoma" w:cs="Tahoma"/>
              <w:color w:val="000000"/>
              <w:sz w:val="18"/>
              <w:szCs w:val="18"/>
              <w:shd w:val="clear" w:color="auto" w:fill="FFFFFF"/>
            </w:rPr>
          </w:pPr>
          <w:r w:rsidRPr="00DE0507">
            <w:rPr>
              <w:rStyle w:val="apple-style-span"/>
              <w:color w:val="000000"/>
              <w:sz w:val="18"/>
              <w:szCs w:val="18"/>
            </w:rPr>
            <w:t xml:space="preserve">00(20) (2) </w:t>
          </w:r>
          <w:r w:rsidRPr="00DE0507">
            <w:rPr>
              <w:rStyle w:val="apple-style-span"/>
              <w:b/>
              <w:bCs/>
              <w:color w:val="000000"/>
              <w:sz w:val="18"/>
              <w:szCs w:val="18"/>
            </w:rPr>
            <w:t>25266026</w:t>
          </w:r>
        </w:p>
      </w:tc>
      <w:tc>
        <w:tcPr>
          <w:tcW w:w="889" w:type="pct"/>
          <w:vAlign w:val="center"/>
        </w:tcPr>
        <w:p w14:paraId="23E88751" w14:textId="77777777" w:rsidR="00646A53" w:rsidRPr="00DE0507" w:rsidRDefault="00646A53" w:rsidP="00646A53">
          <w:pPr>
            <w:rPr>
              <w:noProof/>
              <w:sz w:val="18"/>
              <w:szCs w:val="18"/>
              <w:lang w:bidi="ar-EG"/>
            </w:rPr>
          </w:pPr>
          <w:r w:rsidRPr="00DE0507">
            <w:rPr>
              <w:rStyle w:val="apple-style-span"/>
              <w:color w:val="000000"/>
              <w:sz w:val="18"/>
              <w:szCs w:val="18"/>
            </w:rPr>
            <w:t xml:space="preserve">00(20) (2) </w:t>
          </w:r>
          <w:r w:rsidRPr="00DE0507">
            <w:rPr>
              <w:rStyle w:val="apple-style-span"/>
              <w:b/>
              <w:bCs/>
              <w:color w:val="000000"/>
              <w:sz w:val="18"/>
              <w:szCs w:val="18"/>
            </w:rPr>
            <w:t>25266019</w:t>
          </w:r>
        </w:p>
      </w:tc>
      <w:tc>
        <w:tcPr>
          <w:tcW w:w="202" w:type="pct"/>
          <w:vAlign w:val="center"/>
        </w:tcPr>
        <w:p w14:paraId="2A9C05F2" w14:textId="77777777" w:rsidR="00646A53" w:rsidRDefault="00646A53" w:rsidP="00646A53">
          <w:pPr>
            <w:rPr>
              <w:b/>
              <w:bCs/>
              <w:noProof/>
              <w:sz w:val="18"/>
              <w:szCs w:val="18"/>
              <w:lang w:bidi="ar-EG"/>
            </w:rPr>
          </w:pPr>
          <w:r w:rsidRPr="005C2948">
            <w:rPr>
              <w:rFonts w:asciiTheme="majorBidi" w:hAnsiTheme="majorBidi" w:cstheme="majorBidi"/>
              <w:b/>
              <w:bCs/>
              <w:noProof/>
              <w:color w:val="000000"/>
              <w:sz w:val="18"/>
              <w:szCs w:val="18"/>
              <w:shd w:val="clear" w:color="auto" w:fill="FFFFFF"/>
              <w:lang w:val="en-GB" w:eastAsia="en-GB"/>
            </w:rPr>
            <w:drawing>
              <wp:inline distT="0" distB="0" distL="0" distR="0" wp14:anchorId="64AA0181" wp14:editId="6908A387">
                <wp:extent cx="100547" cy="180000"/>
                <wp:effectExtent l="0" t="0" r="0" b="0"/>
                <wp:docPr id="22"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صورة 16"/>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0547" cy="180000"/>
                        </a:xfrm>
                        <a:prstGeom prst="rect">
                          <a:avLst/>
                        </a:prstGeom>
                      </pic:spPr>
                    </pic:pic>
                  </a:graphicData>
                </a:graphic>
              </wp:inline>
            </w:drawing>
          </w:r>
        </w:p>
      </w:tc>
      <w:tc>
        <w:tcPr>
          <w:tcW w:w="2096" w:type="pct"/>
          <w:vAlign w:val="center"/>
        </w:tcPr>
        <w:p w14:paraId="3E9CCE62" w14:textId="77777777" w:rsidR="00646A53" w:rsidRPr="0086433E" w:rsidRDefault="00646A53" w:rsidP="00646A53">
          <w:pPr>
            <w:rPr>
              <w:rStyle w:val="apple-style-span"/>
              <w:color w:val="000000"/>
              <w:sz w:val="20"/>
              <w:szCs w:val="20"/>
            </w:rPr>
          </w:pPr>
          <w:r w:rsidRPr="0086433E">
            <w:rPr>
              <w:rStyle w:val="apple-style-span"/>
              <w:b/>
              <w:bCs/>
              <w:color w:val="000000" w:themeColor="text1"/>
              <w:sz w:val="18"/>
              <w:szCs w:val="18"/>
            </w:rPr>
            <w:t>+201226521170</w:t>
          </w:r>
        </w:p>
      </w:tc>
    </w:tr>
  </w:tbl>
  <w:p w14:paraId="48FDA0F5" w14:textId="3EA43699" w:rsidR="00646A53" w:rsidRPr="00646A53" w:rsidRDefault="00646A53" w:rsidP="00646A53">
    <w:pPr>
      <w:pStyle w:val="Footer"/>
      <w:rPr>
        <w:sz w:val="2"/>
        <w:szCs w:val="2"/>
      </w:rPr>
    </w:pPr>
    <w:r>
      <w:rPr>
        <w:noProof/>
        <w:lang w:val="en-GB" w:eastAsia="en-GB"/>
      </w:rPr>
      <w:drawing>
        <wp:anchor distT="0" distB="0" distL="114300" distR="114300" simplePos="0" relativeHeight="251659264" behindDoc="0" locked="0" layoutInCell="1" allowOverlap="1" wp14:anchorId="0B7660F1" wp14:editId="5771AA6F">
          <wp:simplePos x="0" y="0"/>
          <wp:positionH relativeFrom="page">
            <wp:posOffset>60896</wp:posOffset>
          </wp:positionH>
          <wp:positionV relativeFrom="paragraph">
            <wp:posOffset>-1053465</wp:posOffset>
          </wp:positionV>
          <wp:extent cx="7726693" cy="185531"/>
          <wp:effectExtent l="0" t="0" r="0" b="5080"/>
          <wp:wrapNone/>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aer blank wz water mark final.jpg"/>
                  <pic:cNvPicPr/>
                </pic:nvPicPr>
                <pic:blipFill rotWithShape="1">
                  <a:blip r:embed="rId7" cstate="print">
                    <a:extLst>
                      <a:ext uri="{28A0092B-C50C-407E-A947-70E740481C1C}">
                        <a14:useLocalDpi xmlns:a14="http://schemas.microsoft.com/office/drawing/2010/main" val="0"/>
                      </a:ext>
                    </a:extLst>
                  </a:blip>
                  <a:srcRect l="3247" t="96152" r="-3247" b="2006"/>
                  <a:stretch/>
                </pic:blipFill>
                <pic:spPr bwMode="auto">
                  <a:xfrm>
                    <a:off x="0" y="0"/>
                    <a:ext cx="7726693" cy="18553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071D87" w14:textId="77777777" w:rsidR="00B6152E" w:rsidRDefault="00B6152E" w:rsidP="004F6D5A">
      <w:pPr>
        <w:spacing w:after="0" w:line="240" w:lineRule="auto"/>
      </w:pPr>
      <w:r>
        <w:separator/>
      </w:r>
    </w:p>
  </w:footnote>
  <w:footnote w:type="continuationSeparator" w:id="0">
    <w:p w14:paraId="3C192797" w14:textId="77777777" w:rsidR="00B6152E" w:rsidRDefault="00B6152E" w:rsidP="004F6D5A">
      <w:pPr>
        <w:spacing w:after="0" w:line="240" w:lineRule="auto"/>
      </w:pPr>
      <w:r>
        <w:continuationSeparator/>
      </w:r>
    </w:p>
  </w:footnote>
  <w:footnote w:id="1">
    <w:p w14:paraId="086BBEB2" w14:textId="06AF03DF" w:rsidR="007D322D" w:rsidRPr="00D10910" w:rsidRDefault="007D322D">
      <w:pPr>
        <w:pStyle w:val="FootnoteText"/>
        <w:rPr>
          <w:rFonts w:asciiTheme="majorBidi" w:hAnsiTheme="majorBidi" w:cstheme="majorBidi"/>
          <w:sz w:val="18"/>
          <w:szCs w:val="18"/>
          <w:lang w:val="en-GB"/>
        </w:rPr>
      </w:pPr>
      <w:r w:rsidRPr="00D10910">
        <w:rPr>
          <w:rStyle w:val="FootnoteReference"/>
          <w:rFonts w:asciiTheme="majorBidi" w:hAnsiTheme="majorBidi" w:cstheme="majorBidi"/>
          <w:sz w:val="18"/>
          <w:szCs w:val="18"/>
        </w:rPr>
        <w:footnoteRef/>
      </w:r>
      <w:r w:rsidRPr="00D10910">
        <w:rPr>
          <w:rFonts w:asciiTheme="majorBidi" w:hAnsiTheme="majorBidi" w:cstheme="majorBidi"/>
          <w:sz w:val="18"/>
          <w:szCs w:val="18"/>
        </w:rPr>
        <w:t xml:space="preserve"> Ratification, Reporting &amp; Documentation for Spain, OHCHR, </w:t>
      </w:r>
      <w:hyperlink r:id="rId1" w:history="1">
        <w:r w:rsidRPr="00D10910">
          <w:rPr>
            <w:rStyle w:val="Hyperlink"/>
            <w:rFonts w:asciiTheme="majorBidi" w:hAnsiTheme="majorBidi" w:cstheme="majorBidi"/>
            <w:sz w:val="18"/>
            <w:szCs w:val="18"/>
          </w:rPr>
          <w:t>https://2h.ae/wfUt</w:t>
        </w:r>
      </w:hyperlink>
      <w:r w:rsidRPr="00D10910">
        <w:rPr>
          <w:rFonts w:asciiTheme="majorBidi" w:hAnsiTheme="majorBidi" w:cstheme="majorBidi"/>
          <w:sz w:val="18"/>
          <w:szCs w:val="18"/>
        </w:rPr>
        <w:t xml:space="preserve"> </w:t>
      </w:r>
    </w:p>
  </w:footnote>
  <w:footnote w:id="2">
    <w:p w14:paraId="218E06CC" w14:textId="5E9F0D4B" w:rsidR="007D322D" w:rsidRPr="00D10910" w:rsidRDefault="007D322D">
      <w:pPr>
        <w:pStyle w:val="FootnoteText"/>
        <w:rPr>
          <w:rFonts w:asciiTheme="majorBidi" w:hAnsiTheme="majorBidi" w:cstheme="majorBidi"/>
          <w:sz w:val="18"/>
          <w:szCs w:val="18"/>
          <w:lang w:val="en-GB"/>
        </w:rPr>
      </w:pPr>
      <w:r w:rsidRPr="00D10910">
        <w:rPr>
          <w:rStyle w:val="FootnoteReference"/>
          <w:rFonts w:asciiTheme="majorBidi" w:hAnsiTheme="majorBidi" w:cstheme="majorBidi"/>
          <w:sz w:val="18"/>
          <w:szCs w:val="18"/>
        </w:rPr>
        <w:footnoteRef/>
      </w:r>
      <w:r w:rsidRPr="00D10910">
        <w:rPr>
          <w:rFonts w:asciiTheme="majorBidi" w:hAnsiTheme="majorBidi" w:cstheme="majorBidi"/>
          <w:sz w:val="18"/>
          <w:szCs w:val="18"/>
        </w:rPr>
        <w:t xml:space="preserve"> Catalonia Urged To End Discrimination Against Spanish-Speaking Students, European conservative, </w:t>
      </w:r>
      <w:hyperlink r:id="rId2" w:history="1">
        <w:r w:rsidRPr="00D10910">
          <w:rPr>
            <w:rStyle w:val="Hyperlink"/>
            <w:rFonts w:asciiTheme="majorBidi" w:hAnsiTheme="majorBidi" w:cstheme="majorBidi"/>
            <w:sz w:val="18"/>
            <w:szCs w:val="18"/>
          </w:rPr>
          <w:t>https://2h.ae/CwOi</w:t>
        </w:r>
      </w:hyperlink>
      <w:r w:rsidRPr="00D10910">
        <w:rPr>
          <w:rFonts w:asciiTheme="majorBidi" w:hAnsiTheme="majorBidi" w:cstheme="majorBidi"/>
          <w:sz w:val="18"/>
          <w:szCs w:val="18"/>
        </w:rPr>
        <w:t xml:space="preserve"> </w:t>
      </w:r>
    </w:p>
  </w:footnote>
  <w:footnote w:id="3">
    <w:p w14:paraId="73B42B22" w14:textId="69344F31" w:rsidR="007D322D" w:rsidRPr="00D10910" w:rsidRDefault="007D322D">
      <w:pPr>
        <w:pStyle w:val="FootnoteText"/>
        <w:rPr>
          <w:rFonts w:asciiTheme="majorBidi" w:hAnsiTheme="majorBidi" w:cstheme="majorBidi"/>
          <w:sz w:val="18"/>
          <w:szCs w:val="18"/>
          <w:lang w:val="en-GB"/>
        </w:rPr>
      </w:pPr>
      <w:r w:rsidRPr="00D10910">
        <w:rPr>
          <w:rStyle w:val="FootnoteReference"/>
          <w:rFonts w:asciiTheme="majorBidi" w:hAnsiTheme="majorBidi" w:cstheme="majorBidi"/>
          <w:sz w:val="18"/>
          <w:szCs w:val="18"/>
        </w:rPr>
        <w:footnoteRef/>
      </w:r>
      <w:r w:rsidRPr="00D10910">
        <w:rPr>
          <w:rFonts w:asciiTheme="majorBidi" w:hAnsiTheme="majorBidi" w:cstheme="majorBidi"/>
          <w:sz w:val="18"/>
          <w:szCs w:val="18"/>
        </w:rPr>
        <w:t xml:space="preserve"> Written statement to the Committee on the Rights of the Child, PLATAFORMA DE INFANCIA, </w:t>
      </w:r>
      <w:hyperlink r:id="rId3" w:history="1">
        <w:r w:rsidRPr="00D10910">
          <w:rPr>
            <w:rStyle w:val="Hyperlink"/>
            <w:rFonts w:asciiTheme="majorBidi" w:hAnsiTheme="majorBidi" w:cstheme="majorBidi"/>
            <w:sz w:val="18"/>
            <w:szCs w:val="18"/>
          </w:rPr>
          <w:t>https://2h.ae/ZvUP</w:t>
        </w:r>
      </w:hyperlink>
      <w:r w:rsidRPr="00D10910">
        <w:rPr>
          <w:rFonts w:asciiTheme="majorBidi" w:hAnsiTheme="majorBidi" w:cstheme="majorBidi"/>
          <w:sz w:val="18"/>
          <w:szCs w:val="18"/>
        </w:rPr>
        <w:t xml:space="preserve"> </w:t>
      </w:r>
    </w:p>
  </w:footnote>
  <w:footnote w:id="4">
    <w:p w14:paraId="1FAF597F" w14:textId="46362830" w:rsidR="007D322D" w:rsidRPr="00D10910" w:rsidRDefault="007D322D">
      <w:pPr>
        <w:pStyle w:val="FootnoteText"/>
        <w:rPr>
          <w:rFonts w:asciiTheme="majorBidi" w:hAnsiTheme="majorBidi" w:cstheme="majorBidi"/>
          <w:sz w:val="18"/>
          <w:szCs w:val="18"/>
          <w:lang w:val="en-GB"/>
        </w:rPr>
      </w:pPr>
      <w:r w:rsidRPr="00D10910">
        <w:rPr>
          <w:rStyle w:val="FootnoteReference"/>
          <w:rFonts w:asciiTheme="majorBidi" w:hAnsiTheme="majorBidi" w:cstheme="majorBidi"/>
          <w:sz w:val="18"/>
          <w:szCs w:val="18"/>
        </w:rPr>
        <w:footnoteRef/>
      </w:r>
      <w:r w:rsidRPr="00D10910">
        <w:rPr>
          <w:rFonts w:asciiTheme="majorBidi" w:hAnsiTheme="majorBidi" w:cstheme="majorBidi"/>
          <w:sz w:val="18"/>
          <w:szCs w:val="18"/>
        </w:rPr>
        <w:t xml:space="preserve"> Examining the impact of the EU Migration and Asylum Pact on children’s rights, </w:t>
      </w:r>
      <w:proofErr w:type="spellStart"/>
      <w:r w:rsidRPr="00D10910">
        <w:rPr>
          <w:rFonts w:asciiTheme="majorBidi" w:hAnsiTheme="majorBidi" w:cstheme="majorBidi"/>
          <w:sz w:val="18"/>
          <w:szCs w:val="18"/>
        </w:rPr>
        <w:t>Humanium</w:t>
      </w:r>
      <w:proofErr w:type="spellEnd"/>
      <w:r w:rsidRPr="00D10910">
        <w:rPr>
          <w:rFonts w:asciiTheme="majorBidi" w:hAnsiTheme="majorBidi" w:cstheme="majorBidi"/>
          <w:sz w:val="18"/>
          <w:szCs w:val="18"/>
        </w:rPr>
        <w:t xml:space="preserve">, </w:t>
      </w:r>
      <w:hyperlink r:id="rId4" w:history="1">
        <w:r w:rsidRPr="00D10910">
          <w:rPr>
            <w:rStyle w:val="Hyperlink"/>
            <w:rFonts w:asciiTheme="majorBidi" w:hAnsiTheme="majorBidi" w:cstheme="majorBidi"/>
            <w:sz w:val="18"/>
            <w:szCs w:val="18"/>
          </w:rPr>
          <w:t>https://2h.ae/kWQE</w:t>
        </w:r>
      </w:hyperlink>
      <w:r w:rsidRPr="00D10910">
        <w:rPr>
          <w:rFonts w:asciiTheme="majorBidi" w:hAnsiTheme="majorBidi" w:cstheme="majorBidi"/>
          <w:sz w:val="18"/>
          <w:szCs w:val="18"/>
        </w:rPr>
        <w:t xml:space="preserve"> </w:t>
      </w:r>
    </w:p>
  </w:footnote>
  <w:footnote w:id="5">
    <w:p w14:paraId="34FF6A7A" w14:textId="0BA1BB1A" w:rsidR="007D322D" w:rsidRPr="00D10910" w:rsidRDefault="007D322D">
      <w:pPr>
        <w:pStyle w:val="FootnoteText"/>
        <w:rPr>
          <w:rFonts w:asciiTheme="majorBidi" w:hAnsiTheme="majorBidi" w:cstheme="majorBidi"/>
          <w:sz w:val="18"/>
          <w:szCs w:val="18"/>
          <w:lang w:val="en-GB"/>
        </w:rPr>
      </w:pPr>
      <w:r w:rsidRPr="00D10910">
        <w:rPr>
          <w:rStyle w:val="FootnoteReference"/>
          <w:rFonts w:asciiTheme="majorBidi" w:hAnsiTheme="majorBidi" w:cstheme="majorBidi"/>
          <w:sz w:val="18"/>
          <w:szCs w:val="18"/>
        </w:rPr>
        <w:footnoteRef/>
      </w:r>
      <w:r w:rsidRPr="00D10910">
        <w:rPr>
          <w:rFonts w:asciiTheme="majorBidi" w:hAnsiTheme="majorBidi" w:cstheme="majorBidi"/>
          <w:sz w:val="18"/>
          <w:szCs w:val="18"/>
        </w:rPr>
        <w:t xml:space="preserve"> Spain- Severe criticism of the way young migrants are determined!, </w:t>
      </w:r>
      <w:proofErr w:type="spellStart"/>
      <w:r w:rsidRPr="00D10910">
        <w:rPr>
          <w:rFonts w:asciiTheme="majorBidi" w:hAnsiTheme="majorBidi" w:cstheme="majorBidi"/>
          <w:sz w:val="18"/>
          <w:szCs w:val="18"/>
        </w:rPr>
        <w:t>InfoMigrants</w:t>
      </w:r>
      <w:proofErr w:type="spellEnd"/>
      <w:r w:rsidRPr="00D10910">
        <w:rPr>
          <w:rFonts w:asciiTheme="majorBidi" w:hAnsiTheme="majorBidi" w:cstheme="majorBidi"/>
          <w:sz w:val="18"/>
          <w:szCs w:val="18"/>
        </w:rPr>
        <w:t xml:space="preserve">, </w:t>
      </w:r>
      <w:hyperlink r:id="rId5" w:history="1">
        <w:r w:rsidRPr="00D10910">
          <w:rPr>
            <w:rStyle w:val="Hyperlink"/>
            <w:rFonts w:asciiTheme="majorBidi" w:hAnsiTheme="majorBidi" w:cstheme="majorBidi"/>
            <w:sz w:val="18"/>
            <w:szCs w:val="18"/>
          </w:rPr>
          <w:t>https://2h.ae/EeEr</w:t>
        </w:r>
      </w:hyperlink>
      <w:r w:rsidRPr="00D10910">
        <w:rPr>
          <w:rFonts w:asciiTheme="majorBidi" w:hAnsiTheme="majorBidi" w:cstheme="majorBidi"/>
          <w:sz w:val="18"/>
          <w:szCs w:val="18"/>
        </w:rPr>
        <w:t xml:space="preserve"> </w:t>
      </w:r>
    </w:p>
  </w:footnote>
  <w:footnote w:id="6">
    <w:p w14:paraId="0516F58C" w14:textId="6F30305B" w:rsidR="007D322D" w:rsidRPr="00D10910" w:rsidRDefault="007D322D">
      <w:pPr>
        <w:pStyle w:val="FootnoteText"/>
        <w:rPr>
          <w:rFonts w:asciiTheme="majorBidi" w:hAnsiTheme="majorBidi" w:cstheme="majorBidi"/>
          <w:sz w:val="18"/>
          <w:szCs w:val="18"/>
          <w:lang w:val="en-GB"/>
        </w:rPr>
      </w:pPr>
      <w:r w:rsidRPr="00D10910">
        <w:rPr>
          <w:rStyle w:val="FootnoteReference"/>
          <w:rFonts w:asciiTheme="majorBidi" w:hAnsiTheme="majorBidi" w:cstheme="majorBidi"/>
          <w:sz w:val="18"/>
          <w:szCs w:val="18"/>
        </w:rPr>
        <w:footnoteRef/>
      </w:r>
      <w:r w:rsidRPr="00D10910">
        <w:rPr>
          <w:rFonts w:asciiTheme="majorBidi" w:hAnsiTheme="majorBidi" w:cstheme="majorBidi"/>
          <w:sz w:val="18"/>
          <w:szCs w:val="18"/>
        </w:rPr>
        <w:t xml:space="preserve"> Spain’s black summer of gender-based violence: 22 women and children murdered by men, olive press, </w:t>
      </w:r>
      <w:hyperlink r:id="rId6" w:history="1">
        <w:r w:rsidRPr="00D10910">
          <w:rPr>
            <w:rStyle w:val="Hyperlink"/>
            <w:rFonts w:asciiTheme="majorBidi" w:hAnsiTheme="majorBidi" w:cstheme="majorBidi"/>
            <w:sz w:val="18"/>
            <w:szCs w:val="18"/>
          </w:rPr>
          <w:t>https://2h.ae/ZNWY</w:t>
        </w:r>
      </w:hyperlink>
      <w:r w:rsidRPr="00D10910">
        <w:rPr>
          <w:rFonts w:asciiTheme="majorBidi" w:hAnsiTheme="majorBidi" w:cstheme="majorBidi"/>
          <w:sz w:val="18"/>
          <w:szCs w:val="18"/>
        </w:rPr>
        <w:t xml:space="preserve"> </w:t>
      </w:r>
    </w:p>
  </w:footnote>
  <w:footnote w:id="7">
    <w:p w14:paraId="46C9B621" w14:textId="6BF5CDE1" w:rsidR="007D322D" w:rsidRPr="00D10910" w:rsidRDefault="007D322D">
      <w:pPr>
        <w:pStyle w:val="FootnoteText"/>
        <w:rPr>
          <w:rFonts w:asciiTheme="majorBidi" w:hAnsiTheme="majorBidi" w:cstheme="majorBidi"/>
          <w:sz w:val="18"/>
          <w:szCs w:val="18"/>
          <w:lang w:val="en-GB"/>
        </w:rPr>
      </w:pPr>
      <w:r w:rsidRPr="00D10910">
        <w:rPr>
          <w:rStyle w:val="FootnoteReference"/>
          <w:rFonts w:asciiTheme="majorBidi" w:hAnsiTheme="majorBidi" w:cstheme="majorBidi"/>
          <w:sz w:val="18"/>
          <w:szCs w:val="18"/>
        </w:rPr>
        <w:footnoteRef/>
      </w:r>
      <w:r w:rsidRPr="00D10910">
        <w:rPr>
          <w:rFonts w:asciiTheme="majorBidi" w:hAnsiTheme="majorBidi" w:cstheme="majorBidi"/>
          <w:sz w:val="18"/>
          <w:szCs w:val="18"/>
        </w:rPr>
        <w:t xml:space="preserve"> After a horrific crime in Spain: Violence against children is a means of inflicting suffering on their mothers, Monte Carlo International, </w:t>
      </w:r>
      <w:hyperlink r:id="rId7" w:history="1">
        <w:r w:rsidRPr="00D10910">
          <w:rPr>
            <w:rStyle w:val="Hyperlink"/>
            <w:rFonts w:asciiTheme="majorBidi" w:hAnsiTheme="majorBidi" w:cstheme="majorBidi"/>
            <w:sz w:val="18"/>
            <w:szCs w:val="18"/>
          </w:rPr>
          <w:t>https://2h.ae/PAaY</w:t>
        </w:r>
      </w:hyperlink>
      <w:r w:rsidRPr="00D10910">
        <w:rPr>
          <w:rFonts w:asciiTheme="majorBidi" w:hAnsiTheme="majorBidi" w:cstheme="majorBidi"/>
          <w:sz w:val="18"/>
          <w:szCs w:val="18"/>
        </w:rPr>
        <w:t xml:space="preserve"> </w:t>
      </w:r>
    </w:p>
  </w:footnote>
  <w:footnote w:id="8">
    <w:p w14:paraId="38825E61" w14:textId="479B5A80" w:rsidR="00D10910" w:rsidRPr="00D10910" w:rsidRDefault="00D10910">
      <w:pPr>
        <w:pStyle w:val="FootnoteText"/>
        <w:rPr>
          <w:rFonts w:asciiTheme="majorBidi" w:hAnsiTheme="majorBidi" w:cstheme="majorBidi"/>
          <w:sz w:val="18"/>
          <w:szCs w:val="18"/>
          <w:lang w:val="en-GB"/>
        </w:rPr>
      </w:pPr>
      <w:r w:rsidRPr="00D10910">
        <w:rPr>
          <w:rStyle w:val="FootnoteReference"/>
          <w:rFonts w:asciiTheme="majorBidi" w:hAnsiTheme="majorBidi" w:cstheme="majorBidi"/>
          <w:sz w:val="18"/>
          <w:szCs w:val="18"/>
        </w:rPr>
        <w:footnoteRef/>
      </w:r>
      <w:r w:rsidRPr="00D10910">
        <w:rPr>
          <w:rFonts w:asciiTheme="majorBidi" w:hAnsiTheme="majorBidi" w:cstheme="majorBidi"/>
          <w:sz w:val="18"/>
          <w:szCs w:val="18"/>
        </w:rPr>
        <w:t xml:space="preserve"> Man arrested after boy killed in Spain playing football, BBC News, </w:t>
      </w:r>
      <w:hyperlink r:id="rId8" w:history="1">
        <w:r w:rsidRPr="00D10910">
          <w:rPr>
            <w:rStyle w:val="Hyperlink"/>
            <w:rFonts w:asciiTheme="majorBidi" w:hAnsiTheme="majorBidi" w:cstheme="majorBidi"/>
            <w:sz w:val="18"/>
            <w:szCs w:val="18"/>
          </w:rPr>
          <w:t>https://2h.ae/aFIz</w:t>
        </w:r>
      </w:hyperlink>
      <w:r w:rsidRPr="00D10910">
        <w:rPr>
          <w:rFonts w:asciiTheme="majorBidi" w:hAnsiTheme="majorBidi" w:cstheme="majorBidi"/>
          <w:sz w:val="18"/>
          <w:szCs w:val="18"/>
        </w:rPr>
        <w:t xml:space="preserve"> </w:t>
      </w:r>
    </w:p>
  </w:footnote>
  <w:footnote w:id="9">
    <w:p w14:paraId="1EC985EE" w14:textId="522CC2DB" w:rsidR="00D10910" w:rsidRPr="00D10910" w:rsidRDefault="00D10910">
      <w:pPr>
        <w:pStyle w:val="FootnoteText"/>
        <w:rPr>
          <w:rFonts w:asciiTheme="majorBidi" w:hAnsiTheme="majorBidi" w:cstheme="majorBidi"/>
          <w:sz w:val="18"/>
          <w:szCs w:val="18"/>
          <w:lang w:val="en-GB"/>
        </w:rPr>
      </w:pPr>
      <w:r w:rsidRPr="00D10910">
        <w:rPr>
          <w:rStyle w:val="FootnoteReference"/>
          <w:rFonts w:asciiTheme="majorBidi" w:hAnsiTheme="majorBidi" w:cstheme="majorBidi"/>
          <w:sz w:val="18"/>
          <w:szCs w:val="18"/>
        </w:rPr>
        <w:footnoteRef/>
      </w:r>
      <w:r w:rsidRPr="00D10910">
        <w:rPr>
          <w:rFonts w:asciiTheme="majorBidi" w:hAnsiTheme="majorBidi" w:cstheme="majorBidi"/>
          <w:sz w:val="18"/>
          <w:szCs w:val="18"/>
        </w:rPr>
        <w:t xml:space="preserve"> General information: situation on trafficking in human beings, Spain, </w:t>
      </w:r>
      <w:hyperlink r:id="rId9" w:history="1">
        <w:r w:rsidRPr="00D10910">
          <w:rPr>
            <w:rStyle w:val="Hyperlink"/>
            <w:rFonts w:asciiTheme="majorBidi" w:hAnsiTheme="majorBidi" w:cstheme="majorBidi"/>
            <w:sz w:val="18"/>
            <w:szCs w:val="18"/>
          </w:rPr>
          <w:t>https://2h.ae/GgVf</w:t>
        </w:r>
      </w:hyperlink>
      <w:r w:rsidRPr="00D10910">
        <w:rPr>
          <w:rFonts w:asciiTheme="majorBidi" w:hAnsiTheme="majorBidi" w:cstheme="majorBidi"/>
          <w:sz w:val="18"/>
          <w:szCs w:val="18"/>
        </w:rPr>
        <w:t xml:space="preserve"> </w:t>
      </w:r>
    </w:p>
  </w:footnote>
  <w:footnote w:id="10">
    <w:p w14:paraId="1F0498DD" w14:textId="1063A73A" w:rsidR="00D10910" w:rsidRPr="00D10910" w:rsidRDefault="00D10910">
      <w:pPr>
        <w:pStyle w:val="FootnoteText"/>
        <w:rPr>
          <w:rFonts w:asciiTheme="majorBidi" w:hAnsiTheme="majorBidi" w:cstheme="majorBidi"/>
          <w:sz w:val="18"/>
          <w:szCs w:val="18"/>
          <w:lang w:val="en-GB"/>
        </w:rPr>
      </w:pPr>
      <w:r w:rsidRPr="00D10910">
        <w:rPr>
          <w:rStyle w:val="FootnoteReference"/>
          <w:rFonts w:asciiTheme="majorBidi" w:hAnsiTheme="majorBidi" w:cstheme="majorBidi"/>
          <w:sz w:val="18"/>
          <w:szCs w:val="18"/>
        </w:rPr>
        <w:footnoteRef/>
      </w:r>
      <w:r w:rsidRPr="00D10910">
        <w:rPr>
          <w:rFonts w:asciiTheme="majorBidi" w:hAnsiTheme="majorBidi" w:cstheme="majorBidi"/>
          <w:sz w:val="18"/>
          <w:szCs w:val="18"/>
        </w:rPr>
        <w:t xml:space="preserve"> Seventh periodic report submitted by Spain under article 44 of the Convention on the Rights of the Child, </w:t>
      </w:r>
      <w:hyperlink r:id="rId10" w:history="1">
        <w:r w:rsidRPr="00D10910">
          <w:rPr>
            <w:rStyle w:val="Hyperlink"/>
            <w:rFonts w:asciiTheme="majorBidi" w:hAnsiTheme="majorBidi" w:cstheme="majorBidi"/>
            <w:sz w:val="18"/>
            <w:szCs w:val="18"/>
          </w:rPr>
          <w:t>https://2h.ae/rFpV</w:t>
        </w:r>
      </w:hyperlink>
      <w:r w:rsidRPr="00D10910">
        <w:rPr>
          <w:rFonts w:asciiTheme="majorBidi" w:hAnsiTheme="majorBidi" w:cstheme="majorBidi"/>
          <w:sz w:val="18"/>
          <w:szCs w:val="18"/>
        </w:rPr>
        <w:t xml:space="preserve"> </w:t>
      </w:r>
    </w:p>
  </w:footnote>
  <w:footnote w:id="11">
    <w:p w14:paraId="2F5750EF" w14:textId="62FF38D9" w:rsidR="00D10910" w:rsidRPr="00D10910" w:rsidRDefault="00D10910">
      <w:pPr>
        <w:pStyle w:val="FootnoteText"/>
        <w:rPr>
          <w:rFonts w:asciiTheme="majorBidi" w:hAnsiTheme="majorBidi" w:cstheme="majorBidi"/>
          <w:sz w:val="18"/>
          <w:szCs w:val="18"/>
          <w:lang w:val="en-GB"/>
        </w:rPr>
      </w:pPr>
      <w:r w:rsidRPr="00D10910">
        <w:rPr>
          <w:rStyle w:val="FootnoteReference"/>
          <w:rFonts w:asciiTheme="majorBidi" w:hAnsiTheme="majorBidi" w:cstheme="majorBidi"/>
          <w:sz w:val="18"/>
          <w:szCs w:val="18"/>
        </w:rPr>
        <w:footnoteRef/>
      </w:r>
      <w:r w:rsidRPr="00D10910">
        <w:rPr>
          <w:rFonts w:asciiTheme="majorBidi" w:hAnsiTheme="majorBidi" w:cstheme="majorBidi"/>
          <w:sz w:val="18"/>
          <w:szCs w:val="18"/>
        </w:rPr>
        <w:t xml:space="preserve"> THEMATIC REPORT ADDENDUM – ADDITIONAL SUBMISSION THE RIGHT TO PROTECTION FROM ALL FORMS OF VIOLENCE, COPPA, </w:t>
      </w:r>
      <w:hyperlink r:id="rId11" w:history="1">
        <w:r w:rsidRPr="00D10910">
          <w:rPr>
            <w:rStyle w:val="Hyperlink"/>
            <w:rFonts w:asciiTheme="majorBidi" w:hAnsiTheme="majorBidi" w:cstheme="majorBidi"/>
            <w:sz w:val="18"/>
            <w:szCs w:val="18"/>
          </w:rPr>
          <w:t>https://2h.ae/komJ</w:t>
        </w:r>
      </w:hyperlink>
      <w:r w:rsidRPr="00D10910">
        <w:rPr>
          <w:rFonts w:asciiTheme="majorBidi" w:hAnsiTheme="majorBidi" w:cstheme="majorBidi"/>
          <w:sz w:val="18"/>
          <w:szCs w:val="18"/>
        </w:rPr>
        <w:t xml:space="preserve"> </w:t>
      </w:r>
    </w:p>
  </w:footnote>
  <w:footnote w:id="12">
    <w:p w14:paraId="3B82CA1F" w14:textId="5650C721" w:rsidR="00D10910" w:rsidRPr="00D10910" w:rsidRDefault="00D10910">
      <w:pPr>
        <w:pStyle w:val="FootnoteText"/>
        <w:rPr>
          <w:rFonts w:asciiTheme="majorBidi" w:hAnsiTheme="majorBidi" w:cstheme="majorBidi"/>
          <w:sz w:val="18"/>
          <w:szCs w:val="18"/>
          <w:lang w:val="en-GB"/>
        </w:rPr>
      </w:pPr>
      <w:r w:rsidRPr="00D10910">
        <w:rPr>
          <w:rStyle w:val="FootnoteReference"/>
          <w:rFonts w:asciiTheme="majorBidi" w:hAnsiTheme="majorBidi" w:cstheme="majorBidi"/>
          <w:sz w:val="18"/>
          <w:szCs w:val="18"/>
        </w:rPr>
        <w:footnoteRef/>
      </w:r>
      <w:r w:rsidRPr="00D10910">
        <w:rPr>
          <w:rFonts w:asciiTheme="majorBidi" w:hAnsiTheme="majorBidi" w:cstheme="majorBidi"/>
          <w:sz w:val="18"/>
          <w:szCs w:val="18"/>
        </w:rPr>
        <w:t xml:space="preserve"> Ratification, Reporting &amp; Documentation for Spain, OHCHR, </w:t>
      </w:r>
      <w:hyperlink r:id="rId12" w:history="1">
        <w:r w:rsidRPr="00D10910">
          <w:rPr>
            <w:rStyle w:val="Hyperlink"/>
            <w:rFonts w:asciiTheme="majorBidi" w:hAnsiTheme="majorBidi" w:cstheme="majorBidi"/>
            <w:sz w:val="18"/>
            <w:szCs w:val="18"/>
          </w:rPr>
          <w:t>https://2h.ae/wfUt</w:t>
        </w:r>
      </w:hyperlink>
      <w:r w:rsidRPr="00D10910">
        <w:rPr>
          <w:rFonts w:asciiTheme="majorBidi" w:hAnsiTheme="majorBidi" w:cstheme="majorBidi"/>
          <w:sz w:val="18"/>
          <w:szCs w:val="18"/>
        </w:rPr>
        <w:t xml:space="preserve"> </w:t>
      </w:r>
    </w:p>
  </w:footnote>
  <w:footnote w:id="13">
    <w:p w14:paraId="6AEAD3C0" w14:textId="40ED6440" w:rsidR="00D10910" w:rsidRPr="00D10910" w:rsidRDefault="00D10910">
      <w:pPr>
        <w:pStyle w:val="FootnoteText"/>
        <w:rPr>
          <w:rFonts w:asciiTheme="majorBidi" w:hAnsiTheme="majorBidi" w:cstheme="majorBidi"/>
          <w:sz w:val="18"/>
          <w:szCs w:val="18"/>
          <w:lang w:val="en-GB"/>
        </w:rPr>
      </w:pPr>
      <w:r w:rsidRPr="00D10910">
        <w:rPr>
          <w:rStyle w:val="FootnoteReference"/>
          <w:rFonts w:asciiTheme="majorBidi" w:hAnsiTheme="majorBidi" w:cstheme="majorBidi"/>
          <w:sz w:val="18"/>
          <w:szCs w:val="18"/>
        </w:rPr>
        <w:footnoteRef/>
      </w:r>
      <w:r w:rsidRPr="00D10910">
        <w:rPr>
          <w:rFonts w:asciiTheme="majorBidi" w:hAnsiTheme="majorBidi" w:cstheme="majorBidi"/>
          <w:sz w:val="18"/>
          <w:szCs w:val="18"/>
        </w:rPr>
        <w:t xml:space="preserve"> Towards Better Protection of the Right to Education of Children with Disabilities in Spain: constitutional amendment and implementation of the UN Committees’ decisions., </w:t>
      </w:r>
      <w:proofErr w:type="spellStart"/>
      <w:r w:rsidRPr="00D10910">
        <w:rPr>
          <w:rFonts w:asciiTheme="majorBidi" w:hAnsiTheme="majorBidi" w:cstheme="majorBidi"/>
          <w:sz w:val="18"/>
          <w:szCs w:val="18"/>
        </w:rPr>
        <w:t>Diritti</w:t>
      </w:r>
      <w:proofErr w:type="spellEnd"/>
      <w:r w:rsidRPr="00D10910">
        <w:rPr>
          <w:rFonts w:asciiTheme="majorBidi" w:hAnsiTheme="majorBidi" w:cstheme="majorBidi"/>
          <w:sz w:val="18"/>
          <w:szCs w:val="18"/>
        </w:rPr>
        <w:t xml:space="preserve"> </w:t>
      </w:r>
      <w:proofErr w:type="spellStart"/>
      <w:r w:rsidRPr="00D10910">
        <w:rPr>
          <w:rFonts w:asciiTheme="majorBidi" w:hAnsiTheme="majorBidi" w:cstheme="majorBidi"/>
          <w:sz w:val="18"/>
          <w:szCs w:val="18"/>
        </w:rPr>
        <w:t>Comparati</w:t>
      </w:r>
      <w:proofErr w:type="spellEnd"/>
      <w:r w:rsidRPr="00D10910">
        <w:rPr>
          <w:rFonts w:asciiTheme="majorBidi" w:hAnsiTheme="majorBidi" w:cstheme="majorBidi"/>
          <w:sz w:val="18"/>
          <w:szCs w:val="18"/>
        </w:rPr>
        <w:t xml:space="preserve">, </w:t>
      </w:r>
      <w:hyperlink r:id="rId13" w:history="1">
        <w:r w:rsidRPr="00D10910">
          <w:rPr>
            <w:rStyle w:val="Hyperlink"/>
            <w:rFonts w:asciiTheme="majorBidi" w:hAnsiTheme="majorBidi" w:cstheme="majorBidi"/>
            <w:sz w:val="18"/>
            <w:szCs w:val="18"/>
          </w:rPr>
          <w:t>https://2h.ae/GRNs</w:t>
        </w:r>
      </w:hyperlink>
      <w:r w:rsidRPr="00D10910">
        <w:rPr>
          <w:rFonts w:asciiTheme="majorBidi" w:hAnsiTheme="majorBidi" w:cstheme="majorBidi"/>
          <w:sz w:val="18"/>
          <w:szCs w:val="18"/>
        </w:rPr>
        <w:t xml:space="preserve"> </w:t>
      </w:r>
    </w:p>
  </w:footnote>
  <w:footnote w:id="14">
    <w:p w14:paraId="01A37208" w14:textId="456183F1" w:rsidR="00D10910" w:rsidRPr="00D10910" w:rsidRDefault="00D10910">
      <w:pPr>
        <w:pStyle w:val="FootnoteText"/>
        <w:rPr>
          <w:rFonts w:asciiTheme="majorBidi" w:hAnsiTheme="majorBidi" w:cstheme="majorBidi"/>
          <w:sz w:val="18"/>
          <w:szCs w:val="18"/>
          <w:lang w:val="en-GB"/>
        </w:rPr>
      </w:pPr>
      <w:r w:rsidRPr="00D10910">
        <w:rPr>
          <w:rStyle w:val="FootnoteReference"/>
          <w:rFonts w:asciiTheme="majorBidi" w:hAnsiTheme="majorBidi" w:cstheme="majorBidi"/>
          <w:sz w:val="18"/>
          <w:szCs w:val="18"/>
        </w:rPr>
        <w:footnoteRef/>
      </w:r>
      <w:r w:rsidRPr="00D10910">
        <w:rPr>
          <w:rFonts w:asciiTheme="majorBidi" w:hAnsiTheme="majorBidi" w:cstheme="majorBidi"/>
          <w:sz w:val="18"/>
          <w:szCs w:val="18"/>
        </w:rPr>
        <w:t xml:space="preserve"> Seventh periodic report submitted by Spain under article 44 of the Convention on the Rights of the Child, </w:t>
      </w:r>
      <w:hyperlink r:id="rId14" w:history="1">
        <w:r w:rsidRPr="00D10910">
          <w:rPr>
            <w:rStyle w:val="Hyperlink"/>
            <w:rFonts w:asciiTheme="majorBidi" w:hAnsiTheme="majorBidi" w:cstheme="majorBidi"/>
            <w:sz w:val="18"/>
            <w:szCs w:val="18"/>
          </w:rPr>
          <w:t>https://2h.ae/rFpV</w:t>
        </w:r>
      </w:hyperlink>
      <w:r w:rsidRPr="00D10910">
        <w:rPr>
          <w:rFonts w:asciiTheme="majorBidi" w:hAnsiTheme="majorBidi" w:cstheme="majorBidi"/>
          <w:sz w:val="18"/>
          <w:szCs w:val="18"/>
        </w:rPr>
        <w:t xml:space="preserve"> </w:t>
      </w:r>
    </w:p>
  </w:footnote>
  <w:footnote w:id="15">
    <w:p w14:paraId="3FB40817" w14:textId="3526B17B" w:rsidR="00D10910" w:rsidRPr="00D10910" w:rsidRDefault="00D10910">
      <w:pPr>
        <w:pStyle w:val="FootnoteText"/>
        <w:rPr>
          <w:rFonts w:asciiTheme="majorBidi" w:hAnsiTheme="majorBidi" w:cstheme="majorBidi"/>
          <w:sz w:val="18"/>
          <w:szCs w:val="18"/>
          <w:lang w:val="en-GB"/>
        </w:rPr>
      </w:pPr>
      <w:r w:rsidRPr="00D10910">
        <w:rPr>
          <w:rStyle w:val="FootnoteReference"/>
          <w:rFonts w:asciiTheme="majorBidi" w:hAnsiTheme="majorBidi" w:cstheme="majorBidi"/>
          <w:sz w:val="18"/>
          <w:szCs w:val="18"/>
        </w:rPr>
        <w:footnoteRef/>
      </w:r>
      <w:r w:rsidRPr="00D10910">
        <w:rPr>
          <w:rFonts w:asciiTheme="majorBidi" w:hAnsiTheme="majorBidi" w:cstheme="majorBidi"/>
          <w:sz w:val="18"/>
          <w:szCs w:val="18"/>
        </w:rPr>
        <w:t xml:space="preserve"> Sistema </w:t>
      </w:r>
      <w:proofErr w:type="spellStart"/>
      <w:r w:rsidRPr="00D10910">
        <w:rPr>
          <w:rFonts w:asciiTheme="majorBidi" w:hAnsiTheme="majorBidi" w:cstheme="majorBidi"/>
          <w:sz w:val="18"/>
          <w:szCs w:val="18"/>
        </w:rPr>
        <w:t>educativo</w:t>
      </w:r>
      <w:proofErr w:type="spellEnd"/>
      <w:r w:rsidRPr="00D10910">
        <w:rPr>
          <w:rFonts w:asciiTheme="majorBidi" w:hAnsiTheme="majorBidi" w:cstheme="majorBidi"/>
          <w:sz w:val="18"/>
          <w:szCs w:val="18"/>
        </w:rPr>
        <w:t xml:space="preserve"> y colegios </w:t>
      </w:r>
      <w:proofErr w:type="spellStart"/>
      <w:r w:rsidRPr="00D10910">
        <w:rPr>
          <w:rFonts w:asciiTheme="majorBidi" w:hAnsiTheme="majorBidi" w:cstheme="majorBidi"/>
          <w:sz w:val="18"/>
          <w:szCs w:val="18"/>
        </w:rPr>
        <w:t>en</w:t>
      </w:r>
      <w:proofErr w:type="spellEnd"/>
      <w:r w:rsidRPr="00D10910">
        <w:rPr>
          <w:rFonts w:asciiTheme="majorBidi" w:hAnsiTheme="majorBidi" w:cstheme="majorBidi"/>
          <w:sz w:val="18"/>
          <w:szCs w:val="18"/>
        </w:rPr>
        <w:t xml:space="preserve"> España, </w:t>
      </w:r>
      <w:proofErr w:type="spellStart"/>
      <w:r w:rsidRPr="00D10910">
        <w:rPr>
          <w:rFonts w:asciiTheme="majorBidi" w:hAnsiTheme="majorBidi" w:cstheme="majorBidi"/>
          <w:sz w:val="18"/>
          <w:szCs w:val="18"/>
        </w:rPr>
        <w:t>tekce</w:t>
      </w:r>
      <w:proofErr w:type="spellEnd"/>
      <w:r w:rsidRPr="00D10910">
        <w:rPr>
          <w:rFonts w:asciiTheme="majorBidi" w:hAnsiTheme="majorBidi" w:cstheme="majorBidi"/>
          <w:sz w:val="18"/>
          <w:szCs w:val="18"/>
        </w:rPr>
        <w:t xml:space="preserve">, </w:t>
      </w:r>
      <w:hyperlink r:id="rId15" w:history="1">
        <w:r w:rsidRPr="00D10910">
          <w:rPr>
            <w:rStyle w:val="Hyperlink"/>
            <w:rFonts w:asciiTheme="majorBidi" w:hAnsiTheme="majorBidi" w:cstheme="majorBidi"/>
            <w:sz w:val="18"/>
            <w:szCs w:val="18"/>
          </w:rPr>
          <w:t>https://2h.ae/QAyT</w:t>
        </w:r>
      </w:hyperlink>
      <w:r w:rsidRPr="00D10910">
        <w:rPr>
          <w:rFonts w:asciiTheme="majorBidi" w:hAnsiTheme="majorBidi" w:cstheme="majorBidi"/>
          <w:sz w:val="18"/>
          <w:szCs w:val="18"/>
        </w:rPr>
        <w:t xml:space="preserve"> </w:t>
      </w:r>
    </w:p>
  </w:footnote>
  <w:footnote w:id="16">
    <w:p w14:paraId="51B6B544" w14:textId="186199F9" w:rsidR="00D10910" w:rsidRPr="00D10910" w:rsidRDefault="00D10910">
      <w:pPr>
        <w:pStyle w:val="FootnoteText"/>
        <w:rPr>
          <w:rFonts w:asciiTheme="majorBidi" w:hAnsiTheme="majorBidi" w:cstheme="majorBidi"/>
          <w:sz w:val="18"/>
          <w:szCs w:val="18"/>
          <w:lang w:val="en-GB"/>
        </w:rPr>
      </w:pPr>
      <w:r w:rsidRPr="00D10910">
        <w:rPr>
          <w:rStyle w:val="FootnoteReference"/>
          <w:rFonts w:asciiTheme="majorBidi" w:hAnsiTheme="majorBidi" w:cstheme="majorBidi"/>
          <w:sz w:val="18"/>
          <w:szCs w:val="18"/>
        </w:rPr>
        <w:footnoteRef/>
      </w:r>
      <w:r w:rsidRPr="00D10910">
        <w:rPr>
          <w:rFonts w:asciiTheme="majorBidi" w:hAnsiTheme="majorBidi" w:cstheme="majorBidi"/>
          <w:sz w:val="18"/>
          <w:szCs w:val="18"/>
        </w:rPr>
        <w:t xml:space="preserve"> Todo lo que </w:t>
      </w:r>
      <w:proofErr w:type="spellStart"/>
      <w:r w:rsidRPr="00D10910">
        <w:rPr>
          <w:rFonts w:asciiTheme="majorBidi" w:hAnsiTheme="majorBidi" w:cstheme="majorBidi"/>
          <w:sz w:val="18"/>
          <w:szCs w:val="18"/>
        </w:rPr>
        <w:t>falla</w:t>
      </w:r>
      <w:proofErr w:type="spellEnd"/>
      <w:r w:rsidRPr="00D10910">
        <w:rPr>
          <w:rFonts w:asciiTheme="majorBidi" w:hAnsiTheme="majorBidi" w:cstheme="majorBidi"/>
          <w:sz w:val="18"/>
          <w:szCs w:val="18"/>
        </w:rPr>
        <w:t xml:space="preserve"> </w:t>
      </w:r>
      <w:proofErr w:type="spellStart"/>
      <w:r w:rsidRPr="00D10910">
        <w:rPr>
          <w:rFonts w:asciiTheme="majorBidi" w:hAnsiTheme="majorBidi" w:cstheme="majorBidi"/>
          <w:sz w:val="18"/>
          <w:szCs w:val="18"/>
        </w:rPr>
        <w:t>en</w:t>
      </w:r>
      <w:proofErr w:type="spellEnd"/>
      <w:r w:rsidRPr="00D10910">
        <w:rPr>
          <w:rFonts w:asciiTheme="majorBidi" w:hAnsiTheme="majorBidi" w:cstheme="majorBidi"/>
          <w:sz w:val="18"/>
          <w:szCs w:val="18"/>
        </w:rPr>
        <w:t xml:space="preserve"> </w:t>
      </w:r>
      <w:proofErr w:type="spellStart"/>
      <w:r w:rsidRPr="00D10910">
        <w:rPr>
          <w:rFonts w:asciiTheme="majorBidi" w:hAnsiTheme="majorBidi" w:cstheme="majorBidi"/>
          <w:sz w:val="18"/>
          <w:szCs w:val="18"/>
        </w:rPr>
        <w:t>el</w:t>
      </w:r>
      <w:proofErr w:type="spellEnd"/>
      <w:r w:rsidRPr="00D10910">
        <w:rPr>
          <w:rFonts w:asciiTheme="majorBidi" w:hAnsiTheme="majorBidi" w:cstheme="majorBidi"/>
          <w:sz w:val="18"/>
          <w:szCs w:val="18"/>
        </w:rPr>
        <w:t xml:space="preserve"> </w:t>
      </w:r>
      <w:proofErr w:type="spellStart"/>
      <w:r w:rsidRPr="00D10910">
        <w:rPr>
          <w:rFonts w:asciiTheme="majorBidi" w:hAnsiTheme="majorBidi" w:cstheme="majorBidi"/>
          <w:sz w:val="18"/>
          <w:szCs w:val="18"/>
        </w:rPr>
        <w:t>sistema</w:t>
      </w:r>
      <w:proofErr w:type="spellEnd"/>
      <w:r w:rsidRPr="00D10910">
        <w:rPr>
          <w:rFonts w:asciiTheme="majorBidi" w:hAnsiTheme="majorBidi" w:cstheme="majorBidi"/>
          <w:sz w:val="18"/>
          <w:szCs w:val="18"/>
        </w:rPr>
        <w:t xml:space="preserve"> de </w:t>
      </w:r>
      <w:proofErr w:type="spellStart"/>
      <w:r w:rsidRPr="00D10910">
        <w:rPr>
          <w:rFonts w:asciiTheme="majorBidi" w:hAnsiTheme="majorBidi" w:cstheme="majorBidi"/>
          <w:sz w:val="18"/>
          <w:szCs w:val="18"/>
        </w:rPr>
        <w:t>acogida</w:t>
      </w:r>
      <w:proofErr w:type="spellEnd"/>
      <w:r w:rsidRPr="00D10910">
        <w:rPr>
          <w:rFonts w:asciiTheme="majorBidi" w:hAnsiTheme="majorBidi" w:cstheme="majorBidi"/>
          <w:sz w:val="18"/>
          <w:szCs w:val="18"/>
        </w:rPr>
        <w:t xml:space="preserve"> </w:t>
      </w:r>
      <w:proofErr w:type="spellStart"/>
      <w:r w:rsidRPr="00D10910">
        <w:rPr>
          <w:rFonts w:asciiTheme="majorBidi" w:hAnsiTheme="majorBidi" w:cstheme="majorBidi"/>
          <w:sz w:val="18"/>
          <w:szCs w:val="18"/>
        </w:rPr>
        <w:t>en</w:t>
      </w:r>
      <w:proofErr w:type="spellEnd"/>
      <w:r w:rsidRPr="00D10910">
        <w:rPr>
          <w:rFonts w:asciiTheme="majorBidi" w:hAnsiTheme="majorBidi" w:cstheme="majorBidi"/>
          <w:sz w:val="18"/>
          <w:szCs w:val="18"/>
        </w:rPr>
        <w:t xml:space="preserve"> Canarias: “Los </w:t>
      </w:r>
      <w:proofErr w:type="spellStart"/>
      <w:r w:rsidRPr="00D10910">
        <w:rPr>
          <w:rFonts w:asciiTheme="majorBidi" w:hAnsiTheme="majorBidi" w:cstheme="majorBidi"/>
          <w:sz w:val="18"/>
          <w:szCs w:val="18"/>
        </w:rPr>
        <w:t>menores</w:t>
      </w:r>
      <w:proofErr w:type="spellEnd"/>
      <w:r w:rsidRPr="00D10910">
        <w:rPr>
          <w:rFonts w:asciiTheme="majorBidi" w:hAnsiTheme="majorBidi" w:cstheme="majorBidi"/>
          <w:sz w:val="18"/>
          <w:szCs w:val="18"/>
        </w:rPr>
        <w:t xml:space="preserve"> </w:t>
      </w:r>
      <w:proofErr w:type="spellStart"/>
      <w:r w:rsidRPr="00D10910">
        <w:rPr>
          <w:rFonts w:asciiTheme="majorBidi" w:hAnsiTheme="majorBidi" w:cstheme="majorBidi"/>
          <w:sz w:val="18"/>
          <w:szCs w:val="18"/>
        </w:rPr>
        <w:t>migrantes</w:t>
      </w:r>
      <w:proofErr w:type="spellEnd"/>
      <w:r w:rsidRPr="00D10910">
        <w:rPr>
          <w:rFonts w:asciiTheme="majorBidi" w:hAnsiTheme="majorBidi" w:cstheme="majorBidi"/>
          <w:sz w:val="18"/>
          <w:szCs w:val="18"/>
        </w:rPr>
        <w:t xml:space="preserve"> </w:t>
      </w:r>
      <w:proofErr w:type="spellStart"/>
      <w:r w:rsidRPr="00D10910">
        <w:rPr>
          <w:rFonts w:asciiTheme="majorBidi" w:hAnsiTheme="majorBidi" w:cstheme="majorBidi"/>
          <w:sz w:val="18"/>
          <w:szCs w:val="18"/>
        </w:rPr>
        <w:t>tienen</w:t>
      </w:r>
      <w:proofErr w:type="spellEnd"/>
      <w:r w:rsidRPr="00D10910">
        <w:rPr>
          <w:rFonts w:asciiTheme="majorBidi" w:hAnsiTheme="majorBidi" w:cstheme="majorBidi"/>
          <w:sz w:val="18"/>
          <w:szCs w:val="18"/>
        </w:rPr>
        <w:t xml:space="preserve"> </w:t>
      </w:r>
      <w:proofErr w:type="spellStart"/>
      <w:r w:rsidRPr="00D10910">
        <w:rPr>
          <w:rFonts w:asciiTheme="majorBidi" w:hAnsiTheme="majorBidi" w:cstheme="majorBidi"/>
          <w:sz w:val="18"/>
          <w:szCs w:val="18"/>
        </w:rPr>
        <w:t>el</w:t>
      </w:r>
      <w:proofErr w:type="spellEnd"/>
      <w:r w:rsidRPr="00D10910">
        <w:rPr>
          <w:rFonts w:asciiTheme="majorBidi" w:hAnsiTheme="majorBidi" w:cstheme="majorBidi"/>
          <w:sz w:val="18"/>
          <w:szCs w:val="18"/>
        </w:rPr>
        <w:t xml:space="preserve"> </w:t>
      </w:r>
      <w:proofErr w:type="spellStart"/>
      <w:r w:rsidRPr="00D10910">
        <w:rPr>
          <w:rFonts w:asciiTheme="majorBidi" w:hAnsiTheme="majorBidi" w:cstheme="majorBidi"/>
          <w:sz w:val="18"/>
          <w:szCs w:val="18"/>
        </w:rPr>
        <w:t>discurso</w:t>
      </w:r>
      <w:proofErr w:type="spellEnd"/>
      <w:r w:rsidRPr="00D10910">
        <w:rPr>
          <w:rFonts w:asciiTheme="majorBidi" w:hAnsiTheme="majorBidi" w:cstheme="majorBidi"/>
          <w:sz w:val="18"/>
          <w:szCs w:val="18"/>
        </w:rPr>
        <w:t xml:space="preserve"> de </w:t>
      </w:r>
      <w:proofErr w:type="spellStart"/>
      <w:r w:rsidRPr="00D10910">
        <w:rPr>
          <w:rFonts w:asciiTheme="majorBidi" w:hAnsiTheme="majorBidi" w:cstheme="majorBidi"/>
          <w:sz w:val="18"/>
          <w:szCs w:val="18"/>
        </w:rPr>
        <w:t>odio</w:t>
      </w:r>
      <w:proofErr w:type="spellEnd"/>
      <w:r w:rsidRPr="00D10910">
        <w:rPr>
          <w:rFonts w:asciiTheme="majorBidi" w:hAnsiTheme="majorBidi" w:cstheme="majorBidi"/>
          <w:sz w:val="18"/>
          <w:szCs w:val="18"/>
        </w:rPr>
        <w:t xml:space="preserve"> </w:t>
      </w:r>
      <w:proofErr w:type="spellStart"/>
      <w:r w:rsidRPr="00D10910">
        <w:rPr>
          <w:rFonts w:asciiTheme="majorBidi" w:hAnsiTheme="majorBidi" w:cstheme="majorBidi"/>
          <w:sz w:val="18"/>
          <w:szCs w:val="18"/>
        </w:rPr>
        <w:t>en</w:t>
      </w:r>
      <w:proofErr w:type="spellEnd"/>
      <w:r w:rsidRPr="00D10910">
        <w:rPr>
          <w:rFonts w:asciiTheme="majorBidi" w:hAnsiTheme="majorBidi" w:cstheme="majorBidi"/>
          <w:sz w:val="18"/>
          <w:szCs w:val="18"/>
        </w:rPr>
        <w:t xml:space="preserve"> la </w:t>
      </w:r>
      <w:proofErr w:type="spellStart"/>
      <w:r w:rsidRPr="00D10910">
        <w:rPr>
          <w:rFonts w:asciiTheme="majorBidi" w:hAnsiTheme="majorBidi" w:cstheme="majorBidi"/>
          <w:sz w:val="18"/>
          <w:szCs w:val="18"/>
        </w:rPr>
        <w:t>nuca</w:t>
      </w:r>
      <w:proofErr w:type="spellEnd"/>
      <w:r w:rsidRPr="00D10910">
        <w:rPr>
          <w:rFonts w:asciiTheme="majorBidi" w:hAnsiTheme="majorBidi" w:cstheme="majorBidi"/>
          <w:sz w:val="18"/>
          <w:szCs w:val="18"/>
        </w:rPr>
        <w:t xml:space="preserve">”, </w:t>
      </w:r>
      <w:proofErr w:type="spellStart"/>
      <w:r w:rsidRPr="00D10910">
        <w:rPr>
          <w:rFonts w:asciiTheme="majorBidi" w:hAnsiTheme="majorBidi" w:cstheme="majorBidi"/>
          <w:sz w:val="18"/>
          <w:szCs w:val="18"/>
        </w:rPr>
        <w:t>infobae</w:t>
      </w:r>
      <w:proofErr w:type="spellEnd"/>
      <w:r w:rsidRPr="00D10910">
        <w:rPr>
          <w:rFonts w:asciiTheme="majorBidi" w:hAnsiTheme="majorBidi" w:cstheme="majorBidi"/>
          <w:sz w:val="18"/>
          <w:szCs w:val="18"/>
        </w:rPr>
        <w:t xml:space="preserve">, </w:t>
      </w:r>
      <w:hyperlink r:id="rId16" w:history="1">
        <w:r w:rsidRPr="00D10910">
          <w:rPr>
            <w:rStyle w:val="Hyperlink"/>
            <w:rFonts w:asciiTheme="majorBidi" w:hAnsiTheme="majorBidi" w:cstheme="majorBidi"/>
            <w:sz w:val="18"/>
            <w:szCs w:val="18"/>
          </w:rPr>
          <w:t>https://2h.ae/UADD</w:t>
        </w:r>
      </w:hyperlink>
      <w:r w:rsidRPr="00D10910">
        <w:rPr>
          <w:rFonts w:asciiTheme="majorBidi" w:hAnsiTheme="majorBidi" w:cstheme="majorBidi"/>
          <w:sz w:val="18"/>
          <w:szCs w:val="18"/>
        </w:rPr>
        <w:t xml:space="preserve"> </w:t>
      </w:r>
    </w:p>
  </w:footnote>
  <w:footnote w:id="17">
    <w:p w14:paraId="2F1D7CAF" w14:textId="7E7EFBF7" w:rsidR="00D10910" w:rsidRPr="00D10910" w:rsidRDefault="00D10910">
      <w:pPr>
        <w:pStyle w:val="FootnoteText"/>
        <w:rPr>
          <w:rFonts w:asciiTheme="majorBidi" w:hAnsiTheme="majorBidi" w:cstheme="majorBidi"/>
          <w:sz w:val="18"/>
          <w:szCs w:val="18"/>
          <w:lang w:val="en-GB"/>
        </w:rPr>
      </w:pPr>
      <w:r w:rsidRPr="00D10910">
        <w:rPr>
          <w:rStyle w:val="FootnoteReference"/>
          <w:rFonts w:asciiTheme="majorBidi" w:hAnsiTheme="majorBidi" w:cstheme="majorBidi"/>
          <w:sz w:val="18"/>
          <w:szCs w:val="18"/>
        </w:rPr>
        <w:footnoteRef/>
      </w:r>
      <w:r w:rsidRPr="00D10910">
        <w:rPr>
          <w:rFonts w:asciiTheme="majorBidi" w:hAnsiTheme="majorBidi" w:cstheme="majorBidi"/>
          <w:sz w:val="18"/>
          <w:szCs w:val="18"/>
        </w:rPr>
        <w:t xml:space="preserve"> Canary Islands: Investigations into abuses against minor migrants in reception </w:t>
      </w:r>
      <w:proofErr w:type="spellStart"/>
      <w:r w:rsidRPr="00D10910">
        <w:rPr>
          <w:rFonts w:asciiTheme="majorBidi" w:hAnsiTheme="majorBidi" w:cstheme="majorBidi"/>
          <w:sz w:val="18"/>
          <w:szCs w:val="18"/>
        </w:rPr>
        <w:t>centres</w:t>
      </w:r>
      <w:proofErr w:type="spellEnd"/>
      <w:r w:rsidRPr="00D10910">
        <w:rPr>
          <w:rFonts w:asciiTheme="majorBidi" w:hAnsiTheme="majorBidi" w:cstheme="majorBidi"/>
          <w:sz w:val="18"/>
          <w:szCs w:val="18"/>
        </w:rPr>
        <w:t xml:space="preserve">, </w:t>
      </w:r>
      <w:proofErr w:type="spellStart"/>
      <w:r w:rsidRPr="00D10910">
        <w:rPr>
          <w:rFonts w:asciiTheme="majorBidi" w:hAnsiTheme="majorBidi" w:cstheme="majorBidi"/>
          <w:sz w:val="18"/>
          <w:szCs w:val="18"/>
        </w:rPr>
        <w:t>InfoMigrants</w:t>
      </w:r>
      <w:proofErr w:type="spellEnd"/>
      <w:r w:rsidRPr="00D10910">
        <w:rPr>
          <w:rFonts w:asciiTheme="majorBidi" w:hAnsiTheme="majorBidi" w:cstheme="majorBidi"/>
          <w:sz w:val="18"/>
          <w:szCs w:val="18"/>
        </w:rPr>
        <w:t xml:space="preserve">, </w:t>
      </w:r>
      <w:hyperlink r:id="rId17" w:history="1">
        <w:r w:rsidRPr="00D10910">
          <w:rPr>
            <w:rStyle w:val="Hyperlink"/>
            <w:rFonts w:asciiTheme="majorBidi" w:hAnsiTheme="majorBidi" w:cstheme="majorBidi"/>
            <w:sz w:val="18"/>
            <w:szCs w:val="18"/>
          </w:rPr>
          <w:t>https://2h.ae/ITAe</w:t>
        </w:r>
      </w:hyperlink>
      <w:r w:rsidRPr="00D10910">
        <w:rPr>
          <w:rFonts w:asciiTheme="majorBidi" w:hAnsiTheme="majorBidi" w:cstheme="majorBidi"/>
          <w:sz w:val="18"/>
          <w:szCs w:val="18"/>
        </w:rPr>
        <w:t xml:space="preserve"> </w:t>
      </w:r>
    </w:p>
  </w:footnote>
  <w:footnote w:id="18">
    <w:p w14:paraId="7665F4B3" w14:textId="20C51EEE" w:rsidR="00D10910" w:rsidRPr="00D10910" w:rsidRDefault="00D10910">
      <w:pPr>
        <w:pStyle w:val="FootnoteText"/>
        <w:rPr>
          <w:rFonts w:asciiTheme="majorBidi" w:hAnsiTheme="majorBidi" w:cstheme="majorBidi"/>
          <w:sz w:val="18"/>
          <w:szCs w:val="18"/>
          <w:lang w:val="en-GB"/>
        </w:rPr>
      </w:pPr>
      <w:r w:rsidRPr="00D10910">
        <w:rPr>
          <w:rStyle w:val="FootnoteReference"/>
          <w:rFonts w:asciiTheme="majorBidi" w:hAnsiTheme="majorBidi" w:cstheme="majorBidi"/>
          <w:sz w:val="18"/>
          <w:szCs w:val="18"/>
        </w:rPr>
        <w:footnoteRef/>
      </w:r>
      <w:r w:rsidRPr="00D10910">
        <w:rPr>
          <w:rFonts w:asciiTheme="majorBidi" w:hAnsiTheme="majorBidi" w:cstheme="majorBidi"/>
          <w:sz w:val="18"/>
          <w:szCs w:val="18"/>
        </w:rPr>
        <w:t xml:space="preserve"> Todo lo que </w:t>
      </w:r>
      <w:proofErr w:type="spellStart"/>
      <w:r w:rsidRPr="00D10910">
        <w:rPr>
          <w:rFonts w:asciiTheme="majorBidi" w:hAnsiTheme="majorBidi" w:cstheme="majorBidi"/>
          <w:sz w:val="18"/>
          <w:szCs w:val="18"/>
        </w:rPr>
        <w:t>falla</w:t>
      </w:r>
      <w:proofErr w:type="spellEnd"/>
      <w:r w:rsidRPr="00D10910">
        <w:rPr>
          <w:rFonts w:asciiTheme="majorBidi" w:hAnsiTheme="majorBidi" w:cstheme="majorBidi"/>
          <w:sz w:val="18"/>
          <w:szCs w:val="18"/>
        </w:rPr>
        <w:t xml:space="preserve"> </w:t>
      </w:r>
      <w:proofErr w:type="spellStart"/>
      <w:r w:rsidRPr="00D10910">
        <w:rPr>
          <w:rFonts w:asciiTheme="majorBidi" w:hAnsiTheme="majorBidi" w:cstheme="majorBidi"/>
          <w:sz w:val="18"/>
          <w:szCs w:val="18"/>
        </w:rPr>
        <w:t>en</w:t>
      </w:r>
      <w:proofErr w:type="spellEnd"/>
      <w:r w:rsidRPr="00D10910">
        <w:rPr>
          <w:rFonts w:asciiTheme="majorBidi" w:hAnsiTheme="majorBidi" w:cstheme="majorBidi"/>
          <w:sz w:val="18"/>
          <w:szCs w:val="18"/>
        </w:rPr>
        <w:t xml:space="preserve"> </w:t>
      </w:r>
      <w:proofErr w:type="spellStart"/>
      <w:r w:rsidRPr="00D10910">
        <w:rPr>
          <w:rFonts w:asciiTheme="majorBidi" w:hAnsiTheme="majorBidi" w:cstheme="majorBidi"/>
          <w:sz w:val="18"/>
          <w:szCs w:val="18"/>
        </w:rPr>
        <w:t>el</w:t>
      </w:r>
      <w:proofErr w:type="spellEnd"/>
      <w:r w:rsidRPr="00D10910">
        <w:rPr>
          <w:rFonts w:asciiTheme="majorBidi" w:hAnsiTheme="majorBidi" w:cstheme="majorBidi"/>
          <w:sz w:val="18"/>
          <w:szCs w:val="18"/>
        </w:rPr>
        <w:t xml:space="preserve"> </w:t>
      </w:r>
      <w:proofErr w:type="spellStart"/>
      <w:r w:rsidRPr="00D10910">
        <w:rPr>
          <w:rFonts w:asciiTheme="majorBidi" w:hAnsiTheme="majorBidi" w:cstheme="majorBidi"/>
          <w:sz w:val="18"/>
          <w:szCs w:val="18"/>
        </w:rPr>
        <w:t>sistema</w:t>
      </w:r>
      <w:proofErr w:type="spellEnd"/>
      <w:r w:rsidRPr="00D10910">
        <w:rPr>
          <w:rFonts w:asciiTheme="majorBidi" w:hAnsiTheme="majorBidi" w:cstheme="majorBidi"/>
          <w:sz w:val="18"/>
          <w:szCs w:val="18"/>
        </w:rPr>
        <w:t xml:space="preserve"> de </w:t>
      </w:r>
      <w:proofErr w:type="spellStart"/>
      <w:r w:rsidRPr="00D10910">
        <w:rPr>
          <w:rFonts w:asciiTheme="majorBidi" w:hAnsiTheme="majorBidi" w:cstheme="majorBidi"/>
          <w:sz w:val="18"/>
          <w:szCs w:val="18"/>
        </w:rPr>
        <w:t>acogida</w:t>
      </w:r>
      <w:proofErr w:type="spellEnd"/>
      <w:r w:rsidRPr="00D10910">
        <w:rPr>
          <w:rFonts w:asciiTheme="majorBidi" w:hAnsiTheme="majorBidi" w:cstheme="majorBidi"/>
          <w:sz w:val="18"/>
          <w:szCs w:val="18"/>
        </w:rPr>
        <w:t xml:space="preserve"> </w:t>
      </w:r>
      <w:proofErr w:type="spellStart"/>
      <w:r w:rsidRPr="00D10910">
        <w:rPr>
          <w:rFonts w:asciiTheme="majorBidi" w:hAnsiTheme="majorBidi" w:cstheme="majorBidi"/>
          <w:sz w:val="18"/>
          <w:szCs w:val="18"/>
        </w:rPr>
        <w:t>en</w:t>
      </w:r>
      <w:proofErr w:type="spellEnd"/>
      <w:r w:rsidRPr="00D10910">
        <w:rPr>
          <w:rFonts w:asciiTheme="majorBidi" w:hAnsiTheme="majorBidi" w:cstheme="majorBidi"/>
          <w:sz w:val="18"/>
          <w:szCs w:val="18"/>
        </w:rPr>
        <w:t xml:space="preserve"> Canarias: “Los </w:t>
      </w:r>
      <w:proofErr w:type="spellStart"/>
      <w:r w:rsidRPr="00D10910">
        <w:rPr>
          <w:rFonts w:asciiTheme="majorBidi" w:hAnsiTheme="majorBidi" w:cstheme="majorBidi"/>
          <w:sz w:val="18"/>
          <w:szCs w:val="18"/>
        </w:rPr>
        <w:t>menores</w:t>
      </w:r>
      <w:proofErr w:type="spellEnd"/>
      <w:r w:rsidRPr="00D10910">
        <w:rPr>
          <w:rFonts w:asciiTheme="majorBidi" w:hAnsiTheme="majorBidi" w:cstheme="majorBidi"/>
          <w:sz w:val="18"/>
          <w:szCs w:val="18"/>
        </w:rPr>
        <w:t xml:space="preserve"> </w:t>
      </w:r>
      <w:proofErr w:type="spellStart"/>
      <w:r w:rsidRPr="00D10910">
        <w:rPr>
          <w:rFonts w:asciiTheme="majorBidi" w:hAnsiTheme="majorBidi" w:cstheme="majorBidi"/>
          <w:sz w:val="18"/>
          <w:szCs w:val="18"/>
        </w:rPr>
        <w:t>migrantes</w:t>
      </w:r>
      <w:proofErr w:type="spellEnd"/>
      <w:r w:rsidRPr="00D10910">
        <w:rPr>
          <w:rFonts w:asciiTheme="majorBidi" w:hAnsiTheme="majorBidi" w:cstheme="majorBidi"/>
          <w:sz w:val="18"/>
          <w:szCs w:val="18"/>
        </w:rPr>
        <w:t xml:space="preserve"> </w:t>
      </w:r>
      <w:proofErr w:type="spellStart"/>
      <w:r w:rsidRPr="00D10910">
        <w:rPr>
          <w:rFonts w:asciiTheme="majorBidi" w:hAnsiTheme="majorBidi" w:cstheme="majorBidi"/>
          <w:sz w:val="18"/>
          <w:szCs w:val="18"/>
        </w:rPr>
        <w:t>tienen</w:t>
      </w:r>
      <w:proofErr w:type="spellEnd"/>
      <w:r w:rsidRPr="00D10910">
        <w:rPr>
          <w:rFonts w:asciiTheme="majorBidi" w:hAnsiTheme="majorBidi" w:cstheme="majorBidi"/>
          <w:sz w:val="18"/>
          <w:szCs w:val="18"/>
        </w:rPr>
        <w:t xml:space="preserve"> </w:t>
      </w:r>
      <w:proofErr w:type="spellStart"/>
      <w:r w:rsidRPr="00D10910">
        <w:rPr>
          <w:rFonts w:asciiTheme="majorBidi" w:hAnsiTheme="majorBidi" w:cstheme="majorBidi"/>
          <w:sz w:val="18"/>
          <w:szCs w:val="18"/>
        </w:rPr>
        <w:t>el</w:t>
      </w:r>
      <w:proofErr w:type="spellEnd"/>
      <w:r w:rsidRPr="00D10910">
        <w:rPr>
          <w:rFonts w:asciiTheme="majorBidi" w:hAnsiTheme="majorBidi" w:cstheme="majorBidi"/>
          <w:sz w:val="18"/>
          <w:szCs w:val="18"/>
        </w:rPr>
        <w:t xml:space="preserve"> </w:t>
      </w:r>
      <w:proofErr w:type="spellStart"/>
      <w:r w:rsidRPr="00D10910">
        <w:rPr>
          <w:rFonts w:asciiTheme="majorBidi" w:hAnsiTheme="majorBidi" w:cstheme="majorBidi"/>
          <w:sz w:val="18"/>
          <w:szCs w:val="18"/>
        </w:rPr>
        <w:t>discurso</w:t>
      </w:r>
      <w:proofErr w:type="spellEnd"/>
      <w:r w:rsidRPr="00D10910">
        <w:rPr>
          <w:rFonts w:asciiTheme="majorBidi" w:hAnsiTheme="majorBidi" w:cstheme="majorBidi"/>
          <w:sz w:val="18"/>
          <w:szCs w:val="18"/>
        </w:rPr>
        <w:t xml:space="preserve"> de </w:t>
      </w:r>
      <w:proofErr w:type="spellStart"/>
      <w:r w:rsidRPr="00D10910">
        <w:rPr>
          <w:rFonts w:asciiTheme="majorBidi" w:hAnsiTheme="majorBidi" w:cstheme="majorBidi"/>
          <w:sz w:val="18"/>
          <w:szCs w:val="18"/>
        </w:rPr>
        <w:t>odio</w:t>
      </w:r>
      <w:proofErr w:type="spellEnd"/>
      <w:r w:rsidRPr="00D10910">
        <w:rPr>
          <w:rFonts w:asciiTheme="majorBidi" w:hAnsiTheme="majorBidi" w:cstheme="majorBidi"/>
          <w:sz w:val="18"/>
          <w:szCs w:val="18"/>
        </w:rPr>
        <w:t xml:space="preserve"> </w:t>
      </w:r>
      <w:proofErr w:type="spellStart"/>
      <w:r w:rsidRPr="00D10910">
        <w:rPr>
          <w:rFonts w:asciiTheme="majorBidi" w:hAnsiTheme="majorBidi" w:cstheme="majorBidi"/>
          <w:sz w:val="18"/>
          <w:szCs w:val="18"/>
        </w:rPr>
        <w:t>en</w:t>
      </w:r>
      <w:proofErr w:type="spellEnd"/>
      <w:r w:rsidRPr="00D10910">
        <w:rPr>
          <w:rFonts w:asciiTheme="majorBidi" w:hAnsiTheme="majorBidi" w:cstheme="majorBidi"/>
          <w:sz w:val="18"/>
          <w:szCs w:val="18"/>
        </w:rPr>
        <w:t xml:space="preserve"> la </w:t>
      </w:r>
      <w:proofErr w:type="spellStart"/>
      <w:r w:rsidRPr="00D10910">
        <w:rPr>
          <w:rFonts w:asciiTheme="majorBidi" w:hAnsiTheme="majorBidi" w:cstheme="majorBidi"/>
          <w:sz w:val="18"/>
          <w:szCs w:val="18"/>
        </w:rPr>
        <w:t>nuca</w:t>
      </w:r>
      <w:proofErr w:type="spellEnd"/>
      <w:r w:rsidRPr="00D10910">
        <w:rPr>
          <w:rFonts w:asciiTheme="majorBidi" w:hAnsiTheme="majorBidi" w:cstheme="majorBidi"/>
          <w:sz w:val="18"/>
          <w:szCs w:val="18"/>
        </w:rPr>
        <w:t xml:space="preserve">”, </w:t>
      </w:r>
      <w:proofErr w:type="spellStart"/>
      <w:r w:rsidRPr="00D10910">
        <w:rPr>
          <w:rFonts w:asciiTheme="majorBidi" w:hAnsiTheme="majorBidi" w:cstheme="majorBidi"/>
          <w:sz w:val="18"/>
          <w:szCs w:val="18"/>
        </w:rPr>
        <w:t>infobae</w:t>
      </w:r>
      <w:proofErr w:type="spellEnd"/>
      <w:r w:rsidRPr="00D10910">
        <w:rPr>
          <w:rFonts w:asciiTheme="majorBidi" w:hAnsiTheme="majorBidi" w:cstheme="majorBidi"/>
          <w:sz w:val="18"/>
          <w:szCs w:val="18"/>
        </w:rPr>
        <w:t xml:space="preserve">, </w:t>
      </w:r>
      <w:hyperlink r:id="rId18" w:history="1">
        <w:r w:rsidRPr="00D10910">
          <w:rPr>
            <w:rStyle w:val="Hyperlink"/>
            <w:rFonts w:asciiTheme="majorBidi" w:hAnsiTheme="majorBidi" w:cstheme="majorBidi"/>
            <w:sz w:val="18"/>
            <w:szCs w:val="18"/>
          </w:rPr>
          <w:t>https://2h.ae/UADD</w:t>
        </w:r>
      </w:hyperlink>
      <w:r w:rsidRPr="00D10910">
        <w:rPr>
          <w:rFonts w:asciiTheme="majorBidi" w:hAnsiTheme="majorBidi" w:cstheme="majorBidi"/>
          <w:sz w:val="18"/>
          <w:szCs w:val="18"/>
        </w:rPr>
        <w:t xml:space="preserve"> </w:t>
      </w:r>
    </w:p>
  </w:footnote>
  <w:footnote w:id="19">
    <w:p w14:paraId="33C99153" w14:textId="18FFF991" w:rsidR="00D10910" w:rsidRPr="00D10910" w:rsidRDefault="00D10910">
      <w:pPr>
        <w:pStyle w:val="FootnoteText"/>
        <w:rPr>
          <w:rFonts w:asciiTheme="majorBidi" w:hAnsiTheme="majorBidi" w:cstheme="majorBidi"/>
          <w:sz w:val="18"/>
          <w:szCs w:val="18"/>
          <w:lang w:val="en-GB"/>
        </w:rPr>
      </w:pPr>
      <w:r w:rsidRPr="00D10910">
        <w:rPr>
          <w:rStyle w:val="FootnoteReference"/>
          <w:rFonts w:asciiTheme="majorBidi" w:hAnsiTheme="majorBidi" w:cstheme="majorBidi"/>
          <w:sz w:val="18"/>
          <w:szCs w:val="18"/>
        </w:rPr>
        <w:footnoteRef/>
      </w:r>
      <w:r w:rsidRPr="00D10910">
        <w:rPr>
          <w:rFonts w:asciiTheme="majorBidi" w:hAnsiTheme="majorBidi" w:cstheme="majorBidi"/>
          <w:sz w:val="18"/>
          <w:szCs w:val="18"/>
        </w:rPr>
        <w:t xml:space="preserve"> La </w:t>
      </w:r>
      <w:proofErr w:type="spellStart"/>
      <w:r w:rsidRPr="00D10910">
        <w:rPr>
          <w:rFonts w:asciiTheme="majorBidi" w:hAnsiTheme="majorBidi" w:cstheme="majorBidi"/>
          <w:sz w:val="18"/>
          <w:szCs w:val="18"/>
        </w:rPr>
        <w:t>historia</w:t>
      </w:r>
      <w:proofErr w:type="spellEnd"/>
      <w:r w:rsidRPr="00D10910">
        <w:rPr>
          <w:rFonts w:asciiTheme="majorBidi" w:hAnsiTheme="majorBidi" w:cstheme="majorBidi"/>
          <w:sz w:val="18"/>
          <w:szCs w:val="18"/>
        </w:rPr>
        <w:t xml:space="preserve"> </w:t>
      </w:r>
      <w:proofErr w:type="spellStart"/>
      <w:r w:rsidRPr="00D10910">
        <w:rPr>
          <w:rFonts w:asciiTheme="majorBidi" w:hAnsiTheme="majorBidi" w:cstheme="majorBidi"/>
          <w:sz w:val="18"/>
          <w:szCs w:val="18"/>
        </w:rPr>
        <w:t>tras</w:t>
      </w:r>
      <w:proofErr w:type="spellEnd"/>
      <w:r w:rsidRPr="00D10910">
        <w:rPr>
          <w:rFonts w:asciiTheme="majorBidi" w:hAnsiTheme="majorBidi" w:cstheme="majorBidi"/>
          <w:sz w:val="18"/>
          <w:szCs w:val="18"/>
        </w:rPr>
        <w:t xml:space="preserve"> </w:t>
      </w:r>
      <w:proofErr w:type="spellStart"/>
      <w:r w:rsidRPr="00D10910">
        <w:rPr>
          <w:rFonts w:asciiTheme="majorBidi" w:hAnsiTheme="majorBidi" w:cstheme="majorBidi"/>
          <w:sz w:val="18"/>
          <w:szCs w:val="18"/>
        </w:rPr>
        <w:t>los</w:t>
      </w:r>
      <w:proofErr w:type="spellEnd"/>
      <w:r w:rsidRPr="00D10910">
        <w:rPr>
          <w:rFonts w:asciiTheme="majorBidi" w:hAnsiTheme="majorBidi" w:cstheme="majorBidi"/>
          <w:sz w:val="18"/>
          <w:szCs w:val="18"/>
        </w:rPr>
        <w:t xml:space="preserve"> </w:t>
      </w:r>
      <w:proofErr w:type="spellStart"/>
      <w:r w:rsidRPr="00D10910">
        <w:rPr>
          <w:rFonts w:asciiTheme="majorBidi" w:hAnsiTheme="majorBidi" w:cstheme="majorBidi"/>
          <w:sz w:val="18"/>
          <w:szCs w:val="18"/>
        </w:rPr>
        <w:t>migrantes</w:t>
      </w:r>
      <w:proofErr w:type="spellEnd"/>
      <w:r w:rsidRPr="00D10910">
        <w:rPr>
          <w:rFonts w:asciiTheme="majorBidi" w:hAnsiTheme="majorBidi" w:cstheme="majorBidi"/>
          <w:sz w:val="18"/>
          <w:szCs w:val="18"/>
        </w:rPr>
        <w:t xml:space="preserve"> </w:t>
      </w:r>
      <w:proofErr w:type="spellStart"/>
      <w:r w:rsidRPr="00D10910">
        <w:rPr>
          <w:rFonts w:asciiTheme="majorBidi" w:hAnsiTheme="majorBidi" w:cstheme="majorBidi"/>
          <w:sz w:val="18"/>
          <w:szCs w:val="18"/>
        </w:rPr>
        <w:t>menores</w:t>
      </w:r>
      <w:proofErr w:type="spellEnd"/>
      <w:r w:rsidRPr="00D10910">
        <w:rPr>
          <w:rFonts w:asciiTheme="majorBidi" w:hAnsiTheme="majorBidi" w:cstheme="majorBidi"/>
          <w:sz w:val="18"/>
          <w:szCs w:val="18"/>
        </w:rPr>
        <w:t xml:space="preserve"> que </w:t>
      </w:r>
      <w:proofErr w:type="spellStart"/>
      <w:r w:rsidRPr="00D10910">
        <w:rPr>
          <w:rFonts w:asciiTheme="majorBidi" w:hAnsiTheme="majorBidi" w:cstheme="majorBidi"/>
          <w:sz w:val="18"/>
          <w:szCs w:val="18"/>
        </w:rPr>
        <w:t>denunciaron</w:t>
      </w:r>
      <w:proofErr w:type="spellEnd"/>
      <w:r w:rsidRPr="00D10910">
        <w:rPr>
          <w:rFonts w:asciiTheme="majorBidi" w:hAnsiTheme="majorBidi" w:cstheme="majorBidi"/>
          <w:sz w:val="18"/>
          <w:szCs w:val="18"/>
        </w:rPr>
        <w:t xml:space="preserve"> </w:t>
      </w:r>
      <w:proofErr w:type="spellStart"/>
      <w:r w:rsidRPr="00D10910">
        <w:rPr>
          <w:rFonts w:asciiTheme="majorBidi" w:hAnsiTheme="majorBidi" w:cstheme="majorBidi"/>
          <w:sz w:val="18"/>
          <w:szCs w:val="18"/>
        </w:rPr>
        <w:t>agresiones</w:t>
      </w:r>
      <w:proofErr w:type="spellEnd"/>
      <w:r w:rsidRPr="00D10910">
        <w:rPr>
          <w:rFonts w:asciiTheme="majorBidi" w:hAnsiTheme="majorBidi" w:cstheme="majorBidi"/>
          <w:sz w:val="18"/>
          <w:szCs w:val="18"/>
        </w:rPr>
        <w:t xml:space="preserve">: “Los </w:t>
      </w:r>
      <w:proofErr w:type="spellStart"/>
      <w:r w:rsidRPr="00D10910">
        <w:rPr>
          <w:rFonts w:asciiTheme="majorBidi" w:hAnsiTheme="majorBidi" w:cstheme="majorBidi"/>
          <w:sz w:val="18"/>
          <w:szCs w:val="18"/>
        </w:rPr>
        <w:t>abusos</w:t>
      </w:r>
      <w:proofErr w:type="spellEnd"/>
      <w:r w:rsidRPr="00D10910">
        <w:rPr>
          <w:rFonts w:asciiTheme="majorBidi" w:hAnsiTheme="majorBidi" w:cstheme="majorBidi"/>
          <w:sz w:val="18"/>
          <w:szCs w:val="18"/>
        </w:rPr>
        <w:t xml:space="preserve"> </w:t>
      </w:r>
      <w:proofErr w:type="spellStart"/>
      <w:r w:rsidRPr="00D10910">
        <w:rPr>
          <w:rFonts w:asciiTheme="majorBidi" w:hAnsiTheme="majorBidi" w:cstheme="majorBidi"/>
          <w:sz w:val="18"/>
          <w:szCs w:val="18"/>
        </w:rPr>
        <w:t>en</w:t>
      </w:r>
      <w:proofErr w:type="spellEnd"/>
      <w:r w:rsidRPr="00D10910">
        <w:rPr>
          <w:rFonts w:asciiTheme="majorBidi" w:hAnsiTheme="majorBidi" w:cstheme="majorBidi"/>
          <w:sz w:val="18"/>
          <w:szCs w:val="18"/>
        </w:rPr>
        <w:t xml:space="preserve"> </w:t>
      </w:r>
      <w:proofErr w:type="spellStart"/>
      <w:r w:rsidRPr="00D10910">
        <w:rPr>
          <w:rFonts w:asciiTheme="majorBidi" w:hAnsiTheme="majorBidi" w:cstheme="majorBidi"/>
          <w:sz w:val="18"/>
          <w:szCs w:val="18"/>
        </w:rPr>
        <w:t>centros</w:t>
      </w:r>
      <w:proofErr w:type="spellEnd"/>
      <w:r w:rsidRPr="00D10910">
        <w:rPr>
          <w:rFonts w:asciiTheme="majorBidi" w:hAnsiTheme="majorBidi" w:cstheme="majorBidi"/>
          <w:sz w:val="18"/>
          <w:szCs w:val="18"/>
        </w:rPr>
        <w:t xml:space="preserve"> de la Fundación Siglo XXI son </w:t>
      </w:r>
      <w:proofErr w:type="spellStart"/>
      <w:r w:rsidRPr="00D10910">
        <w:rPr>
          <w:rFonts w:asciiTheme="majorBidi" w:hAnsiTheme="majorBidi" w:cstheme="majorBidi"/>
          <w:sz w:val="18"/>
          <w:szCs w:val="18"/>
        </w:rPr>
        <w:t>habituales</w:t>
      </w:r>
      <w:proofErr w:type="spellEnd"/>
      <w:r w:rsidRPr="00D10910">
        <w:rPr>
          <w:rFonts w:asciiTheme="majorBidi" w:hAnsiTheme="majorBidi" w:cstheme="majorBidi"/>
          <w:sz w:val="18"/>
          <w:szCs w:val="18"/>
        </w:rPr>
        <w:t xml:space="preserve">”, </w:t>
      </w:r>
      <w:proofErr w:type="spellStart"/>
      <w:r w:rsidRPr="00D10910">
        <w:rPr>
          <w:rFonts w:asciiTheme="majorBidi" w:hAnsiTheme="majorBidi" w:cstheme="majorBidi"/>
          <w:sz w:val="18"/>
          <w:szCs w:val="18"/>
        </w:rPr>
        <w:t>infobae</w:t>
      </w:r>
      <w:proofErr w:type="spellEnd"/>
      <w:r w:rsidRPr="00D10910">
        <w:rPr>
          <w:rFonts w:asciiTheme="majorBidi" w:hAnsiTheme="majorBidi" w:cstheme="majorBidi"/>
          <w:sz w:val="18"/>
          <w:szCs w:val="18"/>
        </w:rPr>
        <w:t xml:space="preserve">, </w:t>
      </w:r>
      <w:hyperlink r:id="rId19" w:history="1">
        <w:r w:rsidRPr="00D10910">
          <w:rPr>
            <w:rStyle w:val="Hyperlink"/>
            <w:rFonts w:asciiTheme="majorBidi" w:hAnsiTheme="majorBidi" w:cstheme="majorBidi"/>
            <w:sz w:val="18"/>
            <w:szCs w:val="18"/>
          </w:rPr>
          <w:t>https://2h.ae/BAUC</w:t>
        </w:r>
      </w:hyperlink>
      <w:r w:rsidRPr="00D10910">
        <w:rPr>
          <w:rFonts w:asciiTheme="majorBidi" w:hAnsiTheme="majorBidi" w:cstheme="majorBidi"/>
          <w:sz w:val="18"/>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CCF735" w14:textId="18E60A97" w:rsidR="0058685C" w:rsidRPr="0058685C" w:rsidRDefault="0058685C" w:rsidP="0058685C">
    <w:pPr>
      <w:pStyle w:val="Header"/>
    </w:pPr>
    <w:r>
      <w:rPr>
        <w:noProof/>
        <w:lang w:val="en-GB" w:eastAsia="en-GB"/>
      </w:rPr>
      <w:drawing>
        <wp:inline distT="0" distB="0" distL="0" distR="0" wp14:anchorId="4C31023F" wp14:editId="0F2FF7FE">
          <wp:extent cx="1471930" cy="1143000"/>
          <wp:effectExtent l="0" t="0" r="0" b="0"/>
          <wp:docPr id="5" name="صورة 1"/>
          <wp:cNvGraphicFramePr/>
          <a:graphic xmlns:a="http://schemas.openxmlformats.org/drawingml/2006/main">
            <a:graphicData uri="http://schemas.openxmlformats.org/drawingml/2006/picture">
              <pic:pic xmlns:pic="http://schemas.openxmlformats.org/drawingml/2006/picture">
                <pic:nvPicPr>
                  <pic:cNvPr id="5" name="صورة 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1471930" cy="1143000"/>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E25F2"/>
    <w:multiLevelType w:val="hybridMultilevel"/>
    <w:tmpl w:val="D8A4C192"/>
    <w:lvl w:ilvl="0" w:tplc="F0FED06C">
      <w:numFmt w:val="bullet"/>
      <w:lvlText w:val="•"/>
      <w:lvlJc w:val="left"/>
      <w:pPr>
        <w:ind w:left="720" w:hanging="360"/>
      </w:pPr>
      <w:rPr>
        <w:rFonts w:ascii="Times New Roman" w:eastAsiaTheme="minorHAnsi" w:hAnsi="Times New Roman" w:cs="Times New Roman" w:hint="default"/>
        <w:b w:val="0"/>
        <w:color w:val="auto"/>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624699"/>
    <w:multiLevelType w:val="hybridMultilevel"/>
    <w:tmpl w:val="5AC6C20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FC1C07"/>
    <w:multiLevelType w:val="hybridMultilevel"/>
    <w:tmpl w:val="A76E9C24"/>
    <w:lvl w:ilvl="0" w:tplc="B5505BD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F073E80"/>
    <w:multiLevelType w:val="hybridMultilevel"/>
    <w:tmpl w:val="EA429E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813640"/>
    <w:multiLevelType w:val="hybridMultilevel"/>
    <w:tmpl w:val="845C2A7E"/>
    <w:lvl w:ilvl="0" w:tplc="FDC2A492">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E84018"/>
    <w:multiLevelType w:val="hybridMultilevel"/>
    <w:tmpl w:val="19BA3DF2"/>
    <w:lvl w:ilvl="0" w:tplc="E8C43CDC">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9938A0"/>
    <w:multiLevelType w:val="hybridMultilevel"/>
    <w:tmpl w:val="318E69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CA52769"/>
    <w:multiLevelType w:val="hybridMultilevel"/>
    <w:tmpl w:val="77D25404"/>
    <w:lvl w:ilvl="0" w:tplc="04090001">
      <w:start w:val="1"/>
      <w:numFmt w:val="bullet"/>
      <w:lvlText w:val=""/>
      <w:lvlJc w:val="left"/>
      <w:pPr>
        <w:ind w:left="1080" w:hanging="720"/>
      </w:pPr>
      <w:rPr>
        <w:rFonts w:ascii="Symbol" w:hAnsi="Symbol" w:hint="default"/>
      </w:rPr>
    </w:lvl>
    <w:lvl w:ilvl="1" w:tplc="A8322572">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03557E8"/>
    <w:multiLevelType w:val="hybridMultilevel"/>
    <w:tmpl w:val="60AAE6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24173DFC"/>
    <w:multiLevelType w:val="hybridMultilevel"/>
    <w:tmpl w:val="3F4EF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8F62A5B"/>
    <w:multiLevelType w:val="hybridMultilevel"/>
    <w:tmpl w:val="632893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99733F2"/>
    <w:multiLevelType w:val="hybridMultilevel"/>
    <w:tmpl w:val="6298D4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C47589E"/>
    <w:multiLevelType w:val="hybridMultilevel"/>
    <w:tmpl w:val="D90C5B4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CE469F9"/>
    <w:multiLevelType w:val="hybridMultilevel"/>
    <w:tmpl w:val="6E402D9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F425DC"/>
    <w:multiLevelType w:val="hybridMultilevel"/>
    <w:tmpl w:val="54E68E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34B96ABB"/>
    <w:multiLevelType w:val="hybridMultilevel"/>
    <w:tmpl w:val="5D18C316"/>
    <w:lvl w:ilvl="0" w:tplc="1152C8B4">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7092316"/>
    <w:multiLevelType w:val="hybridMultilevel"/>
    <w:tmpl w:val="8CCE5CE0"/>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F026491"/>
    <w:multiLevelType w:val="hybridMultilevel"/>
    <w:tmpl w:val="9A7029F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43FA11BD"/>
    <w:multiLevelType w:val="hybridMultilevel"/>
    <w:tmpl w:val="892CFB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6D63ED5"/>
    <w:multiLevelType w:val="hybridMultilevel"/>
    <w:tmpl w:val="48C64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75133F0"/>
    <w:multiLevelType w:val="hybridMultilevel"/>
    <w:tmpl w:val="CD1EAA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90B6001"/>
    <w:multiLevelType w:val="hybridMultilevel"/>
    <w:tmpl w:val="BEAE8F96"/>
    <w:lvl w:ilvl="0" w:tplc="04090001">
      <w:start w:val="1"/>
      <w:numFmt w:val="bullet"/>
      <w:lvlText w:val=""/>
      <w:lvlJc w:val="left"/>
      <w:pPr>
        <w:ind w:left="720" w:hanging="360"/>
      </w:pPr>
      <w:rPr>
        <w:rFonts w:ascii="Symbol" w:hAnsi="Symbol"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A735A69"/>
    <w:multiLevelType w:val="hybridMultilevel"/>
    <w:tmpl w:val="4F66703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4B9272BF"/>
    <w:multiLevelType w:val="hybridMultilevel"/>
    <w:tmpl w:val="91BA2FB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4C3C531E"/>
    <w:multiLevelType w:val="hybridMultilevel"/>
    <w:tmpl w:val="C290C4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C7557F5"/>
    <w:multiLevelType w:val="hybridMultilevel"/>
    <w:tmpl w:val="4364AC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37B5615"/>
    <w:multiLevelType w:val="hybridMultilevel"/>
    <w:tmpl w:val="1DD6DA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17C0FCF"/>
    <w:multiLevelType w:val="hybridMultilevel"/>
    <w:tmpl w:val="3496C198"/>
    <w:lvl w:ilvl="0" w:tplc="0409000F">
      <w:start w:val="1"/>
      <w:numFmt w:val="decimal"/>
      <w:lvlText w:val="%1."/>
      <w:lvlJc w:val="left"/>
      <w:pPr>
        <w:ind w:left="720" w:hanging="360"/>
      </w:pPr>
      <w:rPr>
        <w:rFonts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3784443"/>
    <w:multiLevelType w:val="hybridMultilevel"/>
    <w:tmpl w:val="F370B2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5F65EF3"/>
    <w:multiLevelType w:val="hybridMultilevel"/>
    <w:tmpl w:val="5F7220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7655D76"/>
    <w:multiLevelType w:val="hybridMultilevel"/>
    <w:tmpl w:val="721AB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AFB628E"/>
    <w:multiLevelType w:val="hybridMultilevel"/>
    <w:tmpl w:val="75501B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B5435CD"/>
    <w:multiLevelType w:val="hybridMultilevel"/>
    <w:tmpl w:val="6E08A2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6D397D5D"/>
    <w:multiLevelType w:val="hybridMultilevel"/>
    <w:tmpl w:val="302E9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5120721"/>
    <w:multiLevelType w:val="hybridMultilevel"/>
    <w:tmpl w:val="7D244A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7DB6F36"/>
    <w:multiLevelType w:val="hybridMultilevel"/>
    <w:tmpl w:val="549E81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BAF2F59"/>
    <w:multiLevelType w:val="hybridMultilevel"/>
    <w:tmpl w:val="547A621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7" w15:restartNumberingAfterBreak="0">
    <w:nsid w:val="7C325036"/>
    <w:multiLevelType w:val="hybridMultilevel"/>
    <w:tmpl w:val="DD94F04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D142B4F"/>
    <w:multiLevelType w:val="hybridMultilevel"/>
    <w:tmpl w:val="7A56D4C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7F3F59E1"/>
    <w:multiLevelType w:val="hybridMultilevel"/>
    <w:tmpl w:val="C556F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18969025">
    <w:abstractNumId w:val="16"/>
  </w:num>
  <w:num w:numId="2" w16cid:durableId="319427900">
    <w:abstractNumId w:val="4"/>
  </w:num>
  <w:num w:numId="3" w16cid:durableId="483819352">
    <w:abstractNumId w:val="1"/>
  </w:num>
  <w:num w:numId="4" w16cid:durableId="1550531087">
    <w:abstractNumId w:val="12"/>
  </w:num>
  <w:num w:numId="5" w16cid:durableId="365302262">
    <w:abstractNumId w:val="3"/>
  </w:num>
  <w:num w:numId="6" w16cid:durableId="1490904455">
    <w:abstractNumId w:val="29"/>
  </w:num>
  <w:num w:numId="7" w16cid:durableId="1975796718">
    <w:abstractNumId w:val="34"/>
  </w:num>
  <w:num w:numId="8" w16cid:durableId="168910388">
    <w:abstractNumId w:val="37"/>
  </w:num>
  <w:num w:numId="9" w16cid:durableId="864364265">
    <w:abstractNumId w:val="27"/>
  </w:num>
  <w:num w:numId="10" w16cid:durableId="1110662610">
    <w:abstractNumId w:val="30"/>
  </w:num>
  <w:num w:numId="11" w16cid:durableId="48504678">
    <w:abstractNumId w:val="21"/>
  </w:num>
  <w:num w:numId="12" w16cid:durableId="1057243330">
    <w:abstractNumId w:val="36"/>
  </w:num>
  <w:num w:numId="13" w16cid:durableId="113838224">
    <w:abstractNumId w:val="19"/>
  </w:num>
  <w:num w:numId="14" w16cid:durableId="1819300015">
    <w:abstractNumId w:val="7"/>
  </w:num>
  <w:num w:numId="15" w16cid:durableId="1354769003">
    <w:abstractNumId w:val="25"/>
  </w:num>
  <w:num w:numId="16" w16cid:durableId="765884069">
    <w:abstractNumId w:val="13"/>
  </w:num>
  <w:num w:numId="17" w16cid:durableId="1830708544">
    <w:abstractNumId w:val="0"/>
  </w:num>
  <w:num w:numId="18" w16cid:durableId="1195772453">
    <w:abstractNumId w:val="17"/>
  </w:num>
  <w:num w:numId="19" w16cid:durableId="116266373">
    <w:abstractNumId w:val="2"/>
  </w:num>
  <w:num w:numId="20" w16cid:durableId="1165899663">
    <w:abstractNumId w:val="9"/>
  </w:num>
  <w:num w:numId="21" w16cid:durableId="1921870603">
    <w:abstractNumId w:val="39"/>
  </w:num>
  <w:num w:numId="22" w16cid:durableId="1106846340">
    <w:abstractNumId w:val="11"/>
  </w:num>
  <w:num w:numId="23" w16cid:durableId="1120413215">
    <w:abstractNumId w:val="15"/>
  </w:num>
  <w:num w:numId="24" w16cid:durableId="884490536">
    <w:abstractNumId w:val="28"/>
  </w:num>
  <w:num w:numId="25" w16cid:durableId="1098991049">
    <w:abstractNumId w:val="32"/>
  </w:num>
  <w:num w:numId="26" w16cid:durableId="631596808">
    <w:abstractNumId w:val="8"/>
  </w:num>
  <w:num w:numId="27" w16cid:durableId="1306087360">
    <w:abstractNumId w:val="6"/>
  </w:num>
  <w:num w:numId="28" w16cid:durableId="909191109">
    <w:abstractNumId w:val="22"/>
  </w:num>
  <w:num w:numId="29" w16cid:durableId="556204899">
    <w:abstractNumId w:val="23"/>
  </w:num>
  <w:num w:numId="30" w16cid:durableId="1668284805">
    <w:abstractNumId w:val="14"/>
  </w:num>
  <w:num w:numId="31" w16cid:durableId="1777868951">
    <w:abstractNumId w:val="20"/>
  </w:num>
  <w:num w:numId="32" w16cid:durableId="1614898655">
    <w:abstractNumId w:val="5"/>
  </w:num>
  <w:num w:numId="33" w16cid:durableId="364449577">
    <w:abstractNumId w:val="10"/>
  </w:num>
  <w:num w:numId="34" w16cid:durableId="248081818">
    <w:abstractNumId w:val="35"/>
  </w:num>
  <w:num w:numId="35" w16cid:durableId="1742749116">
    <w:abstractNumId w:val="33"/>
  </w:num>
  <w:num w:numId="36" w16cid:durableId="1632056943">
    <w:abstractNumId w:val="24"/>
  </w:num>
  <w:num w:numId="37" w16cid:durableId="16198188">
    <w:abstractNumId w:val="31"/>
  </w:num>
  <w:num w:numId="38" w16cid:durableId="995642619">
    <w:abstractNumId w:val="18"/>
  </w:num>
  <w:num w:numId="39" w16cid:durableId="1951429902">
    <w:abstractNumId w:val="38"/>
  </w:num>
  <w:num w:numId="40" w16cid:durableId="86961432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1650"/>
    <w:rsid w:val="00015BCC"/>
    <w:rsid w:val="00042C6F"/>
    <w:rsid w:val="0004495D"/>
    <w:rsid w:val="0004619A"/>
    <w:rsid w:val="00046C49"/>
    <w:rsid w:val="00086352"/>
    <w:rsid w:val="00093D9F"/>
    <w:rsid w:val="000A0E24"/>
    <w:rsid w:val="000B5D57"/>
    <w:rsid w:val="000B6F75"/>
    <w:rsid w:val="000C7C14"/>
    <w:rsid w:val="00101544"/>
    <w:rsid w:val="00114CCA"/>
    <w:rsid w:val="00156C09"/>
    <w:rsid w:val="001668A8"/>
    <w:rsid w:val="00196443"/>
    <w:rsid w:val="001A6E66"/>
    <w:rsid w:val="001B13EB"/>
    <w:rsid w:val="001B450B"/>
    <w:rsid w:val="001D532C"/>
    <w:rsid w:val="001D6213"/>
    <w:rsid w:val="001F47FD"/>
    <w:rsid w:val="002257CD"/>
    <w:rsid w:val="002305C5"/>
    <w:rsid w:val="00284AAE"/>
    <w:rsid w:val="002876FE"/>
    <w:rsid w:val="002D0B34"/>
    <w:rsid w:val="002D5B01"/>
    <w:rsid w:val="002D65A3"/>
    <w:rsid w:val="003216C7"/>
    <w:rsid w:val="003319F3"/>
    <w:rsid w:val="003439F7"/>
    <w:rsid w:val="00360DAB"/>
    <w:rsid w:val="00372B51"/>
    <w:rsid w:val="0038184B"/>
    <w:rsid w:val="003A0EBE"/>
    <w:rsid w:val="003A1F96"/>
    <w:rsid w:val="003A60A9"/>
    <w:rsid w:val="003A745E"/>
    <w:rsid w:val="003B7C83"/>
    <w:rsid w:val="00401F8D"/>
    <w:rsid w:val="004055DB"/>
    <w:rsid w:val="004134D4"/>
    <w:rsid w:val="00414D42"/>
    <w:rsid w:val="00434DDB"/>
    <w:rsid w:val="00436AE3"/>
    <w:rsid w:val="004650D2"/>
    <w:rsid w:val="004747E7"/>
    <w:rsid w:val="00477C56"/>
    <w:rsid w:val="00484A19"/>
    <w:rsid w:val="00490571"/>
    <w:rsid w:val="004F28E4"/>
    <w:rsid w:val="004F6D5A"/>
    <w:rsid w:val="004F6EC6"/>
    <w:rsid w:val="004F7950"/>
    <w:rsid w:val="005025C7"/>
    <w:rsid w:val="00505CB3"/>
    <w:rsid w:val="005132DF"/>
    <w:rsid w:val="0051677C"/>
    <w:rsid w:val="00531689"/>
    <w:rsid w:val="00531CED"/>
    <w:rsid w:val="00545C58"/>
    <w:rsid w:val="005612DD"/>
    <w:rsid w:val="00566EF4"/>
    <w:rsid w:val="0058685C"/>
    <w:rsid w:val="005A38AA"/>
    <w:rsid w:val="005B3A8D"/>
    <w:rsid w:val="005C3446"/>
    <w:rsid w:val="005E2E96"/>
    <w:rsid w:val="006105E2"/>
    <w:rsid w:val="00640577"/>
    <w:rsid w:val="006412F6"/>
    <w:rsid w:val="00644334"/>
    <w:rsid w:val="00644785"/>
    <w:rsid w:val="00646A53"/>
    <w:rsid w:val="006807A3"/>
    <w:rsid w:val="00690C3F"/>
    <w:rsid w:val="00693967"/>
    <w:rsid w:val="006B1AFB"/>
    <w:rsid w:val="006F5D15"/>
    <w:rsid w:val="0070209C"/>
    <w:rsid w:val="00713444"/>
    <w:rsid w:val="00741D51"/>
    <w:rsid w:val="0074772B"/>
    <w:rsid w:val="0075015E"/>
    <w:rsid w:val="00755B2C"/>
    <w:rsid w:val="00771104"/>
    <w:rsid w:val="00786D2C"/>
    <w:rsid w:val="007A3C77"/>
    <w:rsid w:val="007B5697"/>
    <w:rsid w:val="007C2144"/>
    <w:rsid w:val="007C3E73"/>
    <w:rsid w:val="007D322D"/>
    <w:rsid w:val="007E38ED"/>
    <w:rsid w:val="007E56C8"/>
    <w:rsid w:val="007F62CB"/>
    <w:rsid w:val="00823531"/>
    <w:rsid w:val="00823F46"/>
    <w:rsid w:val="00826C6D"/>
    <w:rsid w:val="008566A8"/>
    <w:rsid w:val="00860C1C"/>
    <w:rsid w:val="00871BB0"/>
    <w:rsid w:val="00875304"/>
    <w:rsid w:val="008823E1"/>
    <w:rsid w:val="00884133"/>
    <w:rsid w:val="008A0867"/>
    <w:rsid w:val="008F2641"/>
    <w:rsid w:val="0091285A"/>
    <w:rsid w:val="009337BF"/>
    <w:rsid w:val="009412A9"/>
    <w:rsid w:val="009850AD"/>
    <w:rsid w:val="00990858"/>
    <w:rsid w:val="009B028E"/>
    <w:rsid w:val="009C623E"/>
    <w:rsid w:val="009D1F8F"/>
    <w:rsid w:val="009E290C"/>
    <w:rsid w:val="00A3448D"/>
    <w:rsid w:val="00A37636"/>
    <w:rsid w:val="00A537CE"/>
    <w:rsid w:val="00A63977"/>
    <w:rsid w:val="00A81650"/>
    <w:rsid w:val="00A81860"/>
    <w:rsid w:val="00A83C1E"/>
    <w:rsid w:val="00AB2EAB"/>
    <w:rsid w:val="00AF7FD1"/>
    <w:rsid w:val="00B01D47"/>
    <w:rsid w:val="00B23185"/>
    <w:rsid w:val="00B35D5B"/>
    <w:rsid w:val="00B36D64"/>
    <w:rsid w:val="00B50DC2"/>
    <w:rsid w:val="00B53978"/>
    <w:rsid w:val="00B6152E"/>
    <w:rsid w:val="00B66916"/>
    <w:rsid w:val="00B76BA7"/>
    <w:rsid w:val="00BA7411"/>
    <w:rsid w:val="00BB10FB"/>
    <w:rsid w:val="00BB2414"/>
    <w:rsid w:val="00BB2E0C"/>
    <w:rsid w:val="00BC2D2E"/>
    <w:rsid w:val="00BC41A1"/>
    <w:rsid w:val="00BE6F35"/>
    <w:rsid w:val="00BF1B11"/>
    <w:rsid w:val="00C0327B"/>
    <w:rsid w:val="00C0706B"/>
    <w:rsid w:val="00C26FE4"/>
    <w:rsid w:val="00C34E13"/>
    <w:rsid w:val="00C47923"/>
    <w:rsid w:val="00C86D0C"/>
    <w:rsid w:val="00CC193E"/>
    <w:rsid w:val="00CC2F15"/>
    <w:rsid w:val="00CC606D"/>
    <w:rsid w:val="00CD3720"/>
    <w:rsid w:val="00CD5381"/>
    <w:rsid w:val="00D01C6A"/>
    <w:rsid w:val="00D10910"/>
    <w:rsid w:val="00D11899"/>
    <w:rsid w:val="00D500E7"/>
    <w:rsid w:val="00D56CB6"/>
    <w:rsid w:val="00D57B63"/>
    <w:rsid w:val="00D674C8"/>
    <w:rsid w:val="00DB04A9"/>
    <w:rsid w:val="00DB5AB9"/>
    <w:rsid w:val="00DC35AC"/>
    <w:rsid w:val="00DE35AB"/>
    <w:rsid w:val="00DF3596"/>
    <w:rsid w:val="00E12DC0"/>
    <w:rsid w:val="00E3117B"/>
    <w:rsid w:val="00E4520A"/>
    <w:rsid w:val="00E45A93"/>
    <w:rsid w:val="00E55456"/>
    <w:rsid w:val="00E820AA"/>
    <w:rsid w:val="00E94DD0"/>
    <w:rsid w:val="00E9641B"/>
    <w:rsid w:val="00EA2C34"/>
    <w:rsid w:val="00EA4670"/>
    <w:rsid w:val="00EB7424"/>
    <w:rsid w:val="00ED3ED2"/>
    <w:rsid w:val="00ED7702"/>
    <w:rsid w:val="00EF597D"/>
    <w:rsid w:val="00F433B2"/>
    <w:rsid w:val="00F533B4"/>
    <w:rsid w:val="00F56B3D"/>
    <w:rsid w:val="00F60E10"/>
    <w:rsid w:val="00F715CB"/>
    <w:rsid w:val="00F72F2C"/>
    <w:rsid w:val="00F8429A"/>
    <w:rsid w:val="00F8441B"/>
    <w:rsid w:val="00F871C7"/>
    <w:rsid w:val="00F94355"/>
    <w:rsid w:val="00FA13E3"/>
    <w:rsid w:val="00FA5CD7"/>
    <w:rsid w:val="00FE660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58E1D3"/>
  <w15:chartTrackingRefBased/>
  <w15:docId w15:val="{E4AEE0B2-DA05-4C24-9857-515E84AA2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606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iPriority w:val="99"/>
    <w:unhideWhenUsed/>
    <w:qFormat/>
    <w:rsid w:val="004F6D5A"/>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4F6D5A"/>
    <w:rPr>
      <w:sz w:val="20"/>
      <w:szCs w:val="20"/>
    </w:rPr>
  </w:style>
  <w:style w:type="character" w:styleId="FootnoteReference">
    <w:name w:val="footnote reference"/>
    <w:aliases w:val="4_G,4_GA"/>
    <w:basedOn w:val="DefaultParagraphFont"/>
    <w:uiPriority w:val="99"/>
    <w:unhideWhenUsed/>
    <w:qFormat/>
    <w:rsid w:val="004F6D5A"/>
    <w:rPr>
      <w:vertAlign w:val="superscript"/>
    </w:rPr>
  </w:style>
  <w:style w:type="character" w:styleId="Hyperlink">
    <w:name w:val="Hyperlink"/>
    <w:basedOn w:val="DefaultParagraphFont"/>
    <w:uiPriority w:val="99"/>
    <w:unhideWhenUsed/>
    <w:rsid w:val="004F6D5A"/>
    <w:rPr>
      <w:color w:val="0563C1" w:themeColor="hyperlink"/>
      <w:u w:val="single"/>
    </w:rPr>
  </w:style>
  <w:style w:type="character" w:styleId="FollowedHyperlink">
    <w:name w:val="FollowedHyperlink"/>
    <w:basedOn w:val="DefaultParagraphFont"/>
    <w:uiPriority w:val="99"/>
    <w:semiHidden/>
    <w:unhideWhenUsed/>
    <w:rsid w:val="009D1F8F"/>
    <w:rPr>
      <w:color w:val="954F72" w:themeColor="followedHyperlink"/>
      <w:u w:val="single"/>
    </w:rPr>
  </w:style>
  <w:style w:type="paragraph" w:styleId="ListParagraph">
    <w:name w:val="List Paragraph"/>
    <w:basedOn w:val="Normal"/>
    <w:link w:val="ListParagraphChar"/>
    <w:uiPriority w:val="34"/>
    <w:qFormat/>
    <w:rsid w:val="00AF7FD1"/>
    <w:pPr>
      <w:ind w:left="720"/>
      <w:contextualSpacing/>
    </w:pPr>
  </w:style>
  <w:style w:type="paragraph" w:styleId="Header">
    <w:name w:val="header"/>
    <w:basedOn w:val="Normal"/>
    <w:link w:val="HeaderChar"/>
    <w:uiPriority w:val="99"/>
    <w:unhideWhenUsed/>
    <w:rsid w:val="005868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685C"/>
  </w:style>
  <w:style w:type="paragraph" w:styleId="Footer">
    <w:name w:val="footer"/>
    <w:basedOn w:val="Normal"/>
    <w:link w:val="FooterChar"/>
    <w:uiPriority w:val="99"/>
    <w:unhideWhenUsed/>
    <w:rsid w:val="005868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685C"/>
  </w:style>
  <w:style w:type="table" w:styleId="TableGrid">
    <w:name w:val="Table Grid"/>
    <w:basedOn w:val="TableNormal"/>
    <w:uiPriority w:val="39"/>
    <w:rsid w:val="00646A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646A53"/>
  </w:style>
  <w:style w:type="character" w:customStyle="1" w:styleId="UnresolvedMention1">
    <w:name w:val="Unresolved Mention1"/>
    <w:basedOn w:val="DefaultParagraphFont"/>
    <w:uiPriority w:val="99"/>
    <w:semiHidden/>
    <w:unhideWhenUsed/>
    <w:rsid w:val="007E56C8"/>
    <w:rPr>
      <w:color w:val="605E5C"/>
      <w:shd w:val="clear" w:color="auto" w:fill="E1DFDD"/>
    </w:rPr>
  </w:style>
  <w:style w:type="character" w:customStyle="1" w:styleId="ListParagraphChar">
    <w:name w:val="List Paragraph Char"/>
    <w:link w:val="ListParagraph"/>
    <w:uiPriority w:val="34"/>
    <w:rsid w:val="00E55456"/>
  </w:style>
  <w:style w:type="paragraph" w:styleId="HTMLPreformatted">
    <w:name w:val="HTML Preformatted"/>
    <w:basedOn w:val="Normal"/>
    <w:link w:val="HTMLPreformattedChar"/>
    <w:uiPriority w:val="99"/>
    <w:unhideWhenUsed/>
    <w:rsid w:val="009850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9850AD"/>
    <w:rPr>
      <w:rFonts w:ascii="Courier New" w:eastAsia="Times New Roman" w:hAnsi="Courier New" w:cs="Courier New"/>
      <w:sz w:val="20"/>
      <w:szCs w:val="20"/>
    </w:rPr>
  </w:style>
  <w:style w:type="character" w:customStyle="1" w:styleId="y2iqfc">
    <w:name w:val="y2iqfc"/>
    <w:basedOn w:val="DefaultParagraphFont"/>
    <w:rsid w:val="009850AD"/>
  </w:style>
  <w:style w:type="character" w:styleId="CommentReference">
    <w:name w:val="annotation reference"/>
    <w:basedOn w:val="DefaultParagraphFont"/>
    <w:uiPriority w:val="99"/>
    <w:semiHidden/>
    <w:unhideWhenUsed/>
    <w:rsid w:val="009850AD"/>
    <w:rPr>
      <w:sz w:val="16"/>
      <w:szCs w:val="16"/>
    </w:rPr>
  </w:style>
  <w:style w:type="paragraph" w:styleId="CommentText">
    <w:name w:val="annotation text"/>
    <w:basedOn w:val="Normal"/>
    <w:link w:val="CommentTextChar"/>
    <w:uiPriority w:val="99"/>
    <w:semiHidden/>
    <w:unhideWhenUsed/>
    <w:rsid w:val="009850AD"/>
    <w:pPr>
      <w:bidi/>
      <w:spacing w:after="200" w:line="240" w:lineRule="auto"/>
      <w:ind w:left="300" w:hanging="357"/>
    </w:pPr>
    <w:rPr>
      <w:rFonts w:eastAsiaTheme="minorEastAsia"/>
      <w:sz w:val="20"/>
      <w:szCs w:val="20"/>
    </w:rPr>
  </w:style>
  <w:style w:type="character" w:customStyle="1" w:styleId="CommentTextChar">
    <w:name w:val="Comment Text Char"/>
    <w:basedOn w:val="DefaultParagraphFont"/>
    <w:link w:val="CommentText"/>
    <w:uiPriority w:val="99"/>
    <w:semiHidden/>
    <w:rsid w:val="009850AD"/>
    <w:rPr>
      <w:rFonts w:eastAsiaTheme="minorEastAsia"/>
      <w:sz w:val="20"/>
      <w:szCs w:val="20"/>
    </w:rPr>
  </w:style>
  <w:style w:type="character" w:styleId="UnresolvedMention">
    <w:name w:val="Unresolved Mention"/>
    <w:basedOn w:val="DefaultParagraphFont"/>
    <w:uiPriority w:val="99"/>
    <w:semiHidden/>
    <w:unhideWhenUsed/>
    <w:rsid w:val="006105E2"/>
    <w:rPr>
      <w:color w:val="605E5C"/>
      <w:shd w:val="clear" w:color="auto" w:fill="E1DFDD"/>
    </w:rPr>
  </w:style>
  <w:style w:type="table" w:styleId="GridTable5Dark-Accent1">
    <w:name w:val="Grid Table 5 Dark Accent 1"/>
    <w:basedOn w:val="TableNormal"/>
    <w:uiPriority w:val="50"/>
    <w:rsid w:val="00D500E7"/>
    <w:pPr>
      <w:spacing w:before="100" w:beforeAutospacing="1" w:after="0" w:afterAutospacing="1"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841083">
      <w:bodyDiv w:val="1"/>
      <w:marLeft w:val="0"/>
      <w:marRight w:val="0"/>
      <w:marTop w:val="0"/>
      <w:marBottom w:val="0"/>
      <w:divBdr>
        <w:top w:val="none" w:sz="0" w:space="0" w:color="auto"/>
        <w:left w:val="none" w:sz="0" w:space="0" w:color="auto"/>
        <w:bottom w:val="none" w:sz="0" w:space="0" w:color="auto"/>
        <w:right w:val="none" w:sz="0" w:space="0" w:color="auto"/>
      </w:divBdr>
    </w:div>
    <w:div w:id="664556909">
      <w:bodyDiv w:val="1"/>
      <w:marLeft w:val="0"/>
      <w:marRight w:val="0"/>
      <w:marTop w:val="0"/>
      <w:marBottom w:val="0"/>
      <w:divBdr>
        <w:top w:val="none" w:sz="0" w:space="0" w:color="auto"/>
        <w:left w:val="none" w:sz="0" w:space="0" w:color="auto"/>
        <w:bottom w:val="none" w:sz="0" w:space="0" w:color="auto"/>
        <w:right w:val="none" w:sz="0" w:space="0" w:color="auto"/>
      </w:divBdr>
    </w:div>
    <w:div w:id="1346781868">
      <w:bodyDiv w:val="1"/>
      <w:marLeft w:val="0"/>
      <w:marRight w:val="0"/>
      <w:marTop w:val="0"/>
      <w:marBottom w:val="0"/>
      <w:divBdr>
        <w:top w:val="none" w:sz="0" w:space="0" w:color="auto"/>
        <w:left w:val="none" w:sz="0" w:space="0" w:color="auto"/>
        <w:bottom w:val="none" w:sz="0" w:space="0" w:color="auto"/>
        <w:right w:val="none" w:sz="0" w:space="0" w:color="auto"/>
      </w:divBdr>
    </w:div>
    <w:div w:id="1655446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jpe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_rels/footnotes.xml.rels><?xml version="1.0" encoding="UTF-8" standalone="yes"?>
<Relationships xmlns="http://schemas.openxmlformats.org/package/2006/relationships"><Relationship Id="rId8" Type="http://schemas.openxmlformats.org/officeDocument/2006/relationships/hyperlink" Target="https://2h.ae/aFIz" TargetMode="External"/><Relationship Id="rId13" Type="http://schemas.openxmlformats.org/officeDocument/2006/relationships/hyperlink" Target="https://2h.ae/GRNs" TargetMode="External"/><Relationship Id="rId18" Type="http://schemas.openxmlformats.org/officeDocument/2006/relationships/hyperlink" Target="https://2h.ae/UADD" TargetMode="External"/><Relationship Id="rId3" Type="http://schemas.openxmlformats.org/officeDocument/2006/relationships/hyperlink" Target="https://2h.ae/ZvUP" TargetMode="External"/><Relationship Id="rId7" Type="http://schemas.openxmlformats.org/officeDocument/2006/relationships/hyperlink" Target="https://2h.ae/PAaY" TargetMode="External"/><Relationship Id="rId12" Type="http://schemas.openxmlformats.org/officeDocument/2006/relationships/hyperlink" Target="https://2h.ae/wfUt" TargetMode="External"/><Relationship Id="rId17" Type="http://schemas.openxmlformats.org/officeDocument/2006/relationships/hyperlink" Target="https://2h.ae/ITAe" TargetMode="External"/><Relationship Id="rId2" Type="http://schemas.openxmlformats.org/officeDocument/2006/relationships/hyperlink" Target="https://2h.ae/CwOi" TargetMode="External"/><Relationship Id="rId16" Type="http://schemas.openxmlformats.org/officeDocument/2006/relationships/hyperlink" Target="https://2h.ae/UADD" TargetMode="External"/><Relationship Id="rId1" Type="http://schemas.openxmlformats.org/officeDocument/2006/relationships/hyperlink" Target="https://2h.ae/wfUt" TargetMode="External"/><Relationship Id="rId6" Type="http://schemas.openxmlformats.org/officeDocument/2006/relationships/hyperlink" Target="https://2h.ae/ZNWY" TargetMode="External"/><Relationship Id="rId11" Type="http://schemas.openxmlformats.org/officeDocument/2006/relationships/hyperlink" Target="https://2h.ae/komJ" TargetMode="External"/><Relationship Id="rId5" Type="http://schemas.openxmlformats.org/officeDocument/2006/relationships/hyperlink" Target="https://2h.ae/EeEr" TargetMode="External"/><Relationship Id="rId15" Type="http://schemas.openxmlformats.org/officeDocument/2006/relationships/hyperlink" Target="https://2h.ae/QAyT" TargetMode="External"/><Relationship Id="rId10" Type="http://schemas.openxmlformats.org/officeDocument/2006/relationships/hyperlink" Target="https://2h.ae/rFpV" TargetMode="External"/><Relationship Id="rId19" Type="http://schemas.openxmlformats.org/officeDocument/2006/relationships/hyperlink" Target="https://2h.ae/BAUC" TargetMode="External"/><Relationship Id="rId4" Type="http://schemas.openxmlformats.org/officeDocument/2006/relationships/hyperlink" Target="https://2h.ae/kWQE" TargetMode="External"/><Relationship Id="rId9" Type="http://schemas.openxmlformats.org/officeDocument/2006/relationships/hyperlink" Target="https://2h.ae/GgVf" TargetMode="External"/><Relationship Id="rId14" Type="http://schemas.openxmlformats.org/officeDocument/2006/relationships/hyperlink" Target="https://2h.ae/rFpV"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798CFA-3D8E-489F-8992-A7625FD7A28B}">
  <ds:schemaRefs>
    <ds:schemaRef ds:uri="http://schemas.openxmlformats.org/officeDocument/2006/bibliography"/>
  </ds:schemaRefs>
</ds:datastoreItem>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7</Pages>
  <Words>2389</Words>
  <Characters>13619</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James Boit</cp:lastModifiedBy>
  <cp:revision>2</cp:revision>
  <dcterms:created xsi:type="dcterms:W3CDTF">2025-11-06T10:27:00Z</dcterms:created>
  <dcterms:modified xsi:type="dcterms:W3CDTF">2025-11-06T10:27:00Z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a082c0eeaec495607543bb366324cad789a8f1398e9c10fe1a33a8fa08a1c73f</vt:lpwstr>
  </property>
</Properties>
</file>