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jc w:val="center"/>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002">
      <w:pPr>
        <w:spacing w:line="240" w:lineRule="auto"/>
        <w:jc w:val="center"/>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003">
      <w:pPr>
        <w:spacing w:line="240" w:lineRule="auto"/>
        <w:jc w:val="center"/>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004">
      <w:pPr>
        <w:spacing w:line="240" w:lineRule="auto"/>
        <w:jc w:val="center"/>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005">
      <w:pPr>
        <w:spacing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SUMMARY REPORT ON FAMILY-RELATED ISSUES IN NEPAL</w:t>
      </w:r>
    </w:p>
    <w:p w:rsidR="00000000" w:rsidDel="00000000" w:rsidP="00000000" w:rsidRDefault="00000000" w:rsidRPr="00000000" w14:paraId="00000006">
      <w:pPr>
        <w:spacing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90th CEDAW Session, February 2025</w:t>
      </w:r>
    </w:p>
    <w:p w:rsidR="00000000" w:rsidDel="00000000" w:rsidP="00000000" w:rsidRDefault="00000000" w:rsidRPr="00000000" w14:paraId="00000007">
      <w:pPr>
        <w:spacing w:line="24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08">
      <w:pPr>
        <w:spacing w:line="240" w:lineRule="auto"/>
        <w:rPr>
          <w:rFonts w:ascii="Calibri" w:cs="Calibri" w:eastAsia="Calibri" w:hAnsi="Calibri"/>
          <w:b w:val="1"/>
          <w:color w:val="434343"/>
          <w:sz w:val="26"/>
          <w:szCs w:val="26"/>
        </w:rPr>
      </w:pPr>
      <w:r w:rsidDel="00000000" w:rsidR="00000000" w:rsidRPr="00000000">
        <w:rPr>
          <w:rFonts w:ascii="Calibri" w:cs="Calibri" w:eastAsia="Calibri" w:hAnsi="Calibri"/>
          <w:b w:val="1"/>
          <w:color w:val="434343"/>
          <w:sz w:val="26"/>
          <w:szCs w:val="26"/>
          <w:rtl w:val="0"/>
        </w:rPr>
        <w:t xml:space="preserve">INTRODUCTION</w:t>
      </w:r>
    </w:p>
    <w:p w:rsidR="00000000" w:rsidDel="00000000" w:rsidP="00000000" w:rsidRDefault="00000000" w:rsidRPr="00000000" w14:paraId="00000009">
      <w:pPr>
        <w:spacing w:line="240" w:lineRule="auto"/>
        <w:rPr>
          <w:rFonts w:ascii="Calibri" w:cs="Calibri" w:eastAsia="Calibri" w:hAnsi="Calibri"/>
          <w:b w:val="1"/>
          <w:color w:val="434343"/>
        </w:rPr>
      </w:pPr>
      <w:r w:rsidDel="00000000" w:rsidR="00000000" w:rsidRPr="00000000">
        <w:rPr>
          <w:rtl w:val="0"/>
        </w:rPr>
      </w:r>
    </w:p>
    <w:p w:rsidR="00000000" w:rsidDel="00000000" w:rsidP="00000000" w:rsidRDefault="00000000" w:rsidRPr="00000000" w14:paraId="0000000A">
      <w:pPr>
        <w:spacing w:line="240" w:lineRule="auto"/>
        <w:rPr>
          <w:rFonts w:ascii="Calibri" w:cs="Calibri" w:eastAsia="Calibri" w:hAnsi="Calibri"/>
        </w:rPr>
      </w:pPr>
      <w:r w:rsidDel="00000000" w:rsidR="00000000" w:rsidRPr="00000000">
        <w:rPr>
          <w:rFonts w:ascii="Calibri" w:cs="Calibri" w:eastAsia="Calibri" w:hAnsi="Calibri"/>
          <w:rtl w:val="0"/>
        </w:rPr>
        <w:t xml:space="preserve">The Global Campaign for Equality in Family Law</w:t>
      </w:r>
      <w:r w:rsidDel="00000000" w:rsidR="00000000" w:rsidRPr="00000000">
        <w:rPr>
          <w:rFonts w:ascii="Calibri" w:cs="Calibri" w:eastAsia="Calibri" w:hAnsi="Calibri"/>
          <w:vertAlign w:val="superscript"/>
        </w:rPr>
        <w:footnoteReference w:customMarkFollows="0" w:id="0"/>
      </w:r>
      <w:r w:rsidDel="00000000" w:rsidR="00000000" w:rsidRPr="00000000">
        <w:rPr>
          <w:rFonts w:ascii="Calibri" w:cs="Calibri" w:eastAsia="Calibri" w:hAnsi="Calibri"/>
          <w:rtl w:val="0"/>
        </w:rPr>
        <w:t xml:space="preserve"> (GCEFL), Forum for Women in Law and Development (FWLD)</w:t>
      </w:r>
      <w:r w:rsidDel="00000000" w:rsidR="00000000" w:rsidRPr="00000000">
        <w:rPr>
          <w:rFonts w:ascii="Calibri" w:cs="Calibri" w:eastAsia="Calibri" w:hAnsi="Calibri"/>
          <w:vertAlign w:val="superscript"/>
        </w:rPr>
        <w:footnoteReference w:customMarkFollows="0" w:id="1"/>
      </w:r>
      <w:r w:rsidDel="00000000" w:rsidR="00000000" w:rsidRPr="00000000">
        <w:rPr>
          <w:rFonts w:ascii="Calibri" w:cs="Calibri" w:eastAsia="Calibri" w:hAnsi="Calibri"/>
          <w:rtl w:val="0"/>
        </w:rPr>
        <w:t xml:space="preserve"> Nepal and Women for Human Rights, single women’s group (WHR)</w:t>
      </w:r>
      <w:r w:rsidDel="00000000" w:rsidR="00000000" w:rsidRPr="00000000">
        <w:rPr>
          <w:rFonts w:ascii="Calibri" w:cs="Calibri" w:eastAsia="Calibri" w:hAnsi="Calibri"/>
          <w:vertAlign w:val="superscript"/>
        </w:rPr>
        <w:footnoteReference w:customMarkFollows="0" w:id="2"/>
      </w:r>
      <w:r w:rsidDel="00000000" w:rsidR="00000000" w:rsidRPr="00000000">
        <w:rPr>
          <w:rFonts w:ascii="Calibri" w:cs="Calibri" w:eastAsia="Calibri" w:hAnsi="Calibri"/>
          <w:rtl w:val="0"/>
        </w:rPr>
        <w:t xml:space="preserve"> and Equality </w:t>
      </w:r>
      <w:r w:rsidDel="00000000" w:rsidR="00000000" w:rsidRPr="00000000">
        <w:rPr>
          <w:rFonts w:ascii="Calibri" w:cs="Calibri" w:eastAsia="Calibri" w:hAnsi="Calibri"/>
          <w:rtl w:val="0"/>
        </w:rPr>
        <w:t xml:space="preserve">Now</w:t>
      </w:r>
      <w:r w:rsidDel="00000000" w:rsidR="00000000" w:rsidRPr="00000000">
        <w:rPr>
          <w:rFonts w:ascii="Calibri" w:cs="Calibri" w:eastAsia="Calibri" w:hAnsi="Calibri"/>
          <w:vertAlign w:val="superscript"/>
        </w:rPr>
        <w:footnoteReference w:customMarkFollows="0" w:id="3"/>
      </w:r>
      <w:r w:rsidDel="00000000" w:rsidR="00000000" w:rsidRPr="00000000">
        <w:rPr>
          <w:rFonts w:ascii="Calibri" w:cs="Calibri" w:eastAsia="Calibri" w:hAnsi="Calibri"/>
          <w:rtl w:val="0"/>
        </w:rPr>
        <w:t xml:space="preserve"> is pleased to  submit this summary report to the Committee on the Elimination of Discrimination Against Women (CEDAW) on Nepal’s periodic State party report for the 90th CEDAW Session in February 2025.</w:t>
      </w:r>
    </w:p>
    <w:p w:rsidR="00000000" w:rsidDel="00000000" w:rsidP="00000000" w:rsidRDefault="00000000" w:rsidRPr="00000000" w14:paraId="0000000B">
      <w:pPr>
        <w:spacing w:line="240" w:lineRule="auto"/>
        <w:rPr>
          <w:rFonts w:ascii="Calibri" w:cs="Calibri" w:eastAsia="Calibri" w:hAnsi="Calibri"/>
          <w:color w:val="999999"/>
        </w:rPr>
      </w:pPr>
      <w:r w:rsidDel="00000000" w:rsidR="00000000" w:rsidRPr="00000000">
        <w:rPr>
          <w:rtl w:val="0"/>
        </w:rPr>
      </w:r>
    </w:p>
    <w:p w:rsidR="00000000" w:rsidDel="00000000" w:rsidP="00000000" w:rsidRDefault="00000000" w:rsidRPr="00000000" w14:paraId="0000000C">
      <w:pPr>
        <w:spacing w:line="240" w:lineRule="auto"/>
        <w:rPr>
          <w:rFonts w:ascii="Calibri" w:cs="Calibri" w:eastAsia="Calibri" w:hAnsi="Calibri"/>
        </w:rPr>
      </w:pPr>
      <w:r w:rsidDel="00000000" w:rsidR="00000000" w:rsidRPr="00000000">
        <w:rPr>
          <w:rFonts w:ascii="Calibri" w:cs="Calibri" w:eastAsia="Calibri" w:hAnsi="Calibri"/>
          <w:rtl w:val="0"/>
        </w:rPr>
        <w:t xml:space="preserve">Following the briefing to the CEDAW Committee in October 2023 on Article 16 and family law, the GCEFL respectfully submits this summary report to contribute to the analysis of Nepal’s compliance with the Convention on the Elimination of All Forms of Discrimination against Women (“the Convention”). In this report, we focus on the issue of marital property rights, widowhood rights and SOGIE rights which is currently in violation of articles 1 (equality), 2 (non-discrimination), 5 (gender stereotypes), 15 (legal equality) and 16 (marriage and family) of the Convention, providing a general overview of discriminatory aspects related to family law and practices. National experts were consulted in preparing this report. </w:t>
      </w:r>
    </w:p>
    <w:p w:rsidR="00000000" w:rsidDel="00000000" w:rsidP="00000000" w:rsidRDefault="00000000" w:rsidRPr="00000000" w14:paraId="0000000D">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0E">
      <w:pPr>
        <w:spacing w:line="240" w:lineRule="auto"/>
        <w:rPr>
          <w:rFonts w:ascii="Calibri" w:cs="Calibri" w:eastAsia="Calibri" w:hAnsi="Calibri"/>
        </w:rPr>
      </w:pPr>
      <w:r w:rsidDel="00000000" w:rsidR="00000000" w:rsidRPr="00000000">
        <w:rPr>
          <w:rFonts w:ascii="Calibri" w:cs="Calibri" w:eastAsia="Calibri" w:hAnsi="Calibri"/>
          <w:rtl w:val="0"/>
        </w:rPr>
        <w:t xml:space="preserve">In the last CEDAW Review of Nepal (2018), the  Committee issued recommendations urging Nepal to - </w:t>
      </w:r>
      <w:r w:rsidDel="00000000" w:rsidR="00000000" w:rsidRPr="00000000">
        <w:rPr>
          <w:rFonts w:ascii="Calibri" w:cs="Calibri" w:eastAsia="Calibri" w:hAnsi="Calibri"/>
          <w:i w:val="1"/>
          <w:rtl w:val="0"/>
        </w:rPr>
        <w:t xml:space="preserve">“</w:t>
      </w:r>
      <w:r w:rsidDel="00000000" w:rsidR="00000000" w:rsidRPr="00000000">
        <w:rPr>
          <w:rFonts w:ascii="Calibri" w:cs="Calibri" w:eastAsia="Calibri" w:hAnsi="Calibri"/>
          <w:b w:val="1"/>
          <w:i w:val="1"/>
          <w:rtl w:val="0"/>
        </w:rPr>
        <w:t xml:space="preserve">Repeal all remaining constitutional and legal provisions that discriminate against women and girls, in particular in the areas of nationality, distribution of marital property upon divorce and access to employment abroad.” </w:t>
      </w:r>
      <w:r w:rsidDel="00000000" w:rsidR="00000000" w:rsidRPr="00000000">
        <w:rPr>
          <w:rFonts w:ascii="Calibri" w:cs="Calibri" w:eastAsia="Calibri" w:hAnsi="Calibri"/>
          <w:b w:val="1"/>
          <w:i w:val="1"/>
          <w:vertAlign w:val="superscript"/>
        </w:rPr>
        <w:footnoteReference w:customMarkFollows="0" w:id="4"/>
      </w:r>
      <w:r w:rsidDel="00000000" w:rsidR="00000000" w:rsidRPr="00000000">
        <w:rPr>
          <w:rtl w:val="0"/>
        </w:rPr>
      </w:r>
    </w:p>
    <w:p w:rsidR="00000000" w:rsidDel="00000000" w:rsidP="00000000" w:rsidRDefault="00000000" w:rsidRPr="00000000" w14:paraId="0000000F">
      <w:pPr>
        <w:shd w:fill="ffffff" w:val="clear"/>
        <w:spacing w:after="360" w:before="240" w:line="240" w:lineRule="auto"/>
        <w:rPr>
          <w:rFonts w:ascii="Calibri" w:cs="Calibri" w:eastAsia="Calibri" w:hAnsi="Calibri"/>
        </w:rPr>
      </w:pPr>
      <w:r w:rsidDel="00000000" w:rsidR="00000000" w:rsidRPr="00000000">
        <w:rPr>
          <w:rFonts w:ascii="Calibri" w:cs="Calibri" w:eastAsia="Calibri" w:hAnsi="Calibri"/>
          <w:rtl w:val="0"/>
        </w:rPr>
        <w:t xml:space="preserve">W</w:t>
      </w:r>
      <w:r w:rsidDel="00000000" w:rsidR="00000000" w:rsidRPr="00000000">
        <w:rPr>
          <w:rFonts w:ascii="Calibri" w:cs="Calibri" w:eastAsia="Calibri" w:hAnsi="Calibri"/>
          <w:rtl w:val="0"/>
        </w:rPr>
        <w:t xml:space="preserve">e would like to urge the CEDAW Committee once again to kindly consider granting more time and specific attention to Article 16-related matters during the Constructive Dialogues. </w:t>
      </w:r>
    </w:p>
    <w:p w:rsidR="00000000" w:rsidDel="00000000" w:rsidP="00000000" w:rsidRDefault="00000000" w:rsidRPr="00000000" w14:paraId="00000010">
      <w:pPr>
        <w:shd w:fill="ffffff" w:val="clear"/>
        <w:spacing w:after="360" w:before="24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SUMMARY OF ISSUES </w:t>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0"/>
        <w:gridCol w:w="1725"/>
        <w:gridCol w:w="6645"/>
        <w:tblGridChange w:id="0">
          <w:tblGrid>
            <w:gridCol w:w="990"/>
            <w:gridCol w:w="1725"/>
            <w:gridCol w:w="6645"/>
          </w:tblGrid>
        </w:tblGridChange>
      </w:tblGrid>
      <w:tr>
        <w:trPr>
          <w:cantSplit w:val="0"/>
          <w:tblHeader w:val="0"/>
        </w:trPr>
        <w:tc>
          <w:tcPr>
            <w:shd w:fill="fff2cc" w:val="clear"/>
            <w:tcMar>
              <w:top w:w="100.0" w:type="dxa"/>
              <w:left w:w="100.0" w:type="dxa"/>
              <w:bottom w:w="100.0" w:type="dxa"/>
              <w:right w:w="100.0" w:type="dxa"/>
            </w:tcMar>
            <w:vAlign w:val="top"/>
          </w:tcPr>
          <w:p w:rsidR="00000000" w:rsidDel="00000000" w:rsidP="00000000" w:rsidRDefault="00000000" w:rsidRPr="00000000" w14:paraId="00000011">
            <w:pPr>
              <w:widowControl w:val="0"/>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Related CEDAW Arts.</w:t>
            </w:r>
          </w:p>
        </w:tc>
        <w:tc>
          <w:tcPr>
            <w:shd w:fill="fff2cc" w:val="clear"/>
            <w:tcMar>
              <w:top w:w="100.0" w:type="dxa"/>
              <w:left w:w="100.0" w:type="dxa"/>
              <w:bottom w:w="100.0" w:type="dxa"/>
              <w:right w:w="100.0" w:type="dxa"/>
            </w:tcMar>
            <w:vAlign w:val="top"/>
          </w:tcPr>
          <w:p w:rsidR="00000000" w:rsidDel="00000000" w:rsidP="00000000" w:rsidRDefault="00000000" w:rsidRPr="00000000" w14:paraId="00000012">
            <w:pPr>
              <w:widowControl w:val="0"/>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Issues Related to Family Law / Practices</w:t>
            </w:r>
          </w:p>
        </w:tc>
        <w:tc>
          <w:tcPr>
            <w:shd w:fill="fff2cc" w:val="clear"/>
            <w:tcMar>
              <w:top w:w="100.0" w:type="dxa"/>
              <w:left w:w="100.0" w:type="dxa"/>
              <w:bottom w:w="100.0" w:type="dxa"/>
              <w:right w:w="100.0" w:type="dxa"/>
            </w:tcMar>
            <w:vAlign w:val="top"/>
          </w:tcPr>
          <w:p w:rsidR="00000000" w:rsidDel="00000000" w:rsidP="00000000" w:rsidRDefault="00000000" w:rsidRPr="00000000" w14:paraId="00000013">
            <w:pPr>
              <w:widowControl w:val="0"/>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Details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4">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1, 2, 5, 15, 16</w:t>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widowControl w:val="0"/>
              <w:spacing w:line="240" w:lineRule="auto"/>
              <w:rPr>
                <w:rFonts w:ascii="Calibri" w:cs="Calibri" w:eastAsia="Calibri" w:hAnsi="Calibri"/>
              </w:rPr>
            </w:pPr>
            <w:r w:rsidDel="00000000" w:rsidR="00000000" w:rsidRPr="00000000">
              <w:rPr>
                <w:rFonts w:ascii="Calibri" w:cs="Calibri" w:eastAsia="Calibri" w:hAnsi="Calibri"/>
                <w:b w:val="1"/>
                <w:rtl w:val="0"/>
              </w:rPr>
              <w:t xml:space="preserve">Marital property rights</w:t>
            </w:r>
            <w:r w:rsidDel="00000000" w:rsidR="00000000" w:rsidRPr="00000000">
              <w:rPr>
                <w:rtl w:val="0"/>
              </w:rPr>
            </w:r>
          </w:p>
          <w:p w:rsidR="00000000" w:rsidDel="00000000" w:rsidP="00000000" w:rsidRDefault="00000000" w:rsidRPr="00000000" w14:paraId="00000016">
            <w:pPr>
              <w:widowControl w:val="0"/>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17">
            <w:pPr>
              <w:widowControl w:val="0"/>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18">
            <w:pPr>
              <w:widowControl w:val="0"/>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19">
            <w:pPr>
              <w:widowControl w:val="0"/>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1A">
            <w:pPr>
              <w:widowControl w:val="0"/>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1B">
            <w:pPr>
              <w:widowControl w:val="0"/>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1C">
            <w:pPr>
              <w:widowControl w:val="0"/>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1D">
            <w:pPr>
              <w:widowControl w:val="0"/>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1E">
            <w:pPr>
              <w:widowControl w:val="0"/>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1F">
            <w:pPr>
              <w:widowControl w:val="0"/>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20">
            <w:pPr>
              <w:widowControl w:val="0"/>
              <w:spacing w:line="240" w:lineRule="auto"/>
              <w:rPr>
                <w:rFonts w:ascii="Calibri" w:cs="Calibri" w:eastAsia="Calibri" w:hAnsi="Calibri"/>
                <w:i w:val="1"/>
              </w:rPr>
            </w:pPr>
            <w:r w:rsidDel="00000000" w:rsidR="00000000" w:rsidRPr="00000000">
              <w:rPr>
                <w:rFonts w:ascii="Calibri" w:cs="Calibri" w:eastAsia="Calibri" w:hAnsi="Calibri"/>
                <w:i w:val="1"/>
                <w:rtl w:val="0"/>
              </w:rPr>
              <w:t xml:space="preserve">Discrimination against divorced women</w:t>
            </w:r>
          </w:p>
          <w:p w:rsidR="00000000" w:rsidDel="00000000" w:rsidP="00000000" w:rsidRDefault="00000000" w:rsidRPr="00000000" w14:paraId="00000021">
            <w:pPr>
              <w:widowControl w:val="0"/>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22">
            <w:pPr>
              <w:widowControl w:val="0"/>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23">
            <w:pPr>
              <w:widowControl w:val="0"/>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24">
            <w:pPr>
              <w:widowControl w:val="0"/>
              <w:spacing w:line="240" w:lineRule="auto"/>
              <w:rPr>
                <w:rFonts w:ascii="Calibri" w:cs="Calibri" w:eastAsia="Calibri" w:hAnsi="Calibri"/>
                <w:i w:val="1"/>
              </w:rPr>
            </w:pPr>
            <w:r w:rsidDel="00000000" w:rsidR="00000000" w:rsidRPr="00000000">
              <w:rPr>
                <w:rFonts w:ascii="Calibri" w:cs="Calibri" w:eastAsia="Calibri" w:hAnsi="Calibri"/>
                <w:i w:val="1"/>
                <w:rtl w:val="0"/>
              </w:rPr>
              <w:t xml:space="preserve">Discrimination against widows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spacing w:line="240" w:lineRule="auto"/>
              <w:rPr>
                <w:rFonts w:ascii="Calibri" w:cs="Calibri" w:eastAsia="Calibri" w:hAnsi="Calibri"/>
              </w:rPr>
            </w:pPr>
            <w:r w:rsidDel="00000000" w:rsidR="00000000" w:rsidRPr="00000000">
              <w:rPr>
                <w:rFonts w:ascii="Calibri" w:cs="Calibri" w:eastAsia="Calibri" w:hAnsi="Calibri"/>
                <w:rtl w:val="0"/>
              </w:rPr>
              <w:t xml:space="preserve">Compared to their South Asian counterparts, Nepal has quite progressive laws pertaining to marriage, divorce, and inheritance rights, while marital property rights both progressed and then regressed in most recent amendments to the Civil Code in 2017. </w:t>
            </w:r>
          </w:p>
          <w:p w:rsidR="00000000" w:rsidDel="00000000" w:rsidP="00000000" w:rsidRDefault="00000000" w:rsidRPr="00000000" w14:paraId="00000026">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27">
            <w:pPr>
              <w:pStyle w:val="Heading4"/>
              <w:spacing w:before="0" w:line="240" w:lineRule="auto"/>
              <w:rPr>
                <w:rFonts w:ascii="Calibri" w:cs="Calibri" w:eastAsia="Calibri" w:hAnsi="Calibri"/>
                <w:color w:val="1f1f1f"/>
                <w:sz w:val="22"/>
                <w:szCs w:val="22"/>
                <w:highlight w:val="white"/>
              </w:rPr>
            </w:pPr>
            <w:bookmarkStart w:colFirst="0" w:colLast="0" w:name="_2et92p0" w:id="0"/>
            <w:bookmarkEnd w:id="0"/>
            <w:r w:rsidDel="00000000" w:rsidR="00000000" w:rsidRPr="00000000">
              <w:rPr>
                <w:rFonts w:ascii="Calibri" w:cs="Calibri" w:eastAsia="Calibri" w:hAnsi="Calibri"/>
                <w:color w:val="000000"/>
                <w:sz w:val="22"/>
                <w:szCs w:val="22"/>
                <w:rtl w:val="0"/>
              </w:rPr>
              <w:t xml:space="preserve">In 2017, a new National Civil Code was enacted replacing the former Muluki Civil Code on civil matters, with some regressive provisions relating to property rights remaining.  At the same time, it i</w:t>
            </w:r>
            <w:r w:rsidDel="00000000" w:rsidR="00000000" w:rsidRPr="00000000">
              <w:rPr>
                <w:rFonts w:ascii="Calibri" w:cs="Calibri" w:eastAsia="Calibri" w:hAnsi="Calibri"/>
                <w:color w:val="1f1f1f"/>
                <w:sz w:val="22"/>
                <w:szCs w:val="22"/>
                <w:highlight w:val="white"/>
                <w:rtl w:val="0"/>
              </w:rPr>
              <w:t xml:space="preserve">ntroduced provisions of equal inheritance rights for daughters to keep their share of their parents’ property after getting married. </w:t>
            </w:r>
          </w:p>
          <w:p w:rsidR="00000000" w:rsidDel="00000000" w:rsidP="00000000" w:rsidRDefault="00000000" w:rsidRPr="00000000" w14:paraId="00000028">
            <w:pPr>
              <w:pStyle w:val="Heading4"/>
              <w:spacing w:before="0" w:line="240" w:lineRule="auto"/>
              <w:rPr>
                <w:rFonts w:ascii="Calibri" w:cs="Calibri" w:eastAsia="Calibri" w:hAnsi="Calibri"/>
                <w:color w:val="000000"/>
                <w:sz w:val="22"/>
                <w:szCs w:val="22"/>
                <w:highlight w:val="white"/>
              </w:rPr>
            </w:pPr>
            <w:bookmarkStart w:colFirst="0" w:colLast="0" w:name="_wijzeg9vyhj4" w:id="1"/>
            <w:bookmarkEnd w:id="1"/>
            <w:r w:rsidDel="00000000" w:rsidR="00000000" w:rsidRPr="00000000">
              <w:rPr>
                <w:rtl w:val="0"/>
              </w:rPr>
            </w:r>
          </w:p>
          <w:p w:rsidR="00000000" w:rsidDel="00000000" w:rsidP="00000000" w:rsidRDefault="00000000" w:rsidRPr="00000000" w14:paraId="00000029">
            <w:pPr>
              <w:pStyle w:val="Heading4"/>
              <w:spacing w:before="0" w:line="240" w:lineRule="auto"/>
              <w:rPr>
                <w:rFonts w:ascii="Calibri" w:cs="Calibri" w:eastAsia="Calibri" w:hAnsi="Calibri"/>
                <w:color w:val="000000"/>
                <w:sz w:val="22"/>
                <w:szCs w:val="22"/>
                <w:highlight w:val="white"/>
              </w:rPr>
            </w:pPr>
            <w:bookmarkStart w:colFirst="0" w:colLast="0" w:name="_ng9py0vj9pie" w:id="2"/>
            <w:bookmarkEnd w:id="2"/>
            <w:r w:rsidDel="00000000" w:rsidR="00000000" w:rsidRPr="00000000">
              <w:rPr>
                <w:rFonts w:ascii="Calibri" w:cs="Calibri" w:eastAsia="Calibri" w:hAnsi="Calibri"/>
                <w:color w:val="000000"/>
                <w:sz w:val="22"/>
                <w:szCs w:val="22"/>
                <w:highlight w:val="white"/>
                <w:rtl w:val="0"/>
              </w:rPr>
              <w:t xml:space="preserve">The National  Civil Code, however, mandates that in the event of a fault-based divorce initiated by the husband, a divorced woman is restricted from making any claim on the property of her husband.</w:t>
            </w:r>
            <w:r w:rsidDel="00000000" w:rsidR="00000000" w:rsidRPr="00000000">
              <w:rPr>
                <w:rFonts w:ascii="Calibri" w:cs="Calibri" w:eastAsia="Calibri" w:hAnsi="Calibri"/>
                <w:color w:val="000000"/>
                <w:sz w:val="22"/>
                <w:szCs w:val="22"/>
                <w:highlight w:val="white"/>
                <w:vertAlign w:val="superscript"/>
              </w:rPr>
              <w:footnoteReference w:customMarkFollows="0" w:id="5"/>
            </w:r>
            <w:r w:rsidDel="00000000" w:rsidR="00000000" w:rsidRPr="00000000">
              <w:rPr>
                <w:rFonts w:ascii="Calibri" w:cs="Calibri" w:eastAsia="Calibri" w:hAnsi="Calibri"/>
                <w:color w:val="000000"/>
                <w:sz w:val="22"/>
                <w:szCs w:val="22"/>
                <w:highlight w:val="white"/>
                <w:rtl w:val="0"/>
              </w:rPr>
              <w:t xml:space="preserve"> </w:t>
            </w:r>
            <w:r w:rsidDel="00000000" w:rsidR="00000000" w:rsidRPr="00000000">
              <w:rPr>
                <w:rFonts w:ascii="Calibri" w:cs="Calibri" w:eastAsia="Calibri" w:hAnsi="Calibri"/>
                <w:color w:val="000000"/>
                <w:sz w:val="22"/>
                <w:szCs w:val="22"/>
                <w:highlight w:val="white"/>
                <w:rtl w:val="0"/>
              </w:rPr>
              <w:t xml:space="preserve"> On the other hand, a man who is divorced by his wife on fault-based grounds can still claim marital property from the wife. </w:t>
            </w:r>
          </w:p>
          <w:p w:rsidR="00000000" w:rsidDel="00000000" w:rsidP="00000000" w:rsidRDefault="00000000" w:rsidRPr="00000000" w14:paraId="0000002A">
            <w:pPr>
              <w:pStyle w:val="Heading4"/>
              <w:spacing w:line="240" w:lineRule="auto"/>
              <w:rPr>
                <w:rFonts w:ascii="Calibri" w:cs="Calibri" w:eastAsia="Calibri" w:hAnsi="Calibri"/>
                <w:color w:val="000000"/>
                <w:sz w:val="22"/>
                <w:szCs w:val="22"/>
              </w:rPr>
            </w:pPr>
            <w:bookmarkStart w:colFirst="0" w:colLast="0" w:name="_hfc8on1qlx80" w:id="3"/>
            <w:bookmarkEnd w:id="3"/>
            <w:r w:rsidDel="00000000" w:rsidR="00000000" w:rsidRPr="00000000">
              <w:rPr>
                <w:rFonts w:ascii="Calibri" w:cs="Calibri" w:eastAsia="Calibri" w:hAnsi="Calibri"/>
                <w:color w:val="000000"/>
                <w:sz w:val="22"/>
                <w:szCs w:val="22"/>
                <w:rtl w:val="0"/>
              </w:rPr>
              <w:t xml:space="preserve">Chapter </w:t>
            </w:r>
            <w:r w:rsidDel="00000000" w:rsidR="00000000" w:rsidRPr="00000000">
              <w:rPr>
                <w:rFonts w:ascii="Calibri" w:cs="Calibri" w:eastAsia="Calibri" w:hAnsi="Calibri"/>
                <w:color w:val="222222"/>
                <w:sz w:val="22"/>
                <w:szCs w:val="22"/>
                <w:highlight w:val="white"/>
                <w:rtl w:val="0"/>
              </w:rPr>
              <w:t xml:space="preserve">10, section 214, sub-section 1 of the National Civil Code of 2017 states that a widow may get </w:t>
            </w:r>
            <w:r w:rsidDel="00000000" w:rsidR="00000000" w:rsidRPr="00000000">
              <w:rPr>
                <w:rFonts w:ascii="Calibri" w:cs="Calibri" w:eastAsia="Calibri" w:hAnsi="Calibri"/>
                <w:color w:val="222222"/>
                <w:sz w:val="22"/>
                <w:szCs w:val="22"/>
                <w:highlight w:val="white"/>
                <w:rtl w:val="0"/>
              </w:rPr>
              <w:t xml:space="preserve">separated</w:t>
            </w:r>
            <w:r w:rsidDel="00000000" w:rsidR="00000000" w:rsidRPr="00000000">
              <w:rPr>
                <w:rFonts w:ascii="Calibri" w:cs="Calibri" w:eastAsia="Calibri" w:hAnsi="Calibri"/>
                <w:color w:val="222222"/>
                <w:sz w:val="22"/>
                <w:szCs w:val="22"/>
                <w:highlight w:val="white"/>
                <w:rtl w:val="0"/>
              </w:rPr>
              <w:t xml:space="preserve"> (from marital home) at any time by taking her partition share. Similarly, sub-section 2 provides that if a widow enters into another marriage, the property obtained by her by way of partition share shall be transferred to her children, if any, born from the previous marriage. If there is no such a son or daughter, she herself may retain such property.</w:t>
            </w:r>
            <w:r w:rsidDel="00000000" w:rsidR="00000000" w:rsidRPr="00000000">
              <w:rPr>
                <w:rtl w:val="0"/>
              </w:rPr>
            </w:r>
          </w:p>
          <w:p w:rsidR="00000000" w:rsidDel="00000000" w:rsidP="00000000" w:rsidRDefault="00000000" w:rsidRPr="00000000" w14:paraId="0000002B">
            <w:pPr>
              <w:spacing w:line="240" w:lineRule="auto"/>
              <w:rPr/>
            </w:pPr>
            <w:r w:rsidDel="00000000" w:rsidR="00000000" w:rsidRPr="00000000">
              <w:rPr>
                <w:rtl w:val="0"/>
              </w:rPr>
            </w:r>
          </w:p>
          <w:p w:rsidR="00000000" w:rsidDel="00000000" w:rsidP="00000000" w:rsidRDefault="00000000" w:rsidRPr="00000000" w14:paraId="0000002C">
            <w:pPr>
              <w:shd w:fill="ffffff" w:val="clear"/>
              <w:spacing w:line="240" w:lineRule="auto"/>
              <w:rPr>
                <w:rFonts w:ascii="Calibri" w:cs="Calibri" w:eastAsia="Calibri" w:hAnsi="Calibri"/>
                <w:color w:val="222222"/>
              </w:rPr>
            </w:pPr>
            <w:r w:rsidDel="00000000" w:rsidR="00000000" w:rsidRPr="00000000">
              <w:rPr>
                <w:rFonts w:ascii="Calibri" w:cs="Calibri" w:eastAsia="Calibri" w:hAnsi="Calibri"/>
                <w:color w:val="222222"/>
                <w:rtl w:val="0"/>
              </w:rPr>
              <w:t xml:space="preserve">However, there is no legal provision requiring a man to transfer his share of property to his children if he concludes another marriage after the death of his wife.</w:t>
            </w:r>
          </w:p>
          <w:p w:rsidR="00000000" w:rsidDel="00000000" w:rsidP="00000000" w:rsidRDefault="00000000" w:rsidRPr="00000000" w14:paraId="0000002D">
            <w:pPr>
              <w:shd w:fill="ffffff" w:val="clear"/>
              <w:spacing w:line="240" w:lineRule="auto"/>
              <w:rPr>
                <w:rFonts w:ascii="Calibri" w:cs="Calibri" w:eastAsia="Calibri" w:hAnsi="Calibri"/>
                <w:color w:val="222222"/>
              </w:rPr>
            </w:pPr>
            <w:r w:rsidDel="00000000" w:rsidR="00000000" w:rsidRPr="00000000">
              <w:rPr>
                <w:rtl w:val="0"/>
              </w:rPr>
            </w:r>
          </w:p>
          <w:p w:rsidR="00000000" w:rsidDel="00000000" w:rsidP="00000000" w:rsidRDefault="00000000" w:rsidRPr="00000000" w14:paraId="0000002E">
            <w:pPr>
              <w:shd w:fill="ffffff" w:val="clear"/>
              <w:spacing w:line="240" w:lineRule="auto"/>
              <w:jc w:val="both"/>
              <w:rPr>
                <w:rFonts w:ascii="Calibri" w:cs="Calibri" w:eastAsia="Calibri" w:hAnsi="Calibri"/>
                <w:color w:val="000000"/>
                <w:sz w:val="22"/>
                <w:szCs w:val="22"/>
                <w:highlight w:val="white"/>
                <w:vertAlign w:val="superscript"/>
              </w:rPr>
            </w:pPr>
            <w:r w:rsidDel="00000000" w:rsidR="00000000" w:rsidRPr="00000000">
              <w:rPr>
                <w:rFonts w:ascii="Calibri" w:cs="Calibri" w:eastAsia="Calibri" w:hAnsi="Calibri"/>
                <w:color w:val="222222"/>
                <w:rtl w:val="0"/>
              </w:rPr>
              <w:t xml:space="preserve">The provision compels women to choose between their marital rights and property rights, which is discriminatory based on gender and marital status, between men and women. It directly contradicts Article 18 on Right to Equality and Article 17 on the right to property enshrined in the Constitution.</w:t>
            </w:r>
            <w:r w:rsidDel="00000000" w:rsidR="00000000" w:rsidRPr="00000000">
              <w:rPr>
                <w:rFonts w:ascii="Calibri" w:cs="Calibri" w:eastAsia="Calibri" w:hAnsi="Calibri"/>
                <w:color w:val="000000"/>
                <w:sz w:val="22"/>
                <w:szCs w:val="22"/>
                <w:highlight w:val="white"/>
                <w:vertAlign w:val="superscript"/>
              </w:rPr>
              <w:footnoteReference w:customMarkFollows="0" w:id="6"/>
            </w:r>
            <w:r w:rsidDel="00000000" w:rsidR="00000000" w:rsidRPr="00000000">
              <w:rPr>
                <w:rFonts w:ascii="Calibri" w:cs="Calibri" w:eastAsia="Calibri" w:hAnsi="Calibri"/>
                <w:color w:val="000000"/>
                <w:sz w:val="22"/>
                <w:szCs w:val="22"/>
                <w:highlight w:val="white"/>
                <w:vertAlign w:val="superscript"/>
                <w:rtl w:val="0"/>
              </w:rPr>
              <w:t xml:space="preserve"> </w:t>
            </w:r>
          </w:p>
          <w:p w:rsidR="00000000" w:rsidDel="00000000" w:rsidP="00000000" w:rsidRDefault="00000000" w:rsidRPr="00000000" w14:paraId="0000002F">
            <w:pPr>
              <w:shd w:fill="ffffff" w:val="clear"/>
              <w:spacing w:line="240" w:lineRule="auto"/>
              <w:jc w:val="both"/>
              <w:rPr>
                <w:rFonts w:ascii="Calibri" w:cs="Calibri" w:eastAsia="Calibri" w:hAnsi="Calibri"/>
                <w:highlight w:val="white"/>
                <w:vertAlign w:val="superscript"/>
              </w:rPr>
            </w:pPr>
            <w:r w:rsidDel="00000000" w:rsidR="00000000" w:rsidRPr="00000000">
              <w:rPr>
                <w:rtl w:val="0"/>
              </w:rPr>
            </w:r>
          </w:p>
          <w:p w:rsidR="00000000" w:rsidDel="00000000" w:rsidP="00000000" w:rsidRDefault="00000000" w:rsidRPr="00000000" w14:paraId="00000030">
            <w:pPr>
              <w:shd w:fill="ffffff" w:val="clear"/>
              <w:spacing w:line="240" w:lineRule="auto"/>
              <w:jc w:val="both"/>
              <w:rPr>
                <w:rFonts w:ascii="Calibri" w:cs="Calibri" w:eastAsia="Calibri" w:hAnsi="Calibri"/>
                <w:highlight w:val="white"/>
                <w:vertAlign w:val="superscrip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1">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1, 2, 5, 15, 16</w:t>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Widowhood </w:t>
            </w:r>
            <w:r w:rsidDel="00000000" w:rsidR="00000000" w:rsidRPr="00000000">
              <w:rPr>
                <w:rFonts w:ascii="Calibri" w:cs="Calibri" w:eastAsia="Calibri" w:hAnsi="Calibri"/>
                <w:b w:val="1"/>
                <w:rtl w:val="0"/>
              </w:rPr>
              <w:t xml:space="preserve">rights</w:t>
            </w:r>
            <w:r w:rsidDel="00000000" w:rsidR="00000000" w:rsidRPr="00000000">
              <w:rPr>
                <w:rFonts w:ascii="Calibri" w:cs="Calibri" w:eastAsia="Calibri" w:hAnsi="Calibri"/>
                <w:b w:val="1"/>
                <w:rtl w:val="0"/>
              </w:rPr>
              <w:t xml:space="preserve"> </w:t>
            </w:r>
          </w:p>
          <w:p w:rsidR="00000000" w:rsidDel="00000000" w:rsidP="00000000" w:rsidRDefault="00000000" w:rsidRPr="00000000" w14:paraId="00000033">
            <w:pPr>
              <w:widowControl w:val="0"/>
              <w:spacing w:line="24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34">
            <w:pPr>
              <w:widowControl w:val="0"/>
              <w:spacing w:line="240" w:lineRule="auto"/>
              <w:rPr>
                <w:rFonts w:ascii="Calibri" w:cs="Calibri" w:eastAsia="Calibri" w:hAnsi="Calibri"/>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spacing w:line="240" w:lineRule="auto"/>
              <w:rPr>
                <w:rFonts w:ascii="Calibri" w:cs="Calibri" w:eastAsia="Calibri" w:hAnsi="Calibri"/>
                <w:b w:val="1"/>
                <w:i w:val="1"/>
                <w:color w:val="222222"/>
                <w:highlight w:val="white"/>
              </w:rPr>
            </w:pPr>
            <w:r w:rsidDel="00000000" w:rsidR="00000000" w:rsidRPr="00000000">
              <w:rPr>
                <w:rFonts w:ascii="Roboto" w:cs="Roboto" w:eastAsia="Roboto" w:hAnsi="Roboto"/>
                <w:b w:val="1"/>
                <w:i w:val="1"/>
                <w:color w:val="444746"/>
                <w:sz w:val="21"/>
                <w:szCs w:val="21"/>
                <w:highlight w:val="white"/>
                <w:rtl w:val="0"/>
              </w:rPr>
              <w:t xml:space="preserve">Lack of implementation of Fund to protect vulnerable women</w:t>
            </w:r>
            <w:r w:rsidDel="00000000" w:rsidR="00000000" w:rsidRPr="00000000">
              <w:rPr>
                <w:rtl w:val="0"/>
              </w:rPr>
            </w:r>
          </w:p>
          <w:p w:rsidR="00000000" w:rsidDel="00000000" w:rsidP="00000000" w:rsidRDefault="00000000" w:rsidRPr="00000000" w14:paraId="00000036">
            <w:pPr>
              <w:spacing w:line="240" w:lineRule="auto"/>
              <w:rPr>
                <w:rFonts w:ascii="Calibri" w:cs="Calibri" w:eastAsia="Calibri" w:hAnsi="Calibri"/>
                <w:color w:val="222222"/>
                <w:highlight w:val="white"/>
              </w:rPr>
            </w:pPr>
            <w:r w:rsidDel="00000000" w:rsidR="00000000" w:rsidRPr="00000000">
              <w:rPr>
                <w:rFonts w:ascii="Calibri" w:cs="Calibri" w:eastAsia="Calibri" w:hAnsi="Calibri"/>
                <w:color w:val="222222"/>
                <w:highlight w:val="white"/>
                <w:rtl w:val="0"/>
              </w:rPr>
              <w:t xml:space="preserve">The Single Women Protection Fund was established in 2014 by the Ministry of Women, Children, and Senior Citizens, Government of Nepal. Under this fund, widows, separated women, divorced women, unmarried women, and wives of missing husbands received various types of support, including legal aid, medical assistance, economic empowerment, and relief support. </w:t>
            </w:r>
          </w:p>
          <w:p w:rsidR="00000000" w:rsidDel="00000000" w:rsidP="00000000" w:rsidRDefault="00000000" w:rsidRPr="00000000" w14:paraId="00000037">
            <w:pPr>
              <w:spacing w:line="240" w:lineRule="auto"/>
              <w:rPr>
                <w:rFonts w:ascii="Calibri" w:cs="Calibri" w:eastAsia="Calibri" w:hAnsi="Calibri"/>
                <w:color w:val="222222"/>
                <w:highlight w:val="white"/>
              </w:rPr>
            </w:pPr>
            <w:r w:rsidDel="00000000" w:rsidR="00000000" w:rsidRPr="00000000">
              <w:rPr>
                <w:rtl w:val="0"/>
              </w:rPr>
            </w:r>
          </w:p>
          <w:p w:rsidR="00000000" w:rsidDel="00000000" w:rsidP="00000000" w:rsidRDefault="00000000" w:rsidRPr="00000000" w14:paraId="00000038">
            <w:pPr>
              <w:spacing w:line="240" w:lineRule="auto"/>
              <w:rPr>
                <w:rFonts w:ascii="Calibri" w:cs="Calibri" w:eastAsia="Calibri" w:hAnsi="Calibri"/>
                <w:highlight w:val="yellow"/>
              </w:rPr>
            </w:pPr>
            <w:r w:rsidDel="00000000" w:rsidR="00000000" w:rsidRPr="00000000">
              <w:rPr>
                <w:rFonts w:ascii="Calibri" w:cs="Calibri" w:eastAsia="Calibri" w:hAnsi="Calibri"/>
                <w:color w:val="222222"/>
                <w:highlight w:val="white"/>
                <w:rtl w:val="0"/>
              </w:rPr>
              <w:t xml:space="preserve">Before federalization, this fund was mobilized across 75 districts. At that time, the Women Development Office of the Government of Nepal implemented the fund at the district level through the District-Level Single Women Protection Fund Committees. However, after the federalization of Nepal, the implementation of this fund ceased. The Government of Nepal amended the guidelines of the Single Women Protection Fund on 23 March 2020, but they circulated a directive to all 753 local levels only on 14 February 2024. Local governments are still unaware and have been unable to implement the fund effectively.</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1,2,5,15,16</w:t>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Child marriage and marriage without consent offences</w:t>
            </w:r>
          </w:p>
          <w:p w:rsidR="00000000" w:rsidDel="00000000" w:rsidP="00000000" w:rsidRDefault="00000000" w:rsidRPr="00000000" w14:paraId="0000003B">
            <w:pPr>
              <w:widowControl w:val="0"/>
              <w:spacing w:line="24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3C">
            <w:pPr>
              <w:widowControl w:val="0"/>
              <w:spacing w:line="24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3D">
            <w:pPr>
              <w:widowControl w:val="0"/>
              <w:spacing w:line="24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3E">
            <w:pPr>
              <w:widowControl w:val="0"/>
              <w:spacing w:line="24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3F">
            <w:pPr>
              <w:widowControl w:val="0"/>
              <w:spacing w:line="24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40">
            <w:pPr>
              <w:widowControl w:val="0"/>
              <w:spacing w:line="24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41">
            <w:pPr>
              <w:widowControl w:val="0"/>
              <w:spacing w:line="24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42">
            <w:pPr>
              <w:widowControl w:val="0"/>
              <w:spacing w:line="240" w:lineRule="auto"/>
              <w:rPr>
                <w:rFonts w:ascii="Calibri" w:cs="Calibri" w:eastAsia="Calibri" w:hAnsi="Calibri"/>
                <w:i w:val="1"/>
              </w:rPr>
            </w:pPr>
            <w:r w:rsidDel="00000000" w:rsidR="00000000" w:rsidRPr="00000000">
              <w:rPr>
                <w:rFonts w:ascii="Calibri" w:cs="Calibri" w:eastAsia="Calibri" w:hAnsi="Calibri"/>
                <w:i w:val="1"/>
                <w:rtl w:val="0"/>
              </w:rPr>
              <w:t xml:space="preserve">Adult victims penalised under the law</w:t>
            </w:r>
          </w:p>
          <w:p w:rsidR="00000000" w:rsidDel="00000000" w:rsidP="00000000" w:rsidRDefault="00000000" w:rsidRPr="00000000" w14:paraId="00000043">
            <w:pPr>
              <w:widowControl w:val="0"/>
              <w:spacing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44">
            <w:pPr>
              <w:widowControl w:val="0"/>
              <w:spacing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45">
            <w:pPr>
              <w:widowControl w:val="0"/>
              <w:spacing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46">
            <w:pPr>
              <w:widowControl w:val="0"/>
              <w:spacing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47">
            <w:pPr>
              <w:widowControl w:val="0"/>
              <w:spacing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48">
            <w:pPr>
              <w:widowControl w:val="0"/>
              <w:spacing w:line="240" w:lineRule="auto"/>
              <w:rPr>
                <w:rFonts w:ascii="Calibri" w:cs="Calibri" w:eastAsia="Calibri" w:hAnsi="Calibri"/>
                <w:i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spacing w:line="240" w:lineRule="auto"/>
              <w:rPr>
                <w:rFonts w:ascii="Calibri" w:cs="Calibri" w:eastAsia="Calibri" w:hAnsi="Calibri"/>
              </w:rPr>
            </w:pPr>
            <w:r w:rsidDel="00000000" w:rsidR="00000000" w:rsidRPr="00000000">
              <w:rPr>
                <w:rFonts w:ascii="Calibri" w:cs="Calibri" w:eastAsia="Calibri" w:hAnsi="Calibri"/>
                <w:rtl w:val="0"/>
              </w:rPr>
              <w:t xml:space="preserve">Nepal raised the minimum age of marriage to 20 years without exceptions. The Penal  Code criminalizes child marriage</w:t>
            </w:r>
            <w:r w:rsidDel="00000000" w:rsidR="00000000" w:rsidRPr="00000000">
              <w:rPr>
                <w:rFonts w:ascii="Calibri" w:cs="Calibri" w:eastAsia="Calibri" w:hAnsi="Calibri"/>
                <w:vertAlign w:val="superscript"/>
              </w:rPr>
              <w:footnoteReference w:customMarkFollows="0" w:id="7"/>
            </w:r>
            <w:r w:rsidDel="00000000" w:rsidR="00000000" w:rsidRPr="00000000">
              <w:rPr>
                <w:rFonts w:ascii="Calibri" w:cs="Calibri" w:eastAsia="Calibri" w:hAnsi="Calibri"/>
                <w:rtl w:val="0"/>
              </w:rPr>
              <w:t xml:space="preserve"> and marriage without consent</w:t>
            </w:r>
            <w:r w:rsidDel="00000000" w:rsidR="00000000" w:rsidRPr="00000000">
              <w:rPr>
                <w:rFonts w:ascii="Calibri" w:cs="Calibri" w:eastAsia="Calibri" w:hAnsi="Calibri"/>
                <w:vertAlign w:val="superscript"/>
              </w:rPr>
              <w:footnoteReference w:customMarkFollows="0" w:id="8"/>
            </w:r>
            <w:r w:rsidDel="00000000" w:rsidR="00000000" w:rsidRPr="00000000">
              <w:rPr>
                <w:rFonts w:ascii="Calibri" w:cs="Calibri" w:eastAsia="Calibri" w:hAnsi="Calibri"/>
                <w:rtl w:val="0"/>
              </w:rPr>
              <w:t xml:space="preserve">. Consent given by a person who has not attained marriageable age is not deemed as consent and offenders are liable to a sentence of imprisonment and fine.</w:t>
            </w:r>
          </w:p>
          <w:p w:rsidR="00000000" w:rsidDel="00000000" w:rsidP="00000000" w:rsidRDefault="00000000" w:rsidRPr="00000000" w14:paraId="0000004A">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B">
            <w:pPr>
              <w:spacing w:line="240" w:lineRule="auto"/>
              <w:ind w:left="0" w:firstLine="0"/>
              <w:jc w:val="both"/>
              <w:rPr>
                <w:rFonts w:ascii="Calibri" w:cs="Calibri" w:eastAsia="Calibri" w:hAnsi="Calibri"/>
              </w:rPr>
            </w:pPr>
            <w:r w:rsidDel="00000000" w:rsidR="00000000" w:rsidRPr="00000000">
              <w:rPr>
                <w:rFonts w:ascii="Calibri" w:cs="Calibri" w:eastAsia="Calibri" w:hAnsi="Calibri"/>
                <w:rtl w:val="0"/>
              </w:rPr>
              <w:t xml:space="preserve">As per this provision, adults who marry children, family members and other adults who arrange marriages of children, and religious leaders who perform child marriages are all committing crimes and are subject to prosecution. </w:t>
            </w:r>
          </w:p>
          <w:p w:rsidR="00000000" w:rsidDel="00000000" w:rsidP="00000000" w:rsidRDefault="00000000" w:rsidRPr="00000000" w14:paraId="0000004C">
            <w:pPr>
              <w:spacing w:line="240" w:lineRule="auto"/>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4D">
            <w:pPr>
              <w:spacing w:line="240" w:lineRule="auto"/>
              <w:ind w:left="0" w:firstLine="0"/>
              <w:jc w:val="both"/>
              <w:rPr>
                <w:rFonts w:ascii="Calibri" w:cs="Calibri" w:eastAsia="Calibri" w:hAnsi="Calibri"/>
              </w:rPr>
            </w:pPr>
            <w:r w:rsidDel="00000000" w:rsidR="00000000" w:rsidRPr="00000000">
              <w:rPr>
                <w:rFonts w:ascii="Calibri" w:cs="Calibri" w:eastAsia="Calibri" w:hAnsi="Calibri"/>
                <w:rtl w:val="0"/>
              </w:rPr>
              <w:t xml:space="preserve">However, as an adult is deemed as a person who has attained 18 years of age, a bride or groom who is between the ages of 18-20 years is also considered to have committed a criminal offence under the provisions of the Penal Code, regardless of whether the marriage was committed under duress. Therefore, the Penal Code provision does not protect victims of forced marriage in instances where the bride or groom may have attained the age of maturity, but also been subject to a forced marriage.</w:t>
            </w:r>
            <w:r w:rsidDel="00000000" w:rsidR="00000000" w:rsidRPr="00000000">
              <w:rPr>
                <w:rFonts w:ascii="Calibri" w:cs="Calibri" w:eastAsia="Calibri" w:hAnsi="Calibri"/>
                <w:vertAlign w:val="superscript"/>
              </w:rPr>
              <w:footnoteReference w:customMarkFollows="0" w:id="9"/>
            </w:r>
            <w:r w:rsidDel="00000000" w:rsidR="00000000" w:rsidRPr="00000000">
              <w:rPr>
                <w:rtl w:val="0"/>
              </w:rPr>
            </w:r>
          </w:p>
          <w:p w:rsidR="00000000" w:rsidDel="00000000" w:rsidP="00000000" w:rsidRDefault="00000000" w:rsidRPr="00000000" w14:paraId="0000004E">
            <w:pPr>
              <w:spacing w:line="240" w:lineRule="auto"/>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4F">
            <w:pPr>
              <w:shd w:fill="ffffff" w:val="clear"/>
              <w:spacing w:line="240" w:lineRule="auto"/>
              <w:jc w:val="both"/>
              <w:rPr>
                <w:rFonts w:ascii="Calibri" w:cs="Calibri" w:eastAsia="Calibri" w:hAnsi="Calibri"/>
              </w:rPr>
            </w:pPr>
            <w:r w:rsidDel="00000000" w:rsidR="00000000" w:rsidRPr="00000000">
              <w:rPr>
                <w:rFonts w:ascii="Calibri" w:cs="Calibri" w:eastAsia="Calibri" w:hAnsi="Calibri"/>
                <w:color w:val="222222"/>
                <w:rtl w:val="0"/>
              </w:rPr>
              <w:t xml:space="preserve">Section 74 of the National Civil Code states that a woman bearing a child is automatically </w:t>
            </w:r>
            <w:r w:rsidDel="00000000" w:rsidR="00000000" w:rsidRPr="00000000">
              <w:rPr>
                <w:rFonts w:ascii="Calibri" w:cs="Calibri" w:eastAsia="Calibri" w:hAnsi="Calibri"/>
                <w:color w:val="222222"/>
                <w:rtl w:val="0"/>
              </w:rPr>
              <w:t xml:space="preserve">married</w:t>
            </w:r>
            <w:r w:rsidDel="00000000" w:rsidR="00000000" w:rsidRPr="00000000">
              <w:rPr>
                <w:rFonts w:ascii="Calibri" w:cs="Calibri" w:eastAsia="Calibri" w:hAnsi="Calibri"/>
                <w:color w:val="222222"/>
                <w:rtl w:val="0"/>
              </w:rPr>
              <w:t xml:space="preserve"> to the father of that child. This provision deprives women from their right to enter into marriage with their free and full </w:t>
            </w:r>
            <w:r w:rsidDel="00000000" w:rsidR="00000000" w:rsidRPr="00000000">
              <w:rPr>
                <w:rFonts w:ascii="Calibri" w:cs="Calibri" w:eastAsia="Calibri" w:hAnsi="Calibri"/>
                <w:color w:val="222222"/>
                <w:rtl w:val="0"/>
              </w:rPr>
              <w:t xml:space="preserve">consent</w:t>
            </w:r>
            <w:r w:rsidDel="00000000" w:rsidR="00000000" w:rsidRPr="00000000">
              <w:rPr>
                <w:rFonts w:ascii="Calibri" w:cs="Calibri" w:eastAsia="Calibri" w:hAnsi="Calibri"/>
                <w:color w:val="222222"/>
                <w:rtl w:val="0"/>
              </w:rPr>
              <w:t xml:space="preserv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1, 2, 5, 15, 16</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widowControl w:val="0"/>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Child custody and guardianship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shd w:fill="ffffff" w:val="clear"/>
              <w:spacing w:line="240" w:lineRule="auto"/>
              <w:jc w:val="both"/>
              <w:rPr>
                <w:rFonts w:ascii="Calibri" w:cs="Calibri" w:eastAsia="Calibri" w:hAnsi="Calibri"/>
                <w:color w:val="222222"/>
              </w:rPr>
            </w:pPr>
            <w:r w:rsidDel="00000000" w:rsidR="00000000" w:rsidRPr="00000000">
              <w:rPr>
                <w:rFonts w:ascii="Calibri" w:cs="Calibri" w:eastAsia="Calibri" w:hAnsi="Calibri"/>
                <w:color w:val="222222"/>
                <w:rtl w:val="0"/>
              </w:rPr>
              <w:t xml:space="preserve">Section </w:t>
            </w:r>
            <w:r w:rsidDel="00000000" w:rsidR="00000000" w:rsidRPr="00000000">
              <w:rPr>
                <w:rFonts w:ascii="Calibri" w:cs="Calibri" w:eastAsia="Calibri" w:hAnsi="Calibri"/>
                <w:color w:val="222222"/>
                <w:rtl w:val="0"/>
              </w:rPr>
              <w:t xml:space="preserve">115</w:t>
            </w:r>
            <w:r w:rsidDel="00000000" w:rsidR="00000000" w:rsidRPr="00000000">
              <w:rPr>
                <w:rFonts w:ascii="Calibri" w:cs="Calibri" w:eastAsia="Calibri" w:hAnsi="Calibri"/>
                <w:color w:val="222222"/>
                <w:rtl w:val="0"/>
              </w:rPr>
              <w:t xml:space="preserve"> of the National Civil Code on providing custody of a child/children after the end of the matrimonial relationship of a husband and wife states that custody is given to the mother or father.</w:t>
            </w:r>
          </w:p>
          <w:p w:rsidR="00000000" w:rsidDel="00000000" w:rsidP="00000000" w:rsidRDefault="00000000" w:rsidRPr="00000000" w14:paraId="00000053">
            <w:pPr>
              <w:shd w:fill="ffffff" w:val="clear"/>
              <w:spacing w:line="240" w:lineRule="auto"/>
              <w:jc w:val="both"/>
              <w:rPr>
                <w:rFonts w:ascii="Calibri" w:cs="Calibri" w:eastAsia="Calibri" w:hAnsi="Calibri"/>
                <w:color w:val="222222"/>
              </w:rPr>
            </w:pPr>
            <w:r w:rsidDel="00000000" w:rsidR="00000000" w:rsidRPr="00000000">
              <w:rPr>
                <w:rtl w:val="0"/>
              </w:rPr>
            </w:r>
          </w:p>
          <w:p w:rsidR="00000000" w:rsidDel="00000000" w:rsidP="00000000" w:rsidRDefault="00000000" w:rsidRPr="00000000" w14:paraId="00000054">
            <w:pPr>
              <w:shd w:fill="ffffff" w:val="clear"/>
              <w:spacing w:line="240" w:lineRule="auto"/>
              <w:jc w:val="both"/>
              <w:rPr>
                <w:rFonts w:ascii="Calibri" w:cs="Calibri" w:eastAsia="Calibri" w:hAnsi="Calibri"/>
                <w:color w:val="222222"/>
              </w:rPr>
            </w:pPr>
            <w:r w:rsidDel="00000000" w:rsidR="00000000" w:rsidRPr="00000000">
              <w:rPr>
                <w:rFonts w:ascii="Calibri" w:cs="Calibri" w:eastAsia="Calibri" w:hAnsi="Calibri"/>
                <w:color w:val="222222"/>
                <w:rtl w:val="0"/>
              </w:rPr>
              <w:t xml:space="preserve">However, Section 115(b) of the Code makes custody by the mother conditional upon entering into another marriage, which discriminates against and between mothers based on their marital status in matters relating to the children.</w:t>
            </w:r>
          </w:p>
          <w:p w:rsidR="00000000" w:rsidDel="00000000" w:rsidP="00000000" w:rsidRDefault="00000000" w:rsidRPr="00000000" w14:paraId="00000055">
            <w:pPr>
              <w:shd w:fill="ffffff" w:val="clear"/>
              <w:spacing w:line="240" w:lineRule="auto"/>
              <w:jc w:val="both"/>
              <w:rPr>
                <w:rFonts w:ascii="Calibri" w:cs="Calibri" w:eastAsia="Calibri" w:hAnsi="Calibri"/>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6">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1, 2, 5, 15, 16</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Discriminatory provisions pertaining to rights within marriage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shd w:fill="ffffff" w:val="clear"/>
              <w:spacing w:line="240" w:lineRule="auto"/>
              <w:jc w:val="both"/>
              <w:rPr>
                <w:rFonts w:ascii="Calibri" w:cs="Calibri" w:eastAsia="Calibri" w:hAnsi="Calibri"/>
                <w:color w:val="222222"/>
              </w:rPr>
            </w:pPr>
            <w:r w:rsidDel="00000000" w:rsidR="00000000" w:rsidRPr="00000000">
              <w:rPr>
                <w:rFonts w:ascii="Calibri" w:cs="Calibri" w:eastAsia="Calibri" w:hAnsi="Calibri"/>
                <w:color w:val="222222"/>
                <w:rtl w:val="0"/>
              </w:rPr>
              <w:t xml:space="preserve">Section 81(2) of the National Civil Code states that the surname of a married woman shall be that of the husband in case any question or confusion arises regarding her surname.</w:t>
            </w:r>
          </w:p>
          <w:p w:rsidR="00000000" w:rsidDel="00000000" w:rsidP="00000000" w:rsidRDefault="00000000" w:rsidRPr="00000000" w14:paraId="00000059">
            <w:pPr>
              <w:shd w:fill="ffffff" w:val="clear"/>
              <w:spacing w:line="240" w:lineRule="auto"/>
              <w:jc w:val="both"/>
              <w:rPr>
                <w:rFonts w:ascii="Calibri" w:cs="Calibri" w:eastAsia="Calibri" w:hAnsi="Calibri"/>
                <w:color w:val="222222"/>
              </w:rPr>
            </w:pPr>
            <w:r w:rsidDel="00000000" w:rsidR="00000000" w:rsidRPr="00000000">
              <w:rPr>
                <w:rtl w:val="0"/>
              </w:rPr>
            </w:r>
          </w:p>
          <w:p w:rsidR="00000000" w:rsidDel="00000000" w:rsidP="00000000" w:rsidRDefault="00000000" w:rsidRPr="00000000" w14:paraId="0000005A">
            <w:pPr>
              <w:shd w:fill="ffffff" w:val="clear"/>
              <w:spacing w:line="240" w:lineRule="auto"/>
              <w:jc w:val="both"/>
              <w:rPr>
                <w:rFonts w:ascii="Calibri" w:cs="Calibri" w:eastAsia="Calibri" w:hAnsi="Calibri"/>
                <w:color w:val="222222"/>
              </w:rPr>
            </w:pPr>
            <w:r w:rsidDel="00000000" w:rsidR="00000000" w:rsidRPr="00000000">
              <w:rPr>
                <w:rFonts w:ascii="Calibri" w:cs="Calibri" w:eastAsia="Calibri" w:hAnsi="Calibri"/>
                <w:color w:val="222222"/>
                <w:rtl w:val="0"/>
              </w:rPr>
              <w:t xml:space="preserve">Section 111(5) the National Civil Code states that in case any question is raised re a child’s surname, it shall be considered that the child is using the father’s surname.</w:t>
            </w:r>
          </w:p>
          <w:p w:rsidR="00000000" w:rsidDel="00000000" w:rsidP="00000000" w:rsidRDefault="00000000" w:rsidRPr="00000000" w14:paraId="0000005B">
            <w:pPr>
              <w:shd w:fill="ffffff" w:val="clear"/>
              <w:spacing w:line="240" w:lineRule="auto"/>
              <w:jc w:val="both"/>
              <w:rPr>
                <w:rFonts w:ascii="Calibri" w:cs="Calibri" w:eastAsia="Calibri" w:hAnsi="Calibri"/>
                <w:color w:val="222222"/>
              </w:rPr>
            </w:pPr>
            <w:r w:rsidDel="00000000" w:rsidR="00000000" w:rsidRPr="00000000">
              <w:rPr>
                <w:rtl w:val="0"/>
              </w:rPr>
            </w:r>
          </w:p>
          <w:p w:rsidR="00000000" w:rsidDel="00000000" w:rsidP="00000000" w:rsidRDefault="00000000" w:rsidRPr="00000000" w14:paraId="0000005C">
            <w:pPr>
              <w:shd w:fill="ffffff" w:val="clear"/>
              <w:spacing w:line="240" w:lineRule="auto"/>
              <w:jc w:val="both"/>
              <w:rPr>
                <w:rFonts w:ascii="Calibri" w:cs="Calibri" w:eastAsia="Calibri" w:hAnsi="Calibri"/>
              </w:rPr>
            </w:pPr>
            <w:r w:rsidDel="00000000" w:rsidR="00000000" w:rsidRPr="00000000">
              <w:rPr>
                <w:rFonts w:ascii="Calibri" w:cs="Calibri" w:eastAsia="Calibri" w:hAnsi="Calibri"/>
                <w:color w:val="222222"/>
                <w:rtl w:val="0"/>
              </w:rPr>
              <w:t xml:space="preserve">Section 87 of the National Civil Code states that the wife’s residence shall be considered to be that of the husband’s.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D">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1, 2, 5, 15, 16</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widowControl w:val="0"/>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Marriage equality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spacing w:line="240" w:lineRule="auto"/>
              <w:rPr>
                <w:rFonts w:ascii="Calibri" w:cs="Calibri" w:eastAsia="Calibri" w:hAnsi="Calibri"/>
                <w:color w:val="222222"/>
                <w:highlight w:val="white"/>
              </w:rPr>
            </w:pPr>
            <w:r w:rsidDel="00000000" w:rsidR="00000000" w:rsidRPr="00000000">
              <w:rPr>
                <w:rFonts w:ascii="Calibri" w:cs="Calibri" w:eastAsia="Calibri" w:hAnsi="Calibri"/>
                <w:color w:val="222222"/>
                <w:highlight w:val="white"/>
                <w:rtl w:val="0"/>
              </w:rPr>
              <w:t xml:space="preserve">Section 67 of the National Civil Code states that a marriage shall be concluded if a man and a woman accept each other as husband and wife. This definition of marriage only covers marriage between a man and woman and has not ensured the right to marriage of non cis-gender persons.</w:t>
            </w:r>
          </w:p>
          <w:p w:rsidR="00000000" w:rsidDel="00000000" w:rsidP="00000000" w:rsidRDefault="00000000" w:rsidRPr="00000000" w14:paraId="00000060">
            <w:pPr>
              <w:spacing w:line="240" w:lineRule="auto"/>
              <w:rPr>
                <w:rFonts w:ascii="Calibri" w:cs="Calibri" w:eastAsia="Calibri" w:hAnsi="Calibri"/>
                <w:color w:val="222222"/>
                <w:highlight w:val="white"/>
              </w:rPr>
            </w:pPr>
            <w:r w:rsidDel="00000000" w:rsidR="00000000" w:rsidRPr="00000000">
              <w:rPr>
                <w:rtl w:val="0"/>
              </w:rPr>
            </w:r>
          </w:p>
          <w:p w:rsidR="00000000" w:rsidDel="00000000" w:rsidP="00000000" w:rsidRDefault="00000000" w:rsidRPr="00000000" w14:paraId="00000061">
            <w:pPr>
              <w:spacing w:line="240" w:lineRule="auto"/>
              <w:rPr>
                <w:rFonts w:ascii="Calibri" w:cs="Calibri" w:eastAsia="Calibri" w:hAnsi="Calibri"/>
                <w:shd w:fill="b6d7a8" w:val="clear"/>
              </w:rPr>
            </w:pPr>
            <w:r w:rsidDel="00000000" w:rsidR="00000000" w:rsidRPr="00000000">
              <w:rPr>
                <w:rFonts w:ascii="Calibri" w:cs="Calibri" w:eastAsia="Calibri" w:hAnsi="Calibri"/>
                <w:color w:val="222222"/>
                <w:highlight w:val="white"/>
                <w:rtl w:val="0"/>
              </w:rPr>
              <w:t xml:space="preserve">The Supreme Court on 28th June 2023, however, issued an interim order to maintain temporary documentation regarding registration of same-sex marriages. More than 10 local registrars have already registered same sex marriages as per the interim order.</w:t>
            </w:r>
            <w:r w:rsidDel="00000000" w:rsidR="00000000" w:rsidRPr="00000000">
              <w:rPr>
                <w:rtl w:val="0"/>
              </w:rPr>
            </w:r>
          </w:p>
        </w:tc>
      </w:tr>
    </w:tbl>
    <w:p w:rsidR="00000000" w:rsidDel="00000000" w:rsidP="00000000" w:rsidRDefault="00000000" w:rsidRPr="00000000" w14:paraId="00000062">
      <w:pPr>
        <w:spacing w:line="240" w:lineRule="auto"/>
        <w:jc w:val="both"/>
        <w:rPr>
          <w:rFonts w:ascii="Calibri" w:cs="Calibri" w:eastAsia="Calibri" w:hAnsi="Calibri"/>
          <w:b w:val="1"/>
          <w:i w:val="1"/>
        </w:rPr>
      </w:pPr>
      <w:r w:rsidDel="00000000" w:rsidR="00000000" w:rsidRPr="00000000">
        <w:rPr>
          <w:rtl w:val="0"/>
        </w:rPr>
      </w:r>
    </w:p>
    <w:p w:rsidR="00000000" w:rsidDel="00000000" w:rsidP="00000000" w:rsidRDefault="00000000" w:rsidRPr="00000000" w14:paraId="00000063">
      <w:pPr>
        <w:spacing w:line="240" w:lineRule="auto"/>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64">
      <w:pPr>
        <w:spacing w:line="240" w:lineRule="auto"/>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ONGOING ADVOCACY EFFORTS FOR REFORM </w:t>
      </w:r>
    </w:p>
    <w:p w:rsidR="00000000" w:rsidDel="00000000" w:rsidP="00000000" w:rsidRDefault="00000000" w:rsidRPr="00000000" w14:paraId="00000065">
      <w:pPr>
        <w:shd w:fill="ffffff" w:val="clear"/>
        <w:spacing w:line="240" w:lineRule="auto"/>
        <w:jc w:val="both"/>
        <w:rPr>
          <w:rFonts w:ascii="Verdana" w:cs="Verdana" w:eastAsia="Verdana" w:hAnsi="Verdana"/>
          <w:b w:val="1"/>
          <w:color w:val="222222"/>
          <w:sz w:val="20"/>
          <w:szCs w:val="20"/>
        </w:rPr>
      </w:pPr>
      <w:r w:rsidDel="00000000" w:rsidR="00000000" w:rsidRPr="00000000">
        <w:rPr>
          <w:rtl w:val="0"/>
        </w:rPr>
      </w:r>
    </w:p>
    <w:p w:rsidR="00000000" w:rsidDel="00000000" w:rsidP="00000000" w:rsidRDefault="00000000" w:rsidRPr="00000000" w14:paraId="00000066">
      <w:pPr>
        <w:pStyle w:val="Heading4"/>
        <w:spacing w:before="0" w:line="240" w:lineRule="auto"/>
        <w:rPr>
          <w:rFonts w:ascii="Calibri" w:cs="Calibri" w:eastAsia="Calibri" w:hAnsi="Calibri"/>
          <w:color w:val="000000"/>
          <w:sz w:val="22"/>
          <w:szCs w:val="22"/>
          <w:highlight w:val="white"/>
        </w:rPr>
      </w:pPr>
      <w:bookmarkStart w:colFirst="0" w:colLast="0" w:name="_fhnd78dpuycs" w:id="4"/>
      <w:bookmarkEnd w:id="4"/>
      <w:r w:rsidDel="00000000" w:rsidR="00000000" w:rsidRPr="00000000">
        <w:rPr>
          <w:rFonts w:ascii="Calibri" w:cs="Calibri" w:eastAsia="Calibri" w:hAnsi="Calibri"/>
          <w:color w:val="000000"/>
          <w:sz w:val="22"/>
          <w:szCs w:val="22"/>
          <w:highlight w:val="white"/>
          <w:rtl w:val="0"/>
        </w:rPr>
        <w:t xml:space="preserve">Women’s rights groups, including Women for Human Rights (single women’s group) and Forum for Women, Law and Development (FWLD), continue to advocate for the removal of all discriminatory provisions pertaining to property rights.</w:t>
      </w:r>
    </w:p>
    <w:p w:rsidR="00000000" w:rsidDel="00000000" w:rsidP="00000000" w:rsidRDefault="00000000" w:rsidRPr="00000000" w14:paraId="00000067">
      <w:pPr>
        <w:spacing w:line="240" w:lineRule="auto"/>
        <w:rPr/>
      </w:pPr>
      <w:r w:rsidDel="00000000" w:rsidR="00000000" w:rsidRPr="00000000">
        <w:rPr>
          <w:rtl w:val="0"/>
        </w:rPr>
      </w:r>
    </w:p>
    <w:p w:rsidR="00000000" w:rsidDel="00000000" w:rsidP="00000000" w:rsidRDefault="00000000" w:rsidRPr="00000000" w14:paraId="00000068">
      <w:pPr>
        <w:shd w:fill="ffffff" w:val="clear"/>
        <w:spacing w:line="240" w:lineRule="auto"/>
        <w:jc w:val="both"/>
        <w:rPr>
          <w:rFonts w:ascii="Calibri" w:cs="Calibri" w:eastAsia="Calibri" w:hAnsi="Calibri"/>
          <w:b w:val="1"/>
          <w:i w:val="1"/>
          <w:color w:val="222222"/>
          <w:sz w:val="24"/>
          <w:szCs w:val="24"/>
        </w:rPr>
      </w:pPr>
      <w:r w:rsidDel="00000000" w:rsidR="00000000" w:rsidRPr="00000000">
        <w:rPr>
          <w:rFonts w:ascii="Calibri" w:cs="Calibri" w:eastAsia="Calibri" w:hAnsi="Calibri"/>
          <w:b w:val="1"/>
          <w:i w:val="1"/>
          <w:color w:val="222222"/>
          <w:sz w:val="24"/>
          <w:szCs w:val="24"/>
          <w:rtl w:val="0"/>
        </w:rPr>
        <w:t xml:space="preserve">On property rights of widows </w:t>
      </w:r>
    </w:p>
    <w:p w:rsidR="00000000" w:rsidDel="00000000" w:rsidP="00000000" w:rsidRDefault="00000000" w:rsidRPr="00000000" w14:paraId="00000069">
      <w:pPr>
        <w:shd w:fill="ffffff" w:val="clear"/>
        <w:spacing w:line="240" w:lineRule="auto"/>
        <w:jc w:val="both"/>
        <w:rPr>
          <w:rFonts w:ascii="Calibri" w:cs="Calibri" w:eastAsia="Calibri" w:hAnsi="Calibri"/>
          <w:color w:val="222222"/>
        </w:rPr>
      </w:pPr>
      <w:r w:rsidDel="00000000" w:rsidR="00000000" w:rsidRPr="00000000">
        <w:rPr>
          <w:rFonts w:ascii="Calibri" w:cs="Calibri" w:eastAsia="Calibri" w:hAnsi="Calibri"/>
          <w:color w:val="222222"/>
          <w:rtl w:val="0"/>
        </w:rPr>
        <w:t xml:space="preserve">Advocate Meera Dhungana, on behalf of FWLD, and others, filed a writ petition at the Constitutional Bench of the Supreme Court of Nepal on May 11, 2020. The petition was filed against the Government of Nepal, Office of the Prime Minister and Council of Ministers and others, demanding annulment of Section 214(2) of the National Civil Code, 2017, through a writ of certiorari mandamus.</w:t>
      </w:r>
    </w:p>
    <w:p w:rsidR="00000000" w:rsidDel="00000000" w:rsidP="00000000" w:rsidRDefault="00000000" w:rsidRPr="00000000" w14:paraId="0000006A">
      <w:pPr>
        <w:shd w:fill="ffffff" w:val="clear"/>
        <w:spacing w:line="240" w:lineRule="auto"/>
        <w:jc w:val="both"/>
        <w:rPr>
          <w:rFonts w:ascii="Calibri" w:cs="Calibri" w:eastAsia="Calibri" w:hAnsi="Calibri"/>
          <w:color w:val="222222"/>
        </w:rPr>
      </w:pPr>
      <w:r w:rsidDel="00000000" w:rsidR="00000000" w:rsidRPr="00000000">
        <w:rPr>
          <w:rtl w:val="0"/>
        </w:rPr>
      </w:r>
    </w:p>
    <w:p w:rsidR="00000000" w:rsidDel="00000000" w:rsidP="00000000" w:rsidRDefault="00000000" w:rsidRPr="00000000" w14:paraId="0000006B">
      <w:pPr>
        <w:shd w:fill="ffffff" w:val="clear"/>
        <w:spacing w:line="240" w:lineRule="auto"/>
        <w:jc w:val="both"/>
        <w:rPr>
          <w:rFonts w:ascii="Calibri" w:cs="Calibri" w:eastAsia="Calibri" w:hAnsi="Calibri"/>
          <w:color w:val="222222"/>
        </w:rPr>
      </w:pPr>
      <w:r w:rsidDel="00000000" w:rsidR="00000000" w:rsidRPr="00000000">
        <w:rPr>
          <w:rFonts w:ascii="Calibri" w:cs="Calibri" w:eastAsia="Calibri" w:hAnsi="Calibri"/>
          <w:color w:val="222222"/>
          <w:rtl w:val="0"/>
        </w:rPr>
        <w:t xml:space="preserve">In response, on  August 13, 2021, the Constitutional Bench of the Supreme Court issued a show cause order against the opponents. The writ is currently under consideration at the Constitutional Bench of the Supreme Court.</w:t>
      </w:r>
    </w:p>
    <w:p w:rsidR="00000000" w:rsidDel="00000000" w:rsidP="00000000" w:rsidRDefault="00000000" w:rsidRPr="00000000" w14:paraId="0000006C">
      <w:pPr>
        <w:spacing w:line="240" w:lineRule="auto"/>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6D">
      <w:pPr>
        <w:spacing w:line="240" w:lineRule="auto"/>
        <w:jc w:val="both"/>
        <w:rPr>
          <w:rFonts w:ascii="Calibri" w:cs="Calibri" w:eastAsia="Calibri" w:hAnsi="Calibri"/>
          <w:sz w:val="24"/>
          <w:szCs w:val="24"/>
          <w:highlight w:val="yellow"/>
        </w:rPr>
      </w:pPr>
      <w:r w:rsidDel="00000000" w:rsidR="00000000" w:rsidRPr="00000000">
        <w:rPr>
          <w:rFonts w:ascii="Calibri" w:cs="Calibri" w:eastAsia="Calibri" w:hAnsi="Calibri"/>
          <w:b w:val="1"/>
          <w:i w:val="1"/>
          <w:sz w:val="24"/>
          <w:szCs w:val="24"/>
          <w:rtl w:val="0"/>
        </w:rPr>
        <w:t xml:space="preserve">On implementation of the Single Women Protection Fund (SWPF)</w:t>
      </w:r>
      <w:r w:rsidDel="00000000" w:rsidR="00000000" w:rsidRPr="00000000">
        <w:rPr>
          <w:rtl w:val="0"/>
        </w:rPr>
      </w:r>
    </w:p>
    <w:p w:rsidR="00000000" w:rsidDel="00000000" w:rsidP="00000000" w:rsidRDefault="00000000" w:rsidRPr="00000000" w14:paraId="0000006E">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WHR has been actively advocating for the prompt implementation of the Single Women Protection Fund (SWPF). Despite WHR's Chairperson serving as a member of the Ministerial-level Steering Committee for the Fund, the Ministry has yet to convene a single meeting. Additionally, in December 2024 WHR conducted online consultations with mayors from all seven provinces, revealing that very few municipalities have established the SWPF. Local governments continue to prioritize development projects such as road construction and hydropower initiatives while showing minimal interest in forming the necessary committees to operationalize the SWPF.</w:t>
      </w:r>
    </w:p>
    <w:p w:rsidR="00000000" w:rsidDel="00000000" w:rsidP="00000000" w:rsidRDefault="00000000" w:rsidRPr="00000000" w14:paraId="0000006F">
      <w:pPr>
        <w:spacing w:line="240" w:lineRule="auto"/>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70">
      <w:pPr>
        <w:spacing w:line="240" w:lineRule="auto"/>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SUGGESTED RECOMMENDATIONS FOR THE CONCLUDING OBSERVATIONS </w:t>
      </w:r>
    </w:p>
    <w:p w:rsidR="00000000" w:rsidDel="00000000" w:rsidP="00000000" w:rsidRDefault="00000000" w:rsidRPr="00000000" w14:paraId="00000071">
      <w:pPr>
        <w:spacing w:line="240" w:lineRule="auto"/>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72">
      <w:pPr>
        <w:spacing w:line="240" w:lineRule="auto"/>
        <w:ind w:left="0" w:firstLine="0"/>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On marital property rights and rights within marriage:  </w:t>
      </w:r>
    </w:p>
    <w:p w:rsidR="00000000" w:rsidDel="00000000" w:rsidP="00000000" w:rsidRDefault="00000000" w:rsidRPr="00000000" w14:paraId="00000073">
      <w:pPr>
        <w:spacing w:line="240" w:lineRule="auto"/>
        <w:ind w:left="0" w:firstLine="0"/>
        <w:rPr>
          <w:rFonts w:ascii="Calibri" w:cs="Calibri" w:eastAsia="Calibri" w:hAnsi="Calibri"/>
          <w:b w:val="1"/>
        </w:rPr>
      </w:pPr>
      <w:r w:rsidDel="00000000" w:rsidR="00000000" w:rsidRPr="00000000">
        <w:rPr>
          <w:rFonts w:ascii="Calibri" w:cs="Calibri" w:eastAsia="Calibri" w:hAnsi="Calibri"/>
          <w:b w:val="1"/>
          <w:rtl w:val="0"/>
        </w:rPr>
        <w:t xml:space="preserve">Nepal must amend or repeal the remaining discriminatory National Civil Code provisions to:</w:t>
      </w:r>
    </w:p>
    <w:p w:rsidR="00000000" w:rsidDel="00000000" w:rsidP="00000000" w:rsidRDefault="00000000" w:rsidRPr="00000000" w14:paraId="00000074">
      <w:pPr>
        <w:numPr>
          <w:ilvl w:val="0"/>
          <w:numId w:val="1"/>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Ensure that widows who remarry do not have to return marital property to their deceased husband’s family; </w:t>
      </w:r>
    </w:p>
    <w:p w:rsidR="00000000" w:rsidDel="00000000" w:rsidP="00000000" w:rsidRDefault="00000000" w:rsidRPr="00000000" w14:paraId="00000075">
      <w:pPr>
        <w:numPr>
          <w:ilvl w:val="0"/>
          <w:numId w:val="1"/>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Ensure that divorced women get their fair share of marital property regardless of the type of divorce obtained; </w:t>
      </w:r>
    </w:p>
    <w:p w:rsidR="00000000" w:rsidDel="00000000" w:rsidP="00000000" w:rsidRDefault="00000000" w:rsidRPr="00000000" w14:paraId="00000076">
      <w:pPr>
        <w:numPr>
          <w:ilvl w:val="0"/>
          <w:numId w:val="1"/>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Ensure that child custody rights of a mother are not dependent on her marital status or choice to remarry; </w:t>
      </w:r>
    </w:p>
    <w:p w:rsidR="00000000" w:rsidDel="00000000" w:rsidP="00000000" w:rsidRDefault="00000000" w:rsidRPr="00000000" w14:paraId="00000077">
      <w:pPr>
        <w:numPr>
          <w:ilvl w:val="0"/>
          <w:numId w:val="1"/>
        </w:numPr>
        <w:shd w:fill="ffffff" w:val="clear"/>
        <w:spacing w:line="240" w:lineRule="auto"/>
        <w:ind w:left="720" w:hanging="360"/>
        <w:jc w:val="both"/>
        <w:rPr>
          <w:rFonts w:ascii="Calibri" w:cs="Calibri" w:eastAsia="Calibri" w:hAnsi="Calibri"/>
        </w:rPr>
      </w:pPr>
      <w:r w:rsidDel="00000000" w:rsidR="00000000" w:rsidRPr="00000000">
        <w:rPr>
          <w:rFonts w:ascii="Calibri" w:cs="Calibri" w:eastAsia="Calibri" w:hAnsi="Calibri"/>
          <w:color w:val="222222"/>
          <w:rtl w:val="0"/>
        </w:rPr>
        <w:t xml:space="preserve">Ensure that married women have full autonomy to retain a surname of their choice; </w:t>
      </w:r>
    </w:p>
    <w:p w:rsidR="00000000" w:rsidDel="00000000" w:rsidP="00000000" w:rsidRDefault="00000000" w:rsidRPr="00000000" w14:paraId="00000078">
      <w:pPr>
        <w:numPr>
          <w:ilvl w:val="0"/>
          <w:numId w:val="1"/>
        </w:numPr>
        <w:shd w:fill="ffffff" w:val="clear"/>
        <w:spacing w:line="240" w:lineRule="auto"/>
        <w:ind w:left="720" w:hanging="360"/>
        <w:jc w:val="both"/>
        <w:rPr>
          <w:rFonts w:ascii="Calibri" w:cs="Calibri" w:eastAsia="Calibri" w:hAnsi="Calibri"/>
        </w:rPr>
      </w:pPr>
      <w:r w:rsidDel="00000000" w:rsidR="00000000" w:rsidRPr="00000000">
        <w:rPr>
          <w:rFonts w:ascii="Calibri" w:cs="Calibri" w:eastAsia="Calibri" w:hAnsi="Calibri"/>
          <w:color w:val="222222"/>
          <w:rtl w:val="0"/>
        </w:rPr>
        <w:t xml:space="preserve">Ensure that a wife’s residence shall be considered to be that of her choosing, rather than defaulting to her husband’s residence.</w:t>
      </w:r>
      <w:r w:rsidDel="00000000" w:rsidR="00000000" w:rsidRPr="00000000">
        <w:rPr>
          <w:rtl w:val="0"/>
        </w:rPr>
      </w:r>
    </w:p>
    <w:p w:rsidR="00000000" w:rsidDel="00000000" w:rsidP="00000000" w:rsidRDefault="00000000" w:rsidRPr="00000000" w14:paraId="00000079">
      <w:pPr>
        <w:spacing w:line="240"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7A">
      <w:pPr>
        <w:spacing w:line="240" w:lineRule="auto"/>
        <w:ind w:left="0" w:firstLine="0"/>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On widowhood rights: </w:t>
      </w:r>
    </w:p>
    <w:p w:rsidR="00000000" w:rsidDel="00000000" w:rsidP="00000000" w:rsidRDefault="00000000" w:rsidRPr="00000000" w14:paraId="0000007B">
      <w:pPr>
        <w:spacing w:line="240" w:lineRule="auto"/>
        <w:rPr>
          <w:rFonts w:ascii="Calibri" w:cs="Calibri" w:eastAsia="Calibri" w:hAnsi="Calibri"/>
        </w:rPr>
      </w:pPr>
      <w:r w:rsidDel="00000000" w:rsidR="00000000" w:rsidRPr="00000000">
        <w:rPr>
          <w:rFonts w:ascii="Calibri" w:cs="Calibri" w:eastAsia="Calibri" w:hAnsi="Calibri"/>
          <w:rtl w:val="0"/>
        </w:rPr>
        <w:t xml:space="preserve">Additionally, Nepal must ensure measures to secure the rights and wellbeing of widows, including special social protection programs for elderly widows living alone. </w:t>
      </w:r>
    </w:p>
    <w:p w:rsidR="00000000" w:rsidDel="00000000" w:rsidP="00000000" w:rsidRDefault="00000000" w:rsidRPr="00000000" w14:paraId="0000007C">
      <w:pPr>
        <w:numPr>
          <w:ilvl w:val="0"/>
          <w:numId w:val="2"/>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The Nepal government must also ensure the full implementation of the Single Women Protection Fund and its equitable distribution. </w:t>
      </w:r>
    </w:p>
    <w:p w:rsidR="00000000" w:rsidDel="00000000" w:rsidP="00000000" w:rsidRDefault="00000000" w:rsidRPr="00000000" w14:paraId="0000007D">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E">
      <w:pPr>
        <w:spacing w:line="240" w:lineRule="auto"/>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On child and forced marriage: </w:t>
      </w:r>
    </w:p>
    <w:p w:rsidR="00000000" w:rsidDel="00000000" w:rsidP="00000000" w:rsidRDefault="00000000" w:rsidRPr="00000000" w14:paraId="0000007F">
      <w:pPr>
        <w:numPr>
          <w:ilvl w:val="0"/>
          <w:numId w:val="3"/>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Penal Code must be amended to ensure that victim-survivors of child and forced marriage are not penalised and preventive measures, including relevant social and economic policy initiatives, are in place to protect the rights of child and forced marriage victim-survivors. </w:t>
      </w:r>
    </w:p>
    <w:p w:rsidR="00000000" w:rsidDel="00000000" w:rsidP="00000000" w:rsidRDefault="00000000" w:rsidRPr="00000000" w14:paraId="00000080">
      <w:pPr>
        <w:spacing w:line="240" w:lineRule="auto"/>
        <w:rPr>
          <w:rFonts w:ascii="Calibri" w:cs="Calibri" w:eastAsia="Calibri" w:hAnsi="Calibri"/>
          <w:b w:val="1"/>
          <w:i w:val="1"/>
        </w:rPr>
      </w:pPr>
      <w:r w:rsidDel="00000000" w:rsidR="00000000" w:rsidRPr="00000000">
        <w:rPr>
          <w:rtl w:val="0"/>
        </w:rPr>
      </w:r>
    </w:p>
    <w:p w:rsidR="00000000" w:rsidDel="00000000" w:rsidP="00000000" w:rsidRDefault="00000000" w:rsidRPr="00000000" w14:paraId="00000081">
      <w:pPr>
        <w:spacing w:line="240" w:lineRule="auto"/>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On marriage equality:</w:t>
      </w:r>
    </w:p>
    <w:p w:rsidR="00000000" w:rsidDel="00000000" w:rsidP="00000000" w:rsidRDefault="00000000" w:rsidRPr="00000000" w14:paraId="00000082">
      <w:pPr>
        <w:numPr>
          <w:ilvl w:val="0"/>
          <w:numId w:val="4"/>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Officially recognise marriage equality of same sex couples in Nepal’s laws with the guarantee of full rights accorded to heterosexual couples. </w:t>
      </w:r>
      <w:r w:rsidDel="00000000" w:rsidR="00000000" w:rsidRPr="00000000">
        <w:rPr>
          <w:rtl w:val="0"/>
        </w:rPr>
      </w:r>
    </w:p>
    <w:p w:rsidR="00000000" w:rsidDel="00000000" w:rsidP="00000000" w:rsidRDefault="00000000" w:rsidRPr="00000000" w14:paraId="00000083">
      <w:pPr>
        <w:spacing w:line="240" w:lineRule="auto"/>
        <w:rPr>
          <w:rFonts w:ascii="Calibri" w:cs="Calibri" w:eastAsia="Calibri" w:hAnsi="Calibri"/>
          <w:b w:val="1"/>
          <w:i w:val="1"/>
        </w:rPr>
      </w:pPr>
      <w:r w:rsidDel="00000000" w:rsidR="00000000" w:rsidRPr="00000000">
        <w:rPr>
          <w:rtl w:val="0"/>
        </w:rPr>
      </w:r>
    </w:p>
    <w:sectPr>
      <w:headerReference r:id="rId7" w:type="default"/>
      <w:headerReference r:id="rId8" w:type="first"/>
      <w:footerReference r:id="rId9" w:type="default"/>
      <w:footerReference r:id="rId10"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Verdana"/>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A">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B">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84">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T</w:t>
      </w:r>
      <w:r w:rsidDel="00000000" w:rsidR="00000000" w:rsidRPr="00000000">
        <w:rPr>
          <w:rFonts w:ascii="Calibri" w:cs="Calibri" w:eastAsia="Calibri" w:hAnsi="Calibri"/>
          <w:sz w:val="20"/>
          <w:szCs w:val="20"/>
          <w:rtl w:val="0"/>
        </w:rPr>
        <w:t xml:space="preserve">he Global Campaign for Equality in Family Law (GCEFL) </w:t>
      </w:r>
      <w:r w:rsidDel="00000000" w:rsidR="00000000" w:rsidRPr="00000000">
        <w:rPr>
          <w:rFonts w:ascii="Calibri" w:cs="Calibri" w:eastAsia="Calibri" w:hAnsi="Calibri"/>
          <w:color w:val="321f16"/>
          <w:sz w:val="20"/>
          <w:szCs w:val="20"/>
          <w:highlight w:val="white"/>
          <w:rtl w:val="0"/>
        </w:rPr>
        <w:t xml:space="preserve">is led by a coalition of women’s rights, human rights and faith-based organisations formed with the aim to advocate for egalitarian family law globally. More info: </w:t>
      </w:r>
      <w:hyperlink r:id="rId1">
        <w:r w:rsidDel="00000000" w:rsidR="00000000" w:rsidRPr="00000000">
          <w:rPr>
            <w:rFonts w:ascii="Calibri" w:cs="Calibri" w:eastAsia="Calibri" w:hAnsi="Calibri"/>
            <w:color w:val="1155cc"/>
            <w:sz w:val="20"/>
            <w:szCs w:val="20"/>
            <w:highlight w:val="white"/>
            <w:u w:val="single"/>
            <w:rtl w:val="0"/>
          </w:rPr>
          <w:t xml:space="preserve">www.equalfamilylaws.org</w:t>
        </w:r>
      </w:hyperlink>
      <w:r w:rsidDel="00000000" w:rsidR="00000000" w:rsidRPr="00000000">
        <w:rPr>
          <w:rFonts w:ascii="Calibri" w:cs="Calibri" w:eastAsia="Calibri" w:hAnsi="Calibri"/>
          <w:color w:val="321f16"/>
          <w:sz w:val="20"/>
          <w:szCs w:val="20"/>
          <w:highlight w:val="white"/>
          <w:rtl w:val="0"/>
        </w:rPr>
        <w:t xml:space="preserve"> </w:t>
      </w:r>
      <w:r w:rsidDel="00000000" w:rsidR="00000000" w:rsidRPr="00000000">
        <w:rPr>
          <w:rtl w:val="0"/>
        </w:rPr>
      </w:r>
    </w:p>
  </w:footnote>
  <w:footnote w:id="4">
    <w:p w:rsidR="00000000" w:rsidDel="00000000" w:rsidP="00000000" w:rsidRDefault="00000000" w:rsidRPr="00000000" w14:paraId="00000085">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 Concluding Observations for the Sixth Periodic Report of Nepal - Recommendation 9(b) </w:t>
      </w:r>
      <w:hyperlink r:id="rId2">
        <w:r w:rsidDel="00000000" w:rsidR="00000000" w:rsidRPr="00000000">
          <w:rPr>
            <w:rFonts w:ascii="Calibri" w:cs="Calibri" w:eastAsia="Calibri" w:hAnsi="Calibri"/>
            <w:color w:val="1155cc"/>
            <w:sz w:val="20"/>
            <w:szCs w:val="20"/>
            <w:u w:val="single"/>
            <w:rtl w:val="0"/>
          </w:rPr>
          <w:t xml:space="preserve">https://tbinternet.ohchr.org/_layouts/15/treatybodyexternal/Download.aspx?symbolno=CEDAW%2FC%2FNPL%2FCO%2F6&amp;Lang=en</w:t>
        </w:r>
      </w:hyperlink>
      <w:r w:rsidDel="00000000" w:rsidR="00000000" w:rsidRPr="00000000">
        <w:rPr>
          <w:rFonts w:ascii="Calibri" w:cs="Calibri" w:eastAsia="Calibri" w:hAnsi="Calibri"/>
          <w:sz w:val="20"/>
          <w:szCs w:val="20"/>
          <w:rtl w:val="0"/>
        </w:rPr>
        <w:t xml:space="preserve">  While some reform of the Nepal Citizenship Act was undertaken in May 2023, further reform of both the Act and Nepal’s Constitution, including with respect to a woman’s equal ability to confer nationality to her spouse.  See </w:t>
      </w:r>
      <w:hyperlink r:id="rId3">
        <w:r w:rsidDel="00000000" w:rsidR="00000000" w:rsidRPr="00000000">
          <w:rPr>
            <w:rFonts w:ascii="Calibri" w:cs="Calibri" w:eastAsia="Calibri" w:hAnsi="Calibri"/>
            <w:color w:val="1155cc"/>
            <w:sz w:val="20"/>
            <w:szCs w:val="20"/>
            <w:u w:val="single"/>
            <w:rtl w:val="0"/>
          </w:rPr>
          <w:t xml:space="preserve">https://equalitynow.org/resource/nationality-report-update/</w:t>
        </w:r>
      </w:hyperlink>
      <w:r w:rsidDel="00000000" w:rsidR="00000000" w:rsidRPr="00000000">
        <w:rPr>
          <w:rFonts w:ascii="Calibri" w:cs="Calibri" w:eastAsia="Calibri" w:hAnsi="Calibri"/>
          <w:sz w:val="20"/>
          <w:szCs w:val="20"/>
          <w:rtl w:val="0"/>
        </w:rPr>
        <w:t xml:space="preserve">  </w:t>
      </w:r>
    </w:p>
    <w:p w:rsidR="00000000" w:rsidDel="00000000" w:rsidP="00000000" w:rsidRDefault="00000000" w:rsidRPr="00000000" w14:paraId="00000086">
      <w:pPr>
        <w:spacing w:line="240" w:lineRule="auto"/>
        <w:rPr>
          <w:sz w:val="20"/>
          <w:szCs w:val="20"/>
        </w:rPr>
      </w:pPr>
      <w:r w:rsidDel="00000000" w:rsidR="00000000" w:rsidRPr="00000000">
        <w:rPr>
          <w:rtl w:val="0"/>
        </w:rPr>
      </w:r>
    </w:p>
  </w:footnote>
  <w:footnote w:id="5">
    <w:p w:rsidR="00000000" w:rsidDel="00000000" w:rsidP="00000000" w:rsidRDefault="00000000" w:rsidRPr="00000000" w14:paraId="0000008C">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The National (Civil) Code of Nepal (2018) </w:t>
      </w:r>
      <w:hyperlink r:id="rId4">
        <w:r w:rsidDel="00000000" w:rsidR="00000000" w:rsidRPr="00000000">
          <w:rPr>
            <w:color w:val="1155cc"/>
            <w:sz w:val="18"/>
            <w:szCs w:val="18"/>
            <w:u w:val="single"/>
            <w:rtl w:val="0"/>
          </w:rPr>
          <w:t xml:space="preserve">https://www.moljpa.gov.np/en/wp-content/uploads/2018/12/Civil-code.pdf</w:t>
        </w:r>
      </w:hyperlink>
      <w:r w:rsidDel="00000000" w:rsidR="00000000" w:rsidRPr="00000000">
        <w:rPr>
          <w:sz w:val="18"/>
          <w:szCs w:val="18"/>
          <w:rtl w:val="0"/>
        </w:rPr>
        <w:t xml:space="preserve"> </w:t>
      </w:r>
    </w:p>
  </w:footnote>
  <w:footnote w:id="6">
    <w:p w:rsidR="00000000" w:rsidDel="00000000" w:rsidP="00000000" w:rsidRDefault="00000000" w:rsidRPr="00000000" w14:paraId="0000008D">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Shrestha, Elisha (2020), </w:t>
      </w:r>
      <w:r w:rsidDel="00000000" w:rsidR="00000000" w:rsidRPr="00000000">
        <w:rPr>
          <w:i w:val="1"/>
          <w:color w:val="333333"/>
          <w:sz w:val="18"/>
          <w:szCs w:val="18"/>
          <w:rtl w:val="0"/>
        </w:rPr>
        <w:t xml:space="preserve">Widows in Nepal still need to fight for their property right. </w:t>
      </w:r>
      <w:r w:rsidDel="00000000" w:rsidR="00000000" w:rsidRPr="00000000">
        <w:rPr>
          <w:color w:val="333333"/>
          <w:sz w:val="18"/>
          <w:szCs w:val="18"/>
          <w:rtl w:val="0"/>
        </w:rPr>
        <w:t xml:space="preserve">The Kathmandu Post </w:t>
      </w:r>
      <w:hyperlink r:id="rId5">
        <w:r w:rsidDel="00000000" w:rsidR="00000000" w:rsidRPr="00000000">
          <w:rPr>
            <w:color w:val="1155cc"/>
            <w:sz w:val="18"/>
            <w:szCs w:val="18"/>
            <w:highlight w:val="white"/>
            <w:u w:val="single"/>
            <w:rtl w:val="0"/>
          </w:rPr>
          <w:t xml:space="preserve">https://kathmandupost.com/2/2020/01/15/widows-in-nepal-still-need-to-fight-for-their-property-right</w:t>
        </w:r>
      </w:hyperlink>
      <w:r w:rsidDel="00000000" w:rsidR="00000000" w:rsidRPr="00000000">
        <w:rPr>
          <w:color w:val="333333"/>
          <w:sz w:val="18"/>
          <w:szCs w:val="18"/>
          <w:highlight w:val="white"/>
          <w:rtl w:val="0"/>
        </w:rPr>
        <w:t xml:space="preserve"> </w:t>
      </w:r>
      <w:r w:rsidDel="00000000" w:rsidR="00000000" w:rsidRPr="00000000">
        <w:rPr>
          <w:sz w:val="18"/>
          <w:szCs w:val="18"/>
          <w:rtl w:val="0"/>
        </w:rPr>
        <w:t xml:space="preserve">  </w:t>
      </w:r>
    </w:p>
  </w:footnote>
  <w:footnote w:id="7">
    <w:p w:rsidR="00000000" w:rsidDel="00000000" w:rsidP="00000000" w:rsidRDefault="00000000" w:rsidRPr="00000000" w14:paraId="0000008E">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National Penal Code of Nepal (</w:t>
      </w:r>
      <w:r w:rsidDel="00000000" w:rsidR="00000000" w:rsidRPr="00000000">
        <w:rPr>
          <w:rFonts w:ascii="Calibri" w:cs="Calibri" w:eastAsia="Calibri" w:hAnsi="Calibri"/>
          <w:sz w:val="20"/>
          <w:szCs w:val="20"/>
          <w:rtl w:val="0"/>
        </w:rPr>
        <w:t xml:space="preserve">2017</w:t>
      </w:r>
      <w:r w:rsidDel="00000000" w:rsidR="00000000" w:rsidRPr="00000000">
        <w:rPr>
          <w:rFonts w:ascii="Calibri" w:cs="Calibri" w:eastAsia="Calibri" w:hAnsi="Calibri"/>
          <w:sz w:val="20"/>
          <w:szCs w:val="20"/>
          <w:rtl w:val="0"/>
        </w:rPr>
        <w:t xml:space="preserve">), section 171. </w:t>
      </w:r>
      <w:hyperlink r:id="rId6">
        <w:r w:rsidDel="00000000" w:rsidR="00000000" w:rsidRPr="00000000">
          <w:rPr>
            <w:rFonts w:ascii="Calibri" w:cs="Calibri" w:eastAsia="Calibri" w:hAnsi="Calibri"/>
            <w:color w:val="1155cc"/>
            <w:sz w:val="20"/>
            <w:szCs w:val="20"/>
            <w:u w:val="single"/>
            <w:rtl w:val="0"/>
          </w:rPr>
          <w:t xml:space="preserve">www.moljpa.gov.np/en/wp-content/uploads/2018/12/Penal-Code-English-Revised-1.pdf</w:t>
        </w:r>
      </w:hyperlink>
      <w:r w:rsidDel="00000000" w:rsidR="00000000" w:rsidRPr="00000000">
        <w:rPr>
          <w:rFonts w:ascii="Calibri" w:cs="Calibri" w:eastAsia="Calibri" w:hAnsi="Calibri"/>
          <w:sz w:val="20"/>
          <w:szCs w:val="20"/>
          <w:rtl w:val="0"/>
        </w:rPr>
        <w:t xml:space="preserve"> </w:t>
      </w:r>
    </w:p>
  </w:footnote>
  <w:footnote w:id="8">
    <w:p w:rsidR="00000000" w:rsidDel="00000000" w:rsidP="00000000" w:rsidRDefault="00000000" w:rsidRPr="00000000" w14:paraId="0000008F">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Id. at section 173.</w:t>
      </w:r>
    </w:p>
  </w:footnote>
  <w:footnote w:id="1">
    <w:p w:rsidR="00000000" w:rsidDel="00000000" w:rsidP="00000000" w:rsidRDefault="00000000" w:rsidRPr="00000000" w14:paraId="00000090">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highlight w:val="white"/>
          <w:rtl w:val="0"/>
        </w:rPr>
        <w:t xml:space="preserve">FWLD</w:t>
      </w:r>
      <w:r w:rsidDel="00000000" w:rsidR="00000000" w:rsidRPr="00000000">
        <w:rPr>
          <w:rFonts w:ascii="Calibri" w:cs="Calibri" w:eastAsia="Calibri" w:hAnsi="Calibri"/>
          <w:sz w:val="20"/>
          <w:szCs w:val="20"/>
          <w:highlight w:val="white"/>
          <w:rtl w:val="0"/>
        </w:rPr>
        <w:t xml:space="preserve"> is an autonomous, non-profit NGO of </w:t>
      </w:r>
      <w:r w:rsidDel="00000000" w:rsidR="00000000" w:rsidRPr="00000000">
        <w:rPr>
          <w:rFonts w:ascii="Calibri" w:cs="Calibri" w:eastAsia="Calibri" w:hAnsi="Calibri"/>
          <w:sz w:val="20"/>
          <w:szCs w:val="20"/>
          <w:highlight w:val="white"/>
          <w:rtl w:val="0"/>
        </w:rPr>
        <w:t xml:space="preserve">Nepal</w:t>
      </w:r>
      <w:r w:rsidDel="00000000" w:rsidR="00000000" w:rsidRPr="00000000">
        <w:rPr>
          <w:rFonts w:ascii="Calibri" w:cs="Calibri" w:eastAsia="Calibri" w:hAnsi="Calibri"/>
          <w:sz w:val="20"/>
          <w:szCs w:val="20"/>
          <w:highlight w:val="white"/>
          <w:rtl w:val="0"/>
        </w:rPr>
        <w:t xml:space="preserve"> </w:t>
      </w:r>
      <w:r w:rsidDel="00000000" w:rsidR="00000000" w:rsidRPr="00000000">
        <w:rPr>
          <w:rFonts w:ascii="Calibri" w:cs="Calibri" w:eastAsia="Calibri" w:hAnsi="Calibri"/>
          <w:sz w:val="20"/>
          <w:szCs w:val="20"/>
          <w:highlight w:val="white"/>
          <w:rtl w:val="0"/>
        </w:rPr>
        <w:t xml:space="preserve">established on May 29, 1995, for the protection, promotion and enjoyment of human rights through law. </w:t>
      </w:r>
      <w:hyperlink r:id="rId7">
        <w:r w:rsidDel="00000000" w:rsidR="00000000" w:rsidRPr="00000000">
          <w:rPr>
            <w:rFonts w:ascii="Calibri" w:cs="Calibri" w:eastAsia="Calibri" w:hAnsi="Calibri"/>
            <w:color w:val="1155cc"/>
            <w:sz w:val="20"/>
            <w:szCs w:val="20"/>
            <w:highlight w:val="white"/>
            <w:u w:val="single"/>
            <w:rtl w:val="0"/>
          </w:rPr>
          <w:t xml:space="preserve">www.fwld.org</w:t>
        </w:r>
      </w:hyperlink>
      <w:r w:rsidDel="00000000" w:rsidR="00000000" w:rsidRPr="00000000">
        <w:rPr>
          <w:rFonts w:ascii="Calibri" w:cs="Calibri" w:eastAsia="Calibri" w:hAnsi="Calibri"/>
          <w:sz w:val="20"/>
          <w:szCs w:val="20"/>
          <w:highlight w:val="white"/>
          <w:rtl w:val="0"/>
        </w:rPr>
        <w:t xml:space="preserve"> </w:t>
      </w:r>
      <w:r w:rsidDel="00000000" w:rsidR="00000000" w:rsidRPr="00000000">
        <w:rPr>
          <w:rFonts w:ascii="Calibri" w:cs="Calibri" w:eastAsia="Calibri" w:hAnsi="Calibri"/>
          <w:sz w:val="20"/>
          <w:szCs w:val="20"/>
          <w:highlight w:val="white"/>
          <w:rtl w:val="0"/>
        </w:rPr>
        <w:t xml:space="preserve"> </w:t>
      </w:r>
      <w:r w:rsidDel="00000000" w:rsidR="00000000" w:rsidRPr="00000000">
        <w:rPr>
          <w:rtl w:val="0"/>
        </w:rPr>
      </w:r>
    </w:p>
  </w:footnote>
  <w:footnote w:id="2">
    <w:p w:rsidR="00000000" w:rsidDel="00000000" w:rsidP="00000000" w:rsidRDefault="00000000" w:rsidRPr="00000000" w14:paraId="00000091">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highlight w:val="white"/>
          <w:rtl w:val="0"/>
        </w:rPr>
        <w:t xml:space="preserve">Women For Human Rights, single women group (WHR) is a non-governmental organization, established in 1995, with the aim of fighting for the socio-cultural, economic and political rights of single women (widows) of Nepal. WHR strives to create a just and equitable society where there will be “no discrimination on the basis of marital status”. </w:t>
      </w:r>
      <w:hyperlink r:id="rId8">
        <w:r w:rsidDel="00000000" w:rsidR="00000000" w:rsidRPr="00000000">
          <w:rPr>
            <w:rFonts w:ascii="Calibri" w:cs="Calibri" w:eastAsia="Calibri" w:hAnsi="Calibri"/>
            <w:color w:val="1155cc"/>
            <w:sz w:val="20"/>
            <w:szCs w:val="20"/>
            <w:highlight w:val="white"/>
            <w:u w:val="single"/>
            <w:rtl w:val="0"/>
          </w:rPr>
          <w:t xml:space="preserve">www.whr.org.np</w:t>
        </w:r>
      </w:hyperlink>
      <w:r w:rsidDel="00000000" w:rsidR="00000000" w:rsidRPr="00000000">
        <w:rPr>
          <w:rFonts w:ascii="Calibri" w:cs="Calibri" w:eastAsia="Calibri" w:hAnsi="Calibri"/>
          <w:sz w:val="20"/>
          <w:szCs w:val="20"/>
          <w:highlight w:val="white"/>
          <w:rtl w:val="0"/>
        </w:rPr>
        <w:t xml:space="preserve"> </w:t>
      </w:r>
      <w:r w:rsidDel="00000000" w:rsidR="00000000" w:rsidRPr="00000000">
        <w:rPr>
          <w:rtl w:val="0"/>
        </w:rPr>
      </w:r>
    </w:p>
  </w:footnote>
  <w:footnote w:id="3">
    <w:p w:rsidR="00000000" w:rsidDel="00000000" w:rsidP="00000000" w:rsidRDefault="00000000" w:rsidRPr="00000000" w14:paraId="00000092">
      <w:pPr>
        <w:spacing w:line="240" w:lineRule="auto"/>
        <w:rPr>
          <w:rFonts w:ascii="Calibri" w:cs="Calibri" w:eastAsia="Calibri" w:hAnsi="Calibri"/>
          <w:sz w:val="20"/>
          <w:szCs w:val="20"/>
          <w:highlight w:val="yellow"/>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Equality Now is a global feminist organization using the law to protect and promote the human rights of all women and girls. We create, reform, challenge, and apply the law to establish enduring equality for women and girls everywhere. </w:t>
      </w:r>
      <w:hyperlink r:id="rId9">
        <w:r w:rsidDel="00000000" w:rsidR="00000000" w:rsidRPr="00000000">
          <w:rPr>
            <w:rFonts w:ascii="Calibri" w:cs="Calibri" w:eastAsia="Calibri" w:hAnsi="Calibri"/>
            <w:color w:val="1155cc"/>
            <w:sz w:val="20"/>
            <w:szCs w:val="20"/>
            <w:u w:val="single"/>
            <w:rtl w:val="0"/>
          </w:rPr>
          <w:t xml:space="preserve">https://equalitynow.org</w:t>
        </w:r>
      </w:hyperlink>
      <w:r w:rsidDel="00000000" w:rsidR="00000000" w:rsidRPr="00000000">
        <w:rPr>
          <w:rFonts w:ascii="Calibri" w:cs="Calibri" w:eastAsia="Calibri" w:hAnsi="Calibri"/>
          <w:sz w:val="20"/>
          <w:szCs w:val="20"/>
          <w:rtl w:val="0"/>
        </w:rPr>
        <w:t xml:space="preserve"> </w:t>
      </w:r>
      <w:r w:rsidDel="00000000" w:rsidR="00000000" w:rsidRPr="00000000">
        <w:rPr>
          <w:rtl w:val="0"/>
        </w:rPr>
      </w:r>
    </w:p>
  </w:footnote>
  <w:footnote w:id="9">
    <w:p w:rsidR="00000000" w:rsidDel="00000000" w:rsidP="00000000" w:rsidRDefault="00000000" w:rsidRPr="00000000" w14:paraId="00000093">
      <w:pPr>
        <w:spacing w:line="240" w:lineRule="auto"/>
        <w:rPr>
          <w:rFonts w:ascii="Calibri" w:cs="Calibri" w:eastAsia="Calibri" w:hAnsi="Calibri"/>
          <w:color w:val="222222"/>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color w:val="222222"/>
          <w:sz w:val="20"/>
          <w:szCs w:val="20"/>
          <w:rtl w:val="0"/>
        </w:rPr>
        <w:t xml:space="preserve">Child marriage and forced marriage are two separate offenses under the National Criminal Code. Section 171 of the National Criminal Code prohibits entering into marriage without consent of the persons getting married. Consent given by a person who has not attained the marriageable age i.e. 20 years shall not be deemed to be consent. A marriage concluded without consent shall be void. A person who commits the offense shall be liable to a sentence of imprisonment for a term not exceeding two years and a fine not exceeding twenty thousand rupees.</w:t>
      </w:r>
    </w:p>
    <w:p w:rsidR="00000000" w:rsidDel="00000000" w:rsidP="00000000" w:rsidRDefault="00000000" w:rsidRPr="00000000" w14:paraId="00000094">
      <w:pPr>
        <w:spacing w:line="240" w:lineRule="auto"/>
        <w:rPr>
          <w:sz w:val="20"/>
          <w:szCs w:val="20"/>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7">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8">
    <w:pPr>
      <w:spacing w:line="240" w:lineRule="auto"/>
      <w:jc w:val="center"/>
      <w:rPr>
        <w:rFonts w:ascii="Calibri" w:cs="Calibri" w:eastAsia="Calibri" w:hAnsi="Calibri"/>
        <w:b w:val="1"/>
        <w:sz w:val="26"/>
        <w:szCs w:val="26"/>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180975</wp:posOffset>
          </wp:positionH>
          <wp:positionV relativeFrom="paragraph">
            <wp:posOffset>-200024</wp:posOffset>
          </wp:positionV>
          <wp:extent cx="1090613" cy="1090613"/>
          <wp:effectExtent b="0" l="0" r="0" t="0"/>
          <wp:wrapNone/>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090613" cy="1090613"/>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2724150</wp:posOffset>
          </wp:positionH>
          <wp:positionV relativeFrom="paragraph">
            <wp:posOffset>-200024</wp:posOffset>
          </wp:positionV>
          <wp:extent cx="1095375" cy="1095375"/>
          <wp:effectExtent b="0" l="0" r="0" t="0"/>
          <wp:wrapNone/>
          <wp:docPr id="2" name="image4.jpg"/>
          <a:graphic>
            <a:graphicData uri="http://schemas.openxmlformats.org/drawingml/2006/picture">
              <pic:pic>
                <pic:nvPicPr>
                  <pic:cNvPr id="0" name="image4.jpg"/>
                  <pic:cNvPicPr preferRelativeResize="0"/>
                </pic:nvPicPr>
                <pic:blipFill>
                  <a:blip r:embed="rId2"/>
                  <a:srcRect b="0" l="0" r="0" t="0"/>
                  <a:stretch>
                    <a:fillRect/>
                  </a:stretch>
                </pic:blipFill>
                <pic:spPr>
                  <a:xfrm>
                    <a:off x="0" y="0"/>
                    <a:ext cx="1095375" cy="1095375"/>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1514475</wp:posOffset>
          </wp:positionH>
          <wp:positionV relativeFrom="paragraph">
            <wp:posOffset>-152399</wp:posOffset>
          </wp:positionV>
          <wp:extent cx="1095375" cy="1095375"/>
          <wp:effectExtent b="0" l="0" r="0" t="0"/>
          <wp:wrapNone/>
          <wp:docPr id="1" name="image3.png"/>
          <a:graphic>
            <a:graphicData uri="http://schemas.openxmlformats.org/drawingml/2006/picture">
              <pic:pic>
                <pic:nvPicPr>
                  <pic:cNvPr id="0" name="image3.png"/>
                  <pic:cNvPicPr preferRelativeResize="0"/>
                </pic:nvPicPr>
                <pic:blipFill>
                  <a:blip r:embed="rId3"/>
                  <a:srcRect b="0" l="0" r="0" t="0"/>
                  <a:stretch>
                    <a:fillRect/>
                  </a:stretch>
                </pic:blipFill>
                <pic:spPr>
                  <a:xfrm>
                    <a:off x="0" y="0"/>
                    <a:ext cx="1095375" cy="1095375"/>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4038600</wp:posOffset>
          </wp:positionH>
          <wp:positionV relativeFrom="paragraph">
            <wp:posOffset>119063</wp:posOffset>
          </wp:positionV>
          <wp:extent cx="1825534" cy="614363"/>
          <wp:effectExtent b="0" l="0" r="0" t="0"/>
          <wp:wrapNone/>
          <wp:docPr id="4" name="image2.jpg"/>
          <a:graphic>
            <a:graphicData uri="http://schemas.openxmlformats.org/drawingml/2006/picture">
              <pic:pic>
                <pic:nvPicPr>
                  <pic:cNvPr id="0" name="image2.jpg"/>
                  <pic:cNvPicPr preferRelativeResize="0"/>
                </pic:nvPicPr>
                <pic:blipFill>
                  <a:blip r:embed="rId4"/>
                  <a:srcRect b="0" l="0" r="0" t="0"/>
                  <a:stretch>
                    <a:fillRect/>
                  </a:stretch>
                </pic:blipFill>
                <pic:spPr>
                  <a:xfrm>
                    <a:off x="0" y="0"/>
                    <a:ext cx="1825534" cy="614363"/>
                  </a:xfrm>
                  <a:prstGeom prst="rect"/>
                  <a:ln/>
                </pic:spPr>
              </pic:pic>
            </a:graphicData>
          </a:graphic>
        </wp:anchor>
      </w:drawing>
    </w:r>
  </w:p>
  <w:p w:rsidR="00000000" w:rsidDel="00000000" w:rsidP="00000000" w:rsidRDefault="00000000" w:rsidRPr="00000000" w14:paraId="00000089">
    <w:pPr>
      <w:spacing w:line="240" w:lineRule="auto"/>
      <w:jc w:val="center"/>
      <w:rPr>
        <w:rFonts w:ascii="Calibri" w:cs="Calibri" w:eastAsia="Calibri" w:hAnsi="Calibri"/>
        <w:b w:val="1"/>
        <w:sz w:val="26"/>
        <w:szCs w:val="26"/>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footnotes.xml.rels><?xml version="1.0" encoding="UTF-8" standalone="yes"?><Relationships xmlns="http://schemas.openxmlformats.org/package/2006/relationships"><Relationship Id="rId1" Type="http://schemas.openxmlformats.org/officeDocument/2006/relationships/hyperlink" Target="http://www.equalfamilylaws.org" TargetMode="External"/><Relationship Id="rId2" Type="http://schemas.openxmlformats.org/officeDocument/2006/relationships/hyperlink" Target="https://tbinternet.ohchr.org/_layouts/15/treatybodyexternal/Download.aspx?symbolno=CEDAW%2FC%2FNPL%2FCO%2F6&amp;Lang=en" TargetMode="External"/><Relationship Id="rId3" Type="http://schemas.openxmlformats.org/officeDocument/2006/relationships/hyperlink" Target="https://equalitynow.org/resource/nationality-report-update/" TargetMode="External"/><Relationship Id="rId4" Type="http://schemas.openxmlformats.org/officeDocument/2006/relationships/hyperlink" Target="https://www.moljpa.gov.np/en/wp-content/uploads/2018/12/Civil-code.pdf" TargetMode="External"/><Relationship Id="rId9" Type="http://schemas.openxmlformats.org/officeDocument/2006/relationships/hyperlink" Target="https://equalitynow.org" TargetMode="External"/><Relationship Id="rId5" Type="http://schemas.openxmlformats.org/officeDocument/2006/relationships/hyperlink" Target="https://kathmandupost.com/2/2020/01/15/widows-in-nepal-still-need-to-fight-for-their-property-right" TargetMode="External"/><Relationship Id="rId6" Type="http://schemas.openxmlformats.org/officeDocument/2006/relationships/hyperlink" Target="http://www.moljpa.gov.np/en/wp-content/uploads/2018/12/Penal-Code-English-Revised-1.pdf" TargetMode="External"/><Relationship Id="rId7" Type="http://schemas.openxmlformats.org/officeDocument/2006/relationships/hyperlink" Target="http://www.fwld.org" TargetMode="External"/><Relationship Id="rId8" Type="http://schemas.openxmlformats.org/officeDocument/2006/relationships/hyperlink" Target="https://whr.org.np/"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4.jpg"/><Relationship Id="rId3" Type="http://schemas.openxmlformats.org/officeDocument/2006/relationships/image" Target="media/image3.png"/><Relationship Id="rId4"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