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A3EB3" w:rsidRPr="00DB58B5" w14:paraId="088AF28E" w14:textId="77777777" w:rsidTr="00320BFD">
        <w:trPr>
          <w:trHeight w:hRule="exact" w:val="851"/>
        </w:trPr>
        <w:tc>
          <w:tcPr>
            <w:tcW w:w="1276" w:type="dxa"/>
            <w:tcBorders>
              <w:bottom w:val="single" w:sz="4" w:space="0" w:color="auto"/>
            </w:tcBorders>
          </w:tcPr>
          <w:p w14:paraId="6D75299D" w14:textId="77777777" w:rsidR="001A3EB3" w:rsidRPr="00DB58B5" w:rsidRDefault="001A3EB3" w:rsidP="00320BFD"/>
        </w:tc>
        <w:tc>
          <w:tcPr>
            <w:tcW w:w="2268" w:type="dxa"/>
            <w:tcBorders>
              <w:bottom w:val="single" w:sz="4" w:space="0" w:color="auto"/>
            </w:tcBorders>
            <w:vAlign w:val="bottom"/>
          </w:tcPr>
          <w:p w14:paraId="42CA4CBB" w14:textId="25A196FB" w:rsidR="001A3EB3" w:rsidRPr="00DB58B5" w:rsidRDefault="001A3EB3" w:rsidP="00320BFD">
            <w:pPr>
              <w:spacing w:after="80" w:line="300" w:lineRule="exact"/>
              <w:rPr>
                <w:sz w:val="28"/>
              </w:rPr>
            </w:pPr>
          </w:p>
        </w:tc>
        <w:tc>
          <w:tcPr>
            <w:tcW w:w="6095" w:type="dxa"/>
            <w:gridSpan w:val="2"/>
            <w:tcBorders>
              <w:bottom w:val="single" w:sz="4" w:space="0" w:color="auto"/>
            </w:tcBorders>
            <w:vAlign w:val="bottom"/>
          </w:tcPr>
          <w:p w14:paraId="65EE7853" w14:textId="45F6BC46" w:rsidR="001A3EB3" w:rsidRPr="00DB58B5" w:rsidRDefault="001A3EB3" w:rsidP="00A0304E">
            <w:pPr>
              <w:jc w:val="right"/>
            </w:pPr>
          </w:p>
        </w:tc>
      </w:tr>
      <w:tr w:rsidR="001A3EB3" w:rsidRPr="00DB58B5" w14:paraId="423DED9D" w14:textId="77777777" w:rsidTr="00320BFD">
        <w:trPr>
          <w:trHeight w:hRule="exact" w:val="2835"/>
        </w:trPr>
        <w:tc>
          <w:tcPr>
            <w:tcW w:w="1276" w:type="dxa"/>
            <w:tcBorders>
              <w:top w:val="single" w:sz="4" w:space="0" w:color="auto"/>
              <w:bottom w:val="single" w:sz="12" w:space="0" w:color="auto"/>
            </w:tcBorders>
          </w:tcPr>
          <w:p w14:paraId="5587E25D" w14:textId="24C005E0" w:rsidR="001A3EB3" w:rsidRPr="00DB58B5" w:rsidRDefault="001A3EB3" w:rsidP="00320BFD">
            <w:pPr>
              <w:spacing w:before="120"/>
              <w:jc w:val="center"/>
            </w:pPr>
          </w:p>
        </w:tc>
        <w:tc>
          <w:tcPr>
            <w:tcW w:w="5528" w:type="dxa"/>
            <w:gridSpan w:val="2"/>
            <w:tcBorders>
              <w:top w:val="single" w:sz="4" w:space="0" w:color="auto"/>
              <w:bottom w:val="single" w:sz="12" w:space="0" w:color="auto"/>
            </w:tcBorders>
          </w:tcPr>
          <w:p w14:paraId="5903ED24" w14:textId="730F44B2" w:rsidR="001A3EB3" w:rsidRPr="00740562" w:rsidRDefault="00B16F06" w:rsidP="00320BFD">
            <w:pPr>
              <w:spacing w:before="120" w:line="380" w:lineRule="exact"/>
              <w:rPr>
                <w:b/>
                <w:sz w:val="40"/>
                <w:szCs w:val="40"/>
              </w:rPr>
            </w:pPr>
            <w:r>
              <w:rPr>
                <w:b/>
                <w:sz w:val="40"/>
                <w:szCs w:val="40"/>
              </w:rPr>
              <w:t xml:space="preserve">Advance </w:t>
            </w:r>
            <w:proofErr w:type="spellStart"/>
            <w:r>
              <w:rPr>
                <w:b/>
                <w:sz w:val="40"/>
                <w:szCs w:val="40"/>
              </w:rPr>
              <w:t>Unedited</w:t>
            </w:r>
            <w:proofErr w:type="spellEnd"/>
            <w:r>
              <w:rPr>
                <w:b/>
                <w:sz w:val="40"/>
                <w:szCs w:val="40"/>
              </w:rPr>
              <w:t xml:space="preserve"> Version</w:t>
            </w:r>
          </w:p>
        </w:tc>
        <w:tc>
          <w:tcPr>
            <w:tcW w:w="2835" w:type="dxa"/>
            <w:tcBorders>
              <w:top w:val="single" w:sz="4" w:space="0" w:color="auto"/>
              <w:bottom w:val="single" w:sz="12" w:space="0" w:color="auto"/>
            </w:tcBorders>
          </w:tcPr>
          <w:p w14:paraId="06AD5260" w14:textId="413C7E13" w:rsidR="00A0304E" w:rsidRPr="00DB58B5" w:rsidRDefault="00A0304E" w:rsidP="00A0304E">
            <w:pPr>
              <w:spacing w:line="240" w:lineRule="exact"/>
            </w:pPr>
          </w:p>
        </w:tc>
      </w:tr>
    </w:tbl>
    <w:p w14:paraId="42C07C36" w14:textId="13D9477B" w:rsidR="00A0304E" w:rsidRPr="004723B3" w:rsidRDefault="00A0304E" w:rsidP="00A0304E">
      <w:pPr>
        <w:pStyle w:val="HMG"/>
        <w:rPr>
          <w:lang w:val="fr-FR"/>
        </w:rPr>
      </w:pPr>
      <w:r>
        <w:rPr>
          <w:lang w:val="fr-FR"/>
        </w:rPr>
        <w:tab/>
      </w:r>
      <w:r>
        <w:rPr>
          <w:lang w:val="fr-FR"/>
        </w:rPr>
        <w:tab/>
      </w:r>
      <w:r w:rsidRPr="000305E3">
        <w:rPr>
          <w:rFonts w:asciiTheme="majorBidi" w:hAnsiTheme="majorBidi" w:cstheme="majorBidi"/>
          <w:lang w:val="fr-FR"/>
        </w:rPr>
        <w:t xml:space="preserve">Document de base commun faisant partie intégrante des rapports présentés </w:t>
      </w:r>
      <w:r w:rsidRPr="000305E3">
        <w:rPr>
          <w:rFonts w:asciiTheme="majorBidi" w:hAnsiTheme="majorBidi" w:cstheme="majorBidi"/>
          <w:lang w:val="fr-FR"/>
        </w:rPr>
        <w:br/>
        <w:t>par les États parties</w:t>
      </w:r>
    </w:p>
    <w:p w14:paraId="6D6A0A31" w14:textId="61EE4CE1" w:rsidR="00A0304E" w:rsidRPr="004723B3" w:rsidRDefault="00A0304E" w:rsidP="00A0304E">
      <w:pPr>
        <w:pStyle w:val="HChG"/>
        <w:rPr>
          <w:lang w:val="fr-FR"/>
        </w:rPr>
      </w:pPr>
      <w:r w:rsidRPr="004723B3">
        <w:rPr>
          <w:lang w:val="fr-FR"/>
        </w:rPr>
        <w:tab/>
      </w:r>
      <w:r w:rsidRPr="004723B3">
        <w:rPr>
          <w:lang w:val="fr-FR"/>
        </w:rPr>
        <w:tab/>
      </w:r>
      <w:r w:rsidRPr="00A0304E">
        <w:rPr>
          <w:lang w:val="fr-FR"/>
        </w:rPr>
        <w:t>R</w:t>
      </w:r>
      <w:r>
        <w:rPr>
          <w:lang w:val="fr-FR"/>
        </w:rPr>
        <w:t>épublique du</w:t>
      </w:r>
      <w:r w:rsidRPr="00A0304E">
        <w:rPr>
          <w:lang w:val="fr-FR"/>
        </w:rPr>
        <w:t xml:space="preserve"> C</w:t>
      </w:r>
      <w:r>
        <w:rPr>
          <w:lang w:val="fr-FR"/>
        </w:rPr>
        <w:t>ameroun</w:t>
      </w:r>
      <w:r w:rsidRPr="00A0304E">
        <w:rPr>
          <w:rStyle w:val="FootnoteReference"/>
          <w:sz w:val="28"/>
          <w:vertAlign w:val="baseline"/>
          <w:lang w:val="fr-FR"/>
        </w:rPr>
        <w:t xml:space="preserve"> </w:t>
      </w:r>
      <w:r w:rsidRPr="004723B3">
        <w:rPr>
          <w:rStyle w:val="FootnoteReference"/>
          <w:b w:val="0"/>
          <w:sz w:val="20"/>
          <w:vertAlign w:val="baseline"/>
          <w:lang w:val="fr-FR"/>
        </w:rPr>
        <w:footnoteReference w:customMarkFollows="1" w:id="2"/>
        <w:t>*</w:t>
      </w:r>
    </w:p>
    <w:p w14:paraId="459994A8" w14:textId="3440D606" w:rsidR="00A0304E" w:rsidRPr="000305E3" w:rsidRDefault="00A0304E" w:rsidP="00A0304E">
      <w:pPr>
        <w:pStyle w:val="SingleTxtG"/>
        <w:jc w:val="right"/>
        <w:rPr>
          <w:rFonts w:asciiTheme="majorBidi" w:hAnsiTheme="majorBidi" w:cstheme="majorBidi"/>
          <w:lang w:val="fr-FR"/>
        </w:rPr>
      </w:pPr>
      <w:r w:rsidRPr="000305E3">
        <w:rPr>
          <w:rFonts w:asciiTheme="majorBidi" w:hAnsiTheme="majorBidi" w:cstheme="majorBidi"/>
          <w:lang w:val="fr-FR"/>
        </w:rPr>
        <w:t xml:space="preserve">[Date de réception : </w:t>
      </w:r>
      <w:r>
        <w:rPr>
          <w:rFonts w:asciiTheme="majorBidi" w:hAnsiTheme="majorBidi" w:cstheme="majorBidi"/>
          <w:lang w:val="fr-FR"/>
        </w:rPr>
        <w:t>22</w:t>
      </w:r>
      <w:r w:rsidRPr="000305E3">
        <w:rPr>
          <w:rFonts w:asciiTheme="majorBidi" w:hAnsiTheme="majorBidi" w:cstheme="majorBidi"/>
          <w:lang w:val="fr-FR"/>
        </w:rPr>
        <w:t xml:space="preserve"> </w:t>
      </w:r>
      <w:r>
        <w:rPr>
          <w:rFonts w:asciiTheme="majorBidi" w:hAnsiTheme="majorBidi" w:cstheme="majorBidi"/>
          <w:lang w:val="fr-FR"/>
        </w:rPr>
        <w:t>décembre</w:t>
      </w:r>
      <w:r w:rsidRPr="000305E3">
        <w:rPr>
          <w:rFonts w:asciiTheme="majorBidi" w:hAnsiTheme="majorBidi" w:cstheme="majorBidi"/>
          <w:lang w:val="fr-FR"/>
        </w:rPr>
        <w:t xml:space="preserve"> </w:t>
      </w:r>
      <w:r w:rsidRPr="000305E3">
        <w:rPr>
          <w:rFonts w:asciiTheme="majorBidi" w:hAnsiTheme="majorBidi" w:cstheme="majorBidi"/>
        </w:rPr>
        <w:t>202</w:t>
      </w:r>
      <w:r>
        <w:rPr>
          <w:rFonts w:asciiTheme="majorBidi" w:hAnsiTheme="majorBidi" w:cstheme="majorBidi"/>
        </w:rPr>
        <w:t>5</w:t>
      </w:r>
      <w:r w:rsidRPr="000305E3">
        <w:rPr>
          <w:rFonts w:asciiTheme="majorBidi" w:hAnsiTheme="majorBidi" w:cstheme="majorBidi"/>
          <w:lang w:val="fr-FR"/>
        </w:rPr>
        <w:t>]</w:t>
      </w:r>
    </w:p>
    <w:p w14:paraId="5D7D26D4" w14:textId="63049D16" w:rsidR="00A0304E" w:rsidRPr="005659CC" w:rsidRDefault="00A0304E" w:rsidP="00A0304E">
      <w:pPr>
        <w:pStyle w:val="H1G"/>
      </w:pPr>
      <w:r>
        <w:br w:type="column"/>
      </w:r>
      <w:bookmarkStart w:id="0" w:name="_Toc210646290"/>
      <w:r w:rsidRPr="005659CC">
        <w:lastRenderedPageBreak/>
        <w:t>L</w:t>
      </w:r>
      <w:r>
        <w:t>iste</w:t>
      </w:r>
      <w:r w:rsidRPr="005659CC">
        <w:t xml:space="preserve"> </w:t>
      </w:r>
      <w:r>
        <w:t>des</w:t>
      </w:r>
      <w:r w:rsidRPr="005659CC">
        <w:t xml:space="preserve"> </w:t>
      </w:r>
      <w:r>
        <w:t xml:space="preserve">sigles et </w:t>
      </w:r>
      <w:bookmarkEnd w:id="0"/>
      <w:r>
        <w:t>abréviations</w:t>
      </w:r>
    </w:p>
    <w:p w14:paraId="10ADB82E" w14:textId="77777777" w:rsidR="00A0304E" w:rsidRDefault="00A0304E" w:rsidP="00A0304E">
      <w:pPr>
        <w:pStyle w:val="SingleTxtG"/>
      </w:pPr>
      <w:r>
        <w:t xml:space="preserve">ARMP </w:t>
      </w:r>
      <w:r>
        <w:tab/>
        <w:t>: Agence de Régulation des Marchés Publics</w:t>
      </w:r>
    </w:p>
    <w:p w14:paraId="737F750E" w14:textId="0F68D4A3" w:rsidR="00A0304E" w:rsidRDefault="00A0304E" w:rsidP="00A0304E">
      <w:pPr>
        <w:pStyle w:val="SingleTxtG"/>
      </w:pPr>
      <w:r>
        <w:t>ART</w:t>
      </w:r>
      <w:r>
        <w:tab/>
      </w:r>
      <w:r>
        <w:tab/>
        <w:t>: Agence de Régulation des Télécommunications</w:t>
      </w:r>
    </w:p>
    <w:p w14:paraId="7BBA8AB3" w14:textId="2B633F9A" w:rsidR="00A0304E" w:rsidRDefault="00A0304E" w:rsidP="00A0304E">
      <w:pPr>
        <w:pStyle w:val="SingleTxtG"/>
      </w:pPr>
      <w:r>
        <w:t>BM</w:t>
      </w:r>
      <w:r w:rsidR="0027203C">
        <w:t xml:space="preserve"> </w:t>
      </w:r>
      <w:r>
        <w:tab/>
      </w:r>
      <w:r>
        <w:tab/>
        <w:t>: Banque Mondiale</w:t>
      </w:r>
    </w:p>
    <w:p w14:paraId="3E67F588" w14:textId="269210D1" w:rsidR="00A0304E" w:rsidRDefault="00A0304E" w:rsidP="00A0304E">
      <w:pPr>
        <w:pStyle w:val="SingleTxtG"/>
      </w:pPr>
      <w:r>
        <w:t>CA</w:t>
      </w:r>
      <w:r>
        <w:tab/>
      </w:r>
      <w:r>
        <w:tab/>
        <w:t>: Cour d’appel</w:t>
      </w:r>
    </w:p>
    <w:p w14:paraId="354329AA" w14:textId="21855B56" w:rsidR="00A0304E" w:rsidRDefault="00A0304E" w:rsidP="00A0304E">
      <w:pPr>
        <w:pStyle w:val="SingleTxtG"/>
      </w:pPr>
      <w:r>
        <w:t>CAA</w:t>
      </w:r>
      <w:r w:rsidR="0027203C">
        <w:t xml:space="preserve"> </w:t>
      </w:r>
      <w:r>
        <w:tab/>
        <w:t>: Caisse Autonome d’Amortissement</w:t>
      </w:r>
    </w:p>
    <w:p w14:paraId="6CA22EA1" w14:textId="77777777" w:rsidR="00A0304E" w:rsidRDefault="00A0304E" w:rsidP="00A0304E">
      <w:pPr>
        <w:pStyle w:val="SingleTxtG"/>
      </w:pPr>
      <w:r>
        <w:t xml:space="preserve">CADHP </w:t>
      </w:r>
      <w:r>
        <w:tab/>
        <w:t>: Charte africaine des Droits de l’Homme et des peuples</w:t>
      </w:r>
    </w:p>
    <w:p w14:paraId="24E3C875" w14:textId="6B47CDC1" w:rsidR="00A0304E" w:rsidRDefault="00A0304E" w:rsidP="00A0304E">
      <w:pPr>
        <w:pStyle w:val="SingleTxtG"/>
      </w:pPr>
      <w:r>
        <w:t>CAMTEL</w:t>
      </w:r>
      <w:r w:rsidR="0027203C">
        <w:t xml:space="preserve">  </w:t>
      </w:r>
      <w:r>
        <w:t xml:space="preserve">: </w:t>
      </w:r>
      <w:proofErr w:type="spellStart"/>
      <w:r>
        <w:t>Cameroon</w:t>
      </w:r>
      <w:proofErr w:type="spellEnd"/>
      <w:r>
        <w:t xml:space="preserve"> </w:t>
      </w:r>
      <w:proofErr w:type="spellStart"/>
      <w:r>
        <w:t>Telecommunication</w:t>
      </w:r>
      <w:proofErr w:type="spellEnd"/>
    </w:p>
    <w:p w14:paraId="518DEE9E" w14:textId="6074046F" w:rsidR="00A0304E" w:rsidRDefault="00A0304E" w:rsidP="00A0304E">
      <w:pPr>
        <w:pStyle w:val="SingleTxtG"/>
      </w:pPr>
      <w:r>
        <w:t>CAMWATER</w:t>
      </w:r>
      <w:r w:rsidR="0027203C">
        <w:t xml:space="preserve"> </w:t>
      </w:r>
      <w:r>
        <w:t>: Camerounaise des eaux</w:t>
      </w:r>
    </w:p>
    <w:p w14:paraId="4D08137E" w14:textId="25325C85" w:rsidR="00A0304E" w:rsidRDefault="00A0304E" w:rsidP="00A0304E">
      <w:pPr>
        <w:pStyle w:val="SingleTxtG"/>
      </w:pPr>
      <w:r>
        <w:t>CDHC</w:t>
      </w:r>
      <w:r>
        <w:tab/>
      </w:r>
      <w:r>
        <w:tab/>
        <w:t>: Commission des Droits de l’Homme du Cameroun</w:t>
      </w:r>
    </w:p>
    <w:p w14:paraId="49E0986C" w14:textId="77777777" w:rsidR="00A0304E" w:rsidRDefault="00A0304E" w:rsidP="00A0304E">
      <w:pPr>
        <w:pStyle w:val="SingleTxtG"/>
      </w:pPr>
      <w:r>
        <w:t>CEDEAO</w:t>
      </w:r>
      <w:r>
        <w:tab/>
        <w:t xml:space="preserve">: Communauté </w:t>
      </w:r>
      <w:proofErr w:type="spellStart"/>
      <w:r>
        <w:t>Economique</w:t>
      </w:r>
      <w:proofErr w:type="spellEnd"/>
      <w:r>
        <w:t xml:space="preserve"> des États de l’Afrique de l’Ouest</w:t>
      </w:r>
    </w:p>
    <w:p w14:paraId="4844444C" w14:textId="77777777" w:rsidR="00A0304E" w:rsidRDefault="00A0304E" w:rsidP="00A0304E">
      <w:pPr>
        <w:pStyle w:val="SingleTxtG"/>
      </w:pPr>
      <w:r>
        <w:t>CEMAC</w:t>
      </w:r>
      <w:r>
        <w:tab/>
        <w:t xml:space="preserve">: Communauté </w:t>
      </w:r>
      <w:proofErr w:type="spellStart"/>
      <w:r>
        <w:t>Economique</w:t>
      </w:r>
      <w:proofErr w:type="spellEnd"/>
      <w:r>
        <w:t xml:space="preserve"> et monétaire de l’Afrique Centrale</w:t>
      </w:r>
    </w:p>
    <w:p w14:paraId="7DFCE202" w14:textId="689267CB" w:rsidR="00A0304E" w:rsidRDefault="00A0304E" w:rsidP="00A0304E">
      <w:pPr>
        <w:pStyle w:val="SingleTxtG"/>
      </w:pPr>
      <w:r>
        <w:t xml:space="preserve">CENAME </w:t>
      </w:r>
      <w:r>
        <w:tab/>
        <w:t xml:space="preserve">: Centrale Nationale d’Approvisionnement en Médicaments et consommables </w:t>
      </w:r>
      <w:r>
        <w:tab/>
      </w:r>
      <w:r>
        <w:tab/>
      </w:r>
      <w:r>
        <w:tab/>
        <w:t>médicaux essentiel</w:t>
      </w:r>
    </w:p>
    <w:p w14:paraId="69777517" w14:textId="53A4CFAE" w:rsidR="00A0304E" w:rsidRDefault="00A0304E" w:rsidP="00A0304E">
      <w:pPr>
        <w:pStyle w:val="SingleTxtG"/>
      </w:pPr>
      <w:r>
        <w:t xml:space="preserve">CFC </w:t>
      </w:r>
      <w:r>
        <w:tab/>
      </w:r>
      <w:r>
        <w:tab/>
        <w:t>: Crédit Foncier du Cameroun</w:t>
      </w:r>
    </w:p>
    <w:p w14:paraId="26D3D1B1" w14:textId="74C0267E" w:rsidR="00A0304E" w:rsidRDefault="00A0304E" w:rsidP="00A0304E">
      <w:pPr>
        <w:pStyle w:val="SingleTxtG"/>
      </w:pPr>
      <w:r>
        <w:t xml:space="preserve">CICR </w:t>
      </w:r>
      <w:r>
        <w:tab/>
      </w:r>
      <w:r>
        <w:tab/>
        <w:t>: Comité International de la croix rouge</w:t>
      </w:r>
    </w:p>
    <w:p w14:paraId="27204114" w14:textId="0A919947" w:rsidR="00A0304E" w:rsidRDefault="00A0304E" w:rsidP="00A0304E">
      <w:pPr>
        <w:pStyle w:val="SingleTxtG"/>
      </w:pPr>
      <w:r>
        <w:t xml:space="preserve">CIJ </w:t>
      </w:r>
      <w:r>
        <w:tab/>
      </w:r>
      <w:r>
        <w:tab/>
        <w:t>: Cour Internationale de Justice</w:t>
      </w:r>
    </w:p>
    <w:p w14:paraId="4EB819BE" w14:textId="0EB1E2AE" w:rsidR="00A0304E" w:rsidRDefault="00A0304E" w:rsidP="00A0304E">
      <w:pPr>
        <w:pStyle w:val="SingleTxtG"/>
      </w:pPr>
      <w:r>
        <w:t xml:space="preserve">CJM </w:t>
      </w:r>
      <w:r>
        <w:tab/>
      </w:r>
      <w:r>
        <w:tab/>
        <w:t>: Code de Justice Militaire</w:t>
      </w:r>
    </w:p>
    <w:p w14:paraId="7C1552AD" w14:textId="5951F54A" w:rsidR="00A0304E" w:rsidRDefault="00A0304E" w:rsidP="00A0304E">
      <w:pPr>
        <w:pStyle w:val="SingleTxtG"/>
      </w:pPr>
      <w:r>
        <w:t xml:space="preserve">CNC </w:t>
      </w:r>
      <w:r>
        <w:tab/>
      </w:r>
      <w:r>
        <w:tab/>
        <w:t>: Conseil National de la Communication</w:t>
      </w:r>
    </w:p>
    <w:p w14:paraId="5911BB65" w14:textId="34FF98A0" w:rsidR="00A0304E" w:rsidRDefault="00A0304E" w:rsidP="00A0304E">
      <w:pPr>
        <w:pStyle w:val="SingleTxtG"/>
      </w:pPr>
      <w:r>
        <w:t>CNDHL</w:t>
      </w:r>
      <w:r w:rsidR="0027203C">
        <w:t xml:space="preserve"> </w:t>
      </w:r>
      <w:r>
        <w:t xml:space="preserve"> </w:t>
      </w:r>
      <w:r>
        <w:tab/>
        <w:t>: Commission Nationale des Droits de l’Homme et des libertés</w:t>
      </w:r>
    </w:p>
    <w:p w14:paraId="184EF7F9" w14:textId="74A2C3A5" w:rsidR="00A0304E" w:rsidRDefault="00A0304E" w:rsidP="00A0304E">
      <w:pPr>
        <w:pStyle w:val="SingleTxtG"/>
      </w:pPr>
      <w:r>
        <w:t>CNPS</w:t>
      </w:r>
      <w:r w:rsidR="0027203C">
        <w:t xml:space="preserve">   </w:t>
      </w:r>
      <w:r>
        <w:tab/>
        <w:t>: Caisse Nationale de Prévoyance Sociale</w:t>
      </w:r>
    </w:p>
    <w:p w14:paraId="288BBC9D" w14:textId="4D0AFFD7" w:rsidR="00A0304E" w:rsidRDefault="00A0304E" w:rsidP="00A0304E">
      <w:pPr>
        <w:pStyle w:val="SingleTxtG"/>
      </w:pPr>
      <w:proofErr w:type="spellStart"/>
      <w:r>
        <w:t>ComADHP</w:t>
      </w:r>
      <w:proofErr w:type="spellEnd"/>
      <w:r w:rsidR="0027203C">
        <w:t xml:space="preserve"> </w:t>
      </w:r>
      <w:r>
        <w:t>: Commission Africaine des Droits de l’Homme et des Peuples</w:t>
      </w:r>
    </w:p>
    <w:p w14:paraId="13CF8C82" w14:textId="360D4025" w:rsidR="00A0304E" w:rsidRDefault="00A0304E" w:rsidP="00A0304E">
      <w:pPr>
        <w:pStyle w:val="SingleTxtG"/>
      </w:pPr>
      <w:r>
        <w:t>CONAC</w:t>
      </w:r>
      <w:r w:rsidR="0027203C">
        <w:t xml:space="preserve">  </w:t>
      </w:r>
      <w:r>
        <w:t xml:space="preserve"> : Comité Nationale de lutte contre la Corruption</w:t>
      </w:r>
    </w:p>
    <w:p w14:paraId="1C4E16EB" w14:textId="330344EC" w:rsidR="00A0304E" w:rsidRDefault="00A0304E" w:rsidP="00A0304E">
      <w:pPr>
        <w:pStyle w:val="SingleTxtG"/>
      </w:pPr>
      <w:r>
        <w:t>CPI</w:t>
      </w:r>
      <w:r w:rsidR="0027203C">
        <w:t xml:space="preserve">    </w:t>
      </w:r>
      <w:r w:rsidR="00DE0A93">
        <w:tab/>
      </w:r>
      <w:r>
        <w:t>: Cour Pénale Internationale</w:t>
      </w:r>
    </w:p>
    <w:p w14:paraId="7AD1F7FB" w14:textId="40EFEEAC" w:rsidR="00A0304E" w:rsidRDefault="00A0304E" w:rsidP="00A0304E">
      <w:pPr>
        <w:pStyle w:val="SingleTxtG"/>
      </w:pPr>
      <w:r>
        <w:t>CPP</w:t>
      </w:r>
      <w:r w:rsidR="0027203C">
        <w:t xml:space="preserve">   </w:t>
      </w:r>
      <w:r w:rsidR="00DE0A93">
        <w:tab/>
      </w:r>
      <w:r>
        <w:t>: Code de Procédure Pénale</w:t>
      </w:r>
    </w:p>
    <w:p w14:paraId="64234461" w14:textId="6D3876A1" w:rsidR="00A0304E" w:rsidRDefault="00A0304E" w:rsidP="00A0304E">
      <w:pPr>
        <w:pStyle w:val="SingleTxtG"/>
      </w:pPr>
      <w:r>
        <w:t>CRTV</w:t>
      </w:r>
      <w:r w:rsidR="0027203C">
        <w:t xml:space="preserve">  </w:t>
      </w:r>
      <w:r>
        <w:t xml:space="preserve"> </w:t>
      </w:r>
      <w:r w:rsidR="00DE0A93">
        <w:tab/>
      </w:r>
      <w:r>
        <w:t xml:space="preserve">: </w:t>
      </w:r>
      <w:proofErr w:type="spellStart"/>
      <w:r>
        <w:t>Cameroon</w:t>
      </w:r>
      <w:proofErr w:type="spellEnd"/>
      <w:r>
        <w:t xml:space="preserve"> Radio </w:t>
      </w:r>
      <w:proofErr w:type="spellStart"/>
      <w:r>
        <w:t>Television</w:t>
      </w:r>
      <w:proofErr w:type="spellEnd"/>
      <w:r>
        <w:t xml:space="preserve"> </w:t>
      </w:r>
    </w:p>
    <w:p w14:paraId="3803222B" w14:textId="27914C90" w:rsidR="00A0304E" w:rsidRDefault="00A0304E" w:rsidP="00A0304E">
      <w:pPr>
        <w:pStyle w:val="SingleTxtG"/>
      </w:pPr>
      <w:r>
        <w:t>CS</w:t>
      </w:r>
      <w:r w:rsidR="0027203C">
        <w:t xml:space="preserve">   </w:t>
      </w:r>
      <w:r w:rsidR="00DE0A93">
        <w:tab/>
      </w:r>
      <w:r>
        <w:t>: Cour suprême</w:t>
      </w:r>
    </w:p>
    <w:p w14:paraId="6B4298CB" w14:textId="1A8FA912" w:rsidR="00A0304E" w:rsidRDefault="00A0304E" w:rsidP="00A0304E">
      <w:pPr>
        <w:pStyle w:val="SingleTxtG"/>
      </w:pPr>
      <w:r>
        <w:t>CSU</w:t>
      </w:r>
      <w:r w:rsidR="0027203C">
        <w:t xml:space="preserve"> </w:t>
      </w:r>
      <w:r w:rsidR="00DE0A93">
        <w:tab/>
      </w:r>
      <w:r>
        <w:t>: Couverture Santé Universelle</w:t>
      </w:r>
    </w:p>
    <w:p w14:paraId="74ECA764" w14:textId="1F2BBF50" w:rsidR="00A0304E" w:rsidRDefault="00A0304E" w:rsidP="00A0304E">
      <w:pPr>
        <w:pStyle w:val="SingleTxtG"/>
      </w:pPr>
      <w:r>
        <w:t xml:space="preserve">CTD </w:t>
      </w:r>
      <w:r w:rsidR="00DE0A93">
        <w:tab/>
      </w:r>
      <w:r w:rsidR="00DE0A93">
        <w:tab/>
      </w:r>
      <w:r>
        <w:t>: Collectivités Territoriales Décentralisées</w:t>
      </w:r>
    </w:p>
    <w:p w14:paraId="35DEAD13" w14:textId="3BE1188A" w:rsidR="00A0304E" w:rsidRDefault="00A0304E" w:rsidP="00A0304E">
      <w:pPr>
        <w:pStyle w:val="SingleTxtG"/>
      </w:pPr>
      <w:r>
        <w:t>DGSN</w:t>
      </w:r>
      <w:r w:rsidR="0027203C">
        <w:t xml:space="preserve"> </w:t>
      </w:r>
      <w:r w:rsidR="00DE0A93">
        <w:tab/>
      </w:r>
      <w:r>
        <w:t>: Délégation Générale de la Sûreté Nationale</w:t>
      </w:r>
    </w:p>
    <w:p w14:paraId="3AA29495" w14:textId="074BEE42" w:rsidR="00A0304E" w:rsidRDefault="00A0304E" w:rsidP="00A0304E">
      <w:pPr>
        <w:pStyle w:val="SingleTxtG"/>
      </w:pPr>
      <w:r>
        <w:t>DIDH</w:t>
      </w:r>
      <w:r w:rsidR="0027203C">
        <w:t xml:space="preserve"> </w:t>
      </w:r>
      <w:r w:rsidR="00DE0A93">
        <w:tab/>
      </w:r>
      <w:r>
        <w:t>: Droit International des Droits de l’Homme</w:t>
      </w:r>
    </w:p>
    <w:p w14:paraId="0A2AFA70" w14:textId="797D7648" w:rsidR="00A0304E" w:rsidRDefault="00A0304E" w:rsidP="00A0304E">
      <w:pPr>
        <w:pStyle w:val="SingleTxtG"/>
      </w:pPr>
      <w:r>
        <w:t>DIH</w:t>
      </w:r>
      <w:r w:rsidR="0027203C">
        <w:t xml:space="preserve">   </w:t>
      </w:r>
      <w:r w:rsidR="00DE0A93">
        <w:tab/>
      </w:r>
      <w:r>
        <w:t>: Droit International Humanitaire</w:t>
      </w:r>
    </w:p>
    <w:p w14:paraId="2DD65A27" w14:textId="07BF6A28" w:rsidR="00A0304E" w:rsidRDefault="00A0304E" w:rsidP="00A0304E">
      <w:pPr>
        <w:pStyle w:val="SingleTxtG"/>
      </w:pPr>
      <w:r>
        <w:t>DSCE</w:t>
      </w:r>
      <w:r w:rsidR="0027203C">
        <w:t xml:space="preserve"> </w:t>
      </w:r>
      <w:r>
        <w:t xml:space="preserve"> </w:t>
      </w:r>
      <w:r w:rsidR="00DE0A93">
        <w:tab/>
      </w:r>
      <w:r>
        <w:t>: Document de Stratégie pour la Croissance et l’Emploi</w:t>
      </w:r>
    </w:p>
    <w:p w14:paraId="134D5E3E" w14:textId="5559659C" w:rsidR="00A0304E" w:rsidRDefault="00A0304E" w:rsidP="00A0304E">
      <w:pPr>
        <w:pStyle w:val="SingleTxtG"/>
      </w:pPr>
      <w:r>
        <w:t xml:space="preserve">DSRP </w:t>
      </w:r>
      <w:r w:rsidR="00DE0A93">
        <w:tab/>
      </w:r>
      <w:r>
        <w:tab/>
        <w:t>: Document stratégique de réduction de la pauvreté</w:t>
      </w:r>
    </w:p>
    <w:p w14:paraId="1A251C5C" w14:textId="33A4E457" w:rsidR="00A0304E" w:rsidRDefault="00A0304E" w:rsidP="00A0304E">
      <w:pPr>
        <w:pStyle w:val="SingleTxtG"/>
      </w:pPr>
      <w:r>
        <w:t>DUDH</w:t>
      </w:r>
      <w:r w:rsidR="0027203C">
        <w:t xml:space="preserve"> </w:t>
      </w:r>
      <w:r w:rsidR="00DE0A93">
        <w:tab/>
      </w:r>
      <w:r>
        <w:t>: Déclaration Universelle des Droits de l’Homme</w:t>
      </w:r>
    </w:p>
    <w:p w14:paraId="1CBDB2DE" w14:textId="2DB51C99" w:rsidR="00A0304E" w:rsidRDefault="00A0304E" w:rsidP="00A0304E">
      <w:pPr>
        <w:pStyle w:val="SingleTxtG"/>
      </w:pPr>
      <w:r>
        <w:t>ELECAM</w:t>
      </w:r>
      <w:r w:rsidR="0027203C">
        <w:t xml:space="preserve"> </w:t>
      </w:r>
      <w:r>
        <w:t xml:space="preserve"> </w:t>
      </w:r>
      <w:r w:rsidR="00DE0A93">
        <w:tab/>
      </w:r>
      <w:r>
        <w:t xml:space="preserve">: </w:t>
      </w:r>
      <w:proofErr w:type="spellStart"/>
      <w:r>
        <w:t>Elections</w:t>
      </w:r>
      <w:proofErr w:type="spellEnd"/>
      <w:r>
        <w:t xml:space="preserve"> </w:t>
      </w:r>
      <w:proofErr w:type="spellStart"/>
      <w:r>
        <w:t>Cameroon</w:t>
      </w:r>
      <w:proofErr w:type="spellEnd"/>
    </w:p>
    <w:p w14:paraId="3483A007" w14:textId="4393A742" w:rsidR="00A0304E" w:rsidRDefault="00A0304E" w:rsidP="00A0304E">
      <w:pPr>
        <w:pStyle w:val="SingleTxtG"/>
      </w:pPr>
      <w:r>
        <w:t>ENAM</w:t>
      </w:r>
      <w:r w:rsidR="0027203C">
        <w:t xml:space="preserve"> </w:t>
      </w:r>
      <w:r>
        <w:t xml:space="preserve"> </w:t>
      </w:r>
      <w:r w:rsidR="00DE0A93">
        <w:tab/>
      </w:r>
      <w:r>
        <w:t>: Ecole Nationale d’Administration et de Magistrature</w:t>
      </w:r>
    </w:p>
    <w:p w14:paraId="389EFAEB" w14:textId="6241B9C0" w:rsidR="00A0304E" w:rsidRDefault="00A0304E" w:rsidP="00A0304E">
      <w:pPr>
        <w:pStyle w:val="SingleTxtG"/>
      </w:pPr>
      <w:r>
        <w:t>EPU</w:t>
      </w:r>
      <w:r w:rsidR="0027203C">
        <w:t xml:space="preserve">   </w:t>
      </w:r>
      <w:r w:rsidR="00DE0A93">
        <w:tab/>
      </w:r>
      <w:r>
        <w:t>: Examen Périodique Universel</w:t>
      </w:r>
    </w:p>
    <w:p w14:paraId="460CE30F" w14:textId="21785F74" w:rsidR="00A0304E" w:rsidRDefault="00A0304E" w:rsidP="00A0304E">
      <w:pPr>
        <w:pStyle w:val="SingleTxtG"/>
      </w:pPr>
      <w:r>
        <w:t>FMI</w:t>
      </w:r>
      <w:r w:rsidR="0027203C">
        <w:t xml:space="preserve">  </w:t>
      </w:r>
      <w:r w:rsidR="00DE0A93">
        <w:tab/>
      </w:r>
      <w:r>
        <w:t>: Fonds Monétaire International</w:t>
      </w:r>
    </w:p>
    <w:p w14:paraId="776FA08B" w14:textId="480992D2" w:rsidR="00A0304E" w:rsidRDefault="00A0304E" w:rsidP="00A0304E">
      <w:pPr>
        <w:pStyle w:val="SingleTxtG"/>
      </w:pPr>
      <w:r>
        <w:lastRenderedPageBreak/>
        <w:t>FNE</w:t>
      </w:r>
      <w:r w:rsidR="0027203C">
        <w:t xml:space="preserve">   </w:t>
      </w:r>
      <w:r w:rsidR="00DE0A93">
        <w:tab/>
      </w:r>
      <w:r>
        <w:t>: Fonds National de l'Emploi</w:t>
      </w:r>
    </w:p>
    <w:p w14:paraId="106EFC7F" w14:textId="7B547759" w:rsidR="00A0304E" w:rsidRDefault="00A0304E" w:rsidP="00A0304E">
      <w:pPr>
        <w:pStyle w:val="SingleTxtG"/>
      </w:pPr>
      <w:r>
        <w:t>FOGAJEUNE</w:t>
      </w:r>
      <w:r w:rsidR="0027203C">
        <w:t xml:space="preserve"> </w:t>
      </w:r>
      <w:r>
        <w:t>: Fonds de Garantie aux Jeunes Entrepreneurs</w:t>
      </w:r>
    </w:p>
    <w:p w14:paraId="0CD93B54" w14:textId="07412770" w:rsidR="00A0304E" w:rsidRDefault="00A0304E" w:rsidP="00A0304E">
      <w:pPr>
        <w:pStyle w:val="SingleTxtG"/>
      </w:pPr>
      <w:r>
        <w:t>FONIJ</w:t>
      </w:r>
      <w:r w:rsidR="00DE0A93">
        <w:tab/>
      </w:r>
      <w:r>
        <w:tab/>
        <w:t>: Fonds National de l’Insertion Jeunes</w:t>
      </w:r>
    </w:p>
    <w:p w14:paraId="04C5B8EC" w14:textId="62D45386" w:rsidR="00A0304E" w:rsidRDefault="00A0304E" w:rsidP="00A0304E">
      <w:pPr>
        <w:pStyle w:val="SingleTxtG"/>
      </w:pPr>
      <w:r>
        <w:t>HCR</w:t>
      </w:r>
      <w:r w:rsidR="0027203C">
        <w:t xml:space="preserve">  </w:t>
      </w:r>
      <w:r w:rsidR="00DE0A93">
        <w:tab/>
      </w:r>
      <w:r>
        <w:t>: Haut-Commissariat des Nations Unies pour les Réfugiés</w:t>
      </w:r>
    </w:p>
    <w:p w14:paraId="3053DA13" w14:textId="32F43D3A" w:rsidR="00A0304E" w:rsidRDefault="00A0304E" w:rsidP="00A0304E">
      <w:pPr>
        <w:pStyle w:val="SingleTxtG"/>
      </w:pPr>
      <w:r>
        <w:t xml:space="preserve">HYSACAM </w:t>
      </w:r>
      <w:r w:rsidR="00DE0A93">
        <w:tab/>
      </w:r>
      <w:r>
        <w:t>: société Hygiène et salubrité du Cameroun</w:t>
      </w:r>
    </w:p>
    <w:p w14:paraId="1BE1E86A" w14:textId="7E656952" w:rsidR="00A0304E" w:rsidRDefault="00A0304E" w:rsidP="00A0304E">
      <w:pPr>
        <w:pStyle w:val="SingleTxtG"/>
      </w:pPr>
      <w:r>
        <w:t>IAI</w:t>
      </w:r>
      <w:r w:rsidR="0027203C">
        <w:t xml:space="preserve">   </w:t>
      </w:r>
      <w:r w:rsidR="00DE0A93">
        <w:tab/>
      </w:r>
      <w:r>
        <w:t>: Institut Africaine de l’Informatique</w:t>
      </w:r>
    </w:p>
    <w:p w14:paraId="449DF85C" w14:textId="42ECB8AF" w:rsidR="00A0304E" w:rsidRDefault="00A0304E" w:rsidP="00A0304E">
      <w:pPr>
        <w:pStyle w:val="SingleTxtG"/>
      </w:pPr>
      <w:r>
        <w:t>IAMS</w:t>
      </w:r>
      <w:r w:rsidR="0027203C">
        <w:t xml:space="preserve"> </w:t>
      </w:r>
      <w:r w:rsidR="00DE0A93">
        <w:tab/>
      </w:r>
      <w:r>
        <w:t>: Institut Africaine de Mathématiques et de Sciences</w:t>
      </w:r>
    </w:p>
    <w:p w14:paraId="7B4DB0B1" w14:textId="2620A63F" w:rsidR="00A0304E" w:rsidRDefault="00A0304E" w:rsidP="00A0304E">
      <w:pPr>
        <w:pStyle w:val="SingleTxtG"/>
      </w:pPr>
      <w:r>
        <w:t>IPES</w:t>
      </w:r>
      <w:r w:rsidR="0027203C">
        <w:t xml:space="preserve"> </w:t>
      </w:r>
      <w:r w:rsidR="00DE0A93">
        <w:tab/>
      </w:r>
      <w:r w:rsidR="00DE0A93">
        <w:tab/>
      </w:r>
      <w:r>
        <w:t>: Instituts Privés d’Enseignement Supérieur</w:t>
      </w:r>
    </w:p>
    <w:p w14:paraId="6E807D3E" w14:textId="2559CA26" w:rsidR="00A0304E" w:rsidRDefault="00A0304E" w:rsidP="00A0304E">
      <w:pPr>
        <w:pStyle w:val="SingleTxtG"/>
      </w:pPr>
      <w:r>
        <w:t>ISF</w:t>
      </w:r>
      <w:r w:rsidR="0027203C">
        <w:t xml:space="preserve"> </w:t>
      </w:r>
      <w:r w:rsidR="00DE0A93">
        <w:tab/>
      </w:r>
      <w:r w:rsidR="00DE0A93">
        <w:tab/>
      </w:r>
      <w:r>
        <w:t>: Indice synthétique de fécondité</w:t>
      </w:r>
    </w:p>
    <w:p w14:paraId="5251B8F8" w14:textId="03A755D1" w:rsidR="00A0304E" w:rsidRDefault="00A0304E" w:rsidP="00A0304E">
      <w:pPr>
        <w:pStyle w:val="SingleTxtG"/>
      </w:pPr>
      <w:r>
        <w:t>ITIE</w:t>
      </w:r>
      <w:r w:rsidR="0027203C">
        <w:t xml:space="preserve">  </w:t>
      </w:r>
      <w:r w:rsidR="00DE0A93">
        <w:tab/>
      </w:r>
      <w:r>
        <w:t>: Initiative pour la Transparence dans les Industries Extractives</w:t>
      </w:r>
    </w:p>
    <w:p w14:paraId="2431EF44" w14:textId="15E55F90" w:rsidR="00A0304E" w:rsidRDefault="00A0304E" w:rsidP="00A0304E">
      <w:pPr>
        <w:pStyle w:val="SingleTxtG"/>
      </w:pPr>
      <w:r>
        <w:t>MAETUR</w:t>
      </w:r>
      <w:r w:rsidR="0027203C">
        <w:t xml:space="preserve"> </w:t>
      </w:r>
      <w:r>
        <w:tab/>
        <w:t>: Mission d’Aménagement et d’</w:t>
      </w:r>
      <w:proofErr w:type="spellStart"/>
      <w:r>
        <w:t>Equipement</w:t>
      </w:r>
      <w:proofErr w:type="spellEnd"/>
      <w:r>
        <w:t xml:space="preserve"> des Terrains Urbains et Ruraux</w:t>
      </w:r>
    </w:p>
    <w:p w14:paraId="2AB4D022" w14:textId="62535DC2" w:rsidR="00A0304E" w:rsidRDefault="00A0304E" w:rsidP="00A0304E">
      <w:pPr>
        <w:pStyle w:val="SingleTxtG"/>
      </w:pPr>
      <w:r>
        <w:t>MGF</w:t>
      </w:r>
      <w:r w:rsidR="0027203C">
        <w:t xml:space="preserve">  </w:t>
      </w:r>
      <w:r w:rsidR="00DE0A93">
        <w:tab/>
      </w:r>
      <w:r>
        <w:t>: Mutilations Génitales Féminines</w:t>
      </w:r>
    </w:p>
    <w:p w14:paraId="75A16650" w14:textId="77E50796" w:rsidR="00A0304E" w:rsidRDefault="00A0304E" w:rsidP="00A0304E">
      <w:pPr>
        <w:pStyle w:val="SingleTxtG"/>
      </w:pPr>
      <w:r>
        <w:t>MINAS</w:t>
      </w:r>
      <w:r w:rsidR="0027203C">
        <w:t xml:space="preserve"> </w:t>
      </w:r>
      <w:r w:rsidR="00DE0A93">
        <w:tab/>
      </w:r>
      <w:r>
        <w:t>: Ministère des Affaires Sociales</w:t>
      </w:r>
    </w:p>
    <w:p w14:paraId="4BDF1395" w14:textId="57DFAEE9" w:rsidR="00A0304E" w:rsidRDefault="00A0304E" w:rsidP="00A0304E">
      <w:pPr>
        <w:pStyle w:val="SingleTxtG"/>
      </w:pPr>
      <w:r>
        <w:t>MINAT</w:t>
      </w:r>
      <w:r w:rsidR="0027203C">
        <w:t xml:space="preserve"> </w:t>
      </w:r>
      <w:r w:rsidR="00DE0A93">
        <w:tab/>
      </w:r>
      <w:r>
        <w:t>: Administration Territoriale</w:t>
      </w:r>
    </w:p>
    <w:p w14:paraId="47FF132B" w14:textId="092DFBA0" w:rsidR="00A0304E" w:rsidRDefault="00A0304E" w:rsidP="00A0304E">
      <w:pPr>
        <w:pStyle w:val="SingleTxtG"/>
      </w:pPr>
      <w:r>
        <w:t>MINCULTURE</w:t>
      </w:r>
      <w:r w:rsidR="0027203C">
        <w:t xml:space="preserve"> </w:t>
      </w:r>
      <w:r>
        <w:t>: Ministère de la Culture</w:t>
      </w:r>
    </w:p>
    <w:p w14:paraId="1F8F42DF" w14:textId="4B7E57EC" w:rsidR="00A0304E" w:rsidRDefault="00A0304E" w:rsidP="00A0304E">
      <w:pPr>
        <w:pStyle w:val="SingleTxtG"/>
      </w:pPr>
      <w:r>
        <w:t xml:space="preserve">MINDCAF </w:t>
      </w:r>
      <w:r w:rsidR="00DE0A93">
        <w:tab/>
      </w:r>
      <w:r>
        <w:t>: Ministère des Domaines du Cadastre et des Affaires Foncières</w:t>
      </w:r>
    </w:p>
    <w:p w14:paraId="56052E37" w14:textId="3B008A9E" w:rsidR="00A0304E" w:rsidRDefault="00A0304E" w:rsidP="00A0304E">
      <w:pPr>
        <w:pStyle w:val="SingleTxtG"/>
      </w:pPr>
      <w:r>
        <w:t>MINDDEVEL : Ministère de la Décentralisation et du Développement Local</w:t>
      </w:r>
    </w:p>
    <w:p w14:paraId="1FCADF94" w14:textId="0F554DE3" w:rsidR="00A0304E" w:rsidRDefault="00A0304E" w:rsidP="00A0304E">
      <w:pPr>
        <w:pStyle w:val="SingleTxtG"/>
      </w:pPr>
      <w:r>
        <w:t>MINDEF</w:t>
      </w:r>
      <w:r w:rsidR="0027203C">
        <w:t xml:space="preserve"> </w:t>
      </w:r>
      <w:r w:rsidR="00DE0A93">
        <w:tab/>
      </w:r>
      <w:r>
        <w:t>: Ministère de la Défense</w:t>
      </w:r>
    </w:p>
    <w:p w14:paraId="44F00450" w14:textId="63A9C240" w:rsidR="00A0304E" w:rsidRDefault="00A0304E" w:rsidP="00A0304E">
      <w:pPr>
        <w:pStyle w:val="SingleTxtG"/>
      </w:pPr>
      <w:r>
        <w:t>MINEDUB</w:t>
      </w:r>
      <w:r w:rsidR="0027203C">
        <w:t xml:space="preserve"> </w:t>
      </w:r>
      <w:r w:rsidR="00DE0A93">
        <w:tab/>
      </w:r>
      <w:r>
        <w:t>: Ministère de l’</w:t>
      </w:r>
      <w:proofErr w:type="spellStart"/>
      <w:r>
        <w:t>Education</w:t>
      </w:r>
      <w:proofErr w:type="spellEnd"/>
      <w:r>
        <w:t xml:space="preserve"> de Base</w:t>
      </w:r>
    </w:p>
    <w:p w14:paraId="46E238D8" w14:textId="1ED325BB" w:rsidR="00A0304E" w:rsidRDefault="00A0304E" w:rsidP="00A0304E">
      <w:pPr>
        <w:pStyle w:val="SingleTxtG"/>
      </w:pPr>
      <w:r>
        <w:t>MINEFOP</w:t>
      </w:r>
      <w:r w:rsidR="0027203C">
        <w:t xml:space="preserve"> </w:t>
      </w:r>
      <w:r w:rsidR="00DE0A93">
        <w:tab/>
      </w:r>
      <w:r>
        <w:t>: Ministère de la Formation Professionnelle et de l’Emploi</w:t>
      </w:r>
    </w:p>
    <w:p w14:paraId="23DD3799" w14:textId="64CB1B90" w:rsidR="00A0304E" w:rsidRDefault="00A0304E" w:rsidP="00DE0A93">
      <w:pPr>
        <w:pStyle w:val="SingleTxtG"/>
      </w:pPr>
      <w:r>
        <w:t xml:space="preserve">MINEPAT </w:t>
      </w:r>
      <w:r w:rsidR="00DE0A93">
        <w:tab/>
      </w:r>
      <w:r>
        <w:t>: Ministère de la Planification, de la Programmation du</w:t>
      </w:r>
      <w:r w:rsidR="00DE0A93">
        <w:t xml:space="preserve"> </w:t>
      </w:r>
      <w:r>
        <w:t xml:space="preserve">Développement et de </w:t>
      </w:r>
      <w:r w:rsidR="00DE0A93">
        <w:tab/>
      </w:r>
      <w:r w:rsidR="00DE0A93">
        <w:tab/>
      </w:r>
      <w:r>
        <w:t>l'Aménagement du Territoire</w:t>
      </w:r>
    </w:p>
    <w:p w14:paraId="462BA65C" w14:textId="7F40B7BF" w:rsidR="00A0304E" w:rsidRDefault="00A0304E" w:rsidP="00DE0A93">
      <w:pPr>
        <w:pStyle w:val="SingleTxtG"/>
      </w:pPr>
      <w:r>
        <w:t>MINEPDED</w:t>
      </w:r>
      <w:r w:rsidR="0027203C">
        <w:t xml:space="preserve"> </w:t>
      </w:r>
      <w:r>
        <w:t>: Ministère de l’Environnement, de la Protection de la Nature et du</w:t>
      </w:r>
      <w:r w:rsidR="0027203C">
        <w:t xml:space="preserve"> </w:t>
      </w:r>
      <w:r w:rsidR="00DE0A93">
        <w:tab/>
      </w:r>
      <w:r w:rsidR="00DE0A93">
        <w:tab/>
      </w:r>
      <w:r w:rsidR="00DE0A93">
        <w:tab/>
      </w:r>
      <w:r w:rsidR="00DE0A93">
        <w:tab/>
      </w:r>
      <w:r>
        <w:t>Développement Durable</w:t>
      </w:r>
    </w:p>
    <w:p w14:paraId="1399F490" w14:textId="58EF46C8" w:rsidR="00A0304E" w:rsidRDefault="00A0304E" w:rsidP="00A0304E">
      <w:pPr>
        <w:pStyle w:val="SingleTxtG"/>
      </w:pPr>
      <w:r>
        <w:t xml:space="preserve">MINESEC </w:t>
      </w:r>
      <w:r w:rsidR="00DE0A93">
        <w:tab/>
      </w:r>
      <w:r>
        <w:t>: Ministère de l’Enseignement Secondaire</w:t>
      </w:r>
    </w:p>
    <w:p w14:paraId="1447E353" w14:textId="03890321" w:rsidR="00A0304E" w:rsidRDefault="00A0304E" w:rsidP="00A0304E">
      <w:pPr>
        <w:pStyle w:val="SingleTxtG"/>
      </w:pPr>
      <w:r>
        <w:t>MINESUP</w:t>
      </w:r>
      <w:r w:rsidR="0027203C">
        <w:t xml:space="preserve"> </w:t>
      </w:r>
      <w:r w:rsidR="00DE0A93">
        <w:tab/>
      </w:r>
      <w:r>
        <w:t>: Ministère de l’Enseignement Supérieur</w:t>
      </w:r>
    </w:p>
    <w:p w14:paraId="24E8A4AC" w14:textId="61C0F96D" w:rsidR="00A0304E" w:rsidRDefault="00A0304E" w:rsidP="00A0304E">
      <w:pPr>
        <w:pStyle w:val="SingleTxtG"/>
      </w:pPr>
      <w:r>
        <w:t>MINFI</w:t>
      </w:r>
      <w:r w:rsidR="0027203C">
        <w:t xml:space="preserve"> </w:t>
      </w:r>
      <w:r w:rsidR="00DE0A93">
        <w:tab/>
      </w:r>
      <w:r>
        <w:t>: Ministère des Finances</w:t>
      </w:r>
    </w:p>
    <w:p w14:paraId="0C0212D5" w14:textId="4915ADD8" w:rsidR="00A0304E" w:rsidRDefault="00A0304E" w:rsidP="00A0304E">
      <w:pPr>
        <w:pStyle w:val="SingleTxtG"/>
      </w:pPr>
      <w:r>
        <w:t>MINFOF</w:t>
      </w:r>
      <w:r w:rsidR="0027203C">
        <w:t xml:space="preserve"> </w:t>
      </w:r>
      <w:r w:rsidR="00DE0A93">
        <w:tab/>
      </w:r>
      <w:r>
        <w:t>: Ministère des forêts et de la faune</w:t>
      </w:r>
    </w:p>
    <w:p w14:paraId="46993FA2" w14:textId="03ECF043" w:rsidR="00A0304E" w:rsidRDefault="00A0304E" w:rsidP="00A0304E">
      <w:pPr>
        <w:pStyle w:val="SingleTxtG"/>
      </w:pPr>
      <w:r>
        <w:t xml:space="preserve">MINFOPRA </w:t>
      </w:r>
      <w:r w:rsidR="00DE0A93">
        <w:tab/>
      </w:r>
      <w:r>
        <w:t>: Ministère de la Fonction Publique et de la Réforme Administrative</w:t>
      </w:r>
    </w:p>
    <w:p w14:paraId="002B03EB" w14:textId="20D5C15C" w:rsidR="00A0304E" w:rsidRDefault="00A0304E" w:rsidP="00A0304E">
      <w:pPr>
        <w:pStyle w:val="SingleTxtG"/>
      </w:pPr>
      <w:r>
        <w:t>MINJUSTICE : Ministère de la Justice</w:t>
      </w:r>
    </w:p>
    <w:p w14:paraId="0D420E97" w14:textId="1735096D" w:rsidR="00A0304E" w:rsidRDefault="00A0304E" w:rsidP="00A0304E">
      <w:pPr>
        <w:pStyle w:val="SingleTxtG"/>
      </w:pPr>
      <w:r>
        <w:t xml:space="preserve">MINPROFF </w:t>
      </w:r>
      <w:r w:rsidR="00DE0A93">
        <w:tab/>
      </w:r>
      <w:r>
        <w:t>: Ministère de la promotion de la femme et de la famille</w:t>
      </w:r>
    </w:p>
    <w:p w14:paraId="3A365D85" w14:textId="73AF9E61" w:rsidR="00A0304E" w:rsidRDefault="00A0304E" w:rsidP="00A0304E">
      <w:pPr>
        <w:pStyle w:val="SingleTxtG"/>
      </w:pPr>
      <w:r>
        <w:t xml:space="preserve">MINSANTE </w:t>
      </w:r>
      <w:r w:rsidR="00DE0A93">
        <w:tab/>
      </w:r>
      <w:r>
        <w:t>: Ministère de la Santé Publique</w:t>
      </w:r>
    </w:p>
    <w:p w14:paraId="52AE950B" w14:textId="240A329A" w:rsidR="00A0304E" w:rsidRDefault="00A0304E" w:rsidP="00A0304E">
      <w:pPr>
        <w:pStyle w:val="SingleTxtG"/>
      </w:pPr>
      <w:r>
        <w:t>MINTSS</w:t>
      </w:r>
      <w:r w:rsidR="0027203C">
        <w:t xml:space="preserve"> </w:t>
      </w:r>
      <w:r w:rsidR="00DE0A93">
        <w:tab/>
      </w:r>
      <w:r>
        <w:t>: Ministère du Travail et de la Sécurité Sociale</w:t>
      </w:r>
    </w:p>
    <w:p w14:paraId="0E989A78" w14:textId="790661BE" w:rsidR="00A0304E" w:rsidRDefault="00A0304E" w:rsidP="00A0304E">
      <w:pPr>
        <w:pStyle w:val="SingleTxtG"/>
      </w:pPr>
      <w:r>
        <w:t>MIPROMALO: Mission de Promotion des Matériaux Locaux</w:t>
      </w:r>
    </w:p>
    <w:p w14:paraId="0F6AAE69" w14:textId="69187C51" w:rsidR="00A0304E" w:rsidRDefault="00A0304E" w:rsidP="00A0304E">
      <w:pPr>
        <w:pStyle w:val="SingleTxtG"/>
      </w:pPr>
      <w:r>
        <w:t>MNPT</w:t>
      </w:r>
      <w:r w:rsidR="0027203C">
        <w:t xml:space="preserve">  </w:t>
      </w:r>
      <w:r w:rsidR="00DE0A93">
        <w:tab/>
      </w:r>
      <w:r>
        <w:t>: Mécanisme National de Prévention de la Torture</w:t>
      </w:r>
    </w:p>
    <w:p w14:paraId="0AB1AA32" w14:textId="46ABEE49" w:rsidR="00A0304E" w:rsidRDefault="00A0304E" w:rsidP="00A0304E">
      <w:pPr>
        <w:pStyle w:val="SingleTxtG"/>
      </w:pPr>
      <w:r>
        <w:t>NASLA</w:t>
      </w:r>
      <w:r w:rsidR="0027203C">
        <w:t xml:space="preserve"> </w:t>
      </w:r>
      <w:r w:rsidR="00DE0A93">
        <w:tab/>
      </w:r>
      <w:r>
        <w:t>: National School of Local Administration</w:t>
      </w:r>
    </w:p>
    <w:p w14:paraId="5CDAEE8B" w14:textId="27572CE2" w:rsidR="00A0304E" w:rsidRDefault="00A0304E" w:rsidP="00A0304E">
      <w:pPr>
        <w:pStyle w:val="SingleTxtG"/>
      </w:pPr>
      <w:r>
        <w:t>ODD</w:t>
      </w:r>
      <w:r w:rsidR="0027203C">
        <w:t xml:space="preserve">  </w:t>
      </w:r>
      <w:r w:rsidR="00DE0A93">
        <w:tab/>
      </w:r>
      <w:r>
        <w:t>: Objectifs de Développement Durable</w:t>
      </w:r>
    </w:p>
    <w:p w14:paraId="55FE350B" w14:textId="7C5260F4" w:rsidR="00A0304E" w:rsidRDefault="00A0304E" w:rsidP="00A0304E">
      <w:pPr>
        <w:pStyle w:val="SingleTxtG"/>
      </w:pPr>
      <w:r>
        <w:t>OLPC</w:t>
      </w:r>
      <w:r w:rsidR="0027203C">
        <w:t xml:space="preserve">  </w:t>
      </w:r>
      <w:r w:rsidR="00DE0A93">
        <w:tab/>
      </w:r>
      <w:r>
        <w:t>: Observatoire des Libertés Publiques au Cameroun</w:t>
      </w:r>
    </w:p>
    <w:p w14:paraId="1445CC14" w14:textId="782A8988" w:rsidR="00A0304E" w:rsidRDefault="00A0304E" w:rsidP="00A0304E">
      <w:pPr>
        <w:pStyle w:val="SingleTxtG"/>
      </w:pPr>
      <w:r>
        <w:t>OMD</w:t>
      </w:r>
      <w:r w:rsidR="0027203C">
        <w:t xml:space="preserve">  </w:t>
      </w:r>
      <w:r w:rsidR="00DE0A93">
        <w:tab/>
      </w:r>
      <w:r>
        <w:t>: Objectifs du Millénaire pour le Développement</w:t>
      </w:r>
    </w:p>
    <w:p w14:paraId="54B2D004" w14:textId="44582B00" w:rsidR="00A0304E" w:rsidRDefault="00A0304E" w:rsidP="00A0304E">
      <w:pPr>
        <w:pStyle w:val="SingleTxtG"/>
      </w:pPr>
      <w:r>
        <w:t>ONJ</w:t>
      </w:r>
      <w:r w:rsidR="0027203C">
        <w:t xml:space="preserve">  </w:t>
      </w:r>
      <w:r w:rsidR="00DE0A93">
        <w:tab/>
      </w:r>
      <w:r>
        <w:t>: Observatoire National de la Jeunesse</w:t>
      </w:r>
    </w:p>
    <w:p w14:paraId="6AE2FE7F" w14:textId="4D3B253F" w:rsidR="00A0304E" w:rsidRDefault="00A0304E" w:rsidP="00A0304E">
      <w:pPr>
        <w:pStyle w:val="SingleTxtG"/>
      </w:pPr>
      <w:r>
        <w:t>OPJ</w:t>
      </w:r>
      <w:r w:rsidR="0027203C">
        <w:t xml:space="preserve"> </w:t>
      </w:r>
      <w:r w:rsidR="00DE0A93">
        <w:tab/>
      </w:r>
      <w:r w:rsidR="00E30FAC">
        <w:tab/>
      </w:r>
      <w:r>
        <w:t>: Officiers de Police Judiciaire</w:t>
      </w:r>
    </w:p>
    <w:p w14:paraId="214A2E32" w14:textId="6A09DAEC" w:rsidR="00A0304E" w:rsidRDefault="00A0304E" w:rsidP="00A0304E">
      <w:pPr>
        <w:pStyle w:val="SingleTxtG"/>
      </w:pPr>
      <w:r>
        <w:lastRenderedPageBreak/>
        <w:t>OSC</w:t>
      </w:r>
      <w:r w:rsidR="00DE0A93">
        <w:tab/>
      </w:r>
      <w:r w:rsidR="00E30FAC">
        <w:tab/>
      </w:r>
      <w:r>
        <w:t>: Organisations de la Société Civile</w:t>
      </w:r>
    </w:p>
    <w:p w14:paraId="35DB08E9" w14:textId="284C93C6" w:rsidR="00A0304E" w:rsidRDefault="00A0304E" w:rsidP="00A0304E">
      <w:pPr>
        <w:pStyle w:val="SingleTxtG"/>
      </w:pPr>
      <w:r>
        <w:t>OUA</w:t>
      </w:r>
      <w:r w:rsidR="0027203C">
        <w:t xml:space="preserve"> </w:t>
      </w:r>
      <w:r w:rsidR="00E30FAC">
        <w:tab/>
      </w:r>
      <w:r w:rsidR="00DE0A93">
        <w:tab/>
      </w:r>
      <w:r>
        <w:t>: Organisation de l’Unité Africaine</w:t>
      </w:r>
    </w:p>
    <w:p w14:paraId="2EF196D5" w14:textId="03F7C724" w:rsidR="00A0304E" w:rsidRDefault="00A0304E" w:rsidP="00A0304E">
      <w:pPr>
        <w:pStyle w:val="SingleTxtG"/>
      </w:pPr>
      <w:r>
        <w:t>PACDET</w:t>
      </w:r>
      <w:r w:rsidR="00DE0A93">
        <w:tab/>
      </w:r>
      <w:r>
        <w:t>: Programme d’amélioration des conditions de détention</w:t>
      </w:r>
    </w:p>
    <w:p w14:paraId="05342819" w14:textId="6EFFCF5E" w:rsidR="00A0304E" w:rsidRDefault="00A0304E" w:rsidP="00A0304E">
      <w:pPr>
        <w:pStyle w:val="SingleTxtG"/>
      </w:pPr>
      <w:r>
        <w:t>PACEL</w:t>
      </w:r>
      <w:r w:rsidR="00023408">
        <w:tab/>
      </w:r>
      <w:r>
        <w:t>: Projet d'amélioration des Conditions d'exercice des Libertés</w:t>
      </w:r>
    </w:p>
    <w:p w14:paraId="3CF2FBD5" w14:textId="309218AB" w:rsidR="00A0304E" w:rsidRDefault="00A0304E" w:rsidP="00A0304E">
      <w:pPr>
        <w:pStyle w:val="SingleTxtG"/>
      </w:pPr>
      <w:r>
        <w:t>PDI</w:t>
      </w:r>
      <w:r w:rsidR="0027203C">
        <w:t xml:space="preserve">  </w:t>
      </w:r>
      <w:r w:rsidR="00F9015A">
        <w:tab/>
      </w:r>
      <w:r>
        <w:t>: Personnes déplacées internes</w:t>
      </w:r>
    </w:p>
    <w:p w14:paraId="50B3EF6C" w14:textId="1194AD5F" w:rsidR="00A0304E" w:rsidRDefault="00A0304E" w:rsidP="00A0304E">
      <w:pPr>
        <w:pStyle w:val="SingleTxtG"/>
      </w:pPr>
      <w:r>
        <w:t xml:space="preserve">PFS-AIE </w:t>
      </w:r>
      <w:r w:rsidR="00F9015A">
        <w:tab/>
      </w:r>
      <w:r>
        <w:t xml:space="preserve">: Projet Filets Sociaux Adaptatifs et d’Inclusion </w:t>
      </w:r>
      <w:proofErr w:type="spellStart"/>
      <w:r>
        <w:t>Economique</w:t>
      </w:r>
      <w:proofErr w:type="spellEnd"/>
    </w:p>
    <w:p w14:paraId="21F4E24B" w14:textId="2BF1C978" w:rsidR="00A0304E" w:rsidRDefault="00A0304E" w:rsidP="00A0304E">
      <w:pPr>
        <w:pStyle w:val="SingleTxtG"/>
      </w:pPr>
      <w:r>
        <w:t>PNH</w:t>
      </w:r>
      <w:r w:rsidR="0027203C">
        <w:t xml:space="preserve"> </w:t>
      </w:r>
      <w:r w:rsidR="00D3260A">
        <w:tab/>
      </w:r>
      <w:r w:rsidR="00737B59">
        <w:tab/>
      </w:r>
      <w:r>
        <w:t>: Politique Nationale de l’Habitat</w:t>
      </w:r>
    </w:p>
    <w:p w14:paraId="4A9A2BD7" w14:textId="2B954616" w:rsidR="00A0304E" w:rsidRDefault="00A0304E" w:rsidP="00A0304E">
      <w:pPr>
        <w:pStyle w:val="SingleTxtG"/>
      </w:pPr>
      <w:r>
        <w:t>PNUD</w:t>
      </w:r>
      <w:r w:rsidR="00D3260A">
        <w:tab/>
      </w:r>
      <w:r w:rsidR="00737B59">
        <w:tab/>
      </w:r>
      <w:r>
        <w:t>: Programme des Nations Unies pour le développement</w:t>
      </w:r>
    </w:p>
    <w:p w14:paraId="1790B3B8" w14:textId="18AE7F74" w:rsidR="00A0304E" w:rsidRDefault="00A0304E" w:rsidP="00A0304E">
      <w:pPr>
        <w:pStyle w:val="SingleTxtG"/>
      </w:pPr>
      <w:r>
        <w:t>PPTE</w:t>
      </w:r>
      <w:r w:rsidR="00737B59">
        <w:tab/>
      </w:r>
      <w:r w:rsidR="00D3260A">
        <w:tab/>
      </w:r>
      <w:r>
        <w:t>: Pays Pauvres très Endettés</w:t>
      </w:r>
    </w:p>
    <w:p w14:paraId="254B60CE" w14:textId="10D1471C" w:rsidR="00A0304E" w:rsidRDefault="00A0304E" w:rsidP="00A0304E">
      <w:pPr>
        <w:pStyle w:val="SingleTxtG"/>
      </w:pPr>
      <w:r>
        <w:t>PTS-JEUN</w:t>
      </w:r>
      <w:r w:rsidR="0027203C">
        <w:t xml:space="preserve"> </w:t>
      </w:r>
      <w:r>
        <w:t>: Plan Triennal Spécial Jeunes</w:t>
      </w:r>
    </w:p>
    <w:p w14:paraId="57CD72D6" w14:textId="5CCB261A" w:rsidR="00A0304E" w:rsidRDefault="00A0304E" w:rsidP="00A0304E">
      <w:pPr>
        <w:pStyle w:val="SingleTxtG"/>
      </w:pPr>
      <w:r>
        <w:t>RCA</w:t>
      </w:r>
      <w:r w:rsidR="0027203C">
        <w:t xml:space="preserve">  </w:t>
      </w:r>
      <w:r w:rsidR="0020773C">
        <w:tab/>
      </w:r>
      <w:r>
        <w:t>: République Centrafricaine</w:t>
      </w:r>
    </w:p>
    <w:p w14:paraId="7FBB57D3" w14:textId="21E443D8" w:rsidR="00A0304E" w:rsidRDefault="00A0304E" w:rsidP="00A0304E">
      <w:pPr>
        <w:pStyle w:val="SingleTxtG"/>
      </w:pPr>
      <w:r>
        <w:t>RGPH</w:t>
      </w:r>
      <w:r w:rsidR="0027203C">
        <w:t xml:space="preserve"> </w:t>
      </w:r>
      <w:r>
        <w:t xml:space="preserve"> </w:t>
      </w:r>
      <w:r w:rsidR="0020773C">
        <w:tab/>
      </w:r>
      <w:r>
        <w:t>: Recensements Généraux de la Population et de l’Habitat</w:t>
      </w:r>
    </w:p>
    <w:p w14:paraId="512542EC" w14:textId="333BD9F3" w:rsidR="00A0304E" w:rsidRDefault="00A0304E" w:rsidP="00A0304E">
      <w:pPr>
        <w:pStyle w:val="SingleTxtG"/>
      </w:pPr>
      <w:r>
        <w:t>SDN</w:t>
      </w:r>
      <w:r w:rsidR="0027203C">
        <w:t xml:space="preserve">  </w:t>
      </w:r>
      <w:r w:rsidR="0020773C">
        <w:tab/>
      </w:r>
      <w:r>
        <w:t>: Société des Nations</w:t>
      </w:r>
    </w:p>
    <w:p w14:paraId="1D852896" w14:textId="1BABEC4C" w:rsidR="00A0304E" w:rsidRDefault="00A0304E" w:rsidP="00A0304E">
      <w:pPr>
        <w:pStyle w:val="SingleTxtG"/>
      </w:pPr>
      <w:r>
        <w:t>SIC</w:t>
      </w:r>
      <w:r w:rsidR="0027203C">
        <w:t xml:space="preserve">  </w:t>
      </w:r>
      <w:r w:rsidR="00E30FAC">
        <w:tab/>
      </w:r>
      <w:r>
        <w:t>: Société Immobilière du Cameroun</w:t>
      </w:r>
    </w:p>
    <w:p w14:paraId="1872B599" w14:textId="4BC4A6A5" w:rsidR="00A0304E" w:rsidRDefault="00A0304E" w:rsidP="00A0304E">
      <w:pPr>
        <w:pStyle w:val="SingleTxtG"/>
      </w:pPr>
      <w:r>
        <w:t>SMIG</w:t>
      </w:r>
      <w:r w:rsidR="0027203C">
        <w:t xml:space="preserve">  </w:t>
      </w:r>
      <w:r w:rsidR="00E30FAC">
        <w:tab/>
      </w:r>
      <w:r>
        <w:t>: Salaire Minimum Interprofessionnel Garanti</w:t>
      </w:r>
    </w:p>
    <w:p w14:paraId="03AD5D6B" w14:textId="4949DF9A" w:rsidR="00A0304E" w:rsidRDefault="00A0304E" w:rsidP="00A0304E">
      <w:pPr>
        <w:pStyle w:val="SingleTxtG"/>
      </w:pPr>
      <w:r>
        <w:t>SND30</w:t>
      </w:r>
      <w:r w:rsidR="0027203C">
        <w:t xml:space="preserve">   </w:t>
      </w:r>
      <w:r w:rsidR="00E30FAC">
        <w:tab/>
      </w:r>
      <w:r>
        <w:t>: Stratégie Nationale de Développement</w:t>
      </w:r>
    </w:p>
    <w:p w14:paraId="2CE57324" w14:textId="04377AD0" w:rsidR="00A0304E" w:rsidRDefault="00A0304E" w:rsidP="00A0304E">
      <w:pPr>
        <w:pStyle w:val="SingleTxtG"/>
      </w:pPr>
      <w:r>
        <w:t>TA</w:t>
      </w:r>
      <w:r w:rsidR="0027203C">
        <w:t xml:space="preserve">  </w:t>
      </w:r>
      <w:r>
        <w:t xml:space="preserve"> </w:t>
      </w:r>
      <w:r w:rsidR="00E30FAC">
        <w:tab/>
      </w:r>
      <w:r>
        <w:t>: Tribunal Administratif</w:t>
      </w:r>
    </w:p>
    <w:p w14:paraId="797EF86D" w14:textId="37087D84" w:rsidR="00A0304E" w:rsidRDefault="00A0304E" w:rsidP="00A0304E">
      <w:pPr>
        <w:pStyle w:val="SingleTxtG"/>
      </w:pPr>
      <w:r>
        <w:t>TCS</w:t>
      </w:r>
      <w:r w:rsidR="0027203C">
        <w:t xml:space="preserve">  </w:t>
      </w:r>
      <w:r>
        <w:t xml:space="preserve"> </w:t>
      </w:r>
      <w:r w:rsidR="00E30FAC">
        <w:tab/>
      </w:r>
      <w:r>
        <w:t>: Tribunal Criminel Spécial</w:t>
      </w:r>
    </w:p>
    <w:p w14:paraId="170D7153" w14:textId="0A103BD7" w:rsidR="00A0304E" w:rsidRDefault="00A0304E" w:rsidP="00A0304E">
      <w:pPr>
        <w:pStyle w:val="SingleTxtG"/>
      </w:pPr>
      <w:r>
        <w:t>TGI</w:t>
      </w:r>
      <w:r w:rsidR="0027203C">
        <w:t xml:space="preserve">   </w:t>
      </w:r>
      <w:r w:rsidR="00E30FAC">
        <w:tab/>
      </w:r>
      <w:r>
        <w:t>: Tribunal de Grande Instance</w:t>
      </w:r>
    </w:p>
    <w:p w14:paraId="79C13D36" w14:textId="59C9C9C3" w:rsidR="00A0304E" w:rsidRDefault="00A0304E" w:rsidP="00A0304E">
      <w:pPr>
        <w:pStyle w:val="SingleTxtG"/>
      </w:pPr>
      <w:r>
        <w:t>TM</w:t>
      </w:r>
      <w:r w:rsidR="0027203C">
        <w:t xml:space="preserve">  </w:t>
      </w:r>
      <w:r w:rsidR="00E30FAC">
        <w:tab/>
      </w:r>
      <w:r>
        <w:t>: Tribunal Militaire</w:t>
      </w:r>
    </w:p>
    <w:p w14:paraId="05564C70" w14:textId="37DA5E05" w:rsidR="00A0304E" w:rsidRDefault="00A0304E" w:rsidP="00A0304E">
      <w:pPr>
        <w:pStyle w:val="SingleTxtG"/>
      </w:pPr>
      <w:r>
        <w:t>TPI</w:t>
      </w:r>
      <w:r w:rsidR="0027203C">
        <w:t xml:space="preserve">  </w:t>
      </w:r>
      <w:r>
        <w:t xml:space="preserve"> </w:t>
      </w:r>
      <w:r w:rsidR="00E30FAC">
        <w:tab/>
      </w:r>
      <w:r>
        <w:t>: Tribunal de Première Instance</w:t>
      </w:r>
    </w:p>
    <w:p w14:paraId="5ABF1610" w14:textId="29C6C1EB" w:rsidR="00A0304E" w:rsidRDefault="00A0304E" w:rsidP="00A0304E">
      <w:pPr>
        <w:pStyle w:val="SingleTxtG"/>
      </w:pPr>
      <w:r>
        <w:t>UA</w:t>
      </w:r>
      <w:r w:rsidR="0027203C">
        <w:t xml:space="preserve">   </w:t>
      </w:r>
      <w:r w:rsidR="00E30FAC">
        <w:tab/>
      </w:r>
      <w:r>
        <w:t>: Union Africaine</w:t>
      </w:r>
    </w:p>
    <w:p w14:paraId="77FBC8A2" w14:textId="21374F6A" w:rsidR="00E85C42" w:rsidRDefault="00A0304E" w:rsidP="00A0304E">
      <w:pPr>
        <w:pStyle w:val="SingleTxtG"/>
      </w:pPr>
      <w:r>
        <w:t>VBG</w:t>
      </w:r>
      <w:r w:rsidR="0027203C">
        <w:t xml:space="preserve">  </w:t>
      </w:r>
      <w:r w:rsidR="00E30FAC">
        <w:tab/>
      </w:r>
      <w:r>
        <w:t>: Violences Basées sur le Genre</w:t>
      </w:r>
    </w:p>
    <w:p w14:paraId="3CC680F1" w14:textId="7176CC26" w:rsidR="00C4382C" w:rsidRPr="005659CC" w:rsidRDefault="00C2044C" w:rsidP="004121FC">
      <w:pPr>
        <w:pStyle w:val="HChG"/>
      </w:pPr>
      <w:r>
        <w:br w:type="column"/>
      </w:r>
      <w:r w:rsidR="004121FC">
        <w:lastRenderedPageBreak/>
        <w:tab/>
      </w:r>
      <w:r w:rsidR="004121FC">
        <w:tab/>
      </w:r>
      <w:r w:rsidR="00C4382C" w:rsidRPr="005659CC">
        <w:t>I</w:t>
      </w:r>
      <w:r w:rsidR="00ED20A7">
        <w:t>ntrodu</w:t>
      </w:r>
      <w:r w:rsidR="00FD58BC">
        <w:t>ction</w:t>
      </w:r>
    </w:p>
    <w:p w14:paraId="73E2445F" w14:textId="4842E97C" w:rsidR="0093676D" w:rsidRPr="003313E1" w:rsidRDefault="00C959F9" w:rsidP="00C959F9">
      <w:pPr>
        <w:pStyle w:val="SingleTxtG"/>
      </w:pPr>
      <w:r w:rsidRPr="003313E1">
        <w:rPr>
          <w:bCs/>
        </w:rPr>
        <w:t>1.</w:t>
      </w:r>
      <w:r w:rsidRPr="003313E1">
        <w:rPr>
          <w:bCs/>
        </w:rPr>
        <w:tab/>
      </w:r>
      <w:r w:rsidR="0093676D" w:rsidRPr="003313E1">
        <w:t>Le présent Document de base commun du Cameroun a été élaboré conformément aux directives contenues dans le Document HRI/GEN/2/Rev.6 du 3 juin 2009. Outre une introduction et une conclusion, il est structuré en 5 sections : les données factuelles et statistiques sur le Cameroun (I)</w:t>
      </w:r>
      <w:r w:rsidR="0027203C">
        <w:t>;</w:t>
      </w:r>
      <w:r w:rsidR="0093676D" w:rsidRPr="003313E1">
        <w:t xml:space="preserve"> la structure constitutionnelle, juridique et politique (II)</w:t>
      </w:r>
      <w:r w:rsidR="0027203C">
        <w:t>;</w:t>
      </w:r>
      <w:r w:rsidR="0093676D" w:rsidRPr="003313E1">
        <w:t xml:space="preserve"> l’acceptation des instruments internationaux, régionaux et sous-régionaux relatifs aux Droits de l’Homme (III)</w:t>
      </w:r>
      <w:r w:rsidR="0027203C">
        <w:t>;</w:t>
      </w:r>
      <w:r w:rsidR="0093676D" w:rsidRPr="003313E1">
        <w:t xml:space="preserve"> le cadre général de protection des droits de l’Homme (IV)</w:t>
      </w:r>
      <w:r w:rsidR="0027203C">
        <w:t>;</w:t>
      </w:r>
      <w:r w:rsidR="0093676D" w:rsidRPr="003313E1">
        <w:t xml:space="preserve"> le cadre général de promotion des Droits de l’Homme (V)</w:t>
      </w:r>
      <w:r w:rsidR="0027203C">
        <w:t>;</w:t>
      </w:r>
      <w:r w:rsidR="0093676D" w:rsidRPr="003313E1">
        <w:t xml:space="preserve"> les dispositions de fond apparentées (VI)</w:t>
      </w:r>
      <w:r w:rsidR="0027203C">
        <w:t>;</w:t>
      </w:r>
      <w:r w:rsidR="0093676D" w:rsidRPr="003313E1">
        <w:t xml:space="preserve"> la position de l’</w:t>
      </w:r>
      <w:proofErr w:type="spellStart"/>
      <w:r w:rsidR="0093676D" w:rsidRPr="003313E1">
        <w:t>Etat</w:t>
      </w:r>
      <w:proofErr w:type="spellEnd"/>
      <w:r w:rsidR="0093676D" w:rsidRPr="003313E1">
        <w:t xml:space="preserve"> du Cameroun sur certaines questions majeures des Droits de l’Homme (VII). </w:t>
      </w:r>
    </w:p>
    <w:p w14:paraId="4A65EF84" w14:textId="5D5D1991" w:rsidR="0093676D" w:rsidRPr="00CB4F2E" w:rsidRDefault="00FD58BC" w:rsidP="00FD58BC">
      <w:pPr>
        <w:pStyle w:val="HChG"/>
      </w:pPr>
      <w:bookmarkStart w:id="1" w:name="_Toc210209098"/>
      <w:bookmarkStart w:id="2" w:name="_Toc210646292"/>
      <w:r>
        <w:tab/>
      </w:r>
      <w:r w:rsidR="00FC750F" w:rsidRPr="00CB4F2E">
        <w:t>I.</w:t>
      </w:r>
      <w:r w:rsidR="00FC750F" w:rsidRPr="00CB4F2E">
        <w:tab/>
      </w:r>
      <w:r w:rsidR="00C315DC" w:rsidRPr="00CB4F2E">
        <w:t xml:space="preserve">Les </w:t>
      </w:r>
      <w:proofErr w:type="spellStart"/>
      <w:r w:rsidR="00C315DC" w:rsidRPr="00CB4F2E">
        <w:t>donnees</w:t>
      </w:r>
      <w:proofErr w:type="spellEnd"/>
      <w:r w:rsidR="00C315DC" w:rsidRPr="00CB4F2E">
        <w:t xml:space="preserve"> factuelles et statistiques sur le </w:t>
      </w:r>
      <w:proofErr w:type="spellStart"/>
      <w:r w:rsidR="00C315DC" w:rsidRPr="00CB4F2E">
        <w:t>cameroun</w:t>
      </w:r>
      <w:bookmarkEnd w:id="1"/>
      <w:bookmarkEnd w:id="2"/>
      <w:proofErr w:type="spellEnd"/>
    </w:p>
    <w:p w14:paraId="49BAE92D" w14:textId="51AFF0F5" w:rsidR="0093676D" w:rsidRPr="00CB4F2E" w:rsidRDefault="00C959F9" w:rsidP="00C959F9">
      <w:pPr>
        <w:pStyle w:val="SingleTxtG"/>
      </w:pPr>
      <w:r w:rsidRPr="00CB4F2E">
        <w:rPr>
          <w:bCs/>
        </w:rPr>
        <w:t>2.</w:t>
      </w:r>
      <w:r w:rsidRPr="00CB4F2E">
        <w:rPr>
          <w:bCs/>
        </w:rPr>
        <w:tab/>
      </w:r>
      <w:r w:rsidR="0093676D" w:rsidRPr="00CB4F2E">
        <w:t>Ces données, dont certaines sont le fruit des activités de l’Institut National de la Statistique- (</w:t>
      </w:r>
      <w:hyperlink r:id="rId10" w:history="1">
        <w:r w:rsidR="0093676D" w:rsidRPr="00CB4F2E">
          <w:rPr>
            <w:rStyle w:val="Hyperlink"/>
          </w:rPr>
          <w:t>https://ins-cameroun.cm/fr/</w:t>
        </w:r>
      </w:hyperlink>
      <w:r w:rsidR="0093676D" w:rsidRPr="00CB4F2E">
        <w:t>), sont issues, entre autres : de la 5</w:t>
      </w:r>
      <w:r w:rsidR="0093676D" w:rsidRPr="00CB4F2E">
        <w:rPr>
          <w:vertAlign w:val="superscript"/>
        </w:rPr>
        <w:t>ème</w:t>
      </w:r>
      <w:r w:rsidR="0093676D" w:rsidRPr="00CB4F2E">
        <w:t xml:space="preserve"> Enquête camerounaise auprès des ménages</w:t>
      </w:r>
      <w:r w:rsidR="0093676D" w:rsidRPr="00CF37AD">
        <w:rPr>
          <w:rStyle w:val="FootnoteReference"/>
        </w:rPr>
        <w:footnoteReference w:id="3"/>
      </w:r>
      <w:r w:rsidR="0093676D" w:rsidRPr="00CB4F2E">
        <w:t>; du Rapport sur les statistiques de l’état civil au Cameroun (2018 2022)</w:t>
      </w:r>
      <w:r w:rsidR="0093676D" w:rsidRPr="00CF37AD">
        <w:rPr>
          <w:rStyle w:val="FootnoteReference"/>
        </w:rPr>
        <w:footnoteReference w:id="4"/>
      </w:r>
      <w:r w:rsidR="0093676D" w:rsidRPr="00CB4F2E">
        <w:t>; de la 3</w:t>
      </w:r>
      <w:r w:rsidR="0093676D" w:rsidRPr="00CB4F2E">
        <w:rPr>
          <w:vertAlign w:val="superscript"/>
        </w:rPr>
        <w:t>ème</w:t>
      </w:r>
      <w:r w:rsidR="0093676D" w:rsidRPr="00CB4F2E">
        <w:t xml:space="preserve"> Enquête sur l’emploi et le secteur informel au Cameroun</w:t>
      </w:r>
      <w:r w:rsidR="0093676D" w:rsidRPr="00CF37AD">
        <w:rPr>
          <w:rStyle w:val="FootnoteReference"/>
        </w:rPr>
        <w:footnoteReference w:id="5"/>
      </w:r>
      <w:r w:rsidR="0027203C">
        <w:t>;</w:t>
      </w:r>
      <w:r w:rsidR="0093676D" w:rsidRPr="00CB4F2E">
        <w:t xml:space="preserve"> du Rapport analytique sur la situation des indicateurs de planning familial au Cameroun</w:t>
      </w:r>
      <w:r w:rsidR="0093676D" w:rsidRPr="00CF37AD">
        <w:rPr>
          <w:rStyle w:val="FootnoteReference"/>
        </w:rPr>
        <w:footnoteReference w:id="6"/>
      </w:r>
      <w:r w:rsidR="0027203C">
        <w:t>;</w:t>
      </w:r>
      <w:r w:rsidR="0093676D" w:rsidRPr="00CB4F2E">
        <w:t xml:space="preserve"> du « Cameroun Profil genre pays »</w:t>
      </w:r>
      <w:r w:rsidR="0093676D" w:rsidRPr="00CF37AD">
        <w:rPr>
          <w:rStyle w:val="FootnoteReference"/>
        </w:rPr>
        <w:footnoteReference w:id="7"/>
      </w:r>
      <w:r w:rsidR="0093676D" w:rsidRPr="00CB4F2E">
        <w:t>; du Rapport d’Analyse de l’Annuaire Statistique Sectoriel 2021/2022 de l’</w:t>
      </w:r>
      <w:proofErr w:type="spellStart"/>
      <w:r w:rsidR="0093676D" w:rsidRPr="00CB4F2E">
        <w:t>Education</w:t>
      </w:r>
      <w:proofErr w:type="spellEnd"/>
      <w:r w:rsidR="0093676D" w:rsidRPr="00CB4F2E">
        <w:t xml:space="preserve"> et de la Formation du Cameroun : « une analyse comparative des indicateurs clés à la lumière de l’ODD4 »</w:t>
      </w:r>
      <w:r w:rsidR="0093676D" w:rsidRPr="00CF37AD">
        <w:rPr>
          <w:rStyle w:val="FootnoteReference"/>
        </w:rPr>
        <w:footnoteReference w:id="8"/>
      </w:r>
      <w:r w:rsidR="0093676D" w:rsidRPr="00CB4F2E">
        <w:t>; du 2</w:t>
      </w:r>
      <w:r w:rsidR="0093676D" w:rsidRPr="00CB4F2E">
        <w:rPr>
          <w:vertAlign w:val="superscript"/>
        </w:rPr>
        <w:t>ème</w:t>
      </w:r>
      <w:r w:rsidR="0093676D" w:rsidRPr="00CB4F2E">
        <w:t xml:space="preserve"> Rapport National d’Examen Volontaire sur la mise en œuvre de l’ODD 11 et du nouveau Programme pour les Villes au Cameroun</w:t>
      </w:r>
      <w:r w:rsidR="0093676D" w:rsidRPr="00CF37AD">
        <w:rPr>
          <w:rStyle w:val="FootnoteReference"/>
        </w:rPr>
        <w:footnoteReference w:id="9"/>
      </w:r>
      <w:r w:rsidR="0027203C">
        <w:t>;</w:t>
      </w:r>
      <w:r w:rsidR="0093676D" w:rsidRPr="00CB4F2E">
        <w:t xml:space="preserve"> des Projections démographiques et estimations des cibles prioritaires des différents programmes et interventions de santé</w:t>
      </w:r>
      <w:r w:rsidR="0093676D" w:rsidRPr="00CF37AD">
        <w:rPr>
          <w:rStyle w:val="FootnoteReference"/>
        </w:rPr>
        <w:footnoteReference w:id="10"/>
      </w:r>
      <w:r w:rsidR="0027203C">
        <w:t>;</w:t>
      </w:r>
      <w:r w:rsidR="0093676D" w:rsidRPr="00CB4F2E">
        <w:t xml:space="preserve"> de l’Annuaire statistique du Cameroun, édition 2019</w:t>
      </w:r>
      <w:r w:rsidR="0093676D" w:rsidRPr="00CF37AD">
        <w:rPr>
          <w:rStyle w:val="FootnoteReference"/>
        </w:rPr>
        <w:footnoteReference w:id="11"/>
      </w:r>
      <w:r w:rsidR="0093676D" w:rsidRPr="00CB4F2E">
        <w:t>.</w:t>
      </w:r>
    </w:p>
    <w:p w14:paraId="22904DD3" w14:textId="2B23C055" w:rsidR="0093676D" w:rsidRPr="00CB4F2E" w:rsidRDefault="00FC750F" w:rsidP="00FC750F">
      <w:pPr>
        <w:pStyle w:val="H23G"/>
        <w:tabs>
          <w:tab w:val="clear" w:pos="851"/>
        </w:tabs>
        <w:ind w:left="1210" w:hanging="850"/>
        <w:rPr>
          <w:i/>
        </w:rPr>
      </w:pPr>
      <w:bookmarkStart w:id="3" w:name="_Toc210209099"/>
      <w:bookmarkStart w:id="4" w:name="_Toc210646293"/>
      <w:r w:rsidRPr="00CB4F2E">
        <w:t>A.</w:t>
      </w:r>
      <w:r w:rsidRPr="00CB4F2E">
        <w:tab/>
      </w:r>
      <w:r w:rsidR="0093676D" w:rsidRPr="00CB4F2E">
        <w:t>Le territoire</w:t>
      </w:r>
      <w:bookmarkEnd w:id="3"/>
      <w:bookmarkEnd w:id="4"/>
      <w:r w:rsidR="0093676D" w:rsidRPr="00CB4F2E">
        <w:t xml:space="preserve"> </w:t>
      </w:r>
    </w:p>
    <w:p w14:paraId="2E20DB4A" w14:textId="2DC5C4E5" w:rsidR="0093676D" w:rsidRPr="00CB4F2E" w:rsidRDefault="00C959F9" w:rsidP="00C959F9">
      <w:pPr>
        <w:pStyle w:val="SingleTxtG"/>
      </w:pPr>
      <w:r w:rsidRPr="00CB4F2E">
        <w:rPr>
          <w:bCs/>
        </w:rPr>
        <w:t>3.</w:t>
      </w:r>
      <w:r w:rsidRPr="00CB4F2E">
        <w:rPr>
          <w:bCs/>
        </w:rPr>
        <w:tab/>
      </w:r>
      <w:r w:rsidR="0093676D" w:rsidRPr="00CB4F2E">
        <w:t>Le Cameroun est un pays d’Afrique Centrale, situé dans le Golfe de Guinée entre les 2</w:t>
      </w:r>
      <w:r w:rsidR="0093676D" w:rsidRPr="00CB4F2E">
        <w:rPr>
          <w:vertAlign w:val="superscript"/>
        </w:rPr>
        <w:t>ème</w:t>
      </w:r>
      <w:r w:rsidR="0093676D" w:rsidRPr="00CB4F2E">
        <w:t xml:space="preserve"> et 13</w:t>
      </w:r>
      <w:r w:rsidR="0093676D" w:rsidRPr="00CB4F2E">
        <w:rPr>
          <w:vertAlign w:val="superscript"/>
        </w:rPr>
        <w:t>ème</w:t>
      </w:r>
      <w:r w:rsidR="0093676D" w:rsidRPr="00CB4F2E">
        <w:t xml:space="preserve"> degrés de latitude Nord et les 9</w:t>
      </w:r>
      <w:r w:rsidR="0093676D" w:rsidRPr="00CB4F2E">
        <w:rPr>
          <w:vertAlign w:val="superscript"/>
        </w:rPr>
        <w:t>ème</w:t>
      </w:r>
      <w:r w:rsidR="0093676D" w:rsidRPr="00CB4F2E">
        <w:t xml:space="preserve"> et 16</w:t>
      </w:r>
      <w:r w:rsidR="0093676D" w:rsidRPr="00CB4F2E">
        <w:rPr>
          <w:vertAlign w:val="superscript"/>
        </w:rPr>
        <w:t>ème</w:t>
      </w:r>
      <w:r w:rsidR="0093676D" w:rsidRPr="00CB4F2E">
        <w:t xml:space="preserve"> degrés de longitude Est. Sa superficie est de 475 650 km</w:t>
      </w:r>
      <w:r w:rsidR="0093676D" w:rsidRPr="00CB4F2E">
        <w:rPr>
          <w:vertAlign w:val="superscript"/>
        </w:rPr>
        <w:t>2</w:t>
      </w:r>
      <w:r w:rsidR="0093676D" w:rsidRPr="00CB4F2E">
        <w:t xml:space="preserve">, dont 466 050 km² de superficie continentale et 9 600 km² de superficie maritime qui lui donne une ouverture sur l’Océan Atlantique. Il est limité au Nord par le Lac Tchad, au Nord-Est par le Tchad, à l’Est par la République Centrafricaine, à l’Ouest par le Nigéria, et au Sud par le Gabon, le Congo et la Guinée </w:t>
      </w:r>
      <w:proofErr w:type="spellStart"/>
      <w:r w:rsidR="0093676D" w:rsidRPr="00CB4F2E">
        <w:t>Equatoriale</w:t>
      </w:r>
      <w:proofErr w:type="spellEnd"/>
      <w:r w:rsidR="0093676D" w:rsidRPr="00CB4F2E">
        <w:t>.</w:t>
      </w:r>
    </w:p>
    <w:p w14:paraId="5E2F56CD" w14:textId="4B4EEC23" w:rsidR="0093676D" w:rsidRPr="00CB4F2E" w:rsidRDefault="00C959F9" w:rsidP="00C959F9">
      <w:pPr>
        <w:pStyle w:val="SingleTxtG"/>
      </w:pPr>
      <w:r w:rsidRPr="00CB4F2E">
        <w:rPr>
          <w:bCs/>
        </w:rPr>
        <w:t>4.</w:t>
      </w:r>
      <w:r w:rsidRPr="00CB4F2E">
        <w:rPr>
          <w:bCs/>
        </w:rPr>
        <w:tab/>
      </w:r>
      <w:r w:rsidR="0093676D" w:rsidRPr="00CB4F2E">
        <w:t xml:space="preserve">Le Cameroun est communément appelé « </w:t>
      </w:r>
      <w:r w:rsidR="0093676D" w:rsidRPr="00CB4F2E">
        <w:rPr>
          <w:i/>
        </w:rPr>
        <w:t>l’Afrique en miniature</w:t>
      </w:r>
      <w:r w:rsidR="0093676D" w:rsidRPr="00CB4F2E">
        <w:t xml:space="preserve"> », compte tenu de la diversité de sa population (environ 250 groupes ethniques) et de son environnement naturel qui concentre l’ensemble des écosystèmes de l’Afrique. Le relief est assez varié, et comprend les hautes terres, les plateaux et les plaines. Il bénéficie également d’un climat varié. Le pays </w:t>
      </w:r>
      <w:r w:rsidR="0093676D" w:rsidRPr="00CB4F2E">
        <w:lastRenderedPageBreak/>
        <w:t>peut être subdivisé en 3 grandes zones : la zone équatoriale (partie méridionale), la zone soudano-sahélienne (partie septentrionale) et la zone des hauts plateaux de l’Ouest.</w:t>
      </w:r>
    </w:p>
    <w:p w14:paraId="5921DFAC" w14:textId="7C3D5E47" w:rsidR="0093676D" w:rsidRPr="00CB4F2E" w:rsidRDefault="00FC750F" w:rsidP="00FC750F">
      <w:pPr>
        <w:pStyle w:val="H23G"/>
        <w:tabs>
          <w:tab w:val="clear" w:pos="851"/>
        </w:tabs>
        <w:ind w:hanging="850"/>
        <w:rPr>
          <w:i/>
        </w:rPr>
      </w:pPr>
      <w:bookmarkStart w:id="5" w:name="_Toc210209100"/>
      <w:bookmarkStart w:id="6" w:name="_Toc210646294"/>
      <w:r w:rsidRPr="00CB4F2E">
        <w:t>B.</w:t>
      </w:r>
      <w:r w:rsidRPr="00CB4F2E">
        <w:tab/>
      </w:r>
      <w:r w:rsidR="0093676D" w:rsidRPr="00CB4F2E">
        <w:t>Les données historiques et culturelles</w:t>
      </w:r>
      <w:bookmarkEnd w:id="5"/>
      <w:bookmarkEnd w:id="6"/>
    </w:p>
    <w:p w14:paraId="123EF747" w14:textId="35710162" w:rsidR="0093676D" w:rsidRPr="00CB4F2E" w:rsidRDefault="00C959F9" w:rsidP="00C959F9">
      <w:pPr>
        <w:pStyle w:val="SingleTxtG"/>
      </w:pPr>
      <w:r w:rsidRPr="00CB4F2E">
        <w:rPr>
          <w:bCs/>
        </w:rPr>
        <w:t>5.</w:t>
      </w:r>
      <w:r w:rsidRPr="00CB4F2E">
        <w:rPr>
          <w:bCs/>
        </w:rPr>
        <w:tab/>
      </w:r>
      <w:r w:rsidR="0093676D" w:rsidRPr="00CB4F2E">
        <w:t>Le Cameroun a été placé sous protectorat allemand, puis sous Mandat et sous Tutelle de la France et de la Grande-Bretagne par la Société des Nations (SDN) après la Première Guerre mondiale, et les Nations Unies après la Deuxième Guerre mondiale. De cette double Tutelle, le Cameroun a hérité une culture anglophone et francophone, remarquable dans sa structure politique, culturelle, sociale et sociologique qui en rajoute à sa complexité et à sa diversité.</w:t>
      </w:r>
    </w:p>
    <w:p w14:paraId="008C06A9" w14:textId="2C3235E1" w:rsidR="0093676D" w:rsidRPr="00CB4F2E" w:rsidRDefault="00C959F9" w:rsidP="00C959F9">
      <w:pPr>
        <w:pStyle w:val="SingleTxtG"/>
      </w:pPr>
      <w:r w:rsidRPr="00CB4F2E">
        <w:rPr>
          <w:bCs/>
        </w:rPr>
        <w:t>6.</w:t>
      </w:r>
      <w:r w:rsidRPr="00CB4F2E">
        <w:rPr>
          <w:bCs/>
        </w:rPr>
        <w:tab/>
      </w:r>
      <w:r w:rsidR="0093676D" w:rsidRPr="00CB4F2E">
        <w:t>Le français et l’anglais sont les deux langues officielles du pays consacrées par la Constitution et entérinées par la Loi n°2019/019 du 24 décembre 2019 portant promotion des langues officielles au Cameroun. Le français et l’anglais sont parlés respectivement par 70% et 30 % de la population. L’espagnol, le chinois, l’italien, l’allemand et l’arabe sont enseignées dans certains établissements scolaires. Ces langues s’ajoutent à près de 250 langues nationales parlées par les différents groupes ethniques. Les 250 ethnies que compte le Cameroun sont réparties en 3 grandes aires culturelles : les Bantous dans les régions du Sud, du Littoral, du Sud-Ouest, du Centre et du Sud-Est</w:t>
      </w:r>
      <w:r w:rsidR="0027203C" w:rsidRPr="0027203C">
        <w:rPr>
          <w:rStyle w:val="FootnoteReference"/>
        </w:rPr>
        <w:t>;</w:t>
      </w:r>
      <w:r w:rsidR="0093676D" w:rsidRPr="00CB4F2E">
        <w:t xml:space="preserve"> les </w:t>
      </w:r>
      <w:proofErr w:type="spellStart"/>
      <w:r w:rsidR="0093676D" w:rsidRPr="00CB4F2E">
        <w:t>Bantoïdes</w:t>
      </w:r>
      <w:proofErr w:type="spellEnd"/>
      <w:r w:rsidR="0093676D" w:rsidRPr="00CB4F2E">
        <w:t xml:space="preserve"> ou semi-Bantous dans les régions de l’Ouest et du Nord-Ouest</w:t>
      </w:r>
      <w:r w:rsidR="0027203C">
        <w:t>;</w:t>
      </w:r>
      <w:r w:rsidR="0093676D" w:rsidRPr="00CB4F2E">
        <w:t xml:space="preserve"> et les Soudanais, Hamites et Sémites, habitants de la partie septentrionale du Cameroun. Les Pygmées, considérés comme les premiers habitants du pays, ne sont pas classés dans ces grands ensembles. Ils se retrouvent dans les Régions du Sud, de l’Est et du Centre.</w:t>
      </w:r>
    </w:p>
    <w:p w14:paraId="628F3FB9" w14:textId="51638F22" w:rsidR="0093676D" w:rsidRPr="00CB4F2E" w:rsidRDefault="00C959F9" w:rsidP="00C959F9">
      <w:pPr>
        <w:pStyle w:val="SingleTxtG"/>
      </w:pPr>
      <w:r w:rsidRPr="00CB4F2E">
        <w:rPr>
          <w:bCs/>
        </w:rPr>
        <w:t>7.</w:t>
      </w:r>
      <w:r w:rsidRPr="00CB4F2E">
        <w:rPr>
          <w:bCs/>
        </w:rPr>
        <w:tab/>
      </w:r>
      <w:r w:rsidR="0093676D" w:rsidRPr="00CB4F2E">
        <w:t xml:space="preserve">Le Cameroun est un </w:t>
      </w:r>
      <w:proofErr w:type="spellStart"/>
      <w:r w:rsidR="0093676D" w:rsidRPr="00CB4F2E">
        <w:t>Etat</w:t>
      </w:r>
      <w:proofErr w:type="spellEnd"/>
      <w:r w:rsidR="0093676D" w:rsidRPr="00CB4F2E">
        <w:t xml:space="preserve"> laïc. Néanmoins, plusieurs religions y sont pratiquées. Le christianisme représente environ 70% (soit 42% de catholiques et 27,3 de protestants), l’islam 20,9%, les religions traditionnelles 5,6% et les religions émergentes 4%. </w:t>
      </w:r>
    </w:p>
    <w:p w14:paraId="2C8C78B5" w14:textId="5F7667A8" w:rsidR="0093676D" w:rsidRPr="00CB4F2E" w:rsidRDefault="00FC750F" w:rsidP="00FC750F">
      <w:pPr>
        <w:pStyle w:val="H23G"/>
        <w:tabs>
          <w:tab w:val="clear" w:pos="851"/>
        </w:tabs>
        <w:ind w:hanging="850"/>
        <w:rPr>
          <w:i/>
        </w:rPr>
      </w:pPr>
      <w:bookmarkStart w:id="7" w:name="_Toc210209101"/>
      <w:bookmarkStart w:id="8" w:name="_Toc210646295"/>
      <w:r w:rsidRPr="00CB4F2E">
        <w:t>C.</w:t>
      </w:r>
      <w:r w:rsidRPr="00CB4F2E">
        <w:tab/>
      </w:r>
      <w:r w:rsidR="0093676D" w:rsidRPr="00CB4F2E">
        <w:t>Les données démographiques</w:t>
      </w:r>
      <w:bookmarkEnd w:id="7"/>
      <w:bookmarkEnd w:id="8"/>
    </w:p>
    <w:p w14:paraId="1CFD375A" w14:textId="220C6AA2" w:rsidR="0093676D" w:rsidRPr="00CB4F2E" w:rsidRDefault="00C959F9" w:rsidP="00C959F9">
      <w:pPr>
        <w:pStyle w:val="SingleTxtG"/>
      </w:pPr>
      <w:r w:rsidRPr="00CB4F2E">
        <w:rPr>
          <w:bCs/>
        </w:rPr>
        <w:t>8.</w:t>
      </w:r>
      <w:r w:rsidRPr="00CB4F2E">
        <w:rPr>
          <w:bCs/>
        </w:rPr>
        <w:tab/>
      </w:r>
      <w:r w:rsidR="0093676D" w:rsidRPr="00CB4F2E">
        <w:t>Dans le cadre de la production des statistiques sur la population, le Cameroun a réalisé 3 Recensements Généraux de la Population et de l’Habitat (RGPH). Le 1</w:t>
      </w:r>
      <w:r w:rsidR="0093676D" w:rsidRPr="00CB4F2E">
        <w:rPr>
          <w:vertAlign w:val="superscript"/>
        </w:rPr>
        <w:t>er</w:t>
      </w:r>
      <w:r w:rsidR="0093676D" w:rsidRPr="00CB4F2E">
        <w:t xml:space="preserve"> en 1976, le 2</w:t>
      </w:r>
      <w:r w:rsidR="0093676D" w:rsidRPr="00CB4F2E">
        <w:rPr>
          <w:vertAlign w:val="superscript"/>
        </w:rPr>
        <w:t>ème</w:t>
      </w:r>
      <w:r w:rsidR="0093676D" w:rsidRPr="00CB4F2E">
        <w:t xml:space="preserve"> en 1987 et le 3</w:t>
      </w:r>
      <w:r w:rsidR="0093676D" w:rsidRPr="00CB4F2E">
        <w:rPr>
          <w:vertAlign w:val="superscript"/>
        </w:rPr>
        <w:t>ème</w:t>
      </w:r>
      <w:r w:rsidR="0093676D" w:rsidRPr="00CB4F2E">
        <w:t xml:space="preserve"> en 2005. Les résultats de ce dernier RGPH indiquaient que la population du Cameroun était de 17 463 836 habitants dont 8 831 800 femmes et 8 632 036 hommes, soit un rapport de masculinité de 98 hommes pour 100 femmes. Les femmes représentaient 50,6 % de la population et les hommes 49,4 %. La population féminine était encore plus importante en milieu rural (51,3 %) qu’en milieu urbain (49.7). </w:t>
      </w:r>
    </w:p>
    <w:p w14:paraId="39413DFB" w14:textId="56B62348" w:rsidR="0093676D" w:rsidRPr="00CB4F2E" w:rsidRDefault="00DE6CF3" w:rsidP="00EE7250">
      <w:pPr>
        <w:pStyle w:val="H4G"/>
      </w:pPr>
      <w:bookmarkStart w:id="9" w:name="_Toc210646296"/>
      <w:r>
        <w:tab/>
      </w:r>
      <w:r>
        <w:tab/>
      </w:r>
      <w:r w:rsidR="0093676D" w:rsidRPr="00CB4F2E">
        <w:t>La croissance, la répartition et la structure de la population</w:t>
      </w:r>
      <w:bookmarkEnd w:id="9"/>
      <w:r w:rsidR="0093676D" w:rsidRPr="00CB4F2E">
        <w:t xml:space="preserve"> </w:t>
      </w:r>
    </w:p>
    <w:p w14:paraId="16F38833" w14:textId="59CCD4CC" w:rsidR="0093676D" w:rsidRPr="00CB4F2E" w:rsidRDefault="00C959F9" w:rsidP="00C959F9">
      <w:pPr>
        <w:pStyle w:val="SingleTxtG"/>
      </w:pPr>
      <w:r w:rsidRPr="00CB4F2E">
        <w:rPr>
          <w:bCs/>
        </w:rPr>
        <w:t>9.</w:t>
      </w:r>
      <w:r w:rsidRPr="00CB4F2E">
        <w:rPr>
          <w:bCs/>
        </w:rPr>
        <w:tab/>
      </w:r>
      <w:r w:rsidR="0093676D" w:rsidRPr="00CB4F2E">
        <w:t>Le profil de la population camerounaise met en lumière des enjeux démographiques importants, à savoir une croissance démographique élevée et une population essentiellement jeune.</w:t>
      </w:r>
    </w:p>
    <w:p w14:paraId="3F44165B" w14:textId="01EF70F3" w:rsidR="0093676D" w:rsidRPr="00CB4F2E" w:rsidRDefault="00C959F9" w:rsidP="00C959F9">
      <w:pPr>
        <w:pStyle w:val="SingleTxtG"/>
      </w:pPr>
      <w:r w:rsidRPr="00CB4F2E">
        <w:rPr>
          <w:bCs/>
        </w:rPr>
        <w:t>10.</w:t>
      </w:r>
      <w:r w:rsidRPr="00CB4F2E">
        <w:rPr>
          <w:bCs/>
        </w:rPr>
        <w:tab/>
      </w:r>
      <w:r w:rsidR="0093676D" w:rsidRPr="00CB4F2E">
        <w:t xml:space="preserve">De 2,8% entre 1987 et 2005, le taux d’accroissement de la population était estimé à 2,54% en 2024. Les projections estimaient la population à 29 442 327 en 2025, l’Extrême-Nord étant la Région la plus peuplée (5 499 114 habitants dont 2 730 991 femmes) et la Région du Sud la moins peuplée (885 738 habitants dont 454 584 femmes) d’une part et d’autre part, Yaoundé (3 762 929 habitants dont 1 883 494 femmes) et Douala (3 816 533 habitants dont 1 910 179 femmes) étant les villes les plus peuplées. </w:t>
      </w:r>
    </w:p>
    <w:p w14:paraId="3A90D642" w14:textId="0549F959" w:rsidR="0093676D" w:rsidRPr="00CB4F2E" w:rsidRDefault="00C959F9" w:rsidP="00C959F9">
      <w:pPr>
        <w:pStyle w:val="SingleTxtG"/>
      </w:pPr>
      <w:r w:rsidRPr="00CB4F2E">
        <w:rPr>
          <w:bCs/>
        </w:rPr>
        <w:t>11.</w:t>
      </w:r>
      <w:r w:rsidRPr="00CB4F2E">
        <w:rPr>
          <w:bCs/>
        </w:rPr>
        <w:tab/>
      </w:r>
      <w:r w:rsidR="0093676D" w:rsidRPr="00CB4F2E">
        <w:t>Des estimations remontant à 2019,</w:t>
      </w:r>
      <w:r w:rsidR="0093676D" w:rsidRPr="00CB4F2E">
        <w:rPr>
          <w:b/>
          <w:bCs/>
        </w:rPr>
        <w:t xml:space="preserve"> </w:t>
      </w:r>
      <w:r w:rsidR="0093676D" w:rsidRPr="00CB4F2E">
        <w:t>plus de la moitié de la population du Cameroun avait moins de 20 ans, la population de moins de 15 ans représentait 42,5% de l'ensemble et la population de 65 ans ou plus s'élevait à 3,6%.</w:t>
      </w:r>
    </w:p>
    <w:p w14:paraId="62F9D7B6" w14:textId="039EFC84" w:rsidR="0093676D" w:rsidRPr="00CB4F2E" w:rsidRDefault="00C959F9" w:rsidP="00C959F9">
      <w:pPr>
        <w:pStyle w:val="SingleTxtG"/>
      </w:pPr>
      <w:r w:rsidRPr="00CB4F2E">
        <w:rPr>
          <w:bCs/>
        </w:rPr>
        <w:t>12.</w:t>
      </w:r>
      <w:r w:rsidRPr="00CB4F2E">
        <w:rPr>
          <w:bCs/>
        </w:rPr>
        <w:tab/>
      </w:r>
      <w:r w:rsidR="0093676D" w:rsidRPr="00CB4F2E">
        <w:t>La population urbaine a connu un essor remarquable. Le taux d’urbanisation qui était de 48,8 % en 2005 est passé à 59 % en 2023. Le Cameroun connaît une urbanisation rapide, exacerbée par l’exode rural</w:t>
      </w:r>
      <w:r w:rsidR="0093676D" w:rsidRPr="00CB4F2E">
        <w:rPr>
          <w:u w:val="single"/>
        </w:rPr>
        <w:t xml:space="preserve"> </w:t>
      </w:r>
      <w:r w:rsidR="0093676D" w:rsidRPr="00CB4F2E">
        <w:t>et une croissance démographique galopante. Il comptait 312 villes en 2017 dont 76 villes de plus de 10 000 habitants. Les 2 plus grandes villes sont Douala et Yaoundé.</w:t>
      </w:r>
      <w:r w:rsidR="0093676D" w:rsidRPr="00CB4F2E">
        <w:rPr>
          <w:b/>
        </w:rPr>
        <w:t xml:space="preserve"> </w:t>
      </w:r>
      <w:r w:rsidR="0093676D" w:rsidRPr="00CB4F2E">
        <w:t xml:space="preserve">En 2025, le Cameroun comptait 10 Régions, 14 communautés urbaines et 360 communes. </w:t>
      </w:r>
    </w:p>
    <w:p w14:paraId="04F8047E" w14:textId="1F0450DD" w:rsidR="0093676D" w:rsidRPr="00CB4F2E" w:rsidRDefault="00C959F9" w:rsidP="00C959F9">
      <w:pPr>
        <w:pStyle w:val="SingleTxtG"/>
      </w:pPr>
      <w:r w:rsidRPr="00CB4F2E">
        <w:rPr>
          <w:bCs/>
        </w:rPr>
        <w:lastRenderedPageBreak/>
        <w:t>13.</w:t>
      </w:r>
      <w:r w:rsidRPr="00CB4F2E">
        <w:rPr>
          <w:bCs/>
        </w:rPr>
        <w:tab/>
      </w:r>
      <w:r w:rsidR="0093676D" w:rsidRPr="00CB4F2E">
        <w:t>La population du Cameroun est inégalement répartie sur le territoire national. Sa densité moyenne était estimée en 2024 à 6 126 habitants au km</w:t>
      </w:r>
      <w:r w:rsidR="0093676D" w:rsidRPr="00CB4F2E">
        <w:rPr>
          <w:vertAlign w:val="superscript"/>
        </w:rPr>
        <w:t>2</w:t>
      </w:r>
      <w:r w:rsidR="0093676D" w:rsidRPr="00CB4F2E">
        <w:t>. Les densités les plus fortes sont observées dans les Régions du Littoral (141,5 habitants au km</w:t>
      </w:r>
      <w:r w:rsidR="0093676D" w:rsidRPr="00CB4F2E">
        <w:rPr>
          <w:vertAlign w:val="superscript"/>
        </w:rPr>
        <w:t>2</w:t>
      </w:r>
      <w:r w:rsidR="0093676D" w:rsidRPr="00CB4F2E">
        <w:t>), de l’Ouest (128,5 habitants au km</w:t>
      </w:r>
      <w:r w:rsidR="0093676D" w:rsidRPr="00CB4F2E">
        <w:rPr>
          <w:vertAlign w:val="superscript"/>
        </w:rPr>
        <w:t>2</w:t>
      </w:r>
      <w:r w:rsidR="0093676D" w:rsidRPr="00CB4F2E">
        <w:t>), du Nord-Ouest (104,3 habitants au km</w:t>
      </w:r>
      <w:r w:rsidR="0093676D" w:rsidRPr="00CB4F2E">
        <w:rPr>
          <w:vertAlign w:val="superscript"/>
        </w:rPr>
        <w:t>2</w:t>
      </w:r>
      <w:r w:rsidR="0093676D" w:rsidRPr="00CB4F2E">
        <w:t>) et de l’Extrême-Nord (101,6 habitants au km</w:t>
      </w:r>
      <w:r w:rsidR="0093676D" w:rsidRPr="00CB4F2E">
        <w:rPr>
          <w:vertAlign w:val="superscript"/>
        </w:rPr>
        <w:t>2</w:t>
      </w:r>
      <w:r w:rsidR="0093676D" w:rsidRPr="00CB4F2E">
        <w:t>). Par contre, les Régions de faibles densités sont celles de l’Est (7,4 habitants au km</w:t>
      </w:r>
      <w:r w:rsidR="0093676D" w:rsidRPr="00CB4F2E">
        <w:rPr>
          <w:vertAlign w:val="superscript"/>
        </w:rPr>
        <w:t>2</w:t>
      </w:r>
      <w:r w:rsidR="0093676D" w:rsidRPr="00CB4F2E">
        <w:t>), du Sud (14,7 habitants au km</w:t>
      </w:r>
      <w:r w:rsidR="0093676D" w:rsidRPr="00CB4F2E">
        <w:rPr>
          <w:vertAlign w:val="superscript"/>
        </w:rPr>
        <w:t>2</w:t>
      </w:r>
      <w:r w:rsidR="0093676D" w:rsidRPr="00CB4F2E">
        <w:t>) et de l’Adamaoua (15,9 habitants au km</w:t>
      </w:r>
      <w:r w:rsidR="0093676D" w:rsidRPr="00CB4F2E">
        <w:rPr>
          <w:vertAlign w:val="superscript"/>
        </w:rPr>
        <w:t>2</w:t>
      </w:r>
      <w:r w:rsidR="0093676D" w:rsidRPr="00CB4F2E">
        <w:t>).</w:t>
      </w:r>
    </w:p>
    <w:p w14:paraId="39D1086D" w14:textId="786436D4" w:rsidR="0093676D" w:rsidRPr="00CB4F2E" w:rsidRDefault="00EE7250" w:rsidP="00EE7250">
      <w:pPr>
        <w:pStyle w:val="H4G"/>
      </w:pPr>
      <w:bookmarkStart w:id="10" w:name="_Toc210646297"/>
      <w:r>
        <w:tab/>
      </w:r>
      <w:r>
        <w:tab/>
      </w:r>
      <w:r w:rsidR="0093676D" w:rsidRPr="00CB4F2E">
        <w:t>La natalité</w:t>
      </w:r>
      <w:bookmarkEnd w:id="10"/>
    </w:p>
    <w:p w14:paraId="233D0F59" w14:textId="2A51CBCD" w:rsidR="0093676D" w:rsidRPr="00CB4F2E" w:rsidRDefault="00C959F9" w:rsidP="00C959F9">
      <w:pPr>
        <w:pStyle w:val="SingleTxtG"/>
      </w:pPr>
      <w:r w:rsidRPr="00CB4F2E">
        <w:rPr>
          <w:bCs/>
        </w:rPr>
        <w:t>14.</w:t>
      </w:r>
      <w:r w:rsidRPr="00CB4F2E">
        <w:rPr>
          <w:bCs/>
        </w:rPr>
        <w:tab/>
      </w:r>
      <w:r w:rsidR="0093676D" w:rsidRPr="00CB4F2E">
        <w:t xml:space="preserve">Le taux brut de natalité est passé de 39% en 1991 à 36,8 en 2024. En 2024, l’indice synthétique de fécondité (ISF) était estimé à 4,8 enfants par femme. Il était nettement plus élevé en milieu rural (6enfants par femme) qu’en milieu urbain (3,8 enfants par femme), plus élevé dans les régions du Nord (ISF de 6,2) et de l’Extrême-Nord (5,9), et plus faible dans les régions du Littoral (4,3) et du Sud (4,1). Les villes de Yaoundé (3,5) et de Douala (2,8) enregistraient les niveaux les plus faibles. </w:t>
      </w:r>
    </w:p>
    <w:p w14:paraId="41F4F79F" w14:textId="32F2DE95" w:rsidR="0093676D" w:rsidRPr="00CB4F2E" w:rsidRDefault="00C959F9" w:rsidP="00C959F9">
      <w:pPr>
        <w:pStyle w:val="SingleTxtG"/>
      </w:pPr>
      <w:r w:rsidRPr="00CB4F2E">
        <w:rPr>
          <w:bCs/>
        </w:rPr>
        <w:t>15.</w:t>
      </w:r>
      <w:r w:rsidRPr="00CB4F2E">
        <w:rPr>
          <w:bCs/>
        </w:rPr>
        <w:tab/>
      </w:r>
      <w:r w:rsidR="0093676D" w:rsidRPr="00CB4F2E">
        <w:t>Le taux global de fécondité générale, qui mesure le nombre annuel moyen de naissances vivantes pour 1 000 femmes en âge de procréer, est estimé à 170 au Cameroun. Ce taux est plus élevé en milieu rural (211 ‰) qu’en milieu urbain (137 ‰).</w:t>
      </w:r>
    </w:p>
    <w:p w14:paraId="6DCC5AF6" w14:textId="30E39391" w:rsidR="0093676D" w:rsidRPr="00CB4F2E" w:rsidRDefault="00EE7250" w:rsidP="00EE7250">
      <w:pPr>
        <w:pStyle w:val="H4G"/>
      </w:pPr>
      <w:bookmarkStart w:id="11" w:name="_Toc210646298"/>
      <w:r>
        <w:tab/>
      </w:r>
      <w:r>
        <w:tab/>
      </w:r>
      <w:r w:rsidR="0093676D" w:rsidRPr="00CB4F2E">
        <w:t>Le taux de mortalité et l’espérance de vie</w:t>
      </w:r>
      <w:bookmarkEnd w:id="11"/>
    </w:p>
    <w:p w14:paraId="53CA8527" w14:textId="36388FD6" w:rsidR="0093676D" w:rsidRPr="00CB4F2E" w:rsidRDefault="00C959F9" w:rsidP="00C959F9">
      <w:pPr>
        <w:pStyle w:val="SingleTxtG"/>
      </w:pPr>
      <w:r w:rsidRPr="00CB4F2E">
        <w:rPr>
          <w:bCs/>
        </w:rPr>
        <w:t>16.</w:t>
      </w:r>
      <w:r w:rsidRPr="00CB4F2E">
        <w:rPr>
          <w:bCs/>
        </w:rPr>
        <w:tab/>
      </w:r>
      <w:r w:rsidR="0093676D" w:rsidRPr="00CB4F2E">
        <w:t>L’espérance de vie</w:t>
      </w:r>
      <w:r w:rsidR="0093676D" w:rsidRPr="00CB4F2E">
        <w:rPr>
          <w:b/>
          <w:bCs/>
        </w:rPr>
        <w:t xml:space="preserve"> </w:t>
      </w:r>
      <w:r w:rsidR="0093676D" w:rsidRPr="00CB4F2E">
        <w:t xml:space="preserve">à la naissance est passée de 51,4 ans en 2009 à 56 ans en 2017 et à </w:t>
      </w:r>
      <w:r w:rsidR="0093676D" w:rsidRPr="00CB4F2E">
        <w:rPr>
          <w:rFonts w:ascii="Tahoma" w:hAnsi="Tahoma" w:cs="Tahoma"/>
        </w:rPr>
        <w:t>﻿</w:t>
      </w:r>
      <w:r w:rsidR="0093676D" w:rsidRPr="00CB4F2E">
        <w:t xml:space="preserve">61,9 ans en 2023. Les principales causes de décès étaient respectivement le paludisme, les maladies liées au VIH, la malnutrition </w:t>
      </w:r>
      <w:proofErr w:type="spellStart"/>
      <w:r w:rsidR="0093676D" w:rsidRPr="00CB4F2E">
        <w:t>aigüe</w:t>
      </w:r>
      <w:proofErr w:type="spellEnd"/>
      <w:r w:rsidR="0093676D" w:rsidRPr="00CB4F2E">
        <w:t xml:space="preserve"> et les maladies intestinales infectieuses.</w:t>
      </w:r>
    </w:p>
    <w:p w14:paraId="1B6317B1" w14:textId="3C2234D2" w:rsidR="0093676D" w:rsidRPr="00CB4F2E" w:rsidRDefault="00712132" w:rsidP="00712132">
      <w:pPr>
        <w:pStyle w:val="H4G"/>
      </w:pPr>
      <w:bookmarkStart w:id="12" w:name="_Toc210646299"/>
      <w:r>
        <w:tab/>
      </w:r>
      <w:r>
        <w:tab/>
      </w:r>
      <w:r w:rsidR="0093676D" w:rsidRPr="00CB4F2E">
        <w:t>Les personnes déplacées internes</w:t>
      </w:r>
      <w:bookmarkEnd w:id="12"/>
    </w:p>
    <w:p w14:paraId="439091B4" w14:textId="57ECE5CB" w:rsidR="0093676D" w:rsidRPr="00CB4F2E" w:rsidRDefault="00C959F9" w:rsidP="00C959F9">
      <w:pPr>
        <w:pStyle w:val="SingleTxtG"/>
      </w:pPr>
      <w:r w:rsidRPr="00CB4F2E">
        <w:rPr>
          <w:bCs/>
        </w:rPr>
        <w:t>17.</w:t>
      </w:r>
      <w:r w:rsidRPr="00CB4F2E">
        <w:rPr>
          <w:bCs/>
        </w:rPr>
        <w:tab/>
      </w:r>
      <w:r w:rsidR="0093676D" w:rsidRPr="00CB4F2E">
        <w:t>Les principales causes des déplacements internes sont les attaques terroristes des groupes armés dans les régions du Nord-Ouest et du Sud-Ouest et de Boko-Haram dans la Région de l’Extrême-Nord, ainsi que des catastrophes naturelles. Au 31 décembre 2024, le Cameroun comptait 1 036 775 personnes déplacées internes (PDI) dont 61 % d’enfants.</w:t>
      </w:r>
    </w:p>
    <w:p w14:paraId="1C328D45" w14:textId="2DA8D2D7" w:rsidR="0093676D" w:rsidRPr="00CB4F2E" w:rsidRDefault="00712132" w:rsidP="00712132">
      <w:pPr>
        <w:pStyle w:val="H4G"/>
      </w:pPr>
      <w:bookmarkStart w:id="13" w:name="_Toc210646300"/>
      <w:r>
        <w:tab/>
      </w:r>
      <w:r>
        <w:tab/>
      </w:r>
      <w:r w:rsidR="0093676D" w:rsidRPr="00CB4F2E">
        <w:t>La population étrangère</w:t>
      </w:r>
      <w:bookmarkEnd w:id="13"/>
    </w:p>
    <w:p w14:paraId="5A62529A" w14:textId="0D42D4DD" w:rsidR="0093676D" w:rsidRPr="00CB4F2E" w:rsidRDefault="00C959F9" w:rsidP="00C959F9">
      <w:pPr>
        <w:pStyle w:val="SingleTxtG"/>
      </w:pPr>
      <w:r w:rsidRPr="00CB4F2E">
        <w:rPr>
          <w:bCs/>
        </w:rPr>
        <w:t>18.</w:t>
      </w:r>
      <w:r w:rsidRPr="00CB4F2E">
        <w:rPr>
          <w:bCs/>
        </w:rPr>
        <w:tab/>
      </w:r>
      <w:r w:rsidR="0093676D" w:rsidRPr="00CB4F2E">
        <w:t>Hors le cas des déplacements non volontaires, la population étrangère est principalement constituée d’Africains majoritairement constitués de Nigérians, Tchadiens et Centrafricains. La population étrangère Européenne et Asiatique est essentiellement constituée de Français, Chinois, Italiens, Allemands et Britanniques.</w:t>
      </w:r>
    </w:p>
    <w:p w14:paraId="09D7580A" w14:textId="114E3D2E" w:rsidR="0093676D" w:rsidRPr="00CB4F2E" w:rsidRDefault="00C959F9" w:rsidP="00C959F9">
      <w:pPr>
        <w:pStyle w:val="SingleTxtG"/>
      </w:pPr>
      <w:r w:rsidRPr="00CB4F2E">
        <w:rPr>
          <w:bCs/>
        </w:rPr>
        <w:t>19.</w:t>
      </w:r>
      <w:r w:rsidRPr="00CB4F2E">
        <w:rPr>
          <w:bCs/>
        </w:rPr>
        <w:tab/>
      </w:r>
      <w:r w:rsidR="0093676D" w:rsidRPr="00CB4F2E">
        <w:t>S’agissant des déplacements non volontaires,</w:t>
      </w:r>
      <w:r w:rsidR="0093676D" w:rsidRPr="00CB4F2E">
        <w:rPr>
          <w:lang w:val="fr-FR"/>
        </w:rPr>
        <w:t xml:space="preserve"> l</w:t>
      </w:r>
      <w:r w:rsidR="0093676D" w:rsidRPr="00CB4F2E">
        <w:t>es activités terroristes de Boko Haram au Nigéria et dans les zones frontalières du Bassin du Lac Tchad, ainsi que les affrontements armés en la République Centrafricaine (RCA) ont provoqué l'arrivée d'un nombre élevé des réfugiés et de demandeurs d’asile au Cameroun. Au 31 décembre 2024, le Cameroun comptait 410 211 réfugiés (contre 474 294 en 2021, 436 397 en 2020 et 406 277 en 2019) dont 53% de femmes et filles ensemble 55% enfants, et 16 050 demandeurs d’asile. Au total, provenant de la République Centrafricaine, 75% de ces réfugiés et demandeurs d’asile étaient installés dans la Région de l’Est.</w:t>
      </w:r>
      <w:r w:rsidR="0027203C">
        <w:t xml:space="preserve"> </w:t>
      </w:r>
      <w:r w:rsidR="0093676D" w:rsidRPr="00CB4F2E">
        <w:t>Provenant du Nigeria, 24% des réfugiés et demandeurs étaient installés pour la plupart dans la Région de l’Adamaoua.</w:t>
      </w:r>
    </w:p>
    <w:p w14:paraId="25591E13" w14:textId="34E8CF3E" w:rsidR="0093676D" w:rsidRPr="00CB4F2E" w:rsidRDefault="00F971C2" w:rsidP="00EA62A5">
      <w:pPr>
        <w:pStyle w:val="H23G"/>
        <w:rPr>
          <w:i/>
        </w:rPr>
      </w:pPr>
      <w:bookmarkStart w:id="14" w:name="_Toc210209102"/>
      <w:bookmarkStart w:id="15" w:name="_Toc210646301"/>
      <w:r>
        <w:tab/>
      </w:r>
      <w:r w:rsidR="0093676D" w:rsidRPr="00CB4F2E">
        <w:t>D.</w:t>
      </w:r>
      <w:r w:rsidR="0027203C">
        <w:t xml:space="preserve"> </w:t>
      </w:r>
      <w:bookmarkStart w:id="16" w:name="_Toc180412483"/>
      <w:r w:rsidR="00EA62A5">
        <w:tab/>
      </w:r>
      <w:r w:rsidR="0093676D" w:rsidRPr="00CB4F2E">
        <w:t>Les données sociales</w:t>
      </w:r>
      <w:bookmarkEnd w:id="14"/>
      <w:bookmarkEnd w:id="15"/>
      <w:bookmarkEnd w:id="16"/>
    </w:p>
    <w:p w14:paraId="66E37958" w14:textId="2C276275" w:rsidR="0093676D" w:rsidRPr="00CB4F2E" w:rsidRDefault="00F971C2" w:rsidP="00F971C2">
      <w:pPr>
        <w:pStyle w:val="H4G"/>
      </w:pPr>
      <w:bookmarkStart w:id="17" w:name="_Toc210646302"/>
      <w:r>
        <w:tab/>
      </w:r>
      <w:r>
        <w:tab/>
      </w:r>
      <w:r w:rsidR="0093676D" w:rsidRPr="00CB4F2E">
        <w:t>Les ménages et les familles</w:t>
      </w:r>
      <w:bookmarkEnd w:id="17"/>
    </w:p>
    <w:p w14:paraId="3FB318E2" w14:textId="38933D89" w:rsidR="0093676D" w:rsidRPr="00CB4F2E" w:rsidRDefault="00C959F9" w:rsidP="00C959F9">
      <w:pPr>
        <w:pStyle w:val="SingleTxtG"/>
      </w:pPr>
      <w:r w:rsidRPr="00CB4F2E">
        <w:rPr>
          <w:bCs/>
        </w:rPr>
        <w:t>20.</w:t>
      </w:r>
      <w:r w:rsidRPr="00CB4F2E">
        <w:rPr>
          <w:bCs/>
        </w:rPr>
        <w:tab/>
      </w:r>
      <w:r w:rsidR="0093676D" w:rsidRPr="00CB4F2E">
        <w:t>La taille moyenne des ménages qui était de 5,9 en 1991 se situait à 4,6 en 2021. Alors que la légère majorité de la population était des femmes, la majorité des chefs de ménages était des hommes. En 2021, la proportion de femmes cheffes de ménage était de 29,6 %. En milieu urbain, environ 30 % des ménages et 26 % dans les zones rurales avaient à leur tête une femme. Les ménages dirigés par les hommes avaient en moyenne une taille plus élevée (4,9 personnes) que ceux dirigés par les femmes (3,9 personnes). Par ailleurs, 14,2% de membres du ménage n’avaient pas vécu de manière continue dans leur localité de résidence.</w:t>
      </w:r>
    </w:p>
    <w:p w14:paraId="54CE6FDD" w14:textId="490E4718" w:rsidR="0093676D" w:rsidRPr="00CB4F2E" w:rsidRDefault="00F971C2" w:rsidP="00F971C2">
      <w:pPr>
        <w:pStyle w:val="H4G"/>
      </w:pPr>
      <w:bookmarkStart w:id="18" w:name="_Toc210646303"/>
      <w:r>
        <w:lastRenderedPageBreak/>
        <w:tab/>
      </w:r>
      <w:r>
        <w:tab/>
      </w:r>
      <w:r w:rsidR="0093676D" w:rsidRPr="00CB4F2E">
        <w:t>La santé</w:t>
      </w:r>
      <w:bookmarkEnd w:id="18"/>
    </w:p>
    <w:p w14:paraId="0EA6625B" w14:textId="0753E560" w:rsidR="0093676D" w:rsidRPr="00CB4F2E" w:rsidRDefault="00C959F9" w:rsidP="00C959F9">
      <w:pPr>
        <w:pStyle w:val="SingleTxtG"/>
      </w:pPr>
      <w:r w:rsidRPr="00CB4F2E">
        <w:rPr>
          <w:bCs/>
        </w:rPr>
        <w:t>21.</w:t>
      </w:r>
      <w:r w:rsidRPr="00CB4F2E">
        <w:rPr>
          <w:bCs/>
        </w:rPr>
        <w:tab/>
      </w:r>
      <w:r w:rsidR="0093676D" w:rsidRPr="00CB4F2E">
        <w:t>Sous l’autorité du Ministère de la Santé Publique-MINSANTE (</w:t>
      </w:r>
      <w:hyperlink r:id="rId11" w:history="1">
        <w:r w:rsidR="0093676D" w:rsidRPr="00CB4F2E">
          <w:rPr>
            <w:rStyle w:val="Hyperlink"/>
          </w:rPr>
          <w:t>https://www.minsante.cm/</w:t>
        </w:r>
      </w:hyperlink>
      <w:r w:rsidR="0093676D" w:rsidRPr="00CB4F2E">
        <w:t xml:space="preserve">), le secteur de la santé au Cameroun est structuré en 3 sous-secteurs : un sous-secteur public, un sous-secteur privé et un sous-secteur traditionnel. </w:t>
      </w:r>
    </w:p>
    <w:p w14:paraId="5200631B" w14:textId="158EE552" w:rsidR="0093676D" w:rsidRPr="00CB4F2E" w:rsidRDefault="00C959F9" w:rsidP="00C959F9">
      <w:pPr>
        <w:pStyle w:val="SingleTxtG"/>
      </w:pPr>
      <w:r w:rsidRPr="00CB4F2E">
        <w:rPr>
          <w:bCs/>
        </w:rPr>
        <w:t>22.</w:t>
      </w:r>
      <w:r w:rsidRPr="00CB4F2E">
        <w:rPr>
          <w:bCs/>
        </w:rPr>
        <w:tab/>
      </w:r>
      <w:r w:rsidR="0093676D" w:rsidRPr="00CB4F2E">
        <w:t>En termes de capital humain, en 2024, le Cameroun comptait 306 chirurgiens-</w:t>
      </w:r>
      <w:r w:rsidR="00340B5B">
        <w:t>d</w:t>
      </w:r>
      <w:r w:rsidR="0093676D" w:rsidRPr="00CB4F2E">
        <w:t>entistes</w:t>
      </w:r>
      <w:r w:rsidR="0027203C">
        <w:t xml:space="preserve"> </w:t>
      </w:r>
      <w:r w:rsidR="0093676D" w:rsidRPr="00CB4F2E">
        <w:t>(175 femmes et 131 hommes); 12 741 infirmiers (7 590 femmes et 5 151 hommes); 1 172 médecins spécialistes (551 femmes, 621 hommes); 2 792 médecins généralistes (1 326 femmes et 1 466 hommes)</w:t>
      </w:r>
      <w:r w:rsidR="0027203C">
        <w:t>;</w:t>
      </w:r>
      <w:r w:rsidR="0093676D" w:rsidRPr="00CB4F2E">
        <w:t xml:space="preserve"> 902 sage-femmes (779 femmes et 123 hommes)</w:t>
      </w:r>
      <w:r w:rsidR="0027203C">
        <w:t>;</w:t>
      </w:r>
      <w:r w:rsidR="0093676D" w:rsidRPr="00CB4F2E">
        <w:t xml:space="preserve"> 2 415 techniciens médico-sanitaires (1 557 femmes et 858 hommes).</w:t>
      </w:r>
      <w:r w:rsidR="0093676D" w:rsidRPr="00CB4F2E">
        <w:rPr>
          <w:b/>
          <w:bCs/>
        </w:rPr>
        <w:t xml:space="preserve"> </w:t>
      </w:r>
      <w:r w:rsidR="0093676D" w:rsidRPr="00CB4F2E">
        <w:t>Pour renforcer ces effectifs, le Président de la République a, en décembre 2024, instruit le recrutement spécial de 9 944 personnels de santé sur une période de 5 ans.</w:t>
      </w:r>
    </w:p>
    <w:p w14:paraId="79165035" w14:textId="4A012B1C" w:rsidR="0093676D" w:rsidRPr="00CB4F2E" w:rsidRDefault="00C959F9" w:rsidP="00C959F9">
      <w:pPr>
        <w:pStyle w:val="SingleTxtG"/>
      </w:pPr>
      <w:r w:rsidRPr="00CB4F2E">
        <w:rPr>
          <w:bCs/>
        </w:rPr>
        <w:t>23.</w:t>
      </w:r>
      <w:r w:rsidRPr="00CB4F2E">
        <w:rPr>
          <w:bCs/>
        </w:rPr>
        <w:tab/>
      </w:r>
      <w:r w:rsidR="0093676D" w:rsidRPr="00CB4F2E">
        <w:t>En janvier 2024, le Cameroun comptait 7 hôpitaux de 1</w:t>
      </w:r>
      <w:r w:rsidR="0093676D" w:rsidRPr="00CB4F2E">
        <w:rPr>
          <w:vertAlign w:val="superscript"/>
        </w:rPr>
        <w:t>ère</w:t>
      </w:r>
      <w:r w:rsidR="0093676D" w:rsidRPr="00CB4F2E">
        <w:t xml:space="preserve"> catégorie pour des soins de référence ultraspécialisés, 13 hôpitaux de 2</w:t>
      </w:r>
      <w:r w:rsidR="0093676D" w:rsidRPr="00CB4F2E">
        <w:rPr>
          <w:vertAlign w:val="superscript"/>
        </w:rPr>
        <w:t>ème</w:t>
      </w:r>
      <w:r w:rsidR="0093676D" w:rsidRPr="00CB4F2E">
        <w:t xml:space="preserve"> catégorie, 18 hôpitaux régionaux (3</w:t>
      </w:r>
      <w:r w:rsidR="0093676D" w:rsidRPr="00CB4F2E">
        <w:rPr>
          <w:vertAlign w:val="superscript"/>
        </w:rPr>
        <w:t>ème</w:t>
      </w:r>
      <w:r w:rsidR="0093676D" w:rsidRPr="00CB4F2E">
        <w:t xml:space="preserve"> catégorie), 166 hôpitaux de District (4</w:t>
      </w:r>
      <w:r w:rsidR="0093676D" w:rsidRPr="00CB4F2E">
        <w:rPr>
          <w:vertAlign w:val="superscript"/>
        </w:rPr>
        <w:t>ème</w:t>
      </w:r>
      <w:r w:rsidR="0093676D" w:rsidRPr="00CB4F2E">
        <w:t xml:space="preserve"> catégorie), 295 Centres Médicaux d'Arrondissement (5</w:t>
      </w:r>
      <w:r w:rsidR="0093676D" w:rsidRPr="00CB4F2E">
        <w:rPr>
          <w:vertAlign w:val="superscript"/>
        </w:rPr>
        <w:t>ème</w:t>
      </w:r>
      <w:r w:rsidR="0093676D" w:rsidRPr="00CB4F2E">
        <w:t xml:space="preserve"> catégorie) et 2 300 Centres de Santé Intégrés (6</w:t>
      </w:r>
      <w:r w:rsidR="0093676D" w:rsidRPr="00CB4F2E">
        <w:rPr>
          <w:vertAlign w:val="superscript"/>
        </w:rPr>
        <w:t>ème</w:t>
      </w:r>
      <w:r w:rsidR="0093676D" w:rsidRPr="00CB4F2E">
        <w:t xml:space="preserve"> catégorie). </w:t>
      </w:r>
      <w:r w:rsidR="0093676D" w:rsidRPr="00CF37AD">
        <w:rPr>
          <w:rStyle w:val="FootnoteReference"/>
        </w:rPr>
        <w:footnoteReference w:id="12"/>
      </w:r>
    </w:p>
    <w:p w14:paraId="49DDEE33" w14:textId="66FB1929" w:rsidR="0093676D" w:rsidRPr="00CB4F2E" w:rsidRDefault="00C959F9" w:rsidP="00C959F9">
      <w:pPr>
        <w:pStyle w:val="SingleTxtG"/>
      </w:pPr>
      <w:r w:rsidRPr="00CB4F2E">
        <w:rPr>
          <w:bCs/>
        </w:rPr>
        <w:t>24.</w:t>
      </w:r>
      <w:r w:rsidRPr="00CB4F2E">
        <w:rPr>
          <w:bCs/>
        </w:rPr>
        <w:tab/>
      </w:r>
      <w:r w:rsidR="0093676D" w:rsidRPr="00CB4F2E">
        <w:t xml:space="preserve">Les investissements dans le domaine de la santé ont permis de se rapprocher de l’objectif du Gouvernement qui est de mettre à disposition les infrastructures sanitaires à tous les 5 km, permettant ainsi un accès plus facile aux soins et une plus grande diversité de ceux-ci. Sur le plan des équipements, les formations sanitaires sont munies de matériels médicaux de pointe et la généralisation de l'interconnexion de services à internet favorise la pratique de la télémédecine. La mise à niveau des plateaux techniques a ainsi permis d'accomplir des prouesses médicales au nombre desquelles : les transplantations rénales, la pose des implants péniens et de la hanche, la chirurgie à cœur battant, la neurochirurgie de la colonne vertébrale, entre autres. </w:t>
      </w:r>
    </w:p>
    <w:p w14:paraId="643402F8" w14:textId="68B79C7B" w:rsidR="0093676D" w:rsidRPr="00CB4F2E" w:rsidRDefault="00C959F9" w:rsidP="00C959F9">
      <w:pPr>
        <w:pStyle w:val="SingleTxtG"/>
        <w:rPr>
          <w:bCs/>
        </w:rPr>
      </w:pPr>
      <w:r w:rsidRPr="00CB4F2E">
        <w:rPr>
          <w:bCs/>
        </w:rPr>
        <w:t>25.</w:t>
      </w:r>
      <w:r w:rsidRPr="00CB4F2E">
        <w:rPr>
          <w:bCs/>
        </w:rPr>
        <w:tab/>
      </w:r>
      <w:r w:rsidR="0093676D" w:rsidRPr="00CB4F2E">
        <w:rPr>
          <w:bCs/>
        </w:rPr>
        <w:t xml:space="preserve">En 2024, le MINSANTE a lancé un programme de dotation de 71 hôpitaux en équipements </w:t>
      </w:r>
      <w:r w:rsidR="0093676D" w:rsidRPr="00B25820">
        <w:t>constitués</w:t>
      </w:r>
      <w:r w:rsidR="0093676D" w:rsidRPr="00CB4F2E">
        <w:rPr>
          <w:bCs/>
        </w:rPr>
        <w:t>, entre autres, des tabliers plombe, des valisettes de verre agitateur électromagnétique, d’appareils de radiologie retro-</w:t>
      </w:r>
      <w:proofErr w:type="spellStart"/>
      <w:r w:rsidR="0093676D" w:rsidRPr="00CB4F2E">
        <w:rPr>
          <w:bCs/>
        </w:rPr>
        <w:t>alveolaire</w:t>
      </w:r>
      <w:proofErr w:type="spellEnd"/>
      <w:r w:rsidR="0093676D" w:rsidRPr="00CB4F2E">
        <w:rPr>
          <w:bCs/>
        </w:rPr>
        <w:t>, d’auto-</w:t>
      </w:r>
      <w:proofErr w:type="spellStart"/>
      <w:r w:rsidR="0093676D" w:rsidRPr="00CB4F2E">
        <w:rPr>
          <w:bCs/>
        </w:rPr>
        <w:t>refractometre</w:t>
      </w:r>
      <w:proofErr w:type="spellEnd"/>
      <w:r w:rsidR="0093676D" w:rsidRPr="00CB4F2E">
        <w:rPr>
          <w:bCs/>
        </w:rPr>
        <w:t xml:space="preserve">, bain marie </w:t>
      </w:r>
      <w:proofErr w:type="spellStart"/>
      <w:r w:rsidR="0093676D" w:rsidRPr="00CB4F2E">
        <w:rPr>
          <w:bCs/>
        </w:rPr>
        <w:t>thermostate</w:t>
      </w:r>
      <w:proofErr w:type="spellEnd"/>
      <w:r w:rsidR="0093676D" w:rsidRPr="00CB4F2E">
        <w:rPr>
          <w:bCs/>
        </w:rPr>
        <w:t xml:space="preserve">, des chaises dentaires, des couveuses avec photothérapie, des détartreurs, des fauteuils dentaires, des lampes à fente, des micropipettes, des microscopes </w:t>
      </w:r>
      <w:proofErr w:type="spellStart"/>
      <w:r w:rsidR="0093676D" w:rsidRPr="00CB4F2E">
        <w:rPr>
          <w:bCs/>
        </w:rPr>
        <w:t>biniculaires</w:t>
      </w:r>
      <w:proofErr w:type="spellEnd"/>
      <w:r w:rsidR="0093676D" w:rsidRPr="00CB4F2E">
        <w:rPr>
          <w:bCs/>
        </w:rPr>
        <w:t xml:space="preserve">, des pèse-bébés, des spectrophotomètres, des tables chauffantes pour nouveau-né, </w:t>
      </w:r>
      <w:proofErr w:type="spellStart"/>
      <w:r w:rsidR="0093676D" w:rsidRPr="00CB4F2E">
        <w:rPr>
          <w:bCs/>
        </w:rPr>
        <w:t>thermoflash</w:t>
      </w:r>
      <w:proofErr w:type="spellEnd"/>
      <w:r w:rsidR="0093676D" w:rsidRPr="00CB4F2E">
        <w:rPr>
          <w:bCs/>
        </w:rPr>
        <w:t xml:space="preserve">, tonomètre, des turbines dentaires, etc. </w:t>
      </w:r>
    </w:p>
    <w:p w14:paraId="7A5C5D23" w14:textId="2090A932" w:rsidR="0093676D" w:rsidRPr="00CB4F2E" w:rsidRDefault="00C959F9" w:rsidP="00C959F9">
      <w:pPr>
        <w:pStyle w:val="SingleTxtG"/>
        <w:rPr>
          <w:bCs/>
        </w:rPr>
      </w:pPr>
      <w:r w:rsidRPr="00CB4F2E">
        <w:rPr>
          <w:bCs/>
        </w:rPr>
        <w:t>26.</w:t>
      </w:r>
      <w:r w:rsidRPr="00CB4F2E">
        <w:rPr>
          <w:bCs/>
        </w:rPr>
        <w:tab/>
      </w:r>
      <w:r w:rsidR="0093676D" w:rsidRPr="00CB4F2E">
        <w:rPr>
          <w:bCs/>
        </w:rPr>
        <w:t>Tout en accompagnant les unités locales de fabrication des produits pharmaceutiques, l’</w:t>
      </w:r>
      <w:proofErr w:type="spellStart"/>
      <w:r w:rsidR="0093676D" w:rsidRPr="00CB4F2E">
        <w:rPr>
          <w:bCs/>
        </w:rPr>
        <w:t>Etat</w:t>
      </w:r>
      <w:proofErr w:type="spellEnd"/>
      <w:r w:rsidR="0093676D" w:rsidRPr="00CB4F2E">
        <w:rPr>
          <w:bCs/>
        </w:rPr>
        <w:t xml:space="preserve"> a </w:t>
      </w:r>
      <w:r w:rsidR="0093676D" w:rsidRPr="00B25820">
        <w:t>renforcé</w:t>
      </w:r>
      <w:r w:rsidR="0093676D" w:rsidRPr="00CB4F2E">
        <w:rPr>
          <w:bCs/>
        </w:rPr>
        <w:t xml:space="preserve"> le cadre institutionnel par le biais du Décret n°</w:t>
      </w:r>
      <w:r w:rsidR="0093676D" w:rsidRPr="00CB4F2E">
        <w:rPr>
          <w:bCs/>
          <w:i/>
          <w:iCs/>
        </w:rPr>
        <w:t>2024</w:t>
      </w:r>
      <w:r w:rsidR="0093676D" w:rsidRPr="00CB4F2E">
        <w:rPr>
          <w:bCs/>
        </w:rPr>
        <w:t>/135 du 25 avril </w:t>
      </w:r>
      <w:r w:rsidR="0093676D" w:rsidRPr="00CB4F2E">
        <w:rPr>
          <w:bCs/>
          <w:i/>
          <w:iCs/>
        </w:rPr>
        <w:t>2024</w:t>
      </w:r>
      <w:r w:rsidR="0093676D" w:rsidRPr="00CB4F2E">
        <w:rPr>
          <w:bCs/>
        </w:rPr>
        <w:t> portant réorganisation de la Centrale Nationale d’Approvisionnement en </w:t>
      </w:r>
      <w:r w:rsidR="0093676D" w:rsidRPr="00CB4F2E">
        <w:rPr>
          <w:bCs/>
          <w:i/>
          <w:iCs/>
        </w:rPr>
        <w:t>Médicaments</w:t>
      </w:r>
      <w:r w:rsidR="0093676D" w:rsidRPr="00CB4F2E">
        <w:rPr>
          <w:bCs/>
        </w:rPr>
        <w:t> et consommables médicaux essentiel (www.cename.org).</w:t>
      </w:r>
    </w:p>
    <w:p w14:paraId="4C916FC6" w14:textId="2CE321B3" w:rsidR="0093676D" w:rsidRPr="00CB4F2E" w:rsidRDefault="00C959F9" w:rsidP="00C959F9">
      <w:pPr>
        <w:pStyle w:val="SingleTxtG"/>
      </w:pPr>
      <w:r w:rsidRPr="00CB4F2E">
        <w:rPr>
          <w:bCs/>
        </w:rPr>
        <w:t>27.</w:t>
      </w:r>
      <w:r w:rsidRPr="00CB4F2E">
        <w:rPr>
          <w:bCs/>
        </w:rPr>
        <w:tab/>
      </w:r>
      <w:r w:rsidR="0093676D" w:rsidRPr="00CB4F2E">
        <w:t>Sur le plan stratégique, le Cameroun s’est doté, entre autres, d’une Stratégie sectorielle de santé 2016-2027 et d’un Plan stratégique national de la santé communautaire 2021-2025. Des documents stratégiques pour des maladies telles que le paludisme, le VIH/Sida, la tuberculose, les hépatites virales, la filariose et l’onchocercose, ont été adoptés.</w:t>
      </w:r>
    </w:p>
    <w:p w14:paraId="0279E9C8" w14:textId="46D9CEE6" w:rsidR="0093676D" w:rsidRPr="00CB4F2E" w:rsidRDefault="00C959F9" w:rsidP="00C959F9">
      <w:pPr>
        <w:pStyle w:val="SingleTxtG"/>
        <w:rPr>
          <w:bCs/>
          <w:lang w:val="fr-FR"/>
        </w:rPr>
      </w:pPr>
      <w:r w:rsidRPr="00CB4F2E">
        <w:rPr>
          <w:bCs/>
          <w:lang w:val="fr-FR"/>
        </w:rPr>
        <w:t>28.</w:t>
      </w:r>
      <w:r w:rsidRPr="00CB4F2E">
        <w:rPr>
          <w:bCs/>
          <w:lang w:val="fr-FR"/>
        </w:rPr>
        <w:tab/>
      </w:r>
      <w:r w:rsidR="0093676D" w:rsidRPr="00CB4F2E">
        <w:rPr>
          <w:lang w:val="fr-FR"/>
        </w:rPr>
        <w:t xml:space="preserve">Dans sa politique tendant à l’accès universel aux services préventifs, curatifs, palliatifs, de réadaptation et de promotion de la santé, le Cameroun a mis en place la Couverture Santé Universelle (CSU) dont la première phase a été lancée en avril 2023. </w:t>
      </w:r>
      <w:r w:rsidR="0093676D" w:rsidRPr="00CB4F2E">
        <w:rPr>
          <w:bCs/>
          <w:lang w:val="fr-FR"/>
        </w:rPr>
        <w:t>En décembre 2024, la CSU Phase I a enregistré des résultats significatifs : 3 524 687 personnes enrôlées dans le programme, 5 044 347 enfants vaccinés contre la poliomyélite, 1 080 424 consultations pédiatriques gratuites réalisées et 10 194 césariennes prises en charge à 95 %.</w:t>
      </w:r>
    </w:p>
    <w:p w14:paraId="1A0A51E2" w14:textId="7F219839" w:rsidR="0093676D" w:rsidRPr="00CB4F2E" w:rsidRDefault="00C959F9" w:rsidP="00C959F9">
      <w:pPr>
        <w:pStyle w:val="SingleTxtG"/>
        <w:rPr>
          <w:lang w:val="fr-FR"/>
        </w:rPr>
      </w:pPr>
      <w:r w:rsidRPr="00CB4F2E">
        <w:rPr>
          <w:bCs/>
          <w:lang w:val="fr-FR"/>
        </w:rPr>
        <w:t>29.</w:t>
      </w:r>
      <w:r w:rsidRPr="00CB4F2E">
        <w:rPr>
          <w:bCs/>
          <w:lang w:val="fr-FR"/>
        </w:rPr>
        <w:tab/>
      </w:r>
      <w:proofErr w:type="spellStart"/>
      <w:r w:rsidR="0093676D" w:rsidRPr="00CB4F2E">
        <w:rPr>
          <w:lang w:val="fr-FR"/>
        </w:rPr>
        <w:t>Elargissant</w:t>
      </w:r>
      <w:proofErr w:type="spellEnd"/>
      <w:r w:rsidR="0093676D" w:rsidRPr="00CB4F2E">
        <w:rPr>
          <w:lang w:val="fr-FR"/>
        </w:rPr>
        <w:t xml:space="preserve"> </w:t>
      </w:r>
      <w:r w:rsidR="0093676D" w:rsidRPr="00B25820">
        <w:t>davantage</w:t>
      </w:r>
      <w:r w:rsidR="0093676D" w:rsidRPr="00CB4F2E">
        <w:rPr>
          <w:lang w:val="fr-FR"/>
        </w:rPr>
        <w:t xml:space="preserve"> le spectre de l’offre universelle de soins de santé, y compris de santé reproductive, le Cameroun a adopté la Loi n°2022/014 du 14 juillet 2022 relative à la procréation médicalement assistée et la Loi n°2024/018 du 23 décembre 2024 portant exercice et organisation de la médecine traditionnelle au Cameroun.</w:t>
      </w:r>
    </w:p>
    <w:p w14:paraId="37729723" w14:textId="114AD6DD" w:rsidR="00ED20A7" w:rsidRDefault="00C959F9" w:rsidP="00C959F9">
      <w:pPr>
        <w:pStyle w:val="SingleTxtG"/>
      </w:pPr>
      <w:r>
        <w:rPr>
          <w:bCs/>
        </w:rPr>
        <w:lastRenderedPageBreak/>
        <w:t>30.</w:t>
      </w:r>
      <w:r>
        <w:rPr>
          <w:bCs/>
        </w:rPr>
        <w:tab/>
      </w:r>
      <w:r w:rsidR="0093676D" w:rsidRPr="00CB4F2E">
        <w:t>En 2023, le taux de prévalence de la contraception moderne</w:t>
      </w:r>
      <w:r w:rsidR="0093676D" w:rsidRPr="00CB4F2E">
        <w:rPr>
          <w:vertAlign w:val="superscript"/>
        </w:rPr>
        <w:t xml:space="preserve"> </w:t>
      </w:r>
      <w:r w:rsidR="0093676D" w:rsidRPr="00CF37AD">
        <w:rPr>
          <w:rStyle w:val="FootnoteReference"/>
        </w:rPr>
        <w:footnoteReference w:id="13"/>
      </w:r>
      <w:r w:rsidR="0093676D" w:rsidRPr="00CB4F2E">
        <w:t xml:space="preserve"> était estimé à 17% et projeté à 19% en 2025. Le taux de besoins non satisfaits se situait à 26% en 2023 et était projeté également à 26% en 2025. Pour améliorer les indicateurs de planification familiale, le Cameroun a opté pour l’engagement FP 2030 qui vise à augmenter le Taux de Prévalence Contraceptive Moderne à 30% d’ici 2030 et à réduire les besoins non satisfaits à 10%. </w:t>
      </w:r>
    </w:p>
    <w:p w14:paraId="0336FB98" w14:textId="2B846607" w:rsidR="0093676D" w:rsidRPr="00CB4F2E" w:rsidRDefault="00C959F9" w:rsidP="00C959F9">
      <w:pPr>
        <w:pStyle w:val="SingleTxtG"/>
      </w:pPr>
      <w:r w:rsidRPr="00CB4F2E">
        <w:rPr>
          <w:bCs/>
        </w:rPr>
        <w:t>31.</w:t>
      </w:r>
      <w:r w:rsidRPr="00CB4F2E">
        <w:rPr>
          <w:bCs/>
        </w:rPr>
        <w:tab/>
      </w:r>
      <w:r w:rsidR="0093676D" w:rsidRPr="00CB4F2E">
        <w:t>Peu documenté, le niveau de prévalence de l’avortement clandestin au Cameroun est difficile à apprécier. D’environ 13% en 2024, il serait à l'origine de 40% des urgences reçues en gynécologie obstétrique.</w:t>
      </w:r>
    </w:p>
    <w:p w14:paraId="1C1CD4CD" w14:textId="3CDA2E4F" w:rsidR="0093676D" w:rsidRPr="00CB4F2E" w:rsidRDefault="00C959F9" w:rsidP="00C959F9">
      <w:pPr>
        <w:pStyle w:val="SingleTxtG"/>
      </w:pPr>
      <w:r w:rsidRPr="00CB4F2E">
        <w:rPr>
          <w:bCs/>
        </w:rPr>
        <w:t>32.</w:t>
      </w:r>
      <w:r w:rsidRPr="00CB4F2E">
        <w:rPr>
          <w:bCs/>
        </w:rPr>
        <w:tab/>
      </w:r>
      <w:r w:rsidR="0093676D" w:rsidRPr="00CB4F2E">
        <w:t>Globalement, la </w:t>
      </w:r>
      <w:r w:rsidR="0093676D" w:rsidRPr="00CB4F2E">
        <w:rPr>
          <w:i/>
          <w:iCs/>
        </w:rPr>
        <w:t>mortalité</w:t>
      </w:r>
      <w:r w:rsidR="0093676D" w:rsidRPr="00CB4F2E">
        <w:t xml:space="preserve"> infantile a sensiblement baissé. Le taux de mortalité </w:t>
      </w:r>
      <w:proofErr w:type="spellStart"/>
      <w:r w:rsidR="0093676D" w:rsidRPr="00CB4F2E">
        <w:t>néonatale</w:t>
      </w:r>
      <w:proofErr w:type="spellEnd"/>
      <w:r w:rsidR="0093676D" w:rsidRPr="00CB4F2E">
        <w:t xml:space="preserve"> est passé de 31 à 28 décès pour 1 000 naissances vivantes entre 2011 et 2018. Le taux de mortalité infanto-juvénile est passé de 125 à 80/1000 naissances de 1991 et 2018</w:t>
      </w:r>
      <w:r w:rsidR="0027203C">
        <w:t>;</w:t>
      </w:r>
      <w:r w:rsidR="0093676D" w:rsidRPr="00CB4F2E">
        <w:t xml:space="preserve"> le taux de mortalité infantile de 64 à 48/1000 naissances</w:t>
      </w:r>
      <w:r w:rsidR="0027203C">
        <w:t>;</w:t>
      </w:r>
      <w:r w:rsidR="0093676D" w:rsidRPr="00CB4F2E">
        <w:t xml:space="preserve"> et le taux de mortalité </w:t>
      </w:r>
      <w:proofErr w:type="spellStart"/>
      <w:r w:rsidR="0093676D" w:rsidRPr="00CB4F2E">
        <w:t>néonatale</w:t>
      </w:r>
      <w:proofErr w:type="spellEnd"/>
      <w:r w:rsidR="0093676D" w:rsidRPr="00CB4F2E">
        <w:t xml:space="preserve"> de 33 à 28/1000 naissances.</w:t>
      </w:r>
    </w:p>
    <w:p w14:paraId="7383C8FF" w14:textId="3652860D" w:rsidR="0093676D" w:rsidRPr="00CB4F2E" w:rsidRDefault="00C959F9" w:rsidP="00C959F9">
      <w:pPr>
        <w:pStyle w:val="SingleTxtG"/>
      </w:pPr>
      <w:r w:rsidRPr="00CB4F2E">
        <w:rPr>
          <w:bCs/>
        </w:rPr>
        <w:t>33.</w:t>
      </w:r>
      <w:r w:rsidRPr="00CB4F2E">
        <w:rPr>
          <w:bCs/>
        </w:rPr>
        <w:tab/>
      </w:r>
      <w:r w:rsidR="0093676D" w:rsidRPr="00CB4F2E">
        <w:t>La mortalité maternelle a également connu une amélioration, passant de 782/100 000 au cours de la période 2004-2018 à 406/100 000 en 2018. Ceci s’explique en partie par la proportion des accouchements assistés par un personnel qualifié, qui est passé de 63,6% en 2011 à 69% en 2018.</w:t>
      </w:r>
    </w:p>
    <w:p w14:paraId="4C30ACBF" w14:textId="2F56F71B" w:rsidR="0093676D" w:rsidRPr="00CB4F2E" w:rsidRDefault="00C959F9" w:rsidP="00C959F9">
      <w:pPr>
        <w:pStyle w:val="SingleTxtG"/>
      </w:pPr>
      <w:r w:rsidRPr="00CB4F2E">
        <w:rPr>
          <w:bCs/>
        </w:rPr>
        <w:t>34.</w:t>
      </w:r>
      <w:r w:rsidRPr="00CB4F2E">
        <w:rPr>
          <w:bCs/>
        </w:rPr>
        <w:tab/>
      </w:r>
      <w:r w:rsidR="0093676D" w:rsidRPr="00CB4F2E">
        <w:t>Entre 2011 et 2018, l’âge médian du premier rapport sexuel pour les femmes de 25-49 ans est resté stable à 17 ans, tandis que pour les hommes, il est passé de 18,5 ans en 2011 à 19,3 ans en 2018.</w:t>
      </w:r>
    </w:p>
    <w:p w14:paraId="39B67C8F" w14:textId="60A8306F" w:rsidR="0093676D" w:rsidRPr="00CB4F2E" w:rsidRDefault="00C959F9" w:rsidP="00C959F9">
      <w:pPr>
        <w:pStyle w:val="SingleTxtG"/>
      </w:pPr>
      <w:r w:rsidRPr="00CB4F2E">
        <w:rPr>
          <w:bCs/>
        </w:rPr>
        <w:t>35.</w:t>
      </w:r>
      <w:r w:rsidRPr="00CB4F2E">
        <w:rPr>
          <w:bCs/>
        </w:rPr>
        <w:tab/>
      </w:r>
      <w:r w:rsidR="0093676D" w:rsidRPr="00CB4F2E">
        <w:t>Le pourcentage des femmes de 25-49 ans ayant contracté leur première union avant d’atteindre l’âge de 15 ans a diminué dans le temps, passant de 28 % en 1991 à 13 % en 2018. L’âge médian à la première union chez les femmes de 25-49 ans a augmenté, passant de 16,5 ans en 1991 à 20 ans en 2018. L’âge médian des femmes de 25-49 ans à la première union est plus faible à l’Extrême-Nord (16,7 ans), au Nord (17,2 ans) et à l’Adamaoua (17,6 ans). Par contre, il est plus élevé à Yaoundé (23,7 ans) et à Douala (23,7 ans), au Sud (22,7 ans) et au Littoral (22,4 ans).</w:t>
      </w:r>
    </w:p>
    <w:p w14:paraId="17C35A2D" w14:textId="21CA1584" w:rsidR="0093676D" w:rsidRPr="00CB4F2E" w:rsidRDefault="00C959F9" w:rsidP="00C959F9">
      <w:pPr>
        <w:pStyle w:val="SingleTxtG"/>
      </w:pPr>
      <w:r w:rsidRPr="00CB4F2E">
        <w:rPr>
          <w:bCs/>
        </w:rPr>
        <w:t>36.</w:t>
      </w:r>
      <w:r w:rsidRPr="00CB4F2E">
        <w:rPr>
          <w:bCs/>
        </w:rPr>
        <w:tab/>
      </w:r>
      <w:r w:rsidR="0093676D" w:rsidRPr="00CB4F2E">
        <w:t>En mars 2025, le Cameroun a lancé un Plan stratégique national de la santé maternelle, infantile et nutritionnelle 2025-2030.</w:t>
      </w:r>
    </w:p>
    <w:p w14:paraId="5F2EC0C9" w14:textId="2B63769C" w:rsidR="0093676D" w:rsidRPr="00CB4F2E" w:rsidRDefault="00C959F9" w:rsidP="00C959F9">
      <w:pPr>
        <w:pStyle w:val="SingleTxtG"/>
      </w:pPr>
      <w:r w:rsidRPr="00CB4F2E">
        <w:rPr>
          <w:bCs/>
        </w:rPr>
        <w:t>37.</w:t>
      </w:r>
      <w:r w:rsidRPr="00CB4F2E">
        <w:rPr>
          <w:bCs/>
        </w:rPr>
        <w:tab/>
      </w:r>
      <w:r w:rsidR="0093676D" w:rsidRPr="00CB4F2E">
        <w:t>En forte baisse, le taux de prévalence du VIH/Sida</w:t>
      </w:r>
      <w:r w:rsidR="0093676D" w:rsidRPr="00CB4F2E">
        <w:rPr>
          <w:b/>
          <w:bCs/>
        </w:rPr>
        <w:t xml:space="preserve"> </w:t>
      </w:r>
      <w:r w:rsidR="0093676D" w:rsidRPr="00CB4F2E">
        <w:t>est passé de 5,5 % en 2004 à 2,1</w:t>
      </w:r>
      <w:r w:rsidR="0093676D" w:rsidRPr="00CB4F2E">
        <w:rPr>
          <w:b/>
          <w:bCs/>
        </w:rPr>
        <w:t xml:space="preserve"> </w:t>
      </w:r>
      <w:r w:rsidR="0093676D" w:rsidRPr="00CB4F2E">
        <w:t xml:space="preserve">% en 2022. Elle touche particulièrement, à des degrés variés selon les régions, les femmes, les adolescents et les jeunes. </w:t>
      </w:r>
    </w:p>
    <w:p w14:paraId="1FA6B7F6" w14:textId="47078964" w:rsidR="0093676D" w:rsidRPr="00CB4F2E" w:rsidRDefault="00027F08" w:rsidP="00027F08">
      <w:pPr>
        <w:pStyle w:val="H4G"/>
      </w:pPr>
      <w:bookmarkStart w:id="19" w:name="_Toc210646304"/>
      <w:r>
        <w:tab/>
      </w:r>
      <w:r>
        <w:tab/>
      </w:r>
      <w:r w:rsidR="0093676D" w:rsidRPr="00CB4F2E">
        <w:t>L’éducation et la formation professionnelle</w:t>
      </w:r>
      <w:bookmarkEnd w:id="19"/>
    </w:p>
    <w:p w14:paraId="59EC2325" w14:textId="6E94688A" w:rsidR="0093676D" w:rsidRPr="00CB4F2E" w:rsidRDefault="00C959F9" w:rsidP="00C959F9">
      <w:pPr>
        <w:pStyle w:val="SingleTxtG"/>
      </w:pPr>
      <w:r w:rsidRPr="00CB4F2E">
        <w:rPr>
          <w:bCs/>
        </w:rPr>
        <w:t>38.</w:t>
      </w:r>
      <w:r w:rsidRPr="00CB4F2E">
        <w:rPr>
          <w:bCs/>
        </w:rPr>
        <w:tab/>
      </w:r>
      <w:r w:rsidR="0093676D" w:rsidRPr="00CB4F2E">
        <w:t>Le taux d’alphabétisation des adultes (15 ans ou plus) qui était de 74,3% en 2014 est passé à 75,3 % en 2022 dont 69,5 % pour les femmes.</w:t>
      </w:r>
      <w:r w:rsidR="0027203C">
        <w:t xml:space="preserve"> </w:t>
      </w:r>
      <w:r w:rsidR="0093676D" w:rsidRPr="00CB4F2E">
        <w:t>L’on a noté une légère augmentation du taux brut de préscolarisation ces trois dernières années, passant de 39,7 % à 40,8% entre 2020 et 2023. Il était de 36,8% en 2016.</w:t>
      </w:r>
    </w:p>
    <w:p w14:paraId="3A9AF577" w14:textId="05D655FA" w:rsidR="0093676D" w:rsidRPr="00CB4F2E" w:rsidRDefault="00C959F9" w:rsidP="00C959F9">
      <w:pPr>
        <w:pStyle w:val="SingleTxtG"/>
      </w:pPr>
      <w:r w:rsidRPr="00CB4F2E">
        <w:rPr>
          <w:bCs/>
        </w:rPr>
        <w:t>39.</w:t>
      </w:r>
      <w:r w:rsidRPr="00CB4F2E">
        <w:rPr>
          <w:bCs/>
        </w:rPr>
        <w:tab/>
      </w:r>
      <w:r w:rsidR="0093676D" w:rsidRPr="00CB4F2E">
        <w:t>Au cours de l’année scolaire 2023/2024, s’agissant de l’éducation au cycle primaire</w:t>
      </w:r>
      <w:r w:rsidR="0093676D" w:rsidRPr="00CB4F2E">
        <w:rPr>
          <w:rStyle w:val="FootnoteReference"/>
        </w:rPr>
        <w:footnoteReference w:id="14"/>
      </w:r>
      <w:r w:rsidR="0093676D" w:rsidRPr="00CB4F2E">
        <w:t>, le taux brut de scolarisation était de 123,3%, le taux net ajusté de scolarisation de 90,1%, le taux d’achèvement au primaire de 80,7% et le pourcentage de redoublants de 11,56%. Le taux brut de scolarisation était de 123% en 2016.</w:t>
      </w:r>
    </w:p>
    <w:p w14:paraId="373385CD" w14:textId="42C7CB7D" w:rsidR="0093676D" w:rsidRPr="00CB4F2E" w:rsidRDefault="00C959F9" w:rsidP="00C959F9">
      <w:pPr>
        <w:pStyle w:val="SingleTxtG"/>
      </w:pPr>
      <w:r w:rsidRPr="00CB4F2E">
        <w:rPr>
          <w:bCs/>
        </w:rPr>
        <w:t>40.</w:t>
      </w:r>
      <w:r w:rsidRPr="00CB4F2E">
        <w:rPr>
          <w:bCs/>
        </w:rPr>
        <w:tab/>
      </w:r>
      <w:r w:rsidR="0093676D" w:rsidRPr="00CB4F2E">
        <w:t>Les élèves étaient encadrés par 124 205 enseignants, soit 75 739 femmes et 48 466 hommes. En outre, on dénombrait 24 067 écoles primaires</w:t>
      </w:r>
      <w:r w:rsidR="0093676D" w:rsidRPr="00CB4F2E">
        <w:rPr>
          <w:rStyle w:val="FootnoteReference"/>
        </w:rPr>
        <w:footnoteReference w:id="15"/>
      </w:r>
      <w:r w:rsidR="0093676D" w:rsidRPr="00CB4F2E">
        <w:t xml:space="preserve"> (13 386 écoles publiques, 9 879 </w:t>
      </w:r>
      <w:r w:rsidR="0093676D" w:rsidRPr="00CB4F2E">
        <w:lastRenderedPageBreak/>
        <w:t xml:space="preserve">écoles privées et 802 écoles des parents ou communautaires) composées de 104 443 salles de classe </w:t>
      </w:r>
      <w:bookmarkStart w:id="20" w:name="_Hlk194409283"/>
      <w:r w:rsidR="0093676D" w:rsidRPr="00CB4F2E">
        <w:t xml:space="preserve">(57 787 dans les écoles publiques, 45 468 dans les écoles privées, 1 188 dans les écoles des parents ou communautaires) </w:t>
      </w:r>
      <w:bookmarkEnd w:id="20"/>
      <w:r w:rsidR="0093676D" w:rsidRPr="00CB4F2E">
        <w:t>et disposant 4 944 292 places assises (3 014 591 dans les écoles publiques, 1 902 601 dans les écoles privées, 27 100 dans les écoles des parents ou communautaires). On a aussi recensé 4 769 salles d’informatique dont 2 623 dans le primaire anglophone et 2 146 dans le primaire francophone.</w:t>
      </w:r>
    </w:p>
    <w:p w14:paraId="0AED2061" w14:textId="3F0BCD17" w:rsidR="0093676D" w:rsidRPr="00CB4F2E" w:rsidRDefault="00C959F9" w:rsidP="00C959F9">
      <w:pPr>
        <w:pStyle w:val="SingleTxtG"/>
      </w:pPr>
      <w:r w:rsidRPr="00CB4F2E">
        <w:rPr>
          <w:bCs/>
        </w:rPr>
        <w:t>41.</w:t>
      </w:r>
      <w:r w:rsidRPr="00CB4F2E">
        <w:rPr>
          <w:bCs/>
        </w:rPr>
        <w:tab/>
      </w:r>
      <w:r w:rsidR="0093676D" w:rsidRPr="00CB4F2E">
        <w:t xml:space="preserve">Le taux de transition du primaire au secondaire technique était de 16,83%, le taux de transition du primaire au secondaire général de 44,07% en 2023/2024 et le taux de transition du primaire au secondaire de 60,90%. </w:t>
      </w:r>
    </w:p>
    <w:p w14:paraId="046FA266" w14:textId="42205961" w:rsidR="0093676D" w:rsidRPr="00CB4F2E" w:rsidRDefault="00C959F9" w:rsidP="00C959F9">
      <w:pPr>
        <w:pStyle w:val="SingleTxtG"/>
        <w:rPr>
          <w:b/>
        </w:rPr>
      </w:pPr>
      <w:r w:rsidRPr="00CB4F2E">
        <w:rPr>
          <w:bCs/>
        </w:rPr>
        <w:t>42.</w:t>
      </w:r>
      <w:r w:rsidRPr="00CB4F2E">
        <w:rPr>
          <w:bCs/>
        </w:rPr>
        <w:tab/>
      </w:r>
      <w:r w:rsidR="0093676D" w:rsidRPr="00EB5916">
        <w:t>Dans</w:t>
      </w:r>
      <w:r w:rsidR="0093676D" w:rsidRPr="00CB4F2E">
        <w:rPr>
          <w:bCs/>
        </w:rPr>
        <w:t xml:space="preserve"> le sous-secteur des enseignements secondaires, on dénombrait 4 538 établissements scolaires en 2024, dont 2 866 écoles publiques et 1672 écoles privées. Le nombre d’enseignants dans les établissements scolaires publics se chiffrait à 83 147, soit 38 169 femmes et 44 978 hommes. Dans les établissements scolaires privés, le nombre d’enseignants était</w:t>
      </w:r>
      <w:r w:rsidR="0027203C">
        <w:rPr>
          <w:bCs/>
        </w:rPr>
        <w:t xml:space="preserve"> </w:t>
      </w:r>
      <w:r w:rsidR="0093676D" w:rsidRPr="00CB4F2E">
        <w:rPr>
          <w:bCs/>
        </w:rPr>
        <w:t>de 39 962, soit 13 337 femmes et 26 625 hommes. Le taux brut de scolarisation et le taux de scolarisation net étaient</w:t>
      </w:r>
      <w:r w:rsidR="0027203C">
        <w:rPr>
          <w:bCs/>
        </w:rPr>
        <w:t xml:space="preserve"> </w:t>
      </w:r>
      <w:r w:rsidR="0093676D" w:rsidRPr="00CB4F2E">
        <w:rPr>
          <w:bCs/>
        </w:rPr>
        <w:t>évalués respectivement à 47,38 %</w:t>
      </w:r>
      <w:r w:rsidR="0027203C">
        <w:rPr>
          <w:bCs/>
        </w:rPr>
        <w:t xml:space="preserve"> </w:t>
      </w:r>
      <w:r w:rsidR="0093676D" w:rsidRPr="00CB4F2E">
        <w:rPr>
          <w:bCs/>
        </w:rPr>
        <w:t xml:space="preserve">et à 38,53%. </w:t>
      </w:r>
    </w:p>
    <w:p w14:paraId="5D534F57" w14:textId="7A49A0FB" w:rsidR="0093676D" w:rsidRPr="00CB4F2E" w:rsidRDefault="00C959F9" w:rsidP="00C959F9">
      <w:pPr>
        <w:pStyle w:val="SingleTxtG"/>
      </w:pPr>
      <w:r w:rsidRPr="00CB4F2E">
        <w:rPr>
          <w:bCs/>
        </w:rPr>
        <w:t>43.</w:t>
      </w:r>
      <w:r w:rsidRPr="00CB4F2E">
        <w:rPr>
          <w:bCs/>
        </w:rPr>
        <w:tab/>
      </w:r>
      <w:r w:rsidR="0093676D" w:rsidRPr="00CB4F2E">
        <w:t>Au niveau de l’enseignement supérieur, la tendance est en constante hausse, les effectifs d’apprenants étant passés de 196 461 en 2011 à 440 886 en 2024 dont 208 972 filles. S’agissant de l’offre, l’on a recensé en 2024, 11 universités d’</w:t>
      </w:r>
      <w:proofErr w:type="spellStart"/>
      <w:r w:rsidR="0093676D" w:rsidRPr="00CB4F2E">
        <w:t>Etat</w:t>
      </w:r>
      <w:proofErr w:type="spellEnd"/>
      <w:r w:rsidR="0093676D" w:rsidRPr="00CB4F2E">
        <w:t xml:space="preserve"> disposant de 14 935 salles de cours, des institutions à statut particulier ou transnationales</w:t>
      </w:r>
      <w:r w:rsidR="0093676D" w:rsidRPr="00CB4F2E">
        <w:rPr>
          <w:rStyle w:val="FootnoteReference"/>
        </w:rPr>
        <w:footnoteReference w:id="16"/>
      </w:r>
      <w:r w:rsidR="0093676D" w:rsidRPr="00CB4F2E">
        <w:t xml:space="preserve"> et 5 200 Instituts Privés d’Enseignement Supérieur (IPES) et 750 laboratoires scientifiques. </w:t>
      </w:r>
    </w:p>
    <w:p w14:paraId="04AB5CD0" w14:textId="750C774C" w:rsidR="0093676D" w:rsidRPr="00CB4F2E" w:rsidRDefault="00C959F9" w:rsidP="00C959F9">
      <w:pPr>
        <w:pStyle w:val="SingleTxtG"/>
      </w:pPr>
      <w:r w:rsidRPr="00CB4F2E">
        <w:rPr>
          <w:bCs/>
        </w:rPr>
        <w:t>44.</w:t>
      </w:r>
      <w:r w:rsidRPr="00CB4F2E">
        <w:rPr>
          <w:bCs/>
        </w:rPr>
        <w:tab/>
      </w:r>
      <w:r w:rsidR="0093676D" w:rsidRPr="00CB4F2E">
        <w:t>En 2021, une personne sur cinq (21,8%) suivaient ou avaient déjà suivi une formation professionnelle.</w:t>
      </w:r>
    </w:p>
    <w:p w14:paraId="4F3648CE" w14:textId="67E270C0" w:rsidR="0093676D" w:rsidRPr="00CB4F2E" w:rsidRDefault="00C959F9" w:rsidP="00C959F9">
      <w:pPr>
        <w:pStyle w:val="SingleTxtG"/>
      </w:pPr>
      <w:r w:rsidRPr="00CB4F2E">
        <w:rPr>
          <w:bCs/>
        </w:rPr>
        <w:t>45.</w:t>
      </w:r>
      <w:r w:rsidRPr="00CB4F2E">
        <w:rPr>
          <w:bCs/>
        </w:rPr>
        <w:tab/>
      </w:r>
      <w:r w:rsidR="0093676D" w:rsidRPr="00CB4F2E">
        <w:t>Les Ministères de l’</w:t>
      </w:r>
      <w:proofErr w:type="spellStart"/>
      <w:r w:rsidR="0093676D" w:rsidRPr="00CB4F2E">
        <w:t>Education</w:t>
      </w:r>
      <w:proofErr w:type="spellEnd"/>
      <w:r w:rsidR="0093676D" w:rsidRPr="00CB4F2E">
        <w:t xml:space="preserve"> de Base-MINEDUB (</w:t>
      </w:r>
      <w:hyperlink r:id="rId12" w:history="1">
        <w:r w:rsidR="0093676D" w:rsidRPr="00CB4F2E">
          <w:rPr>
            <w:rStyle w:val="Hyperlink"/>
          </w:rPr>
          <w:t>https://www.minedub.cm/</w:t>
        </w:r>
      </w:hyperlink>
      <w:r w:rsidR="0093676D" w:rsidRPr="00CB4F2E">
        <w:t>), des Enseignements Secondaires-MINESEC (</w:t>
      </w:r>
      <w:hyperlink r:id="rId13" w:history="1">
        <w:r w:rsidR="0093676D" w:rsidRPr="00CB4F2E">
          <w:rPr>
            <w:rStyle w:val="Hyperlink"/>
          </w:rPr>
          <w:t>www.minesec.gov.cm</w:t>
        </w:r>
      </w:hyperlink>
      <w:r w:rsidR="0093676D" w:rsidRPr="00CB4F2E">
        <w:t xml:space="preserve"> ), de l’Enseignement Supérieur-MINESUP (</w:t>
      </w:r>
      <w:hyperlink r:id="rId14" w:history="1">
        <w:r w:rsidR="0093676D" w:rsidRPr="00CB4F2E">
          <w:rPr>
            <w:rStyle w:val="Hyperlink"/>
          </w:rPr>
          <w:t>https://www.minesup.gov.cm/</w:t>
        </w:r>
      </w:hyperlink>
      <w:r w:rsidR="0093676D" w:rsidRPr="00CB4F2E">
        <w:t>) et de la Formation Professionnelle et de l’Emploi-MINEFOP (</w:t>
      </w:r>
      <w:hyperlink r:id="rId15" w:history="1">
        <w:r w:rsidR="0093676D" w:rsidRPr="00CB4F2E">
          <w:rPr>
            <w:rStyle w:val="Hyperlink"/>
          </w:rPr>
          <w:t>www.minefop.cm</w:t>
        </w:r>
      </w:hyperlink>
      <w:r w:rsidR="0093676D" w:rsidRPr="00CB4F2E">
        <w:t xml:space="preserve"> ) sont chargés de conduire la politique de l’</w:t>
      </w:r>
      <w:proofErr w:type="spellStart"/>
      <w:r w:rsidR="0093676D" w:rsidRPr="00CB4F2E">
        <w:t>Etat</w:t>
      </w:r>
      <w:proofErr w:type="spellEnd"/>
      <w:r w:rsidR="0093676D" w:rsidRPr="00CB4F2E">
        <w:t xml:space="preserve"> en matière d’éducation et de formation professionnelle. </w:t>
      </w:r>
    </w:p>
    <w:p w14:paraId="7093D762" w14:textId="28374543" w:rsidR="0093676D" w:rsidRPr="00CB4F2E" w:rsidRDefault="00CF6178" w:rsidP="00CF6178">
      <w:pPr>
        <w:pStyle w:val="H23G"/>
        <w:rPr>
          <w:i/>
        </w:rPr>
      </w:pPr>
      <w:bookmarkStart w:id="21" w:name="_Toc210209103"/>
      <w:bookmarkStart w:id="22" w:name="_Toc210646305"/>
      <w:r>
        <w:tab/>
      </w:r>
      <w:r w:rsidR="0093676D" w:rsidRPr="00CB4F2E">
        <w:t>E.</w:t>
      </w:r>
      <w:r>
        <w:tab/>
      </w:r>
      <w:r w:rsidRPr="00CB4F2E">
        <w:t xml:space="preserve">Les </w:t>
      </w:r>
      <w:proofErr w:type="spellStart"/>
      <w:r w:rsidRPr="00CB4F2E">
        <w:t>donnees</w:t>
      </w:r>
      <w:proofErr w:type="spellEnd"/>
      <w:r w:rsidRPr="00CB4F2E">
        <w:t xml:space="preserve"> </w:t>
      </w:r>
      <w:proofErr w:type="spellStart"/>
      <w:r w:rsidRPr="00CB4F2E">
        <w:t>economiques</w:t>
      </w:r>
      <w:bookmarkEnd w:id="21"/>
      <w:bookmarkEnd w:id="22"/>
      <w:proofErr w:type="spellEnd"/>
    </w:p>
    <w:p w14:paraId="72BAAE8E" w14:textId="0E0D76CB" w:rsidR="0093676D" w:rsidRPr="00CB4F2E" w:rsidRDefault="00F8500C" w:rsidP="00CF6178">
      <w:pPr>
        <w:pStyle w:val="H4G"/>
      </w:pPr>
      <w:bookmarkStart w:id="23" w:name="_Toc210646306"/>
      <w:r>
        <w:tab/>
      </w:r>
      <w:r>
        <w:tab/>
      </w:r>
      <w:r w:rsidR="0093676D" w:rsidRPr="00CB4F2E">
        <w:t>Aperçu historique</w:t>
      </w:r>
      <w:bookmarkEnd w:id="23"/>
    </w:p>
    <w:p w14:paraId="1C177E1D" w14:textId="5F29F680" w:rsidR="00ED20A7" w:rsidRDefault="00C959F9" w:rsidP="00C959F9">
      <w:pPr>
        <w:pStyle w:val="SingleTxtG"/>
      </w:pPr>
      <w:r>
        <w:rPr>
          <w:bCs/>
        </w:rPr>
        <w:t>46.</w:t>
      </w:r>
      <w:r>
        <w:rPr>
          <w:bCs/>
        </w:rPr>
        <w:tab/>
      </w:r>
      <w:r w:rsidR="0093676D" w:rsidRPr="00CB4F2E">
        <w:t xml:space="preserve">Au lendemain de l’indépendance en 1960, les autorités ont adopté une politique économique fortement interventionniste pour jeter les bases du développement du pays. La monnaie nationale du Cameroun est le franc CFA, qui avait une parité fixe avec le franc français, et aujourd’hui avec l’euro (1 euro = 655, 957 FCFA). Le potentiel de production est très favorable en matière d’agriculture et d’élevage. </w:t>
      </w:r>
    </w:p>
    <w:p w14:paraId="0EEE7DD6" w14:textId="5DC4BA3F" w:rsidR="00ED20A7" w:rsidRDefault="00C959F9" w:rsidP="00C959F9">
      <w:pPr>
        <w:pStyle w:val="SingleTxtG"/>
      </w:pPr>
      <w:r>
        <w:rPr>
          <w:bCs/>
        </w:rPr>
        <w:t>47.</w:t>
      </w:r>
      <w:r>
        <w:rPr>
          <w:bCs/>
        </w:rPr>
        <w:tab/>
      </w:r>
      <w:r w:rsidR="0093676D" w:rsidRPr="00CB4F2E">
        <w:t>Le pays a connu une importante croissance entre 1960 et 1984, renforcée par l’exploitation pétrolifère. De 1985 à 2000, le Cameroun est entré en récession, du fait notamment de l’effondrement des coûts des matières premières. Le ralentissement de son économie est suivi d’une sévère crise économique, accentuée par la dévaluation en 1994 du franc CFA de la moitié de sa valeur. Face à cette situation, l’</w:t>
      </w:r>
      <w:proofErr w:type="spellStart"/>
      <w:r w:rsidR="0093676D" w:rsidRPr="00CB4F2E">
        <w:t>Etat</w:t>
      </w:r>
      <w:proofErr w:type="spellEnd"/>
      <w:r w:rsidR="0093676D" w:rsidRPr="00CB4F2E">
        <w:t xml:space="preserve"> a souscrit à une série de plans d’ajustements structurels, de 1994 à 1997, avec l’aide du Fonds Monétaire International (FMI) et de la Banque Mondiale. Cette politique a entraîné, entre autres, de nombreuses privatisations des entreprises publiques, le gel des recrutements dans la fonction publique, le désengagement de l’</w:t>
      </w:r>
      <w:proofErr w:type="spellStart"/>
      <w:r w:rsidR="0093676D" w:rsidRPr="00CB4F2E">
        <w:t>Etat</w:t>
      </w:r>
      <w:proofErr w:type="spellEnd"/>
      <w:r w:rsidR="0093676D" w:rsidRPr="00CB4F2E">
        <w:t xml:space="preserve"> de la vie économique et la baisse des salaires.</w:t>
      </w:r>
    </w:p>
    <w:p w14:paraId="4778DED2" w14:textId="4352E269" w:rsidR="0093676D" w:rsidRPr="00CB4F2E" w:rsidRDefault="00C959F9" w:rsidP="00C959F9">
      <w:pPr>
        <w:pStyle w:val="SingleTxtG"/>
      </w:pPr>
      <w:r w:rsidRPr="00CB4F2E">
        <w:rPr>
          <w:bCs/>
        </w:rPr>
        <w:lastRenderedPageBreak/>
        <w:t>48.</w:t>
      </w:r>
      <w:r w:rsidRPr="00CB4F2E">
        <w:rPr>
          <w:bCs/>
        </w:rPr>
        <w:tab/>
      </w:r>
      <w:r w:rsidR="0093676D" w:rsidRPr="00CB4F2E">
        <w:t xml:space="preserve">Du point de vue social, la reprise économique du début des années 2000 n’a pas permis de rétablir la situation qui s’était considérablement dégradée pendant les années de crise. L’offre publique des services sociaux de base avait diminuée. </w:t>
      </w:r>
    </w:p>
    <w:p w14:paraId="05D78802" w14:textId="77777777" w:rsidR="00ED20A7" w:rsidRDefault="00F8500C" w:rsidP="00F8500C">
      <w:pPr>
        <w:pStyle w:val="H4G"/>
      </w:pPr>
      <w:bookmarkStart w:id="24" w:name="_Toc210646307"/>
      <w:r>
        <w:tab/>
      </w:r>
      <w:r>
        <w:tab/>
      </w:r>
      <w:r w:rsidR="0093676D" w:rsidRPr="00CB4F2E">
        <w:t>Le cadre stratégique et institutionnel</w:t>
      </w:r>
      <w:bookmarkEnd w:id="24"/>
    </w:p>
    <w:p w14:paraId="3C5C341F" w14:textId="290BC35F" w:rsidR="00ED20A7" w:rsidRDefault="00C959F9" w:rsidP="00C959F9">
      <w:pPr>
        <w:pStyle w:val="SingleTxtG"/>
      </w:pPr>
      <w:r>
        <w:rPr>
          <w:bCs/>
        </w:rPr>
        <w:t>49.</w:t>
      </w:r>
      <w:r>
        <w:rPr>
          <w:bCs/>
        </w:rPr>
        <w:tab/>
      </w:r>
      <w:r w:rsidR="0093676D" w:rsidRPr="00CB4F2E">
        <w:t>En octobre 2000, le Cameroun a rejoint l’Initiative en faveur des Pays Pauvres très Endettés (PPTE) pour lutter contre la pauvreté qui frappait la moitié de la population et pour réduire sa dette extérieure, alors estimée à 5 700 000 000 de dollars US en 2005</w:t>
      </w:r>
      <w:r w:rsidR="0093676D" w:rsidRPr="00CB4F2E">
        <w:rPr>
          <w:rStyle w:val="FootnoteReference"/>
        </w:rPr>
        <w:footnoteReference w:id="17"/>
      </w:r>
      <w:r w:rsidR="0093676D" w:rsidRPr="00CB4F2E">
        <w:t xml:space="preserve">. Considéré comme éligible dès 2001, le Cameroun a élaboré en 2003 un Document stratégique de réduction de la pauvreté (DSRP) qui décrit les politiques et programmes </w:t>
      </w:r>
      <w:proofErr w:type="spellStart"/>
      <w:r w:rsidR="0093676D" w:rsidRPr="00CB4F2E">
        <w:t>macroéconomiques</w:t>
      </w:r>
      <w:proofErr w:type="spellEnd"/>
      <w:r w:rsidR="0093676D" w:rsidRPr="00CB4F2E">
        <w:t>, structurels et sociaux pour la réduction de la pauvreté et le recours au financement extérieur. Il a franchi le point d’achèvement en 2006.</w:t>
      </w:r>
    </w:p>
    <w:p w14:paraId="37F7B770" w14:textId="3808149E" w:rsidR="00ED20A7" w:rsidRDefault="00C959F9" w:rsidP="00C959F9">
      <w:pPr>
        <w:pStyle w:val="SingleTxtG"/>
      </w:pPr>
      <w:r>
        <w:rPr>
          <w:bCs/>
        </w:rPr>
        <w:t>50.</w:t>
      </w:r>
      <w:r>
        <w:rPr>
          <w:bCs/>
        </w:rPr>
        <w:tab/>
      </w:r>
      <w:proofErr w:type="spellStart"/>
      <w:r w:rsidR="0093676D" w:rsidRPr="00CB4F2E">
        <w:t>A</w:t>
      </w:r>
      <w:proofErr w:type="spellEnd"/>
      <w:r w:rsidR="0093676D" w:rsidRPr="00CB4F2E">
        <w:t xml:space="preserve"> partir de 2009, le Cameroun a connu une croissance positive de l’ordre de 3%, entraînant également une croissance positive pour les 10% de ménages les plus pauvres. En août de la même année, dans un environnement caractérisé par le renchérissement du coût de la vie liée à la crise financière internationale, la crise alimentaire et la crise énergétique, le Gouvernement a adopté le Document de Stratégie pour la Croissance et l’Emploi 2010-2019 (DSCE). Le DSCE corrige les distorsions ou manquements relevés lors des évaluations successives de la mise en œuvre du DSRP, à l’effet de disposer d’une stratégie dont la priorité est la croissance économique à laquelle sont arrimées des politiques efficientes de redistribution des fruits de la croissance, en cohérence avec les Objectifs du Millénaire pour le Développement (OMD).</w:t>
      </w:r>
    </w:p>
    <w:p w14:paraId="1C53EBCA" w14:textId="58BBCF2F" w:rsidR="00ED20A7" w:rsidRDefault="00C959F9" w:rsidP="00C959F9">
      <w:pPr>
        <w:pStyle w:val="SingleTxtG"/>
      </w:pPr>
      <w:r>
        <w:rPr>
          <w:bCs/>
        </w:rPr>
        <w:t>51.</w:t>
      </w:r>
      <w:r>
        <w:rPr>
          <w:bCs/>
        </w:rPr>
        <w:tab/>
      </w:r>
      <w:r w:rsidR="0093676D" w:rsidRPr="00CB4F2E">
        <w:t>Le DSCE, qui fait partie de la classe des DSRP de 2</w:t>
      </w:r>
      <w:r w:rsidR="0093676D" w:rsidRPr="00CB4F2E">
        <w:rPr>
          <w:vertAlign w:val="superscript"/>
        </w:rPr>
        <w:t>ème</w:t>
      </w:r>
      <w:r w:rsidR="0093676D" w:rsidRPr="00CB4F2E">
        <w:t xml:space="preserve"> génération, s’inscrivait dans le cadre d’un document de vision partagée du développement du Cameroun à long terme (vision qui ambitionne de faire du Cameroun à l’horizon 2035 un pays émergent, démocratique et uni dans sa diversité), dont il couvre les 10 premières années. Il visait à porter la croissance moyenne annuelle à 5,5% au cours de la période 2010-2019, à ramener le sous-emploi de 75,8% à moins de 50% en 2020 avec la création de dizaines de milliers d’emplois formels par an au cours de la période considérée, et à ramener le taux de pauvreté monétaire de 39,9% en 2007 à 28,7% en 2020. </w:t>
      </w:r>
      <w:proofErr w:type="spellStart"/>
      <w:r w:rsidR="0093676D" w:rsidRPr="00CB4F2E">
        <w:t>A</w:t>
      </w:r>
      <w:proofErr w:type="spellEnd"/>
      <w:r w:rsidR="0093676D" w:rsidRPr="00CB4F2E">
        <w:t xml:space="preserve"> cet égard, le Gouvernement se proposait d’accélérer les réformes en cours et de prendre toutes les dispositions nécessaires afin que l’amélioration des performances économiques se traduise par des résultats concrets en termes de création d’emplois, de réduction de la pauvreté et d’amélioration des conditions de vie des populations, en insistant particulièrement sur les femmes et les jeunes.</w:t>
      </w:r>
    </w:p>
    <w:p w14:paraId="5E058C98" w14:textId="2A3BF1E6" w:rsidR="00ED20A7" w:rsidRDefault="00C959F9" w:rsidP="00C959F9">
      <w:pPr>
        <w:pStyle w:val="SingleTxtG"/>
      </w:pPr>
      <w:r>
        <w:rPr>
          <w:bCs/>
        </w:rPr>
        <w:t>52.</w:t>
      </w:r>
      <w:r>
        <w:rPr>
          <w:bCs/>
        </w:rPr>
        <w:tab/>
      </w:r>
      <w:r w:rsidR="0093676D" w:rsidRPr="00CB4F2E">
        <w:t xml:space="preserve">Le DSCE est arrivé à son terme en décembre 2019. Son évaluation a mis en évidence la résilience de l’économie camerounaise, qui a permis de générer une dynamique positive de croissance dans un environnement interne et externe globalement défavorable. Cependant, la situation du sous-emploi s’est davantage dégradée (passant de 75,8% en 2005 à 77% en 2014) et le taux de pauvreté monétaire a faiblement reculé. </w:t>
      </w:r>
    </w:p>
    <w:p w14:paraId="5AA79FC7" w14:textId="489F819B" w:rsidR="00ED20A7" w:rsidRDefault="00C959F9" w:rsidP="00C959F9">
      <w:pPr>
        <w:pStyle w:val="SingleTxtG"/>
      </w:pPr>
      <w:r>
        <w:rPr>
          <w:bCs/>
        </w:rPr>
        <w:t>53.</w:t>
      </w:r>
      <w:r>
        <w:rPr>
          <w:bCs/>
        </w:rPr>
        <w:tab/>
      </w:r>
      <w:r w:rsidR="0093676D" w:rsidRPr="00CB4F2E">
        <w:t>Tirant les leçons de la mise en œuvre du DSCE, le Gouvernement a élaboré la Stratégie Nationale de Développement 2020-2030-SND30 (</w:t>
      </w:r>
      <w:hyperlink r:id="rId16" w:history="1">
        <w:r w:rsidR="0093676D" w:rsidRPr="00CB4F2E">
          <w:rPr>
            <w:rStyle w:val="Hyperlink"/>
          </w:rPr>
          <w:t>https://minepat.gov.cm/fr/snd30/</w:t>
        </w:r>
      </w:hyperlink>
      <w:r w:rsidR="0093676D" w:rsidRPr="00CB4F2E">
        <w:t xml:space="preserve">), qui constitue le nouveau cadre de référence de l’action gouvernementale pour la décennie indiquée, dans la perspective de l’accomplissement des objectifs de la Vision 2035. La SND30 a été élaborée dans un contexte particulier, marqué d’une part par la mise en œuvre d’un programme économique et financier avec le FMI au titre de la Facilité </w:t>
      </w:r>
      <w:proofErr w:type="spellStart"/>
      <w:r w:rsidR="0093676D" w:rsidRPr="00CB4F2E">
        <w:t>Elargie</w:t>
      </w:r>
      <w:proofErr w:type="spellEnd"/>
      <w:r w:rsidR="0093676D" w:rsidRPr="00CB4F2E">
        <w:t xml:space="preserve"> de Crédit, et d’autre part par la crise sécuritaire dans la région de l’Extrême-Nord (débutée en 2013) et la crise </w:t>
      </w:r>
      <w:proofErr w:type="spellStart"/>
      <w:r w:rsidR="0093676D" w:rsidRPr="00CB4F2E">
        <w:t>sociopolitique</w:t>
      </w:r>
      <w:proofErr w:type="spellEnd"/>
      <w:r w:rsidR="0093676D" w:rsidRPr="00CB4F2E">
        <w:t xml:space="preserve"> dans les Régions du Nord-Ouest et du Sud-Ouest (débutée en 2016). </w:t>
      </w:r>
    </w:p>
    <w:p w14:paraId="4B221671" w14:textId="6CC7D0BB" w:rsidR="00ED20A7" w:rsidRDefault="00C959F9" w:rsidP="00C959F9">
      <w:pPr>
        <w:pStyle w:val="SingleTxtG"/>
      </w:pPr>
      <w:r>
        <w:rPr>
          <w:bCs/>
        </w:rPr>
        <w:t>54.</w:t>
      </w:r>
      <w:r>
        <w:rPr>
          <w:bCs/>
        </w:rPr>
        <w:tab/>
      </w:r>
      <w:r w:rsidR="0093676D" w:rsidRPr="00CB4F2E">
        <w:t xml:space="preserve">Les objectifs globaux de la SND-30 sont la mise en place des conditions favorables à la croissance économique et à l’accumulation des richesses nationales, l’amélioration des conditions de vie des populations et leur accès aux services sociaux de base, de renforcement des mesures d’adaptation et d’atténuation des effets des changements climatiques, et l’amélioration de la gouvernance pour renforcer la performance de l’action publique. </w:t>
      </w:r>
      <w:proofErr w:type="spellStart"/>
      <w:r w:rsidR="0093676D" w:rsidRPr="00CB4F2E">
        <w:t>A</w:t>
      </w:r>
      <w:proofErr w:type="spellEnd"/>
      <w:r w:rsidR="0093676D" w:rsidRPr="00CB4F2E">
        <w:t xml:space="preserve"> cet effet, la SND-30 s’appuie sur 4 principaux piliers, à savoir : la transformation structurelle de </w:t>
      </w:r>
      <w:r w:rsidR="0093676D" w:rsidRPr="00CB4F2E">
        <w:lastRenderedPageBreak/>
        <w:t>l’économie nationale, le développement du capital humain et du bien-être, la promotion de l’emploi et de l’insertion économique, et la gouvernance, la décentralisation et la gestion stratégique de l’</w:t>
      </w:r>
      <w:proofErr w:type="spellStart"/>
      <w:r w:rsidR="0093676D" w:rsidRPr="00CB4F2E">
        <w:t>Etat</w:t>
      </w:r>
      <w:proofErr w:type="spellEnd"/>
      <w:r w:rsidR="0093676D" w:rsidRPr="00CB4F2E">
        <w:t>. Ce nouveau cadre stratégique produit déjà des effets, puisque le taux de croissance du PIB est passé de 0,5 en 2020 à 3,5 en 2021.</w:t>
      </w:r>
    </w:p>
    <w:p w14:paraId="2E931150" w14:textId="36882331" w:rsidR="0093676D" w:rsidRPr="00CB4F2E" w:rsidRDefault="00C959F9" w:rsidP="00C959F9">
      <w:pPr>
        <w:pStyle w:val="SingleTxtG"/>
        <w:rPr>
          <w:b/>
          <w:bCs/>
        </w:rPr>
      </w:pPr>
      <w:r w:rsidRPr="00CB4F2E">
        <w:rPr>
          <w:bCs/>
        </w:rPr>
        <w:t>55.</w:t>
      </w:r>
      <w:r w:rsidRPr="00CB4F2E">
        <w:rPr>
          <w:bCs/>
        </w:rPr>
        <w:tab/>
      </w:r>
      <w:r w:rsidR="0093676D" w:rsidRPr="00CB4F2E">
        <w:t>Sur le plan institutionnel, créé par la Constitution (art. 54) et régi par la Loi n</w:t>
      </w:r>
      <w:r w:rsidR="0093676D" w:rsidRPr="00CB4F2E">
        <w:rPr>
          <w:vertAlign w:val="superscript"/>
        </w:rPr>
        <w:t>o</w:t>
      </w:r>
      <w:r w:rsidR="0093676D" w:rsidRPr="00CB4F2E">
        <w:t xml:space="preserve"> 86/009 du 5 juillet 1986, le Conseil </w:t>
      </w:r>
      <w:proofErr w:type="spellStart"/>
      <w:r w:rsidR="0093676D" w:rsidRPr="00CB4F2E">
        <w:t>Economique</w:t>
      </w:r>
      <w:proofErr w:type="spellEnd"/>
      <w:r w:rsidR="0093676D" w:rsidRPr="00CB4F2E">
        <w:t xml:space="preserve"> et Social</w:t>
      </w:r>
      <w:r w:rsidR="0093676D" w:rsidRPr="00CB4F2E">
        <w:rPr>
          <w:rStyle w:val="FootnoteReference"/>
        </w:rPr>
        <w:footnoteReference w:id="18"/>
      </w:r>
      <w:r w:rsidR="0093676D" w:rsidRPr="00CB4F2E">
        <w:t xml:space="preserve"> est saisi par le Président de la République des demandes d’études ou d’avis. Cette saisine est obligatoire pour les projets de loi de programme ou de plan à caractère économique. En vertu du Décret n° 2005/195 du 10 juin 2005, le Ministère de la Planification, de la Programmation du Développement et de l'Aménagement du Territoire-MINEPAT (</w:t>
      </w:r>
      <w:hyperlink r:id="rId17" w:history="1">
        <w:r w:rsidR="0093676D" w:rsidRPr="00CB4F2E">
          <w:rPr>
            <w:rStyle w:val="Hyperlink"/>
          </w:rPr>
          <w:t>https://minepat.gov.cm</w:t>
        </w:r>
      </w:hyperlink>
      <w:r w:rsidR="0093676D" w:rsidRPr="00CB4F2E">
        <w:t>) est chargé de l'élaboration des orientations générales et des stratégies de développement à moyen et long termes et du suivi de leur mise en œuvre.</w:t>
      </w:r>
      <w:r w:rsidR="0027203C">
        <w:t xml:space="preserve"> </w:t>
      </w:r>
      <w:r w:rsidR="0093676D" w:rsidRPr="00CB4F2E">
        <w:t>En application du Décret n°2013/066 du 28 février 2013, le Ministère des Finances-MINFI (</w:t>
      </w:r>
      <w:hyperlink r:id="rId18" w:history="1">
        <w:r w:rsidR="0093676D" w:rsidRPr="00CB4F2E">
          <w:rPr>
            <w:rStyle w:val="Hyperlink"/>
          </w:rPr>
          <w:t>https://minfi.gov.cm/</w:t>
        </w:r>
      </w:hyperlink>
      <w:r w:rsidR="0093676D" w:rsidRPr="00CB4F2E">
        <w:t>) est chargé de l’élaboration et de la mise en œuvre de la politique du Gouvernement financière, budgétaire, fiscale et monétaire.</w:t>
      </w:r>
    </w:p>
    <w:p w14:paraId="5B0C0519" w14:textId="6E1F96AC" w:rsidR="0093676D" w:rsidRPr="00CB4F2E" w:rsidRDefault="00F8500C" w:rsidP="00F8500C">
      <w:pPr>
        <w:pStyle w:val="H4G"/>
      </w:pPr>
      <w:bookmarkStart w:id="25" w:name="_Toc210646308"/>
      <w:r>
        <w:tab/>
      </w:r>
      <w:r>
        <w:tab/>
      </w:r>
      <w:r w:rsidR="0093676D" w:rsidRPr="00CB4F2E">
        <w:t xml:space="preserve">Les données </w:t>
      </w:r>
      <w:proofErr w:type="spellStart"/>
      <w:r w:rsidR="0093676D" w:rsidRPr="00CB4F2E">
        <w:t>macroéconomiques</w:t>
      </w:r>
      <w:proofErr w:type="spellEnd"/>
      <w:r w:rsidR="0093676D" w:rsidRPr="00CB4F2E">
        <w:t xml:space="preserve"> et financières</w:t>
      </w:r>
      <w:bookmarkEnd w:id="25"/>
      <w:r w:rsidR="0093676D" w:rsidRPr="00CB4F2E">
        <w:t xml:space="preserve"> </w:t>
      </w:r>
    </w:p>
    <w:p w14:paraId="772C8484" w14:textId="2D9B2106" w:rsidR="0093676D" w:rsidRPr="00CB4F2E" w:rsidRDefault="00C959F9" w:rsidP="00C959F9">
      <w:pPr>
        <w:pStyle w:val="SingleTxtG"/>
      </w:pPr>
      <w:r w:rsidRPr="00CB4F2E">
        <w:rPr>
          <w:bCs/>
        </w:rPr>
        <w:t>56.</w:t>
      </w:r>
      <w:r w:rsidRPr="00CB4F2E">
        <w:rPr>
          <w:bCs/>
        </w:rPr>
        <w:tab/>
      </w:r>
      <w:r w:rsidR="0093676D" w:rsidRPr="00CB4F2E">
        <w:t xml:space="preserve">Comparativement à 2022, le produit intérieur brut est passé de 3,6 % à 3,8% en 2023, sous l’impulsion des secteurs des services, de la sylviculture et de l’exploitation forestière. Les projections indiquent qu'il atteindra 3,8% en 2024, 4,2 % en 2025, 4,1 % en 2026 et 4,6 % en 2027. </w:t>
      </w:r>
    </w:p>
    <w:p w14:paraId="01E4C680" w14:textId="7D90A05D" w:rsidR="0093676D" w:rsidRPr="00CB4F2E" w:rsidRDefault="00C959F9" w:rsidP="00C959F9">
      <w:pPr>
        <w:pStyle w:val="SingleTxtG"/>
      </w:pPr>
      <w:bookmarkStart w:id="26" w:name="_Toc210208603"/>
      <w:bookmarkStart w:id="27" w:name="_Toc210209104"/>
      <w:bookmarkStart w:id="28" w:name="_Toc210217620"/>
      <w:bookmarkStart w:id="29" w:name="_Toc210219773"/>
      <w:bookmarkStart w:id="30" w:name="_Toc210221186"/>
      <w:bookmarkStart w:id="31" w:name="_Toc210643348"/>
      <w:bookmarkStart w:id="32" w:name="_Toc210646309"/>
      <w:r w:rsidRPr="00CB4F2E">
        <w:rPr>
          <w:bCs/>
        </w:rPr>
        <w:t>57.</w:t>
      </w:r>
      <w:r w:rsidRPr="00CB4F2E">
        <w:rPr>
          <w:bCs/>
        </w:rPr>
        <w:tab/>
      </w:r>
      <w:r w:rsidR="0093676D" w:rsidRPr="00CB4F2E">
        <w:t>Le déficit budgétaire est quant à lui passé de 1,1% du PIB en 2022 à 0,9% en 2023, en raison d’une meilleure rationalisation des dépenses publiques, des politiques visant à élargir l’assiette fiscale et de la hausse des prix du pétrole. Elle se situait à environ 0,4% en 2024 et était projeté à 0,2 % en 2025.</w:t>
      </w:r>
      <w:bookmarkEnd w:id="26"/>
      <w:bookmarkEnd w:id="27"/>
      <w:bookmarkEnd w:id="28"/>
      <w:bookmarkEnd w:id="29"/>
      <w:bookmarkEnd w:id="30"/>
      <w:bookmarkEnd w:id="31"/>
      <w:bookmarkEnd w:id="32"/>
    </w:p>
    <w:p w14:paraId="409FCA6E" w14:textId="783D2F87" w:rsidR="0093676D" w:rsidRPr="00CB4F2E" w:rsidRDefault="00C959F9" w:rsidP="00C959F9">
      <w:pPr>
        <w:pStyle w:val="SingleTxtG"/>
      </w:pPr>
      <w:bookmarkStart w:id="33" w:name="_Toc210208604"/>
      <w:bookmarkStart w:id="34" w:name="_Toc210209105"/>
      <w:bookmarkStart w:id="35" w:name="_Toc210217621"/>
      <w:bookmarkStart w:id="36" w:name="_Toc210221187"/>
      <w:bookmarkStart w:id="37" w:name="_Toc210643349"/>
      <w:bookmarkStart w:id="38" w:name="_Toc210646310"/>
      <w:r w:rsidRPr="00CB4F2E">
        <w:rPr>
          <w:bCs/>
        </w:rPr>
        <w:t>58.</w:t>
      </w:r>
      <w:r w:rsidRPr="00CB4F2E">
        <w:rPr>
          <w:bCs/>
        </w:rPr>
        <w:tab/>
      </w:r>
      <w:r w:rsidR="0093676D" w:rsidRPr="00CB4F2E">
        <w:t>La dette publique est pour sa part passée de 45,3 % du PIB en 2022 à 41,8 % en 2023. Elle s’élevait à environ 45,6% du PIB en 2024. La Caisse Autonome d’Amortissement (</w:t>
      </w:r>
      <w:hyperlink r:id="rId19" w:history="1">
        <w:r w:rsidR="0093676D" w:rsidRPr="00CB4F2E">
          <w:rPr>
            <w:rStyle w:val="Hyperlink"/>
          </w:rPr>
          <w:t>https://caa.cm/</w:t>
        </w:r>
      </w:hyperlink>
      <w:r w:rsidR="0093676D" w:rsidRPr="00CB4F2E">
        <w:t>), a pour missions de contribuer à la mise en œuvre de la politique d’endettement, du financement des projets et programme, ainsi qu’à la gestion des marchés de capitaux, et de publier périodiquement une Note de conjoncture de la dette publique du Cameroun.</w:t>
      </w:r>
      <w:bookmarkEnd w:id="33"/>
      <w:bookmarkEnd w:id="34"/>
      <w:bookmarkEnd w:id="35"/>
      <w:bookmarkEnd w:id="36"/>
      <w:bookmarkEnd w:id="37"/>
      <w:bookmarkEnd w:id="38"/>
    </w:p>
    <w:p w14:paraId="4D25C510" w14:textId="020AED45" w:rsidR="0093676D" w:rsidRPr="00CB4F2E" w:rsidRDefault="00C959F9" w:rsidP="00C959F9">
      <w:pPr>
        <w:pStyle w:val="SingleTxtG"/>
      </w:pPr>
      <w:r w:rsidRPr="00CB4F2E">
        <w:rPr>
          <w:bCs/>
        </w:rPr>
        <w:t>59.</w:t>
      </w:r>
      <w:r w:rsidRPr="00CB4F2E">
        <w:rPr>
          <w:bCs/>
        </w:rPr>
        <w:tab/>
      </w:r>
      <w:r w:rsidR="0093676D" w:rsidRPr="00CB4F2E">
        <w:t>Sous l’effet des prix des denrées alimentaires, l’inflation est passée de 6,3% en 2022 à 7,4% en 2023 puis à 5,0 % en décembre 2024, dépassant ainsi le seuil de 3% fixé par la CEMAC. L’inflation est en grande partie liée à l’augmentation des prix des produits alimentaires et des coûts des transports, les 2 postes de dépenses essentiels pour les ménages.</w:t>
      </w:r>
    </w:p>
    <w:p w14:paraId="3D05E542" w14:textId="013E202B" w:rsidR="0093676D" w:rsidRPr="00CB4F2E" w:rsidRDefault="00F8500C" w:rsidP="00F8500C">
      <w:pPr>
        <w:pStyle w:val="H4G"/>
      </w:pPr>
      <w:bookmarkStart w:id="39" w:name="_Toc210646311"/>
      <w:r>
        <w:tab/>
      </w:r>
      <w:r>
        <w:tab/>
      </w:r>
      <w:r w:rsidR="0093676D" w:rsidRPr="00CB4F2E">
        <w:t>Autres données</w:t>
      </w:r>
      <w:bookmarkEnd w:id="39"/>
    </w:p>
    <w:p w14:paraId="2BD13080" w14:textId="24E6694D" w:rsidR="00ED20A7" w:rsidRDefault="00346245" w:rsidP="00346245">
      <w:pPr>
        <w:pStyle w:val="H4G"/>
      </w:pPr>
      <w:r>
        <w:tab/>
      </w:r>
      <w:r>
        <w:tab/>
      </w:r>
      <w:r w:rsidR="00FC750F" w:rsidRPr="00CB4F2E">
        <w:t>a.</w:t>
      </w:r>
      <w:r w:rsidR="00FC750F" w:rsidRPr="00CB4F2E">
        <w:tab/>
      </w:r>
      <w:r w:rsidR="0093676D" w:rsidRPr="00CB4F2E">
        <w:t>La pauvreté</w:t>
      </w:r>
    </w:p>
    <w:p w14:paraId="37A1BF49" w14:textId="7E78F98F" w:rsidR="00ED20A7" w:rsidRDefault="00C959F9" w:rsidP="00C959F9">
      <w:pPr>
        <w:pStyle w:val="SingleTxtG"/>
      </w:pPr>
      <w:r>
        <w:rPr>
          <w:bCs/>
        </w:rPr>
        <w:t>60.</w:t>
      </w:r>
      <w:r>
        <w:rPr>
          <w:bCs/>
        </w:rPr>
        <w:tab/>
      </w:r>
      <w:r w:rsidR="0093676D" w:rsidRPr="00CB4F2E">
        <w:t>Sous-tendu par une croissance économique insuffisante, des distorsions liées à la redistribution des richesses, des différents chocs endogènes et exogènes et des fluctuations des cours mondiaux des principaux produits d’exportation ou d’importation, l’indice de pauvreté s’élevait à 37,7 % en 2022. Sur le plan spatial, la pauvreté était plus répandue en milieu rural où l’incidence était de 56,3% tandis que le milieu urbain enregistrait une incidence beaucoup plus faible de l’ordre de 21,6%. Les Régions de l’Extrême-Nord, du Nord-Ouest, du Nord, de l’Adamaoua, et de l’Est étaient les plus concernées par le phénomène, avec des niveaux de pauvreté supérieurs à la moyenne nationale. Par contre, les niveaux les plus bas de la pauvreté sont enregistrés dans les métropoles de Douala (8,3%) et Yaoundé (10,8%).</w:t>
      </w:r>
    </w:p>
    <w:p w14:paraId="331B2CC7" w14:textId="5E6FB4D3" w:rsidR="00ED20A7" w:rsidRDefault="00C959F9" w:rsidP="00C959F9">
      <w:pPr>
        <w:pStyle w:val="SingleTxtG"/>
      </w:pPr>
      <w:r>
        <w:rPr>
          <w:bCs/>
        </w:rPr>
        <w:lastRenderedPageBreak/>
        <w:t>61.</w:t>
      </w:r>
      <w:r>
        <w:rPr>
          <w:bCs/>
        </w:rPr>
        <w:tab/>
      </w:r>
      <w:r w:rsidR="0093676D" w:rsidRPr="00CB4F2E">
        <w:t>La pauvreté était plus sévère au sein des ménages dirigés par les hommes (38,9 %) par rapport à ceux dirigés par les femmes (32,8 %). La pauvreté touchait plus les personnes qui habitaient dans un ménage ayant un chef qui travaille dans le secteur primaire. Elle était plus faible au sein des ménages ayant un chef de ménage âgé de moins de 30 ans, soit une incidence de la pauvreté de 27,1 %, une intensité de la pauvreté de 9,3 % et une sévérité de la pauvreté de 4,4 %. La pauvreté monétaire atteignait son maximum au sein des ménages ayant un chef de ménage âgé de 50 ans ou plus.</w:t>
      </w:r>
    </w:p>
    <w:p w14:paraId="490109E8" w14:textId="448FDF20" w:rsidR="00ED20A7" w:rsidRDefault="00C959F9" w:rsidP="00C959F9">
      <w:pPr>
        <w:pStyle w:val="SingleTxtG"/>
      </w:pPr>
      <w:r>
        <w:rPr>
          <w:bCs/>
        </w:rPr>
        <w:t>62.</w:t>
      </w:r>
      <w:r>
        <w:rPr>
          <w:bCs/>
        </w:rPr>
        <w:tab/>
      </w:r>
      <w:r w:rsidR="0093676D" w:rsidRPr="00CB4F2E">
        <w:t>Quant aux inégalités de consommation, elles demeurent à un niveau élevé, car les 20% des ménages les plus riches avaient une consommation 10 fois supérieure à celle des 20% des ménages les plus pauvres</w:t>
      </w:r>
    </w:p>
    <w:p w14:paraId="26F1775C" w14:textId="4900F3A5" w:rsidR="00ED20A7" w:rsidRDefault="00C959F9" w:rsidP="00C959F9">
      <w:pPr>
        <w:pStyle w:val="SingleTxtG"/>
      </w:pPr>
      <w:r>
        <w:rPr>
          <w:bCs/>
        </w:rPr>
        <w:t>63.</w:t>
      </w:r>
      <w:r>
        <w:rPr>
          <w:bCs/>
        </w:rPr>
        <w:tab/>
      </w:r>
      <w:r w:rsidR="0093676D" w:rsidRPr="00CB4F2E">
        <w:t>Concernant la profondeur de la pauvreté, elle est restée relativement stable autour de 12 % (12,8 % en 2001 à 12,3 % en 2007). 13% en 2022 dont 6,5% en milieu urbain, 20,6% en milieu rural, 12,8% chez les hommes et 13,2% chez les femmes.</w:t>
      </w:r>
    </w:p>
    <w:p w14:paraId="48DCF95B" w14:textId="7A23C31C" w:rsidR="00ED20A7" w:rsidRDefault="00C959F9" w:rsidP="00C959F9">
      <w:pPr>
        <w:pStyle w:val="SingleTxtG"/>
      </w:pPr>
      <w:r>
        <w:rPr>
          <w:bCs/>
        </w:rPr>
        <w:t>64.</w:t>
      </w:r>
      <w:r>
        <w:rPr>
          <w:bCs/>
        </w:rPr>
        <w:tab/>
      </w:r>
      <w:r w:rsidR="0093676D" w:rsidRPr="00CB4F2E">
        <w:t>La sévérité de la pauvreté était de 6,0% en 2022 dont 2,7% en milieu urbain, 9,8% en milieu rural, 5,9% chez les hommes et 6,1% chez les femmes.</w:t>
      </w:r>
    </w:p>
    <w:p w14:paraId="6BB0258B" w14:textId="242D5507" w:rsidR="00ED20A7" w:rsidRDefault="00C959F9" w:rsidP="00C959F9">
      <w:pPr>
        <w:pStyle w:val="SingleTxtG"/>
      </w:pPr>
      <w:r>
        <w:rPr>
          <w:bCs/>
        </w:rPr>
        <w:t>65.</w:t>
      </w:r>
      <w:r>
        <w:rPr>
          <w:bCs/>
        </w:rPr>
        <w:tab/>
      </w:r>
      <w:r w:rsidR="0093676D" w:rsidRPr="00CB4F2E">
        <w:t>Dans le cadre de la Lutte contre l’extrême pauvreté, l’</w:t>
      </w:r>
      <w:proofErr w:type="spellStart"/>
      <w:r w:rsidR="0093676D" w:rsidRPr="00CB4F2E">
        <w:t>Etat</w:t>
      </w:r>
      <w:proofErr w:type="spellEnd"/>
      <w:r w:rsidR="0093676D" w:rsidRPr="00CB4F2E">
        <w:t xml:space="preserve"> exécute des projets destinés à atténuer les aléas financiers, susciter des petits investissements productifs, y compris dans le domaine agricole, et faciliter les dépenses notamment d’alimentation, d’éducation et de santé. C’est le cas du </w:t>
      </w:r>
      <w:r w:rsidR="0093676D" w:rsidRPr="00CB4F2E">
        <w:rPr>
          <w:i/>
          <w:iCs/>
        </w:rPr>
        <w:t xml:space="preserve">Projet Filets Sociaux Adaptatifs et d’Inclusion </w:t>
      </w:r>
      <w:proofErr w:type="spellStart"/>
      <w:r w:rsidR="0093676D" w:rsidRPr="00CB4F2E">
        <w:rPr>
          <w:i/>
          <w:iCs/>
        </w:rPr>
        <w:t>Economique</w:t>
      </w:r>
      <w:proofErr w:type="spellEnd"/>
      <w:r w:rsidR="0093676D" w:rsidRPr="00CB4F2E">
        <w:t>-PFS-AIE qui vise des transferts monétaires à 356 000 familles bénéficiaires. Lancé en 2023, le PFS-AIE a bénéficié d’un appui de 160 000 000 dollars US de la Banque Mondiale à la faveur de 217 500 ménages bénéficiaires et de 18 000 000 000 FCFA de l’</w:t>
      </w:r>
      <w:proofErr w:type="spellStart"/>
      <w:r w:rsidR="0093676D" w:rsidRPr="00CB4F2E">
        <w:t>Etat</w:t>
      </w:r>
      <w:proofErr w:type="spellEnd"/>
      <w:r w:rsidR="0093676D" w:rsidRPr="00CB4F2E">
        <w:t xml:space="preserve"> du Cameroun pour 138 500 bénéficiaires. En 2024, le PFS-AIE s’est focalisé sur la poursuite des activités de paiement des transferts monétaires aux ménages bénéficiaires déjà ciblés et celles du ciblage des nouveaux bénéficiaires. Comme réparti dans le tableau ci-dessous, 7 175 000 000 de FCFA ont été transférés à 58 500 ménages bénéficiaires.</w:t>
      </w:r>
    </w:p>
    <w:p w14:paraId="73ECCD63" w14:textId="061292C3" w:rsidR="0093676D" w:rsidRPr="00CB4F2E" w:rsidRDefault="00346245" w:rsidP="00346245">
      <w:pPr>
        <w:pStyle w:val="H4G"/>
      </w:pPr>
      <w:r>
        <w:tab/>
      </w:r>
      <w:r>
        <w:tab/>
      </w:r>
      <w:r w:rsidR="0093676D" w:rsidRPr="00CB4F2E">
        <w:t>Tableau sur le paiement des transferts monétaires aux ménages bénéficiaires en 2024</w:t>
      </w:r>
    </w:p>
    <w:tbl>
      <w:tblPr>
        <w:tblW w:w="7370" w:type="dxa"/>
        <w:jc w:val="center"/>
        <w:tblLayout w:type="fixed"/>
        <w:tblCellMar>
          <w:left w:w="0" w:type="dxa"/>
          <w:right w:w="0" w:type="dxa"/>
        </w:tblCellMar>
        <w:tblLook w:val="0400" w:firstRow="0" w:lastRow="0" w:firstColumn="0" w:lastColumn="0" w:noHBand="0" w:noVBand="1"/>
      </w:tblPr>
      <w:tblGrid>
        <w:gridCol w:w="1108"/>
        <w:gridCol w:w="620"/>
        <w:gridCol w:w="772"/>
        <w:gridCol w:w="649"/>
        <w:gridCol w:w="1299"/>
        <w:gridCol w:w="1277"/>
        <w:gridCol w:w="1645"/>
      </w:tblGrid>
      <w:tr w:rsidR="0093676D" w:rsidRPr="00CB4F2E" w14:paraId="7022F6AC" w14:textId="77777777" w:rsidTr="00D80992">
        <w:trPr>
          <w:tblHeader/>
          <w:jc w:val="center"/>
        </w:trPr>
        <w:tc>
          <w:tcPr>
            <w:tcW w:w="1448" w:type="dxa"/>
            <w:vMerge w:val="restart"/>
            <w:tcBorders>
              <w:top w:val="single" w:sz="4" w:space="0" w:color="auto"/>
              <w:bottom w:val="single" w:sz="12" w:space="0" w:color="auto"/>
            </w:tcBorders>
            <w:vAlign w:val="bottom"/>
          </w:tcPr>
          <w:p w14:paraId="5E904846" w14:textId="77777777" w:rsidR="0093676D" w:rsidRPr="00CB4F2E" w:rsidRDefault="0093676D" w:rsidP="00D80992">
            <w:pPr>
              <w:rPr>
                <w:i/>
              </w:rPr>
            </w:pPr>
            <w:r w:rsidRPr="00CB4F2E">
              <w:rPr>
                <w:i/>
              </w:rPr>
              <w:t>Programmes</w:t>
            </w:r>
          </w:p>
        </w:tc>
        <w:tc>
          <w:tcPr>
            <w:tcW w:w="2663" w:type="dxa"/>
            <w:gridSpan w:val="3"/>
            <w:tcBorders>
              <w:top w:val="single" w:sz="4" w:space="0" w:color="auto"/>
              <w:bottom w:val="single" w:sz="12" w:space="0" w:color="auto"/>
            </w:tcBorders>
            <w:vAlign w:val="bottom"/>
          </w:tcPr>
          <w:p w14:paraId="60318244" w14:textId="77777777" w:rsidR="0093676D" w:rsidRPr="00CB4F2E" w:rsidRDefault="0093676D" w:rsidP="00D80992">
            <w:pPr>
              <w:rPr>
                <w:i/>
              </w:rPr>
            </w:pPr>
            <w:r w:rsidRPr="00CB4F2E">
              <w:rPr>
                <w:i/>
              </w:rPr>
              <w:t>Ménages Bénéficiaires</w:t>
            </w:r>
          </w:p>
        </w:tc>
        <w:tc>
          <w:tcPr>
            <w:tcW w:w="5528" w:type="dxa"/>
            <w:gridSpan w:val="3"/>
            <w:tcBorders>
              <w:top w:val="single" w:sz="4" w:space="0" w:color="auto"/>
              <w:bottom w:val="single" w:sz="12" w:space="0" w:color="auto"/>
            </w:tcBorders>
            <w:vAlign w:val="bottom"/>
          </w:tcPr>
          <w:p w14:paraId="665F4690" w14:textId="77777777" w:rsidR="0093676D" w:rsidRPr="00CB4F2E" w:rsidRDefault="0093676D" w:rsidP="00D80992">
            <w:pPr>
              <w:rPr>
                <w:i/>
              </w:rPr>
            </w:pPr>
            <w:r w:rsidRPr="00CB4F2E">
              <w:rPr>
                <w:i/>
              </w:rPr>
              <w:t>Montants transférés aux bénéficiaires en FCFA</w:t>
            </w:r>
            <w:r w:rsidRPr="00CB4F2E">
              <w:rPr>
                <w:rStyle w:val="FootnoteReference"/>
              </w:rPr>
              <w:footnoteReference w:id="19"/>
            </w:r>
          </w:p>
        </w:tc>
      </w:tr>
      <w:tr w:rsidR="0093676D" w:rsidRPr="00CB4F2E" w14:paraId="50BFC541" w14:textId="77777777" w:rsidTr="00D80992">
        <w:trPr>
          <w:tblHeader/>
          <w:jc w:val="center"/>
        </w:trPr>
        <w:tc>
          <w:tcPr>
            <w:tcW w:w="1448" w:type="dxa"/>
            <w:vMerge/>
            <w:tcBorders>
              <w:top w:val="single" w:sz="12" w:space="0" w:color="auto"/>
            </w:tcBorders>
            <w:vAlign w:val="bottom"/>
          </w:tcPr>
          <w:p w14:paraId="085E2810" w14:textId="77777777" w:rsidR="0093676D" w:rsidRPr="00CB4F2E" w:rsidRDefault="0093676D" w:rsidP="00D80992"/>
        </w:tc>
        <w:tc>
          <w:tcPr>
            <w:tcW w:w="808" w:type="dxa"/>
            <w:tcBorders>
              <w:top w:val="single" w:sz="12" w:space="0" w:color="auto"/>
            </w:tcBorders>
            <w:vAlign w:val="bottom"/>
          </w:tcPr>
          <w:p w14:paraId="1F339FCB" w14:textId="77777777" w:rsidR="0093676D" w:rsidRPr="00CB4F2E" w:rsidRDefault="0093676D" w:rsidP="00D80992">
            <w:proofErr w:type="spellStart"/>
            <w:r w:rsidRPr="00CB4F2E">
              <w:t>Etat</w:t>
            </w:r>
            <w:proofErr w:type="spellEnd"/>
          </w:p>
        </w:tc>
        <w:tc>
          <w:tcPr>
            <w:tcW w:w="1008" w:type="dxa"/>
            <w:tcBorders>
              <w:top w:val="single" w:sz="12" w:space="0" w:color="auto"/>
            </w:tcBorders>
            <w:vAlign w:val="bottom"/>
          </w:tcPr>
          <w:p w14:paraId="1A85E825" w14:textId="77777777" w:rsidR="0093676D" w:rsidRPr="00CB4F2E" w:rsidRDefault="0093676D" w:rsidP="00D80992">
            <w:r w:rsidRPr="00CB4F2E">
              <w:t xml:space="preserve">BM </w:t>
            </w:r>
          </w:p>
        </w:tc>
        <w:tc>
          <w:tcPr>
            <w:tcW w:w="847" w:type="dxa"/>
            <w:tcBorders>
              <w:top w:val="single" w:sz="12" w:space="0" w:color="auto"/>
            </w:tcBorders>
            <w:vAlign w:val="bottom"/>
          </w:tcPr>
          <w:p w14:paraId="1E278C2A" w14:textId="77777777" w:rsidR="0093676D" w:rsidRPr="00CB4F2E" w:rsidRDefault="0093676D" w:rsidP="00D80992">
            <w:r w:rsidRPr="00CB4F2E">
              <w:t xml:space="preserve">Total </w:t>
            </w:r>
          </w:p>
        </w:tc>
        <w:tc>
          <w:tcPr>
            <w:tcW w:w="1701" w:type="dxa"/>
            <w:tcBorders>
              <w:top w:val="single" w:sz="12" w:space="0" w:color="auto"/>
            </w:tcBorders>
            <w:vAlign w:val="bottom"/>
          </w:tcPr>
          <w:p w14:paraId="6E38EDFD" w14:textId="77777777" w:rsidR="0093676D" w:rsidRPr="00CB4F2E" w:rsidRDefault="0093676D" w:rsidP="00D80992">
            <w:proofErr w:type="spellStart"/>
            <w:r w:rsidRPr="00CB4F2E">
              <w:t>Etat</w:t>
            </w:r>
            <w:proofErr w:type="spellEnd"/>
          </w:p>
        </w:tc>
        <w:tc>
          <w:tcPr>
            <w:tcW w:w="1672" w:type="dxa"/>
            <w:tcBorders>
              <w:top w:val="single" w:sz="12" w:space="0" w:color="auto"/>
            </w:tcBorders>
            <w:vAlign w:val="bottom"/>
          </w:tcPr>
          <w:p w14:paraId="190EEEBC" w14:textId="77777777" w:rsidR="0093676D" w:rsidRPr="00CB4F2E" w:rsidRDefault="0093676D" w:rsidP="00D80992">
            <w:r w:rsidRPr="00CB4F2E">
              <w:t xml:space="preserve">BM </w:t>
            </w:r>
          </w:p>
        </w:tc>
        <w:tc>
          <w:tcPr>
            <w:tcW w:w="2155" w:type="dxa"/>
            <w:tcBorders>
              <w:top w:val="single" w:sz="12" w:space="0" w:color="auto"/>
            </w:tcBorders>
            <w:vAlign w:val="bottom"/>
          </w:tcPr>
          <w:p w14:paraId="6CE96475" w14:textId="77777777" w:rsidR="0093676D" w:rsidRPr="00CB4F2E" w:rsidRDefault="0093676D" w:rsidP="00D80992">
            <w:r w:rsidRPr="00CB4F2E">
              <w:t xml:space="preserve">Total </w:t>
            </w:r>
          </w:p>
        </w:tc>
      </w:tr>
      <w:tr w:rsidR="0093676D" w:rsidRPr="00CB4F2E" w14:paraId="0B64AD76" w14:textId="77777777" w:rsidTr="00D80992">
        <w:trPr>
          <w:jc w:val="center"/>
        </w:trPr>
        <w:tc>
          <w:tcPr>
            <w:tcW w:w="1448" w:type="dxa"/>
          </w:tcPr>
          <w:p w14:paraId="67FF260D" w14:textId="77777777" w:rsidR="0093676D" w:rsidRPr="00CB4F2E" w:rsidRDefault="0093676D" w:rsidP="00D80992">
            <w:r w:rsidRPr="00CB4F2E">
              <w:t>TMO</w:t>
            </w:r>
          </w:p>
        </w:tc>
        <w:tc>
          <w:tcPr>
            <w:tcW w:w="808" w:type="dxa"/>
            <w:vAlign w:val="bottom"/>
          </w:tcPr>
          <w:p w14:paraId="4263BFF3" w14:textId="77777777" w:rsidR="0093676D" w:rsidRPr="00CB4F2E" w:rsidRDefault="0093676D" w:rsidP="00D80992">
            <w:r w:rsidRPr="00CB4F2E">
              <w:t>14 000</w:t>
            </w:r>
          </w:p>
        </w:tc>
        <w:tc>
          <w:tcPr>
            <w:tcW w:w="1008" w:type="dxa"/>
            <w:vAlign w:val="bottom"/>
          </w:tcPr>
          <w:p w14:paraId="07C7B774" w14:textId="77777777" w:rsidR="0093676D" w:rsidRPr="00CB4F2E" w:rsidRDefault="0093676D" w:rsidP="00D80992">
            <w:r w:rsidRPr="00CB4F2E">
              <w:t>22 000</w:t>
            </w:r>
          </w:p>
        </w:tc>
        <w:tc>
          <w:tcPr>
            <w:tcW w:w="847" w:type="dxa"/>
            <w:vAlign w:val="bottom"/>
          </w:tcPr>
          <w:p w14:paraId="13D59F61" w14:textId="77777777" w:rsidR="0093676D" w:rsidRPr="00CB4F2E" w:rsidRDefault="0093676D" w:rsidP="00D80992">
            <w:r w:rsidRPr="00CB4F2E">
              <w:t>36 000</w:t>
            </w:r>
          </w:p>
        </w:tc>
        <w:tc>
          <w:tcPr>
            <w:tcW w:w="1701" w:type="dxa"/>
            <w:vAlign w:val="bottom"/>
          </w:tcPr>
          <w:p w14:paraId="05501599" w14:textId="77777777" w:rsidR="0093676D" w:rsidRPr="00CB4F2E" w:rsidRDefault="0093676D" w:rsidP="00D80992">
            <w:r w:rsidRPr="00CB4F2E">
              <w:t>1 080 000 000</w:t>
            </w:r>
          </w:p>
        </w:tc>
        <w:tc>
          <w:tcPr>
            <w:tcW w:w="1672" w:type="dxa"/>
            <w:vAlign w:val="bottom"/>
          </w:tcPr>
          <w:p w14:paraId="6C593B63" w14:textId="77777777" w:rsidR="0093676D" w:rsidRPr="00CB4F2E" w:rsidRDefault="0093676D" w:rsidP="00D80992">
            <w:r w:rsidRPr="00CB4F2E">
              <w:t>3 320 000 000</w:t>
            </w:r>
          </w:p>
        </w:tc>
        <w:tc>
          <w:tcPr>
            <w:tcW w:w="2155" w:type="dxa"/>
            <w:vAlign w:val="bottom"/>
          </w:tcPr>
          <w:p w14:paraId="364836A2" w14:textId="77777777" w:rsidR="0093676D" w:rsidRPr="00CB4F2E" w:rsidRDefault="0093676D" w:rsidP="00D80992">
            <w:r w:rsidRPr="00CB4F2E">
              <w:t>4 400 000 000</w:t>
            </w:r>
          </w:p>
        </w:tc>
      </w:tr>
      <w:tr w:rsidR="0093676D" w:rsidRPr="00CB4F2E" w14:paraId="705E943D" w14:textId="77777777" w:rsidTr="00D80992">
        <w:trPr>
          <w:jc w:val="center"/>
        </w:trPr>
        <w:tc>
          <w:tcPr>
            <w:tcW w:w="1448" w:type="dxa"/>
          </w:tcPr>
          <w:p w14:paraId="305F3BB8" w14:textId="77777777" w:rsidR="0093676D" w:rsidRPr="00CB4F2E" w:rsidRDefault="0093676D" w:rsidP="00D80992">
            <w:r w:rsidRPr="00CB4F2E">
              <w:t>TMU</w:t>
            </w:r>
          </w:p>
        </w:tc>
        <w:tc>
          <w:tcPr>
            <w:tcW w:w="808" w:type="dxa"/>
            <w:vAlign w:val="bottom"/>
          </w:tcPr>
          <w:p w14:paraId="5082CFFE" w14:textId="77777777" w:rsidR="0093676D" w:rsidRPr="00CB4F2E" w:rsidRDefault="0093676D" w:rsidP="00D80992">
            <w:r w:rsidRPr="00CB4F2E">
              <w:t>0</w:t>
            </w:r>
          </w:p>
        </w:tc>
        <w:tc>
          <w:tcPr>
            <w:tcW w:w="1008" w:type="dxa"/>
            <w:vAlign w:val="bottom"/>
          </w:tcPr>
          <w:p w14:paraId="45722E6C" w14:textId="77777777" w:rsidR="0093676D" w:rsidRPr="00CB4F2E" w:rsidRDefault="0093676D" w:rsidP="00D80992">
            <w:r w:rsidRPr="00CB4F2E">
              <w:t>12 500</w:t>
            </w:r>
          </w:p>
        </w:tc>
        <w:tc>
          <w:tcPr>
            <w:tcW w:w="847" w:type="dxa"/>
            <w:vAlign w:val="bottom"/>
          </w:tcPr>
          <w:p w14:paraId="486BB555" w14:textId="77777777" w:rsidR="0093676D" w:rsidRPr="00CB4F2E" w:rsidRDefault="0093676D" w:rsidP="00D80992">
            <w:r w:rsidRPr="00CB4F2E">
              <w:t>12 500</w:t>
            </w:r>
          </w:p>
        </w:tc>
        <w:tc>
          <w:tcPr>
            <w:tcW w:w="1701" w:type="dxa"/>
            <w:vAlign w:val="bottom"/>
          </w:tcPr>
          <w:p w14:paraId="67185E62" w14:textId="77777777" w:rsidR="0093676D" w:rsidRPr="00CB4F2E" w:rsidRDefault="0093676D" w:rsidP="00D80992"/>
        </w:tc>
        <w:tc>
          <w:tcPr>
            <w:tcW w:w="1672" w:type="dxa"/>
            <w:vAlign w:val="bottom"/>
          </w:tcPr>
          <w:p w14:paraId="2CE9D402" w14:textId="77777777" w:rsidR="0093676D" w:rsidRPr="00CB4F2E" w:rsidRDefault="0093676D" w:rsidP="00D80992">
            <w:r w:rsidRPr="00CB4F2E">
              <w:t>1 875 000 000</w:t>
            </w:r>
          </w:p>
        </w:tc>
        <w:tc>
          <w:tcPr>
            <w:tcW w:w="2155" w:type="dxa"/>
            <w:vAlign w:val="bottom"/>
          </w:tcPr>
          <w:p w14:paraId="2177149D" w14:textId="77777777" w:rsidR="0093676D" w:rsidRPr="00CB4F2E" w:rsidRDefault="0093676D" w:rsidP="00D80992">
            <w:r w:rsidRPr="00CB4F2E">
              <w:t>1 875 000 000</w:t>
            </w:r>
          </w:p>
        </w:tc>
      </w:tr>
      <w:tr w:rsidR="0093676D" w:rsidRPr="00CB4F2E" w14:paraId="767C9A4D" w14:textId="77777777" w:rsidTr="00D80992">
        <w:trPr>
          <w:jc w:val="center"/>
        </w:trPr>
        <w:tc>
          <w:tcPr>
            <w:tcW w:w="1448" w:type="dxa"/>
          </w:tcPr>
          <w:p w14:paraId="7769D3C1" w14:textId="77777777" w:rsidR="0093676D" w:rsidRPr="00CB4F2E" w:rsidRDefault="0093676D" w:rsidP="00D80992">
            <w:r w:rsidRPr="00CB4F2E">
              <w:t>THIMO</w:t>
            </w:r>
          </w:p>
        </w:tc>
        <w:tc>
          <w:tcPr>
            <w:tcW w:w="808" w:type="dxa"/>
            <w:vAlign w:val="bottom"/>
          </w:tcPr>
          <w:p w14:paraId="31ED8D06" w14:textId="77777777" w:rsidR="0093676D" w:rsidRPr="00CB4F2E" w:rsidRDefault="0093676D" w:rsidP="00D80992">
            <w:r w:rsidRPr="00CB4F2E">
              <w:t>0</w:t>
            </w:r>
          </w:p>
        </w:tc>
        <w:tc>
          <w:tcPr>
            <w:tcW w:w="1008" w:type="dxa"/>
            <w:vAlign w:val="bottom"/>
          </w:tcPr>
          <w:p w14:paraId="0147E70A" w14:textId="77777777" w:rsidR="0093676D" w:rsidRPr="00CB4F2E" w:rsidRDefault="0093676D" w:rsidP="00D80992">
            <w:r w:rsidRPr="00CB4F2E">
              <w:t>10 000</w:t>
            </w:r>
          </w:p>
        </w:tc>
        <w:tc>
          <w:tcPr>
            <w:tcW w:w="847" w:type="dxa"/>
            <w:vAlign w:val="bottom"/>
          </w:tcPr>
          <w:p w14:paraId="3E772587" w14:textId="77777777" w:rsidR="0093676D" w:rsidRPr="00CB4F2E" w:rsidRDefault="0093676D" w:rsidP="00D80992">
            <w:r w:rsidRPr="00CB4F2E">
              <w:t>10 000</w:t>
            </w:r>
          </w:p>
        </w:tc>
        <w:tc>
          <w:tcPr>
            <w:tcW w:w="1701" w:type="dxa"/>
            <w:vAlign w:val="bottom"/>
          </w:tcPr>
          <w:p w14:paraId="7BE77D0A" w14:textId="77777777" w:rsidR="0093676D" w:rsidRPr="00CB4F2E" w:rsidRDefault="0093676D" w:rsidP="00D80992"/>
        </w:tc>
        <w:tc>
          <w:tcPr>
            <w:tcW w:w="1672" w:type="dxa"/>
            <w:vAlign w:val="bottom"/>
          </w:tcPr>
          <w:p w14:paraId="7AB4DB7F" w14:textId="77777777" w:rsidR="0093676D" w:rsidRPr="00CB4F2E" w:rsidRDefault="0093676D" w:rsidP="00D80992">
            <w:r w:rsidRPr="00CB4F2E">
              <w:t>900 000 000</w:t>
            </w:r>
          </w:p>
        </w:tc>
        <w:tc>
          <w:tcPr>
            <w:tcW w:w="2155" w:type="dxa"/>
            <w:vAlign w:val="bottom"/>
          </w:tcPr>
          <w:p w14:paraId="07558283" w14:textId="77777777" w:rsidR="0093676D" w:rsidRPr="00CB4F2E" w:rsidRDefault="0093676D" w:rsidP="00D80992">
            <w:r w:rsidRPr="00CB4F2E">
              <w:t>900 000 000</w:t>
            </w:r>
          </w:p>
        </w:tc>
      </w:tr>
      <w:tr w:rsidR="0093676D" w:rsidRPr="00CB4F2E" w14:paraId="11F3010C" w14:textId="77777777" w:rsidTr="00D80992">
        <w:trPr>
          <w:jc w:val="center"/>
        </w:trPr>
        <w:tc>
          <w:tcPr>
            <w:tcW w:w="1448" w:type="dxa"/>
            <w:tcBorders>
              <w:bottom w:val="single" w:sz="12" w:space="0" w:color="auto"/>
            </w:tcBorders>
          </w:tcPr>
          <w:p w14:paraId="25387D73" w14:textId="77777777" w:rsidR="0093676D" w:rsidRPr="00CB4F2E" w:rsidRDefault="0093676D" w:rsidP="00D80992">
            <w:r w:rsidRPr="00CB4F2E">
              <w:t>Total</w:t>
            </w:r>
          </w:p>
        </w:tc>
        <w:tc>
          <w:tcPr>
            <w:tcW w:w="808" w:type="dxa"/>
            <w:tcBorders>
              <w:bottom w:val="single" w:sz="12" w:space="0" w:color="auto"/>
            </w:tcBorders>
            <w:vAlign w:val="bottom"/>
          </w:tcPr>
          <w:p w14:paraId="033179D3" w14:textId="77777777" w:rsidR="0093676D" w:rsidRPr="00CB4F2E" w:rsidRDefault="0093676D" w:rsidP="00D80992">
            <w:r w:rsidRPr="00CB4F2E">
              <w:t>14 000</w:t>
            </w:r>
          </w:p>
        </w:tc>
        <w:tc>
          <w:tcPr>
            <w:tcW w:w="1008" w:type="dxa"/>
            <w:tcBorders>
              <w:bottom w:val="single" w:sz="12" w:space="0" w:color="auto"/>
            </w:tcBorders>
            <w:vAlign w:val="bottom"/>
          </w:tcPr>
          <w:p w14:paraId="1C1B4D5A" w14:textId="77777777" w:rsidR="0093676D" w:rsidRPr="00CB4F2E" w:rsidRDefault="0093676D" w:rsidP="00D80992">
            <w:r w:rsidRPr="00CB4F2E">
              <w:t>44 500</w:t>
            </w:r>
          </w:p>
        </w:tc>
        <w:tc>
          <w:tcPr>
            <w:tcW w:w="847" w:type="dxa"/>
            <w:tcBorders>
              <w:bottom w:val="single" w:sz="12" w:space="0" w:color="auto"/>
            </w:tcBorders>
            <w:vAlign w:val="bottom"/>
          </w:tcPr>
          <w:p w14:paraId="5E7323ED" w14:textId="77777777" w:rsidR="0093676D" w:rsidRPr="00CB4F2E" w:rsidRDefault="0093676D" w:rsidP="00D80992">
            <w:r w:rsidRPr="00CB4F2E">
              <w:t>58 500</w:t>
            </w:r>
          </w:p>
        </w:tc>
        <w:tc>
          <w:tcPr>
            <w:tcW w:w="1701" w:type="dxa"/>
            <w:tcBorders>
              <w:bottom w:val="single" w:sz="12" w:space="0" w:color="auto"/>
            </w:tcBorders>
            <w:vAlign w:val="bottom"/>
          </w:tcPr>
          <w:p w14:paraId="02362EB7" w14:textId="77777777" w:rsidR="0093676D" w:rsidRPr="00CB4F2E" w:rsidRDefault="0093676D" w:rsidP="00D80992">
            <w:r w:rsidRPr="00CB4F2E">
              <w:t>1 080 000 000</w:t>
            </w:r>
          </w:p>
        </w:tc>
        <w:tc>
          <w:tcPr>
            <w:tcW w:w="1672" w:type="dxa"/>
            <w:tcBorders>
              <w:bottom w:val="single" w:sz="12" w:space="0" w:color="auto"/>
            </w:tcBorders>
            <w:vAlign w:val="bottom"/>
          </w:tcPr>
          <w:p w14:paraId="73AAE05E" w14:textId="77777777" w:rsidR="0093676D" w:rsidRPr="00CB4F2E" w:rsidRDefault="0093676D" w:rsidP="00D80992">
            <w:r w:rsidRPr="00CB4F2E">
              <w:t>6 095 000 000</w:t>
            </w:r>
          </w:p>
        </w:tc>
        <w:tc>
          <w:tcPr>
            <w:tcW w:w="2155" w:type="dxa"/>
            <w:tcBorders>
              <w:bottom w:val="single" w:sz="12" w:space="0" w:color="auto"/>
            </w:tcBorders>
            <w:vAlign w:val="bottom"/>
          </w:tcPr>
          <w:p w14:paraId="7D6E77B3" w14:textId="77777777" w:rsidR="0093676D" w:rsidRPr="00CB4F2E" w:rsidRDefault="0093676D" w:rsidP="00D80992">
            <w:r w:rsidRPr="00CB4F2E">
              <w:t>7 175 000 000</w:t>
            </w:r>
          </w:p>
        </w:tc>
      </w:tr>
    </w:tbl>
    <w:p w14:paraId="7DCE3C47" w14:textId="77777777" w:rsidR="00ED20A7" w:rsidRDefault="0093676D" w:rsidP="0093676D">
      <w:r w:rsidRPr="00CB4F2E">
        <w:rPr>
          <w:b/>
          <w:bCs/>
        </w:rPr>
        <w:tab/>
      </w:r>
      <w:r w:rsidRPr="00CB4F2E">
        <w:rPr>
          <w:b/>
          <w:bCs/>
        </w:rPr>
        <w:tab/>
        <w:t>Source</w:t>
      </w:r>
      <w:r w:rsidRPr="00CB4F2E">
        <w:t> : MINEPAT</w:t>
      </w:r>
    </w:p>
    <w:p w14:paraId="3B7AE0F5" w14:textId="4023457B" w:rsidR="0093676D" w:rsidRPr="00CB4F2E" w:rsidRDefault="00C959F9" w:rsidP="00C959F9">
      <w:pPr>
        <w:pStyle w:val="SingleTxtG"/>
      </w:pPr>
      <w:r w:rsidRPr="00CB4F2E">
        <w:rPr>
          <w:bCs/>
        </w:rPr>
        <w:t>66.</w:t>
      </w:r>
      <w:r w:rsidRPr="00CB4F2E">
        <w:rPr>
          <w:bCs/>
        </w:rPr>
        <w:tab/>
      </w:r>
      <w:r w:rsidR="0093676D" w:rsidRPr="00CB4F2E">
        <w:t>Davantage, le Décret n° 2023/00338/PM du 21 mars 2023 a relevé le Salaire Minimum Interprofessionnel Garanti (SMIG) de 13,38% pour les agents de l'</w:t>
      </w:r>
      <w:proofErr w:type="spellStart"/>
      <w:r w:rsidR="0093676D" w:rsidRPr="00CB4F2E">
        <w:t>Etat</w:t>
      </w:r>
      <w:proofErr w:type="spellEnd"/>
      <w:r w:rsidR="0093676D" w:rsidRPr="00CB4F2E">
        <w:t xml:space="preserve"> relevant du Code du Travail, de 19,4% pour le secteur agricole et assimilé et de 36% pour les autres secteurs d'activités.</w:t>
      </w:r>
    </w:p>
    <w:p w14:paraId="7B353C2D" w14:textId="0728BE59" w:rsidR="00ED20A7" w:rsidRDefault="00346245" w:rsidP="00346245">
      <w:pPr>
        <w:pStyle w:val="H4G"/>
      </w:pPr>
      <w:r>
        <w:tab/>
      </w:r>
      <w:r>
        <w:tab/>
      </w:r>
      <w:r w:rsidR="00FC750F" w:rsidRPr="00CB4F2E">
        <w:t>b.</w:t>
      </w:r>
      <w:r w:rsidR="00FC750F" w:rsidRPr="00CB4F2E">
        <w:tab/>
      </w:r>
      <w:r w:rsidR="0093676D" w:rsidRPr="00CB4F2E">
        <w:t>L’accès à l’eau, à l’énergie et autres </w:t>
      </w:r>
    </w:p>
    <w:p w14:paraId="1C7F7992" w14:textId="5B8CB5B2" w:rsidR="00ED20A7" w:rsidRDefault="00C959F9" w:rsidP="00C959F9">
      <w:pPr>
        <w:pStyle w:val="SingleTxtG"/>
      </w:pPr>
      <w:r>
        <w:rPr>
          <w:bCs/>
        </w:rPr>
        <w:t>67.</w:t>
      </w:r>
      <w:r>
        <w:rPr>
          <w:bCs/>
        </w:rPr>
        <w:tab/>
      </w:r>
      <w:r w:rsidR="0093676D" w:rsidRPr="00CB4F2E">
        <w:t xml:space="preserve">En 2022, le taux d’accès aux installations sanitaires améliorées et non partagées était de 47,7% contre 40,4% en 2014. Avec notamment la construction de nouvelles infrastructures structurantes, l’offre en eau potable est passée de 76,7% en 2014 à 80% en 2022. La capacité de production de la </w:t>
      </w:r>
      <w:proofErr w:type="spellStart"/>
      <w:r w:rsidR="0093676D" w:rsidRPr="00CB4F2E">
        <w:rPr>
          <w:i/>
          <w:iCs/>
        </w:rPr>
        <w:t>Cameroon</w:t>
      </w:r>
      <w:proofErr w:type="spellEnd"/>
      <w:r w:rsidR="0093676D" w:rsidRPr="00CB4F2E">
        <w:rPr>
          <w:i/>
          <w:iCs/>
        </w:rPr>
        <w:t xml:space="preserve"> Water Utilities Corporation</w:t>
      </w:r>
      <w:r w:rsidR="0093676D" w:rsidRPr="00CB4F2E">
        <w:t xml:space="preserve"> (</w:t>
      </w:r>
      <w:hyperlink r:id="rId20" w:history="1">
        <w:r w:rsidR="0093676D" w:rsidRPr="00CB4F2E">
          <w:rPr>
            <w:rStyle w:val="Hyperlink"/>
          </w:rPr>
          <w:t>https://www.camwater.cm/fr/</w:t>
        </w:r>
      </w:hyperlink>
      <w:r w:rsidR="0093676D" w:rsidRPr="00CB4F2E">
        <w:t>) en milieu urbain est passée de 650 000 m</w:t>
      </w:r>
      <w:r w:rsidR="0093676D" w:rsidRPr="00CB4F2E">
        <w:rPr>
          <w:vertAlign w:val="superscript"/>
        </w:rPr>
        <w:t>3</w:t>
      </w:r>
      <w:r w:rsidR="0093676D" w:rsidRPr="00CB4F2E">
        <w:t>/j en 2015 à 871 402 m</w:t>
      </w:r>
      <w:r w:rsidR="0093676D" w:rsidRPr="00CB4F2E">
        <w:rPr>
          <w:vertAlign w:val="superscript"/>
        </w:rPr>
        <w:t>3</w:t>
      </w:r>
      <w:r w:rsidR="0093676D" w:rsidRPr="00CB4F2E">
        <w:t>/j en 2024. Sa capacité de stockage est passée de 249 884 m</w:t>
      </w:r>
      <w:r w:rsidR="0093676D" w:rsidRPr="00CB4F2E">
        <w:rPr>
          <w:vertAlign w:val="superscript"/>
        </w:rPr>
        <w:t>3</w:t>
      </w:r>
      <w:r w:rsidR="0093676D" w:rsidRPr="00CB4F2E">
        <w:t>en 2017 à environ 291 319 m</w:t>
      </w:r>
      <w:r w:rsidR="0093676D" w:rsidRPr="00CB4F2E">
        <w:rPr>
          <w:vertAlign w:val="superscript"/>
        </w:rPr>
        <w:t>3</w:t>
      </w:r>
      <w:r w:rsidR="0093676D" w:rsidRPr="00CB4F2E">
        <w:t>en 2024.</w:t>
      </w:r>
    </w:p>
    <w:p w14:paraId="229AB18E" w14:textId="1B13A424" w:rsidR="0093676D" w:rsidRPr="00CB4F2E" w:rsidRDefault="00C959F9" w:rsidP="00C959F9">
      <w:pPr>
        <w:pStyle w:val="SingleTxtG"/>
      </w:pPr>
      <w:r w:rsidRPr="00CB4F2E">
        <w:rPr>
          <w:bCs/>
        </w:rPr>
        <w:t>68.</w:t>
      </w:r>
      <w:r w:rsidRPr="00CB4F2E">
        <w:rPr>
          <w:bCs/>
        </w:rPr>
        <w:tab/>
      </w:r>
      <w:r w:rsidR="0093676D" w:rsidRPr="00CB4F2E">
        <w:t xml:space="preserve">De 2014 à 2022, le taux d’accès à l’électricité de 58,4% à 67% (des disparités significatives persistant entre la zone urbaine avec un taux d’accès de 87,6% et la zone rurale avec 28,4%). L'utilisation des énergies propres pour la cuisson restait faible, 23,4% de la population utilisant des énergies propres en 2022. Les énergies renouvelables consommées au Cameroun sont de nature solaire, éolienne et biomasse. La part des énergies renouvelables </w:t>
      </w:r>
      <w:r w:rsidR="0093676D" w:rsidRPr="00CB4F2E">
        <w:lastRenderedPageBreak/>
        <w:t xml:space="preserve">dans la consommation totale d'énergie était évaluée à 0,8% en 2020 et 3,1% en 2023. Un Plan de Redressement du Secteur de l’Électricité 2023-2027 a été élaboré </w:t>
      </w:r>
    </w:p>
    <w:p w14:paraId="2B2E3802" w14:textId="0EC79E61" w:rsidR="00ED20A7" w:rsidRDefault="00C959F9" w:rsidP="00C959F9">
      <w:pPr>
        <w:pStyle w:val="SingleTxtG"/>
      </w:pPr>
      <w:r>
        <w:rPr>
          <w:bCs/>
        </w:rPr>
        <w:t>69.</w:t>
      </w:r>
      <w:r>
        <w:rPr>
          <w:bCs/>
        </w:rPr>
        <w:tab/>
      </w:r>
      <w:r w:rsidR="0093676D" w:rsidRPr="00CB4F2E">
        <w:t xml:space="preserve">La gestion saine des ordures ménagères restait un défi majeur, soit 39,4% de la population évacuent leurs déchets de manière adéquate. </w:t>
      </w:r>
    </w:p>
    <w:p w14:paraId="0B6D4EB7" w14:textId="39C9D39A" w:rsidR="00ED20A7" w:rsidRDefault="00C959F9" w:rsidP="00C959F9">
      <w:pPr>
        <w:pStyle w:val="SingleTxtG"/>
      </w:pPr>
      <w:r>
        <w:rPr>
          <w:bCs/>
        </w:rPr>
        <w:t>70.</w:t>
      </w:r>
      <w:r>
        <w:rPr>
          <w:bCs/>
        </w:rPr>
        <w:tab/>
      </w:r>
      <w:r w:rsidR="0093676D" w:rsidRPr="00CB4F2E">
        <w:t>La proportion des ménages </w:t>
      </w:r>
      <w:r w:rsidR="0093676D" w:rsidRPr="00CB4F2E">
        <w:rPr>
          <w:i/>
          <w:iCs/>
        </w:rPr>
        <w:t>propriétaires de leurs logements était</w:t>
      </w:r>
      <w:r w:rsidR="0093676D" w:rsidRPr="00CB4F2E">
        <w:t> de </w:t>
      </w:r>
      <w:r w:rsidR="0093676D" w:rsidRPr="00CB4F2E">
        <w:rPr>
          <w:i/>
          <w:iCs/>
        </w:rPr>
        <w:t>56</w:t>
      </w:r>
      <w:r w:rsidR="0093676D" w:rsidRPr="00CB4F2E">
        <w:t>,</w:t>
      </w:r>
      <w:r w:rsidR="0093676D" w:rsidRPr="00CB4F2E">
        <w:rPr>
          <w:i/>
          <w:iCs/>
        </w:rPr>
        <w:t>8</w:t>
      </w:r>
      <w:r w:rsidR="0093676D" w:rsidRPr="00CB4F2E">
        <w:t>% en 2022 contre 54,9% en 2016. Cette proportion était plus élevée chez les ménages pauvres (74,0%) que chez les non pauvres (50,6%). Entre 2010 et 2024, plus de 222 500 titres fonciers ont été délivrés. Dans le but d’asseoir une maîtrise du territoire national, le MINDCAF (</w:t>
      </w:r>
      <w:hyperlink r:id="rId21" w:history="1">
        <w:r w:rsidR="0093676D" w:rsidRPr="00CB4F2E">
          <w:rPr>
            <w:rStyle w:val="Hyperlink"/>
          </w:rPr>
          <w:t>https://mindcaf.gov.cm</w:t>
        </w:r>
      </w:hyperlink>
      <w:r w:rsidR="0093676D" w:rsidRPr="00CB4F2E">
        <w:t>) s’est engagé dans un vaste programme de réforme foncière et de modernisation.</w:t>
      </w:r>
    </w:p>
    <w:p w14:paraId="127548DE" w14:textId="12FE23BF" w:rsidR="00ED20A7" w:rsidRDefault="00C959F9" w:rsidP="00C959F9">
      <w:pPr>
        <w:pStyle w:val="SingleTxtG"/>
      </w:pPr>
      <w:r>
        <w:rPr>
          <w:bCs/>
        </w:rPr>
        <w:t>71.</w:t>
      </w:r>
      <w:r>
        <w:rPr>
          <w:bCs/>
        </w:rPr>
        <w:tab/>
      </w:r>
      <w:r w:rsidR="0093676D" w:rsidRPr="00CB4F2E">
        <w:t>La phase 1 du Programme Gouvernemental de construction de 10 000 logements sociaux et d’aménagement de 50 000 parcelles constructibles lancée en 2009 est en cours de mise en œuvre dans plusieurs villes. Depuis 2018, le Gouvernement met en œuvre sa Politique Nationale de l’Habitat (PNH) dont les actions sont orientées vers la restructuration des institutions destinées à promouvoir la production de logements décents pour le plus grand nombre, à savoir : la Mission d’Aménagement et d’</w:t>
      </w:r>
      <w:proofErr w:type="spellStart"/>
      <w:r w:rsidR="0093676D" w:rsidRPr="00CB4F2E">
        <w:t>Equipement</w:t>
      </w:r>
      <w:proofErr w:type="spellEnd"/>
      <w:r w:rsidR="0093676D" w:rsidRPr="00CB4F2E">
        <w:t xml:space="preserve"> des Terrains Urbains et Ruraux-MAETUR(</w:t>
      </w:r>
      <w:hyperlink r:id="rId22" w:history="1">
        <w:r w:rsidR="0093676D" w:rsidRPr="00CB4F2E">
          <w:rPr>
            <w:rStyle w:val="Hyperlink"/>
          </w:rPr>
          <w:t>https://maetur-cameroun.com/</w:t>
        </w:r>
      </w:hyperlink>
      <w:r w:rsidR="0093676D" w:rsidRPr="00CB4F2E">
        <w:t>) pour la mise à disposition des assiettes foncières aménagées</w:t>
      </w:r>
      <w:r w:rsidR="0027203C">
        <w:t>;</w:t>
      </w:r>
      <w:r w:rsidR="0093676D" w:rsidRPr="00CB4F2E">
        <w:t xml:space="preserve"> le Crédit Foncier du Cameroun-CFC (</w:t>
      </w:r>
      <w:hyperlink r:id="rId23" w:history="1">
        <w:r w:rsidR="0093676D" w:rsidRPr="00CB4F2E">
          <w:rPr>
            <w:rStyle w:val="Hyperlink"/>
          </w:rPr>
          <w:t>https://creditfoncier.cm/fr/</w:t>
        </w:r>
      </w:hyperlink>
      <w:r w:rsidR="0093676D" w:rsidRPr="00CB4F2E">
        <w:t>) pour le financement</w:t>
      </w:r>
      <w:r w:rsidR="0027203C">
        <w:t>;</w:t>
      </w:r>
      <w:r w:rsidR="0093676D" w:rsidRPr="00CB4F2E">
        <w:t xml:space="preserve"> la Société Immobilière du Cameroun-SIC (</w:t>
      </w:r>
      <w:hyperlink r:id="rId24" w:history="1">
        <w:r w:rsidR="0093676D" w:rsidRPr="00CB4F2E">
          <w:rPr>
            <w:rStyle w:val="Hyperlink"/>
          </w:rPr>
          <w:t>https://sic.cm/</w:t>
        </w:r>
      </w:hyperlink>
      <w:r w:rsidR="0093676D" w:rsidRPr="00CB4F2E">
        <w:t>) pour la réalisation des logements</w:t>
      </w:r>
      <w:r w:rsidR="0027203C">
        <w:t>;</w:t>
      </w:r>
      <w:r w:rsidR="0093676D" w:rsidRPr="00CB4F2E">
        <w:t xml:space="preserve"> et la Mission de Promotion des Matériaux Locaux-MIPROMALO (</w:t>
      </w:r>
      <w:hyperlink r:id="rId25" w:history="1">
        <w:r w:rsidR="0093676D" w:rsidRPr="00CB4F2E">
          <w:rPr>
            <w:rStyle w:val="Hyperlink"/>
          </w:rPr>
          <w:t>http://mipromalo.cm/index.php/fr/</w:t>
        </w:r>
      </w:hyperlink>
      <w:r w:rsidR="0093676D" w:rsidRPr="00CB4F2E">
        <w:t>) pour la promotion des matériaux locaux dans la construction des logements.</w:t>
      </w:r>
    </w:p>
    <w:p w14:paraId="41056367" w14:textId="1713479F" w:rsidR="00ED20A7" w:rsidRDefault="00C959F9" w:rsidP="00C959F9">
      <w:pPr>
        <w:pStyle w:val="SingleTxtG"/>
      </w:pPr>
      <w:r>
        <w:rPr>
          <w:bCs/>
        </w:rPr>
        <w:t>72.</w:t>
      </w:r>
      <w:r>
        <w:rPr>
          <w:bCs/>
        </w:rPr>
        <w:tab/>
      </w:r>
      <w:r w:rsidR="0093676D" w:rsidRPr="00CB4F2E">
        <w:t>En matière d’assainissement, en 2022, 13% de la population (18 % en milieu urbain contre 7% en milieu rural) soit 63 % de personnes (contre 14,9% en 2014 et 28,8% en 2017) vivaient dans des ménages utilisant les services d'assainissement gérés en toute sécurité, y compris une installation de lavage des mains avec de l'eau et du savon disponibles.</w:t>
      </w:r>
    </w:p>
    <w:p w14:paraId="14F3F895" w14:textId="5F50BAB3" w:rsidR="00ED20A7" w:rsidRDefault="00C959F9" w:rsidP="00C959F9">
      <w:pPr>
        <w:pStyle w:val="SingleTxtG"/>
      </w:pPr>
      <w:r>
        <w:rPr>
          <w:bCs/>
        </w:rPr>
        <w:t>73.</w:t>
      </w:r>
      <w:r>
        <w:rPr>
          <w:bCs/>
        </w:rPr>
        <w:tab/>
      </w:r>
      <w:r w:rsidR="0093676D" w:rsidRPr="00CB4F2E">
        <w:t>En matière d’évacuation des ordures ménagères, le volume total des déchets produits ou collectés en 2024 dans les villes était d’environ 1 421 871 tonnes de déchets. La société Hygiène et salubrité du Cameroun (HYSACAM)</w:t>
      </w:r>
      <w:r w:rsidR="0027203C">
        <w:t xml:space="preserve"> </w:t>
      </w:r>
      <w:r w:rsidR="0093676D" w:rsidRPr="00CB4F2E">
        <w:t>couvre la plus grande part du service public de ramassage des ordures ménagères. Elle est installée dans les grandes villes (Yaoundé, Douala) et certaines villes moyennes. En 2023, les tonnages moyens des ordures à Douala et Yaoundé collectées quotidiennement dans chacune des villes étaient passés de 1400 à 1800 m</w:t>
      </w:r>
      <w:r w:rsidR="0093676D" w:rsidRPr="00CB4F2E">
        <w:rPr>
          <w:vertAlign w:val="superscript"/>
        </w:rPr>
        <w:t>3</w:t>
      </w:r>
      <w:r w:rsidR="0093676D" w:rsidRPr="00CB4F2E">
        <w:t>. Le pays a élaboré une Stratégie nationale de gestion des déchets en vertu de laquelle les communes sont appelées à élaborer leurs Plans Communaux de Gestion des Déchets. Au 30 août 2024, 48 communes avaient déjà élaboré et validé leurs Plan de Gestion des Ordures.</w:t>
      </w:r>
    </w:p>
    <w:p w14:paraId="0C0286AA" w14:textId="2D5F0E5A" w:rsidR="00ED20A7" w:rsidRDefault="00C959F9" w:rsidP="00C959F9">
      <w:pPr>
        <w:pStyle w:val="SingleTxtG"/>
      </w:pPr>
      <w:r>
        <w:rPr>
          <w:bCs/>
        </w:rPr>
        <w:t>74.</w:t>
      </w:r>
      <w:r>
        <w:rPr>
          <w:bCs/>
        </w:rPr>
        <w:tab/>
      </w:r>
      <w:r w:rsidR="0093676D" w:rsidRPr="00CB4F2E">
        <w:t xml:space="preserve">L’offre de transport public au Cameroun est diversifiée avec une prédominance des taxis ou des véhicules particuliers comme principal mode de déplacement en milieu urbain. En 2024, la densité de voirie de la ville de Douala était évaluée à 14,6 ml/ha, pour une largeur moyenne de 6 m. Sur les 3 974,98 km de cette voirie, environ 70% (2 739,13 km) est non revêtu. </w:t>
      </w:r>
    </w:p>
    <w:p w14:paraId="5152E4D7" w14:textId="12BF51B8" w:rsidR="00ED20A7" w:rsidRDefault="00346245" w:rsidP="00346245">
      <w:pPr>
        <w:pStyle w:val="H4G"/>
      </w:pPr>
      <w:r>
        <w:tab/>
      </w:r>
      <w:r>
        <w:tab/>
      </w:r>
      <w:r w:rsidR="00FC750F" w:rsidRPr="00CB4F2E">
        <w:t>c.</w:t>
      </w:r>
      <w:r w:rsidR="00FC750F" w:rsidRPr="00CB4F2E">
        <w:tab/>
      </w:r>
      <w:r w:rsidR="0093676D" w:rsidRPr="00CB4F2E">
        <w:t>L’inclusion financière</w:t>
      </w:r>
      <w:r w:rsidR="0027203C">
        <w:t xml:space="preserve"> </w:t>
      </w:r>
    </w:p>
    <w:p w14:paraId="2B48D514" w14:textId="7EF8E466" w:rsidR="00ED20A7" w:rsidRDefault="00C959F9" w:rsidP="00C959F9">
      <w:pPr>
        <w:pStyle w:val="SingleTxtG"/>
      </w:pPr>
      <w:r>
        <w:rPr>
          <w:bCs/>
        </w:rPr>
        <w:t>75.</w:t>
      </w:r>
      <w:r>
        <w:rPr>
          <w:bCs/>
        </w:rPr>
        <w:tab/>
      </w:r>
      <w:r w:rsidR="0093676D" w:rsidRPr="00CB4F2E">
        <w:t xml:space="preserve">En 2022, 45,7% de personnes âgées de 15 ans ou plus détenaient un compte dans une institution financière, utilisaient le mobile money ou disposaient d'une carte prépayée. L'utilisation du service mobile money a particulièrement augmenté, passant de 29,9% en 2017 à 42,7% en 2022 pour l'ensemble de la population âgée de 15 ans ou plus. </w:t>
      </w:r>
    </w:p>
    <w:p w14:paraId="491BDA3A" w14:textId="5A2A9690" w:rsidR="00ED20A7" w:rsidRDefault="00346245" w:rsidP="00346245">
      <w:pPr>
        <w:pStyle w:val="H4G"/>
      </w:pPr>
      <w:r>
        <w:tab/>
      </w:r>
      <w:r>
        <w:tab/>
      </w:r>
      <w:r w:rsidR="00FC750F" w:rsidRPr="00CB4F2E">
        <w:t>d.</w:t>
      </w:r>
      <w:r w:rsidR="00FC750F" w:rsidRPr="00CB4F2E">
        <w:tab/>
      </w:r>
      <w:r w:rsidR="0093676D" w:rsidRPr="00CB4F2E">
        <w:t>L’emploi et le chômage</w:t>
      </w:r>
      <w:r w:rsidR="0027203C">
        <w:t xml:space="preserve"> </w:t>
      </w:r>
    </w:p>
    <w:p w14:paraId="596B0C6E" w14:textId="01D5B7CD" w:rsidR="00ED20A7" w:rsidRDefault="00C959F9" w:rsidP="00C959F9">
      <w:pPr>
        <w:pStyle w:val="SingleTxtG"/>
      </w:pPr>
      <w:r>
        <w:rPr>
          <w:bCs/>
        </w:rPr>
        <w:t>76.</w:t>
      </w:r>
      <w:r>
        <w:rPr>
          <w:bCs/>
        </w:rPr>
        <w:tab/>
      </w:r>
      <w:r w:rsidR="0093676D" w:rsidRPr="00CB4F2E">
        <w:t xml:space="preserve">En 2021, le taux de chômage s’élevait à 6,1% contre 17 % en 1995 et était projeté à </w:t>
      </w:r>
      <w:r w:rsidR="0093676D" w:rsidRPr="00CB4F2E">
        <w:rPr>
          <w:i/>
          <w:iCs/>
        </w:rPr>
        <w:t xml:space="preserve">3,50 % en </w:t>
      </w:r>
      <w:r w:rsidR="0093676D" w:rsidRPr="00346245">
        <w:t>2024</w:t>
      </w:r>
      <w:r w:rsidR="0093676D" w:rsidRPr="00CB4F2E">
        <w:t>. Il était estimé à 2,6% en zone urbaine et était plus élevé dans la tranche des personnes âgées de 14 à 34 ans (10,4%), dans les métropoles de Douala (15,4%) et de Yaoundé (11,7%), ainsi que chez les femmes (11,8%). Le taux de chômage s’élevait avec le niveau d’instruction, passant de 1,6% chez les personnes non scolarisées à 17,6% chez celles ayant le niveau du supérieur.</w:t>
      </w:r>
    </w:p>
    <w:p w14:paraId="003A65E6" w14:textId="734D918D" w:rsidR="00ED20A7" w:rsidRDefault="00C959F9" w:rsidP="00C959F9">
      <w:pPr>
        <w:pStyle w:val="SingleTxtG"/>
      </w:pPr>
      <w:r>
        <w:rPr>
          <w:bCs/>
        </w:rPr>
        <w:lastRenderedPageBreak/>
        <w:t>77.</w:t>
      </w:r>
      <w:r>
        <w:rPr>
          <w:bCs/>
        </w:rPr>
        <w:tab/>
      </w:r>
      <w:r w:rsidR="0093676D" w:rsidRPr="00CB4F2E">
        <w:t>La recherche de l’emploi s’effectuait majoritairement à travers la mobilisation du réseau de solidarité familiale ou amicale (34,5%), par le recours aux petites annonces (23,9%), à travers la prospection directement auprès des employeurs (22,8%). Le recours aux agences de promotion de l’emploi ou de placement était marginal (1,1%). Plus de 4 chômeurs sur 10 (44,7%) recherchaient un emploi salarié, près de 3 chômeurs sur 10 (26,7%) préféraient exercer un travail indépendant et 28,5% étaient indifférents.</w:t>
      </w:r>
    </w:p>
    <w:p w14:paraId="0B7217FA" w14:textId="7B973808" w:rsidR="00ED20A7" w:rsidRDefault="00C959F9" w:rsidP="00C959F9">
      <w:pPr>
        <w:pStyle w:val="SingleTxtG"/>
      </w:pPr>
      <w:r>
        <w:rPr>
          <w:bCs/>
        </w:rPr>
        <w:t>78.</w:t>
      </w:r>
      <w:r>
        <w:rPr>
          <w:bCs/>
        </w:rPr>
        <w:tab/>
      </w:r>
      <w:r w:rsidR="0093676D" w:rsidRPr="00CB4F2E">
        <w:t xml:space="preserve">La part de l’emploi informelle dans le secteur non agricole est passée de 72,2% en 2016 à 80,2% en 2021. Par ailleurs, les emplois se répartissaient, en 2021, entre le secteur informel non agricole (52,0%), l’informel agricole (34,7%), le public (8,2%) et le privé formel (5,1%). </w:t>
      </w:r>
    </w:p>
    <w:p w14:paraId="020F8336" w14:textId="20A1D5E3" w:rsidR="00ED20A7" w:rsidRDefault="00C959F9" w:rsidP="00C959F9">
      <w:pPr>
        <w:pStyle w:val="SingleTxtG"/>
        <w:rPr>
          <w:b/>
          <w:bCs/>
        </w:rPr>
      </w:pPr>
      <w:r>
        <w:rPr>
          <w:bCs/>
        </w:rPr>
        <w:t>79.</w:t>
      </w:r>
      <w:r>
        <w:rPr>
          <w:bCs/>
        </w:rPr>
        <w:tab/>
      </w:r>
      <w:r w:rsidR="0093676D" w:rsidRPr="00CB4F2E">
        <w:t xml:space="preserve">En 2021, 54,2% de la population de 14 ans ou plus constituait la main d’œuvre, soit 61,4% chez les hommes, 47,3% chez les femmes. Cette proportion était plus élevée dans les Régions du Sud (64,9%) et de l’Est (63,8%), ainsi que dans les villes de Douala (59,2%) et Yaoundé (55,6%). La part de la main d’œuvre était également plus élevée chez les personnes de 35-64 ans que chez les autres groupes d’âge. </w:t>
      </w:r>
    </w:p>
    <w:p w14:paraId="3BB61EFB" w14:textId="05AEDEB1" w:rsidR="00ED20A7" w:rsidRDefault="00C959F9" w:rsidP="00C959F9">
      <w:pPr>
        <w:pStyle w:val="SingleTxtG"/>
      </w:pPr>
      <w:r>
        <w:rPr>
          <w:bCs/>
        </w:rPr>
        <w:t>80.</w:t>
      </w:r>
      <w:r>
        <w:rPr>
          <w:bCs/>
        </w:rPr>
        <w:tab/>
      </w:r>
      <w:r w:rsidR="0093676D" w:rsidRPr="00CB4F2E">
        <w:t xml:space="preserve">Le taux d’emploi était de 50,8%, les niveaux les plus élevés étant ceux des Régions d’enquête du Sud (63,5%), de l’Est (62,8%) et du Centre sans Yaoundé (56,5%). Il était nettement plus élevé chez les hommes (58,3%) que chez les femmes (43,7%), en milieu rural (54,1%) qu’en milieu urbain (48,6%). </w:t>
      </w:r>
    </w:p>
    <w:p w14:paraId="786DBDFF" w14:textId="60325334" w:rsidR="00ED20A7" w:rsidRDefault="00C959F9" w:rsidP="00C959F9">
      <w:pPr>
        <w:pStyle w:val="SingleTxtG"/>
      </w:pPr>
      <w:r>
        <w:rPr>
          <w:bCs/>
        </w:rPr>
        <w:t>81.</w:t>
      </w:r>
      <w:r>
        <w:rPr>
          <w:bCs/>
        </w:rPr>
        <w:tab/>
      </w:r>
      <w:r w:rsidR="0093676D" w:rsidRPr="00CB4F2E">
        <w:t xml:space="preserve">L’âge moyen des personnes en emploi était de 38,3 ans en 2021. Elles étaient en moyenne plus âgées en milieu rural, dans les Régions de l’Ouest, du Littoral sans Douala et du Centre sans Yaoundé. </w:t>
      </w:r>
    </w:p>
    <w:p w14:paraId="04297F1E" w14:textId="11AE20F0" w:rsidR="00ED20A7" w:rsidRDefault="00C959F9" w:rsidP="00C959F9">
      <w:pPr>
        <w:pStyle w:val="SingleTxtG"/>
      </w:pPr>
      <w:r>
        <w:rPr>
          <w:bCs/>
        </w:rPr>
        <w:t>82.</w:t>
      </w:r>
      <w:r>
        <w:rPr>
          <w:bCs/>
        </w:rPr>
        <w:tab/>
      </w:r>
      <w:r w:rsidR="0093676D" w:rsidRPr="00CB4F2E">
        <w:t xml:space="preserve">Les durées moyennes dans l’emploi et dans l’entreprise étaient respectivement de 10,6 ans et 10,9 ans. Le taux de salarisation au niveau national se situait à 38,6%, étant plus élevé en milieu urbain (48,3%, notamment dans les villes de Douala (48,5%) et de Yaoundé (64,6%). Le taux de pluri-emploi se situait à 13,1%, étant plus faible en milieu urbain (8,5%), notamment dans les villes de Douala (4,7%) et Yaoundé (4,1%). </w:t>
      </w:r>
    </w:p>
    <w:p w14:paraId="0C6DDF34" w14:textId="2859A225" w:rsidR="00ED20A7" w:rsidRDefault="00C959F9" w:rsidP="00C959F9">
      <w:pPr>
        <w:pStyle w:val="SingleTxtG"/>
      </w:pPr>
      <w:r>
        <w:rPr>
          <w:bCs/>
        </w:rPr>
        <w:t>83.</w:t>
      </w:r>
      <w:r>
        <w:rPr>
          <w:bCs/>
        </w:rPr>
        <w:tab/>
      </w:r>
      <w:r w:rsidR="0093676D" w:rsidRPr="00CB4F2E">
        <w:t>Le taux d’emploi des jeunes de 15-34 ans était de 39,3% en 2021. Il était de 47,2% chez les jeunes hommes contre 31,3% chez les femmes. Il était plus élevé en milieu rural qu’en milieu urbain (43,0% contre 37,1%). La Région de l’Est affichait le taux d’emploi des jeunes le plus élevé (56,5%) suivi de la Région du Sud (52,6%)</w:t>
      </w:r>
      <w:r w:rsidR="0093676D" w:rsidRPr="00CB4F2E">
        <w:rPr>
          <w:rStyle w:val="FootnoteReference"/>
        </w:rPr>
        <w:footnoteReference w:id="20"/>
      </w:r>
      <w:r w:rsidR="0093676D" w:rsidRPr="00CB4F2E">
        <w:t xml:space="preserve">. </w:t>
      </w:r>
    </w:p>
    <w:p w14:paraId="7895AADA" w14:textId="31767455" w:rsidR="00ED20A7" w:rsidRDefault="00C959F9" w:rsidP="00C959F9">
      <w:pPr>
        <w:pStyle w:val="SingleTxtG"/>
        <w:rPr>
          <w:i/>
          <w:iCs/>
        </w:rPr>
      </w:pPr>
      <w:r>
        <w:rPr>
          <w:bCs/>
          <w:i/>
          <w:iCs/>
        </w:rPr>
        <w:t>84.</w:t>
      </w:r>
      <w:r>
        <w:rPr>
          <w:bCs/>
          <w:i/>
          <w:iCs/>
        </w:rPr>
        <w:tab/>
      </w:r>
      <w:r w:rsidR="0093676D" w:rsidRPr="00CB4F2E">
        <w:t xml:space="preserve">Le taux de sous-emploi visible, </w:t>
      </w:r>
      <w:r w:rsidR="0093676D" w:rsidRPr="00CB4F2E">
        <w:rPr>
          <w:i/>
          <w:iCs/>
        </w:rPr>
        <w:t>qui comprend les actifs occupés dont le revenu est inférieur au SMIG</w:t>
      </w:r>
      <w:r w:rsidR="0093676D" w:rsidRPr="00CB4F2E">
        <w:rPr>
          <w:rStyle w:val="FootnoteReference"/>
        </w:rPr>
        <w:footnoteReference w:id="21"/>
      </w:r>
      <w:r w:rsidR="0093676D" w:rsidRPr="00CB4F2E">
        <w:rPr>
          <w:i/>
          <w:iCs/>
        </w:rPr>
        <w:t xml:space="preserve">, </w:t>
      </w:r>
      <w:r w:rsidR="0093676D" w:rsidRPr="00CB4F2E">
        <w:t>est passé de 70,6% en 2010 à 61,4% en 2021</w:t>
      </w:r>
      <w:r w:rsidR="0093676D" w:rsidRPr="00CB4F2E">
        <w:rPr>
          <w:i/>
          <w:iCs/>
        </w:rPr>
        <w:t>.</w:t>
      </w:r>
    </w:p>
    <w:p w14:paraId="02403EE4" w14:textId="2B4C8426" w:rsidR="00ED20A7" w:rsidRDefault="00C959F9" w:rsidP="00C959F9">
      <w:pPr>
        <w:pStyle w:val="SingleTxtG"/>
      </w:pPr>
      <w:r>
        <w:rPr>
          <w:bCs/>
        </w:rPr>
        <w:t>85.</w:t>
      </w:r>
      <w:r>
        <w:rPr>
          <w:bCs/>
        </w:rPr>
        <w:tab/>
      </w:r>
      <w:r w:rsidR="0093676D" w:rsidRPr="00CB4F2E">
        <w:t>En 2021, l’évaluation du niveau de sécurité sociale révélait que 9 personnes sur 100 en emploi avaient été victimes d’un accident de travail dans leur emploi principal. Six personnes en emploi sur 100 avaient été victimes d’une maladie professionnelle et 11 personnes sur 100 disaient être couvertes par une assurance dans le cadre de leur emploi principal. Les accidents de travail étaient plus récurrents en milieu urbain (9,4%), dans le Littoral sans Douala (15,9%), le Sud (15,4%), le Centre sans Yaoundé (13,7%), le secteur informel non agricole (9,4%) et le privé formel (9,3%).</w:t>
      </w:r>
    </w:p>
    <w:p w14:paraId="08783F28" w14:textId="0A81A967" w:rsidR="00ED20A7" w:rsidRDefault="00C959F9" w:rsidP="00C959F9">
      <w:pPr>
        <w:pStyle w:val="SingleTxtG"/>
        <w:rPr>
          <w:bCs/>
        </w:rPr>
      </w:pPr>
      <w:r>
        <w:rPr>
          <w:bCs/>
        </w:rPr>
        <w:t>86.</w:t>
      </w:r>
      <w:r>
        <w:rPr>
          <w:bCs/>
        </w:rPr>
        <w:tab/>
      </w:r>
      <w:r w:rsidR="0093676D" w:rsidRPr="00CB4F2E">
        <w:t>Le Ministère du Travail et de la Sécurité Sociale-MINTSS (</w:t>
      </w:r>
      <w:hyperlink r:id="rId26" w:history="1">
        <w:r w:rsidR="0093676D" w:rsidRPr="00CB4F2E">
          <w:rPr>
            <w:rStyle w:val="Hyperlink"/>
          </w:rPr>
          <w:t>www.mintss.cm/</w:t>
        </w:r>
      </w:hyperlink>
      <w:r w:rsidR="0093676D" w:rsidRPr="00CB4F2E">
        <w:t xml:space="preserve">) est responsable de l'élaboration et de la mise en œuvre de la politique du Gouvernement dans les domaines des relations professionnelles, du statut des travailleurs et de la sécurité sociale. Le MINTSS assure la tutelle technique la </w:t>
      </w:r>
      <w:r w:rsidR="0093676D" w:rsidRPr="00CB4F2E">
        <w:rPr>
          <w:i/>
          <w:iCs/>
        </w:rPr>
        <w:t>Caisse Nationale de Prévoyance Sociale-CNPS</w:t>
      </w:r>
      <w:r w:rsidR="0093676D" w:rsidRPr="00CB4F2E">
        <w:t xml:space="preserve"> (</w:t>
      </w:r>
      <w:hyperlink r:id="rId27" w:history="1">
        <w:r w:rsidR="0093676D" w:rsidRPr="00CB4F2E">
          <w:rPr>
            <w:rStyle w:val="Hyperlink"/>
          </w:rPr>
          <w:t>www.cnps.cm</w:t>
        </w:r>
      </w:hyperlink>
      <w:r w:rsidR="0093676D" w:rsidRPr="00CB4F2E">
        <w:t>) qui, en décembre 2024, comptait 40 698 employeurs actifs immatriculés et 1 472 463 travailleurs immatriculés actifs.</w:t>
      </w:r>
      <w:r w:rsidR="0093676D" w:rsidRPr="00CB4F2E">
        <w:rPr>
          <w:bCs/>
        </w:rPr>
        <w:t xml:space="preserve"> En 2024, elle a enregistré 43 378 assurés volontaires. </w:t>
      </w:r>
    </w:p>
    <w:p w14:paraId="2E3A4C5D" w14:textId="66529DEE" w:rsidR="00ED20A7" w:rsidRDefault="00C959F9" w:rsidP="00C959F9">
      <w:pPr>
        <w:pStyle w:val="SingleTxtG"/>
      </w:pPr>
      <w:r>
        <w:rPr>
          <w:bCs/>
        </w:rPr>
        <w:t>87.</w:t>
      </w:r>
      <w:r>
        <w:rPr>
          <w:bCs/>
        </w:rPr>
        <w:tab/>
      </w:r>
      <w:r w:rsidR="0093676D" w:rsidRPr="00CB4F2E">
        <w:t>Sous la tutelle technique du MINEFOP, le Fonds National de l'Emploi-FNE (</w:t>
      </w:r>
      <w:hyperlink r:id="rId28" w:history="1">
        <w:r w:rsidR="0093676D" w:rsidRPr="00CB4F2E">
          <w:rPr>
            <w:rStyle w:val="Hyperlink"/>
          </w:rPr>
          <w:t>www.fnecm.org</w:t>
        </w:r>
      </w:hyperlink>
      <w:r w:rsidR="0093676D" w:rsidRPr="00CB4F2E">
        <w:t xml:space="preserve">) est chargé de la mise en œuvre de la politique du Gouvernement en matière de promotion de l'emploi, de l'auto-emploi et de l'insertion des demandeurs d'emploi. Pour rendre effectif la réduction du chômage, le FNE a par exemple, dans le sous-programme </w:t>
      </w:r>
      <w:r w:rsidR="0093676D" w:rsidRPr="00CB4F2E">
        <w:lastRenderedPageBreak/>
        <w:t>transparence du marché de l’emploi, accueilli, reçu en entretien et orienté 190 241 chercheurs d’emploi entre 2017 et 2021.</w:t>
      </w:r>
    </w:p>
    <w:p w14:paraId="39775D96" w14:textId="6560DB3F" w:rsidR="00ED20A7" w:rsidRDefault="00C959F9" w:rsidP="00C959F9">
      <w:pPr>
        <w:pStyle w:val="SingleTxtG"/>
      </w:pPr>
      <w:bookmarkStart w:id="40" w:name="_Hlk196851699"/>
      <w:r>
        <w:rPr>
          <w:bCs/>
        </w:rPr>
        <w:t>88.</w:t>
      </w:r>
      <w:r>
        <w:rPr>
          <w:bCs/>
        </w:rPr>
        <w:tab/>
      </w:r>
      <w:r w:rsidR="0093676D" w:rsidRPr="00CB4F2E">
        <w:t>Pour développer l’auto emploi et lutter contre le sous-emploi,</w:t>
      </w:r>
      <w:r w:rsidR="0093676D" w:rsidRPr="00CB4F2E">
        <w:rPr>
          <w:b/>
          <w:bCs/>
        </w:rPr>
        <w:t xml:space="preserve"> </w:t>
      </w:r>
      <w:r w:rsidR="0093676D" w:rsidRPr="00CB4F2E">
        <w:t xml:space="preserve">plus de 136 551 jeunes ont été inscrits à l’Observatoire National de la Jeunesse (ONJ) en 2018 dans le cadre du Plan Triennal Spécial Jeunes (PTS-JEUN), dont 32 378 à travers la </w:t>
      </w:r>
      <w:proofErr w:type="spellStart"/>
      <w:r w:rsidR="0093676D" w:rsidRPr="00CB4F2E">
        <w:t>plateforme</w:t>
      </w:r>
      <w:proofErr w:type="spellEnd"/>
      <w:r w:rsidR="0093676D" w:rsidRPr="00CB4F2E">
        <w:t xml:space="preserve"> numérique de l’ONJ. Parmi ces inscrits, 11 008 ont été orientés vers des diverses structures d’accompagnement et de financement, dont 4 000 au Fonds National de l’Insertion Jeunes (FONIJ) qui a financé 2 150 projets à hauteur de 3 317 674 720 FCFA</w:t>
      </w:r>
      <w:r w:rsidR="0093676D" w:rsidRPr="00CB4F2E">
        <w:rPr>
          <w:rStyle w:val="FootnoteReference"/>
        </w:rPr>
        <w:footnoteReference w:id="22"/>
      </w:r>
      <w:r w:rsidR="0093676D" w:rsidRPr="00CB4F2E">
        <w:t xml:space="preserve">. </w:t>
      </w:r>
    </w:p>
    <w:bookmarkEnd w:id="40"/>
    <w:p w14:paraId="06A7E92C" w14:textId="0D8C95F0" w:rsidR="00ED20A7" w:rsidRDefault="00C959F9" w:rsidP="00C959F9">
      <w:pPr>
        <w:pStyle w:val="SingleTxtG"/>
      </w:pPr>
      <w:r>
        <w:rPr>
          <w:bCs/>
        </w:rPr>
        <w:t>89.</w:t>
      </w:r>
      <w:r>
        <w:rPr>
          <w:bCs/>
        </w:rPr>
        <w:tab/>
      </w:r>
      <w:r w:rsidR="0093676D" w:rsidRPr="00CB4F2E">
        <w:t>Le FONIJ</w:t>
      </w:r>
      <w:r w:rsidR="0093676D" w:rsidRPr="00CB4F2E">
        <w:rPr>
          <w:rStyle w:val="FootnoteReference"/>
        </w:rPr>
        <w:footnoteReference w:id="23"/>
      </w:r>
      <w:r w:rsidR="0093676D" w:rsidRPr="00CB4F2E">
        <w:t xml:space="preserve"> a été transformé en Fonds de Garantie aux Jeunes Entrepreneurs (FOGAJEUNE) par Décision n°006-2023 du 21 février 2023 portant mutation, réorganisation et fonctionnement du FONIJ. Le FOGAJEUNE a pour objectifs d’assurer la fourniture des services techniques et financiers aux entrepreneurs camerounais (locaux et de la diaspora) âgés de 18 à 35 ans, à travers 2 guichets, dont un guichet de financement direct</w:t>
      </w:r>
      <w:r w:rsidR="0093676D" w:rsidRPr="00CB4F2E">
        <w:rPr>
          <w:rStyle w:val="FootnoteReference"/>
        </w:rPr>
        <w:footnoteReference w:id="24"/>
      </w:r>
      <w:r w:rsidR="0093676D" w:rsidRPr="00CB4F2E">
        <w:t xml:space="preserve"> et un guichet garanti</w:t>
      </w:r>
      <w:r w:rsidR="0093676D" w:rsidRPr="00CB4F2E">
        <w:rPr>
          <w:rStyle w:val="FootnoteReference"/>
        </w:rPr>
        <w:footnoteReference w:id="25"/>
      </w:r>
      <w:r w:rsidR="0093676D" w:rsidRPr="00CB4F2E">
        <w:t>. L’apport du FOGAJEUNE est de 50 % de financement des projets.</w:t>
      </w:r>
    </w:p>
    <w:p w14:paraId="1AD3C790" w14:textId="1C01A872" w:rsidR="0093676D" w:rsidRPr="00CB4F2E" w:rsidRDefault="000A7D77" w:rsidP="000A7D77">
      <w:pPr>
        <w:pStyle w:val="H23G"/>
        <w:rPr>
          <w:i/>
        </w:rPr>
      </w:pPr>
      <w:bookmarkStart w:id="41" w:name="_Toc210209106"/>
      <w:bookmarkStart w:id="42" w:name="_Toc210646312"/>
      <w:r>
        <w:tab/>
      </w:r>
      <w:r w:rsidR="0093676D" w:rsidRPr="00CB4F2E">
        <w:t>F.</w:t>
      </w:r>
      <w:r>
        <w:tab/>
      </w:r>
      <w:r w:rsidR="0093676D" w:rsidRPr="00CB4F2E">
        <w:t>Les données relatives à la criminalité et à l’administration de la justice</w:t>
      </w:r>
      <w:bookmarkEnd w:id="41"/>
      <w:bookmarkEnd w:id="42"/>
    </w:p>
    <w:p w14:paraId="499BAEBC" w14:textId="5600FC28" w:rsidR="0093676D" w:rsidRPr="00CB4F2E" w:rsidRDefault="00346245" w:rsidP="000A7D77">
      <w:pPr>
        <w:pStyle w:val="H4G"/>
      </w:pPr>
      <w:bookmarkStart w:id="43" w:name="_Toc210646313"/>
      <w:r>
        <w:tab/>
      </w:r>
      <w:r>
        <w:tab/>
      </w:r>
      <w:r w:rsidR="0093676D" w:rsidRPr="00CB4F2E">
        <w:t>La garde à vue et la détention provisoire</w:t>
      </w:r>
      <w:bookmarkEnd w:id="43"/>
      <w:r w:rsidR="0093676D" w:rsidRPr="00CB4F2E">
        <w:t xml:space="preserve"> </w:t>
      </w:r>
    </w:p>
    <w:p w14:paraId="748B50D0" w14:textId="7DA712E3" w:rsidR="0093676D" w:rsidRPr="00CB4F2E" w:rsidRDefault="00C959F9" w:rsidP="00C959F9">
      <w:pPr>
        <w:pStyle w:val="SingleTxtG"/>
        <w:rPr>
          <w:lang w:val="fr-FR"/>
        </w:rPr>
      </w:pPr>
      <w:r w:rsidRPr="00CB4F2E">
        <w:rPr>
          <w:bCs/>
          <w:lang w:val="fr-FR"/>
        </w:rPr>
        <w:t>90.</w:t>
      </w:r>
      <w:r w:rsidRPr="00CB4F2E">
        <w:rPr>
          <w:bCs/>
          <w:lang w:val="fr-FR"/>
        </w:rPr>
        <w:tab/>
      </w:r>
      <w:r w:rsidR="0093676D" w:rsidRPr="00346245">
        <w:t>Courant</w:t>
      </w:r>
      <w:r w:rsidR="0093676D" w:rsidRPr="00CB4F2E">
        <w:rPr>
          <w:lang w:val="fr-FR"/>
        </w:rPr>
        <w:t xml:space="preserve"> à partir de l'heure à laquelle le suspect est retenu dans les locaux du commissariat de police ou de la brigade de gendarmerie, le délai de la garde à vue peut excéder 48 heures renouvelables une fois par l’officier de police judiciaire. Sur autorisation écrite du Procureur de la République, ce délai peut, à titre exceptionnel, être renouvelé 2 fois. Sauf cas de crime ou de délit flagrant et s'il existe contre elle des indices graves et concordants, toute personne ayant une résidence connue ne peut faire l'objet d'une mesure de garde à vue (articles 118 et 119 du Code de Procédure Pénale-CPP).</w:t>
      </w:r>
    </w:p>
    <w:p w14:paraId="1FA838B2" w14:textId="2805B2BF" w:rsidR="0093676D" w:rsidRPr="00CB4F2E" w:rsidRDefault="00C959F9" w:rsidP="00C959F9">
      <w:pPr>
        <w:pStyle w:val="SingleTxtG"/>
        <w:rPr>
          <w:lang w:val="fr-FR"/>
        </w:rPr>
      </w:pPr>
      <w:r w:rsidRPr="00CB4F2E">
        <w:rPr>
          <w:bCs/>
          <w:lang w:val="fr-FR"/>
        </w:rPr>
        <w:t>91.</w:t>
      </w:r>
      <w:r w:rsidRPr="00CB4F2E">
        <w:rPr>
          <w:bCs/>
          <w:lang w:val="fr-FR"/>
        </w:rPr>
        <w:tab/>
      </w:r>
      <w:r w:rsidR="0093676D" w:rsidRPr="00346245">
        <w:t>Mesure</w:t>
      </w:r>
      <w:r w:rsidR="0093676D" w:rsidRPr="00CB4F2E">
        <w:rPr>
          <w:lang w:val="fr-FR"/>
        </w:rPr>
        <w:t xml:space="preserve"> exceptionnelle, la détention, qui ne peut être ordonnée qu'en cas d’un délit fragrant ou de crime, a pour but de préserver l'ordre public, la sécurité des personnes et des biens ou d'assurer la conservation des preuves ainsi que la représentation en justice de l'inculpé. L’inculpé justifiant d'un domicile connu ne peut faire l'objet d'une détention provisoire </w:t>
      </w:r>
      <w:r w:rsidR="0093676D" w:rsidRPr="00CB4F2E">
        <w:t>qu'en</w:t>
      </w:r>
      <w:r w:rsidR="0093676D" w:rsidRPr="00CB4F2E">
        <w:rPr>
          <w:lang w:val="fr-FR"/>
        </w:rPr>
        <w:t xml:space="preserve"> cas de crime (article 218 du CPP).</w:t>
      </w:r>
    </w:p>
    <w:p w14:paraId="1393C555" w14:textId="20744848" w:rsidR="0093676D" w:rsidRPr="00CB4F2E" w:rsidRDefault="00C959F9" w:rsidP="00C959F9">
      <w:pPr>
        <w:pStyle w:val="SingleTxtG"/>
        <w:rPr>
          <w:lang w:val="fr-FR"/>
        </w:rPr>
      </w:pPr>
      <w:r w:rsidRPr="00CB4F2E">
        <w:rPr>
          <w:bCs/>
          <w:lang w:val="fr-FR"/>
        </w:rPr>
        <w:t>92.</w:t>
      </w:r>
      <w:r w:rsidRPr="00CB4F2E">
        <w:rPr>
          <w:bCs/>
          <w:lang w:val="fr-FR"/>
        </w:rPr>
        <w:tab/>
      </w:r>
      <w:r w:rsidR="0093676D" w:rsidRPr="00346245">
        <w:t>Fixée</w:t>
      </w:r>
      <w:r w:rsidR="0093676D" w:rsidRPr="00CB4F2E">
        <w:rPr>
          <w:lang w:val="fr-FR"/>
        </w:rPr>
        <w:t xml:space="preserve"> par le Juge d'Instruction dans le mandat de détention provisoire, la durée de la détention provisoire ne peut excéder 6 mois. Elle </w:t>
      </w:r>
      <w:r w:rsidR="0093676D" w:rsidRPr="00CB4F2E">
        <w:t>peut</w:t>
      </w:r>
      <w:r w:rsidR="0093676D" w:rsidRPr="00CB4F2E">
        <w:rPr>
          <w:lang w:val="fr-FR"/>
        </w:rPr>
        <w:t xml:space="preserve"> être prorogée par ordonnance motivée, au plus pour 12 mois en cas de crime et 6 mois en cas de délit. </w:t>
      </w:r>
    </w:p>
    <w:p w14:paraId="2705F7FE" w14:textId="594AAA4E" w:rsidR="0093676D" w:rsidRPr="00CB4F2E" w:rsidRDefault="00C959F9" w:rsidP="00C959F9">
      <w:pPr>
        <w:pStyle w:val="SingleTxtG"/>
        <w:rPr>
          <w:lang w:val="fr-FR"/>
        </w:rPr>
      </w:pPr>
      <w:r w:rsidRPr="00CB4F2E">
        <w:rPr>
          <w:bCs/>
          <w:lang w:val="fr-FR"/>
        </w:rPr>
        <w:t>93.</w:t>
      </w:r>
      <w:r w:rsidRPr="00CB4F2E">
        <w:rPr>
          <w:bCs/>
          <w:lang w:val="fr-FR"/>
        </w:rPr>
        <w:tab/>
      </w:r>
      <w:r w:rsidR="0093676D" w:rsidRPr="00CB4F2E">
        <w:rPr>
          <w:lang w:val="fr-FR"/>
        </w:rPr>
        <w:t xml:space="preserve">S’agissant </w:t>
      </w:r>
      <w:r w:rsidR="0093676D" w:rsidRPr="00CB4F2E">
        <w:t>particulièrement</w:t>
      </w:r>
      <w:r w:rsidR="0093676D" w:rsidRPr="00CB4F2E">
        <w:rPr>
          <w:lang w:val="fr-FR"/>
        </w:rPr>
        <w:t xml:space="preserve"> des mineurs, ceux âgés de moins de 12 ans ne peuvent être placés en détention, tandis que 12 à 14 ans ne peuvent faire l'objet d'un mandat de détention provisoire qu'en cas d'assassinat, de meurtre ou de coups mortels et ceux de 14 à 18 ans ne peut en faire l'objet que si cette mesure paraît indispensable (article 704 et 705).</w:t>
      </w:r>
    </w:p>
    <w:p w14:paraId="2B0781E6" w14:textId="100CE21A" w:rsidR="0093676D" w:rsidRPr="00CB4F2E" w:rsidRDefault="00C959F9" w:rsidP="00C959F9">
      <w:pPr>
        <w:pStyle w:val="SingleTxtG"/>
        <w:rPr>
          <w:lang w:val="fr-FR"/>
        </w:rPr>
      </w:pPr>
      <w:r w:rsidRPr="00CB4F2E">
        <w:rPr>
          <w:bCs/>
          <w:lang w:val="fr-FR"/>
        </w:rPr>
        <w:t>94.</w:t>
      </w:r>
      <w:r w:rsidRPr="00CB4F2E">
        <w:rPr>
          <w:bCs/>
          <w:lang w:val="fr-FR"/>
        </w:rPr>
        <w:tab/>
      </w:r>
      <w:r w:rsidR="0093676D" w:rsidRPr="00CB4F2E">
        <w:rPr>
          <w:lang w:val="fr-FR"/>
        </w:rPr>
        <w:t xml:space="preserve">L’article 222 renseigne également que le juge d’Instruction peut, à tout moment et jusqu’à la clôture de l’information judiciaire, </w:t>
      </w:r>
      <w:r w:rsidR="0093676D" w:rsidRPr="00CB4F2E">
        <w:t>donner</w:t>
      </w:r>
      <w:r w:rsidR="0093676D" w:rsidRPr="00CB4F2E">
        <w:rPr>
          <w:lang w:val="fr-FR"/>
        </w:rPr>
        <w:t xml:space="preserve"> main levée du mandat de détention provisoire.</w:t>
      </w:r>
    </w:p>
    <w:p w14:paraId="5A0F17FD" w14:textId="552F3B90" w:rsidR="0093676D" w:rsidRPr="00CB4F2E" w:rsidRDefault="00C959F9" w:rsidP="00C959F9">
      <w:pPr>
        <w:pStyle w:val="SingleTxtG"/>
      </w:pPr>
      <w:r w:rsidRPr="00CB4F2E">
        <w:rPr>
          <w:bCs/>
        </w:rPr>
        <w:t>95.</w:t>
      </w:r>
      <w:r w:rsidRPr="00CB4F2E">
        <w:rPr>
          <w:bCs/>
        </w:rPr>
        <w:tab/>
      </w:r>
      <w:r w:rsidR="0093676D" w:rsidRPr="00CB4F2E">
        <w:t>Le CPP prévoit la possibilité d’indemnisation en cas de privation abusive de liberté. Ainsi l’article 236 alinéa 1 dudit Code dispose que : «</w:t>
      </w:r>
      <w:r w:rsidR="0093676D" w:rsidRPr="00CB4F2E">
        <w:rPr>
          <w:i/>
        </w:rPr>
        <w:t xml:space="preserve"> Toute personne ayant fait l’objet d’une garde à vue ou d’une détention provisoire abusive peut, lorsque la procédure aboutit à une </w:t>
      </w:r>
      <w:r w:rsidR="0093676D" w:rsidRPr="00CB4F2E">
        <w:rPr>
          <w:i/>
        </w:rPr>
        <w:lastRenderedPageBreak/>
        <w:t xml:space="preserve">décision de non-lieu ou d’acquittement devenue irrévocable, obtenir une indemnité si elle établit qu’elle a subi du fait de sa détention un préjudice actuel d’une gravité particulière </w:t>
      </w:r>
      <w:r w:rsidR="0093676D" w:rsidRPr="00CB4F2E">
        <w:t>». La composition de la Commission d’indemnisation des personnes victimes de garde à vue et détention provisoire abusive, prévue à l’article 237 du CPP, a été constatée suivant Ordonnance n°115 du 16 février 2016 du Président de la Cour Suprême. Cette commission est fonctionnelle à ce jour. De 2022 à 2024, elle a rendu une cinquantaine de décisions.</w:t>
      </w:r>
    </w:p>
    <w:p w14:paraId="2BF330C2" w14:textId="77777777" w:rsidR="00ED20A7" w:rsidRDefault="0066145F" w:rsidP="000A7D77">
      <w:pPr>
        <w:pStyle w:val="H4G"/>
      </w:pPr>
      <w:bookmarkStart w:id="44" w:name="_Toc210646314"/>
      <w:r>
        <w:tab/>
      </w:r>
      <w:r>
        <w:tab/>
      </w:r>
      <w:r w:rsidR="0093676D" w:rsidRPr="00CB4F2E">
        <w:t>Les faits constatés, les mis en cause et les condamnations</w:t>
      </w:r>
      <w:bookmarkEnd w:id="44"/>
    </w:p>
    <w:p w14:paraId="4A80BF30" w14:textId="3988EE6A" w:rsidR="00ED20A7" w:rsidRDefault="00C959F9" w:rsidP="00C959F9">
      <w:pPr>
        <w:pStyle w:val="SingleTxtG"/>
      </w:pPr>
      <w:r>
        <w:rPr>
          <w:bCs/>
        </w:rPr>
        <w:t>96.</w:t>
      </w:r>
      <w:r>
        <w:rPr>
          <w:bCs/>
        </w:rPr>
        <w:tab/>
      </w:r>
      <w:r w:rsidR="0093676D" w:rsidRPr="00CB4F2E">
        <w:t xml:space="preserve">Pour l’année 2024, un tableau y afférent est annexé. </w:t>
      </w:r>
    </w:p>
    <w:p w14:paraId="7B968F77" w14:textId="77777777" w:rsidR="00ED20A7" w:rsidRDefault="0066145F" w:rsidP="000A7D77">
      <w:pPr>
        <w:pStyle w:val="H4G"/>
      </w:pPr>
      <w:bookmarkStart w:id="45" w:name="_Toc210646315"/>
      <w:r>
        <w:tab/>
      </w:r>
      <w:r>
        <w:tab/>
      </w:r>
      <w:r w:rsidR="0093676D" w:rsidRPr="00CB4F2E">
        <w:t>La Carte pénitentiaire et la population carcérale</w:t>
      </w:r>
      <w:bookmarkEnd w:id="45"/>
    </w:p>
    <w:p w14:paraId="20B40E8F" w14:textId="39B19EDB" w:rsidR="0093676D" w:rsidRPr="00CB4F2E" w:rsidRDefault="00C959F9" w:rsidP="00C959F9">
      <w:pPr>
        <w:pStyle w:val="SingleTxtG"/>
      </w:pPr>
      <w:r w:rsidRPr="00CB4F2E">
        <w:rPr>
          <w:bCs/>
        </w:rPr>
        <w:t>97.</w:t>
      </w:r>
      <w:r w:rsidRPr="00CB4F2E">
        <w:rPr>
          <w:bCs/>
        </w:rPr>
        <w:tab/>
      </w:r>
      <w:r w:rsidR="0093676D" w:rsidRPr="00CB4F2E">
        <w:t>L’Administration pénitentiaire comptait 91 prisons, dont 76 fonctionnelles, 10 créées mais non encore ouvertes</w:t>
      </w:r>
      <w:r w:rsidR="0093676D" w:rsidRPr="00CB4F2E">
        <w:rPr>
          <w:rStyle w:val="FootnoteReference"/>
        </w:rPr>
        <w:footnoteReference w:id="26"/>
      </w:r>
      <w:r w:rsidR="0093676D" w:rsidRPr="00CB4F2E">
        <w:t xml:space="preserve"> et 05 momentanément fermées</w:t>
      </w:r>
      <w:r w:rsidR="0093676D" w:rsidRPr="00CB4F2E">
        <w:rPr>
          <w:rStyle w:val="FootnoteReference"/>
        </w:rPr>
        <w:footnoteReference w:id="27"/>
      </w:r>
      <w:r w:rsidR="0093676D" w:rsidRPr="00CB4F2E">
        <w:t>. La capacité d’accueil des 76 prisons fonctionnelles est était de 20 955 en 2024. Le nombre de détenus est passé de 35 438 en 2023 à 36 821 en 2024 dont 942 mineurs, 1 135 femmes et 1 606 détenus étrangers.</w:t>
      </w:r>
      <w:r w:rsidR="0027203C">
        <w:t xml:space="preserve"> </w:t>
      </w:r>
    </w:p>
    <w:p w14:paraId="5A67000A" w14:textId="77777777" w:rsidR="00ED20A7" w:rsidRDefault="0066145F" w:rsidP="000A7D77">
      <w:pPr>
        <w:pStyle w:val="H4G"/>
      </w:pPr>
      <w:bookmarkStart w:id="46" w:name="_Toc210646316"/>
      <w:r>
        <w:tab/>
      </w:r>
      <w:r>
        <w:tab/>
      </w:r>
      <w:r w:rsidR="0093676D" w:rsidRPr="00CB4F2E">
        <w:t>Les personnels judiciaires, pénitentiaires et auxiliaires de justice</w:t>
      </w:r>
      <w:bookmarkEnd w:id="46"/>
    </w:p>
    <w:p w14:paraId="70F8103A" w14:textId="4497541C" w:rsidR="0093676D" w:rsidRPr="00CB4F2E" w:rsidRDefault="00C959F9" w:rsidP="00C959F9">
      <w:pPr>
        <w:pStyle w:val="SingleTxtG"/>
      </w:pPr>
      <w:r w:rsidRPr="00CB4F2E">
        <w:rPr>
          <w:bCs/>
        </w:rPr>
        <w:t>98.</w:t>
      </w:r>
      <w:r w:rsidRPr="00CB4F2E">
        <w:rPr>
          <w:bCs/>
        </w:rPr>
        <w:tab/>
      </w:r>
      <w:r w:rsidR="0093676D" w:rsidRPr="00CB4F2E">
        <w:t>En janvier 2025, outre 3 759 Avocats dont 1 084 femmes ainsi que 2 016 avocats stagiaires, le Cameroun comptait pour ce qui est des personnes judiciaires : 1 783 magistrats dont 592 femmes et 3 568 personnels non magistrats dont 1 917 femmes</w:t>
      </w:r>
      <w:r w:rsidR="0027203C">
        <w:t>;</w:t>
      </w:r>
      <w:r w:rsidR="0093676D" w:rsidRPr="00CB4F2E">
        <w:t xml:space="preserve"> de l’Administration pénitentiaire 4 207 personnels pénitentiaires dont 1 132 femmes et 246 personnels soignants.</w:t>
      </w:r>
    </w:p>
    <w:p w14:paraId="64FDA8A3" w14:textId="77777777" w:rsidR="00ED20A7" w:rsidRDefault="0066145F" w:rsidP="000A7D77">
      <w:pPr>
        <w:pStyle w:val="H4G"/>
      </w:pPr>
      <w:bookmarkStart w:id="47" w:name="_Toc210646317"/>
      <w:r>
        <w:tab/>
      </w:r>
      <w:r>
        <w:tab/>
      </w:r>
      <w:r w:rsidR="0093676D" w:rsidRPr="00CB4F2E">
        <w:t>Le Budget de la justice et l’aide juridictionnelle</w:t>
      </w:r>
      <w:bookmarkEnd w:id="47"/>
    </w:p>
    <w:p w14:paraId="06758A8E" w14:textId="251DBC4C" w:rsidR="0093676D" w:rsidRPr="00CB4F2E" w:rsidRDefault="00C959F9" w:rsidP="00C959F9">
      <w:pPr>
        <w:pStyle w:val="SingleTxtG"/>
        <w:rPr>
          <w:b/>
        </w:rPr>
      </w:pPr>
      <w:r w:rsidRPr="00CB4F2E">
        <w:rPr>
          <w:bCs/>
        </w:rPr>
        <w:t>99.</w:t>
      </w:r>
      <w:r w:rsidRPr="00CB4F2E">
        <w:rPr>
          <w:bCs/>
        </w:rPr>
        <w:tab/>
      </w:r>
      <w:r w:rsidR="0093676D" w:rsidRPr="00CB4F2E">
        <w:rPr>
          <w:bCs/>
        </w:rPr>
        <w:t xml:space="preserve">Le budget de la Justice est prévu annuellement par la loi des finances votée par le Parlement. </w:t>
      </w:r>
      <w:proofErr w:type="spellStart"/>
      <w:r w:rsidR="0093676D" w:rsidRPr="00CB4F2E">
        <w:rPr>
          <w:bCs/>
        </w:rPr>
        <w:t>A</w:t>
      </w:r>
      <w:proofErr w:type="spellEnd"/>
      <w:r w:rsidR="0093676D" w:rsidRPr="00CB4F2E">
        <w:t> l’exception du budget du Conseil Constitutionnel dont l’enveloppe budgétaire est restée stable en 2024, celui du conseil constitutionnel et du Ministère de la Justice-MINJUSTICE (</w:t>
      </w:r>
      <w:hyperlink r:id="rId29" w:history="1">
        <w:r w:rsidR="0093676D" w:rsidRPr="00CB4F2E">
          <w:rPr>
            <w:rStyle w:val="Hyperlink"/>
          </w:rPr>
          <w:t>www.minjustice.gov.cm</w:t>
        </w:r>
      </w:hyperlink>
      <w:r w:rsidR="0093676D" w:rsidRPr="00CB4F2E">
        <w:t>) a connu une hausse.</w:t>
      </w:r>
    </w:p>
    <w:tbl>
      <w:tblPr>
        <w:tblW w:w="7370" w:type="dxa"/>
        <w:tblInd w:w="1134" w:type="dxa"/>
        <w:tblLayout w:type="fixed"/>
        <w:tblCellMar>
          <w:left w:w="0" w:type="dxa"/>
          <w:right w:w="0" w:type="dxa"/>
        </w:tblCellMar>
        <w:tblLook w:val="04A0" w:firstRow="1" w:lastRow="0" w:firstColumn="1" w:lastColumn="0" w:noHBand="0" w:noVBand="1"/>
      </w:tblPr>
      <w:tblGrid>
        <w:gridCol w:w="2767"/>
        <w:gridCol w:w="2217"/>
        <w:gridCol w:w="2386"/>
      </w:tblGrid>
      <w:tr w:rsidR="00B74D55" w:rsidRPr="00B74D55" w14:paraId="577CAA1C" w14:textId="77777777" w:rsidTr="00B74D55">
        <w:trPr>
          <w:tblHeader/>
        </w:trPr>
        <w:tc>
          <w:tcPr>
            <w:tcW w:w="2767" w:type="dxa"/>
            <w:tcBorders>
              <w:top w:val="single" w:sz="4" w:space="0" w:color="auto"/>
              <w:bottom w:val="single" w:sz="12" w:space="0" w:color="auto"/>
            </w:tcBorders>
            <w:tcMar>
              <w:top w:w="0" w:type="dxa"/>
              <w:left w:w="75" w:type="dxa"/>
              <w:bottom w:w="0" w:type="dxa"/>
              <w:right w:w="75" w:type="dxa"/>
            </w:tcMar>
            <w:vAlign w:val="bottom"/>
            <w:hideMark/>
          </w:tcPr>
          <w:p w14:paraId="5283ED16" w14:textId="77777777" w:rsidR="0093676D" w:rsidRPr="00CB4F2E" w:rsidRDefault="0093676D" w:rsidP="00B74D55">
            <w:pPr>
              <w:suppressAutoHyphens w:val="0"/>
              <w:spacing w:before="80" w:after="80" w:line="200" w:lineRule="exact"/>
              <w:rPr>
                <w:i/>
                <w:sz w:val="16"/>
              </w:rPr>
            </w:pPr>
          </w:p>
        </w:tc>
        <w:tc>
          <w:tcPr>
            <w:tcW w:w="2217" w:type="dxa"/>
            <w:tcBorders>
              <w:top w:val="single" w:sz="4" w:space="0" w:color="auto"/>
              <w:bottom w:val="single" w:sz="12" w:space="0" w:color="auto"/>
            </w:tcBorders>
            <w:tcMar>
              <w:top w:w="0" w:type="dxa"/>
              <w:left w:w="75" w:type="dxa"/>
              <w:bottom w:w="0" w:type="dxa"/>
              <w:right w:w="75" w:type="dxa"/>
            </w:tcMar>
            <w:vAlign w:val="bottom"/>
            <w:hideMark/>
          </w:tcPr>
          <w:p w14:paraId="2A2B3A0A" w14:textId="77777777" w:rsidR="0093676D" w:rsidRPr="00CB4F2E" w:rsidRDefault="0093676D" w:rsidP="00B74D55">
            <w:pPr>
              <w:suppressAutoHyphens w:val="0"/>
              <w:spacing w:before="80" w:after="80" w:line="200" w:lineRule="exact"/>
              <w:jc w:val="right"/>
              <w:rPr>
                <w:bCs/>
                <w:i/>
                <w:sz w:val="16"/>
              </w:rPr>
            </w:pPr>
            <w:r w:rsidRPr="00CB4F2E">
              <w:rPr>
                <w:bCs/>
                <w:i/>
                <w:sz w:val="16"/>
              </w:rPr>
              <w:t>2023</w:t>
            </w:r>
          </w:p>
        </w:tc>
        <w:tc>
          <w:tcPr>
            <w:tcW w:w="2386" w:type="dxa"/>
            <w:tcBorders>
              <w:top w:val="single" w:sz="4" w:space="0" w:color="auto"/>
              <w:bottom w:val="single" w:sz="12" w:space="0" w:color="auto"/>
            </w:tcBorders>
            <w:tcMar>
              <w:top w:w="0" w:type="dxa"/>
              <w:left w:w="75" w:type="dxa"/>
              <w:bottom w:w="0" w:type="dxa"/>
              <w:right w:w="75" w:type="dxa"/>
            </w:tcMar>
            <w:vAlign w:val="bottom"/>
            <w:hideMark/>
          </w:tcPr>
          <w:p w14:paraId="575E4B54" w14:textId="77777777" w:rsidR="0093676D" w:rsidRPr="00CB4F2E" w:rsidRDefault="0093676D" w:rsidP="00B74D55">
            <w:pPr>
              <w:suppressAutoHyphens w:val="0"/>
              <w:spacing w:before="80" w:after="80" w:line="200" w:lineRule="exact"/>
              <w:jc w:val="right"/>
              <w:rPr>
                <w:bCs/>
                <w:i/>
                <w:sz w:val="16"/>
              </w:rPr>
            </w:pPr>
            <w:r w:rsidRPr="00CB4F2E">
              <w:rPr>
                <w:bCs/>
                <w:i/>
                <w:sz w:val="16"/>
              </w:rPr>
              <w:t>2024</w:t>
            </w:r>
          </w:p>
        </w:tc>
      </w:tr>
      <w:tr w:rsidR="00B74D55" w:rsidRPr="00CB4F2E" w14:paraId="0892312A" w14:textId="77777777" w:rsidTr="00B74D55">
        <w:tc>
          <w:tcPr>
            <w:tcW w:w="2767" w:type="dxa"/>
            <w:tcBorders>
              <w:top w:val="single" w:sz="12" w:space="0" w:color="auto"/>
            </w:tcBorders>
            <w:tcMar>
              <w:top w:w="0" w:type="dxa"/>
              <w:left w:w="75" w:type="dxa"/>
              <w:bottom w:w="0" w:type="dxa"/>
              <w:right w:w="75" w:type="dxa"/>
            </w:tcMar>
            <w:hideMark/>
          </w:tcPr>
          <w:p w14:paraId="6496D0C8" w14:textId="77777777" w:rsidR="0093676D" w:rsidRPr="00CB4F2E" w:rsidRDefault="0093676D" w:rsidP="00B74D55">
            <w:pPr>
              <w:suppressAutoHyphens w:val="0"/>
              <w:spacing w:before="40" w:after="40" w:line="220" w:lineRule="exact"/>
              <w:rPr>
                <w:b/>
                <w:bCs/>
                <w:sz w:val="18"/>
              </w:rPr>
            </w:pPr>
            <w:r w:rsidRPr="00CB4F2E">
              <w:rPr>
                <w:b/>
                <w:bCs/>
                <w:sz w:val="18"/>
              </w:rPr>
              <w:t>Cour Suprême </w:t>
            </w:r>
          </w:p>
        </w:tc>
        <w:tc>
          <w:tcPr>
            <w:tcW w:w="2217" w:type="dxa"/>
            <w:tcBorders>
              <w:top w:val="single" w:sz="12" w:space="0" w:color="auto"/>
            </w:tcBorders>
            <w:tcMar>
              <w:top w:w="0" w:type="dxa"/>
              <w:left w:w="75" w:type="dxa"/>
              <w:bottom w:w="0" w:type="dxa"/>
              <w:right w:w="75" w:type="dxa"/>
            </w:tcMar>
            <w:vAlign w:val="bottom"/>
            <w:hideMark/>
          </w:tcPr>
          <w:p w14:paraId="08D475FB" w14:textId="77777777" w:rsidR="0093676D" w:rsidRPr="00CB4F2E" w:rsidRDefault="0093676D" w:rsidP="00B74D55">
            <w:pPr>
              <w:suppressAutoHyphens w:val="0"/>
              <w:spacing w:before="40" w:after="40" w:line="220" w:lineRule="exact"/>
              <w:jc w:val="right"/>
              <w:rPr>
                <w:sz w:val="18"/>
              </w:rPr>
            </w:pPr>
            <w:r w:rsidRPr="00CB4F2E">
              <w:rPr>
                <w:sz w:val="18"/>
              </w:rPr>
              <w:t>5 120 000 000 FCFA</w:t>
            </w:r>
            <w:r w:rsidRPr="00CB4F2E">
              <w:rPr>
                <w:rStyle w:val="FootnoteReference"/>
              </w:rPr>
              <w:footnoteReference w:id="28"/>
            </w:r>
          </w:p>
        </w:tc>
        <w:tc>
          <w:tcPr>
            <w:tcW w:w="2386" w:type="dxa"/>
            <w:tcBorders>
              <w:top w:val="single" w:sz="12" w:space="0" w:color="auto"/>
            </w:tcBorders>
            <w:tcMar>
              <w:top w:w="0" w:type="dxa"/>
              <w:left w:w="75" w:type="dxa"/>
              <w:bottom w:w="0" w:type="dxa"/>
              <w:right w:w="75" w:type="dxa"/>
            </w:tcMar>
            <w:vAlign w:val="bottom"/>
            <w:hideMark/>
          </w:tcPr>
          <w:p w14:paraId="59BED22F" w14:textId="77777777" w:rsidR="0093676D" w:rsidRPr="00CB4F2E" w:rsidRDefault="0093676D" w:rsidP="00B74D55">
            <w:pPr>
              <w:suppressAutoHyphens w:val="0"/>
              <w:spacing w:before="40" w:after="40" w:line="220" w:lineRule="exact"/>
              <w:jc w:val="right"/>
              <w:rPr>
                <w:sz w:val="18"/>
              </w:rPr>
            </w:pPr>
            <w:r w:rsidRPr="00CB4F2E">
              <w:rPr>
                <w:sz w:val="18"/>
              </w:rPr>
              <w:t>5 427 000 000 FCFA</w:t>
            </w:r>
          </w:p>
        </w:tc>
      </w:tr>
      <w:tr w:rsidR="00B74D55" w:rsidRPr="00CB4F2E" w14:paraId="79A8DEC0" w14:textId="77777777" w:rsidTr="00B74D55">
        <w:tc>
          <w:tcPr>
            <w:tcW w:w="2767" w:type="dxa"/>
            <w:tcMar>
              <w:top w:w="0" w:type="dxa"/>
              <w:left w:w="75" w:type="dxa"/>
              <w:bottom w:w="0" w:type="dxa"/>
              <w:right w:w="75" w:type="dxa"/>
            </w:tcMar>
            <w:hideMark/>
          </w:tcPr>
          <w:p w14:paraId="6B74D4CC" w14:textId="77777777" w:rsidR="0093676D" w:rsidRPr="00CB4F2E" w:rsidRDefault="0093676D" w:rsidP="00B74D55">
            <w:pPr>
              <w:suppressAutoHyphens w:val="0"/>
              <w:spacing w:before="40" w:after="40" w:line="220" w:lineRule="exact"/>
              <w:rPr>
                <w:b/>
                <w:bCs/>
                <w:sz w:val="18"/>
              </w:rPr>
            </w:pPr>
            <w:r w:rsidRPr="00CB4F2E">
              <w:rPr>
                <w:b/>
                <w:bCs/>
                <w:sz w:val="18"/>
              </w:rPr>
              <w:t>Conseil constitutionnel</w:t>
            </w:r>
          </w:p>
        </w:tc>
        <w:tc>
          <w:tcPr>
            <w:tcW w:w="2217" w:type="dxa"/>
            <w:tcMar>
              <w:top w:w="0" w:type="dxa"/>
              <w:left w:w="75" w:type="dxa"/>
              <w:bottom w:w="0" w:type="dxa"/>
              <w:right w:w="75" w:type="dxa"/>
            </w:tcMar>
            <w:vAlign w:val="bottom"/>
            <w:hideMark/>
          </w:tcPr>
          <w:p w14:paraId="7C148D51" w14:textId="77777777" w:rsidR="0093676D" w:rsidRPr="00CB4F2E" w:rsidRDefault="0093676D" w:rsidP="00B74D55">
            <w:pPr>
              <w:suppressAutoHyphens w:val="0"/>
              <w:spacing w:before="40" w:after="40" w:line="220" w:lineRule="exact"/>
              <w:jc w:val="right"/>
              <w:rPr>
                <w:sz w:val="18"/>
              </w:rPr>
            </w:pPr>
            <w:r w:rsidRPr="00CB4F2E">
              <w:rPr>
                <w:sz w:val="18"/>
              </w:rPr>
              <w:t>3 944 000 000 FCFA</w:t>
            </w:r>
          </w:p>
        </w:tc>
        <w:tc>
          <w:tcPr>
            <w:tcW w:w="2386" w:type="dxa"/>
            <w:tcMar>
              <w:top w:w="0" w:type="dxa"/>
              <w:left w:w="75" w:type="dxa"/>
              <w:bottom w:w="0" w:type="dxa"/>
              <w:right w:w="75" w:type="dxa"/>
            </w:tcMar>
            <w:vAlign w:val="bottom"/>
            <w:hideMark/>
          </w:tcPr>
          <w:p w14:paraId="3B7E5C54" w14:textId="77777777" w:rsidR="0093676D" w:rsidRPr="00CB4F2E" w:rsidRDefault="0093676D" w:rsidP="00B74D55">
            <w:pPr>
              <w:suppressAutoHyphens w:val="0"/>
              <w:spacing w:before="40" w:after="40" w:line="220" w:lineRule="exact"/>
              <w:jc w:val="right"/>
              <w:rPr>
                <w:sz w:val="18"/>
              </w:rPr>
            </w:pPr>
            <w:r w:rsidRPr="00CB4F2E">
              <w:rPr>
                <w:sz w:val="18"/>
              </w:rPr>
              <w:t>3 944 000 000 FCFA</w:t>
            </w:r>
          </w:p>
        </w:tc>
      </w:tr>
      <w:tr w:rsidR="00B74D55" w:rsidRPr="00CB4F2E" w14:paraId="556091BB" w14:textId="77777777" w:rsidTr="00B74D55">
        <w:tc>
          <w:tcPr>
            <w:tcW w:w="2767" w:type="dxa"/>
            <w:tcBorders>
              <w:bottom w:val="single" w:sz="12" w:space="0" w:color="auto"/>
            </w:tcBorders>
            <w:tcMar>
              <w:top w:w="0" w:type="dxa"/>
              <w:left w:w="75" w:type="dxa"/>
              <w:bottom w:w="0" w:type="dxa"/>
              <w:right w:w="75" w:type="dxa"/>
            </w:tcMar>
            <w:hideMark/>
          </w:tcPr>
          <w:p w14:paraId="5E765C97" w14:textId="77777777" w:rsidR="0093676D" w:rsidRPr="00CB4F2E" w:rsidRDefault="0093676D" w:rsidP="00B74D55">
            <w:pPr>
              <w:suppressAutoHyphens w:val="0"/>
              <w:spacing w:before="40" w:after="40" w:line="220" w:lineRule="exact"/>
              <w:rPr>
                <w:b/>
                <w:bCs/>
                <w:sz w:val="18"/>
              </w:rPr>
            </w:pPr>
            <w:r w:rsidRPr="00CB4F2E">
              <w:rPr>
                <w:b/>
                <w:bCs/>
                <w:sz w:val="18"/>
              </w:rPr>
              <w:t>MINJUSTICE</w:t>
            </w:r>
          </w:p>
        </w:tc>
        <w:tc>
          <w:tcPr>
            <w:tcW w:w="2217" w:type="dxa"/>
            <w:tcBorders>
              <w:bottom w:val="single" w:sz="12" w:space="0" w:color="auto"/>
            </w:tcBorders>
            <w:tcMar>
              <w:top w:w="0" w:type="dxa"/>
              <w:left w:w="75" w:type="dxa"/>
              <w:bottom w:w="0" w:type="dxa"/>
              <w:right w:w="75" w:type="dxa"/>
            </w:tcMar>
            <w:vAlign w:val="bottom"/>
            <w:hideMark/>
          </w:tcPr>
          <w:p w14:paraId="7DCAFBF8" w14:textId="77777777" w:rsidR="0093676D" w:rsidRPr="00CB4F2E" w:rsidRDefault="0093676D" w:rsidP="00B74D55">
            <w:pPr>
              <w:suppressAutoHyphens w:val="0"/>
              <w:spacing w:before="40" w:after="40" w:line="220" w:lineRule="exact"/>
              <w:jc w:val="right"/>
              <w:rPr>
                <w:sz w:val="18"/>
              </w:rPr>
            </w:pPr>
            <w:r w:rsidRPr="00CB4F2E">
              <w:rPr>
                <w:sz w:val="18"/>
              </w:rPr>
              <w:t>66 642 000 000 FCFA</w:t>
            </w:r>
          </w:p>
        </w:tc>
        <w:tc>
          <w:tcPr>
            <w:tcW w:w="2386" w:type="dxa"/>
            <w:tcBorders>
              <w:bottom w:val="single" w:sz="12" w:space="0" w:color="auto"/>
            </w:tcBorders>
            <w:tcMar>
              <w:top w:w="0" w:type="dxa"/>
              <w:left w:w="75" w:type="dxa"/>
              <w:bottom w:w="0" w:type="dxa"/>
              <w:right w:w="75" w:type="dxa"/>
            </w:tcMar>
            <w:vAlign w:val="bottom"/>
            <w:hideMark/>
          </w:tcPr>
          <w:p w14:paraId="6F31679B" w14:textId="77777777" w:rsidR="0093676D" w:rsidRPr="00CB4F2E" w:rsidRDefault="0093676D" w:rsidP="00B74D55">
            <w:pPr>
              <w:suppressAutoHyphens w:val="0"/>
              <w:spacing w:before="40" w:after="40" w:line="220" w:lineRule="exact"/>
              <w:jc w:val="right"/>
              <w:rPr>
                <w:sz w:val="18"/>
              </w:rPr>
            </w:pPr>
            <w:r w:rsidRPr="00CB4F2E">
              <w:rPr>
                <w:sz w:val="18"/>
              </w:rPr>
              <w:t>69 308 000 000 FCFA</w:t>
            </w:r>
          </w:p>
        </w:tc>
      </w:tr>
    </w:tbl>
    <w:p w14:paraId="0C0AE478" w14:textId="418EFA1B" w:rsidR="0093676D" w:rsidRPr="00CB4F2E" w:rsidRDefault="00C959F9" w:rsidP="00C959F9">
      <w:pPr>
        <w:pStyle w:val="SingleTxtG"/>
      </w:pPr>
      <w:r w:rsidRPr="00CB4F2E">
        <w:rPr>
          <w:bCs/>
        </w:rPr>
        <w:t>100.</w:t>
      </w:r>
      <w:r w:rsidRPr="00CB4F2E">
        <w:rPr>
          <w:bCs/>
        </w:rPr>
        <w:tab/>
      </w:r>
      <w:r w:rsidR="0093676D" w:rsidRPr="00CB4F2E">
        <w:t xml:space="preserve">En vertu de la Loi n°2009/004 du 14 avril 2009 portant assistance judiciaire, cette assistance est soit prévu de plein droit, soit accordée sur demande, en tout ou partie, à des personnes physiques réputées comme ayant des ressources insuffisantes. L'assistance judiciaire concerne tous les frais afférents aux instances, procédures ou actes pour lesquels elle a été accordée. Ces frais (les frais de greffe, les honoraires d’avocat commis d’office, les frais d’huissier, </w:t>
      </w:r>
      <w:proofErr w:type="spellStart"/>
      <w:r w:rsidR="0093676D" w:rsidRPr="00CB4F2E">
        <w:t>etc</w:t>
      </w:r>
      <w:proofErr w:type="spellEnd"/>
      <w:r w:rsidR="0093676D" w:rsidRPr="00CB4F2E">
        <w:t>) sont avancés par l'</w:t>
      </w:r>
      <w:proofErr w:type="spellStart"/>
      <w:r w:rsidR="0093676D" w:rsidRPr="00CB4F2E">
        <w:t>Etat</w:t>
      </w:r>
      <w:proofErr w:type="spellEnd"/>
      <w:r w:rsidR="0093676D" w:rsidRPr="00CB4F2E">
        <w:t xml:space="preserve">. Ces frais étant fonction notamment du nombre de sessions des commissions d’assistance judiciaire et du nombre de demandes favorables, une enveloppe budgétaire déterminée un budget n’est pas préalablement établi. En 2021, 2022, 2023 et 2024 les commissions d’assistance judiciaire instituées auprès des juridictions ont fait droit respectivement à 54,94%, 44,75%, 66,21 % et </w:t>
      </w:r>
      <w:r w:rsidR="0093676D" w:rsidRPr="00CB4F2E">
        <w:rPr>
          <w:bCs/>
        </w:rPr>
        <w:t>54,62%</w:t>
      </w:r>
      <w:r w:rsidR="0093676D" w:rsidRPr="00CB4F2E">
        <w:t xml:space="preserve"> des demandes. </w:t>
      </w:r>
    </w:p>
    <w:p w14:paraId="18EB83AC" w14:textId="4725CF6D" w:rsidR="0093676D" w:rsidRPr="00CB4F2E" w:rsidRDefault="0066145F" w:rsidP="0066145F">
      <w:pPr>
        <w:pStyle w:val="HChG"/>
      </w:pPr>
      <w:bookmarkStart w:id="48" w:name="_Toc210209107"/>
      <w:bookmarkStart w:id="49" w:name="_Toc210646318"/>
      <w:r>
        <w:tab/>
      </w:r>
      <w:r w:rsidR="0093676D" w:rsidRPr="00CB4F2E">
        <w:t>II.</w:t>
      </w:r>
      <w:r>
        <w:tab/>
      </w:r>
      <w:r w:rsidRPr="00CB4F2E">
        <w:t>La structure constitutionnelle, juridique et politique</w:t>
      </w:r>
      <w:bookmarkEnd w:id="48"/>
      <w:bookmarkEnd w:id="49"/>
    </w:p>
    <w:p w14:paraId="0FF1DBDB" w14:textId="3405CFFB" w:rsidR="00ED20A7" w:rsidRDefault="00346245" w:rsidP="00FC750F">
      <w:pPr>
        <w:pStyle w:val="H1G"/>
        <w:ind w:left="1210" w:hanging="850"/>
        <w:rPr>
          <w:i/>
        </w:rPr>
      </w:pPr>
      <w:bookmarkStart w:id="50" w:name="_Toc210209108"/>
      <w:bookmarkStart w:id="51" w:name="_Toc210646319"/>
      <w:r>
        <w:tab/>
      </w:r>
      <w:r w:rsidR="00FC750F" w:rsidRPr="00CB4F2E">
        <w:t>A.</w:t>
      </w:r>
      <w:r w:rsidR="00FC750F" w:rsidRPr="00CB4F2E">
        <w:tab/>
      </w:r>
      <w:r w:rsidR="0093676D" w:rsidRPr="00CB4F2E">
        <w:t>Principales caractéristiques</w:t>
      </w:r>
      <w:bookmarkEnd w:id="50"/>
      <w:bookmarkEnd w:id="51"/>
      <w:r w:rsidR="0093676D" w:rsidRPr="00CB4F2E">
        <w:t xml:space="preserve"> </w:t>
      </w:r>
    </w:p>
    <w:p w14:paraId="14C78B6F" w14:textId="720193C6" w:rsidR="00ED20A7" w:rsidRDefault="00C959F9" w:rsidP="00C959F9">
      <w:pPr>
        <w:pStyle w:val="SingleTxtG"/>
      </w:pPr>
      <w:r>
        <w:rPr>
          <w:bCs/>
        </w:rPr>
        <w:t>101.</w:t>
      </w:r>
      <w:r>
        <w:rPr>
          <w:bCs/>
        </w:rPr>
        <w:tab/>
      </w:r>
      <w:r w:rsidR="0093676D" w:rsidRPr="00CB4F2E">
        <w:t>Le protectorat allemand et la tutelle franco-britannique évoqués plus haut (§…) ont permis au Cameroun d’hériter d’une culture anglo-saxonne et francophone qui justifie l’existence du dualisme juridique et judiciaire, marqué par la cohabitation du droit romano-</w:t>
      </w:r>
      <w:r w:rsidR="0093676D" w:rsidRPr="00CB4F2E">
        <w:lastRenderedPageBreak/>
        <w:t xml:space="preserve">germanique et de la </w:t>
      </w:r>
      <w:r w:rsidR="0093676D" w:rsidRPr="00CB4F2E">
        <w:rPr>
          <w:i/>
        </w:rPr>
        <w:t>Common Law</w:t>
      </w:r>
      <w:r w:rsidR="0093676D" w:rsidRPr="00CB4F2E">
        <w:t>. Ce dualisme s’ajoute à la coexistence de la coutume et du droit écrit.</w:t>
      </w:r>
    </w:p>
    <w:p w14:paraId="635A53A9" w14:textId="50CD60A6" w:rsidR="00ED20A7" w:rsidRDefault="00C959F9" w:rsidP="00C959F9">
      <w:pPr>
        <w:pStyle w:val="SingleTxtG"/>
      </w:pPr>
      <w:r>
        <w:rPr>
          <w:bCs/>
        </w:rPr>
        <w:t>102.</w:t>
      </w:r>
      <w:r>
        <w:rPr>
          <w:bCs/>
        </w:rPr>
        <w:tab/>
      </w:r>
      <w:r w:rsidR="0093676D" w:rsidRPr="00CB4F2E">
        <w:t xml:space="preserve">Le processus d’harmonisation des deux systèmes juridiques, enclenché dans certains </w:t>
      </w:r>
      <w:r w:rsidR="0093676D" w:rsidRPr="00CB4F2E">
        <w:rPr>
          <w:bCs/>
        </w:rPr>
        <w:t>domaines</w:t>
      </w:r>
      <w:r w:rsidR="0093676D" w:rsidRPr="00CB4F2E">
        <w:t xml:space="preserve"> (droit pénal, droit foncier, droit du travail, droit des affaires, etc.) après la réunification, se poursuit à ce jour.</w:t>
      </w:r>
    </w:p>
    <w:p w14:paraId="730782D0" w14:textId="0A7F4D83" w:rsidR="00ED20A7" w:rsidRDefault="00C959F9" w:rsidP="00C959F9">
      <w:pPr>
        <w:pStyle w:val="SingleTxtG"/>
      </w:pPr>
      <w:r>
        <w:rPr>
          <w:bCs/>
        </w:rPr>
        <w:t>103.</w:t>
      </w:r>
      <w:r>
        <w:rPr>
          <w:bCs/>
        </w:rPr>
        <w:tab/>
      </w:r>
      <w:r w:rsidR="0093676D" w:rsidRPr="00CB4F2E">
        <w:t>Du point de vue de l’ordre international, le Cameroun a opté pour un système juridique moniste avec primauté du droit international. En effet, dans la hiérarchie des normes, les accords, conventions et traités internationaux dûment ratifiés par le Cameroun ont une valeur supérieure aux lois nationales, conformément aux dispositions de l’article 45 de la Constitution.</w:t>
      </w:r>
    </w:p>
    <w:p w14:paraId="2865A08E" w14:textId="1A2B4EEB" w:rsidR="00ED20A7" w:rsidRDefault="00C959F9" w:rsidP="00C959F9">
      <w:pPr>
        <w:pStyle w:val="SingleTxtG"/>
      </w:pPr>
      <w:r>
        <w:rPr>
          <w:bCs/>
        </w:rPr>
        <w:t>104.</w:t>
      </w:r>
      <w:r>
        <w:rPr>
          <w:bCs/>
        </w:rPr>
        <w:tab/>
      </w:r>
      <w:r w:rsidR="0093676D" w:rsidRPr="00CB4F2E">
        <w:t>Le Cameroun oriental, qui était placé sous la tutelle française, a accédé à la souveraineté internationale le 1</w:t>
      </w:r>
      <w:r w:rsidR="0093676D" w:rsidRPr="00CB4F2E">
        <w:rPr>
          <w:vertAlign w:val="superscript"/>
        </w:rPr>
        <w:t>er</w:t>
      </w:r>
      <w:r w:rsidR="0093676D" w:rsidRPr="00CB4F2E">
        <w:t xml:space="preserve"> janvier 1960. Le 1</w:t>
      </w:r>
      <w:r w:rsidR="0093676D" w:rsidRPr="00CB4F2E">
        <w:rPr>
          <w:vertAlign w:val="superscript"/>
        </w:rPr>
        <w:t>er</w:t>
      </w:r>
      <w:r w:rsidR="0093676D" w:rsidRPr="00CB4F2E">
        <w:t xml:space="preserve"> octobre 1961, il y a eu la réunification du Cameroun oriental et du Cameroun occidental (qui était placé sous la tutelle britannique) dans le cadre d’un </w:t>
      </w:r>
      <w:proofErr w:type="spellStart"/>
      <w:r w:rsidR="0093676D" w:rsidRPr="00CB4F2E">
        <w:t>Etat</w:t>
      </w:r>
      <w:proofErr w:type="spellEnd"/>
      <w:r w:rsidR="0093676D" w:rsidRPr="00CB4F2E">
        <w:t xml:space="preserve"> fédéral. Suite au </w:t>
      </w:r>
      <w:proofErr w:type="spellStart"/>
      <w:r w:rsidR="0093676D" w:rsidRPr="00CB4F2E">
        <w:t>référendum</w:t>
      </w:r>
      <w:proofErr w:type="spellEnd"/>
      <w:r w:rsidR="0093676D" w:rsidRPr="00CB4F2E">
        <w:t xml:space="preserve"> du 20 mai 1972, le Cameroun est devenu un </w:t>
      </w:r>
      <w:proofErr w:type="spellStart"/>
      <w:r w:rsidR="0093676D" w:rsidRPr="00CB4F2E">
        <w:t>Etat</w:t>
      </w:r>
      <w:proofErr w:type="spellEnd"/>
      <w:r w:rsidR="0093676D" w:rsidRPr="00CB4F2E">
        <w:t xml:space="preserve"> unitaire. Aux termes de la Loi n° 96/006 du 18 janvier 1996 portant révision de la Constitution du 02 juin 1972, modifiée et complétée par la Loi n° 2008/001 du 14 avril 2008, le Cameroun devient un </w:t>
      </w:r>
      <w:proofErr w:type="spellStart"/>
      <w:r w:rsidR="0093676D" w:rsidRPr="00CB4F2E">
        <w:t>Etat</w:t>
      </w:r>
      <w:proofErr w:type="spellEnd"/>
      <w:r w:rsidR="0093676D" w:rsidRPr="00CB4F2E">
        <w:t xml:space="preserve"> unitaire décentralisé démocratique et à régime semi-présidentiel.</w:t>
      </w:r>
    </w:p>
    <w:p w14:paraId="117E857E" w14:textId="5612C03C" w:rsidR="0093676D" w:rsidRPr="00CB4F2E" w:rsidRDefault="0066145F" w:rsidP="0066145F">
      <w:pPr>
        <w:pStyle w:val="H1G"/>
        <w:rPr>
          <w:i/>
        </w:rPr>
      </w:pPr>
      <w:bookmarkStart w:id="52" w:name="_Toc210209109"/>
      <w:bookmarkStart w:id="53" w:name="_Toc210646320"/>
      <w:r>
        <w:tab/>
      </w:r>
      <w:r w:rsidR="0093676D" w:rsidRPr="00CB4F2E">
        <w:t>B.</w:t>
      </w:r>
      <w:r>
        <w:tab/>
      </w:r>
      <w:r w:rsidR="0093676D" w:rsidRPr="00CB4F2E">
        <w:t>Système politique</w:t>
      </w:r>
      <w:bookmarkEnd w:id="52"/>
      <w:bookmarkEnd w:id="53"/>
    </w:p>
    <w:p w14:paraId="0B47998C" w14:textId="77777777" w:rsidR="00ED20A7" w:rsidRDefault="0066145F" w:rsidP="0066145F">
      <w:pPr>
        <w:pStyle w:val="H23G"/>
      </w:pPr>
      <w:bookmarkStart w:id="54" w:name="_Toc210646321"/>
      <w:r>
        <w:tab/>
      </w:r>
      <w:r>
        <w:tab/>
      </w:r>
      <w:r w:rsidR="0093676D" w:rsidRPr="00CB4F2E">
        <w:t>Les partis politiques</w:t>
      </w:r>
      <w:bookmarkEnd w:id="54"/>
      <w:r w:rsidR="0093676D" w:rsidRPr="00CB4F2E">
        <w:t> </w:t>
      </w:r>
    </w:p>
    <w:p w14:paraId="60DBDC05" w14:textId="317615B3" w:rsidR="00ED20A7" w:rsidRDefault="00C959F9" w:rsidP="00C959F9">
      <w:pPr>
        <w:pStyle w:val="SingleTxtG"/>
        <w:rPr>
          <w:b/>
          <w:bCs/>
        </w:rPr>
      </w:pPr>
      <w:r>
        <w:rPr>
          <w:bCs/>
        </w:rPr>
        <w:t>105.</w:t>
      </w:r>
      <w:r>
        <w:rPr>
          <w:bCs/>
        </w:rPr>
        <w:tab/>
      </w:r>
      <w:r w:rsidR="0093676D" w:rsidRPr="00CB4F2E">
        <w:t>Un système du parti unique de fait a prévalu de 1966 à 1990, année au cours de laquelle a été promulguée la Loi n</w:t>
      </w:r>
      <w:r w:rsidR="0093676D" w:rsidRPr="00CB4F2E">
        <w:rPr>
          <w:vertAlign w:val="superscript"/>
        </w:rPr>
        <w:t>o</w:t>
      </w:r>
      <w:r w:rsidR="0093676D" w:rsidRPr="00CB4F2E">
        <w:t xml:space="preserve"> 90/56 du 19 décembre 1990 relative aux partis politiques. Le paysage politique est marqué depuis lors par le multipartisme. Au 31 décembre 2024, le Cameroun comptait au total 367 partis politiques. </w:t>
      </w:r>
    </w:p>
    <w:p w14:paraId="695F3ACA" w14:textId="7DBC076F" w:rsidR="0093676D" w:rsidRPr="00CB4F2E" w:rsidRDefault="00C959F9" w:rsidP="00C959F9">
      <w:pPr>
        <w:pStyle w:val="SingleTxtG"/>
      </w:pPr>
      <w:r w:rsidRPr="00CB4F2E">
        <w:rPr>
          <w:bCs/>
        </w:rPr>
        <w:t>106.</w:t>
      </w:r>
      <w:r w:rsidRPr="00CB4F2E">
        <w:rPr>
          <w:bCs/>
        </w:rPr>
        <w:tab/>
      </w:r>
      <w:r w:rsidR="0093676D" w:rsidRPr="00CB4F2E">
        <w:t>Conformément</w:t>
      </w:r>
      <w:r w:rsidR="0093676D" w:rsidRPr="00CB4F2E">
        <w:rPr>
          <w:lang w:val="fr-FR"/>
        </w:rPr>
        <w:t xml:space="preserve"> à la Loi n°2000/015 du 19 décembre 2000 relative au financement public des partis politiques et des campagnes électorales, les partis politiques bénéficient d’un financement public pouvant couvrir leurs activités permanentes ainsi que les campagnes électorales et référendaires. </w:t>
      </w:r>
    </w:p>
    <w:p w14:paraId="51355E03" w14:textId="7384FDE2" w:rsidR="00ED20A7" w:rsidRDefault="002E0803" w:rsidP="002E0803">
      <w:pPr>
        <w:pStyle w:val="H23G"/>
        <w:rPr>
          <w:webHidden/>
        </w:rPr>
      </w:pPr>
      <w:bookmarkStart w:id="55" w:name="_Toc210646322"/>
      <w:r>
        <w:tab/>
      </w:r>
      <w:r>
        <w:tab/>
      </w:r>
      <w:r w:rsidR="0093676D" w:rsidRPr="00CB4F2E">
        <w:t>Les élections</w:t>
      </w:r>
      <w:bookmarkEnd w:id="55"/>
    </w:p>
    <w:p w14:paraId="4C474323" w14:textId="77777777" w:rsidR="00ED20A7" w:rsidRDefault="00560519" w:rsidP="00560519">
      <w:pPr>
        <w:pStyle w:val="H4G"/>
        <w:rPr>
          <w:webHidden/>
        </w:rPr>
      </w:pPr>
      <w:r>
        <w:rPr>
          <w:webHidden/>
        </w:rPr>
        <w:tab/>
      </w:r>
      <w:r w:rsidR="00FC750F" w:rsidRPr="00560519">
        <w:rPr>
          <w:webHidden/>
        </w:rPr>
        <w:t>a.</w:t>
      </w:r>
      <w:r w:rsidR="00FC750F" w:rsidRPr="00560519">
        <w:rPr>
          <w:webHidden/>
        </w:rPr>
        <w:tab/>
      </w:r>
      <w:r w:rsidR="0093676D" w:rsidRPr="00CB4F2E">
        <w:t>L’organisation, la gestion et la supervision des processus électoraux et référendaires</w:t>
      </w:r>
    </w:p>
    <w:p w14:paraId="6A7BCF0C" w14:textId="13443B50" w:rsidR="00ED20A7" w:rsidRDefault="00C959F9" w:rsidP="00C959F9">
      <w:pPr>
        <w:pStyle w:val="SingleTxtG"/>
      </w:pPr>
      <w:r>
        <w:rPr>
          <w:bCs/>
        </w:rPr>
        <w:t>107.</w:t>
      </w:r>
      <w:r>
        <w:rPr>
          <w:bCs/>
        </w:rPr>
        <w:tab/>
      </w:r>
      <w:proofErr w:type="spellStart"/>
      <w:r w:rsidR="0093676D" w:rsidRPr="00CB4F2E">
        <w:rPr>
          <w:webHidden/>
        </w:rPr>
        <w:t>Etabli</w:t>
      </w:r>
      <w:proofErr w:type="spellEnd"/>
      <w:r w:rsidR="0093676D" w:rsidRPr="00CB4F2E">
        <w:rPr>
          <w:webHidden/>
        </w:rPr>
        <w:t xml:space="preserve"> par la</w:t>
      </w:r>
      <w:r w:rsidR="0093676D" w:rsidRPr="00CB4F2E">
        <w:rPr>
          <w:b/>
          <w:bCs/>
          <w:webHidden/>
        </w:rPr>
        <w:t xml:space="preserve"> </w:t>
      </w:r>
      <w:r w:rsidR="0093676D" w:rsidRPr="00CB4F2E">
        <w:t xml:space="preserve">Loi n° 2006/011 du 29 décembre 2006, </w:t>
      </w:r>
      <w:proofErr w:type="spellStart"/>
      <w:r w:rsidR="0093676D" w:rsidRPr="00CB4F2E">
        <w:t>Elections</w:t>
      </w:r>
      <w:proofErr w:type="spellEnd"/>
      <w:r w:rsidR="0093676D" w:rsidRPr="00CB4F2E">
        <w:t xml:space="preserve"> </w:t>
      </w:r>
      <w:proofErr w:type="spellStart"/>
      <w:r w:rsidR="0093676D" w:rsidRPr="00CB4F2E">
        <w:t>Cameroon</w:t>
      </w:r>
      <w:proofErr w:type="spellEnd"/>
      <w:r w:rsidR="0093676D" w:rsidRPr="00CB4F2E">
        <w:t>-ELECAM (</w:t>
      </w:r>
      <w:hyperlink r:id="rId30" w:history="1">
        <w:r w:rsidR="0093676D" w:rsidRPr="00CB4F2E">
          <w:rPr>
            <w:rStyle w:val="Hyperlink"/>
          </w:rPr>
          <w:t>www.elecam.cm</w:t>
        </w:r>
      </w:hyperlink>
      <w:r w:rsidR="0093676D" w:rsidRPr="00CB4F2E">
        <w:t xml:space="preserve"> ) est un organe indépendant en charge de l’organisation, de la gestion et de la supervision de l’ensemble des processus électoraux et référendaires. Son fonctionnement est basé sur la concertation permanente avec les représentants des partis politiques et de la société, ainsi que toutes les autres parties prenantes au processus électoral.</w:t>
      </w:r>
      <w:r w:rsidR="0027203C">
        <w:t xml:space="preserve"> </w:t>
      </w:r>
      <w:r w:rsidR="0093676D" w:rsidRPr="00CB4F2E">
        <w:t xml:space="preserve">Jusqu’à l’adoption de la Loi n°2000/016 du 19 décembre 2000 portant création d'un Observatoire National des </w:t>
      </w:r>
      <w:proofErr w:type="spellStart"/>
      <w:r w:rsidR="0093676D" w:rsidRPr="00CB4F2E">
        <w:t>Elections</w:t>
      </w:r>
      <w:proofErr w:type="spellEnd"/>
      <w:r w:rsidR="0093676D" w:rsidRPr="00CB4F2E">
        <w:t>, qui a précédé ELECAM, les élections étaient organisées par le Ministère en charge de l’Administration Territoriale-MINAT (</w:t>
      </w:r>
      <w:hyperlink r:id="rId31" w:history="1">
        <w:r w:rsidR="0093676D" w:rsidRPr="00CB4F2E">
          <w:rPr>
            <w:rStyle w:val="Hyperlink"/>
          </w:rPr>
          <w:t>https://minat.gov.cm/</w:t>
        </w:r>
      </w:hyperlink>
      <w:r w:rsidR="0093676D" w:rsidRPr="00CB4F2E">
        <w:t xml:space="preserve">). </w:t>
      </w:r>
    </w:p>
    <w:p w14:paraId="35EED399" w14:textId="264315CD" w:rsidR="00ED20A7" w:rsidRDefault="00C959F9" w:rsidP="00C959F9">
      <w:pPr>
        <w:pStyle w:val="SingleTxtG"/>
      </w:pPr>
      <w:r>
        <w:rPr>
          <w:bCs/>
        </w:rPr>
        <w:t>108.</w:t>
      </w:r>
      <w:r>
        <w:rPr>
          <w:bCs/>
        </w:rPr>
        <w:tab/>
      </w:r>
      <w:r w:rsidR="0093676D" w:rsidRPr="00CB4F2E">
        <w:t>Depuis la promulgation de la Loi n</w:t>
      </w:r>
      <w:r w:rsidR="0093676D" w:rsidRPr="00CB4F2E">
        <w:rPr>
          <w:vertAlign w:val="superscript"/>
        </w:rPr>
        <w:t>o</w:t>
      </w:r>
      <w:r w:rsidR="0093676D" w:rsidRPr="00CB4F2E">
        <w:t>90/56 du 19 décembre 1990 relative aux partis politiques, les élections suivantes ont été organisées : élections municipales (janvier 1996</w:t>
      </w:r>
      <w:r w:rsidR="0027203C">
        <w:t>;</w:t>
      </w:r>
      <w:r w:rsidR="0093676D" w:rsidRPr="00CB4F2E">
        <w:t xml:space="preserve"> octobre 2002</w:t>
      </w:r>
      <w:r w:rsidR="0027203C">
        <w:t>;</w:t>
      </w:r>
      <w:r w:rsidR="0093676D" w:rsidRPr="00CB4F2E">
        <w:t xml:space="preserve"> juillet 2007</w:t>
      </w:r>
      <w:r w:rsidR="0027203C">
        <w:t>;</w:t>
      </w:r>
      <w:r w:rsidR="0093676D" w:rsidRPr="00CB4F2E">
        <w:t xml:space="preserve"> septembre 2013 et février 2020)</w:t>
      </w:r>
      <w:r w:rsidR="0027203C">
        <w:t>;</w:t>
      </w:r>
      <w:r w:rsidR="0093676D" w:rsidRPr="00CB4F2E">
        <w:t xml:space="preserve"> élections régionales (décembre 2020)</w:t>
      </w:r>
      <w:r w:rsidR="0027203C">
        <w:t>;</w:t>
      </w:r>
      <w:r w:rsidR="0093676D" w:rsidRPr="00CB4F2E">
        <w:t xml:space="preserve"> élections législatives (mars 1992</w:t>
      </w:r>
      <w:r w:rsidR="0027203C">
        <w:t>;</w:t>
      </w:r>
      <w:r w:rsidR="0093676D" w:rsidRPr="00CB4F2E">
        <w:t xml:space="preserve"> mai et août 1997</w:t>
      </w:r>
      <w:r w:rsidR="0027203C">
        <w:t>;</w:t>
      </w:r>
      <w:r w:rsidR="0093676D" w:rsidRPr="00CB4F2E">
        <w:t xml:space="preserve"> octobre 2002</w:t>
      </w:r>
      <w:r w:rsidR="0027203C">
        <w:t>;</w:t>
      </w:r>
      <w:r w:rsidR="0093676D" w:rsidRPr="00CB4F2E">
        <w:t xml:space="preserve"> juillet 2007</w:t>
      </w:r>
      <w:r w:rsidR="0027203C">
        <w:t>;</w:t>
      </w:r>
      <w:r w:rsidR="0093676D" w:rsidRPr="00CB4F2E">
        <w:t xml:space="preserve"> septembre 2013 et février 2020)</w:t>
      </w:r>
      <w:r w:rsidR="0027203C">
        <w:t>;</w:t>
      </w:r>
      <w:r w:rsidR="0093676D" w:rsidRPr="00CB4F2E">
        <w:t xml:space="preserve"> élections sénatoriales (mai 2013, mars 2018 et mars 2023)</w:t>
      </w:r>
      <w:r w:rsidR="0027203C">
        <w:t>;</w:t>
      </w:r>
      <w:r w:rsidR="0093676D" w:rsidRPr="00CB4F2E">
        <w:t xml:space="preserve"> élections présidentielles (octobre 1992</w:t>
      </w:r>
      <w:r w:rsidR="0027203C">
        <w:t>;</w:t>
      </w:r>
      <w:r w:rsidR="0093676D" w:rsidRPr="00CB4F2E">
        <w:t xml:space="preserve"> octobre 1997</w:t>
      </w:r>
      <w:r w:rsidR="0027203C">
        <w:t>;</w:t>
      </w:r>
      <w:r w:rsidR="0093676D" w:rsidRPr="00CB4F2E">
        <w:t xml:space="preserve"> octobre 2004</w:t>
      </w:r>
      <w:r w:rsidR="0027203C">
        <w:t xml:space="preserve">; </w:t>
      </w:r>
      <w:r w:rsidR="0093676D" w:rsidRPr="00CB4F2E">
        <w:t xml:space="preserve">octobre 2011 et octobre 2018). </w:t>
      </w:r>
    </w:p>
    <w:p w14:paraId="6A2FADF5" w14:textId="77777777" w:rsidR="00ED20A7" w:rsidRDefault="00560519" w:rsidP="00560519">
      <w:pPr>
        <w:pStyle w:val="H4G"/>
      </w:pPr>
      <w:r>
        <w:tab/>
      </w:r>
      <w:r w:rsidR="00FC750F" w:rsidRPr="00560519">
        <w:t>b.</w:t>
      </w:r>
      <w:r w:rsidR="00FC750F" w:rsidRPr="00560519">
        <w:tab/>
      </w:r>
      <w:r w:rsidR="0093676D" w:rsidRPr="00560519">
        <w:t>Le suffrage universel </w:t>
      </w:r>
    </w:p>
    <w:p w14:paraId="61D1A416" w14:textId="37D25F66" w:rsidR="00ED20A7" w:rsidRDefault="00C959F9" w:rsidP="00C959F9">
      <w:pPr>
        <w:pStyle w:val="SingleTxtG"/>
        <w:rPr>
          <w:b/>
          <w:bCs/>
        </w:rPr>
      </w:pPr>
      <w:r>
        <w:rPr>
          <w:bCs/>
        </w:rPr>
        <w:t>109.</w:t>
      </w:r>
      <w:r>
        <w:rPr>
          <w:bCs/>
        </w:rPr>
        <w:tab/>
      </w:r>
      <w:r w:rsidR="0093676D" w:rsidRPr="00CB4F2E">
        <w:t>Le suffrage universel</w:t>
      </w:r>
      <w:r w:rsidR="0093676D" w:rsidRPr="00CB4F2E">
        <w:rPr>
          <w:b/>
          <w:bCs/>
        </w:rPr>
        <w:t> </w:t>
      </w:r>
      <w:r w:rsidR="0093676D" w:rsidRPr="00CB4F2E">
        <w:t>est garanti par la</w:t>
      </w:r>
      <w:r w:rsidR="0093676D" w:rsidRPr="00CB4F2E">
        <w:rPr>
          <w:b/>
          <w:bCs/>
        </w:rPr>
        <w:t xml:space="preserve"> </w:t>
      </w:r>
      <w:r w:rsidR="0093676D" w:rsidRPr="00CB4F2E">
        <w:t xml:space="preserve">Constitution et organisé par le Code </w:t>
      </w:r>
      <w:proofErr w:type="spellStart"/>
      <w:r w:rsidR="0093676D" w:rsidRPr="00CB4F2E">
        <w:t>Electoral</w:t>
      </w:r>
      <w:proofErr w:type="spellEnd"/>
      <w:r w:rsidR="0093676D" w:rsidRPr="00CB4F2E">
        <w:t xml:space="preserve">, objet de la Loi n°2012/001 du 19 avril 2012 modifiée et complétée par la Loi n°2019/005 du 25 avril 2019. Ce Code a abrogé la kyrielle de textes régissant l’organisation de chaque </w:t>
      </w:r>
      <w:r w:rsidR="0093676D" w:rsidRPr="00CB4F2E">
        <w:lastRenderedPageBreak/>
        <w:t xml:space="preserve">niveau d’élection, a agrégé des dispositions communes aux différentes élections et au referendum et a établi des règles spécifiques. </w:t>
      </w:r>
    </w:p>
    <w:p w14:paraId="51DB67A6" w14:textId="2D14B4A2" w:rsidR="00ED20A7" w:rsidRDefault="00C959F9" w:rsidP="00C959F9">
      <w:pPr>
        <w:pStyle w:val="SingleTxtG"/>
      </w:pPr>
      <w:r>
        <w:rPr>
          <w:bCs/>
        </w:rPr>
        <w:t>110.</w:t>
      </w:r>
      <w:r>
        <w:rPr>
          <w:bCs/>
        </w:rPr>
        <w:tab/>
      </w:r>
      <w:r w:rsidR="0093676D" w:rsidRPr="00CB4F2E">
        <w:t xml:space="preserve">Le suffrage universel direct est prévu pour l’élection du Président de la République, des Députés à l’Assemblée Nationale et des Conseillers municipaux (articles 6 (1), 15 (1) de la Constitution, 116 (1), 148 (1) et 169 (1) du Code </w:t>
      </w:r>
      <w:proofErr w:type="spellStart"/>
      <w:r w:rsidR="0093676D" w:rsidRPr="00CB4F2E">
        <w:t>Electoral</w:t>
      </w:r>
      <w:proofErr w:type="spellEnd"/>
      <w:r w:rsidR="0093676D" w:rsidRPr="00CB4F2E">
        <w:t>). Pour être électeur, les conditions suivantes sont requises : être citoyen camerounais sans distinction de sexe, de race ou de religion</w:t>
      </w:r>
      <w:r w:rsidR="0027203C">
        <w:t>;</w:t>
      </w:r>
      <w:r w:rsidR="0093676D" w:rsidRPr="00CB4F2E">
        <w:t xml:space="preserve"> avoir la majorité électorale fixée à 20 ans révolus</w:t>
      </w:r>
      <w:r w:rsidR="0027203C">
        <w:t>;</w:t>
      </w:r>
      <w:r w:rsidR="0093676D" w:rsidRPr="00CB4F2E">
        <w:t xml:space="preserve"> jouir de ses droits civiques et politiques</w:t>
      </w:r>
      <w:r w:rsidR="0027203C">
        <w:t>;</w:t>
      </w:r>
      <w:r w:rsidR="0093676D" w:rsidRPr="00CB4F2E">
        <w:t xml:space="preserve"> être inscrit sur une liste électorale (posséder sa carte d’électeur). </w:t>
      </w:r>
    </w:p>
    <w:p w14:paraId="5142FB99" w14:textId="2B80AFDC" w:rsidR="00ED20A7" w:rsidRDefault="00C959F9" w:rsidP="00C959F9">
      <w:pPr>
        <w:pStyle w:val="SingleTxtG"/>
      </w:pPr>
      <w:r>
        <w:rPr>
          <w:bCs/>
        </w:rPr>
        <w:t>111.</w:t>
      </w:r>
      <w:r>
        <w:rPr>
          <w:bCs/>
        </w:rPr>
        <w:tab/>
      </w:r>
      <w:r w:rsidR="0093676D" w:rsidRPr="00CB4F2E">
        <w:t xml:space="preserve">Le suffrage universel indirect est appliqué à l’élection des Sénateurs et des Conseillers Régionaux (articles 20 de la Constitution, 214 (1), 243 (1) du Code </w:t>
      </w:r>
      <w:proofErr w:type="spellStart"/>
      <w:r w:rsidR="0093676D" w:rsidRPr="00CB4F2E">
        <w:t>Electoral</w:t>
      </w:r>
      <w:proofErr w:type="spellEnd"/>
      <w:r w:rsidR="0093676D" w:rsidRPr="00CB4F2E">
        <w:t>). Des 100 sénateurs, 70 sont élus et 30 sont nommés par le Président de la République. Pour l’élection sénatoriale, le corp électoral est composé des conseillers municipaux et régionaux.</w:t>
      </w:r>
      <w:r w:rsidR="0027203C">
        <w:t xml:space="preserve"> </w:t>
      </w:r>
      <w:r w:rsidR="0093676D" w:rsidRPr="00CB4F2E">
        <w:t>Dans chaque Région, 70 conseillers régionaux sont élus par un collège électoral composé de délégués élus par les conseillers municipaux de chaque département, et 20 conseillers élus par les chefs traditionnels en leur sein.</w:t>
      </w:r>
    </w:p>
    <w:p w14:paraId="1E3A6FC5" w14:textId="152D39BB" w:rsidR="00ED20A7" w:rsidRDefault="00C959F9" w:rsidP="00C959F9">
      <w:pPr>
        <w:pStyle w:val="SingleTxtG"/>
      </w:pPr>
      <w:r>
        <w:rPr>
          <w:bCs/>
        </w:rPr>
        <w:t>112.</w:t>
      </w:r>
      <w:r>
        <w:rPr>
          <w:bCs/>
        </w:rPr>
        <w:tab/>
      </w:r>
      <w:r w:rsidR="0093676D" w:rsidRPr="00CB4F2E">
        <w:t>Pour renforcer la prise en compte du suffrage de tous en écho au suffrage universel, l’</w:t>
      </w:r>
      <w:proofErr w:type="spellStart"/>
      <w:r w:rsidR="0093676D" w:rsidRPr="00CB4F2E">
        <w:t>Etat</w:t>
      </w:r>
      <w:proofErr w:type="spellEnd"/>
      <w:r w:rsidR="0093676D" w:rsidRPr="00CB4F2E">
        <w:t xml:space="preserve"> a entamé en 2012, une modification du cadre des élections à travers une refonte des listes électorales et une réforme du Code </w:t>
      </w:r>
      <w:proofErr w:type="spellStart"/>
      <w:r w:rsidR="0093676D" w:rsidRPr="00CB4F2E">
        <w:t>Electoral</w:t>
      </w:r>
      <w:proofErr w:type="spellEnd"/>
      <w:r w:rsidR="0093676D" w:rsidRPr="00CB4F2E">
        <w:t xml:space="preserve">. </w:t>
      </w:r>
      <w:proofErr w:type="spellStart"/>
      <w:r w:rsidR="0093676D" w:rsidRPr="00CB4F2E">
        <w:t>A</w:t>
      </w:r>
      <w:proofErr w:type="spellEnd"/>
      <w:r w:rsidR="0093676D" w:rsidRPr="00CB4F2E">
        <w:t xml:space="preserve"> l’issue du traitement des informations, 98 461 inscriptions irrégulières ont été supprimées, ce qui a porté le fichier biométrique définitif à 5 815 297 inscrits au 31 décembre 2015, soit 3 483 401 hommes et de 2 322 267 femmes, vivant à l’intérieur et à l’extérieur du pays. ELECAM a maintenu le cap depuis lors, de sorte qu’au 30 décembre 2024, le fichier électoral comptait à 7 845 662 électeurs dont 4 207 957 hommes, 3 637 665 femmes, 2 607 321 jeunes, 33 985 personnes handicapées et 26 800 électeurs de la diaspora. Fait notable, courant avril et mai 2024, à l’effet d’intensifier les inscriptions des camerounais de la diaspora sur les listes électorales, des responsables d’ELECAM se sont déployés dans 45 représentations diplomatiques du Cameroun à l’étranger.</w:t>
      </w:r>
    </w:p>
    <w:p w14:paraId="71B698BA" w14:textId="2F34BC6C" w:rsidR="00ED20A7" w:rsidRDefault="00C959F9" w:rsidP="00C959F9">
      <w:pPr>
        <w:pStyle w:val="SingleTxtG"/>
        <w:rPr>
          <w:lang w:val="fr-FR"/>
        </w:rPr>
      </w:pPr>
      <w:r>
        <w:rPr>
          <w:bCs/>
          <w:lang w:val="fr-FR"/>
        </w:rPr>
        <w:t>113.</w:t>
      </w:r>
      <w:r>
        <w:rPr>
          <w:bCs/>
          <w:lang w:val="fr-FR"/>
        </w:rPr>
        <w:tab/>
      </w:r>
      <w:r w:rsidR="0093676D" w:rsidRPr="00CB4F2E">
        <w:rPr>
          <w:lang w:val="fr-FR"/>
        </w:rPr>
        <w:t xml:space="preserve">Suivant </w:t>
      </w:r>
      <w:r w:rsidR="0093676D" w:rsidRPr="00CB4F2E">
        <w:t>les</w:t>
      </w:r>
      <w:r w:rsidR="0093676D" w:rsidRPr="00CB4F2E">
        <w:rPr>
          <w:lang w:val="fr-FR"/>
        </w:rPr>
        <w:t xml:space="preserve"> dispositions de l’article 271 du Code </w:t>
      </w:r>
      <w:proofErr w:type="spellStart"/>
      <w:r w:rsidR="0093676D" w:rsidRPr="00CB4F2E">
        <w:rPr>
          <w:lang w:val="fr-FR"/>
        </w:rPr>
        <w:t>Electoral</w:t>
      </w:r>
      <w:proofErr w:type="spellEnd"/>
      <w:r w:rsidR="0093676D" w:rsidRPr="00CB4F2E">
        <w:rPr>
          <w:lang w:val="fr-FR"/>
        </w:rPr>
        <w:t xml:space="preserve">, les citoyens camerounais établis ou </w:t>
      </w:r>
      <w:r w:rsidR="0093676D" w:rsidRPr="00007622">
        <w:t>résidant</w:t>
      </w:r>
      <w:r w:rsidR="0093676D" w:rsidRPr="00CB4F2E">
        <w:rPr>
          <w:lang w:val="fr-FR"/>
        </w:rPr>
        <w:t xml:space="preserve"> à l’étranger exercent leur droit de vote par la participation à l’élection du Président de la République et au </w:t>
      </w:r>
      <w:proofErr w:type="spellStart"/>
      <w:r w:rsidR="0093676D" w:rsidRPr="00CB4F2E">
        <w:rPr>
          <w:lang w:val="fr-FR"/>
        </w:rPr>
        <w:t>référendum</w:t>
      </w:r>
      <w:proofErr w:type="spellEnd"/>
      <w:r w:rsidR="0093676D" w:rsidRPr="00CB4F2E">
        <w:rPr>
          <w:lang w:val="fr-FR"/>
        </w:rPr>
        <w:t xml:space="preserve">. Cette disposition a été opérationnalisée dans plusieurs pays étrangers à l’occasion des élections présidentielles d’octobre 2011 et octobre 2018. </w:t>
      </w:r>
    </w:p>
    <w:p w14:paraId="0ECCB45C" w14:textId="02CA8AA0" w:rsidR="00ED20A7" w:rsidRDefault="00C959F9" w:rsidP="00C959F9">
      <w:pPr>
        <w:pStyle w:val="SingleTxtG"/>
        <w:rPr>
          <w:lang w:val="fr-FR"/>
        </w:rPr>
      </w:pPr>
      <w:r>
        <w:rPr>
          <w:bCs/>
          <w:lang w:val="fr-FR"/>
        </w:rPr>
        <w:t>114.</w:t>
      </w:r>
      <w:r>
        <w:rPr>
          <w:bCs/>
          <w:lang w:val="fr-FR"/>
        </w:rPr>
        <w:tab/>
      </w:r>
      <w:r w:rsidR="0093676D" w:rsidRPr="00CB4F2E">
        <w:rPr>
          <w:lang w:val="fr-FR"/>
        </w:rPr>
        <w:t xml:space="preserve">Des dispositions ont également été prises pour encourager la participation des personnes </w:t>
      </w:r>
      <w:r w:rsidR="0093676D" w:rsidRPr="00007622">
        <w:t>vivant</w:t>
      </w:r>
      <w:r w:rsidR="0093676D" w:rsidRPr="00CB4F2E">
        <w:rPr>
          <w:lang w:val="fr-FR"/>
        </w:rPr>
        <w:t xml:space="preserve"> avec un handicap au </w:t>
      </w:r>
      <w:r w:rsidR="0093676D" w:rsidRPr="00CB4F2E">
        <w:t>processus</w:t>
      </w:r>
      <w:r w:rsidR="0093676D" w:rsidRPr="00CB4F2E">
        <w:rPr>
          <w:lang w:val="fr-FR"/>
        </w:rPr>
        <w:t xml:space="preserve"> électoral. </w:t>
      </w:r>
      <w:proofErr w:type="spellStart"/>
      <w:r w:rsidR="0093676D" w:rsidRPr="00CB4F2E">
        <w:rPr>
          <w:lang w:val="fr-FR"/>
        </w:rPr>
        <w:t>A</w:t>
      </w:r>
      <w:proofErr w:type="spellEnd"/>
      <w:r w:rsidR="0093676D" w:rsidRPr="00CB4F2E">
        <w:rPr>
          <w:lang w:val="fr-FR"/>
        </w:rPr>
        <w:t xml:space="preserve"> cet égard, l’article 105 alinéa 1 du Code </w:t>
      </w:r>
      <w:proofErr w:type="spellStart"/>
      <w:r w:rsidR="0093676D" w:rsidRPr="00CB4F2E">
        <w:rPr>
          <w:lang w:val="fr-FR"/>
        </w:rPr>
        <w:t>Electoral</w:t>
      </w:r>
      <w:proofErr w:type="spellEnd"/>
      <w:r w:rsidR="0093676D" w:rsidRPr="00CB4F2E">
        <w:rPr>
          <w:lang w:val="fr-FR"/>
        </w:rPr>
        <w:t xml:space="preserve"> dispose que « tout électeur</w:t>
      </w:r>
      <w:r w:rsidR="0093676D" w:rsidRPr="00CB4F2E">
        <w:rPr>
          <w:i/>
          <w:lang w:val="fr-FR"/>
        </w:rPr>
        <w:t xml:space="preserve"> </w:t>
      </w:r>
      <w:r w:rsidR="0093676D" w:rsidRPr="00CB4F2E">
        <w:rPr>
          <w:lang w:val="fr-FR"/>
        </w:rPr>
        <w:t>atteint d’une infirmité ou se trouvant dans un état physique le mettant dans l’impossibilité d’effectuer seul les opérations de vote […] peut se faire assister par un électeur de son choix ». De plus, le projet «</w:t>
      </w:r>
      <w:r w:rsidR="0093676D" w:rsidRPr="00CB4F2E">
        <w:rPr>
          <w:i/>
          <w:lang w:val="fr-FR"/>
        </w:rPr>
        <w:t xml:space="preserve">Accessible </w:t>
      </w:r>
      <w:proofErr w:type="spellStart"/>
      <w:r w:rsidR="0093676D" w:rsidRPr="00CB4F2E">
        <w:rPr>
          <w:i/>
          <w:lang w:val="fr-FR"/>
        </w:rPr>
        <w:t>elections</w:t>
      </w:r>
      <w:proofErr w:type="spellEnd"/>
      <w:r w:rsidR="0093676D" w:rsidRPr="00CB4F2E">
        <w:rPr>
          <w:i/>
          <w:lang w:val="fr-FR"/>
        </w:rPr>
        <w:t xml:space="preserve"> to </w:t>
      </w:r>
      <w:proofErr w:type="spellStart"/>
      <w:r w:rsidR="0093676D" w:rsidRPr="00CB4F2E">
        <w:rPr>
          <w:i/>
          <w:lang w:val="fr-FR"/>
        </w:rPr>
        <w:t>persons</w:t>
      </w:r>
      <w:proofErr w:type="spellEnd"/>
      <w:r w:rsidR="0093676D" w:rsidRPr="00CB4F2E">
        <w:rPr>
          <w:i/>
          <w:lang w:val="fr-FR"/>
        </w:rPr>
        <w:t xml:space="preserve"> </w:t>
      </w:r>
      <w:proofErr w:type="spellStart"/>
      <w:r w:rsidR="0093676D" w:rsidRPr="00CB4F2E">
        <w:rPr>
          <w:i/>
          <w:lang w:val="fr-FR"/>
        </w:rPr>
        <w:t>with</w:t>
      </w:r>
      <w:proofErr w:type="spellEnd"/>
      <w:r w:rsidR="0093676D" w:rsidRPr="00CB4F2E">
        <w:rPr>
          <w:i/>
          <w:lang w:val="fr-FR"/>
        </w:rPr>
        <w:t xml:space="preserve"> </w:t>
      </w:r>
      <w:proofErr w:type="spellStart"/>
      <w:r w:rsidR="0093676D" w:rsidRPr="00CB4F2E">
        <w:rPr>
          <w:i/>
          <w:lang w:val="fr-FR"/>
        </w:rPr>
        <w:t>disabilities</w:t>
      </w:r>
      <w:proofErr w:type="spellEnd"/>
      <w:r w:rsidR="0093676D" w:rsidRPr="00CB4F2E">
        <w:rPr>
          <w:i/>
          <w:lang w:val="fr-FR"/>
        </w:rPr>
        <w:t xml:space="preserve"> </w:t>
      </w:r>
      <w:r w:rsidR="0093676D" w:rsidRPr="00CB4F2E">
        <w:rPr>
          <w:lang w:val="fr-FR"/>
        </w:rPr>
        <w:t xml:space="preserve">» a été conduit par le Ministère des Affaires Sociales-MINAS, avec l’appui de l’ONG </w:t>
      </w:r>
      <w:proofErr w:type="spellStart"/>
      <w:r w:rsidR="0093676D" w:rsidRPr="00CB4F2E">
        <w:rPr>
          <w:i/>
          <w:lang w:val="fr-FR"/>
        </w:rPr>
        <w:t>Sightsavers</w:t>
      </w:r>
      <w:proofErr w:type="spellEnd"/>
      <w:r w:rsidR="0093676D" w:rsidRPr="00CB4F2E">
        <w:rPr>
          <w:lang w:val="fr-FR"/>
        </w:rPr>
        <w:t xml:space="preserve"> et une centaine d’OSC pour favoriser la participation des personnes vivant avec un handicap aux différents scrutins.</w:t>
      </w:r>
    </w:p>
    <w:p w14:paraId="5189FC2A" w14:textId="5788BD1F" w:rsidR="0093676D" w:rsidRPr="00CB4F2E" w:rsidRDefault="00C959F9" w:rsidP="00C959F9">
      <w:pPr>
        <w:pStyle w:val="SingleTxtG"/>
        <w:rPr>
          <w:lang w:val="fr-FR"/>
        </w:rPr>
      </w:pPr>
      <w:r w:rsidRPr="00CB4F2E">
        <w:rPr>
          <w:bCs/>
          <w:lang w:val="fr-FR"/>
        </w:rPr>
        <w:t>115.</w:t>
      </w:r>
      <w:r w:rsidRPr="00CB4F2E">
        <w:rPr>
          <w:bCs/>
          <w:lang w:val="fr-FR"/>
        </w:rPr>
        <w:tab/>
      </w:r>
      <w:r w:rsidR="0093676D" w:rsidRPr="00CB4F2E">
        <w:rPr>
          <w:lang w:val="fr-FR"/>
        </w:rPr>
        <w:t>Les activités y relatives se sont traduites, entre autres, par : l’identification et l’aménagement (</w:t>
      </w:r>
      <w:r w:rsidR="0093676D" w:rsidRPr="00007622">
        <w:t>construction</w:t>
      </w:r>
      <w:r w:rsidR="0093676D" w:rsidRPr="00CB4F2E">
        <w:rPr>
          <w:lang w:val="fr-FR"/>
        </w:rPr>
        <w:t xml:space="preserve"> des rampes, </w:t>
      </w:r>
      <w:r w:rsidR="0093676D" w:rsidRPr="00CB4F2E">
        <w:t>éclairage</w:t>
      </w:r>
      <w:r w:rsidR="0093676D" w:rsidRPr="00CB4F2E">
        <w:rPr>
          <w:lang w:val="fr-FR"/>
        </w:rPr>
        <w:t xml:space="preserve"> des bureaux, fabrication des tables basses permettant aux personnes handicapées motrices d’accéder facilement à l’urne, etc.) de 12 bureaux de vote pilotes accessibles aux différentes catégories de personnes vivant avec un handicap dans 6 régions (Adamaoua, Centre, Extrême-Nord, Littoral, Ouest et Sud-Ouest)</w:t>
      </w:r>
      <w:r w:rsidR="0027203C">
        <w:rPr>
          <w:lang w:val="fr-FR"/>
        </w:rPr>
        <w:t>;</w:t>
      </w:r>
      <w:r w:rsidR="0093676D" w:rsidRPr="00CB4F2E">
        <w:rPr>
          <w:lang w:val="fr-FR"/>
        </w:rPr>
        <w:t xml:space="preserve"> la formation des personnes vivant avec un handicap et de leurs organisations sur la législation régissant l’élection présidentielle; l’organisation des rencontres avec les leaders politiques sur la question du handicap; l’appui financier et technique apporté aux organisations </w:t>
      </w:r>
      <w:r w:rsidR="0093676D" w:rsidRPr="00007622">
        <w:t>d’encadrement</w:t>
      </w:r>
      <w:r w:rsidR="0093676D" w:rsidRPr="00CB4F2E">
        <w:rPr>
          <w:lang w:val="fr-FR"/>
        </w:rPr>
        <w:t xml:space="preserve"> des personnes vivant avec un handicap en vue de leur inscription massive sur les listes électorales et leur participation active et dans la dignité au processus électoral; le plaidoyer auprès d’ELECAM pour l’inclusion d’un champ handicap dans le logiciel d’inscription sur la liste électorale; le choix de 6 </w:t>
      </w:r>
      <w:proofErr w:type="spellStart"/>
      <w:r w:rsidR="0093676D" w:rsidRPr="00CB4F2E">
        <w:rPr>
          <w:lang w:val="fr-FR"/>
        </w:rPr>
        <w:t>porte-paroles</w:t>
      </w:r>
      <w:proofErr w:type="spellEnd"/>
      <w:r w:rsidR="0093676D" w:rsidRPr="00CB4F2E">
        <w:rPr>
          <w:lang w:val="fr-FR"/>
        </w:rPr>
        <w:t xml:space="preserve"> représentant la </w:t>
      </w:r>
      <w:proofErr w:type="spellStart"/>
      <w:r w:rsidR="0093676D" w:rsidRPr="00CB4F2E">
        <w:rPr>
          <w:lang w:val="fr-FR"/>
        </w:rPr>
        <w:t>plateforme</w:t>
      </w:r>
      <w:proofErr w:type="spellEnd"/>
      <w:r w:rsidR="0093676D" w:rsidRPr="00CB4F2E">
        <w:rPr>
          <w:lang w:val="fr-FR"/>
        </w:rPr>
        <w:t xml:space="preserve"> «</w:t>
      </w:r>
      <w:r w:rsidR="0093676D" w:rsidRPr="00CB4F2E">
        <w:rPr>
          <w:i/>
          <w:lang w:val="fr-FR"/>
        </w:rPr>
        <w:t xml:space="preserve">Accessible </w:t>
      </w:r>
      <w:proofErr w:type="spellStart"/>
      <w:r w:rsidR="0093676D" w:rsidRPr="00CB4F2E">
        <w:rPr>
          <w:i/>
          <w:lang w:val="fr-FR"/>
        </w:rPr>
        <w:t>elections</w:t>
      </w:r>
      <w:proofErr w:type="spellEnd"/>
      <w:r w:rsidR="0093676D" w:rsidRPr="00CB4F2E">
        <w:rPr>
          <w:lang w:val="fr-FR"/>
        </w:rPr>
        <w:t xml:space="preserve"> » pendant la campagne électorale; la diffusion des programmes </w:t>
      </w:r>
      <w:proofErr w:type="spellStart"/>
      <w:r w:rsidR="0093676D" w:rsidRPr="00CB4F2E">
        <w:rPr>
          <w:lang w:val="fr-FR"/>
        </w:rPr>
        <w:t>radiotélévisés</w:t>
      </w:r>
      <w:proofErr w:type="spellEnd"/>
      <w:r w:rsidR="0093676D" w:rsidRPr="00CB4F2E">
        <w:rPr>
          <w:lang w:val="fr-FR"/>
        </w:rPr>
        <w:t xml:space="preserve"> afin d’inciter les personnes vivant avec un handicap à participer massivement au processus électoral</w:t>
      </w:r>
      <w:r w:rsidR="0027203C">
        <w:rPr>
          <w:lang w:val="fr-FR"/>
        </w:rPr>
        <w:t>;</w:t>
      </w:r>
      <w:r w:rsidR="0093676D" w:rsidRPr="00CB4F2E">
        <w:rPr>
          <w:lang w:val="fr-FR"/>
        </w:rPr>
        <w:t xml:space="preserve"> la traduction en braille des messages de sensibilisation.</w:t>
      </w:r>
    </w:p>
    <w:p w14:paraId="02C0434A" w14:textId="3E2495CE" w:rsidR="00ED20A7" w:rsidRDefault="00C959F9" w:rsidP="00C959F9">
      <w:pPr>
        <w:pStyle w:val="SingleTxtG"/>
      </w:pPr>
      <w:r>
        <w:rPr>
          <w:bCs/>
        </w:rPr>
        <w:lastRenderedPageBreak/>
        <w:t>116.</w:t>
      </w:r>
      <w:r>
        <w:rPr>
          <w:bCs/>
        </w:rPr>
        <w:tab/>
      </w:r>
      <w:r w:rsidR="0093676D" w:rsidRPr="00CB4F2E">
        <w:t>Pour faciliter la participation des personnes handicapées au suffrage universel lors du double scrutin législatif et municipal du 9 février 2020 et des élections législatives partielles du 22 mars 2020, ELECAM a, entre autres,</w:t>
      </w:r>
      <w:r w:rsidR="0027203C">
        <w:t xml:space="preserve"> </w:t>
      </w:r>
      <w:r w:rsidR="0093676D" w:rsidRPr="00CB4F2E">
        <w:t>produit 105 012 étiquettes et 60 160</w:t>
      </w:r>
      <w:r w:rsidR="0027203C">
        <w:t xml:space="preserve"> </w:t>
      </w:r>
      <w:r w:rsidR="0093676D" w:rsidRPr="00CB4F2E">
        <w:t>affichettes en braille,</w:t>
      </w:r>
      <w:r w:rsidR="0027203C">
        <w:t xml:space="preserve"> </w:t>
      </w:r>
      <w:r w:rsidR="0093676D" w:rsidRPr="00CB4F2E">
        <w:t>mis à disposition 65 interprètes en langue de signe dans des centres pilotes afin de faciliter la participation électorale des personnes sourdes et malentendantes,</w:t>
      </w:r>
      <w:r w:rsidR="0027203C">
        <w:t xml:space="preserve"> </w:t>
      </w:r>
      <w:r w:rsidR="0093676D" w:rsidRPr="00CB4F2E">
        <w:t>installé des rampes dans certains bureaux de vote,</w:t>
      </w:r>
      <w:r w:rsidR="0027203C">
        <w:t xml:space="preserve"> </w:t>
      </w:r>
      <w:r w:rsidR="0093676D" w:rsidRPr="00CB4F2E">
        <w:t>revu à la hausse le nombre de personnes handicapées assurant la fonction de président de la commission locale de vote (passé de 100 en 2011 à 5 00 ( en 2018 et 2020),</w:t>
      </w:r>
      <w:r w:rsidR="0027203C">
        <w:t xml:space="preserve"> </w:t>
      </w:r>
      <w:r w:rsidR="0093676D" w:rsidRPr="00CB4F2E">
        <w:t>produit et distribué 5 000 guides pratiques bilingues de prise en compte du handicap et participé à la formation des journalistes malvoyants.</w:t>
      </w:r>
    </w:p>
    <w:p w14:paraId="12A09B20" w14:textId="137C5EDE" w:rsidR="00ED20A7" w:rsidRDefault="00C959F9" w:rsidP="00C959F9">
      <w:pPr>
        <w:pStyle w:val="SingleTxtG"/>
      </w:pPr>
      <w:r>
        <w:rPr>
          <w:bCs/>
        </w:rPr>
        <w:t>117.</w:t>
      </w:r>
      <w:r>
        <w:rPr>
          <w:bCs/>
        </w:rPr>
        <w:tab/>
      </w:r>
      <w:r w:rsidR="0093676D" w:rsidRPr="00CB4F2E">
        <w:t xml:space="preserve">A </w:t>
      </w:r>
      <w:r w:rsidR="0093676D" w:rsidRPr="00CB4F2E">
        <w:rPr>
          <w:lang w:val="fr-FR"/>
        </w:rPr>
        <w:t>l’effet</w:t>
      </w:r>
      <w:r w:rsidR="0093676D" w:rsidRPr="00CB4F2E">
        <w:t xml:space="preserve"> de favoriser l’exercice du droit de vote des déplacés internes des Régions du Nord-Ouest et du Sud-Ouest, confrontés à une crise sécuritaire, ELECAM a, lors des échéances électorales de 2018 et 2020, administrativement transféré 2 389 bureaux de vote situés dans les zones de crise vers 444 lieux sécurisés dans la Région du Nord-Ouest et 1 795 bureaux vers 1 395 lieux sécurisés dans la Région du Sud-Ouest. </w:t>
      </w:r>
    </w:p>
    <w:p w14:paraId="04EC0C32" w14:textId="77777777" w:rsidR="00ED20A7" w:rsidRDefault="0095476B" w:rsidP="0095476B">
      <w:pPr>
        <w:pStyle w:val="H4G"/>
        <w:rPr>
          <w:lang w:val="fr-FR"/>
        </w:rPr>
      </w:pPr>
      <w:r>
        <w:rPr>
          <w:lang w:val="fr-FR"/>
        </w:rPr>
        <w:tab/>
      </w:r>
      <w:r w:rsidR="00FC750F" w:rsidRPr="0095476B">
        <w:rPr>
          <w:lang w:val="fr-FR"/>
        </w:rPr>
        <w:t>c.</w:t>
      </w:r>
      <w:r w:rsidR="00FC750F" w:rsidRPr="0095476B">
        <w:rPr>
          <w:lang w:val="fr-FR"/>
        </w:rPr>
        <w:tab/>
      </w:r>
      <w:r w:rsidR="0093676D" w:rsidRPr="0095476B">
        <w:rPr>
          <w:lang w:val="fr-FR"/>
        </w:rPr>
        <w:t>Les conditions d’éligibilité</w:t>
      </w:r>
    </w:p>
    <w:p w14:paraId="24E5050D" w14:textId="354C61F7" w:rsidR="00ED20A7" w:rsidRDefault="00C959F9" w:rsidP="00C959F9">
      <w:pPr>
        <w:pStyle w:val="SingleTxtG"/>
        <w:rPr>
          <w:lang w:val="fr-FR"/>
        </w:rPr>
      </w:pPr>
      <w:r>
        <w:rPr>
          <w:bCs/>
          <w:lang w:val="fr-FR"/>
        </w:rPr>
        <w:t>118.</w:t>
      </w:r>
      <w:r>
        <w:rPr>
          <w:bCs/>
          <w:lang w:val="fr-FR"/>
        </w:rPr>
        <w:tab/>
      </w:r>
      <w:r w:rsidR="0093676D" w:rsidRPr="00007622">
        <w:t>Pour</w:t>
      </w:r>
      <w:r w:rsidR="0093676D" w:rsidRPr="00CB4F2E">
        <w:rPr>
          <w:lang w:val="fr-FR"/>
        </w:rPr>
        <w:t xml:space="preserve"> l'élection du Président de la République dont la durée du mandat est de 7 ans renouvelable, le candidat doit : être citoyen camerounais d’origine</w:t>
      </w:r>
      <w:r w:rsidR="0027203C">
        <w:rPr>
          <w:lang w:val="fr-FR"/>
        </w:rPr>
        <w:t>;</w:t>
      </w:r>
      <w:r w:rsidR="0093676D" w:rsidRPr="00CB4F2E">
        <w:rPr>
          <w:lang w:val="fr-FR"/>
        </w:rPr>
        <w:t xml:space="preserve"> être inscrit sur une liste électorale</w:t>
      </w:r>
      <w:r w:rsidR="0027203C">
        <w:rPr>
          <w:lang w:val="fr-FR"/>
        </w:rPr>
        <w:t>;</w:t>
      </w:r>
      <w:r w:rsidR="0093676D" w:rsidRPr="00CB4F2E">
        <w:rPr>
          <w:lang w:val="fr-FR"/>
        </w:rPr>
        <w:t xml:space="preserve"> être âgé de 35 ans révolus à la date de l’élection</w:t>
      </w:r>
      <w:r w:rsidR="0027203C">
        <w:rPr>
          <w:lang w:val="fr-FR"/>
        </w:rPr>
        <w:t>;</w:t>
      </w:r>
      <w:r w:rsidR="0093676D" w:rsidRPr="00CB4F2E">
        <w:rPr>
          <w:lang w:val="fr-FR"/>
        </w:rPr>
        <w:t xml:space="preserve"> justifier d’une résidence continue d’au moins 12 mois consécutifs sur le territoire camerounais</w:t>
      </w:r>
      <w:r w:rsidR="0027203C">
        <w:rPr>
          <w:lang w:val="fr-FR"/>
        </w:rPr>
        <w:t>;</w:t>
      </w:r>
      <w:r w:rsidR="0093676D" w:rsidRPr="00CB4F2E">
        <w:rPr>
          <w:lang w:val="fr-FR"/>
        </w:rPr>
        <w:t xml:space="preserve"> jouir de ses droits civiques et politiques</w:t>
      </w:r>
      <w:r w:rsidR="0027203C">
        <w:rPr>
          <w:lang w:val="fr-FR"/>
        </w:rPr>
        <w:t>;</w:t>
      </w:r>
      <w:r w:rsidR="0093676D" w:rsidRPr="00CB4F2E">
        <w:rPr>
          <w:lang w:val="fr-FR"/>
        </w:rPr>
        <w:t xml:space="preserve"> verser une caution (de 30 000 000 FCFA) au Trésor public remboursable en cas d’obtention par le candidat d’au moins 10 % des suffrages</w:t>
      </w:r>
      <w:r w:rsidR="0027203C">
        <w:rPr>
          <w:lang w:val="fr-FR"/>
        </w:rPr>
        <w:t>;</w:t>
      </w:r>
      <w:r w:rsidR="0093676D" w:rsidRPr="00CB4F2E">
        <w:rPr>
          <w:lang w:val="fr-FR"/>
        </w:rPr>
        <w:t xml:space="preserve"> être investi par un parti politique légalement autorisé ou être candidat indépendant présenté par au moins 300 personnalités ayant un mandat électif ou représentatif (à raison de 30 par Région).</w:t>
      </w:r>
    </w:p>
    <w:p w14:paraId="082EA5AE" w14:textId="05DAD1C1" w:rsidR="00ED20A7" w:rsidRDefault="00C959F9" w:rsidP="00C959F9">
      <w:pPr>
        <w:pStyle w:val="SingleTxtG"/>
        <w:rPr>
          <w:lang w:val="fr-FR"/>
        </w:rPr>
      </w:pPr>
      <w:r>
        <w:rPr>
          <w:bCs/>
          <w:lang w:val="fr-FR"/>
        </w:rPr>
        <w:t>119.</w:t>
      </w:r>
      <w:r>
        <w:rPr>
          <w:bCs/>
          <w:lang w:val="fr-FR"/>
        </w:rPr>
        <w:tab/>
      </w:r>
      <w:r w:rsidR="0093676D" w:rsidRPr="00CB4F2E">
        <w:rPr>
          <w:lang w:val="fr-FR"/>
        </w:rPr>
        <w:t xml:space="preserve">Pour l’élection des députés à l'Assemblée Nationale dont la durée du mandat est de 5 ans </w:t>
      </w:r>
      <w:r w:rsidR="0093676D" w:rsidRPr="00007622">
        <w:t>renouvelable</w:t>
      </w:r>
      <w:r w:rsidR="0093676D" w:rsidRPr="00CB4F2E">
        <w:rPr>
          <w:lang w:val="fr-FR"/>
        </w:rPr>
        <w:t xml:space="preserve"> et qui sont au nombre de 180, le candidat doit : être citoyen camerounais</w:t>
      </w:r>
      <w:r w:rsidR="0027203C">
        <w:rPr>
          <w:lang w:val="fr-FR"/>
        </w:rPr>
        <w:t>;</w:t>
      </w:r>
      <w:r w:rsidR="0093676D" w:rsidRPr="00CB4F2E">
        <w:rPr>
          <w:lang w:val="fr-FR"/>
        </w:rPr>
        <w:t xml:space="preserve"> être inscrit sur une liste électorale</w:t>
      </w:r>
      <w:r w:rsidR="0027203C">
        <w:rPr>
          <w:lang w:val="fr-FR"/>
        </w:rPr>
        <w:t>;</w:t>
      </w:r>
      <w:r w:rsidR="0093676D" w:rsidRPr="00CB4F2E">
        <w:rPr>
          <w:lang w:val="fr-FR"/>
        </w:rPr>
        <w:t xml:space="preserve"> être âgé de 23 ans révolus à la date du scrutin</w:t>
      </w:r>
      <w:r w:rsidR="0027203C">
        <w:rPr>
          <w:lang w:val="fr-FR"/>
        </w:rPr>
        <w:t>;</w:t>
      </w:r>
      <w:r w:rsidR="0093676D" w:rsidRPr="00CB4F2E">
        <w:rPr>
          <w:lang w:val="fr-FR"/>
        </w:rPr>
        <w:t xml:space="preserve"> savoir lire et écrire l’une des deux langues officielles</w:t>
      </w:r>
      <w:r w:rsidR="0027203C">
        <w:rPr>
          <w:lang w:val="fr-FR"/>
        </w:rPr>
        <w:t>;</w:t>
      </w:r>
      <w:r w:rsidR="0093676D" w:rsidRPr="00CB4F2E">
        <w:rPr>
          <w:lang w:val="fr-FR"/>
        </w:rPr>
        <w:t xml:space="preserve"> être investi par un parti politique</w:t>
      </w:r>
      <w:r w:rsidR="0027203C">
        <w:rPr>
          <w:lang w:val="fr-FR"/>
        </w:rPr>
        <w:t>;</w:t>
      </w:r>
      <w:r w:rsidR="0093676D" w:rsidRPr="00CB4F2E">
        <w:rPr>
          <w:lang w:val="fr-FR"/>
        </w:rPr>
        <w:t xml:space="preserve"> verser une caution (1 000 000 FCFA) au Trésor public.</w:t>
      </w:r>
    </w:p>
    <w:p w14:paraId="45637C22" w14:textId="08C6EB4F" w:rsidR="00ED20A7" w:rsidRDefault="00C959F9" w:rsidP="00C959F9">
      <w:pPr>
        <w:pStyle w:val="SingleTxtG"/>
        <w:rPr>
          <w:lang w:val="fr-FR"/>
        </w:rPr>
      </w:pPr>
      <w:r>
        <w:rPr>
          <w:bCs/>
          <w:lang w:val="fr-FR"/>
        </w:rPr>
        <w:t>120.</w:t>
      </w:r>
      <w:r>
        <w:rPr>
          <w:bCs/>
          <w:lang w:val="fr-FR"/>
        </w:rPr>
        <w:tab/>
      </w:r>
      <w:r w:rsidR="0093676D" w:rsidRPr="00CB4F2E">
        <w:rPr>
          <w:lang w:val="fr-FR"/>
        </w:rPr>
        <w:t>Pour l’élection des sénateurs dont la durée du mandat est de 5 ans renouvelable, le candidat doit : être citoyen camerounais, être âgé de 40 ans révolus à la date du scrutin ou de la nomination</w:t>
      </w:r>
      <w:r w:rsidR="0027203C">
        <w:rPr>
          <w:lang w:val="fr-FR"/>
        </w:rPr>
        <w:t>;</w:t>
      </w:r>
      <w:r w:rsidR="0093676D" w:rsidRPr="00CB4F2E">
        <w:rPr>
          <w:lang w:val="fr-FR"/>
        </w:rPr>
        <w:t xml:space="preserve"> justifier d’une résidence effective sur le territoire de la région concernée</w:t>
      </w:r>
      <w:r w:rsidR="0027203C">
        <w:rPr>
          <w:lang w:val="fr-FR"/>
        </w:rPr>
        <w:t>;</w:t>
      </w:r>
      <w:r w:rsidR="0093676D" w:rsidRPr="00CB4F2E">
        <w:rPr>
          <w:lang w:val="fr-FR"/>
        </w:rPr>
        <w:t xml:space="preserve"> et remplir toutes les autres conditions requises pour l’élection des députés. La Constitution prévoit en son article 20 que chaque Région est représentée au Sénat par 10 Sénateurs dont 7 sont élus au suffrage universel indirect sur la base régionale et 3 nommés par le Président de la République.</w:t>
      </w:r>
    </w:p>
    <w:p w14:paraId="674BC0EF" w14:textId="2EA62DF7" w:rsidR="00ED20A7" w:rsidRDefault="00C959F9" w:rsidP="00C959F9">
      <w:pPr>
        <w:pStyle w:val="SingleTxtG"/>
        <w:rPr>
          <w:lang w:val="fr-FR"/>
        </w:rPr>
      </w:pPr>
      <w:r>
        <w:rPr>
          <w:bCs/>
          <w:lang w:val="fr-FR"/>
        </w:rPr>
        <w:t>121.</w:t>
      </w:r>
      <w:r>
        <w:rPr>
          <w:bCs/>
          <w:lang w:val="fr-FR"/>
        </w:rPr>
        <w:tab/>
      </w:r>
      <w:r w:rsidR="0093676D" w:rsidRPr="00CB4F2E">
        <w:rPr>
          <w:lang w:val="fr-FR"/>
        </w:rPr>
        <w:t>Pour l’élection des conseillers municipaux dont la durée du mandat est de 5 ans renouvelable, le candidat doit : être citoyen camerounais</w:t>
      </w:r>
      <w:r w:rsidR="0027203C">
        <w:rPr>
          <w:lang w:val="fr-FR"/>
        </w:rPr>
        <w:t>;</w:t>
      </w:r>
      <w:r w:rsidR="0093676D" w:rsidRPr="00CB4F2E">
        <w:rPr>
          <w:lang w:val="fr-FR"/>
        </w:rPr>
        <w:t xml:space="preserve"> être inscrit sur une liste électorale, être âgé de 23 ans révolus à la date du scrutin, savoir lire et écrire le français ou l’anglais, justifier d’une résidence effective d’au moins 6 mois sur le territoire de la commune concernée</w:t>
      </w:r>
      <w:r w:rsidR="0027203C">
        <w:rPr>
          <w:lang w:val="fr-FR"/>
        </w:rPr>
        <w:t>;</w:t>
      </w:r>
      <w:r w:rsidR="0093676D" w:rsidRPr="00CB4F2E">
        <w:rPr>
          <w:lang w:val="fr-FR"/>
        </w:rPr>
        <w:t xml:space="preserve"> être investi par un parti politique</w:t>
      </w:r>
      <w:r w:rsidR="0027203C">
        <w:rPr>
          <w:lang w:val="fr-FR"/>
        </w:rPr>
        <w:t>;</w:t>
      </w:r>
      <w:r w:rsidR="0093676D" w:rsidRPr="00CB4F2E">
        <w:rPr>
          <w:lang w:val="fr-FR"/>
        </w:rPr>
        <w:t xml:space="preserve"> verser une caution (50 000 FCFA) au Trésor public.</w:t>
      </w:r>
    </w:p>
    <w:p w14:paraId="1095C327" w14:textId="1C9C0B16" w:rsidR="00ED20A7" w:rsidRDefault="00C959F9" w:rsidP="00C959F9">
      <w:pPr>
        <w:pStyle w:val="SingleTxtG"/>
        <w:rPr>
          <w:lang w:val="fr-FR"/>
        </w:rPr>
      </w:pPr>
      <w:r>
        <w:rPr>
          <w:bCs/>
          <w:lang w:val="fr-FR"/>
        </w:rPr>
        <w:t>122.</w:t>
      </w:r>
      <w:r>
        <w:rPr>
          <w:bCs/>
          <w:lang w:val="fr-FR"/>
        </w:rPr>
        <w:tab/>
      </w:r>
      <w:r w:rsidR="0093676D" w:rsidRPr="00CB4F2E">
        <w:rPr>
          <w:lang w:val="fr-FR"/>
        </w:rPr>
        <w:t>Pour l’élection des conseillers régionaux dont le mandat est de 5 ans renouvelable, le candidat doit : être citoyen camerounais</w:t>
      </w:r>
      <w:r w:rsidR="0027203C">
        <w:rPr>
          <w:lang w:val="fr-FR"/>
        </w:rPr>
        <w:t>;</w:t>
      </w:r>
      <w:r w:rsidR="0093676D" w:rsidRPr="00CB4F2E">
        <w:rPr>
          <w:lang w:val="fr-FR"/>
        </w:rPr>
        <w:t xml:space="preserve"> être inscrit sur une liste électorale</w:t>
      </w:r>
      <w:r w:rsidR="0027203C">
        <w:rPr>
          <w:lang w:val="fr-FR"/>
        </w:rPr>
        <w:t>;</w:t>
      </w:r>
      <w:r w:rsidR="0093676D" w:rsidRPr="00CB4F2E">
        <w:rPr>
          <w:lang w:val="fr-FR"/>
        </w:rPr>
        <w:t xml:space="preserve"> être âgé de 23 ans révolus à la date du scrutin</w:t>
      </w:r>
      <w:r w:rsidR="0027203C">
        <w:rPr>
          <w:lang w:val="fr-FR"/>
        </w:rPr>
        <w:t>;</w:t>
      </w:r>
      <w:r w:rsidR="0093676D" w:rsidRPr="00CB4F2E">
        <w:rPr>
          <w:lang w:val="fr-FR"/>
        </w:rPr>
        <w:t xml:space="preserve"> être délégué de département ou représentant du commandement traditionnel</w:t>
      </w:r>
      <w:r w:rsidR="0027203C">
        <w:rPr>
          <w:lang w:val="fr-FR"/>
        </w:rPr>
        <w:t>;</w:t>
      </w:r>
      <w:r w:rsidR="0093676D" w:rsidRPr="00CB4F2E">
        <w:rPr>
          <w:lang w:val="fr-FR"/>
        </w:rPr>
        <w:t xml:space="preserve"> résider sur effectivement dans le ressort de la région concernée</w:t>
      </w:r>
      <w:r w:rsidR="0027203C">
        <w:rPr>
          <w:lang w:val="fr-FR"/>
        </w:rPr>
        <w:t>;</w:t>
      </w:r>
      <w:r w:rsidR="0093676D" w:rsidRPr="00CB4F2E">
        <w:rPr>
          <w:lang w:val="fr-FR"/>
        </w:rPr>
        <w:t xml:space="preserve"> verser une caution (50 000 FCFA) au Trésor public.</w:t>
      </w:r>
    </w:p>
    <w:p w14:paraId="0E7E48F3" w14:textId="1FE05A6D" w:rsidR="0093676D" w:rsidRPr="00CB4F2E" w:rsidRDefault="00C959F9" w:rsidP="00C959F9">
      <w:pPr>
        <w:pStyle w:val="SingleTxtG"/>
      </w:pPr>
      <w:r w:rsidRPr="00CB4F2E">
        <w:rPr>
          <w:bCs/>
        </w:rPr>
        <w:t>123.</w:t>
      </w:r>
      <w:r w:rsidRPr="00CB4F2E">
        <w:rPr>
          <w:bCs/>
        </w:rPr>
        <w:tab/>
      </w:r>
      <w:r w:rsidR="0093676D" w:rsidRPr="00CB4F2E">
        <w:rPr>
          <w:lang w:val="fr-FR"/>
        </w:rPr>
        <w:t>Par souci d’inclusion, les listes de candidatures sont tenues, sous</w:t>
      </w:r>
      <w:r w:rsidR="0027203C">
        <w:rPr>
          <w:lang w:val="fr-FR"/>
        </w:rPr>
        <w:t xml:space="preserve"> </w:t>
      </w:r>
      <w:r w:rsidR="0093676D" w:rsidRPr="00CB4F2E">
        <w:rPr>
          <w:lang w:val="fr-FR"/>
        </w:rPr>
        <w:t xml:space="preserve">peine de rejet, de respecter les différentes composantes sociologiques de la circonscription électorale et l’approche genre. Cette prescription a permis de relever la proportion des femmes occupant des postes électifs. Ainsi, </w:t>
      </w:r>
      <w:r w:rsidR="0093676D" w:rsidRPr="00CB4F2E">
        <w:t>depuis 2023, le Sénat compte 33% femmes contre 26% en 2018. En décembre 2020, 23,4% de femmes ont été élues conseillères régionales et constituaient</w:t>
      </w:r>
      <w:r w:rsidR="0027203C">
        <w:t xml:space="preserve"> </w:t>
      </w:r>
      <w:r w:rsidR="0093676D" w:rsidRPr="00CB4F2E">
        <w:t>20% membres des bureaux des conseils régionaux.</w:t>
      </w:r>
      <w:r w:rsidR="0027203C">
        <w:t xml:space="preserve"> </w:t>
      </w:r>
      <w:r w:rsidR="0093676D" w:rsidRPr="00CB4F2E">
        <w:t xml:space="preserve">En 2020, 24% de femmes (contre 16% en </w:t>
      </w:r>
      <w:r w:rsidR="0093676D" w:rsidRPr="00CB4F2E">
        <w:lastRenderedPageBreak/>
        <w:t>2012) ont été élues conseillères municipales et 10,83% (contre 6,94% en 2012) ont été élues maires</w:t>
      </w:r>
      <w:r w:rsidR="0093676D" w:rsidRPr="00CB4F2E">
        <w:rPr>
          <w:rStyle w:val="FootnoteReference"/>
        </w:rPr>
        <w:footnoteReference w:id="29"/>
      </w:r>
      <w:r w:rsidR="0093676D" w:rsidRPr="00CB4F2E">
        <w:t xml:space="preserve">. </w:t>
      </w:r>
    </w:p>
    <w:p w14:paraId="61BDE28D" w14:textId="77777777" w:rsidR="00ED20A7" w:rsidRDefault="00FC750F" w:rsidP="00FC750F">
      <w:pPr>
        <w:pStyle w:val="H4G"/>
      </w:pPr>
      <w:bookmarkStart w:id="56" w:name="_Toc210646323"/>
      <w:r>
        <w:tab/>
      </w:r>
      <w:r>
        <w:tab/>
      </w:r>
      <w:r w:rsidR="0093676D" w:rsidRPr="00CB4F2E">
        <w:t>Le paysage médiatique et associatif</w:t>
      </w:r>
      <w:bookmarkEnd w:id="56"/>
    </w:p>
    <w:p w14:paraId="5BABA873" w14:textId="15482588" w:rsidR="00ED20A7" w:rsidRDefault="00C959F9" w:rsidP="00C959F9">
      <w:pPr>
        <w:pStyle w:val="SingleTxtG"/>
      </w:pPr>
      <w:r>
        <w:rPr>
          <w:bCs/>
        </w:rPr>
        <w:t>124.</w:t>
      </w:r>
      <w:r>
        <w:rPr>
          <w:bCs/>
        </w:rPr>
        <w:tab/>
      </w:r>
      <w:r w:rsidR="0093676D" w:rsidRPr="00CB4F2E">
        <w:t>La libéralisation de l’</w:t>
      </w:r>
      <w:proofErr w:type="spellStart"/>
      <w:r w:rsidR="0093676D" w:rsidRPr="00CB4F2E">
        <w:t>audiovisuel</w:t>
      </w:r>
      <w:proofErr w:type="spellEnd"/>
      <w:r w:rsidR="0093676D" w:rsidRPr="00CB4F2E">
        <w:t xml:space="preserve"> est le fait de la Loi n°90/052 du 19 décembre 1990 sur la liberté </w:t>
      </w:r>
      <w:r w:rsidR="0093676D" w:rsidRPr="00007622">
        <w:rPr>
          <w:lang w:val="fr-FR"/>
        </w:rPr>
        <w:t>de</w:t>
      </w:r>
      <w:r w:rsidR="0093676D" w:rsidRPr="00CB4F2E">
        <w:t xml:space="preserve"> communication sociale, modifiée et complétée par la Loi n°96/04 du 4 janvier 1996. Ce dispositif a été renforcé par la Loi n°2010/013 du 21 décembre 2010 régissant les communications électroniques au Cameroun.</w:t>
      </w:r>
      <w:r w:rsidR="0027203C">
        <w:t xml:space="preserve"> </w:t>
      </w:r>
      <w:r w:rsidR="0093676D" w:rsidRPr="00CB4F2E">
        <w:t xml:space="preserve">En décembre 2024, l’on comptait 760 </w:t>
      </w:r>
      <w:proofErr w:type="spellStart"/>
      <w:r w:rsidR="0093676D" w:rsidRPr="00CB4F2E">
        <w:t>médias</w:t>
      </w:r>
      <w:proofErr w:type="spellEnd"/>
      <w:r w:rsidR="0093676D" w:rsidRPr="00CB4F2E">
        <w:t xml:space="preserve"> déclarés dont 93 chaînes de télévision, 129 radios commerciales, 169 radios communautaires, 65 opérateurs de télédistribution, 232 organes de presse écrite, 72 organes de presse en ligne et 260 exploitants de télécommunication.</w:t>
      </w:r>
    </w:p>
    <w:p w14:paraId="567B7645" w14:textId="748D54C2" w:rsidR="00ED20A7" w:rsidRDefault="00C959F9" w:rsidP="00C959F9">
      <w:pPr>
        <w:pStyle w:val="SingleTxtG"/>
      </w:pPr>
      <w:r>
        <w:rPr>
          <w:bCs/>
        </w:rPr>
        <w:t>125.</w:t>
      </w:r>
      <w:r>
        <w:rPr>
          <w:bCs/>
        </w:rPr>
        <w:tab/>
      </w:r>
      <w:r w:rsidR="0093676D" w:rsidRPr="00CB4F2E">
        <w:t>Afin de soutenir le développement du secteur de l’</w:t>
      </w:r>
      <w:proofErr w:type="spellStart"/>
      <w:r w:rsidR="0093676D" w:rsidRPr="00CB4F2E">
        <w:t>audiovisuel</w:t>
      </w:r>
      <w:proofErr w:type="spellEnd"/>
      <w:r w:rsidR="0093676D" w:rsidRPr="00CB4F2E">
        <w:t xml:space="preserve">, la Loi n°2015/007 du 20 avril 2015 a créé le Fonds Spécial de Développement dont les ressources proviennent, entre autres, de la quote-part des redevances annuelles perçues </w:t>
      </w:r>
      <w:r w:rsidR="0093676D" w:rsidRPr="00CB4F2E">
        <w:rPr>
          <w:lang w:val="fr-FR"/>
        </w:rPr>
        <w:t>auprès</w:t>
      </w:r>
      <w:r w:rsidR="0093676D" w:rsidRPr="00CB4F2E">
        <w:t xml:space="preserve"> des opérateurs </w:t>
      </w:r>
      <w:proofErr w:type="spellStart"/>
      <w:r w:rsidR="0093676D" w:rsidRPr="00CB4F2E">
        <w:t>audiovisuels</w:t>
      </w:r>
      <w:proofErr w:type="spellEnd"/>
      <w:r w:rsidR="0093676D" w:rsidRPr="00CB4F2E">
        <w:t xml:space="preserve"> titulaires des titres d’exploitation suivant les modalités fixées par un texte </w:t>
      </w:r>
      <w:proofErr w:type="spellStart"/>
      <w:r w:rsidR="0093676D" w:rsidRPr="00CB4F2E">
        <w:t>règlementaire</w:t>
      </w:r>
      <w:proofErr w:type="spellEnd"/>
      <w:r w:rsidR="0093676D" w:rsidRPr="00CB4F2E">
        <w:t>, de la quote-part des redevances annuelles perçues par l’organe chargé de l’assignation des fréquences radioélectriques et de la quote-part des droits d’entrée et de renouvellement des concessions des opérateurs de réseaux de communication électroniques ouverts au public.</w:t>
      </w:r>
    </w:p>
    <w:p w14:paraId="00CA8B73" w14:textId="12C04114" w:rsidR="00ED20A7" w:rsidRDefault="00C959F9" w:rsidP="00C959F9">
      <w:pPr>
        <w:pStyle w:val="SingleTxtG"/>
      </w:pPr>
      <w:r>
        <w:rPr>
          <w:bCs/>
        </w:rPr>
        <w:t>126.</w:t>
      </w:r>
      <w:r>
        <w:rPr>
          <w:bCs/>
        </w:rPr>
        <w:tab/>
      </w:r>
      <w:r w:rsidR="0093676D" w:rsidRPr="00CB4F2E">
        <w:t xml:space="preserve">Avec l’avènement de la Télévision Numérique Terrestre le 17 juin 2015, de nouvelles </w:t>
      </w:r>
      <w:r w:rsidR="0093676D" w:rsidRPr="00007622">
        <w:rPr>
          <w:lang w:val="fr-FR"/>
        </w:rPr>
        <w:t>activités</w:t>
      </w:r>
      <w:r w:rsidR="0093676D" w:rsidRPr="00CB4F2E">
        <w:t xml:space="preserve"> ont été introduites dans le </w:t>
      </w:r>
      <w:r w:rsidR="0093676D" w:rsidRPr="00CB4F2E">
        <w:rPr>
          <w:lang w:val="fr-FR"/>
        </w:rPr>
        <w:t>paysage</w:t>
      </w:r>
      <w:r w:rsidR="0093676D" w:rsidRPr="00CB4F2E">
        <w:t xml:space="preserve"> de l’</w:t>
      </w:r>
      <w:proofErr w:type="spellStart"/>
      <w:r w:rsidR="0093676D" w:rsidRPr="00CB4F2E">
        <w:t>audiovisuel</w:t>
      </w:r>
      <w:proofErr w:type="spellEnd"/>
      <w:r w:rsidR="0093676D" w:rsidRPr="00CB4F2E">
        <w:t xml:space="preserve">, à l’instar des activités de stockage et de conservation des contenus </w:t>
      </w:r>
      <w:proofErr w:type="spellStart"/>
      <w:r w:rsidR="0093676D" w:rsidRPr="00CB4F2E">
        <w:t>audiovisuels</w:t>
      </w:r>
      <w:proofErr w:type="spellEnd"/>
      <w:r w:rsidR="0093676D" w:rsidRPr="00CB4F2E">
        <w:t xml:space="preserve"> et des activités</w:t>
      </w:r>
      <w:r w:rsidR="0093676D" w:rsidRPr="00CB4F2E">
        <w:rPr>
          <w:webHidden/>
        </w:rPr>
        <w:tab/>
      </w:r>
      <w:r w:rsidR="0093676D" w:rsidRPr="00CB4F2E">
        <w:rPr>
          <w:webHidden/>
        </w:rPr>
        <w:fldChar w:fldCharType="begin"/>
      </w:r>
      <w:r w:rsidR="0093676D" w:rsidRPr="00CB4F2E">
        <w:rPr>
          <w:webHidden/>
        </w:rPr>
        <w:instrText xml:space="preserve"> PAGEREF _Toc180412490 \h </w:instrText>
      </w:r>
      <w:r w:rsidR="0093676D" w:rsidRPr="00CB4F2E">
        <w:rPr>
          <w:webHidden/>
        </w:rPr>
      </w:r>
      <w:r w:rsidR="0093676D" w:rsidRPr="00CB4F2E">
        <w:rPr>
          <w:webHidden/>
        </w:rPr>
        <w:fldChar w:fldCharType="end"/>
      </w:r>
    </w:p>
    <w:p w14:paraId="29918BC9" w14:textId="75152A45" w:rsidR="00ED20A7" w:rsidRDefault="00C959F9" w:rsidP="00C959F9">
      <w:pPr>
        <w:pStyle w:val="SingleTxtG"/>
      </w:pPr>
      <w:r>
        <w:rPr>
          <w:bCs/>
        </w:rPr>
        <w:t>127.</w:t>
      </w:r>
      <w:r>
        <w:rPr>
          <w:bCs/>
        </w:rPr>
        <w:tab/>
      </w:r>
      <w:r w:rsidR="0093676D" w:rsidRPr="00CB4F2E">
        <w:t xml:space="preserve">La libéralisation du paysage associatif est également notable depuis l’adoption de la Loi n° 90/053 du 19 décembre 1990 relative à la liberté d’association qui a soumis les associations au </w:t>
      </w:r>
      <w:r w:rsidR="0093676D" w:rsidRPr="00007622">
        <w:rPr>
          <w:lang w:val="fr-FR"/>
        </w:rPr>
        <w:t>régime</w:t>
      </w:r>
      <w:r w:rsidR="0093676D" w:rsidRPr="00CB4F2E">
        <w:t xml:space="preserve"> de la déclaration, à l’exception des </w:t>
      </w:r>
      <w:r w:rsidR="0093676D" w:rsidRPr="00CB4F2E">
        <w:rPr>
          <w:lang w:val="fr-FR"/>
        </w:rPr>
        <w:t>associations</w:t>
      </w:r>
      <w:r w:rsidR="0093676D" w:rsidRPr="00CB4F2E">
        <w:t xml:space="preserve"> politiques, religieuses ou étrangères.</w:t>
      </w:r>
      <w:r w:rsidR="0027203C">
        <w:t xml:space="preserve"> </w:t>
      </w:r>
      <w:r w:rsidR="0093676D" w:rsidRPr="00CB4F2E">
        <w:t xml:space="preserve">Cette loi a été modifiée notamment par la Loi n°2021/022 du 16 décembre 2021 modifiant certaines dispositions de la Loi n°90/053 du 19 décembre 1990 relative à la liberté d'association, qui soumet les partis politiques, les syndicats, les associations sportives, les ONG, les associations artistiques et culturelles ainsi que les organisations interprofessionnelles à des textes particuliers. </w:t>
      </w:r>
    </w:p>
    <w:p w14:paraId="3235AB59" w14:textId="68D1C2D7" w:rsidR="00ED20A7" w:rsidRDefault="00C959F9" w:rsidP="00C959F9">
      <w:pPr>
        <w:pStyle w:val="SingleTxtG"/>
      </w:pPr>
      <w:r>
        <w:rPr>
          <w:bCs/>
        </w:rPr>
        <w:t>128.</w:t>
      </w:r>
      <w:r>
        <w:rPr>
          <w:bCs/>
        </w:rPr>
        <w:tab/>
      </w:r>
      <w:r w:rsidR="0093676D" w:rsidRPr="00CB4F2E">
        <w:t xml:space="preserve">Prenant en compte les besoins spécifiques de certaines organisations et de leurs membres, le </w:t>
      </w:r>
      <w:r w:rsidR="0093676D" w:rsidRPr="00007622">
        <w:rPr>
          <w:lang w:val="fr-FR"/>
        </w:rPr>
        <w:t>Cameroun</w:t>
      </w:r>
      <w:r w:rsidR="0093676D" w:rsidRPr="00CB4F2E">
        <w:t xml:space="preserve"> a adopté la Loi n°2020/011 du 20 juillet 2020 régissant les associations artistiques et culturelles au Cameroun</w:t>
      </w:r>
      <w:r w:rsidR="0027203C">
        <w:t xml:space="preserve"> </w:t>
      </w:r>
      <w:r w:rsidR="0093676D" w:rsidRPr="00CB4F2E">
        <w:t>ainsi</w:t>
      </w:r>
      <w:r w:rsidR="0027203C">
        <w:t xml:space="preserve"> </w:t>
      </w:r>
      <w:r w:rsidR="0093676D" w:rsidRPr="00CB4F2E">
        <w:t xml:space="preserve">que la Loi n°2021/022 du 16 décembre 2021 modifiant certaines dispositions de la Loi n°90/053 du 19 décembre 1990 relative à la liberté d'association, qui soumet à un régime particulier les partis politiques, les syndicats, les associations sportives, les ONG et les organisations interprofessionnelles. Dans cette veine, est intervenue la Loi n°2021/023 du 16 décembre 2021 régissant les organisations interprofessionnelles au Cameroun, laquelle vise le principe de la parité. </w:t>
      </w:r>
    </w:p>
    <w:p w14:paraId="27F9F277" w14:textId="5DC6C895" w:rsidR="0093676D" w:rsidRPr="00CB4F2E" w:rsidRDefault="00C959F9" w:rsidP="00C959F9">
      <w:pPr>
        <w:pStyle w:val="SingleTxtG"/>
      </w:pPr>
      <w:r w:rsidRPr="00CB4F2E">
        <w:rPr>
          <w:bCs/>
        </w:rPr>
        <w:t>129.</w:t>
      </w:r>
      <w:r w:rsidRPr="00CB4F2E">
        <w:rPr>
          <w:bCs/>
        </w:rPr>
        <w:tab/>
      </w:r>
      <w:r w:rsidR="0093676D" w:rsidRPr="00CB4F2E">
        <w:t xml:space="preserve">Au 31 </w:t>
      </w:r>
      <w:r w:rsidR="0093676D" w:rsidRPr="00007622">
        <w:rPr>
          <w:lang w:val="fr-FR"/>
        </w:rPr>
        <w:t>décembre</w:t>
      </w:r>
      <w:r w:rsidR="0093676D" w:rsidRPr="00CB4F2E">
        <w:t xml:space="preserve"> 2024, le Cameroun comptait 367 partis politiques, 110 ONG, 48 associations religieuses, 676 associations étrangères, 35 associations déclarées d’utilité publique et 47 associations religieuses.</w:t>
      </w:r>
    </w:p>
    <w:p w14:paraId="27157585" w14:textId="3F44AEDC" w:rsidR="00ED20A7" w:rsidRDefault="0095476B" w:rsidP="00FC750F">
      <w:pPr>
        <w:pStyle w:val="H23G"/>
        <w:ind w:left="1210" w:hanging="850"/>
        <w:rPr>
          <w:i/>
          <w:webHidden/>
        </w:rPr>
      </w:pPr>
      <w:bookmarkStart w:id="57" w:name="_Toc210209110"/>
      <w:bookmarkStart w:id="58" w:name="_Toc210646324"/>
      <w:r>
        <w:rPr>
          <w:webHidden/>
        </w:rPr>
        <w:tab/>
      </w:r>
      <w:r w:rsidR="00111F87">
        <w:rPr>
          <w:webHidden/>
        </w:rPr>
        <w:t>C</w:t>
      </w:r>
      <w:r w:rsidR="00FC750F" w:rsidRPr="00CB4F2E">
        <w:rPr>
          <w:webHidden/>
        </w:rPr>
        <w:t>.</w:t>
      </w:r>
      <w:r w:rsidR="00FC750F" w:rsidRPr="00CB4F2E">
        <w:rPr>
          <w:webHidden/>
        </w:rPr>
        <w:tab/>
      </w:r>
      <w:r w:rsidR="0093676D" w:rsidRPr="00CB4F2E">
        <w:t>Le cadre institutionnel : la séparation des pouvoirs</w:t>
      </w:r>
      <w:bookmarkEnd w:id="57"/>
      <w:bookmarkEnd w:id="58"/>
      <w:r w:rsidR="0093676D" w:rsidRPr="00CB4F2E">
        <w:rPr>
          <w:webHidden/>
        </w:rPr>
        <w:tab/>
      </w:r>
    </w:p>
    <w:p w14:paraId="24A1508F" w14:textId="0079DAAD" w:rsidR="0093676D" w:rsidRPr="00CB4F2E" w:rsidRDefault="00C959F9" w:rsidP="00C959F9">
      <w:pPr>
        <w:pStyle w:val="SingleTxtG"/>
        <w:rPr>
          <w:b/>
          <w:bCs/>
        </w:rPr>
      </w:pPr>
      <w:r w:rsidRPr="00CB4F2E">
        <w:rPr>
          <w:bCs/>
        </w:rPr>
        <w:t>130.</w:t>
      </w:r>
      <w:r w:rsidRPr="00CB4F2E">
        <w:rPr>
          <w:bCs/>
        </w:rPr>
        <w:tab/>
      </w:r>
      <w:r w:rsidR="0093676D" w:rsidRPr="00CB4F2E">
        <w:t xml:space="preserve">La </w:t>
      </w:r>
      <w:r w:rsidR="0093676D" w:rsidRPr="00007622">
        <w:rPr>
          <w:lang w:val="fr-FR"/>
        </w:rPr>
        <w:t>Constitution</w:t>
      </w:r>
      <w:r w:rsidR="0093676D" w:rsidRPr="00CB4F2E">
        <w:t xml:space="preserve"> consacre trois pouvoirs indépendants : l’exécutif, le législatif et le judiciaire.</w:t>
      </w:r>
    </w:p>
    <w:p w14:paraId="32C30052" w14:textId="77777777" w:rsidR="00ED20A7" w:rsidRDefault="002E0803" w:rsidP="002E0803">
      <w:pPr>
        <w:pStyle w:val="H4G"/>
      </w:pPr>
      <w:bookmarkStart w:id="59" w:name="_Toc210646325"/>
      <w:r>
        <w:rPr>
          <w:lang w:val="fr-FR"/>
        </w:rPr>
        <w:tab/>
      </w:r>
      <w:r>
        <w:rPr>
          <w:lang w:val="fr-FR"/>
        </w:rPr>
        <w:tab/>
      </w:r>
      <w:r w:rsidR="0093676D" w:rsidRPr="00CB4F2E">
        <w:rPr>
          <w:lang w:val="fr-FR"/>
        </w:rPr>
        <w:t>Pouvoir</w:t>
      </w:r>
      <w:r w:rsidR="0093676D" w:rsidRPr="00CB4F2E">
        <w:t xml:space="preserve"> exécutif</w:t>
      </w:r>
      <w:bookmarkEnd w:id="59"/>
    </w:p>
    <w:p w14:paraId="3C5E8CA6" w14:textId="12CDE93F" w:rsidR="00ED20A7" w:rsidRDefault="00C959F9" w:rsidP="00C959F9">
      <w:pPr>
        <w:pStyle w:val="SingleTxtG"/>
      </w:pPr>
      <w:r>
        <w:rPr>
          <w:bCs/>
        </w:rPr>
        <w:t>131.</w:t>
      </w:r>
      <w:r>
        <w:rPr>
          <w:bCs/>
        </w:rPr>
        <w:tab/>
      </w:r>
      <w:r w:rsidR="0093676D" w:rsidRPr="00CB4F2E">
        <w:t xml:space="preserve">Le </w:t>
      </w:r>
      <w:r w:rsidR="0093676D" w:rsidRPr="00CB4F2E">
        <w:rPr>
          <w:lang w:val="fr-FR"/>
        </w:rPr>
        <w:t>Président</w:t>
      </w:r>
      <w:r w:rsidR="0093676D" w:rsidRPr="00CB4F2E">
        <w:t xml:space="preserve"> de la République est le Chef de l’</w:t>
      </w:r>
      <w:proofErr w:type="spellStart"/>
      <w:r w:rsidR="0093676D" w:rsidRPr="00CB4F2E">
        <w:t>Etat</w:t>
      </w:r>
      <w:proofErr w:type="spellEnd"/>
      <w:r w:rsidR="0093676D" w:rsidRPr="00CB4F2E">
        <w:t xml:space="preserve">. Il est garant de l’indépendance nationale et de </w:t>
      </w:r>
      <w:r w:rsidR="0093676D" w:rsidRPr="00007622">
        <w:rPr>
          <w:lang w:val="fr-FR"/>
        </w:rPr>
        <w:t>l’intégrité</w:t>
      </w:r>
      <w:r w:rsidR="0093676D" w:rsidRPr="00CB4F2E">
        <w:t xml:space="preserve"> du territoire (article 5 de la Constitution). Il veille au respect de la Constitution et assure le fonctionnement régulier des pouvoirs publics. Il est élu au suffrage universel direct, égal et secret, à la majorité des suffrages exprimés, pour un mandat de sept </w:t>
      </w:r>
      <w:r w:rsidR="0093676D" w:rsidRPr="00CB4F2E">
        <w:lastRenderedPageBreak/>
        <w:t>ans renouvelables. Le Président de la République nomme les ministres, sur proposition du Premier Ministre.</w:t>
      </w:r>
    </w:p>
    <w:p w14:paraId="0023AD8E" w14:textId="6D965C44" w:rsidR="0093676D" w:rsidRPr="00CB4F2E" w:rsidRDefault="0093676D" w:rsidP="005F1D8A">
      <w:pPr>
        <w:pStyle w:val="SingleTxtG"/>
        <w:numPr>
          <w:ilvl w:val="0"/>
          <w:numId w:val="6"/>
        </w:numPr>
        <w:ind w:left="1134" w:firstLine="0"/>
      </w:pPr>
      <w:r w:rsidRPr="00CB4F2E">
        <w:t>Le Premier Ministre est nommé par le Président de la République. Il est le chef du Gouvernement dont il dirige l’action. Le Gouvernement est chargé de la mise en œuvre de la politique de la nation telle que définie par le Président de la République.</w:t>
      </w:r>
    </w:p>
    <w:p w14:paraId="114A7F33" w14:textId="77777777" w:rsidR="00ED20A7" w:rsidRDefault="002E0803" w:rsidP="002E0803">
      <w:pPr>
        <w:pStyle w:val="H4G"/>
      </w:pPr>
      <w:bookmarkStart w:id="60" w:name="_Toc210646326"/>
      <w:r>
        <w:tab/>
      </w:r>
      <w:r>
        <w:tab/>
      </w:r>
      <w:r w:rsidR="0093676D" w:rsidRPr="00CB4F2E">
        <w:t>Pouvoir législatif</w:t>
      </w:r>
      <w:bookmarkEnd w:id="60"/>
    </w:p>
    <w:p w14:paraId="4DBB06AA" w14:textId="15F846F0" w:rsidR="0093676D" w:rsidRPr="00CB4F2E" w:rsidRDefault="0093676D" w:rsidP="005F1D8A">
      <w:pPr>
        <w:pStyle w:val="SingleTxtG"/>
        <w:numPr>
          <w:ilvl w:val="0"/>
          <w:numId w:val="6"/>
        </w:numPr>
        <w:ind w:left="1134" w:firstLine="0"/>
      </w:pPr>
      <w:r w:rsidRPr="00CB4F2E">
        <w:t>Le pouvoir législatif est exercé par le Parlement qui comprend deux chambres : l’Assemblée nationale et le Sénat. Le Parlement légifère et contrôle l’action du Gouvernement. L’Assemblée Nationale (</w:t>
      </w:r>
      <w:hyperlink r:id="rId32" w:history="1">
        <w:r w:rsidRPr="00CB4F2E">
          <w:rPr>
            <w:rStyle w:val="Hyperlink"/>
          </w:rPr>
          <w:t>https://www.assnat.cm/</w:t>
        </w:r>
      </w:hyperlink>
      <w:r w:rsidRPr="00CB4F2E">
        <w:t>) est composée de 180 députés élus au suffrage universel direct et secret, pour un mandat de cinq ans. Le Sénat (</w:t>
      </w:r>
      <w:hyperlink r:id="rId33" w:history="1">
        <w:r w:rsidRPr="00CB4F2E">
          <w:rPr>
            <w:rStyle w:val="Hyperlink"/>
          </w:rPr>
          <w:t>https://senat.cm/</w:t>
        </w:r>
      </w:hyperlink>
      <w:r w:rsidRPr="00CB4F2E">
        <w:t>)</w:t>
      </w:r>
      <w:r w:rsidR="0027203C">
        <w:t xml:space="preserve"> </w:t>
      </w:r>
      <w:r w:rsidRPr="00CB4F2E">
        <w:t>représente les Collectivités Territoriales Décentralisées (CTD). Il est constitué de 100 membres, dont 70 sont élus au suffrage universel indirect sur la base régionale et 30 nommés par le Président de la République. Créé à la faveur de la modification de la Constitution en 1996, le Sénat est entré en fonctionnement en 2013.</w:t>
      </w:r>
    </w:p>
    <w:p w14:paraId="1D9A7665" w14:textId="77777777" w:rsidR="00ED20A7" w:rsidRDefault="0062017E" w:rsidP="0062017E">
      <w:pPr>
        <w:pStyle w:val="H4G"/>
      </w:pPr>
      <w:bookmarkStart w:id="61" w:name="_Toc210646327"/>
      <w:r>
        <w:tab/>
      </w:r>
      <w:r>
        <w:tab/>
      </w:r>
      <w:r w:rsidR="0093676D" w:rsidRPr="00CB4F2E">
        <w:t>Pouvoir judiciaire</w:t>
      </w:r>
      <w:bookmarkEnd w:id="61"/>
    </w:p>
    <w:p w14:paraId="07D9AA9C" w14:textId="5EB33F91" w:rsidR="0093676D" w:rsidRPr="00CB4F2E" w:rsidRDefault="0093676D" w:rsidP="005F1D8A">
      <w:pPr>
        <w:pStyle w:val="SingleTxtG"/>
        <w:numPr>
          <w:ilvl w:val="0"/>
          <w:numId w:val="6"/>
        </w:numPr>
        <w:ind w:left="1134" w:firstLine="0"/>
        <w:rPr>
          <w:b/>
          <w:bCs/>
        </w:rPr>
      </w:pPr>
      <w:r w:rsidRPr="00CB4F2E">
        <w:t>La justice est rendue sur le territoire de la République au nom du peuple camerounais. Le Pouvoir Judiciaire est exercé par la Cour Suprême (</w:t>
      </w:r>
      <w:hyperlink r:id="rId34" w:history="1">
        <w:r w:rsidRPr="00CB4F2E">
          <w:rPr>
            <w:rStyle w:val="Hyperlink"/>
          </w:rPr>
          <w:t>https://coursupreme.cm/</w:t>
        </w:r>
      </w:hyperlink>
      <w:r w:rsidRPr="00CB4F2E">
        <w:t xml:space="preserve">), les cours d’appel et les tribunaux. Il est indépendant du pouvoir exécutif et du pouvoir Législatif. </w:t>
      </w:r>
    </w:p>
    <w:p w14:paraId="4472DAF1" w14:textId="3D541453" w:rsidR="0093676D" w:rsidRPr="00CB4F2E" w:rsidRDefault="0095476B" w:rsidP="00FC750F">
      <w:pPr>
        <w:pStyle w:val="H23G"/>
        <w:ind w:left="1210" w:hanging="850"/>
        <w:rPr>
          <w:i/>
        </w:rPr>
      </w:pPr>
      <w:bookmarkStart w:id="62" w:name="_Toc210209111"/>
      <w:bookmarkStart w:id="63" w:name="_Toc210646328"/>
      <w:r>
        <w:tab/>
      </w:r>
      <w:r w:rsidR="003F0CC3">
        <w:t>D</w:t>
      </w:r>
      <w:r w:rsidR="00FC750F" w:rsidRPr="00CB4F2E">
        <w:t>.</w:t>
      </w:r>
      <w:r w:rsidR="00FC750F" w:rsidRPr="00CB4F2E">
        <w:tab/>
      </w:r>
      <w:r w:rsidR="0093676D" w:rsidRPr="00CB4F2E">
        <w:t>Les organes juridictionnels</w:t>
      </w:r>
      <w:bookmarkEnd w:id="62"/>
      <w:bookmarkEnd w:id="63"/>
    </w:p>
    <w:p w14:paraId="05463934" w14:textId="77777777" w:rsidR="0093676D" w:rsidRPr="00CB4F2E" w:rsidRDefault="0093676D" w:rsidP="005F1D8A">
      <w:pPr>
        <w:pStyle w:val="SingleTxtG"/>
        <w:numPr>
          <w:ilvl w:val="0"/>
          <w:numId w:val="6"/>
        </w:numPr>
        <w:ind w:left="1134" w:firstLine="0"/>
        <w:rPr>
          <w:lang w:val="fr-FR"/>
        </w:rPr>
      </w:pPr>
      <w:r w:rsidRPr="00CB4F2E">
        <w:rPr>
          <w:lang w:val="fr-FR"/>
        </w:rPr>
        <w:t>Marqué par le pluralisme judiciaire, le Cameroun compte, un Conseil Constitutionnel (</w:t>
      </w:r>
      <w:hyperlink r:id="rId35" w:history="1">
        <w:r w:rsidRPr="00CB4F2E">
          <w:rPr>
            <w:rStyle w:val="Hyperlink"/>
            <w:lang w:val="fr-FR"/>
          </w:rPr>
          <w:t>https://constitutional-council.com/</w:t>
        </w:r>
      </w:hyperlink>
      <w:r w:rsidRPr="00CB4F2E">
        <w:rPr>
          <w:lang w:val="fr-FR"/>
        </w:rPr>
        <w:t>), une Cour Suprême, un Tribunal Criminel Spécial, 10 Tribunaux Administratifs, 10 Tribunaux Militaires, 10 Cours d’Appel, 12 Tribunaux de Grande Instance, 47 Tribunaux de Première et Grande Instance, 29 Tribunaux de Première Instance et 447 juridictions traditionnelles. En sus des juridictions non rattachées à un ordre juridictionnel, le système judiciaire camerounais comporte les juridictions de l’ordre judiciaire, de l’ordre administratif et de l’ordre des comptes.</w:t>
      </w:r>
    </w:p>
    <w:p w14:paraId="720D37B6" w14:textId="596B7F6E" w:rsidR="0093676D" w:rsidRPr="00CB4F2E" w:rsidRDefault="0062017E" w:rsidP="0062017E">
      <w:pPr>
        <w:pStyle w:val="H4G"/>
      </w:pPr>
      <w:bookmarkStart w:id="64" w:name="_Toc210646329"/>
      <w:r>
        <w:tab/>
      </w:r>
      <w:r>
        <w:tab/>
      </w:r>
      <w:r w:rsidR="0093676D" w:rsidRPr="00CB4F2E">
        <w:t>Les juridictions de l’ordre judiciaire</w:t>
      </w:r>
      <w:bookmarkEnd w:id="64"/>
    </w:p>
    <w:p w14:paraId="2260B1D2" w14:textId="2F243680" w:rsidR="00ED20A7" w:rsidRDefault="0093676D" w:rsidP="005F1D8A">
      <w:pPr>
        <w:pStyle w:val="SingleTxtG"/>
        <w:numPr>
          <w:ilvl w:val="0"/>
          <w:numId w:val="6"/>
        </w:numPr>
        <w:ind w:left="1134" w:firstLine="0"/>
        <w:rPr>
          <w:lang w:val="fr-FR"/>
        </w:rPr>
      </w:pPr>
      <w:r w:rsidRPr="00CB4F2E">
        <w:rPr>
          <w:lang w:val="fr-FR"/>
        </w:rPr>
        <w:t xml:space="preserve">Elles comprennent les juridictions de droit moderne (Tribunal de Première Instance-TPI, Tribunal de Grande Instance-TGI, Tribunal Militaire, </w:t>
      </w:r>
      <w:r w:rsidRPr="00CB4F2E">
        <w:t>Tribunal Criminel Spécial-TCS</w:t>
      </w:r>
      <w:r w:rsidRPr="00CB4F2E">
        <w:rPr>
          <w:lang w:val="fr-FR"/>
        </w:rPr>
        <w:t>) et les juridictions de droit traditionnel (Tribunal Coutumier et Tribunal de Premier Degré dans les Régions francophones</w:t>
      </w:r>
      <w:r w:rsidR="0027203C">
        <w:rPr>
          <w:lang w:val="fr-FR"/>
        </w:rPr>
        <w:t>;</w:t>
      </w:r>
      <w:r w:rsidRPr="00CB4F2E">
        <w:rPr>
          <w:lang w:val="fr-FR"/>
        </w:rPr>
        <w:t xml:space="preserve"> </w:t>
      </w:r>
      <w:proofErr w:type="spellStart"/>
      <w:r w:rsidRPr="00CB4F2E">
        <w:rPr>
          <w:i/>
          <w:lang w:val="fr-FR"/>
        </w:rPr>
        <w:t>Customary</w:t>
      </w:r>
      <w:proofErr w:type="spellEnd"/>
      <w:r w:rsidRPr="00CB4F2E">
        <w:rPr>
          <w:i/>
          <w:lang w:val="fr-FR"/>
        </w:rPr>
        <w:t xml:space="preserve"> Courts</w:t>
      </w:r>
      <w:r w:rsidRPr="00CB4F2E">
        <w:rPr>
          <w:lang w:val="fr-FR"/>
        </w:rPr>
        <w:t xml:space="preserve"> et </w:t>
      </w:r>
      <w:r w:rsidRPr="00CB4F2E">
        <w:rPr>
          <w:i/>
          <w:lang w:val="fr-FR"/>
        </w:rPr>
        <w:t>Alkali Courts</w:t>
      </w:r>
      <w:r w:rsidRPr="00CB4F2E">
        <w:rPr>
          <w:lang w:val="fr-FR"/>
        </w:rPr>
        <w:t xml:space="preserve"> dans les Régions anglophones). Les décisions rendues par ces juridictions peuvent faire l’objet d’appel devant la Cour d’appel, puis de pourvoi devant la Cour suprême.</w:t>
      </w:r>
    </w:p>
    <w:p w14:paraId="4FBBF29C" w14:textId="77777777" w:rsidR="00ED20A7" w:rsidRDefault="0093676D" w:rsidP="005F1D8A">
      <w:pPr>
        <w:pStyle w:val="SingleTxtG"/>
        <w:numPr>
          <w:ilvl w:val="0"/>
          <w:numId w:val="6"/>
        </w:numPr>
        <w:ind w:left="1134" w:firstLine="0"/>
      </w:pPr>
      <w:r w:rsidRPr="00CB4F2E">
        <w:t xml:space="preserve">La Loi n°2006/015 du 29 décembre 2006 portant organisation judiciaire modifiée et complétée par la Loi n°2011/027 du 14 décembre 2011 régit les Cours d’Appel et les Tribunaux de Première Instance et Tribunaux de Grande Instance. </w:t>
      </w:r>
    </w:p>
    <w:p w14:paraId="04A660B2" w14:textId="77777777" w:rsidR="00ED20A7" w:rsidRDefault="0095476B" w:rsidP="00FC750F">
      <w:pPr>
        <w:pStyle w:val="H4G"/>
        <w:ind w:left="1210" w:hanging="850"/>
      </w:pPr>
      <w:r>
        <w:tab/>
      </w:r>
      <w:r w:rsidR="00FC750F" w:rsidRPr="00CB4F2E">
        <w:t>a.</w:t>
      </w:r>
      <w:r w:rsidR="00FC750F" w:rsidRPr="00CB4F2E">
        <w:tab/>
      </w:r>
      <w:r w:rsidR="0093676D" w:rsidRPr="00CB4F2E">
        <w:rPr>
          <w:lang w:val="fr-FR"/>
        </w:rPr>
        <w:t xml:space="preserve">Les </w:t>
      </w:r>
      <w:r w:rsidR="0093676D" w:rsidRPr="00CB4F2E">
        <w:t>Tribunaux de Première Instance</w:t>
      </w:r>
    </w:p>
    <w:p w14:paraId="488BFEE6" w14:textId="3E591EE0" w:rsidR="00ED20A7" w:rsidRDefault="0093676D" w:rsidP="005F1D8A">
      <w:pPr>
        <w:pStyle w:val="SingleTxtG"/>
        <w:numPr>
          <w:ilvl w:val="0"/>
          <w:numId w:val="6"/>
        </w:numPr>
        <w:ind w:left="1134" w:firstLine="0"/>
        <w:rPr>
          <w:lang w:val="fr-FR"/>
        </w:rPr>
      </w:pPr>
      <w:r w:rsidRPr="00CB4F2E">
        <w:t>La compétence territoriale du TPI s'étend à l'arrondissement. Sur le plan matériel, il est compétent : en matière pénale,</w:t>
      </w:r>
      <w:r w:rsidRPr="00CB4F2E">
        <w:rPr>
          <w:lang w:val="fr-FR"/>
        </w:rPr>
        <w:t xml:space="preserve"> pour le jugement des délits ou de contraventions, des demandes de mise en liberté formées par toute personne détenue et poursuivie devant lui pour une infraction de sa compétence, et des crimes commis par des mineurs sans </w:t>
      </w:r>
      <w:proofErr w:type="spellStart"/>
      <w:r w:rsidRPr="00CB4F2E">
        <w:rPr>
          <w:lang w:val="fr-FR"/>
        </w:rPr>
        <w:t>coauteur</w:t>
      </w:r>
      <w:proofErr w:type="spellEnd"/>
      <w:r w:rsidRPr="00CB4F2E">
        <w:rPr>
          <w:lang w:val="fr-FR"/>
        </w:rPr>
        <w:t xml:space="preserve"> ou complice majeur</w:t>
      </w:r>
      <w:r w:rsidR="0027203C">
        <w:rPr>
          <w:lang w:val="fr-FR"/>
        </w:rPr>
        <w:t>;</w:t>
      </w:r>
      <w:r w:rsidRPr="00CB4F2E">
        <w:rPr>
          <w:lang w:val="fr-FR"/>
        </w:rPr>
        <w:t xml:space="preserve"> en matière civile, commerciale et sociale, des différends dont le montant n'excède pas 10 000 000 FCFA.</w:t>
      </w:r>
    </w:p>
    <w:p w14:paraId="439C0C4C" w14:textId="77777777" w:rsidR="00ED20A7" w:rsidRDefault="0095476B" w:rsidP="0095476B">
      <w:pPr>
        <w:pStyle w:val="H4G"/>
      </w:pPr>
      <w:r>
        <w:rPr>
          <w:lang w:val="fr-FR"/>
        </w:rPr>
        <w:tab/>
      </w:r>
      <w:r w:rsidR="0093676D" w:rsidRPr="00CB4F2E">
        <w:rPr>
          <w:lang w:val="fr-FR"/>
        </w:rPr>
        <w:t>b.</w:t>
      </w:r>
      <w:r>
        <w:rPr>
          <w:lang w:val="fr-FR"/>
        </w:rPr>
        <w:tab/>
      </w:r>
      <w:r w:rsidR="0093676D" w:rsidRPr="00CB4F2E">
        <w:rPr>
          <w:lang w:val="fr-FR"/>
        </w:rPr>
        <w:t xml:space="preserve">Les </w:t>
      </w:r>
      <w:r w:rsidR="0093676D" w:rsidRPr="00CB4F2E">
        <w:t>Tribunaux de Grande Instance</w:t>
      </w:r>
    </w:p>
    <w:p w14:paraId="455FB222" w14:textId="7F88216F" w:rsidR="00ED20A7" w:rsidRDefault="0093676D" w:rsidP="005F1D8A">
      <w:pPr>
        <w:pStyle w:val="SingleTxtG"/>
        <w:numPr>
          <w:ilvl w:val="0"/>
          <w:numId w:val="6"/>
        </w:numPr>
        <w:ind w:left="1134" w:firstLine="0"/>
      </w:pPr>
      <w:r w:rsidRPr="00CB4F2E">
        <w:t>La compétence territoriale du TGI s'étend au département. Sur le plan matériel, il est compétent : en matière pénale, pour le jugement des crimes et des demandes de mise en liberté formées par toute personne détenue et poursuivie devant lui pour une infraction de sa compétence</w:t>
      </w:r>
      <w:r w:rsidR="0027203C">
        <w:t>;</w:t>
      </w:r>
      <w:r w:rsidRPr="00CB4F2E">
        <w:t xml:space="preserve"> en matière civile, commerciale et sociale, des différends dont le montant excède 10 000 000 FCFA, outre les actions et procédures relatives à l'état des personnes, à l'état-civil, au mariage, au divorce et à la filiation, à l’adoption et aux successions. </w:t>
      </w:r>
    </w:p>
    <w:p w14:paraId="386ECB5D" w14:textId="77777777" w:rsidR="00ED20A7" w:rsidRDefault="0095476B" w:rsidP="0095476B">
      <w:pPr>
        <w:pStyle w:val="H4G"/>
      </w:pPr>
      <w:r>
        <w:rPr>
          <w:lang w:val="fr-FR"/>
        </w:rPr>
        <w:lastRenderedPageBreak/>
        <w:tab/>
      </w:r>
      <w:r w:rsidR="0093676D" w:rsidRPr="00CB4F2E">
        <w:rPr>
          <w:lang w:val="fr-FR"/>
        </w:rPr>
        <w:t>c.</w:t>
      </w:r>
      <w:r>
        <w:rPr>
          <w:lang w:val="fr-FR"/>
        </w:rPr>
        <w:tab/>
      </w:r>
      <w:r w:rsidR="0093676D" w:rsidRPr="00CB4F2E">
        <w:rPr>
          <w:lang w:val="fr-FR"/>
        </w:rPr>
        <w:t xml:space="preserve">Les </w:t>
      </w:r>
      <w:r w:rsidR="0093676D" w:rsidRPr="00CB4F2E">
        <w:t>Tribunaux Degré et Tribunaux Coutumiers</w:t>
      </w:r>
    </w:p>
    <w:p w14:paraId="79D46C93" w14:textId="1BFC121F" w:rsidR="00ED20A7" w:rsidRDefault="0093676D" w:rsidP="005F1D8A">
      <w:pPr>
        <w:pStyle w:val="SingleTxtG"/>
        <w:numPr>
          <w:ilvl w:val="0"/>
          <w:numId w:val="6"/>
        </w:numPr>
        <w:ind w:left="1134" w:firstLine="0"/>
      </w:pPr>
      <w:r w:rsidRPr="00CB4F2E">
        <w:t>En vertu du Décret n° 69/DF/544 du 19 décembre 1969 fixant l'organisation judiciaire et la procédure devant les juridictions traditionnelles au Cameroun oriental, modifié par le Décret n°71/DF/607 du 3 décembre 1971, les TPD, connaissent des procédures relatives à l'état des personnes, à l'état civil, au mariage, au divorce, à la filiation, aux successions et aux droits réels immobiliers</w:t>
      </w:r>
      <w:r w:rsidR="0027203C">
        <w:t>;</w:t>
      </w:r>
      <w:r w:rsidRPr="00CB4F2E">
        <w:t xml:space="preserve"> et les tribunaux coutumiers connaissent des différends d'ordre patrimonial et notamment les demandes de recouvrement de créances civiles et commerciales, des demandes en réparations des dommages matériels et corporels, et des litiges relatifs aux contrats. </w:t>
      </w:r>
    </w:p>
    <w:p w14:paraId="5010D9DD" w14:textId="77777777" w:rsidR="00ED20A7" w:rsidRDefault="0095476B" w:rsidP="0095476B">
      <w:pPr>
        <w:pStyle w:val="H4G"/>
        <w:rPr>
          <w:lang w:val="fr-FR"/>
        </w:rPr>
      </w:pPr>
      <w:r>
        <w:rPr>
          <w:lang w:val="fr-FR"/>
        </w:rPr>
        <w:tab/>
      </w:r>
      <w:r w:rsidR="0093676D" w:rsidRPr="00CB4F2E">
        <w:rPr>
          <w:lang w:val="fr-FR"/>
        </w:rPr>
        <w:t>d.</w:t>
      </w:r>
      <w:r>
        <w:rPr>
          <w:lang w:val="fr-FR"/>
        </w:rPr>
        <w:tab/>
      </w:r>
      <w:r w:rsidR="0093676D" w:rsidRPr="00CB4F2E">
        <w:rPr>
          <w:lang w:val="fr-FR"/>
        </w:rPr>
        <w:t xml:space="preserve">Les </w:t>
      </w:r>
      <w:proofErr w:type="spellStart"/>
      <w:r w:rsidR="0093676D" w:rsidRPr="00CB4F2E">
        <w:rPr>
          <w:lang w:val="fr-FR"/>
        </w:rPr>
        <w:t>Customary</w:t>
      </w:r>
      <w:proofErr w:type="spellEnd"/>
      <w:r w:rsidR="0093676D" w:rsidRPr="00CB4F2E">
        <w:rPr>
          <w:lang w:val="fr-FR"/>
        </w:rPr>
        <w:t xml:space="preserve"> Courts et </w:t>
      </w:r>
      <w:proofErr w:type="spellStart"/>
      <w:r w:rsidR="0093676D" w:rsidRPr="00CB4F2E">
        <w:rPr>
          <w:lang w:val="fr-FR"/>
        </w:rPr>
        <w:t>Alkhali</w:t>
      </w:r>
      <w:proofErr w:type="spellEnd"/>
      <w:r w:rsidR="0093676D" w:rsidRPr="00CB4F2E">
        <w:rPr>
          <w:lang w:val="fr-FR"/>
        </w:rPr>
        <w:t xml:space="preserve"> Courts</w:t>
      </w:r>
    </w:p>
    <w:p w14:paraId="7A7710E6" w14:textId="77777777" w:rsidR="00ED20A7" w:rsidRDefault="0093676D" w:rsidP="005F1D8A">
      <w:pPr>
        <w:pStyle w:val="SingleTxtG"/>
        <w:numPr>
          <w:ilvl w:val="0"/>
          <w:numId w:val="6"/>
        </w:numPr>
        <w:ind w:left="1134" w:firstLine="0"/>
      </w:pPr>
      <w:r w:rsidRPr="00CB4F2E">
        <w:t>Pour ce qui est des juridictions traditionnelles</w:t>
      </w:r>
      <w:r w:rsidRPr="00CB4F2E">
        <w:rPr>
          <w:rStyle w:val="FootnoteReference"/>
        </w:rPr>
        <w:footnoteReference w:id="30"/>
      </w:r>
      <w:r w:rsidRPr="00CB4F2E">
        <w:t xml:space="preserve"> de l'ex-Cameroun occidental (qui correspond à la partie anglophone du Cameroun), la Loi n°79/04 du 29 juin 1979 a rattaché des </w:t>
      </w:r>
      <w:proofErr w:type="spellStart"/>
      <w:r w:rsidRPr="00CB4F2E">
        <w:rPr>
          <w:i/>
          <w:iCs/>
        </w:rPr>
        <w:t>Customary</w:t>
      </w:r>
      <w:proofErr w:type="spellEnd"/>
      <w:r w:rsidRPr="00CB4F2E">
        <w:rPr>
          <w:i/>
          <w:iCs/>
        </w:rPr>
        <w:t xml:space="preserve"> Courts</w:t>
      </w:r>
      <w:r w:rsidRPr="00CB4F2E">
        <w:t xml:space="preserve"> et </w:t>
      </w:r>
      <w:proofErr w:type="spellStart"/>
      <w:r w:rsidRPr="00CB4F2E">
        <w:rPr>
          <w:i/>
          <w:iCs/>
        </w:rPr>
        <w:t>Alkhali</w:t>
      </w:r>
      <w:proofErr w:type="spellEnd"/>
      <w:r w:rsidRPr="00CB4F2E">
        <w:rPr>
          <w:i/>
          <w:iCs/>
        </w:rPr>
        <w:t xml:space="preserve"> Courts</w:t>
      </w:r>
      <w:r w:rsidRPr="00CB4F2E">
        <w:t xml:space="preserve"> au Ministère de la Justice. Ayant compétence en matière civile et créée par la « </w:t>
      </w:r>
      <w:proofErr w:type="spellStart"/>
      <w:r w:rsidRPr="00CB4F2E">
        <w:rPr>
          <w:i/>
          <w:iCs/>
        </w:rPr>
        <w:t>Customary</w:t>
      </w:r>
      <w:proofErr w:type="spellEnd"/>
      <w:r w:rsidRPr="00CB4F2E">
        <w:rPr>
          <w:i/>
          <w:iCs/>
        </w:rPr>
        <w:t xml:space="preserve"> Court </w:t>
      </w:r>
      <w:proofErr w:type="spellStart"/>
      <w:r w:rsidRPr="00CB4F2E">
        <w:rPr>
          <w:i/>
          <w:iCs/>
        </w:rPr>
        <w:t>Ordinance</w:t>
      </w:r>
      <w:proofErr w:type="spellEnd"/>
      <w:r w:rsidRPr="00CB4F2E">
        <w:rPr>
          <w:i/>
          <w:iCs/>
        </w:rPr>
        <w:t xml:space="preserve">, Cap. 142 of the Laws of the </w:t>
      </w:r>
      <w:proofErr w:type="spellStart"/>
      <w:r w:rsidRPr="00CB4F2E">
        <w:rPr>
          <w:i/>
          <w:iCs/>
        </w:rPr>
        <w:t>Federation</w:t>
      </w:r>
      <w:proofErr w:type="spellEnd"/>
      <w:r w:rsidRPr="00CB4F2E">
        <w:rPr>
          <w:i/>
          <w:iCs/>
        </w:rPr>
        <w:t xml:space="preserve"> of. Nigeria, 1948</w:t>
      </w:r>
      <w:r w:rsidRPr="00CB4F2E">
        <w:t xml:space="preserve"> », les </w:t>
      </w:r>
      <w:r w:rsidRPr="00CB4F2E">
        <w:rPr>
          <w:i/>
          <w:iCs/>
        </w:rPr>
        <w:t>Alkali Courts</w:t>
      </w:r>
      <w:r w:rsidRPr="00CB4F2E">
        <w:t xml:space="preserve"> appliquent les règles coutumières dans les différends où les musulmans sont intéressés, tandis que les </w:t>
      </w:r>
      <w:r w:rsidRPr="00CB4F2E">
        <w:rPr>
          <w:u w:val="single"/>
        </w:rPr>
        <w:t>_</w:t>
      </w:r>
      <w:proofErr w:type="spellStart"/>
      <w:r w:rsidRPr="00CB4F2E">
        <w:rPr>
          <w:i/>
          <w:iCs/>
        </w:rPr>
        <w:t>Customary</w:t>
      </w:r>
      <w:proofErr w:type="spellEnd"/>
      <w:r w:rsidRPr="00CB4F2E">
        <w:rPr>
          <w:i/>
          <w:iCs/>
        </w:rPr>
        <w:t xml:space="preserve"> Courts</w:t>
      </w:r>
      <w:r w:rsidRPr="00CB4F2E">
        <w:t xml:space="preserve"> connaissent des litiges intéressant les non-musulmans. Les </w:t>
      </w:r>
      <w:proofErr w:type="spellStart"/>
      <w:r w:rsidRPr="00CB4F2E">
        <w:rPr>
          <w:i/>
          <w:iCs/>
        </w:rPr>
        <w:t>Customary</w:t>
      </w:r>
      <w:proofErr w:type="spellEnd"/>
      <w:r w:rsidRPr="00CB4F2E">
        <w:rPr>
          <w:i/>
          <w:iCs/>
        </w:rPr>
        <w:t xml:space="preserve"> Courts</w:t>
      </w:r>
      <w:r w:rsidRPr="00CB4F2E">
        <w:t xml:space="preserve"> connaissent des réclamations n'excédant pas 69 200 FCFA</w:t>
      </w:r>
      <w:r w:rsidRPr="00CB4F2E">
        <w:rPr>
          <w:rStyle w:val="FootnoteReference"/>
        </w:rPr>
        <w:footnoteReference w:id="31"/>
      </w:r>
      <w:r w:rsidRPr="00CB4F2E">
        <w:t xml:space="preserve"> dans les affaires relatives aux successions, aux dispositions testamentaires, à l'administration des successions et à toutes les affaires matrimoniales liées aux mariages non chrétiens. </w:t>
      </w:r>
      <w:proofErr w:type="spellStart"/>
      <w:r w:rsidRPr="00CB4F2E">
        <w:t>A</w:t>
      </w:r>
      <w:proofErr w:type="spellEnd"/>
      <w:r w:rsidRPr="00CB4F2E">
        <w:t xml:space="preserve"> la différence qu’ils connaissent des réclamations n'excédant pas 138 400 francs FCFA</w:t>
      </w:r>
      <w:r w:rsidRPr="00CB4F2E">
        <w:rPr>
          <w:rStyle w:val="FootnoteReference"/>
        </w:rPr>
        <w:footnoteReference w:id="32"/>
      </w:r>
      <w:r w:rsidRPr="00CB4F2E">
        <w:t xml:space="preserve">, les </w:t>
      </w:r>
      <w:proofErr w:type="spellStart"/>
      <w:r w:rsidRPr="00CB4F2E">
        <w:rPr>
          <w:i/>
          <w:iCs/>
        </w:rPr>
        <w:t>Alkhali</w:t>
      </w:r>
      <w:proofErr w:type="spellEnd"/>
      <w:r w:rsidRPr="00CB4F2E">
        <w:rPr>
          <w:i/>
          <w:iCs/>
        </w:rPr>
        <w:t xml:space="preserve"> Courts</w:t>
      </w:r>
      <w:r w:rsidRPr="00CB4F2E">
        <w:t xml:space="preserve"> ont une compétence similaire. Leurs décisions peuvent être frappées d’appel.</w:t>
      </w:r>
    </w:p>
    <w:p w14:paraId="33AE7862" w14:textId="77777777" w:rsidR="00ED20A7" w:rsidRDefault="00B601E4" w:rsidP="0095476B">
      <w:pPr>
        <w:pStyle w:val="H4G"/>
      </w:pPr>
      <w:r>
        <w:rPr>
          <w:lang w:val="fr-FR"/>
        </w:rPr>
        <w:tab/>
      </w:r>
      <w:r w:rsidR="0093676D" w:rsidRPr="00CB4F2E">
        <w:rPr>
          <w:lang w:val="fr-FR"/>
        </w:rPr>
        <w:t>e.</w:t>
      </w:r>
      <w:r>
        <w:rPr>
          <w:lang w:val="fr-FR"/>
        </w:rPr>
        <w:tab/>
      </w:r>
      <w:r w:rsidR="0093676D" w:rsidRPr="00CB4F2E">
        <w:rPr>
          <w:lang w:val="fr-FR"/>
        </w:rPr>
        <w:t xml:space="preserve">Les </w:t>
      </w:r>
      <w:r w:rsidR="0093676D" w:rsidRPr="00CB4F2E">
        <w:t>Cours d’Appel</w:t>
      </w:r>
    </w:p>
    <w:p w14:paraId="51885F0A" w14:textId="77777777" w:rsidR="00ED20A7" w:rsidRDefault="0093676D" w:rsidP="005F1D8A">
      <w:pPr>
        <w:pStyle w:val="SingleTxtG"/>
        <w:numPr>
          <w:ilvl w:val="0"/>
          <w:numId w:val="6"/>
        </w:numPr>
        <w:ind w:left="1134" w:firstLine="0"/>
      </w:pPr>
      <w:r w:rsidRPr="00CB4F2E">
        <w:t>Les Cours d’Appel connaissent en appel des décisions rendues par les TPI, les TGI, les tribunaux militaires et les juridictions traditionnelles.</w:t>
      </w:r>
    </w:p>
    <w:p w14:paraId="32C1CB96" w14:textId="77777777" w:rsidR="00ED20A7" w:rsidRDefault="00B601E4" w:rsidP="00B601E4">
      <w:pPr>
        <w:pStyle w:val="H4G"/>
      </w:pPr>
      <w:r>
        <w:rPr>
          <w:lang w:val="fr-FR"/>
        </w:rPr>
        <w:tab/>
      </w:r>
      <w:r w:rsidR="0093676D" w:rsidRPr="00CB4F2E">
        <w:rPr>
          <w:lang w:val="fr-FR"/>
        </w:rPr>
        <w:t>f.</w:t>
      </w:r>
      <w:r>
        <w:rPr>
          <w:lang w:val="fr-FR"/>
        </w:rPr>
        <w:tab/>
      </w:r>
      <w:r w:rsidR="0093676D" w:rsidRPr="00CB4F2E">
        <w:rPr>
          <w:lang w:val="fr-FR"/>
        </w:rPr>
        <w:t xml:space="preserve">Le </w:t>
      </w:r>
      <w:r w:rsidR="0093676D" w:rsidRPr="00CB4F2E">
        <w:t>Tribunal Criminel Spécial</w:t>
      </w:r>
    </w:p>
    <w:p w14:paraId="4C5B35D7" w14:textId="77777777" w:rsidR="00ED20A7" w:rsidRDefault="0093676D" w:rsidP="005F1D8A">
      <w:pPr>
        <w:pStyle w:val="SingleTxtG"/>
        <w:numPr>
          <w:ilvl w:val="0"/>
          <w:numId w:val="6"/>
        </w:numPr>
        <w:ind w:left="1134" w:firstLine="0"/>
      </w:pPr>
      <w:r w:rsidRPr="00CB4F2E">
        <w:t>Créé par la Loi n°2011/028 du 14 décembre 2011 modifiée et complétée par celle n° 2012/011 du 16 juillet 2012, le TCS est compétent pour connaître des infractions de détournement de biens publics d’un montant supérieur ou égal à 50 000 000 FCFA</w:t>
      </w:r>
      <w:r w:rsidRPr="00CB4F2E">
        <w:rPr>
          <w:rStyle w:val="FootnoteReference"/>
        </w:rPr>
        <w:footnoteReference w:id="33"/>
      </w:r>
      <w:r w:rsidRPr="00CB4F2E">
        <w:t xml:space="preserve"> ainsi que des infractions connexes. Ses décisions sont susceptibles de pourvoi en cassation. </w:t>
      </w:r>
    </w:p>
    <w:p w14:paraId="5CCB2025" w14:textId="77777777" w:rsidR="00ED20A7" w:rsidRDefault="00B601E4" w:rsidP="00B601E4">
      <w:pPr>
        <w:pStyle w:val="H4G"/>
      </w:pPr>
      <w:r>
        <w:tab/>
      </w:r>
      <w:r w:rsidR="0093676D" w:rsidRPr="00CB4F2E">
        <w:t>g.</w:t>
      </w:r>
      <w:r>
        <w:tab/>
      </w:r>
      <w:r w:rsidR="0093676D" w:rsidRPr="00CB4F2E">
        <w:t>Les Tribunaux Militaires</w:t>
      </w:r>
    </w:p>
    <w:p w14:paraId="314C69F5" w14:textId="77777777" w:rsidR="00ED20A7" w:rsidRDefault="0093676D" w:rsidP="005F1D8A">
      <w:pPr>
        <w:pStyle w:val="SingleTxtG"/>
        <w:numPr>
          <w:ilvl w:val="0"/>
          <w:numId w:val="6"/>
        </w:numPr>
        <w:ind w:left="1134" w:firstLine="0"/>
      </w:pPr>
      <w:r w:rsidRPr="00CB4F2E">
        <w:t>Conformément à l’article 8 de la Loi n°2017/012 du 12 juillet 2017 portant Code de Justice Militaire (CJM), les Tribunaux Militaires, qui relèvent du Ministère de la Défense-MINDEF (</w:t>
      </w:r>
      <w:hyperlink r:id="rId36" w:history="1">
        <w:r w:rsidRPr="00CB4F2E">
          <w:rPr>
            <w:rStyle w:val="Hyperlink"/>
          </w:rPr>
          <w:t>https://mindef.gov.cm/</w:t>
        </w:r>
      </w:hyperlink>
      <w:r w:rsidRPr="00CB4F2E">
        <w:t xml:space="preserve">) sont compétents pour connaître, entre autres, des infractions militaires, des crimes de guerre, des crimes contre l’humanité, du crime de génocide, des infractions de toute nature commises par les militaires avec ou sans </w:t>
      </w:r>
      <w:proofErr w:type="spellStart"/>
      <w:r w:rsidRPr="00CB4F2E">
        <w:t>coauteur</w:t>
      </w:r>
      <w:proofErr w:type="spellEnd"/>
      <w:r w:rsidRPr="00CB4F2E">
        <w:t xml:space="preserve"> ou complice civil dans un établissement militaire ou dans le cadre de l’exercice de leurs fonctions, des infractions à la législation sur les armes de guerre et de défense, des vols avec port d’armes à feu, des infractions de toute nature où se trouve impliqué un militaire en temps de guerre ou dans une région soumise à l’état d’urgence ou l’état d’exception. En outre, ils ont la compétence exclusive en matière de terrorisme en vertu de la Loi n° 2014/028 du 23 décembre 2014 portant répression des actes de terrorisme. Leurs décisions peuvent faire l’objet d’appel devant les cours d’appel. </w:t>
      </w:r>
    </w:p>
    <w:p w14:paraId="3E449133" w14:textId="77777777" w:rsidR="00ED20A7" w:rsidRDefault="0093676D" w:rsidP="005F1D8A">
      <w:pPr>
        <w:pStyle w:val="SingleTxtG"/>
        <w:numPr>
          <w:ilvl w:val="0"/>
          <w:numId w:val="6"/>
        </w:numPr>
        <w:ind w:left="1134" w:firstLine="0"/>
      </w:pPr>
      <w:r w:rsidRPr="00CB4F2E">
        <w:rPr>
          <w:i/>
          <w:iCs/>
        </w:rPr>
        <w:t xml:space="preserve">Il convient cependant de préciser que les mineurs ne sont pas justiciables des tribunaux militaires. En effet, aux termes de l’article 713 du CPP, </w:t>
      </w:r>
      <w:r w:rsidRPr="00CB4F2E">
        <w:t xml:space="preserve">le TPI, statuant en matière de délinquance juvénile, est seul compétent pour connaître de tous les crimes, délits et contraventions commis par le mineur âgé de plus de dix (10) ans et de moins de dix-huit (18) </w:t>
      </w:r>
      <w:r w:rsidRPr="00CB4F2E">
        <w:lastRenderedPageBreak/>
        <w:t xml:space="preserve">ans. Abondant dans le même sens, l’article 9 du CJM précise que les mineurs de 18 ans sont justiciables des juridictions compétentes en matière de délinquance juvénile. </w:t>
      </w:r>
    </w:p>
    <w:p w14:paraId="4FD7857F" w14:textId="77777777" w:rsidR="00ED20A7" w:rsidRDefault="00B601E4" w:rsidP="00B601E4">
      <w:pPr>
        <w:pStyle w:val="H4G"/>
      </w:pPr>
      <w:r>
        <w:rPr>
          <w:lang w:val="fr-FR"/>
        </w:rPr>
        <w:tab/>
      </w:r>
      <w:r w:rsidR="0093676D" w:rsidRPr="00CB4F2E">
        <w:rPr>
          <w:lang w:val="fr-FR"/>
        </w:rPr>
        <w:t>h.</w:t>
      </w:r>
      <w:r>
        <w:rPr>
          <w:lang w:val="fr-FR"/>
        </w:rPr>
        <w:tab/>
      </w:r>
      <w:r w:rsidR="0093676D" w:rsidRPr="00CB4F2E">
        <w:rPr>
          <w:lang w:val="fr-FR"/>
        </w:rPr>
        <w:t xml:space="preserve">La </w:t>
      </w:r>
      <w:r w:rsidR="0093676D" w:rsidRPr="00CB4F2E">
        <w:t>Chambre judiciaire de la Cour Suprême</w:t>
      </w:r>
    </w:p>
    <w:p w14:paraId="42CECCA3" w14:textId="1D73EC0A" w:rsidR="0093676D" w:rsidRPr="00CB4F2E" w:rsidRDefault="0093676D" w:rsidP="005F1D8A">
      <w:pPr>
        <w:pStyle w:val="SingleTxtG"/>
        <w:numPr>
          <w:ilvl w:val="0"/>
          <w:numId w:val="6"/>
        </w:numPr>
        <w:ind w:left="1134" w:firstLine="0"/>
      </w:pPr>
      <w:r w:rsidRPr="00CB4F2E">
        <w:t xml:space="preserve">Assortie d’une section de la </w:t>
      </w:r>
      <w:r w:rsidRPr="00CB4F2E">
        <w:rPr>
          <w:i/>
          <w:iCs/>
        </w:rPr>
        <w:t>Common Law</w:t>
      </w:r>
      <w:r w:rsidRPr="00CB4F2E">
        <w:t>, elle est compétente pour connaître des décisions rendues en dernier ressort par les Cours et Tribunaux en matière civile, commerciale, pénale, sociale et de droit traditionnel</w:t>
      </w:r>
      <w:r w:rsidR="0027203C">
        <w:t>;</w:t>
      </w:r>
      <w:r w:rsidRPr="00CB4F2E">
        <w:t xml:space="preserve"> des actes juridictionnels émanant des juridictions inférieures et devenus définitifs, dans tous les cas où l'application du droit est en cause</w:t>
      </w:r>
      <w:r w:rsidR="0027203C">
        <w:t>;</w:t>
      </w:r>
      <w:r w:rsidRPr="00CB4F2E">
        <w:t xml:space="preserve"> et des demandes de mise en liberté en cas de pourvoi recevable. </w:t>
      </w:r>
    </w:p>
    <w:p w14:paraId="128D6707" w14:textId="00337C31" w:rsidR="0093676D" w:rsidRPr="00CB4F2E" w:rsidRDefault="00B601E4" w:rsidP="00B601E4">
      <w:pPr>
        <w:pStyle w:val="H1G"/>
      </w:pPr>
      <w:bookmarkStart w:id="65" w:name="_Toc210646330"/>
      <w:r>
        <w:tab/>
      </w:r>
      <w:r w:rsidR="00746D93">
        <w:tab/>
      </w:r>
      <w:r w:rsidR="0093676D" w:rsidRPr="00CB4F2E">
        <w:t>Les juridictions de l’ordre administratif</w:t>
      </w:r>
      <w:bookmarkEnd w:id="65"/>
    </w:p>
    <w:p w14:paraId="51FA6C9A" w14:textId="77777777" w:rsidR="00ED20A7" w:rsidRDefault="00070C07" w:rsidP="00070C07">
      <w:pPr>
        <w:pStyle w:val="H23G"/>
      </w:pPr>
      <w:r>
        <w:tab/>
      </w:r>
      <w:r w:rsidRPr="00CB4F2E">
        <w:t>a.</w:t>
      </w:r>
      <w:r w:rsidRPr="00CB4F2E">
        <w:tab/>
      </w:r>
      <w:r w:rsidR="0093676D" w:rsidRPr="00CB4F2E">
        <w:t>Les Tribunaux Administratifs</w:t>
      </w:r>
    </w:p>
    <w:p w14:paraId="00F42272" w14:textId="77777777" w:rsidR="00ED20A7" w:rsidRDefault="0093676D" w:rsidP="005F1D8A">
      <w:pPr>
        <w:pStyle w:val="SingleTxtG"/>
        <w:numPr>
          <w:ilvl w:val="0"/>
          <w:numId w:val="6"/>
        </w:numPr>
        <w:ind w:left="1134" w:firstLine="0"/>
      </w:pPr>
      <w:r w:rsidRPr="00CB4F2E">
        <w:t xml:space="preserve">La Loi n°2006/022 du 29 décembre 2006 a créé 10 Tribunaux Administratifs, soit un par Région, dans l’optique de rapprocher la justice administrative des justiciables. </w:t>
      </w:r>
      <w:r w:rsidRPr="00CB4F2E">
        <w:rPr>
          <w:i/>
          <w:iCs/>
        </w:rPr>
        <w:t>En vertu de cette loi</w:t>
      </w:r>
      <w:r w:rsidRPr="00CB4F2E">
        <w:t>, ils connaissent en premier ressort, du contentieux des élections régionales et municipales et en dernier ressort, de l’ensemble du contentieux administratif concernant l’</w:t>
      </w:r>
      <w:proofErr w:type="spellStart"/>
      <w:r w:rsidRPr="00CB4F2E">
        <w:t>Etat</w:t>
      </w:r>
      <w:proofErr w:type="spellEnd"/>
      <w:r w:rsidRPr="00CB4F2E">
        <w:t>, les collectivités publiques territoriales décentralisées et les établissements publics administratifs. Leurs décisions sont susceptibles, selon les cas, de pourvoi ou d’appel devant la Chambre Administrative de la Cour Suprême.</w:t>
      </w:r>
    </w:p>
    <w:p w14:paraId="623FB92C" w14:textId="77777777" w:rsidR="00ED20A7" w:rsidRDefault="00070C07" w:rsidP="00070C07">
      <w:pPr>
        <w:pStyle w:val="H23G"/>
      </w:pPr>
      <w:r>
        <w:tab/>
      </w:r>
      <w:r w:rsidR="0093676D" w:rsidRPr="00CB4F2E">
        <w:t>b.</w:t>
      </w:r>
      <w:r>
        <w:tab/>
      </w:r>
      <w:r w:rsidR="0093676D" w:rsidRPr="00CB4F2E">
        <w:t>La Chambre Administrative de la Cour Suprême</w:t>
      </w:r>
    </w:p>
    <w:p w14:paraId="50596C7A" w14:textId="28814E0B" w:rsidR="0093676D" w:rsidRPr="00CB4F2E" w:rsidRDefault="0093676D" w:rsidP="005F1D8A">
      <w:pPr>
        <w:pStyle w:val="SingleTxtG"/>
        <w:numPr>
          <w:ilvl w:val="0"/>
          <w:numId w:val="6"/>
        </w:numPr>
        <w:ind w:left="1134" w:firstLine="0"/>
      </w:pPr>
      <w:r w:rsidRPr="00CB4F2E">
        <w:t>Elle est compétente pour connaître : des appels formés contre les décisions rendues en matière de contentieux des élections régionales et municipales</w:t>
      </w:r>
      <w:r w:rsidR="0027203C">
        <w:t>;</w:t>
      </w:r>
      <w:r w:rsidRPr="00CB4F2E">
        <w:t xml:space="preserve"> des pourvois formés contre les décisions rendues en dernier ressort par les juridictions inférieures en matière de contentieux administratif</w:t>
      </w:r>
      <w:r w:rsidR="0027203C">
        <w:t>;</w:t>
      </w:r>
      <w:r w:rsidRPr="00CB4F2E">
        <w:t xml:space="preserve"> et des exceptions préjudicielles soulevées en matière de voie de fait et d'emprise devant les juridictions inférieures en matière de contentieux administratif.</w:t>
      </w:r>
    </w:p>
    <w:p w14:paraId="06403CD5" w14:textId="45CF9D47" w:rsidR="00ED20A7" w:rsidRDefault="001479D4" w:rsidP="001479D4">
      <w:pPr>
        <w:pStyle w:val="H4G"/>
      </w:pPr>
      <w:bookmarkStart w:id="66" w:name="_Toc210646331"/>
      <w:r>
        <w:tab/>
      </w:r>
      <w:r>
        <w:tab/>
      </w:r>
      <w:r w:rsidR="0093676D" w:rsidRPr="00CB4F2E">
        <w:t>Les juridictions de l’ordre des comptes</w:t>
      </w:r>
      <w:bookmarkEnd w:id="66"/>
    </w:p>
    <w:p w14:paraId="0BDF0CCC" w14:textId="1D54D815" w:rsidR="0093676D" w:rsidRPr="00CB4F2E" w:rsidRDefault="0093676D" w:rsidP="005F1D8A">
      <w:pPr>
        <w:pStyle w:val="SingleTxtG"/>
        <w:numPr>
          <w:ilvl w:val="0"/>
          <w:numId w:val="6"/>
        </w:numPr>
        <w:ind w:left="1134" w:firstLine="0"/>
      </w:pPr>
      <w:r w:rsidRPr="00CB4F2E">
        <w:t>Outre les juridictions inférieures en matière des comptes (non encore opérationnelles), la Chambre des Comptes (</w:t>
      </w:r>
      <w:hyperlink r:id="rId37" w:history="1">
        <w:r w:rsidRPr="00CB4F2E">
          <w:rPr>
            <w:rStyle w:val="Hyperlink"/>
          </w:rPr>
          <w:t>https://chambredescomptes.cm/</w:t>
        </w:r>
      </w:hyperlink>
      <w:r w:rsidRPr="00CB4F2E">
        <w:t>) est compétente pour : contrôler et juger les comptes de l'</w:t>
      </w:r>
      <w:proofErr w:type="spellStart"/>
      <w:r w:rsidRPr="00CB4F2E">
        <w:t>Etat</w:t>
      </w:r>
      <w:proofErr w:type="spellEnd"/>
      <w:r w:rsidRPr="00CB4F2E">
        <w:t xml:space="preserve"> et des entreprises publiques et parapubliques</w:t>
      </w:r>
      <w:r w:rsidR="0027203C">
        <w:t>;</w:t>
      </w:r>
      <w:r w:rsidRPr="00CB4F2E">
        <w:t xml:space="preserve"> statuer souverainement sur les décisions rendues en dernier ressort par les juridictions inférieures des Comptes</w:t>
      </w:r>
      <w:r w:rsidR="0027203C">
        <w:t>;</w:t>
      </w:r>
      <w:r w:rsidRPr="00CB4F2E">
        <w:t xml:space="preserve"> donner son avis sur les projets de loi de règlement présentés au parlement</w:t>
      </w:r>
      <w:r w:rsidR="0027203C">
        <w:t>;</w:t>
      </w:r>
      <w:r w:rsidRPr="00CB4F2E">
        <w:t xml:space="preserve"> et élaborer et publier le rapport annuel des comptes de l’</w:t>
      </w:r>
      <w:proofErr w:type="spellStart"/>
      <w:r w:rsidRPr="00CB4F2E">
        <w:t>Etat</w:t>
      </w:r>
      <w:proofErr w:type="spellEnd"/>
      <w:r w:rsidRPr="00CB4F2E">
        <w:t xml:space="preserve"> adressé au Président de la République.</w:t>
      </w:r>
    </w:p>
    <w:p w14:paraId="06FAB465" w14:textId="5CE3F0C2" w:rsidR="0093676D" w:rsidRPr="00CB4F2E" w:rsidRDefault="001479D4" w:rsidP="008A6363">
      <w:pPr>
        <w:pStyle w:val="H1G"/>
      </w:pPr>
      <w:bookmarkStart w:id="67" w:name="_Toc210646332"/>
      <w:r>
        <w:tab/>
      </w:r>
      <w:r>
        <w:tab/>
      </w:r>
      <w:r w:rsidR="0093676D" w:rsidRPr="00CB4F2E">
        <w:t>Les juridictions non rattachées à un ordre juridictionnel</w:t>
      </w:r>
      <w:bookmarkEnd w:id="67"/>
    </w:p>
    <w:p w14:paraId="5AE748B4" w14:textId="256A327E" w:rsidR="0093676D" w:rsidRPr="00CB4F2E" w:rsidRDefault="00C959F9" w:rsidP="00C959F9">
      <w:pPr>
        <w:pStyle w:val="H23G"/>
        <w:ind w:left="1210" w:hanging="850"/>
        <w:rPr>
          <w:lang w:val="fr-CM"/>
        </w:rPr>
      </w:pPr>
      <w:r>
        <w:rPr>
          <w:lang w:val="fr-CM"/>
        </w:rPr>
        <w:tab/>
      </w:r>
      <w:r w:rsidRPr="00CB4F2E">
        <w:rPr>
          <w:lang w:val="fr-CM"/>
        </w:rPr>
        <w:t>a.</w:t>
      </w:r>
      <w:r w:rsidRPr="00CB4F2E">
        <w:rPr>
          <w:lang w:val="fr-CM"/>
        </w:rPr>
        <w:tab/>
      </w:r>
      <w:r w:rsidR="0093676D" w:rsidRPr="00CB4F2E">
        <w:rPr>
          <w:lang w:val="fr-CM"/>
        </w:rPr>
        <w:t>Le Conseil Constitutionnel</w:t>
      </w:r>
    </w:p>
    <w:p w14:paraId="75DCFC33" w14:textId="5ABA4E61" w:rsidR="0093676D" w:rsidRPr="00CB4F2E" w:rsidRDefault="0093676D" w:rsidP="005F1D8A">
      <w:pPr>
        <w:pStyle w:val="SingleTxtG"/>
        <w:numPr>
          <w:ilvl w:val="0"/>
          <w:numId w:val="6"/>
        </w:numPr>
        <w:ind w:left="1134" w:firstLine="0"/>
        <w:rPr>
          <w:lang w:val="fr-CM"/>
        </w:rPr>
      </w:pPr>
      <w:r w:rsidRPr="00CB4F2E">
        <w:rPr>
          <w:lang w:val="fr-CM"/>
        </w:rPr>
        <w:t>Créé par la Constitution du 18 janvier 1996, il est l’instance compétente pour statuer sur la constitutionnalité des lois, traités et accords internationaux</w:t>
      </w:r>
      <w:r w:rsidR="0027203C">
        <w:rPr>
          <w:lang w:val="fr-CM"/>
        </w:rPr>
        <w:t>;</w:t>
      </w:r>
      <w:r w:rsidRPr="00CB4F2E">
        <w:rPr>
          <w:lang w:val="fr-CM"/>
        </w:rPr>
        <w:t xml:space="preserve"> la conformité à la Constitution des règlements intérieurs de l’Assemblée Nationale et du Sénat</w:t>
      </w:r>
      <w:r w:rsidR="0027203C">
        <w:rPr>
          <w:lang w:val="fr-CM"/>
        </w:rPr>
        <w:t>;</w:t>
      </w:r>
      <w:r w:rsidRPr="00CB4F2E">
        <w:rPr>
          <w:lang w:val="fr-CM"/>
        </w:rPr>
        <w:t xml:space="preserve"> les conflits d’attribution entre les institutions de l’</w:t>
      </w:r>
      <w:proofErr w:type="spellStart"/>
      <w:r w:rsidRPr="00CB4F2E">
        <w:rPr>
          <w:lang w:val="fr-CM"/>
        </w:rPr>
        <w:t>Etat</w:t>
      </w:r>
      <w:proofErr w:type="spellEnd"/>
      <w:r w:rsidRPr="00CB4F2E">
        <w:rPr>
          <w:lang w:val="fr-CM"/>
        </w:rPr>
        <w:t>, entre l’</w:t>
      </w:r>
      <w:proofErr w:type="spellStart"/>
      <w:r w:rsidRPr="00CB4F2E">
        <w:rPr>
          <w:lang w:val="fr-CM"/>
        </w:rPr>
        <w:t>Etat</w:t>
      </w:r>
      <w:proofErr w:type="spellEnd"/>
      <w:r w:rsidRPr="00CB4F2E">
        <w:rPr>
          <w:lang w:val="fr-CM"/>
        </w:rPr>
        <w:t xml:space="preserve"> et les régions ou entre les régions. En outre, Il veille à la régularité de l’élection présidentielle, des élections parlementaires et des consultations référendaires. </w:t>
      </w:r>
    </w:p>
    <w:p w14:paraId="2CAA17FD" w14:textId="7B119EE6" w:rsidR="00ED20A7" w:rsidRDefault="0093676D" w:rsidP="005F1D8A">
      <w:pPr>
        <w:pStyle w:val="SingleTxtG"/>
        <w:numPr>
          <w:ilvl w:val="0"/>
          <w:numId w:val="6"/>
        </w:numPr>
        <w:ind w:left="1134" w:firstLine="0"/>
        <w:rPr>
          <w:lang w:val="fr-CM"/>
        </w:rPr>
      </w:pPr>
      <w:r w:rsidRPr="00CB4F2E">
        <w:rPr>
          <w:lang w:val="fr-CM"/>
        </w:rPr>
        <w:t>De la date de sa création jusqu’en</w:t>
      </w:r>
      <w:r w:rsidR="0027203C">
        <w:rPr>
          <w:lang w:val="fr-CM"/>
        </w:rPr>
        <w:t xml:space="preserve"> </w:t>
      </w:r>
      <w:r w:rsidRPr="00CB4F2E">
        <w:rPr>
          <w:lang w:val="fr-CM"/>
        </w:rPr>
        <w:t xml:space="preserve">février 2018, ses attributions étaient exercées par la Cour Suprême. Le Conseil </w:t>
      </w:r>
      <w:r w:rsidRPr="00CB4F2E">
        <w:t>Constitutionnel</w:t>
      </w:r>
      <w:r w:rsidRPr="00CB4F2E">
        <w:rPr>
          <w:lang w:val="fr-CM"/>
        </w:rPr>
        <w:t xml:space="preserve"> est entré en fonctionnement à la suite des Décrets n° 2018/104 du 7 février 2018 portant organisation et fonctionnement du Secrétariat général du Conseil constitutionnel et n° 2018/105 du 7 février 2018 portant nomination des Membres du Conseil Constitutionnel. </w:t>
      </w:r>
    </w:p>
    <w:p w14:paraId="48482E42" w14:textId="430A9834" w:rsidR="0093676D" w:rsidRPr="00CB4F2E" w:rsidRDefault="00362B48" w:rsidP="00362B48">
      <w:pPr>
        <w:pStyle w:val="H23G"/>
        <w:rPr>
          <w:lang w:val="fr-CM"/>
        </w:rPr>
      </w:pPr>
      <w:r>
        <w:rPr>
          <w:lang w:val="fr-CM"/>
        </w:rPr>
        <w:tab/>
      </w:r>
      <w:r w:rsidR="0093676D" w:rsidRPr="00CB4F2E">
        <w:rPr>
          <w:lang w:val="fr-CM"/>
        </w:rPr>
        <w:t>b.</w:t>
      </w:r>
      <w:r>
        <w:rPr>
          <w:lang w:val="fr-CM"/>
        </w:rPr>
        <w:tab/>
      </w:r>
      <w:r w:rsidR="0093676D" w:rsidRPr="00CB4F2E">
        <w:rPr>
          <w:lang w:val="fr-CM"/>
        </w:rPr>
        <w:t>La Haute Cour de Justice</w:t>
      </w:r>
    </w:p>
    <w:p w14:paraId="2D390497" w14:textId="77777777" w:rsidR="00ED20A7" w:rsidRDefault="0093676D" w:rsidP="005F1D8A">
      <w:pPr>
        <w:pStyle w:val="SingleTxtG"/>
        <w:numPr>
          <w:ilvl w:val="0"/>
          <w:numId w:val="6"/>
        </w:numPr>
        <w:ind w:left="1134" w:firstLine="0"/>
      </w:pPr>
      <w:r w:rsidRPr="00CB4F2E">
        <w:t xml:space="preserve">Prévue par l’article 53 de la Constitution, elle est compétente pour juger les actes accomplis dans l’exercice de leurs fonctions par le Président de la République en cas de haute </w:t>
      </w:r>
      <w:r w:rsidRPr="00CB4F2E">
        <w:lastRenderedPageBreak/>
        <w:t>trahison, et par le Premier Ministre, les autres membres du Gouvernement et assimilés, les hauts responsables de l’administration ayant reçu délégation de pouvoirs en cas de complot contre la sûreté de l’</w:t>
      </w:r>
      <w:proofErr w:type="spellStart"/>
      <w:r w:rsidRPr="00CB4F2E">
        <w:t>Etat</w:t>
      </w:r>
      <w:proofErr w:type="spellEnd"/>
      <w:r w:rsidRPr="00CB4F2E">
        <w:t>.</w:t>
      </w:r>
    </w:p>
    <w:p w14:paraId="5CD97928" w14:textId="15EE0FF3" w:rsidR="00ED20A7" w:rsidRDefault="00362B48" w:rsidP="0093676D">
      <w:r>
        <w:rPr>
          <w:b/>
          <w:bCs/>
        </w:rPr>
        <w:tab/>
      </w:r>
      <w:r w:rsidR="0093676D" w:rsidRPr="00CB4F2E">
        <w:rPr>
          <w:b/>
          <w:bCs/>
        </w:rPr>
        <w:t>c.</w:t>
      </w:r>
      <w:r>
        <w:rPr>
          <w:b/>
          <w:bCs/>
        </w:rPr>
        <w:tab/>
      </w:r>
      <w:r w:rsidR="0093676D" w:rsidRPr="00CB4F2E">
        <w:rPr>
          <w:b/>
          <w:bCs/>
        </w:rPr>
        <w:t>La Cour de Sûreté de l’</w:t>
      </w:r>
      <w:proofErr w:type="spellStart"/>
      <w:r w:rsidR="0093676D" w:rsidRPr="00CB4F2E">
        <w:rPr>
          <w:b/>
          <w:bCs/>
        </w:rPr>
        <w:t>Etat</w:t>
      </w:r>
      <w:proofErr w:type="spellEnd"/>
      <w:r w:rsidR="0093676D" w:rsidRPr="00CB4F2E">
        <w:t xml:space="preserve"> </w:t>
      </w:r>
    </w:p>
    <w:p w14:paraId="364DF80F" w14:textId="19FEBE5B" w:rsidR="0093676D" w:rsidRPr="00CB4F2E" w:rsidRDefault="0093676D" w:rsidP="005F1D8A">
      <w:pPr>
        <w:pStyle w:val="SingleTxtG"/>
        <w:numPr>
          <w:ilvl w:val="0"/>
          <w:numId w:val="6"/>
        </w:numPr>
        <w:ind w:left="1134" w:firstLine="0"/>
      </w:pPr>
      <w:r w:rsidRPr="00CB4F2E">
        <w:t>La Loi n</w:t>
      </w:r>
      <w:r w:rsidRPr="00CB4F2E">
        <w:rPr>
          <w:vertAlign w:val="superscript"/>
        </w:rPr>
        <w:t>o</w:t>
      </w:r>
      <w:r w:rsidRPr="00CB4F2E">
        <w:t> 90/060 du 19 décembre 1990 qui la crée et l’organise, lui attribue la compétence pour juger des atteintes à la sûreté intérieure</w:t>
      </w:r>
      <w:r w:rsidRPr="00CB4F2E">
        <w:rPr>
          <w:rStyle w:val="FootnoteReference"/>
        </w:rPr>
        <w:footnoteReference w:id="34"/>
      </w:r>
      <w:r w:rsidRPr="00CB4F2E">
        <w:t xml:space="preserve"> et extérieure</w:t>
      </w:r>
      <w:r w:rsidRPr="00CB4F2E">
        <w:rPr>
          <w:rStyle w:val="FootnoteReference"/>
        </w:rPr>
        <w:footnoteReference w:id="35"/>
      </w:r>
      <w:r w:rsidRPr="00CB4F2E">
        <w:t xml:space="preserve"> de l’</w:t>
      </w:r>
      <w:proofErr w:type="spellStart"/>
      <w:r w:rsidRPr="00CB4F2E">
        <w:t>Etat</w:t>
      </w:r>
      <w:proofErr w:type="spellEnd"/>
      <w:r w:rsidRPr="00CB4F2E">
        <w:t xml:space="preserve">, ainsi que des infractions connexes. Elle n’a pas compétence pour juger les mineurs de 14 ans. </w:t>
      </w:r>
    </w:p>
    <w:p w14:paraId="1CECF090" w14:textId="7032CD86" w:rsidR="00ED20A7" w:rsidRDefault="00362B48" w:rsidP="00F65A9F">
      <w:pPr>
        <w:pStyle w:val="H23G"/>
        <w:rPr>
          <w:i/>
        </w:rPr>
      </w:pPr>
      <w:bookmarkStart w:id="68" w:name="_Toc210209112"/>
      <w:bookmarkStart w:id="69" w:name="_Toc210646333"/>
      <w:r>
        <w:tab/>
      </w:r>
      <w:r w:rsidR="0093676D" w:rsidRPr="00CB4F2E">
        <w:t>E.</w:t>
      </w:r>
      <w:r>
        <w:tab/>
      </w:r>
      <w:r w:rsidR="0093676D" w:rsidRPr="00CB4F2E">
        <w:t>Le système administratif</w:t>
      </w:r>
      <w:bookmarkEnd w:id="68"/>
      <w:bookmarkEnd w:id="69"/>
    </w:p>
    <w:p w14:paraId="2B7F017B" w14:textId="2946D1D7" w:rsidR="0093676D" w:rsidRPr="00CB4F2E" w:rsidRDefault="0093676D" w:rsidP="005F1D8A">
      <w:pPr>
        <w:pStyle w:val="SingleTxtG"/>
        <w:numPr>
          <w:ilvl w:val="0"/>
          <w:numId w:val="6"/>
        </w:numPr>
        <w:ind w:left="1134" w:firstLine="0"/>
      </w:pPr>
      <w:r w:rsidRPr="00CB4F2E">
        <w:t>Le système administratif camerounais fait coexister les 3 grands modèles d’organisation administrative : la centralisation, la déconcentration et la décentralisation.</w:t>
      </w:r>
    </w:p>
    <w:p w14:paraId="42688C7F" w14:textId="1AEF1204" w:rsidR="0093676D" w:rsidRPr="00CB4F2E" w:rsidRDefault="004D1400" w:rsidP="004D1400">
      <w:pPr>
        <w:pStyle w:val="H4G"/>
      </w:pPr>
      <w:bookmarkStart w:id="70" w:name="_Toc210646334"/>
      <w:r>
        <w:tab/>
      </w:r>
      <w:r>
        <w:tab/>
      </w:r>
      <w:r w:rsidR="0093676D" w:rsidRPr="00CB4F2E">
        <w:t>L’Administration centrale</w:t>
      </w:r>
      <w:bookmarkEnd w:id="70"/>
    </w:p>
    <w:p w14:paraId="3FE2C28C" w14:textId="77777777" w:rsidR="0093676D" w:rsidRPr="00CB4F2E" w:rsidRDefault="0093676D" w:rsidP="005F1D8A">
      <w:pPr>
        <w:pStyle w:val="SingleTxtG"/>
        <w:numPr>
          <w:ilvl w:val="0"/>
          <w:numId w:val="6"/>
        </w:numPr>
        <w:ind w:left="1134" w:firstLine="0"/>
      </w:pPr>
      <w:r w:rsidRPr="00CB4F2E">
        <w:t>Elle est constituée de l’ensemble des services implantés dans la capitale politique (Yaoundé), siège des institutions, et ayant compétence sur toute l’étendue du territoire national. Elle regroupe la Présidence de la République (</w:t>
      </w:r>
      <w:hyperlink r:id="rId38" w:history="1">
        <w:r w:rsidRPr="00CB4F2E">
          <w:rPr>
            <w:rStyle w:val="Hyperlink"/>
          </w:rPr>
          <w:t>https://www.prc.cm/fr/</w:t>
        </w:r>
      </w:hyperlink>
      <w:r w:rsidRPr="00CB4F2E">
        <w:t>), les Services du Premier Ministre (</w:t>
      </w:r>
      <w:hyperlink r:id="rId39" w:history="1">
        <w:r w:rsidRPr="00CB4F2E">
          <w:rPr>
            <w:rStyle w:val="Hyperlink"/>
          </w:rPr>
          <w:t>https://www.spm.gov.cm/</w:t>
        </w:r>
      </w:hyperlink>
      <w:r w:rsidRPr="00CB4F2E">
        <w:t>), les services centraux des ministères et les institutions techniques et consultatives.</w:t>
      </w:r>
    </w:p>
    <w:p w14:paraId="794E499A" w14:textId="619D90E9" w:rsidR="0093676D" w:rsidRPr="00CB4F2E" w:rsidRDefault="004D1400" w:rsidP="004D1400">
      <w:pPr>
        <w:pStyle w:val="H4G"/>
      </w:pPr>
      <w:bookmarkStart w:id="71" w:name="_Toc210646335"/>
      <w:r>
        <w:tab/>
      </w:r>
      <w:r>
        <w:tab/>
      </w:r>
      <w:r w:rsidR="0093676D" w:rsidRPr="00CB4F2E">
        <w:t>L’Administration déconcentrée</w:t>
      </w:r>
      <w:bookmarkEnd w:id="71"/>
    </w:p>
    <w:p w14:paraId="4B6A837E" w14:textId="77777777" w:rsidR="0093676D" w:rsidRPr="00CB4F2E" w:rsidRDefault="0093676D" w:rsidP="005F1D8A">
      <w:pPr>
        <w:pStyle w:val="SingleTxtG"/>
        <w:numPr>
          <w:ilvl w:val="0"/>
          <w:numId w:val="6"/>
        </w:numPr>
        <w:ind w:left="1134" w:firstLine="0"/>
      </w:pPr>
      <w:r w:rsidRPr="00CB4F2E">
        <w:t>Elle comprend les organes dont la compétence est limitée à une circonscription déterminée, mais qui sont soumis à l’autorité hiérarchique de l’administration centrale. Il s’agit des Services des Gouverneurs (un par Région, soit un total de 10), des Préfectures (une par département, soit un total de 58), et des Sous-préfectures (une par arrondissement, soit un total de 360). Chaque Ministère est également représenté par des structures déconcentrées ou délégations à l’échelle de la région, du département et/ou de l’arrondissement.</w:t>
      </w:r>
    </w:p>
    <w:p w14:paraId="50435E00" w14:textId="069F1A8C" w:rsidR="0093676D" w:rsidRPr="00CB4F2E" w:rsidRDefault="004D1400" w:rsidP="004D1400">
      <w:pPr>
        <w:pStyle w:val="H4G"/>
      </w:pPr>
      <w:bookmarkStart w:id="72" w:name="_Toc210646336"/>
      <w:r>
        <w:tab/>
      </w:r>
      <w:r>
        <w:tab/>
      </w:r>
      <w:r w:rsidR="0093676D" w:rsidRPr="00CB4F2E">
        <w:t>L’Administration décentralisée</w:t>
      </w:r>
      <w:bookmarkEnd w:id="72"/>
    </w:p>
    <w:p w14:paraId="0A46703A" w14:textId="77777777" w:rsidR="00ED20A7" w:rsidRDefault="0093676D" w:rsidP="005F1D8A">
      <w:pPr>
        <w:pStyle w:val="SingleTxtG"/>
        <w:numPr>
          <w:ilvl w:val="0"/>
          <w:numId w:val="6"/>
        </w:numPr>
        <w:ind w:left="1134" w:firstLine="0"/>
      </w:pPr>
      <w:r w:rsidRPr="00CB4F2E">
        <w:t xml:space="preserve">L’article 55 de la Constitution dispose que les CTD sont les Régions et les Communes. Elles épousent respectivement les ressorts territoriaux des circonscriptions administratives que sont les régions et les arrondissements. Les CTD constituent des personnes morales de droit public jouissant de l’autonomie administrative et financière pour la gestion des intérêts régionaux et locaux. </w:t>
      </w:r>
    </w:p>
    <w:p w14:paraId="7A3DF644" w14:textId="6D195CB2" w:rsidR="00ED20A7" w:rsidRDefault="0093676D" w:rsidP="005F1D8A">
      <w:pPr>
        <w:pStyle w:val="SingleTxtG"/>
        <w:numPr>
          <w:ilvl w:val="0"/>
          <w:numId w:val="6"/>
        </w:numPr>
        <w:ind w:left="1134" w:firstLine="0"/>
      </w:pPr>
      <w:r w:rsidRPr="00CB4F2E">
        <w:t>Elles s’administrent librement par des conseils élus et dans les conditions fixées par la Loi n°2019/024 du 24 décembre 2019 portant Code Général des CTD. L’avènement de cette loi, qui a marqué un tournant décisif dans le processus de décentralisation, a entraîné le réaménagement de quelques organes de suivi de la décentralisation (Conseil National de la Décentralisation</w:t>
      </w:r>
      <w:r w:rsidR="0027203C">
        <w:t>;</w:t>
      </w:r>
      <w:r w:rsidRPr="00CB4F2E">
        <w:t xml:space="preserve"> Comité Interministériel des Services Locaux</w:t>
      </w:r>
      <w:r w:rsidR="0027203C">
        <w:t>;</w:t>
      </w:r>
      <w:r w:rsidRPr="00CB4F2E">
        <w:t xml:space="preserve"> Comité National des Finances Locales), la création de la </w:t>
      </w:r>
      <w:r w:rsidRPr="00CB4F2E">
        <w:rPr>
          <w:i/>
        </w:rPr>
        <w:t>National School of Local Administration</w:t>
      </w:r>
      <w:r w:rsidRPr="00CB4F2E">
        <w:t>-NASLA</w:t>
      </w:r>
      <w:r w:rsidRPr="00CB4F2E">
        <w:rPr>
          <w:rStyle w:val="FootnoteReference"/>
        </w:rPr>
        <w:footnoteReference w:id="36"/>
      </w:r>
      <w:r w:rsidRPr="00CB4F2E">
        <w:t xml:space="preserve"> (</w:t>
      </w:r>
      <w:hyperlink r:id="rId40" w:history="1">
        <w:r w:rsidRPr="00CB4F2E">
          <w:rPr>
            <w:rStyle w:val="Hyperlink"/>
          </w:rPr>
          <w:t>https://web.nasla.cm/</w:t>
        </w:r>
      </w:hyperlink>
      <w:r w:rsidRPr="00CB4F2E">
        <w:t xml:space="preserve">) et l’institution des </w:t>
      </w:r>
      <w:r w:rsidRPr="00CB4F2E">
        <w:rPr>
          <w:i/>
        </w:rPr>
        <w:t xml:space="preserve">Public </w:t>
      </w:r>
      <w:proofErr w:type="spellStart"/>
      <w:r w:rsidRPr="00CB4F2E">
        <w:rPr>
          <w:i/>
        </w:rPr>
        <w:t>independent</w:t>
      </w:r>
      <w:proofErr w:type="spellEnd"/>
      <w:r w:rsidRPr="00CB4F2E">
        <w:rPr>
          <w:i/>
        </w:rPr>
        <w:t xml:space="preserve"> </w:t>
      </w:r>
      <w:proofErr w:type="spellStart"/>
      <w:r w:rsidRPr="00CB4F2E">
        <w:rPr>
          <w:i/>
        </w:rPr>
        <w:t>counciliators</w:t>
      </w:r>
      <w:proofErr w:type="spellEnd"/>
      <w:r w:rsidRPr="00CB4F2E">
        <w:rPr>
          <w:rStyle w:val="FootnoteReference"/>
        </w:rPr>
        <w:footnoteReference w:id="37"/>
      </w:r>
      <w:r w:rsidRPr="00CB4F2E">
        <w:t xml:space="preserve"> (</w:t>
      </w:r>
      <w:hyperlink r:id="rId41" w:history="1">
        <w:r w:rsidRPr="00CB4F2E">
          <w:rPr>
            <w:rStyle w:val="Hyperlink"/>
          </w:rPr>
          <w:t>https://opic-cam.org/</w:t>
        </w:r>
      </w:hyperlink>
      <w:r w:rsidRPr="00CB4F2E">
        <w:t xml:space="preserve">, </w:t>
      </w:r>
      <w:hyperlink r:id="rId42" w:history="1">
        <w:r w:rsidRPr="00CB4F2E">
          <w:rPr>
            <w:rStyle w:val="Hyperlink"/>
          </w:rPr>
          <w:t>https://opicswr.cm/</w:t>
        </w:r>
      </w:hyperlink>
      <w:r w:rsidRPr="00CB4F2E">
        <w:t xml:space="preserve">). </w:t>
      </w:r>
    </w:p>
    <w:p w14:paraId="1C0790A4" w14:textId="77777777" w:rsidR="00ED20A7" w:rsidRDefault="0093676D" w:rsidP="005F1D8A">
      <w:pPr>
        <w:pStyle w:val="SingleTxtG"/>
        <w:numPr>
          <w:ilvl w:val="0"/>
          <w:numId w:val="6"/>
        </w:numPr>
        <w:ind w:left="1134" w:firstLine="0"/>
      </w:pPr>
      <w:r w:rsidRPr="00CB4F2E">
        <w:lastRenderedPageBreak/>
        <w:t>En 2020, ont été organisées les toutes premières élections régionales, marquant ainsi la mise en place effective des conseils régionaux dans les 10 régions</w:t>
      </w:r>
      <w:r w:rsidRPr="00CB4F2E">
        <w:rPr>
          <w:rStyle w:val="FootnoteReference"/>
        </w:rPr>
        <w:footnoteReference w:id="38"/>
      </w:r>
      <w:r w:rsidRPr="00CB4F2E">
        <w:t>. Les Régions du Nord-Ouest et du Sud-Ouest bénéficient d’un statut spécial fondé sur leur spécificité linguistique et leur héritage historique, lequel se traduit par des singularités dans l’organisation et le fonctionnement de ces régions.</w:t>
      </w:r>
    </w:p>
    <w:p w14:paraId="19B32282" w14:textId="77777777" w:rsidR="00ED20A7" w:rsidRDefault="0093676D" w:rsidP="005F1D8A">
      <w:pPr>
        <w:pStyle w:val="SingleTxtG"/>
        <w:numPr>
          <w:ilvl w:val="0"/>
          <w:numId w:val="6"/>
        </w:numPr>
        <w:ind w:left="1134" w:firstLine="0"/>
      </w:pPr>
      <w:r w:rsidRPr="00CB4F2E">
        <w:t>Tout autre type de CTD peut être créé par la loi, selon l’article 55 susmentionné. Aussi, la Loi n</w:t>
      </w:r>
      <w:r w:rsidRPr="00CB4F2E">
        <w:rPr>
          <w:vertAlign w:val="superscript"/>
        </w:rPr>
        <w:t>o</w:t>
      </w:r>
      <w:r w:rsidRPr="00CB4F2E">
        <w:t>2019/024 du 24 décembre 2019 portant CGCTD prévoit-elle des communautés urbaines. Ce sont des agglomérations urbaines qui, en raison de leur particularité, bénéficient d’un régime spécial et sont créées par décret du Président de la République. La communauté urbaine</w:t>
      </w:r>
      <w:r w:rsidRPr="00CB4F2E">
        <w:rPr>
          <w:rStyle w:val="FootnoteReference"/>
        </w:rPr>
        <w:footnoteReference w:id="39"/>
      </w:r>
      <w:r w:rsidRPr="00CB4F2E">
        <w:t xml:space="preserve"> est constituée d’au moins deux communes qui, dans ce cadre, prennent l’appellation de communes d’arrondissement.</w:t>
      </w:r>
    </w:p>
    <w:p w14:paraId="1A0B4B9A" w14:textId="32F91BFA" w:rsidR="0093676D" w:rsidRPr="00CB4F2E" w:rsidRDefault="0093676D" w:rsidP="005F1D8A">
      <w:pPr>
        <w:pStyle w:val="SingleTxtG"/>
        <w:numPr>
          <w:ilvl w:val="0"/>
          <w:numId w:val="6"/>
        </w:numPr>
        <w:ind w:left="1134" w:firstLine="0"/>
      </w:pPr>
      <w:r w:rsidRPr="00CB4F2E">
        <w:t>La décentralisation technique est également pratiquée à travers des établissements publics et des entreprises publiques et parapubliques qui interviennent dans les différents secteurs de la vie économique et sociale du pays.</w:t>
      </w:r>
    </w:p>
    <w:p w14:paraId="1BEBF59F" w14:textId="579B94E6" w:rsidR="00ED20A7" w:rsidRPr="004D1400" w:rsidRDefault="004D1400" w:rsidP="004D1400">
      <w:pPr>
        <w:pStyle w:val="HChG"/>
      </w:pPr>
      <w:bookmarkStart w:id="73" w:name="_Toc210209113"/>
      <w:bookmarkStart w:id="74" w:name="_Toc210646337"/>
      <w:r>
        <w:tab/>
      </w:r>
      <w:r w:rsidR="0093676D" w:rsidRPr="00CB4F2E">
        <w:t>III.</w:t>
      </w:r>
      <w:r>
        <w:tab/>
      </w:r>
      <w:r w:rsidRPr="004D1400">
        <w:t xml:space="preserve">L’acceptation des instruments internationaux, </w:t>
      </w:r>
      <w:proofErr w:type="spellStart"/>
      <w:r w:rsidRPr="004D1400">
        <w:t>regionaux</w:t>
      </w:r>
      <w:proofErr w:type="spellEnd"/>
      <w:r w:rsidRPr="004D1400">
        <w:t xml:space="preserve"> et </w:t>
      </w:r>
      <w:proofErr w:type="spellStart"/>
      <w:r w:rsidRPr="004D1400">
        <w:t>sous-regionaux</w:t>
      </w:r>
      <w:proofErr w:type="spellEnd"/>
      <w:r w:rsidRPr="004D1400">
        <w:t xml:space="preserve"> relatifs aux droits de l’homme</w:t>
      </w:r>
      <w:bookmarkEnd w:id="73"/>
      <w:bookmarkEnd w:id="74"/>
    </w:p>
    <w:p w14:paraId="5F4C8DD4" w14:textId="607C4EE8" w:rsidR="0093676D" w:rsidRPr="00CB4F2E" w:rsidRDefault="0093676D" w:rsidP="005F1D8A">
      <w:pPr>
        <w:pStyle w:val="SingleTxtG"/>
        <w:numPr>
          <w:ilvl w:val="0"/>
          <w:numId w:val="6"/>
        </w:numPr>
        <w:ind w:left="1134" w:firstLine="0"/>
      </w:pPr>
      <w:r w:rsidRPr="00CB4F2E">
        <w:t>Par voie de ratification, d’adhésion ou de succession, le Cameroun a accepté des instruments internationaux, régionaux et sous-régionaux relatifs aux Droits de l’Homme.</w:t>
      </w:r>
    </w:p>
    <w:p w14:paraId="41F1125D" w14:textId="60757EA9" w:rsidR="00ED20A7" w:rsidRDefault="004D1400" w:rsidP="004D1400">
      <w:pPr>
        <w:pStyle w:val="H1G"/>
        <w:tabs>
          <w:tab w:val="clear" w:pos="851"/>
        </w:tabs>
        <w:ind w:left="1210" w:hanging="850"/>
        <w:rPr>
          <w:i/>
        </w:rPr>
      </w:pPr>
      <w:bookmarkStart w:id="75" w:name="_Toc210646338"/>
      <w:r>
        <w:t>A.</w:t>
      </w:r>
      <w:r>
        <w:tab/>
      </w:r>
      <w:r w:rsidR="0093676D" w:rsidRPr="00CB4F2E">
        <w:t>L’acceptation des principales conventions internationales des Nations Unies et les protocoles s’y rapportant</w:t>
      </w:r>
      <w:bookmarkEnd w:id="75"/>
    </w:p>
    <w:p w14:paraId="5E54BC91" w14:textId="7222F3D4" w:rsidR="0093676D" w:rsidRPr="00CB4F2E" w:rsidRDefault="0093676D" w:rsidP="005F1D8A">
      <w:pPr>
        <w:pStyle w:val="SingleTxtG"/>
        <w:numPr>
          <w:ilvl w:val="0"/>
          <w:numId w:val="6"/>
        </w:numPr>
        <w:ind w:left="1134" w:firstLine="0"/>
      </w:pPr>
      <w:r w:rsidRPr="00CB4F2E">
        <w:t>Le Cameroun a accepté plusieurs conventions principales onusiennes ensemble leurs protocoles dont celles ci-après.</w:t>
      </w:r>
    </w:p>
    <w:tbl>
      <w:tblPr>
        <w:tblW w:w="7370" w:type="dxa"/>
        <w:tblInd w:w="1134" w:type="dxa"/>
        <w:tblLayout w:type="fixed"/>
        <w:tblCellMar>
          <w:left w:w="0" w:type="dxa"/>
          <w:right w:w="0" w:type="dxa"/>
        </w:tblCellMar>
        <w:tblLook w:val="04A0" w:firstRow="1" w:lastRow="0" w:firstColumn="1" w:lastColumn="0" w:noHBand="0" w:noVBand="1"/>
      </w:tblPr>
      <w:tblGrid>
        <w:gridCol w:w="5510"/>
        <w:gridCol w:w="1860"/>
      </w:tblGrid>
      <w:tr w:rsidR="0093676D" w:rsidRPr="00CB4F2E" w14:paraId="65C13A03" w14:textId="77777777" w:rsidTr="00D80992">
        <w:trPr>
          <w:tblHeader/>
        </w:trPr>
        <w:tc>
          <w:tcPr>
            <w:tcW w:w="5510" w:type="dxa"/>
            <w:tcBorders>
              <w:top w:val="single" w:sz="4" w:space="0" w:color="auto"/>
              <w:bottom w:val="single" w:sz="12" w:space="0" w:color="auto"/>
            </w:tcBorders>
            <w:vAlign w:val="bottom"/>
          </w:tcPr>
          <w:p w14:paraId="7F4ED357" w14:textId="77777777" w:rsidR="0093676D" w:rsidRPr="00CB4F2E" w:rsidRDefault="0093676D" w:rsidP="00D80992">
            <w:pPr>
              <w:rPr>
                <w:i/>
              </w:rPr>
            </w:pPr>
            <w:r w:rsidRPr="00CB4F2E">
              <w:rPr>
                <w:i/>
              </w:rPr>
              <w:t>Conventions</w:t>
            </w:r>
          </w:p>
        </w:tc>
        <w:tc>
          <w:tcPr>
            <w:tcW w:w="1860" w:type="dxa"/>
            <w:tcBorders>
              <w:top w:val="single" w:sz="4" w:space="0" w:color="auto"/>
              <w:bottom w:val="single" w:sz="12" w:space="0" w:color="auto"/>
            </w:tcBorders>
            <w:vAlign w:val="bottom"/>
          </w:tcPr>
          <w:p w14:paraId="0E0EB84E" w14:textId="77777777" w:rsidR="0093676D" w:rsidRPr="00CB4F2E" w:rsidRDefault="0093676D" w:rsidP="00D80992">
            <w:pPr>
              <w:rPr>
                <w:i/>
              </w:rPr>
            </w:pPr>
            <w:r w:rsidRPr="00CB4F2E">
              <w:rPr>
                <w:i/>
              </w:rPr>
              <w:t xml:space="preserve">Dates de dépôt des instruments de ratification ou des décrets de ratification ou d’adhésion </w:t>
            </w:r>
          </w:p>
        </w:tc>
      </w:tr>
      <w:tr w:rsidR="0093676D" w:rsidRPr="00CB4F2E" w14:paraId="06F661CD" w14:textId="77777777" w:rsidTr="00D80992">
        <w:trPr>
          <w:trHeight w:hRule="exact" w:val="113"/>
          <w:tblHeader/>
        </w:trPr>
        <w:tc>
          <w:tcPr>
            <w:tcW w:w="5510" w:type="dxa"/>
            <w:tcBorders>
              <w:top w:val="single" w:sz="12" w:space="0" w:color="auto"/>
            </w:tcBorders>
          </w:tcPr>
          <w:p w14:paraId="40DB6F57" w14:textId="77777777" w:rsidR="0093676D" w:rsidRPr="00CB4F2E" w:rsidRDefault="0093676D" w:rsidP="00D80992"/>
        </w:tc>
        <w:tc>
          <w:tcPr>
            <w:tcW w:w="1860" w:type="dxa"/>
            <w:tcBorders>
              <w:top w:val="single" w:sz="12" w:space="0" w:color="auto"/>
            </w:tcBorders>
          </w:tcPr>
          <w:p w14:paraId="3D4B25D0" w14:textId="77777777" w:rsidR="0093676D" w:rsidRPr="00CB4F2E" w:rsidRDefault="0093676D" w:rsidP="00D80992"/>
        </w:tc>
      </w:tr>
      <w:tr w:rsidR="0093676D" w:rsidRPr="00CB4F2E" w14:paraId="02C70F51" w14:textId="77777777" w:rsidTr="00D80992">
        <w:trPr>
          <w:tblHeader/>
        </w:trPr>
        <w:tc>
          <w:tcPr>
            <w:tcW w:w="5510" w:type="dxa"/>
          </w:tcPr>
          <w:p w14:paraId="3512A2A8" w14:textId="77777777" w:rsidR="0093676D" w:rsidRPr="00CB4F2E" w:rsidRDefault="0093676D" w:rsidP="00D80992">
            <w:r w:rsidRPr="00CB4F2E">
              <w:t>Convention internationale sur l’élimination de toutes les formes de discrimination raciale</w:t>
            </w:r>
          </w:p>
        </w:tc>
        <w:tc>
          <w:tcPr>
            <w:tcW w:w="1860" w:type="dxa"/>
          </w:tcPr>
          <w:p w14:paraId="26F6CED0" w14:textId="77777777" w:rsidR="0093676D" w:rsidRPr="00CB4F2E" w:rsidRDefault="0093676D" w:rsidP="00D80992">
            <w:r w:rsidRPr="00CB4F2E">
              <w:t>24 juin 1971</w:t>
            </w:r>
          </w:p>
          <w:p w14:paraId="6568DBD9" w14:textId="77777777" w:rsidR="0093676D" w:rsidRPr="00CB4F2E" w:rsidRDefault="0093676D" w:rsidP="00D80992"/>
        </w:tc>
      </w:tr>
      <w:tr w:rsidR="0093676D" w:rsidRPr="00CB4F2E" w14:paraId="0B5B0202" w14:textId="77777777" w:rsidTr="00D80992">
        <w:tc>
          <w:tcPr>
            <w:tcW w:w="5510" w:type="dxa"/>
          </w:tcPr>
          <w:p w14:paraId="29A35717" w14:textId="77777777" w:rsidR="0093676D" w:rsidRPr="00CB4F2E" w:rsidRDefault="0093676D" w:rsidP="00D80992">
            <w:r w:rsidRPr="00CB4F2E">
              <w:t xml:space="preserve">Pacte international relatif aux droits économiques, sociaux et culturels </w:t>
            </w:r>
          </w:p>
        </w:tc>
        <w:tc>
          <w:tcPr>
            <w:tcW w:w="1860" w:type="dxa"/>
          </w:tcPr>
          <w:p w14:paraId="7A50DDD4" w14:textId="77777777" w:rsidR="0093676D" w:rsidRPr="00CB4F2E" w:rsidRDefault="0093676D" w:rsidP="00D80992">
            <w:r w:rsidRPr="00CB4F2E">
              <w:t>27 juin 1984</w:t>
            </w:r>
          </w:p>
        </w:tc>
      </w:tr>
      <w:tr w:rsidR="0093676D" w:rsidRPr="00CB4F2E" w14:paraId="70A131A4" w14:textId="77777777" w:rsidTr="00D80992">
        <w:tc>
          <w:tcPr>
            <w:tcW w:w="5510" w:type="dxa"/>
          </w:tcPr>
          <w:p w14:paraId="3D68C119" w14:textId="77777777" w:rsidR="0093676D" w:rsidRPr="00CB4F2E" w:rsidRDefault="0093676D" w:rsidP="00D80992">
            <w:r w:rsidRPr="00CB4F2E">
              <w:t xml:space="preserve">Pacte international relatif aux droits civils et politiques </w:t>
            </w:r>
          </w:p>
        </w:tc>
        <w:tc>
          <w:tcPr>
            <w:tcW w:w="1860" w:type="dxa"/>
          </w:tcPr>
          <w:p w14:paraId="76C4A2A9" w14:textId="77777777" w:rsidR="0093676D" w:rsidRPr="00CB4F2E" w:rsidRDefault="0093676D" w:rsidP="00D80992">
            <w:r w:rsidRPr="00CB4F2E">
              <w:t>27 juin 1984</w:t>
            </w:r>
          </w:p>
        </w:tc>
      </w:tr>
      <w:tr w:rsidR="0093676D" w:rsidRPr="00CB4F2E" w14:paraId="1C661F80" w14:textId="77777777" w:rsidTr="00D80992">
        <w:tc>
          <w:tcPr>
            <w:tcW w:w="5510" w:type="dxa"/>
          </w:tcPr>
          <w:p w14:paraId="72FA5158" w14:textId="77777777" w:rsidR="0093676D" w:rsidRPr="00CB4F2E" w:rsidRDefault="0093676D" w:rsidP="00D80992">
            <w:r w:rsidRPr="00CB4F2E">
              <w:t>Protocole facultatif se rapportant au Pacte international relatif aux droits civils et politiques, concernant les communications émanant de particuliers</w:t>
            </w:r>
          </w:p>
        </w:tc>
        <w:tc>
          <w:tcPr>
            <w:tcW w:w="1860" w:type="dxa"/>
          </w:tcPr>
          <w:p w14:paraId="080F850C" w14:textId="77777777" w:rsidR="0093676D" w:rsidRPr="00CB4F2E" w:rsidRDefault="0093676D" w:rsidP="00D80992">
            <w:r w:rsidRPr="00CB4F2E">
              <w:t>27 juin 1984</w:t>
            </w:r>
          </w:p>
          <w:p w14:paraId="566FDC5F" w14:textId="77777777" w:rsidR="0093676D" w:rsidRPr="00CB4F2E" w:rsidRDefault="0093676D" w:rsidP="00D80992"/>
        </w:tc>
      </w:tr>
      <w:tr w:rsidR="0093676D" w:rsidRPr="00CB4F2E" w14:paraId="4125763C" w14:textId="77777777" w:rsidTr="00D80992">
        <w:tc>
          <w:tcPr>
            <w:tcW w:w="5510" w:type="dxa"/>
          </w:tcPr>
          <w:p w14:paraId="14D33610" w14:textId="77777777" w:rsidR="0093676D" w:rsidRPr="00CB4F2E" w:rsidRDefault="0093676D" w:rsidP="00D80992">
            <w:r w:rsidRPr="00CB4F2E">
              <w:t>Convention contre la torture et autres peines ou traitements cruels, inhumains ou dégradants</w:t>
            </w:r>
          </w:p>
        </w:tc>
        <w:tc>
          <w:tcPr>
            <w:tcW w:w="1860" w:type="dxa"/>
          </w:tcPr>
          <w:p w14:paraId="05CDBF02" w14:textId="77777777" w:rsidR="0093676D" w:rsidRPr="00CB4F2E" w:rsidRDefault="0093676D" w:rsidP="00D80992">
            <w:r w:rsidRPr="00CB4F2E">
              <w:t>19 décembre 1986</w:t>
            </w:r>
          </w:p>
        </w:tc>
      </w:tr>
      <w:tr w:rsidR="0093676D" w:rsidRPr="00CB4F2E" w14:paraId="4ED9E7E0" w14:textId="77777777" w:rsidTr="00D80992">
        <w:tc>
          <w:tcPr>
            <w:tcW w:w="5510" w:type="dxa"/>
          </w:tcPr>
          <w:p w14:paraId="5535B2B6" w14:textId="150F9D67" w:rsidR="0093676D" w:rsidRPr="00CB4F2E" w:rsidRDefault="0093676D" w:rsidP="00D80992">
            <w:r w:rsidRPr="00CB4F2E">
              <w:t>Convention des Nations Unies relative aux droits de l’enfant</w:t>
            </w:r>
          </w:p>
        </w:tc>
        <w:tc>
          <w:tcPr>
            <w:tcW w:w="1860" w:type="dxa"/>
          </w:tcPr>
          <w:p w14:paraId="4AFC5F1E" w14:textId="402C69DA" w:rsidR="0093676D" w:rsidRPr="00CB4F2E" w:rsidRDefault="0093676D" w:rsidP="006341A7">
            <w:r w:rsidRPr="00CB4F2E">
              <w:t>11 janvier 1993</w:t>
            </w:r>
          </w:p>
        </w:tc>
      </w:tr>
      <w:tr w:rsidR="0093676D" w:rsidRPr="00CB4F2E" w14:paraId="678208C7" w14:textId="77777777" w:rsidTr="00D80992">
        <w:tc>
          <w:tcPr>
            <w:tcW w:w="5510" w:type="dxa"/>
          </w:tcPr>
          <w:p w14:paraId="18A15E62" w14:textId="13162B39" w:rsidR="0093676D" w:rsidRPr="00CB4F2E" w:rsidRDefault="0093676D" w:rsidP="00D80992">
            <w:r w:rsidRPr="00CB4F2E">
              <w:t>Convention sur l’élimination de toutes les formes de discrimination à l’égard des femmes</w:t>
            </w:r>
          </w:p>
        </w:tc>
        <w:tc>
          <w:tcPr>
            <w:tcW w:w="1860" w:type="dxa"/>
          </w:tcPr>
          <w:p w14:paraId="01AE9F8F" w14:textId="77777777" w:rsidR="0093676D" w:rsidRPr="00CB4F2E" w:rsidRDefault="0093676D" w:rsidP="00D80992">
            <w:r w:rsidRPr="00CB4F2E">
              <w:t>23 août 1994</w:t>
            </w:r>
          </w:p>
          <w:p w14:paraId="232BEF24" w14:textId="77777777" w:rsidR="0093676D" w:rsidRPr="00CB4F2E" w:rsidRDefault="0093676D" w:rsidP="00D80992"/>
        </w:tc>
      </w:tr>
      <w:tr w:rsidR="0093676D" w:rsidRPr="00CB4F2E" w14:paraId="6E7AF0E3" w14:textId="77777777" w:rsidTr="00D80992">
        <w:tc>
          <w:tcPr>
            <w:tcW w:w="5510" w:type="dxa"/>
          </w:tcPr>
          <w:p w14:paraId="02979CD4" w14:textId="5484E307" w:rsidR="0093676D" w:rsidRPr="00CB4F2E" w:rsidRDefault="0093676D" w:rsidP="00D80992">
            <w:r w:rsidRPr="00CB4F2E">
              <w:t>Protocole facultatif à la Convention sur l’élimination de toutes les formes de discrimination à l’égard des femmes</w:t>
            </w:r>
          </w:p>
        </w:tc>
        <w:tc>
          <w:tcPr>
            <w:tcW w:w="1860" w:type="dxa"/>
          </w:tcPr>
          <w:p w14:paraId="0D681F06" w14:textId="77777777" w:rsidR="0093676D" w:rsidRPr="00CB4F2E" w:rsidRDefault="0093676D" w:rsidP="00D80992">
            <w:r w:rsidRPr="00CB4F2E">
              <w:t>7 janvier 2005</w:t>
            </w:r>
          </w:p>
        </w:tc>
      </w:tr>
      <w:tr w:rsidR="0093676D" w:rsidRPr="00CB4F2E" w14:paraId="725F3E01" w14:textId="77777777" w:rsidTr="00D80992">
        <w:tc>
          <w:tcPr>
            <w:tcW w:w="5510" w:type="dxa"/>
          </w:tcPr>
          <w:p w14:paraId="7D781EC9" w14:textId="09065BAA" w:rsidR="0093676D" w:rsidRPr="00CB4F2E" w:rsidRDefault="0093676D" w:rsidP="00D80992">
            <w:r w:rsidRPr="00CB4F2E">
              <w:t>Protocole facultatif se rapportant à la Convention contre la torture et autres peines ou traitements cruels, inhumains ou dégradants</w:t>
            </w:r>
          </w:p>
        </w:tc>
        <w:tc>
          <w:tcPr>
            <w:tcW w:w="1860" w:type="dxa"/>
          </w:tcPr>
          <w:p w14:paraId="0441FBA3" w14:textId="77777777" w:rsidR="0093676D" w:rsidRPr="00CB4F2E" w:rsidRDefault="0093676D" w:rsidP="00D80992">
            <w:r w:rsidRPr="00CB4F2E">
              <w:t>19 décembre 2010</w:t>
            </w:r>
          </w:p>
        </w:tc>
      </w:tr>
      <w:tr w:rsidR="0093676D" w:rsidRPr="00CB4F2E" w14:paraId="78DAE1F1" w14:textId="77777777" w:rsidTr="00D80992">
        <w:tc>
          <w:tcPr>
            <w:tcW w:w="5510" w:type="dxa"/>
          </w:tcPr>
          <w:p w14:paraId="4ADAA97E" w14:textId="77777777" w:rsidR="0093676D" w:rsidRPr="00CB4F2E" w:rsidRDefault="0093676D" w:rsidP="00D80992">
            <w:r w:rsidRPr="00CB4F2E">
              <w:lastRenderedPageBreak/>
              <w:t xml:space="preserve"> Protocole facultatif à la Convention relative aux droits de l’enfant, concernant l’implication d’enfants dans les conflits armés</w:t>
            </w:r>
          </w:p>
        </w:tc>
        <w:tc>
          <w:tcPr>
            <w:tcW w:w="1860" w:type="dxa"/>
          </w:tcPr>
          <w:p w14:paraId="41A52DCD" w14:textId="77777777" w:rsidR="0093676D" w:rsidRPr="00CB4F2E" w:rsidRDefault="0093676D" w:rsidP="00D80992">
            <w:r w:rsidRPr="00CB4F2E">
              <w:t>4 février 2013</w:t>
            </w:r>
          </w:p>
        </w:tc>
      </w:tr>
      <w:tr w:rsidR="0093676D" w:rsidRPr="00CB4F2E" w14:paraId="70BC1A22" w14:textId="77777777" w:rsidTr="00D80992">
        <w:tc>
          <w:tcPr>
            <w:tcW w:w="5510" w:type="dxa"/>
          </w:tcPr>
          <w:p w14:paraId="001ADDE8" w14:textId="77777777" w:rsidR="0093676D" w:rsidRPr="00CB4F2E" w:rsidRDefault="0093676D" w:rsidP="00D80992">
            <w:r w:rsidRPr="00CB4F2E">
              <w:t xml:space="preserve"> Protocole facultatif à la Convention relative aux droits de l'enfant, concernant la vente d'enfants, la prostitution des enfants et la pornographie mettant en scène des enfants</w:t>
            </w:r>
          </w:p>
        </w:tc>
        <w:tc>
          <w:tcPr>
            <w:tcW w:w="1860" w:type="dxa"/>
          </w:tcPr>
          <w:p w14:paraId="21BFAA6E" w14:textId="77777777" w:rsidR="0093676D" w:rsidRPr="00CB4F2E" w:rsidRDefault="0093676D" w:rsidP="00D80992"/>
          <w:p w14:paraId="50FA0AB0" w14:textId="77777777" w:rsidR="0093676D" w:rsidRPr="00CB4F2E" w:rsidRDefault="0093676D" w:rsidP="00D80992">
            <w:r w:rsidRPr="00CB4F2E">
              <w:t>6 décembre 2020</w:t>
            </w:r>
          </w:p>
          <w:p w14:paraId="2378EA2A" w14:textId="77777777" w:rsidR="0093676D" w:rsidRPr="00CB4F2E" w:rsidRDefault="0093676D" w:rsidP="00D80992"/>
        </w:tc>
      </w:tr>
      <w:tr w:rsidR="0093676D" w:rsidRPr="00CB4F2E" w14:paraId="337133F5" w14:textId="77777777" w:rsidTr="00D80992">
        <w:tc>
          <w:tcPr>
            <w:tcW w:w="5510" w:type="dxa"/>
            <w:tcBorders>
              <w:bottom w:val="single" w:sz="12" w:space="0" w:color="auto"/>
            </w:tcBorders>
          </w:tcPr>
          <w:p w14:paraId="7B437220" w14:textId="77777777" w:rsidR="0093676D" w:rsidRPr="00CB4F2E" w:rsidRDefault="0093676D" w:rsidP="00D80992">
            <w:r w:rsidRPr="00CB4F2E">
              <w:t xml:space="preserve"> Convention des Nations Unies sur les droits des personnes handicapées</w:t>
            </w:r>
          </w:p>
        </w:tc>
        <w:tc>
          <w:tcPr>
            <w:tcW w:w="1860" w:type="dxa"/>
            <w:tcBorders>
              <w:bottom w:val="single" w:sz="12" w:space="0" w:color="auto"/>
            </w:tcBorders>
          </w:tcPr>
          <w:p w14:paraId="657E257E" w14:textId="77777777" w:rsidR="0093676D" w:rsidRPr="00CB4F2E" w:rsidRDefault="0093676D" w:rsidP="00D80992">
            <w:r w:rsidRPr="00CB4F2E">
              <w:t>28 septembre 2023</w:t>
            </w:r>
          </w:p>
        </w:tc>
      </w:tr>
    </w:tbl>
    <w:p w14:paraId="246E895D" w14:textId="4882F5F0" w:rsidR="00ED20A7" w:rsidRDefault="006341A7" w:rsidP="006341A7">
      <w:pPr>
        <w:pStyle w:val="H1G"/>
        <w:rPr>
          <w:i/>
        </w:rPr>
      </w:pPr>
      <w:bookmarkStart w:id="76" w:name="_Toc210646339"/>
      <w:r>
        <w:tab/>
      </w:r>
      <w:r w:rsidR="0093676D" w:rsidRPr="00CB4F2E">
        <w:t>B.</w:t>
      </w:r>
      <w:r>
        <w:tab/>
      </w:r>
      <w:r w:rsidR="0093676D" w:rsidRPr="00CB4F2E">
        <w:t>L’acceptation d’autres conventions internationales</w:t>
      </w:r>
      <w:bookmarkEnd w:id="76"/>
      <w:r w:rsidR="0093676D" w:rsidRPr="00CB4F2E">
        <w:t xml:space="preserve"> </w:t>
      </w:r>
    </w:p>
    <w:p w14:paraId="4C5F5809" w14:textId="2BEFAA8C" w:rsidR="0093676D" w:rsidRPr="00CB4F2E" w:rsidRDefault="0093676D" w:rsidP="005F1D8A">
      <w:pPr>
        <w:pStyle w:val="SingleTxtG"/>
        <w:numPr>
          <w:ilvl w:val="0"/>
          <w:numId w:val="6"/>
        </w:numPr>
        <w:ind w:left="1134" w:firstLine="0"/>
        <w:rPr>
          <w:bCs/>
        </w:rPr>
      </w:pPr>
      <w:r w:rsidRPr="00CB4F2E">
        <w:rPr>
          <w:bCs/>
        </w:rPr>
        <w:t xml:space="preserve">Le Cameroun a </w:t>
      </w:r>
      <w:r w:rsidRPr="00CB4F2E">
        <w:t>accepté</w:t>
      </w:r>
      <w:r w:rsidRPr="00CB4F2E">
        <w:rPr>
          <w:bCs/>
        </w:rPr>
        <w:t xml:space="preserve"> d’autres conventions internationales ci-dessous listées non exhaustivement.</w:t>
      </w:r>
    </w:p>
    <w:p w14:paraId="00C12B30" w14:textId="3E85BD85" w:rsidR="0093676D" w:rsidRPr="00CB4F2E" w:rsidRDefault="00CB61F7" w:rsidP="00CB61F7">
      <w:pPr>
        <w:pStyle w:val="H23G"/>
      </w:pPr>
      <w:bookmarkStart w:id="77" w:name="_Toc210646340"/>
      <w:r>
        <w:tab/>
      </w:r>
      <w:r>
        <w:tab/>
      </w:r>
      <w:r w:rsidR="0093676D" w:rsidRPr="00CB4F2E">
        <w:t>Autres conventions des Nations Unies</w:t>
      </w:r>
      <w:bookmarkEnd w:id="77"/>
      <w:r w:rsidR="0093676D" w:rsidRPr="00CB4F2E">
        <w:t xml:space="preserve"> </w:t>
      </w:r>
    </w:p>
    <w:p w14:paraId="0DA282B8" w14:textId="77777777" w:rsidR="0093676D" w:rsidRPr="00CB4F2E" w:rsidRDefault="0093676D" w:rsidP="0093676D">
      <w:pPr>
        <w:rPr>
          <w:b/>
        </w:rPr>
      </w:pPr>
    </w:p>
    <w:tbl>
      <w:tblPr>
        <w:tblW w:w="7370" w:type="dxa"/>
        <w:tblInd w:w="1134" w:type="dxa"/>
        <w:tblLayout w:type="fixed"/>
        <w:tblCellMar>
          <w:left w:w="0" w:type="dxa"/>
          <w:right w:w="0" w:type="dxa"/>
        </w:tblCellMar>
        <w:tblLook w:val="04A0" w:firstRow="1" w:lastRow="0" w:firstColumn="1" w:lastColumn="0" w:noHBand="0" w:noVBand="1"/>
      </w:tblPr>
      <w:tblGrid>
        <w:gridCol w:w="5407"/>
        <w:gridCol w:w="1963"/>
      </w:tblGrid>
      <w:tr w:rsidR="0093676D" w:rsidRPr="00CB4F2E" w14:paraId="103AD814" w14:textId="77777777" w:rsidTr="00D80992">
        <w:trPr>
          <w:tblHeader/>
        </w:trPr>
        <w:tc>
          <w:tcPr>
            <w:tcW w:w="5407" w:type="dxa"/>
            <w:tcBorders>
              <w:top w:val="single" w:sz="4" w:space="0" w:color="auto"/>
              <w:bottom w:val="single" w:sz="12" w:space="0" w:color="auto"/>
            </w:tcBorders>
            <w:vAlign w:val="bottom"/>
          </w:tcPr>
          <w:p w14:paraId="2E7D7BC0" w14:textId="77777777" w:rsidR="0093676D" w:rsidRPr="00CB4F2E" w:rsidRDefault="0093676D" w:rsidP="00D80992">
            <w:pPr>
              <w:rPr>
                <w:i/>
              </w:rPr>
            </w:pPr>
            <w:r w:rsidRPr="00CB4F2E">
              <w:rPr>
                <w:i/>
              </w:rPr>
              <w:t>Conventions</w:t>
            </w:r>
          </w:p>
        </w:tc>
        <w:tc>
          <w:tcPr>
            <w:tcW w:w="1963" w:type="dxa"/>
            <w:tcBorders>
              <w:top w:val="single" w:sz="4" w:space="0" w:color="auto"/>
              <w:bottom w:val="single" w:sz="12" w:space="0" w:color="auto"/>
            </w:tcBorders>
            <w:vAlign w:val="bottom"/>
          </w:tcPr>
          <w:p w14:paraId="1F014EDB" w14:textId="77777777" w:rsidR="0093676D" w:rsidRPr="00CB4F2E" w:rsidRDefault="0093676D" w:rsidP="00D80992">
            <w:pPr>
              <w:rPr>
                <w:i/>
              </w:rPr>
            </w:pPr>
            <w:r w:rsidRPr="00CB4F2E">
              <w:rPr>
                <w:i/>
              </w:rPr>
              <w:t>Dates d’accession, de dépôt des instruments de ratification ou des décrets de ratification ou d’adhésion</w:t>
            </w:r>
          </w:p>
        </w:tc>
      </w:tr>
      <w:tr w:rsidR="0093676D" w:rsidRPr="00CB4F2E" w14:paraId="54972ABA" w14:textId="77777777" w:rsidTr="00D80992">
        <w:trPr>
          <w:trHeight w:hRule="exact" w:val="113"/>
          <w:tblHeader/>
        </w:trPr>
        <w:tc>
          <w:tcPr>
            <w:tcW w:w="5407" w:type="dxa"/>
            <w:tcBorders>
              <w:top w:val="single" w:sz="12" w:space="0" w:color="auto"/>
            </w:tcBorders>
          </w:tcPr>
          <w:p w14:paraId="3C802F0D" w14:textId="77777777" w:rsidR="0093676D" w:rsidRPr="00CB4F2E" w:rsidRDefault="0093676D" w:rsidP="00D80992"/>
        </w:tc>
        <w:tc>
          <w:tcPr>
            <w:tcW w:w="1963" w:type="dxa"/>
            <w:tcBorders>
              <w:top w:val="single" w:sz="12" w:space="0" w:color="auto"/>
            </w:tcBorders>
          </w:tcPr>
          <w:p w14:paraId="1C99D543" w14:textId="77777777" w:rsidR="0093676D" w:rsidRPr="00CB4F2E" w:rsidRDefault="0093676D" w:rsidP="00D80992"/>
        </w:tc>
      </w:tr>
      <w:tr w:rsidR="0093676D" w:rsidRPr="00CB4F2E" w14:paraId="75A051FE" w14:textId="77777777" w:rsidTr="00D80992">
        <w:trPr>
          <w:tblHeader/>
        </w:trPr>
        <w:tc>
          <w:tcPr>
            <w:tcW w:w="5407" w:type="dxa"/>
          </w:tcPr>
          <w:p w14:paraId="464F1509" w14:textId="77777777" w:rsidR="0093676D" w:rsidRPr="00CB4F2E" w:rsidRDefault="0093676D" w:rsidP="00D80992">
            <w:r w:rsidRPr="00CB4F2E">
              <w:t xml:space="preserve"> Convention internationale du 11 octobre 1933 relative à la répression de la traite des femmes majeures</w:t>
            </w:r>
          </w:p>
        </w:tc>
        <w:tc>
          <w:tcPr>
            <w:tcW w:w="1963" w:type="dxa"/>
          </w:tcPr>
          <w:p w14:paraId="62E6D096" w14:textId="77777777" w:rsidR="0093676D" w:rsidRPr="00CB4F2E" w:rsidRDefault="0093676D" w:rsidP="00D80992">
            <w:r w:rsidRPr="00CB4F2E">
              <w:t>27 octobre 1961</w:t>
            </w:r>
          </w:p>
          <w:p w14:paraId="4BDCEDEC" w14:textId="77777777" w:rsidR="0093676D" w:rsidRPr="00CB4F2E" w:rsidRDefault="0093676D" w:rsidP="00D80992"/>
        </w:tc>
      </w:tr>
      <w:tr w:rsidR="0093676D" w:rsidRPr="00CB4F2E" w14:paraId="38B7A19D" w14:textId="77777777" w:rsidTr="00D80992">
        <w:tc>
          <w:tcPr>
            <w:tcW w:w="5407" w:type="dxa"/>
          </w:tcPr>
          <w:p w14:paraId="3817334A" w14:textId="0F386E7B" w:rsidR="0093676D" w:rsidRPr="00CB4F2E" w:rsidRDefault="0093676D" w:rsidP="00CB61F7">
            <w:r w:rsidRPr="00CB4F2E">
              <w:t xml:space="preserve">Arrangement international en vue d’assurer une protection efficace contre le trafic criminel connu sous le nom de « Traite des Blanches », signé le 18 mai 1904 et amendé le 4 mai 1949 </w:t>
            </w:r>
          </w:p>
        </w:tc>
        <w:tc>
          <w:tcPr>
            <w:tcW w:w="1963" w:type="dxa"/>
          </w:tcPr>
          <w:p w14:paraId="6D177A31" w14:textId="77777777" w:rsidR="0093676D" w:rsidRPr="00CB4F2E" w:rsidRDefault="0093676D" w:rsidP="00D80992">
            <w:r w:rsidRPr="00CB4F2E">
              <w:t>3 novembre 1961</w:t>
            </w:r>
          </w:p>
        </w:tc>
      </w:tr>
      <w:tr w:rsidR="0093676D" w:rsidRPr="00CB4F2E" w14:paraId="445B798F" w14:textId="77777777" w:rsidTr="00D80992">
        <w:tc>
          <w:tcPr>
            <w:tcW w:w="5407" w:type="dxa"/>
          </w:tcPr>
          <w:p w14:paraId="77BFC897" w14:textId="02F32533" w:rsidR="0093676D" w:rsidRPr="00CB4F2E" w:rsidRDefault="0093676D" w:rsidP="00D80992">
            <w:r w:rsidRPr="00CB4F2E">
              <w:t>Convention de 1949 pour la répression de la traite des êtres humains et de l’exploitation de la prostitution d’autrui</w:t>
            </w:r>
          </w:p>
        </w:tc>
        <w:tc>
          <w:tcPr>
            <w:tcW w:w="1963" w:type="dxa"/>
          </w:tcPr>
          <w:p w14:paraId="137F50C7" w14:textId="77777777" w:rsidR="0093676D" w:rsidRPr="00CB4F2E" w:rsidRDefault="0093676D" w:rsidP="00D80992"/>
          <w:p w14:paraId="164AA8F4" w14:textId="77777777" w:rsidR="0093676D" w:rsidRPr="00CB4F2E" w:rsidRDefault="0093676D" w:rsidP="00D80992">
            <w:r w:rsidRPr="00CB4F2E">
              <w:t xml:space="preserve"> 19 février 1982</w:t>
            </w:r>
          </w:p>
          <w:p w14:paraId="49405721" w14:textId="77777777" w:rsidR="0093676D" w:rsidRPr="00CB4F2E" w:rsidRDefault="0093676D" w:rsidP="00D80992"/>
        </w:tc>
      </w:tr>
      <w:tr w:rsidR="0093676D" w:rsidRPr="00CB4F2E" w14:paraId="7D8E306E" w14:textId="77777777" w:rsidTr="00D80992">
        <w:tc>
          <w:tcPr>
            <w:tcW w:w="5407" w:type="dxa"/>
          </w:tcPr>
          <w:p w14:paraId="0453445C" w14:textId="44E6D810" w:rsidR="0093676D" w:rsidRPr="00CB4F2E" w:rsidRDefault="0093676D" w:rsidP="00D80992">
            <w:r w:rsidRPr="00CB4F2E">
              <w:t>Convention de 1951 relative au statut des réfugiés</w:t>
            </w:r>
          </w:p>
        </w:tc>
        <w:tc>
          <w:tcPr>
            <w:tcW w:w="1963" w:type="dxa"/>
          </w:tcPr>
          <w:p w14:paraId="097235FF" w14:textId="77777777" w:rsidR="0093676D" w:rsidRPr="00CB4F2E" w:rsidRDefault="0093676D" w:rsidP="00D80992">
            <w:r w:rsidRPr="00CB4F2E">
              <w:t xml:space="preserve"> 23 juin 1961</w:t>
            </w:r>
          </w:p>
        </w:tc>
      </w:tr>
      <w:tr w:rsidR="0093676D" w:rsidRPr="00CB4F2E" w14:paraId="2AB6D96F" w14:textId="77777777" w:rsidTr="00D80992">
        <w:tc>
          <w:tcPr>
            <w:tcW w:w="5407" w:type="dxa"/>
          </w:tcPr>
          <w:p w14:paraId="52E4E006" w14:textId="66FBC30A" w:rsidR="0093676D" w:rsidRPr="00CB4F2E" w:rsidRDefault="0093676D" w:rsidP="00D80992">
            <w:r w:rsidRPr="00CB4F2E">
              <w:t>Protocole du 31 janvier 1967 relatif au statut des réfugiés</w:t>
            </w:r>
          </w:p>
        </w:tc>
        <w:tc>
          <w:tcPr>
            <w:tcW w:w="1963" w:type="dxa"/>
          </w:tcPr>
          <w:p w14:paraId="31732DF5" w14:textId="77777777" w:rsidR="0093676D" w:rsidRPr="00CB4F2E" w:rsidRDefault="0093676D" w:rsidP="00D80992">
            <w:r w:rsidRPr="00CB4F2E">
              <w:t>9 septembre 1967</w:t>
            </w:r>
          </w:p>
        </w:tc>
      </w:tr>
      <w:tr w:rsidR="0093676D" w:rsidRPr="00CB4F2E" w14:paraId="1D2FF06A" w14:textId="77777777" w:rsidTr="00D80992">
        <w:tc>
          <w:tcPr>
            <w:tcW w:w="5407" w:type="dxa"/>
          </w:tcPr>
          <w:p w14:paraId="43C05177" w14:textId="637656AF" w:rsidR="0093676D" w:rsidRPr="00CB4F2E" w:rsidRDefault="0093676D" w:rsidP="00D80992">
            <w:r w:rsidRPr="00CB4F2E">
              <w:t>Convention internationale du 30 novembre 1973 sur l’élimination et la répression du crime d’apartheid</w:t>
            </w:r>
          </w:p>
        </w:tc>
        <w:tc>
          <w:tcPr>
            <w:tcW w:w="1963" w:type="dxa"/>
          </w:tcPr>
          <w:p w14:paraId="4402096A" w14:textId="77777777" w:rsidR="0093676D" w:rsidRPr="00CB4F2E" w:rsidRDefault="0093676D" w:rsidP="00D80992">
            <w:r w:rsidRPr="00CB4F2E">
              <w:t>1er novembre 1976</w:t>
            </w:r>
          </w:p>
        </w:tc>
      </w:tr>
      <w:tr w:rsidR="0093676D" w:rsidRPr="00CB4F2E" w14:paraId="4826FC83" w14:textId="77777777" w:rsidTr="00D80992">
        <w:tc>
          <w:tcPr>
            <w:tcW w:w="5407" w:type="dxa"/>
          </w:tcPr>
          <w:p w14:paraId="5326E23B" w14:textId="77777777" w:rsidR="0093676D" w:rsidRPr="00CB4F2E" w:rsidRDefault="0093676D" w:rsidP="00D80992">
            <w:r w:rsidRPr="00CB4F2E">
              <w:t>Convention-cadre des Nations Unies sur les changements climatiques</w:t>
            </w:r>
          </w:p>
        </w:tc>
        <w:tc>
          <w:tcPr>
            <w:tcW w:w="1963" w:type="dxa"/>
          </w:tcPr>
          <w:p w14:paraId="15C1D577" w14:textId="77777777" w:rsidR="0093676D" w:rsidRPr="00CB4F2E" w:rsidRDefault="0093676D" w:rsidP="00D80992">
            <w:r w:rsidRPr="00CB4F2E">
              <w:t>19 octobre 1992</w:t>
            </w:r>
          </w:p>
        </w:tc>
      </w:tr>
      <w:tr w:rsidR="0093676D" w:rsidRPr="00CB4F2E" w14:paraId="074CD73E" w14:textId="77777777" w:rsidTr="00D80992">
        <w:tc>
          <w:tcPr>
            <w:tcW w:w="5407" w:type="dxa"/>
          </w:tcPr>
          <w:p w14:paraId="1AB215F8" w14:textId="4DE861AC" w:rsidR="0093676D" w:rsidRPr="00CB4F2E" w:rsidRDefault="0093676D" w:rsidP="00D80992">
            <w:r w:rsidRPr="00CB4F2E">
              <w:t>Convention des Nations Unies contre la criminalité transnationale organisée</w:t>
            </w:r>
          </w:p>
          <w:p w14:paraId="3D017F8B" w14:textId="77777777" w:rsidR="0093676D" w:rsidRPr="00CB4F2E" w:rsidRDefault="0093676D" w:rsidP="00D80992">
            <w:r w:rsidRPr="00CB4F2E">
              <w:t xml:space="preserve"> et ses Protocoles additionnels, à savoir le Protocole contre le trafic illicite de migrants par terre, air et mer, et le Protocole visant à prévenir, réprimer et punir la traite des personnes, en particulier des femmes et des enfants</w:t>
            </w:r>
          </w:p>
        </w:tc>
        <w:tc>
          <w:tcPr>
            <w:tcW w:w="1963" w:type="dxa"/>
          </w:tcPr>
          <w:p w14:paraId="7D86D707" w14:textId="77777777" w:rsidR="0093676D" w:rsidRPr="00CB4F2E" w:rsidRDefault="0093676D" w:rsidP="00D80992"/>
          <w:p w14:paraId="38F41816" w14:textId="77777777" w:rsidR="0093676D" w:rsidRPr="00CB4F2E" w:rsidRDefault="0093676D" w:rsidP="00D80992">
            <w:r w:rsidRPr="00CB4F2E">
              <w:t xml:space="preserve"> 18 mai 2004</w:t>
            </w:r>
          </w:p>
        </w:tc>
      </w:tr>
      <w:tr w:rsidR="0093676D" w:rsidRPr="00CB4F2E" w14:paraId="384F66EB" w14:textId="77777777" w:rsidTr="00D80992">
        <w:tc>
          <w:tcPr>
            <w:tcW w:w="5407" w:type="dxa"/>
          </w:tcPr>
          <w:p w14:paraId="29EA116F" w14:textId="77777777" w:rsidR="0093676D" w:rsidRPr="00CB4F2E" w:rsidRDefault="0093676D" w:rsidP="00D80992">
            <w:r w:rsidRPr="00CB4F2E">
              <w:t xml:space="preserve"> Convention des Nations Unies contre la corruption du 31 octobre 2003</w:t>
            </w:r>
          </w:p>
        </w:tc>
        <w:tc>
          <w:tcPr>
            <w:tcW w:w="1963" w:type="dxa"/>
          </w:tcPr>
          <w:p w14:paraId="13AB93BD" w14:textId="77777777" w:rsidR="0093676D" w:rsidRPr="00CB4F2E" w:rsidRDefault="0093676D" w:rsidP="00D80992">
            <w:r w:rsidRPr="00CB4F2E">
              <w:t>18 mai 2004</w:t>
            </w:r>
          </w:p>
        </w:tc>
      </w:tr>
      <w:tr w:rsidR="0093676D" w:rsidRPr="00CB4F2E" w14:paraId="0318B475" w14:textId="77777777" w:rsidTr="00D80992">
        <w:tc>
          <w:tcPr>
            <w:tcW w:w="5407" w:type="dxa"/>
          </w:tcPr>
          <w:p w14:paraId="592C141F" w14:textId="77777777" w:rsidR="0093676D" w:rsidRPr="00CB4F2E" w:rsidRDefault="0093676D" w:rsidP="00D80992">
            <w:r w:rsidRPr="00CB4F2E">
              <w:t>Convention de l’UNESCO sur la protection et la promotion de la diversité des expressions culturelles</w:t>
            </w:r>
          </w:p>
        </w:tc>
        <w:tc>
          <w:tcPr>
            <w:tcW w:w="1963" w:type="dxa"/>
          </w:tcPr>
          <w:p w14:paraId="0B0CBF6F" w14:textId="77777777" w:rsidR="0093676D" w:rsidRPr="00CB4F2E" w:rsidRDefault="0093676D" w:rsidP="00D80992">
            <w:r w:rsidRPr="00CB4F2E">
              <w:t>4 août 2006</w:t>
            </w:r>
          </w:p>
        </w:tc>
      </w:tr>
      <w:tr w:rsidR="0093676D" w:rsidRPr="00CB4F2E" w14:paraId="54FF55F5" w14:textId="77777777" w:rsidTr="00D80992">
        <w:tc>
          <w:tcPr>
            <w:tcW w:w="5407" w:type="dxa"/>
          </w:tcPr>
          <w:p w14:paraId="65CFA9A5" w14:textId="77777777" w:rsidR="0093676D" w:rsidRPr="00CB4F2E" w:rsidRDefault="0093676D" w:rsidP="00D80992">
            <w:r w:rsidRPr="00CB4F2E">
              <w:t>Accord sur le Climat</w:t>
            </w:r>
          </w:p>
        </w:tc>
        <w:tc>
          <w:tcPr>
            <w:tcW w:w="1963" w:type="dxa"/>
          </w:tcPr>
          <w:p w14:paraId="6AAC012C" w14:textId="77777777" w:rsidR="0093676D" w:rsidRPr="00CB4F2E" w:rsidRDefault="0093676D" w:rsidP="00D80992">
            <w:r w:rsidRPr="00CB4F2E">
              <w:t>12 juillet 2016</w:t>
            </w:r>
          </w:p>
          <w:p w14:paraId="63B5EAD8" w14:textId="77777777" w:rsidR="0093676D" w:rsidRPr="00CB4F2E" w:rsidRDefault="0093676D" w:rsidP="00D80992"/>
        </w:tc>
      </w:tr>
      <w:tr w:rsidR="0093676D" w:rsidRPr="00CB4F2E" w14:paraId="68D3B1F6" w14:textId="77777777" w:rsidTr="00D80992">
        <w:tc>
          <w:tcPr>
            <w:tcW w:w="5407" w:type="dxa"/>
          </w:tcPr>
          <w:p w14:paraId="62916AA6" w14:textId="66F7E51D" w:rsidR="0093676D" w:rsidRPr="00CB4F2E" w:rsidRDefault="0093676D" w:rsidP="00D80992">
            <w:r w:rsidRPr="00CB4F2E">
              <w:t>Convention de Minamata sur le mercure</w:t>
            </w:r>
          </w:p>
        </w:tc>
        <w:tc>
          <w:tcPr>
            <w:tcW w:w="1963" w:type="dxa"/>
          </w:tcPr>
          <w:p w14:paraId="7FB5498D" w14:textId="77777777" w:rsidR="0093676D" w:rsidRPr="00CB4F2E" w:rsidRDefault="0093676D" w:rsidP="00D80992">
            <w:r w:rsidRPr="00CB4F2E">
              <w:t>18 décembre 2018</w:t>
            </w:r>
          </w:p>
        </w:tc>
      </w:tr>
      <w:tr w:rsidR="0093676D" w:rsidRPr="00CB4F2E" w14:paraId="6E5A4CD8" w14:textId="77777777" w:rsidTr="00D80992">
        <w:tc>
          <w:tcPr>
            <w:tcW w:w="5407" w:type="dxa"/>
          </w:tcPr>
          <w:p w14:paraId="1C5F216E" w14:textId="4F1D7D60" w:rsidR="0093676D" w:rsidRPr="00CB4F2E" w:rsidRDefault="0093676D" w:rsidP="00D80992">
            <w:r w:rsidRPr="00CB4F2E">
              <w:t>Protocole facultatif à la Convention relative aux Droits de l’enfant concernant la vente d’enfants, la prostitution des enfants et la pornographie mettant en scène des enfants</w:t>
            </w:r>
          </w:p>
        </w:tc>
        <w:tc>
          <w:tcPr>
            <w:tcW w:w="1963" w:type="dxa"/>
          </w:tcPr>
          <w:p w14:paraId="0892447E" w14:textId="77777777" w:rsidR="0093676D" w:rsidRPr="00CB4F2E" w:rsidRDefault="0093676D" w:rsidP="00D80992">
            <w:r w:rsidRPr="00CB4F2E">
              <w:t xml:space="preserve"> 6 janvier 2020 </w:t>
            </w:r>
          </w:p>
        </w:tc>
      </w:tr>
      <w:tr w:rsidR="0093676D" w:rsidRPr="00CB4F2E" w14:paraId="053F7354" w14:textId="77777777" w:rsidTr="00D80992">
        <w:tc>
          <w:tcPr>
            <w:tcW w:w="5407" w:type="dxa"/>
          </w:tcPr>
          <w:p w14:paraId="1942E7B8" w14:textId="77777777" w:rsidR="0093676D" w:rsidRPr="00CB4F2E" w:rsidRDefault="0093676D" w:rsidP="00D80992">
            <w:r w:rsidRPr="00CB4F2E">
              <w:lastRenderedPageBreak/>
              <w:t>Convention des Nations Unies sur les Droits des personnes handicapées</w:t>
            </w:r>
          </w:p>
        </w:tc>
        <w:tc>
          <w:tcPr>
            <w:tcW w:w="1963" w:type="dxa"/>
          </w:tcPr>
          <w:p w14:paraId="36C02B07" w14:textId="77777777" w:rsidR="0093676D" w:rsidRPr="00CB4F2E" w:rsidRDefault="0093676D" w:rsidP="00D80992">
            <w:r w:rsidRPr="00CB4F2E">
              <w:t>28 septembre 2023</w:t>
            </w:r>
          </w:p>
        </w:tc>
      </w:tr>
      <w:tr w:rsidR="0093676D" w:rsidRPr="00CB4F2E" w14:paraId="7D8DE5A5" w14:textId="77777777" w:rsidTr="00D80992">
        <w:tc>
          <w:tcPr>
            <w:tcW w:w="5407" w:type="dxa"/>
          </w:tcPr>
          <w:p w14:paraId="6E381170" w14:textId="77777777" w:rsidR="0093676D" w:rsidRPr="00CB4F2E" w:rsidRDefault="0093676D" w:rsidP="00D80992">
            <w:r w:rsidRPr="00CB4F2E">
              <w:t xml:space="preserve"> Convention des Nations Unies relative au statut des apatrides </w:t>
            </w:r>
          </w:p>
        </w:tc>
        <w:tc>
          <w:tcPr>
            <w:tcW w:w="1963" w:type="dxa"/>
          </w:tcPr>
          <w:p w14:paraId="7801F12B" w14:textId="77777777" w:rsidR="0093676D" w:rsidRPr="00CB4F2E" w:rsidRDefault="0093676D" w:rsidP="00D80992">
            <w:r w:rsidRPr="00CB4F2E">
              <w:t>24 juillet 2024 </w:t>
            </w:r>
          </w:p>
        </w:tc>
      </w:tr>
      <w:tr w:rsidR="0093676D" w:rsidRPr="00CB4F2E" w14:paraId="3F11135A" w14:textId="77777777" w:rsidTr="00D80992">
        <w:tc>
          <w:tcPr>
            <w:tcW w:w="5407" w:type="dxa"/>
            <w:tcBorders>
              <w:bottom w:val="single" w:sz="12" w:space="0" w:color="auto"/>
            </w:tcBorders>
          </w:tcPr>
          <w:p w14:paraId="47AFE1DA" w14:textId="77777777" w:rsidR="0093676D" w:rsidRPr="00CB4F2E" w:rsidRDefault="0093676D" w:rsidP="00D80992">
            <w:r w:rsidRPr="00CB4F2E">
              <w:t>Convention des Nations Unies relative à la réduction des cas d'apatridie</w:t>
            </w:r>
          </w:p>
        </w:tc>
        <w:tc>
          <w:tcPr>
            <w:tcW w:w="1963" w:type="dxa"/>
            <w:tcBorders>
              <w:bottom w:val="single" w:sz="12" w:space="0" w:color="auto"/>
            </w:tcBorders>
          </w:tcPr>
          <w:p w14:paraId="41784C3A" w14:textId="77777777" w:rsidR="0093676D" w:rsidRPr="00CB4F2E" w:rsidRDefault="0093676D" w:rsidP="00D80992">
            <w:r w:rsidRPr="00CB4F2E">
              <w:t>24 juillet 2024 </w:t>
            </w:r>
          </w:p>
        </w:tc>
      </w:tr>
    </w:tbl>
    <w:p w14:paraId="6FA2943B" w14:textId="4B588EEA" w:rsidR="00ED20A7" w:rsidRDefault="00CB61F7" w:rsidP="00CB61F7">
      <w:pPr>
        <w:pStyle w:val="H23G"/>
        <w:rPr>
          <w:i/>
        </w:rPr>
      </w:pPr>
      <w:bookmarkStart w:id="78" w:name="_Toc210646341"/>
      <w:r>
        <w:tab/>
      </w:r>
      <w:r>
        <w:tab/>
      </w:r>
      <w:r w:rsidR="0093676D" w:rsidRPr="00CB4F2E">
        <w:t>Les Conventions de l’Organisation Internationale du Travail (OIT</w:t>
      </w:r>
      <w:r w:rsidR="0093676D" w:rsidRPr="00CB4F2E">
        <w:rPr>
          <w:i/>
        </w:rPr>
        <w:t>)</w:t>
      </w:r>
      <w:bookmarkEnd w:id="78"/>
    </w:p>
    <w:p w14:paraId="6BA13E9C" w14:textId="57F8675F" w:rsidR="0093676D" w:rsidRPr="00CB4F2E" w:rsidRDefault="0093676D" w:rsidP="005F1D8A">
      <w:pPr>
        <w:pStyle w:val="SingleTxtG"/>
        <w:numPr>
          <w:ilvl w:val="0"/>
          <w:numId w:val="6"/>
        </w:numPr>
        <w:ind w:left="1134" w:firstLine="0"/>
        <w:rPr>
          <w:bCs/>
          <w:iCs/>
        </w:rPr>
      </w:pPr>
      <w:r w:rsidRPr="00CB4F2E">
        <w:rPr>
          <w:bCs/>
          <w:iCs/>
        </w:rPr>
        <w:t xml:space="preserve">Des 51 </w:t>
      </w:r>
      <w:r w:rsidRPr="00CB4F2E">
        <w:t>Conventions</w:t>
      </w:r>
      <w:r w:rsidRPr="00CB4F2E">
        <w:rPr>
          <w:bCs/>
          <w:iCs/>
        </w:rPr>
        <w:t xml:space="preserve"> ratifiées par le Cameroun</w:t>
      </w:r>
      <w:r w:rsidRPr="00CB4F2E">
        <w:rPr>
          <w:rStyle w:val="FootnoteReference"/>
        </w:rPr>
        <w:footnoteReference w:id="40"/>
      </w:r>
      <w:r w:rsidRPr="00CB4F2E">
        <w:rPr>
          <w:bCs/>
          <w:iCs/>
        </w:rPr>
        <w:t>, 39 sont en vigueur, 4 ont été dénoncées et 8 abrogées. Quelques-unes de celles en vigueur sont ci-après listées.</w:t>
      </w:r>
    </w:p>
    <w:tbl>
      <w:tblPr>
        <w:tblW w:w="7370" w:type="dxa"/>
        <w:tblInd w:w="1134" w:type="dxa"/>
        <w:tblLayout w:type="fixed"/>
        <w:tblCellMar>
          <w:left w:w="0" w:type="dxa"/>
          <w:right w:w="0" w:type="dxa"/>
        </w:tblCellMar>
        <w:tblLook w:val="04A0" w:firstRow="1" w:lastRow="0" w:firstColumn="1" w:lastColumn="0" w:noHBand="0" w:noVBand="1"/>
      </w:tblPr>
      <w:tblGrid>
        <w:gridCol w:w="5752"/>
        <w:gridCol w:w="1618"/>
      </w:tblGrid>
      <w:tr w:rsidR="0093676D" w:rsidRPr="00CB4F2E" w14:paraId="6639F59D" w14:textId="77777777" w:rsidTr="00CB61F7">
        <w:trPr>
          <w:tblHeader/>
        </w:trPr>
        <w:tc>
          <w:tcPr>
            <w:tcW w:w="5752" w:type="dxa"/>
            <w:tcBorders>
              <w:top w:val="single" w:sz="4" w:space="0" w:color="auto"/>
              <w:bottom w:val="single" w:sz="12" w:space="0" w:color="auto"/>
            </w:tcBorders>
            <w:vAlign w:val="bottom"/>
          </w:tcPr>
          <w:p w14:paraId="2B023CC3" w14:textId="77777777" w:rsidR="0093676D" w:rsidRPr="00CB4F2E" w:rsidRDefault="0093676D" w:rsidP="00D80992">
            <w:pPr>
              <w:rPr>
                <w:i/>
              </w:rPr>
            </w:pPr>
            <w:r w:rsidRPr="00CB4F2E">
              <w:rPr>
                <w:i/>
              </w:rPr>
              <w:t>Conventions</w:t>
            </w:r>
          </w:p>
        </w:tc>
        <w:tc>
          <w:tcPr>
            <w:tcW w:w="1618" w:type="dxa"/>
            <w:tcBorders>
              <w:top w:val="single" w:sz="4" w:space="0" w:color="auto"/>
              <w:bottom w:val="single" w:sz="12" w:space="0" w:color="auto"/>
            </w:tcBorders>
            <w:vAlign w:val="bottom"/>
          </w:tcPr>
          <w:p w14:paraId="0FE1D877" w14:textId="77777777" w:rsidR="0093676D" w:rsidRPr="00CB4F2E" w:rsidRDefault="0093676D" w:rsidP="00D80992">
            <w:pPr>
              <w:rPr>
                <w:i/>
              </w:rPr>
            </w:pPr>
            <w:r w:rsidRPr="00CB4F2E">
              <w:rPr>
                <w:i/>
              </w:rPr>
              <w:t>Dates d’accession, de dépôt des instruments de ratification ou des décrets de ratification ou d’adhésion</w:t>
            </w:r>
          </w:p>
        </w:tc>
      </w:tr>
      <w:tr w:rsidR="0093676D" w:rsidRPr="00CB4F2E" w14:paraId="4EED4920" w14:textId="77777777" w:rsidTr="00CB61F7">
        <w:trPr>
          <w:trHeight w:hRule="exact" w:val="113"/>
          <w:tblHeader/>
        </w:trPr>
        <w:tc>
          <w:tcPr>
            <w:tcW w:w="5752" w:type="dxa"/>
            <w:tcBorders>
              <w:top w:val="single" w:sz="12" w:space="0" w:color="auto"/>
            </w:tcBorders>
          </w:tcPr>
          <w:p w14:paraId="58908491" w14:textId="77777777" w:rsidR="0093676D" w:rsidRPr="00CB4F2E" w:rsidRDefault="0093676D" w:rsidP="00D80992"/>
        </w:tc>
        <w:tc>
          <w:tcPr>
            <w:tcW w:w="1618" w:type="dxa"/>
            <w:tcBorders>
              <w:top w:val="single" w:sz="12" w:space="0" w:color="auto"/>
            </w:tcBorders>
          </w:tcPr>
          <w:p w14:paraId="3B3A842B" w14:textId="77777777" w:rsidR="0093676D" w:rsidRPr="00CB4F2E" w:rsidRDefault="0093676D" w:rsidP="00D80992"/>
        </w:tc>
      </w:tr>
      <w:tr w:rsidR="0093676D" w:rsidRPr="00CB4F2E" w14:paraId="3A1A1310" w14:textId="77777777" w:rsidTr="00CB61F7">
        <w:trPr>
          <w:tblHeader/>
        </w:trPr>
        <w:tc>
          <w:tcPr>
            <w:tcW w:w="5752" w:type="dxa"/>
          </w:tcPr>
          <w:p w14:paraId="001B32DC" w14:textId="77777777" w:rsidR="0093676D" w:rsidRPr="00CB4F2E" w:rsidRDefault="0093676D" w:rsidP="00D80992">
            <w:r w:rsidRPr="00CB4F2E">
              <w:t>Convention (n</w:t>
            </w:r>
            <w:r w:rsidRPr="00CB4F2E">
              <w:rPr>
                <w:vertAlign w:val="superscript"/>
              </w:rPr>
              <w:t>o</w:t>
            </w:r>
            <w:r w:rsidRPr="00CB4F2E">
              <w:t> 29) sur le travail forcé</w:t>
            </w:r>
          </w:p>
        </w:tc>
        <w:tc>
          <w:tcPr>
            <w:tcW w:w="1618" w:type="dxa"/>
          </w:tcPr>
          <w:p w14:paraId="2E7ADA6B" w14:textId="77777777" w:rsidR="0093676D" w:rsidRPr="00CB4F2E" w:rsidRDefault="0093676D" w:rsidP="00D80992">
            <w:r w:rsidRPr="00CB4F2E">
              <w:t>7 juin 1960</w:t>
            </w:r>
          </w:p>
        </w:tc>
      </w:tr>
      <w:tr w:rsidR="0093676D" w:rsidRPr="00CB4F2E" w14:paraId="5F2059B3" w14:textId="77777777" w:rsidTr="00CB61F7">
        <w:tc>
          <w:tcPr>
            <w:tcW w:w="5752" w:type="dxa"/>
          </w:tcPr>
          <w:p w14:paraId="155A2D06" w14:textId="77777777" w:rsidR="0093676D" w:rsidRPr="00CB4F2E" w:rsidRDefault="0093676D" w:rsidP="00D80992">
            <w:r w:rsidRPr="00CB4F2E">
              <w:t>Convention (n</w:t>
            </w:r>
            <w:r w:rsidRPr="00CB4F2E">
              <w:rPr>
                <w:vertAlign w:val="superscript"/>
              </w:rPr>
              <w:t>o</w:t>
            </w:r>
            <w:r w:rsidRPr="00CB4F2E">
              <w:t> 87) sur la liberté syndicale et la protection du droit syndical</w:t>
            </w:r>
          </w:p>
        </w:tc>
        <w:tc>
          <w:tcPr>
            <w:tcW w:w="1618" w:type="dxa"/>
          </w:tcPr>
          <w:p w14:paraId="3F7DFB59" w14:textId="77777777" w:rsidR="0093676D" w:rsidRPr="00CB4F2E" w:rsidRDefault="0093676D" w:rsidP="00D80992">
            <w:r w:rsidRPr="00CB4F2E">
              <w:t>7 juin 1960</w:t>
            </w:r>
          </w:p>
        </w:tc>
      </w:tr>
      <w:tr w:rsidR="0093676D" w:rsidRPr="00CB4F2E" w14:paraId="0CAA98A9" w14:textId="77777777" w:rsidTr="00CB61F7">
        <w:tc>
          <w:tcPr>
            <w:tcW w:w="5752" w:type="dxa"/>
          </w:tcPr>
          <w:p w14:paraId="771E1618" w14:textId="77777777" w:rsidR="0093676D" w:rsidRPr="00CB4F2E" w:rsidRDefault="0093676D" w:rsidP="00D80992">
            <w:r w:rsidRPr="00CB4F2E">
              <w:t xml:space="preserve"> Convention (n</w:t>
            </w:r>
            <w:r w:rsidRPr="00CB4F2E">
              <w:rPr>
                <w:vertAlign w:val="superscript"/>
              </w:rPr>
              <w:t>o</w:t>
            </w:r>
            <w:r w:rsidRPr="00CB4F2E">
              <w:t xml:space="preserve"> 105) sur l’abolition du travail forcé </w:t>
            </w:r>
          </w:p>
        </w:tc>
        <w:tc>
          <w:tcPr>
            <w:tcW w:w="1618" w:type="dxa"/>
          </w:tcPr>
          <w:p w14:paraId="58429067" w14:textId="77777777" w:rsidR="0093676D" w:rsidRPr="00CB4F2E" w:rsidRDefault="0093676D" w:rsidP="00D80992">
            <w:r w:rsidRPr="00CB4F2E">
              <w:t>3 septembre 1962</w:t>
            </w:r>
          </w:p>
        </w:tc>
      </w:tr>
      <w:tr w:rsidR="0093676D" w:rsidRPr="00CB4F2E" w14:paraId="2C414845" w14:textId="77777777" w:rsidTr="00CB61F7">
        <w:tc>
          <w:tcPr>
            <w:tcW w:w="5752" w:type="dxa"/>
          </w:tcPr>
          <w:p w14:paraId="07AF4BB0" w14:textId="77777777" w:rsidR="0093676D" w:rsidRPr="00CB4F2E" w:rsidRDefault="0093676D" w:rsidP="00D80992">
            <w:r w:rsidRPr="00CB4F2E">
              <w:t xml:space="preserve"> Convention (n</w:t>
            </w:r>
            <w:r w:rsidRPr="00CB4F2E">
              <w:rPr>
                <w:vertAlign w:val="superscript"/>
              </w:rPr>
              <w:t>o</w:t>
            </w:r>
            <w:r w:rsidRPr="00CB4F2E">
              <w:t xml:space="preserve"> 97) sur les travailleurs migrants (révisée) </w:t>
            </w:r>
          </w:p>
        </w:tc>
        <w:tc>
          <w:tcPr>
            <w:tcW w:w="1618" w:type="dxa"/>
          </w:tcPr>
          <w:p w14:paraId="6AF74C91" w14:textId="77777777" w:rsidR="0093676D" w:rsidRPr="00CB4F2E" w:rsidRDefault="0093676D" w:rsidP="00D80992">
            <w:r w:rsidRPr="00CB4F2E">
              <w:t>3 septembre 1962</w:t>
            </w:r>
          </w:p>
        </w:tc>
      </w:tr>
      <w:tr w:rsidR="0093676D" w:rsidRPr="00CB4F2E" w14:paraId="63A59E74" w14:textId="77777777" w:rsidTr="00CB61F7">
        <w:tc>
          <w:tcPr>
            <w:tcW w:w="5752" w:type="dxa"/>
          </w:tcPr>
          <w:p w14:paraId="5F7E40A1" w14:textId="77777777" w:rsidR="0093676D" w:rsidRPr="00CB4F2E" w:rsidRDefault="0093676D" w:rsidP="00D80992">
            <w:r w:rsidRPr="00CB4F2E">
              <w:t>Convention (n</w:t>
            </w:r>
            <w:r w:rsidRPr="00CB4F2E">
              <w:rPr>
                <w:vertAlign w:val="superscript"/>
              </w:rPr>
              <w:t>o</w:t>
            </w:r>
            <w:r w:rsidRPr="00CB4F2E">
              <w:t> 81) sur l’inspection du travail</w:t>
            </w:r>
          </w:p>
        </w:tc>
        <w:tc>
          <w:tcPr>
            <w:tcW w:w="1618" w:type="dxa"/>
          </w:tcPr>
          <w:p w14:paraId="098237DC" w14:textId="77777777" w:rsidR="0093676D" w:rsidRPr="00CB4F2E" w:rsidRDefault="0093676D" w:rsidP="00D80992">
            <w:r w:rsidRPr="00CB4F2E">
              <w:t>3 septembre 1962</w:t>
            </w:r>
          </w:p>
        </w:tc>
      </w:tr>
      <w:tr w:rsidR="0093676D" w:rsidRPr="00CB4F2E" w14:paraId="42E1F619" w14:textId="77777777" w:rsidTr="00CB61F7">
        <w:tc>
          <w:tcPr>
            <w:tcW w:w="5752" w:type="dxa"/>
          </w:tcPr>
          <w:p w14:paraId="63BCB66F" w14:textId="77777777" w:rsidR="0093676D" w:rsidRPr="00CB4F2E" w:rsidRDefault="0093676D" w:rsidP="00D80992">
            <w:r w:rsidRPr="00CB4F2E">
              <w:t xml:space="preserve"> Convention (n</w:t>
            </w:r>
            <w:r w:rsidRPr="00CB4F2E">
              <w:rPr>
                <w:vertAlign w:val="superscript"/>
              </w:rPr>
              <w:t>o</w:t>
            </w:r>
            <w:r w:rsidRPr="00CB4F2E">
              <w:t xml:space="preserve"> 98) sur le droit d’organisation et de négociation collective de 1949 </w:t>
            </w:r>
          </w:p>
        </w:tc>
        <w:tc>
          <w:tcPr>
            <w:tcW w:w="1618" w:type="dxa"/>
          </w:tcPr>
          <w:p w14:paraId="59AFA88C" w14:textId="77777777" w:rsidR="0093676D" w:rsidRPr="00CB4F2E" w:rsidRDefault="0093676D" w:rsidP="00D80992">
            <w:r w:rsidRPr="00CB4F2E">
              <w:t>3 septembre 1962</w:t>
            </w:r>
          </w:p>
        </w:tc>
      </w:tr>
      <w:tr w:rsidR="0093676D" w:rsidRPr="00CB4F2E" w14:paraId="429997D6" w14:textId="77777777" w:rsidTr="00CB61F7">
        <w:tc>
          <w:tcPr>
            <w:tcW w:w="5752" w:type="dxa"/>
          </w:tcPr>
          <w:p w14:paraId="71AB04DB" w14:textId="77777777" w:rsidR="0093676D" w:rsidRPr="00CB4F2E" w:rsidRDefault="0093676D" w:rsidP="00D80992">
            <w:r w:rsidRPr="00CB4F2E">
              <w:t xml:space="preserve"> Convention (n</w:t>
            </w:r>
            <w:r w:rsidRPr="00CB4F2E">
              <w:rPr>
                <w:vertAlign w:val="superscript"/>
              </w:rPr>
              <w:t>o</w:t>
            </w:r>
            <w:r w:rsidRPr="00CB4F2E">
              <w:t> 100) sur l’égalité de rémunération</w:t>
            </w:r>
          </w:p>
        </w:tc>
        <w:tc>
          <w:tcPr>
            <w:tcW w:w="1618" w:type="dxa"/>
          </w:tcPr>
          <w:p w14:paraId="48E6355A" w14:textId="77777777" w:rsidR="0093676D" w:rsidRPr="00CB4F2E" w:rsidRDefault="0093676D" w:rsidP="00D80992">
            <w:r w:rsidRPr="00CB4F2E">
              <w:t>25 mai 1970</w:t>
            </w:r>
          </w:p>
        </w:tc>
      </w:tr>
      <w:tr w:rsidR="0093676D" w:rsidRPr="00CB4F2E" w14:paraId="00AC7A17" w14:textId="77777777" w:rsidTr="00CB61F7">
        <w:tc>
          <w:tcPr>
            <w:tcW w:w="5752" w:type="dxa"/>
          </w:tcPr>
          <w:p w14:paraId="1962B3ED" w14:textId="77777777" w:rsidR="0093676D" w:rsidRPr="00CB4F2E" w:rsidRDefault="0093676D" w:rsidP="00D80992">
            <w:r w:rsidRPr="00CB4F2E">
              <w:t xml:space="preserve"> Convention (n</w:t>
            </w:r>
            <w:r w:rsidRPr="00CB4F2E">
              <w:rPr>
                <w:vertAlign w:val="superscript"/>
              </w:rPr>
              <w:t>o</w:t>
            </w:r>
            <w:r w:rsidRPr="00CB4F2E">
              <w:t xml:space="preserve"> 122) sur la politique de l’emploi </w:t>
            </w:r>
          </w:p>
        </w:tc>
        <w:tc>
          <w:tcPr>
            <w:tcW w:w="1618" w:type="dxa"/>
          </w:tcPr>
          <w:p w14:paraId="7A9D5400" w14:textId="77777777" w:rsidR="0093676D" w:rsidRPr="00CB4F2E" w:rsidRDefault="0093676D" w:rsidP="00D80992">
            <w:r w:rsidRPr="00CB4F2E">
              <w:t>25 mai 1970</w:t>
            </w:r>
          </w:p>
        </w:tc>
      </w:tr>
      <w:tr w:rsidR="0093676D" w:rsidRPr="00CB4F2E" w14:paraId="4A7230C8" w14:textId="77777777" w:rsidTr="00CB61F7">
        <w:tc>
          <w:tcPr>
            <w:tcW w:w="5752" w:type="dxa"/>
          </w:tcPr>
          <w:p w14:paraId="73D48205" w14:textId="77777777" w:rsidR="0093676D" w:rsidRPr="00CB4F2E" w:rsidRDefault="0093676D" w:rsidP="00D80992">
            <w:r w:rsidRPr="00CB4F2E">
              <w:t>Convention (n</w:t>
            </w:r>
            <w:r w:rsidRPr="00CB4F2E">
              <w:rPr>
                <w:vertAlign w:val="superscript"/>
              </w:rPr>
              <w:t>o</w:t>
            </w:r>
            <w:r w:rsidRPr="00CB4F2E">
              <w:t xml:space="preserve"> 131) sur la fixation des salaires minima </w:t>
            </w:r>
          </w:p>
        </w:tc>
        <w:tc>
          <w:tcPr>
            <w:tcW w:w="1618" w:type="dxa"/>
          </w:tcPr>
          <w:p w14:paraId="3A8CE677" w14:textId="77777777" w:rsidR="0093676D" w:rsidRPr="00CB4F2E" w:rsidRDefault="0093676D" w:rsidP="00D80992">
            <w:r w:rsidRPr="00CB4F2E">
              <w:t>6 juillet 1973</w:t>
            </w:r>
          </w:p>
        </w:tc>
      </w:tr>
      <w:tr w:rsidR="0093676D" w:rsidRPr="00CB4F2E" w14:paraId="1B111BB3" w14:textId="77777777" w:rsidTr="00CB61F7">
        <w:tc>
          <w:tcPr>
            <w:tcW w:w="5752" w:type="dxa"/>
          </w:tcPr>
          <w:p w14:paraId="19C6426C" w14:textId="77777777" w:rsidR="0093676D" w:rsidRPr="00CB4F2E" w:rsidRDefault="0093676D" w:rsidP="00D80992">
            <w:r w:rsidRPr="00CB4F2E">
              <w:t xml:space="preserve"> Convention (n</w:t>
            </w:r>
            <w:r w:rsidRPr="00CB4F2E">
              <w:rPr>
                <w:vertAlign w:val="superscript"/>
              </w:rPr>
              <w:t>o</w:t>
            </w:r>
            <w:r w:rsidRPr="00CB4F2E">
              <w:t xml:space="preserve"> 132) sur les congés payés (révisée) </w:t>
            </w:r>
          </w:p>
        </w:tc>
        <w:tc>
          <w:tcPr>
            <w:tcW w:w="1618" w:type="dxa"/>
          </w:tcPr>
          <w:p w14:paraId="65EEF3F0" w14:textId="77777777" w:rsidR="0093676D" w:rsidRPr="00CB4F2E" w:rsidRDefault="0093676D" w:rsidP="00D80992">
            <w:r w:rsidRPr="00CB4F2E">
              <w:t>7 août 1973</w:t>
            </w:r>
          </w:p>
        </w:tc>
      </w:tr>
      <w:tr w:rsidR="0093676D" w:rsidRPr="00CB4F2E" w14:paraId="7BA885D2" w14:textId="77777777" w:rsidTr="00CB61F7">
        <w:tc>
          <w:tcPr>
            <w:tcW w:w="5752" w:type="dxa"/>
          </w:tcPr>
          <w:p w14:paraId="7A606FE0" w14:textId="77777777" w:rsidR="0093676D" w:rsidRPr="00CB4F2E" w:rsidRDefault="0093676D" w:rsidP="00D80992">
            <w:r w:rsidRPr="00CB4F2E">
              <w:t xml:space="preserve"> Convention (n</w:t>
            </w:r>
            <w:r w:rsidRPr="00CB4F2E">
              <w:rPr>
                <w:vertAlign w:val="superscript"/>
              </w:rPr>
              <w:t>o</w:t>
            </w:r>
            <w:r w:rsidRPr="00CB4F2E">
              <w:t xml:space="preserve"> 143) sur les travailleurs migrants (dispositions complémentaires) </w:t>
            </w:r>
          </w:p>
        </w:tc>
        <w:tc>
          <w:tcPr>
            <w:tcW w:w="1618" w:type="dxa"/>
          </w:tcPr>
          <w:p w14:paraId="60B0DA03" w14:textId="77777777" w:rsidR="0093676D" w:rsidRPr="00CB4F2E" w:rsidRDefault="0093676D" w:rsidP="00D80992">
            <w:r w:rsidRPr="00CB4F2E">
              <w:t>4 juillet 1978</w:t>
            </w:r>
          </w:p>
        </w:tc>
      </w:tr>
      <w:tr w:rsidR="0093676D" w:rsidRPr="00CB4F2E" w14:paraId="593E38A5" w14:textId="77777777" w:rsidTr="00CB61F7">
        <w:tc>
          <w:tcPr>
            <w:tcW w:w="5752" w:type="dxa"/>
          </w:tcPr>
          <w:p w14:paraId="0B22B63D" w14:textId="77777777" w:rsidR="0093676D" w:rsidRPr="00CB4F2E" w:rsidRDefault="0093676D" w:rsidP="00D80992">
            <w:r w:rsidRPr="00CB4F2E">
              <w:t xml:space="preserve"> Convention (n</w:t>
            </w:r>
            <w:r w:rsidRPr="00CB4F2E">
              <w:rPr>
                <w:vertAlign w:val="superscript"/>
              </w:rPr>
              <w:t>o</w:t>
            </w:r>
            <w:r w:rsidRPr="00CB4F2E">
              <w:t xml:space="preserve"> 106) sur le repos hebdomadaire (commerce et bureaux) de 1957 </w:t>
            </w:r>
          </w:p>
        </w:tc>
        <w:tc>
          <w:tcPr>
            <w:tcW w:w="1618" w:type="dxa"/>
          </w:tcPr>
          <w:p w14:paraId="4DB5F9D5" w14:textId="77777777" w:rsidR="0093676D" w:rsidRPr="00CB4F2E" w:rsidRDefault="0093676D" w:rsidP="00D80992">
            <w:r w:rsidRPr="00CB4F2E">
              <w:t>13 mai 1988</w:t>
            </w:r>
          </w:p>
        </w:tc>
      </w:tr>
      <w:tr w:rsidR="0093676D" w:rsidRPr="00CB4F2E" w14:paraId="08C58A71" w14:textId="77777777" w:rsidTr="00CB61F7">
        <w:tc>
          <w:tcPr>
            <w:tcW w:w="5752" w:type="dxa"/>
          </w:tcPr>
          <w:p w14:paraId="430FEABB" w14:textId="77777777" w:rsidR="0093676D" w:rsidRPr="00CB4F2E" w:rsidRDefault="0093676D" w:rsidP="00D80992">
            <w:r w:rsidRPr="00CB4F2E">
              <w:t xml:space="preserve"> Convention (n</w:t>
            </w:r>
            <w:r w:rsidRPr="00CB4F2E">
              <w:rPr>
                <w:vertAlign w:val="superscript"/>
              </w:rPr>
              <w:t>o</w:t>
            </w:r>
            <w:r w:rsidRPr="00CB4F2E">
              <w:t xml:space="preserve"> 111) concernant la discrimination (emploi et profession) </w:t>
            </w:r>
          </w:p>
        </w:tc>
        <w:tc>
          <w:tcPr>
            <w:tcW w:w="1618" w:type="dxa"/>
          </w:tcPr>
          <w:p w14:paraId="54ACEB23" w14:textId="77777777" w:rsidR="0093676D" w:rsidRPr="00CB4F2E" w:rsidRDefault="0093676D" w:rsidP="00D80992">
            <w:r w:rsidRPr="00CB4F2E">
              <w:t>13 mai 1988</w:t>
            </w:r>
          </w:p>
        </w:tc>
      </w:tr>
      <w:tr w:rsidR="0093676D" w:rsidRPr="00CB4F2E" w14:paraId="38987479" w14:textId="77777777" w:rsidTr="00CB61F7">
        <w:tc>
          <w:tcPr>
            <w:tcW w:w="5752" w:type="dxa"/>
          </w:tcPr>
          <w:p w14:paraId="1D5CB3AC" w14:textId="77777777" w:rsidR="0093676D" w:rsidRPr="00CB4F2E" w:rsidRDefault="0093676D" w:rsidP="00D80992">
            <w:r w:rsidRPr="00CB4F2E">
              <w:t xml:space="preserve"> Convention (n</w:t>
            </w:r>
            <w:r w:rsidRPr="00CB4F2E">
              <w:rPr>
                <w:vertAlign w:val="superscript"/>
              </w:rPr>
              <w:t>o</w:t>
            </w:r>
            <w:r w:rsidRPr="00CB4F2E">
              <w:t xml:space="preserve"> 138) sur l’âge minimum de 1973 </w:t>
            </w:r>
          </w:p>
        </w:tc>
        <w:tc>
          <w:tcPr>
            <w:tcW w:w="1618" w:type="dxa"/>
          </w:tcPr>
          <w:p w14:paraId="08657DD1" w14:textId="77777777" w:rsidR="0093676D" w:rsidRPr="00CB4F2E" w:rsidRDefault="0093676D" w:rsidP="00D80992">
            <w:r w:rsidRPr="00CB4F2E">
              <w:t>13 août 2001</w:t>
            </w:r>
          </w:p>
        </w:tc>
      </w:tr>
      <w:tr w:rsidR="0093676D" w:rsidRPr="00CB4F2E" w14:paraId="65723C09" w14:textId="77777777" w:rsidTr="00CB61F7">
        <w:tc>
          <w:tcPr>
            <w:tcW w:w="5752" w:type="dxa"/>
          </w:tcPr>
          <w:p w14:paraId="4BB90C9D" w14:textId="77777777" w:rsidR="0093676D" w:rsidRPr="00CB4F2E" w:rsidRDefault="0093676D" w:rsidP="00D80992">
            <w:r w:rsidRPr="00CB4F2E">
              <w:t>Convention (n</w:t>
            </w:r>
            <w:r w:rsidRPr="00CB4F2E">
              <w:rPr>
                <w:vertAlign w:val="superscript"/>
              </w:rPr>
              <w:t>o</w:t>
            </w:r>
            <w:r w:rsidRPr="00CB4F2E">
              <w:t xml:space="preserve"> 182) sur les pires formes de travail des enfants de 1999 </w:t>
            </w:r>
          </w:p>
        </w:tc>
        <w:tc>
          <w:tcPr>
            <w:tcW w:w="1618" w:type="dxa"/>
          </w:tcPr>
          <w:p w14:paraId="1525C7E4" w14:textId="77777777" w:rsidR="0093676D" w:rsidRPr="00CB4F2E" w:rsidRDefault="0093676D" w:rsidP="00D80992">
            <w:r w:rsidRPr="00CB4F2E">
              <w:t>05 juin 2002</w:t>
            </w:r>
          </w:p>
        </w:tc>
      </w:tr>
      <w:tr w:rsidR="0093676D" w:rsidRPr="00CB4F2E" w14:paraId="6D7D4CD0" w14:textId="77777777" w:rsidTr="00CB61F7">
        <w:tc>
          <w:tcPr>
            <w:tcW w:w="5752" w:type="dxa"/>
          </w:tcPr>
          <w:p w14:paraId="6A7606AD" w14:textId="77777777" w:rsidR="0093676D" w:rsidRPr="00CB4F2E" w:rsidRDefault="0093676D" w:rsidP="00D80992">
            <w:r w:rsidRPr="00CB4F2E">
              <w:t xml:space="preserve"> Convention (n° 144) sur les Consultations Tripartites </w:t>
            </w:r>
          </w:p>
        </w:tc>
        <w:tc>
          <w:tcPr>
            <w:tcW w:w="1618" w:type="dxa"/>
          </w:tcPr>
          <w:p w14:paraId="4CEAF9C8" w14:textId="77777777" w:rsidR="0093676D" w:rsidRPr="00CB4F2E" w:rsidRDefault="0093676D" w:rsidP="00D80992">
            <w:r w:rsidRPr="00CB4F2E">
              <w:t>11 juin 2018</w:t>
            </w:r>
          </w:p>
        </w:tc>
      </w:tr>
      <w:tr w:rsidR="0093676D" w:rsidRPr="00CB4F2E" w14:paraId="2554F76D" w14:textId="77777777" w:rsidTr="00CB61F7">
        <w:tc>
          <w:tcPr>
            <w:tcW w:w="5752" w:type="dxa"/>
            <w:tcBorders>
              <w:bottom w:val="single" w:sz="12" w:space="0" w:color="auto"/>
            </w:tcBorders>
          </w:tcPr>
          <w:p w14:paraId="7AF8BBA0" w14:textId="77777777" w:rsidR="0093676D" w:rsidRPr="00CB4F2E" w:rsidRDefault="0093676D" w:rsidP="00D80992">
            <w:r w:rsidRPr="00CB4F2E">
              <w:t>Convention n°155 de l’OIT sur la sécurité et la santé des travailleurs</w:t>
            </w:r>
          </w:p>
        </w:tc>
        <w:tc>
          <w:tcPr>
            <w:tcW w:w="1618" w:type="dxa"/>
            <w:tcBorders>
              <w:bottom w:val="single" w:sz="12" w:space="0" w:color="auto"/>
            </w:tcBorders>
          </w:tcPr>
          <w:p w14:paraId="3342D0E7" w14:textId="77777777" w:rsidR="0093676D" w:rsidRPr="00CB4F2E" w:rsidRDefault="0093676D" w:rsidP="00D80992">
            <w:r w:rsidRPr="00CB4F2E">
              <w:t>1</w:t>
            </w:r>
            <w:r w:rsidRPr="00CB4F2E">
              <w:rPr>
                <w:vertAlign w:val="superscript"/>
              </w:rPr>
              <w:t xml:space="preserve">er </w:t>
            </w:r>
            <w:r w:rsidRPr="00CB4F2E">
              <w:t>octobre 2021</w:t>
            </w:r>
          </w:p>
        </w:tc>
      </w:tr>
    </w:tbl>
    <w:p w14:paraId="3D3B9FB2" w14:textId="3FCE136A" w:rsidR="00ED20A7" w:rsidRDefault="00CB61F7" w:rsidP="00CB61F7">
      <w:pPr>
        <w:pStyle w:val="H23G"/>
      </w:pPr>
      <w:bookmarkStart w:id="79" w:name="_Toc210646342"/>
      <w:r>
        <w:tab/>
      </w:r>
      <w:r>
        <w:tab/>
      </w:r>
      <w:r w:rsidR="0093676D" w:rsidRPr="00CB4F2E">
        <w:t>Conventions de Genève et autres traités relatifs au droit international humanitaire</w:t>
      </w:r>
      <w:bookmarkEnd w:id="79"/>
      <w:r w:rsidR="0093676D" w:rsidRPr="00CB4F2E">
        <w:t xml:space="preserve"> </w:t>
      </w:r>
    </w:p>
    <w:p w14:paraId="35274BA4" w14:textId="1E3A4A28" w:rsidR="0093676D" w:rsidRPr="00CB4F2E" w:rsidRDefault="0093676D" w:rsidP="005F1D8A">
      <w:pPr>
        <w:pStyle w:val="SingleTxtG"/>
        <w:numPr>
          <w:ilvl w:val="0"/>
          <w:numId w:val="6"/>
        </w:numPr>
        <w:ind w:left="1134" w:firstLine="0"/>
      </w:pPr>
      <w:r w:rsidRPr="00CB4F2E">
        <w:t>Le Cameroun est partie à des Conventions sur les armes ainsi que sur la protection des victimes de conflits armés, des biens culturels et de l’environnement, au rang desquelles celles-ci-dessous.</w:t>
      </w:r>
    </w:p>
    <w:p w14:paraId="3F8DA201" w14:textId="77777777" w:rsidR="0093676D" w:rsidRPr="00CB4F2E" w:rsidRDefault="0093676D" w:rsidP="0093676D">
      <w:pPr>
        <w:rPr>
          <w:b/>
          <w:iCs/>
        </w:rPr>
      </w:pPr>
    </w:p>
    <w:tbl>
      <w:tblPr>
        <w:tblW w:w="7370" w:type="dxa"/>
        <w:tblInd w:w="1134" w:type="dxa"/>
        <w:tblLayout w:type="fixed"/>
        <w:tblCellMar>
          <w:left w:w="0" w:type="dxa"/>
          <w:right w:w="0" w:type="dxa"/>
        </w:tblCellMar>
        <w:tblLook w:val="04A0" w:firstRow="1" w:lastRow="0" w:firstColumn="1" w:lastColumn="0" w:noHBand="0" w:noVBand="1"/>
      </w:tblPr>
      <w:tblGrid>
        <w:gridCol w:w="5244"/>
        <w:gridCol w:w="2126"/>
      </w:tblGrid>
      <w:tr w:rsidR="0093676D" w:rsidRPr="00CB4F2E" w14:paraId="1866A582" w14:textId="77777777" w:rsidTr="00D80992">
        <w:trPr>
          <w:tblHeader/>
        </w:trPr>
        <w:tc>
          <w:tcPr>
            <w:tcW w:w="5244" w:type="dxa"/>
            <w:tcBorders>
              <w:top w:val="single" w:sz="4" w:space="0" w:color="auto"/>
              <w:bottom w:val="single" w:sz="12" w:space="0" w:color="auto"/>
            </w:tcBorders>
            <w:vAlign w:val="bottom"/>
          </w:tcPr>
          <w:p w14:paraId="378CC885" w14:textId="77777777" w:rsidR="0093676D" w:rsidRPr="00CB4F2E" w:rsidRDefault="0093676D" w:rsidP="00D80992">
            <w:pPr>
              <w:rPr>
                <w:i/>
              </w:rPr>
            </w:pPr>
            <w:r w:rsidRPr="00CB4F2E">
              <w:rPr>
                <w:i/>
              </w:rPr>
              <w:lastRenderedPageBreak/>
              <w:t>Conventions</w:t>
            </w:r>
          </w:p>
        </w:tc>
        <w:tc>
          <w:tcPr>
            <w:tcW w:w="2126" w:type="dxa"/>
            <w:tcBorders>
              <w:top w:val="single" w:sz="4" w:space="0" w:color="auto"/>
              <w:bottom w:val="single" w:sz="12" w:space="0" w:color="auto"/>
            </w:tcBorders>
            <w:vAlign w:val="bottom"/>
          </w:tcPr>
          <w:p w14:paraId="2EF56D16" w14:textId="77777777" w:rsidR="0093676D" w:rsidRPr="00CB4F2E" w:rsidRDefault="0093676D" w:rsidP="00D80992">
            <w:pPr>
              <w:rPr>
                <w:i/>
              </w:rPr>
            </w:pPr>
            <w:r w:rsidRPr="00CB4F2E">
              <w:rPr>
                <w:i/>
              </w:rPr>
              <w:t xml:space="preserve">Dates d’accession, de dépôt des instruments de ratification ou des décrets de ratification ou d’adhésion </w:t>
            </w:r>
          </w:p>
        </w:tc>
      </w:tr>
      <w:tr w:rsidR="0093676D" w:rsidRPr="00CB4F2E" w14:paraId="0012793B" w14:textId="77777777" w:rsidTr="00D80992">
        <w:trPr>
          <w:trHeight w:hRule="exact" w:val="113"/>
          <w:tblHeader/>
        </w:trPr>
        <w:tc>
          <w:tcPr>
            <w:tcW w:w="5244" w:type="dxa"/>
            <w:tcBorders>
              <w:top w:val="single" w:sz="12" w:space="0" w:color="auto"/>
            </w:tcBorders>
          </w:tcPr>
          <w:p w14:paraId="34E82EC4" w14:textId="77777777" w:rsidR="0093676D" w:rsidRPr="00CB4F2E" w:rsidRDefault="0093676D" w:rsidP="00D80992"/>
        </w:tc>
        <w:tc>
          <w:tcPr>
            <w:tcW w:w="2126" w:type="dxa"/>
            <w:tcBorders>
              <w:top w:val="single" w:sz="12" w:space="0" w:color="auto"/>
            </w:tcBorders>
          </w:tcPr>
          <w:p w14:paraId="4A56D411" w14:textId="77777777" w:rsidR="0093676D" w:rsidRPr="00CB4F2E" w:rsidRDefault="0093676D" w:rsidP="00D80992"/>
        </w:tc>
      </w:tr>
      <w:tr w:rsidR="0093676D" w:rsidRPr="00CB4F2E" w14:paraId="682C147A" w14:textId="77777777" w:rsidTr="00D80992">
        <w:trPr>
          <w:tblHeader/>
        </w:trPr>
        <w:tc>
          <w:tcPr>
            <w:tcW w:w="5244" w:type="dxa"/>
          </w:tcPr>
          <w:p w14:paraId="5FC172DF" w14:textId="77777777" w:rsidR="0093676D" w:rsidRPr="00CB4F2E" w:rsidRDefault="0093676D" w:rsidP="00D80992">
            <w:r w:rsidRPr="00CB4F2E">
              <w:t xml:space="preserve"> Convention pour la protection des biens culturels en cas de conflit armé</w:t>
            </w:r>
          </w:p>
        </w:tc>
        <w:tc>
          <w:tcPr>
            <w:tcW w:w="2126" w:type="dxa"/>
          </w:tcPr>
          <w:p w14:paraId="1B60B5D3" w14:textId="77777777" w:rsidR="0093676D" w:rsidRPr="00CB4F2E" w:rsidRDefault="0093676D" w:rsidP="00D80992">
            <w:r w:rsidRPr="00CB4F2E">
              <w:t>12 octobre 1961</w:t>
            </w:r>
          </w:p>
        </w:tc>
      </w:tr>
      <w:tr w:rsidR="0093676D" w:rsidRPr="00CB4F2E" w14:paraId="598C06F8" w14:textId="77777777" w:rsidTr="00D80992">
        <w:tc>
          <w:tcPr>
            <w:tcW w:w="5244" w:type="dxa"/>
          </w:tcPr>
          <w:p w14:paraId="7E1A6854" w14:textId="77777777" w:rsidR="0093676D" w:rsidRPr="00CB4F2E" w:rsidRDefault="0093676D" w:rsidP="00D80992">
            <w:pPr>
              <w:rPr>
                <w:lang w:val="fr-FR"/>
              </w:rPr>
            </w:pPr>
            <w:r w:rsidRPr="00CB4F2E">
              <w:rPr>
                <w:lang w:val="fr-FR"/>
              </w:rPr>
              <w:t xml:space="preserve"> Protocole à la Convention pour la protection des biens culturels en cas de conflit armé </w:t>
            </w:r>
          </w:p>
        </w:tc>
        <w:tc>
          <w:tcPr>
            <w:tcW w:w="2126" w:type="dxa"/>
          </w:tcPr>
          <w:p w14:paraId="562160D1" w14:textId="77777777" w:rsidR="0093676D" w:rsidRPr="00CB4F2E" w:rsidRDefault="0093676D" w:rsidP="00D80992">
            <w:r w:rsidRPr="00CB4F2E">
              <w:t>12 octobre 1961</w:t>
            </w:r>
          </w:p>
        </w:tc>
      </w:tr>
      <w:tr w:rsidR="0093676D" w:rsidRPr="00CB4F2E" w14:paraId="0E928988" w14:textId="77777777" w:rsidTr="00D80992">
        <w:tc>
          <w:tcPr>
            <w:tcW w:w="5244" w:type="dxa"/>
          </w:tcPr>
          <w:p w14:paraId="6BF43826" w14:textId="77777777" w:rsidR="0093676D" w:rsidRPr="00CB4F2E" w:rsidRDefault="0093676D" w:rsidP="00D80992">
            <w:r w:rsidRPr="00CB4F2E">
              <w:t>Convention de Genève (I) pour l’amélioration du sort des blessés et des malades dans les forces armées en campagne</w:t>
            </w:r>
          </w:p>
        </w:tc>
        <w:tc>
          <w:tcPr>
            <w:tcW w:w="2126" w:type="dxa"/>
          </w:tcPr>
          <w:p w14:paraId="131B04C4" w14:textId="77777777" w:rsidR="0093676D" w:rsidRPr="00CB4F2E" w:rsidRDefault="0093676D" w:rsidP="00D80992">
            <w:r w:rsidRPr="00CB4F2E">
              <w:t>16 septembre 1963</w:t>
            </w:r>
          </w:p>
        </w:tc>
      </w:tr>
      <w:tr w:rsidR="0093676D" w:rsidRPr="00CB4F2E" w14:paraId="3EFFB4B4" w14:textId="77777777" w:rsidTr="00D80992">
        <w:tc>
          <w:tcPr>
            <w:tcW w:w="5244" w:type="dxa"/>
          </w:tcPr>
          <w:p w14:paraId="26B2CDF8" w14:textId="77777777" w:rsidR="0093676D" w:rsidRPr="00CB4F2E" w:rsidRDefault="0093676D" w:rsidP="00D80992">
            <w:r w:rsidRPr="00CB4F2E">
              <w:t>Convention de Genève (II) pour l’amélioration du sort des blessés, des malades et des naufragés des forces armées sur mer</w:t>
            </w:r>
          </w:p>
        </w:tc>
        <w:tc>
          <w:tcPr>
            <w:tcW w:w="2126" w:type="dxa"/>
          </w:tcPr>
          <w:p w14:paraId="34947956" w14:textId="77777777" w:rsidR="0093676D" w:rsidRPr="00CB4F2E" w:rsidRDefault="0093676D" w:rsidP="00D80992">
            <w:r w:rsidRPr="00CB4F2E">
              <w:t>16 septembre 1963</w:t>
            </w:r>
          </w:p>
        </w:tc>
      </w:tr>
      <w:tr w:rsidR="0093676D" w:rsidRPr="00CB4F2E" w14:paraId="0B0A151C" w14:textId="77777777" w:rsidTr="00D80992">
        <w:tc>
          <w:tcPr>
            <w:tcW w:w="5244" w:type="dxa"/>
          </w:tcPr>
          <w:p w14:paraId="72C43CC6" w14:textId="0CE05DF7" w:rsidR="0093676D" w:rsidRPr="00CB4F2E" w:rsidRDefault="0093676D" w:rsidP="00D80992">
            <w:r w:rsidRPr="00CB4F2E">
              <w:t>Convention de Genève (III) relative au traitement des prisonniers de guerre</w:t>
            </w:r>
            <w:r w:rsidR="0027203C">
              <w:t xml:space="preserve"> </w:t>
            </w:r>
          </w:p>
        </w:tc>
        <w:tc>
          <w:tcPr>
            <w:tcW w:w="2126" w:type="dxa"/>
          </w:tcPr>
          <w:p w14:paraId="6D5C5A88" w14:textId="77777777" w:rsidR="0093676D" w:rsidRPr="00CB4F2E" w:rsidRDefault="0093676D" w:rsidP="00D80992">
            <w:r w:rsidRPr="00CB4F2E">
              <w:t>16 septembre 1963</w:t>
            </w:r>
          </w:p>
        </w:tc>
      </w:tr>
      <w:tr w:rsidR="0093676D" w:rsidRPr="00CB4F2E" w14:paraId="1ACF38A4" w14:textId="77777777" w:rsidTr="00D80992">
        <w:tc>
          <w:tcPr>
            <w:tcW w:w="5244" w:type="dxa"/>
          </w:tcPr>
          <w:p w14:paraId="1CD896D6" w14:textId="77777777" w:rsidR="0093676D" w:rsidRPr="00CB4F2E" w:rsidRDefault="0093676D" w:rsidP="00D80992">
            <w:r w:rsidRPr="00CB4F2E">
              <w:t>Convention de Genève (IV) relative à la protection des personnes civiles en temps de guerre</w:t>
            </w:r>
          </w:p>
        </w:tc>
        <w:tc>
          <w:tcPr>
            <w:tcW w:w="2126" w:type="dxa"/>
          </w:tcPr>
          <w:p w14:paraId="3C1F440B" w14:textId="77777777" w:rsidR="0093676D" w:rsidRPr="00CB4F2E" w:rsidRDefault="0093676D" w:rsidP="00D80992">
            <w:pPr>
              <w:rPr>
                <w:lang w:val="fr-FR"/>
              </w:rPr>
            </w:pPr>
            <w:r w:rsidRPr="00CB4F2E">
              <w:rPr>
                <w:lang w:val="fr-FR"/>
              </w:rPr>
              <w:t>16 septembre 1963</w:t>
            </w:r>
          </w:p>
          <w:p w14:paraId="16822B99" w14:textId="77777777" w:rsidR="0093676D" w:rsidRPr="00CB4F2E" w:rsidRDefault="0093676D" w:rsidP="00D80992"/>
        </w:tc>
      </w:tr>
      <w:tr w:rsidR="0093676D" w:rsidRPr="00CB4F2E" w14:paraId="001F2FD3" w14:textId="77777777" w:rsidTr="00D80992">
        <w:tc>
          <w:tcPr>
            <w:tcW w:w="5244" w:type="dxa"/>
          </w:tcPr>
          <w:p w14:paraId="1ABCBDED" w14:textId="77777777" w:rsidR="0093676D" w:rsidRPr="00CB4F2E" w:rsidRDefault="0093676D" w:rsidP="00D80992">
            <w:r w:rsidRPr="00CB4F2E">
              <w:t xml:space="preserve"> Convention sur l’imprescriptibilité des crimes de guerre et des crimes contre l’humanité </w:t>
            </w:r>
          </w:p>
        </w:tc>
        <w:tc>
          <w:tcPr>
            <w:tcW w:w="2126" w:type="dxa"/>
          </w:tcPr>
          <w:p w14:paraId="55CEF879" w14:textId="77777777" w:rsidR="0093676D" w:rsidRPr="00CB4F2E" w:rsidRDefault="0093676D" w:rsidP="00D80992">
            <w:pPr>
              <w:rPr>
                <w:lang w:val="fr-FR"/>
              </w:rPr>
            </w:pPr>
            <w:r w:rsidRPr="00CB4F2E">
              <w:rPr>
                <w:lang w:val="fr-FR"/>
              </w:rPr>
              <w:t>6 octobre 1972</w:t>
            </w:r>
          </w:p>
        </w:tc>
      </w:tr>
      <w:tr w:rsidR="0093676D" w:rsidRPr="00CB4F2E" w14:paraId="50E138CE" w14:textId="77777777" w:rsidTr="00D80992">
        <w:tc>
          <w:tcPr>
            <w:tcW w:w="5244" w:type="dxa"/>
          </w:tcPr>
          <w:p w14:paraId="477A5A6A" w14:textId="77777777" w:rsidR="0093676D" w:rsidRPr="00CB4F2E" w:rsidRDefault="0093676D" w:rsidP="00D80992">
            <w:r w:rsidRPr="00CB4F2E">
              <w:t xml:space="preserve"> Protocole additionnel aux Conventions de Genève relatif à la protection des victimes des conflits armés internationaux (Protocole I)</w:t>
            </w:r>
          </w:p>
        </w:tc>
        <w:tc>
          <w:tcPr>
            <w:tcW w:w="2126" w:type="dxa"/>
          </w:tcPr>
          <w:p w14:paraId="3BEB6728" w14:textId="77777777" w:rsidR="0093676D" w:rsidRPr="00CB4F2E" w:rsidRDefault="0093676D" w:rsidP="00D80992">
            <w:r w:rsidRPr="00CB4F2E">
              <w:t>16 mars 1984</w:t>
            </w:r>
          </w:p>
        </w:tc>
      </w:tr>
      <w:tr w:rsidR="0093676D" w:rsidRPr="00CB4F2E" w14:paraId="117A97DE" w14:textId="77777777" w:rsidTr="00D80992">
        <w:tc>
          <w:tcPr>
            <w:tcW w:w="5244" w:type="dxa"/>
          </w:tcPr>
          <w:p w14:paraId="6B4D176B" w14:textId="77777777" w:rsidR="0093676D" w:rsidRPr="00CB4F2E" w:rsidRDefault="0093676D" w:rsidP="00D80992">
            <w:r w:rsidRPr="00CB4F2E">
              <w:t>Protocole additionnel aux Conventions de Genève relatif à la protection des victimes des conflits armés non internationaux (Protocole II)</w:t>
            </w:r>
          </w:p>
        </w:tc>
        <w:tc>
          <w:tcPr>
            <w:tcW w:w="2126" w:type="dxa"/>
          </w:tcPr>
          <w:p w14:paraId="078842E2" w14:textId="77777777" w:rsidR="0093676D" w:rsidRPr="00CB4F2E" w:rsidRDefault="0093676D" w:rsidP="00D80992">
            <w:r w:rsidRPr="00CB4F2E">
              <w:t>16 mars 1984</w:t>
            </w:r>
          </w:p>
        </w:tc>
      </w:tr>
      <w:tr w:rsidR="0093676D" w:rsidRPr="00CB4F2E" w14:paraId="027CF6C0" w14:textId="77777777" w:rsidTr="00D80992">
        <w:tc>
          <w:tcPr>
            <w:tcW w:w="5244" w:type="dxa"/>
          </w:tcPr>
          <w:p w14:paraId="2720E93B" w14:textId="77777777" w:rsidR="0093676D" w:rsidRPr="00CB4F2E" w:rsidRDefault="0093676D" w:rsidP="00D80992">
            <w:r w:rsidRPr="00CB4F2E">
              <w:t>Convention d’Ottawa sur l’interdiction de l’emploi, du stockage, de la production et du transfert des mines antipersonnel et sur leur destruction</w:t>
            </w:r>
          </w:p>
        </w:tc>
        <w:tc>
          <w:tcPr>
            <w:tcW w:w="2126" w:type="dxa"/>
          </w:tcPr>
          <w:p w14:paraId="34A03E26" w14:textId="77777777" w:rsidR="0093676D" w:rsidRPr="00CB4F2E" w:rsidRDefault="0093676D" w:rsidP="00D80992">
            <w:r w:rsidRPr="00CB4F2E">
              <w:t>19 septembre 2002</w:t>
            </w:r>
          </w:p>
        </w:tc>
      </w:tr>
      <w:tr w:rsidR="0093676D" w:rsidRPr="00CB4F2E" w14:paraId="3F621A08" w14:textId="77777777" w:rsidTr="00D80992">
        <w:tc>
          <w:tcPr>
            <w:tcW w:w="5244" w:type="dxa"/>
            <w:tcBorders>
              <w:bottom w:val="single" w:sz="12" w:space="0" w:color="auto"/>
            </w:tcBorders>
          </w:tcPr>
          <w:p w14:paraId="0F12C70B" w14:textId="77777777" w:rsidR="0093676D" w:rsidRPr="00CB4F2E" w:rsidRDefault="0093676D" w:rsidP="00D80992">
            <w:r w:rsidRPr="00CB4F2E">
              <w:t>Deuxième Convention sur l’interdiction de la mise au point, de la fabrication et du stockage des armes bactériologiques (biologiques) ou à toxines et sur leur destruction</w:t>
            </w:r>
          </w:p>
        </w:tc>
        <w:tc>
          <w:tcPr>
            <w:tcW w:w="2126" w:type="dxa"/>
            <w:tcBorders>
              <w:bottom w:val="single" w:sz="12" w:space="0" w:color="auto"/>
            </w:tcBorders>
          </w:tcPr>
          <w:p w14:paraId="5E6AB9AD" w14:textId="77777777" w:rsidR="0093676D" w:rsidRPr="00CB4F2E" w:rsidRDefault="0093676D" w:rsidP="00D80992">
            <w:r w:rsidRPr="00CB4F2E">
              <w:t>07 mars 2012</w:t>
            </w:r>
          </w:p>
        </w:tc>
      </w:tr>
    </w:tbl>
    <w:p w14:paraId="0C95348A" w14:textId="7B544E2B" w:rsidR="00ED20A7" w:rsidRDefault="00423320" w:rsidP="00423320">
      <w:pPr>
        <w:pStyle w:val="H23G"/>
      </w:pPr>
      <w:bookmarkStart w:id="80" w:name="_Toc210646343"/>
      <w:r>
        <w:tab/>
      </w:r>
      <w:r>
        <w:tab/>
      </w:r>
      <w:r w:rsidR="0093676D" w:rsidRPr="00CB4F2E">
        <w:t>L’acceptation des instruments au niveau régional</w:t>
      </w:r>
      <w:bookmarkEnd w:id="80"/>
    </w:p>
    <w:p w14:paraId="160B51D5" w14:textId="07E23844" w:rsidR="0093676D" w:rsidRPr="00CB4F2E" w:rsidRDefault="0093676D" w:rsidP="005F1D8A">
      <w:pPr>
        <w:pStyle w:val="SingleTxtG"/>
        <w:numPr>
          <w:ilvl w:val="0"/>
          <w:numId w:val="6"/>
        </w:numPr>
        <w:ind w:left="1134" w:firstLine="0"/>
        <w:rPr>
          <w:bCs/>
          <w:iCs/>
        </w:rPr>
      </w:pPr>
      <w:proofErr w:type="spellStart"/>
      <w:r w:rsidRPr="00CB4F2E">
        <w:rPr>
          <w:bCs/>
          <w:iCs/>
        </w:rPr>
        <w:t>A</w:t>
      </w:r>
      <w:proofErr w:type="spellEnd"/>
      <w:r w:rsidRPr="00CB4F2E">
        <w:rPr>
          <w:bCs/>
          <w:iCs/>
        </w:rPr>
        <w:t xml:space="preserve"> l’échelle de l’Afrique, le Cameroun est partie à la plupart des instruments sur les droits de l’homme dont ceux ci-après.</w:t>
      </w:r>
    </w:p>
    <w:p w14:paraId="4B4F100D" w14:textId="77777777" w:rsidR="0093676D" w:rsidRPr="00CB4F2E" w:rsidRDefault="0093676D" w:rsidP="0093676D">
      <w:pPr>
        <w:rPr>
          <w:bCs/>
          <w:iCs/>
        </w:rPr>
      </w:pPr>
    </w:p>
    <w:tbl>
      <w:tblPr>
        <w:tblW w:w="7370" w:type="dxa"/>
        <w:tblInd w:w="1134" w:type="dxa"/>
        <w:tblLayout w:type="fixed"/>
        <w:tblCellMar>
          <w:left w:w="0" w:type="dxa"/>
          <w:right w:w="0" w:type="dxa"/>
        </w:tblCellMar>
        <w:tblLook w:val="04A0" w:firstRow="1" w:lastRow="0" w:firstColumn="1" w:lastColumn="0" w:noHBand="0" w:noVBand="1"/>
      </w:tblPr>
      <w:tblGrid>
        <w:gridCol w:w="5509"/>
        <w:gridCol w:w="1861"/>
      </w:tblGrid>
      <w:tr w:rsidR="0093676D" w:rsidRPr="00CB4F2E" w14:paraId="522E1A3B" w14:textId="77777777" w:rsidTr="00D80992">
        <w:trPr>
          <w:tblHeader/>
        </w:trPr>
        <w:tc>
          <w:tcPr>
            <w:tcW w:w="5509" w:type="dxa"/>
            <w:tcBorders>
              <w:top w:val="single" w:sz="4" w:space="0" w:color="auto"/>
              <w:bottom w:val="single" w:sz="12" w:space="0" w:color="auto"/>
            </w:tcBorders>
            <w:vAlign w:val="bottom"/>
          </w:tcPr>
          <w:p w14:paraId="33279AFD" w14:textId="77777777" w:rsidR="0093676D" w:rsidRPr="00CB4F2E" w:rsidRDefault="0093676D" w:rsidP="00D80992">
            <w:pPr>
              <w:rPr>
                <w:i/>
              </w:rPr>
            </w:pPr>
            <w:r w:rsidRPr="00CB4F2E">
              <w:rPr>
                <w:i/>
              </w:rPr>
              <w:t>Conventions</w:t>
            </w:r>
          </w:p>
        </w:tc>
        <w:tc>
          <w:tcPr>
            <w:tcW w:w="1861" w:type="dxa"/>
            <w:tcBorders>
              <w:top w:val="single" w:sz="4" w:space="0" w:color="auto"/>
              <w:bottom w:val="single" w:sz="12" w:space="0" w:color="auto"/>
            </w:tcBorders>
            <w:vAlign w:val="bottom"/>
          </w:tcPr>
          <w:p w14:paraId="1171B4B4" w14:textId="77777777" w:rsidR="0093676D" w:rsidRPr="00CB4F2E" w:rsidRDefault="0093676D" w:rsidP="00D80992">
            <w:pPr>
              <w:rPr>
                <w:i/>
              </w:rPr>
            </w:pPr>
            <w:r w:rsidRPr="00CB4F2E">
              <w:rPr>
                <w:i/>
              </w:rPr>
              <w:t>Dates de dépôt des instruments de ratification ou des décrets de ratification ou d’adhésion</w:t>
            </w:r>
          </w:p>
        </w:tc>
      </w:tr>
      <w:tr w:rsidR="0093676D" w:rsidRPr="00CB4F2E" w14:paraId="597E2948" w14:textId="77777777" w:rsidTr="00D80992">
        <w:trPr>
          <w:trHeight w:hRule="exact" w:val="113"/>
          <w:tblHeader/>
        </w:trPr>
        <w:tc>
          <w:tcPr>
            <w:tcW w:w="5509" w:type="dxa"/>
            <w:tcBorders>
              <w:top w:val="single" w:sz="12" w:space="0" w:color="auto"/>
            </w:tcBorders>
          </w:tcPr>
          <w:p w14:paraId="4DB13627" w14:textId="77777777" w:rsidR="0093676D" w:rsidRPr="00CB4F2E" w:rsidRDefault="0093676D" w:rsidP="00D80992"/>
        </w:tc>
        <w:tc>
          <w:tcPr>
            <w:tcW w:w="1861" w:type="dxa"/>
            <w:tcBorders>
              <w:top w:val="single" w:sz="12" w:space="0" w:color="auto"/>
            </w:tcBorders>
          </w:tcPr>
          <w:p w14:paraId="22776583" w14:textId="77777777" w:rsidR="0093676D" w:rsidRPr="00CB4F2E" w:rsidRDefault="0093676D" w:rsidP="00D80992"/>
        </w:tc>
      </w:tr>
      <w:tr w:rsidR="0093676D" w:rsidRPr="00CB4F2E" w14:paraId="647EE13B" w14:textId="77777777" w:rsidTr="00D80992">
        <w:trPr>
          <w:tblHeader/>
        </w:trPr>
        <w:tc>
          <w:tcPr>
            <w:tcW w:w="5509" w:type="dxa"/>
          </w:tcPr>
          <w:p w14:paraId="58028F10" w14:textId="77777777" w:rsidR="0093676D" w:rsidRPr="00CB4F2E" w:rsidRDefault="0093676D" w:rsidP="00D80992">
            <w:r w:rsidRPr="00CB4F2E">
              <w:t xml:space="preserve"> Convention africaine sur la conservation de la nature et des ressources naturelles </w:t>
            </w:r>
          </w:p>
        </w:tc>
        <w:tc>
          <w:tcPr>
            <w:tcW w:w="1861" w:type="dxa"/>
          </w:tcPr>
          <w:p w14:paraId="753745D5" w14:textId="77777777" w:rsidR="0093676D" w:rsidRPr="00CB4F2E" w:rsidRDefault="0093676D" w:rsidP="00D80992">
            <w:r w:rsidRPr="00CB4F2E">
              <w:t>18 juillet 1977</w:t>
            </w:r>
          </w:p>
        </w:tc>
      </w:tr>
      <w:tr w:rsidR="0093676D" w:rsidRPr="00CB4F2E" w14:paraId="558A0C6E" w14:textId="77777777" w:rsidTr="00D80992">
        <w:tc>
          <w:tcPr>
            <w:tcW w:w="5509" w:type="dxa"/>
          </w:tcPr>
          <w:p w14:paraId="72938127" w14:textId="77777777" w:rsidR="0093676D" w:rsidRPr="00CB4F2E" w:rsidRDefault="0093676D" w:rsidP="00D80992">
            <w:r w:rsidRPr="00CB4F2E">
              <w:t xml:space="preserve"> Charte culturelle de l’Afrique </w:t>
            </w:r>
          </w:p>
        </w:tc>
        <w:tc>
          <w:tcPr>
            <w:tcW w:w="1861" w:type="dxa"/>
          </w:tcPr>
          <w:p w14:paraId="1FCEA484" w14:textId="77777777" w:rsidR="0093676D" w:rsidRPr="00CB4F2E" w:rsidRDefault="0093676D" w:rsidP="00D80992">
            <w:r w:rsidRPr="00CB4F2E">
              <w:t>29 août 1981</w:t>
            </w:r>
          </w:p>
        </w:tc>
      </w:tr>
      <w:tr w:rsidR="0093676D" w:rsidRPr="00CB4F2E" w14:paraId="39AAF0A3" w14:textId="77777777" w:rsidTr="00D80992">
        <w:tc>
          <w:tcPr>
            <w:tcW w:w="5509" w:type="dxa"/>
          </w:tcPr>
          <w:p w14:paraId="2C0BC5CF" w14:textId="77777777" w:rsidR="0093676D" w:rsidRPr="00CB4F2E" w:rsidRDefault="0093676D" w:rsidP="00D80992">
            <w:r w:rsidRPr="00CB4F2E">
              <w:t xml:space="preserve">Convention de l’Organisation de l’Unité Africaine (OUA) régissant les aspects propres aux réfugiés en Afrique </w:t>
            </w:r>
          </w:p>
        </w:tc>
        <w:tc>
          <w:tcPr>
            <w:tcW w:w="1861" w:type="dxa"/>
          </w:tcPr>
          <w:p w14:paraId="5AB0549D" w14:textId="77777777" w:rsidR="0093676D" w:rsidRPr="00CB4F2E" w:rsidRDefault="0093676D" w:rsidP="00D80992">
            <w:r w:rsidRPr="00CB4F2E">
              <w:t>7 septembre 1985</w:t>
            </w:r>
          </w:p>
        </w:tc>
      </w:tr>
      <w:tr w:rsidR="0093676D" w:rsidRPr="00CB4F2E" w14:paraId="23BFE3F6" w14:textId="77777777" w:rsidTr="00D80992">
        <w:tc>
          <w:tcPr>
            <w:tcW w:w="5509" w:type="dxa"/>
          </w:tcPr>
          <w:p w14:paraId="6DDE82BD" w14:textId="77777777" w:rsidR="0093676D" w:rsidRPr="00CB4F2E" w:rsidRDefault="0093676D" w:rsidP="00D80992">
            <w:r w:rsidRPr="00CB4F2E">
              <w:t xml:space="preserve">Convention de l’OUA pour l’élimination du mercenariat en Afrique </w:t>
            </w:r>
          </w:p>
        </w:tc>
        <w:tc>
          <w:tcPr>
            <w:tcW w:w="1861" w:type="dxa"/>
          </w:tcPr>
          <w:p w14:paraId="0C4A9196" w14:textId="77777777" w:rsidR="0093676D" w:rsidRPr="00CB4F2E" w:rsidRDefault="0093676D" w:rsidP="00D80992">
            <w:r w:rsidRPr="00CB4F2E">
              <w:t>11 avril 1987</w:t>
            </w:r>
          </w:p>
        </w:tc>
      </w:tr>
      <w:tr w:rsidR="0093676D" w:rsidRPr="00CB4F2E" w14:paraId="122BDAC7" w14:textId="77777777" w:rsidTr="00D80992">
        <w:tc>
          <w:tcPr>
            <w:tcW w:w="5509" w:type="dxa"/>
          </w:tcPr>
          <w:p w14:paraId="13991E40" w14:textId="77777777" w:rsidR="0093676D" w:rsidRPr="00CB4F2E" w:rsidRDefault="0093676D" w:rsidP="00D80992">
            <w:r w:rsidRPr="00CB4F2E">
              <w:t>Charte africaine des Droits de l’Homme et des peuples (CADHP)</w:t>
            </w:r>
          </w:p>
        </w:tc>
        <w:tc>
          <w:tcPr>
            <w:tcW w:w="1861" w:type="dxa"/>
          </w:tcPr>
          <w:p w14:paraId="742A3478" w14:textId="77777777" w:rsidR="0093676D" w:rsidRPr="00CB4F2E" w:rsidRDefault="0093676D" w:rsidP="00D80992">
            <w:r w:rsidRPr="00CB4F2E">
              <w:t>20 juin 1989</w:t>
            </w:r>
          </w:p>
        </w:tc>
      </w:tr>
      <w:tr w:rsidR="0093676D" w:rsidRPr="00CB4F2E" w14:paraId="200AFD00" w14:textId="77777777" w:rsidTr="00D80992">
        <w:tc>
          <w:tcPr>
            <w:tcW w:w="5509" w:type="dxa"/>
          </w:tcPr>
          <w:p w14:paraId="3774CF72" w14:textId="77777777" w:rsidR="0093676D" w:rsidRPr="00CB4F2E" w:rsidRDefault="0093676D" w:rsidP="00D80992">
            <w:r w:rsidRPr="00CB4F2E">
              <w:t>Charte africaine des droits et du bien-être de l’enfant</w:t>
            </w:r>
          </w:p>
        </w:tc>
        <w:tc>
          <w:tcPr>
            <w:tcW w:w="1861" w:type="dxa"/>
          </w:tcPr>
          <w:p w14:paraId="17472960" w14:textId="77777777" w:rsidR="0093676D" w:rsidRPr="00CB4F2E" w:rsidRDefault="0093676D" w:rsidP="00D80992">
            <w:pPr>
              <w:rPr>
                <w:lang w:val="fr-FR"/>
              </w:rPr>
            </w:pPr>
            <w:r w:rsidRPr="00CB4F2E">
              <w:rPr>
                <w:lang w:val="fr-FR"/>
              </w:rPr>
              <w:t>5 septembre 1997</w:t>
            </w:r>
          </w:p>
        </w:tc>
      </w:tr>
      <w:tr w:rsidR="0093676D" w:rsidRPr="00CB4F2E" w14:paraId="367F58D2" w14:textId="77777777" w:rsidTr="00D80992">
        <w:tc>
          <w:tcPr>
            <w:tcW w:w="5509" w:type="dxa"/>
          </w:tcPr>
          <w:p w14:paraId="6098BA85" w14:textId="77777777" w:rsidR="0093676D" w:rsidRPr="00CB4F2E" w:rsidRDefault="0093676D" w:rsidP="00D80992">
            <w:r w:rsidRPr="00CB4F2E">
              <w:t xml:space="preserve"> Charte africaine de la jeunesse </w:t>
            </w:r>
          </w:p>
        </w:tc>
        <w:tc>
          <w:tcPr>
            <w:tcW w:w="1861" w:type="dxa"/>
          </w:tcPr>
          <w:p w14:paraId="5E387222" w14:textId="77777777" w:rsidR="0093676D" w:rsidRPr="00CB4F2E" w:rsidRDefault="0093676D" w:rsidP="00D80992">
            <w:r w:rsidRPr="00CB4F2E">
              <w:t>11 janvier 2011</w:t>
            </w:r>
          </w:p>
        </w:tc>
      </w:tr>
      <w:tr w:rsidR="0093676D" w:rsidRPr="00CB4F2E" w14:paraId="1AA9376F" w14:textId="77777777" w:rsidTr="00D80992">
        <w:tc>
          <w:tcPr>
            <w:tcW w:w="5509" w:type="dxa"/>
          </w:tcPr>
          <w:p w14:paraId="4E7F3B4B" w14:textId="77777777" w:rsidR="0093676D" w:rsidRPr="00CB4F2E" w:rsidRDefault="0093676D" w:rsidP="00D80992">
            <w:r w:rsidRPr="00CB4F2E">
              <w:t xml:space="preserve"> Charte africaine sur la démocratie, les élections et la Gouvernance </w:t>
            </w:r>
          </w:p>
        </w:tc>
        <w:tc>
          <w:tcPr>
            <w:tcW w:w="1861" w:type="dxa"/>
          </w:tcPr>
          <w:p w14:paraId="02127F45" w14:textId="77777777" w:rsidR="0093676D" w:rsidRPr="00CB4F2E" w:rsidRDefault="0093676D" w:rsidP="00D80992">
            <w:r w:rsidRPr="00CB4F2E">
              <w:t>24 août 2011</w:t>
            </w:r>
          </w:p>
        </w:tc>
      </w:tr>
      <w:tr w:rsidR="0093676D" w:rsidRPr="00CB4F2E" w14:paraId="4B6C8A60" w14:textId="77777777" w:rsidTr="00D80992">
        <w:tc>
          <w:tcPr>
            <w:tcW w:w="5509" w:type="dxa"/>
          </w:tcPr>
          <w:p w14:paraId="68C06E19" w14:textId="77777777" w:rsidR="0093676D" w:rsidRPr="00CB4F2E" w:rsidRDefault="0093676D" w:rsidP="00D80992">
            <w:r w:rsidRPr="00CB4F2E">
              <w:t xml:space="preserve"> Protocole à la CADHP relatif aux droits de la femme en Afrique </w:t>
            </w:r>
          </w:p>
        </w:tc>
        <w:tc>
          <w:tcPr>
            <w:tcW w:w="1861" w:type="dxa"/>
          </w:tcPr>
          <w:p w14:paraId="394C9E95" w14:textId="77777777" w:rsidR="0093676D" w:rsidRPr="00CB4F2E" w:rsidRDefault="0093676D" w:rsidP="00D80992">
            <w:r w:rsidRPr="00CB4F2E">
              <w:t>13 septembre 2012</w:t>
            </w:r>
          </w:p>
        </w:tc>
      </w:tr>
      <w:tr w:rsidR="0093676D" w:rsidRPr="00CB4F2E" w14:paraId="1225C57E" w14:textId="77777777" w:rsidTr="00D80992">
        <w:tc>
          <w:tcPr>
            <w:tcW w:w="5509" w:type="dxa"/>
          </w:tcPr>
          <w:p w14:paraId="1E057352" w14:textId="77777777" w:rsidR="0093676D" w:rsidRPr="00CB4F2E" w:rsidRDefault="0093676D" w:rsidP="00D80992">
            <w:pPr>
              <w:rPr>
                <w:lang w:val="fr-FR"/>
              </w:rPr>
            </w:pPr>
            <w:r w:rsidRPr="00CB4F2E">
              <w:rPr>
                <w:lang w:val="fr-FR"/>
              </w:rPr>
              <w:t xml:space="preserve">Protocole à la </w:t>
            </w:r>
            <w:r w:rsidRPr="00CB4F2E">
              <w:t xml:space="preserve">CADHP </w:t>
            </w:r>
            <w:r w:rsidRPr="00CB4F2E">
              <w:rPr>
                <w:lang w:val="fr-FR"/>
              </w:rPr>
              <w:t xml:space="preserve">portant création de la Cour Africaine des Droits de l’Homme et des Peuples </w:t>
            </w:r>
          </w:p>
        </w:tc>
        <w:tc>
          <w:tcPr>
            <w:tcW w:w="1861" w:type="dxa"/>
          </w:tcPr>
          <w:p w14:paraId="5225E096" w14:textId="77777777" w:rsidR="0093676D" w:rsidRPr="00CB4F2E" w:rsidRDefault="0093676D" w:rsidP="00D80992">
            <w:r w:rsidRPr="00CB4F2E">
              <w:t>9 décembre 2014</w:t>
            </w:r>
          </w:p>
        </w:tc>
      </w:tr>
      <w:tr w:rsidR="0093676D" w:rsidRPr="00CB4F2E" w14:paraId="371EE7B2" w14:textId="77777777" w:rsidTr="00D80992">
        <w:tc>
          <w:tcPr>
            <w:tcW w:w="5509" w:type="dxa"/>
          </w:tcPr>
          <w:p w14:paraId="4E1634EF" w14:textId="77777777" w:rsidR="0093676D" w:rsidRPr="00CB4F2E" w:rsidRDefault="0093676D" w:rsidP="00D80992">
            <w:r w:rsidRPr="00CB4F2E">
              <w:t xml:space="preserve"> Charte de la Renaissance Culturelle Africaine </w:t>
            </w:r>
          </w:p>
        </w:tc>
        <w:tc>
          <w:tcPr>
            <w:tcW w:w="1861" w:type="dxa"/>
          </w:tcPr>
          <w:p w14:paraId="44F99D93" w14:textId="77777777" w:rsidR="0093676D" w:rsidRPr="00CB4F2E" w:rsidRDefault="0093676D" w:rsidP="00D80992">
            <w:r w:rsidRPr="00CB4F2E">
              <w:t>23 décembre 2014</w:t>
            </w:r>
          </w:p>
        </w:tc>
      </w:tr>
      <w:tr w:rsidR="0093676D" w:rsidRPr="00CB4F2E" w14:paraId="19BF97EB" w14:textId="77777777" w:rsidTr="00D80992">
        <w:tc>
          <w:tcPr>
            <w:tcW w:w="5509" w:type="dxa"/>
          </w:tcPr>
          <w:p w14:paraId="37AB6298" w14:textId="77777777" w:rsidR="0093676D" w:rsidRPr="00CB4F2E" w:rsidRDefault="0093676D" w:rsidP="00D80992">
            <w:r w:rsidRPr="00CB4F2E">
              <w:t xml:space="preserve"> Convention de l’Union Africaine sur la Protection et l’Assistance aux Personnes Déplacées en Afrique</w:t>
            </w:r>
          </w:p>
        </w:tc>
        <w:tc>
          <w:tcPr>
            <w:tcW w:w="1861" w:type="dxa"/>
          </w:tcPr>
          <w:p w14:paraId="44F22D45" w14:textId="77777777" w:rsidR="0093676D" w:rsidRPr="00CB4F2E" w:rsidRDefault="0093676D" w:rsidP="00D80992">
            <w:r w:rsidRPr="00CB4F2E">
              <w:t>31 décembre 2014</w:t>
            </w:r>
          </w:p>
        </w:tc>
      </w:tr>
      <w:tr w:rsidR="0093676D" w:rsidRPr="00CB4F2E" w14:paraId="6D9EC30C" w14:textId="77777777" w:rsidTr="00D80992">
        <w:tc>
          <w:tcPr>
            <w:tcW w:w="5509" w:type="dxa"/>
          </w:tcPr>
          <w:p w14:paraId="6633E2C4" w14:textId="77777777" w:rsidR="0093676D" w:rsidRPr="00CB4F2E" w:rsidRDefault="0093676D" w:rsidP="00D80992">
            <w:r w:rsidRPr="00CB4F2E">
              <w:lastRenderedPageBreak/>
              <w:t xml:space="preserve"> Convention de l’OUA sur la Prévention et la Lutte contre le Terrorisme </w:t>
            </w:r>
          </w:p>
        </w:tc>
        <w:tc>
          <w:tcPr>
            <w:tcW w:w="1861" w:type="dxa"/>
          </w:tcPr>
          <w:p w14:paraId="6F8F7595" w14:textId="77777777" w:rsidR="0093676D" w:rsidRPr="00CB4F2E" w:rsidRDefault="0093676D" w:rsidP="00D80992">
            <w:r w:rsidRPr="00CB4F2E">
              <w:t>6 avril 2015</w:t>
            </w:r>
          </w:p>
        </w:tc>
      </w:tr>
      <w:tr w:rsidR="0093676D" w:rsidRPr="00CB4F2E" w14:paraId="2B8DA6A0" w14:textId="77777777" w:rsidTr="00D80992">
        <w:tc>
          <w:tcPr>
            <w:tcW w:w="5509" w:type="dxa"/>
          </w:tcPr>
          <w:p w14:paraId="7EAD8F2D" w14:textId="77777777" w:rsidR="0093676D" w:rsidRPr="00CB4F2E" w:rsidRDefault="0093676D" w:rsidP="00D80992">
            <w:pPr>
              <w:rPr>
                <w:lang w:val="fr-FR"/>
              </w:rPr>
            </w:pPr>
            <w:r w:rsidRPr="00CB4F2E">
              <w:rPr>
                <w:lang w:val="fr-FR"/>
              </w:rPr>
              <w:t xml:space="preserve">Protocole à la Convention de l’OUA sur la Prévention et la Lutte contre le Terrorisme </w:t>
            </w:r>
          </w:p>
        </w:tc>
        <w:tc>
          <w:tcPr>
            <w:tcW w:w="1861" w:type="dxa"/>
          </w:tcPr>
          <w:p w14:paraId="635AC03C" w14:textId="77777777" w:rsidR="0093676D" w:rsidRPr="00CB4F2E" w:rsidRDefault="0093676D" w:rsidP="00D80992">
            <w:r w:rsidRPr="00CB4F2E">
              <w:t>6 avril 2015</w:t>
            </w:r>
          </w:p>
        </w:tc>
      </w:tr>
      <w:tr w:rsidR="0093676D" w:rsidRPr="00CB4F2E" w14:paraId="0160326B" w14:textId="77777777" w:rsidTr="00D80992">
        <w:tc>
          <w:tcPr>
            <w:tcW w:w="5509" w:type="dxa"/>
          </w:tcPr>
          <w:p w14:paraId="743E0005" w14:textId="77777777" w:rsidR="0093676D" w:rsidRPr="00CB4F2E" w:rsidRDefault="0093676D" w:rsidP="00D80992">
            <w:r w:rsidRPr="00CB4F2E">
              <w:t xml:space="preserve"> Convention de l’Union Africaine (UA) sur la protection et l’assistance aux personnes déplacées en Afrique</w:t>
            </w:r>
          </w:p>
        </w:tc>
        <w:tc>
          <w:tcPr>
            <w:tcW w:w="1861" w:type="dxa"/>
          </w:tcPr>
          <w:p w14:paraId="0993ACFE" w14:textId="77777777" w:rsidR="0093676D" w:rsidRPr="00CB4F2E" w:rsidRDefault="0093676D" w:rsidP="00D80992">
            <w:r w:rsidRPr="00CB4F2E">
              <w:t>6 avril 2015</w:t>
            </w:r>
          </w:p>
        </w:tc>
      </w:tr>
      <w:tr w:rsidR="0093676D" w:rsidRPr="00CB4F2E" w14:paraId="4F0CC1B9" w14:textId="77777777" w:rsidTr="00D80992">
        <w:tc>
          <w:tcPr>
            <w:tcW w:w="5509" w:type="dxa"/>
          </w:tcPr>
          <w:p w14:paraId="627AD171" w14:textId="77777777" w:rsidR="0093676D" w:rsidRPr="00CB4F2E" w:rsidRDefault="0093676D" w:rsidP="00D80992">
            <w:r w:rsidRPr="00CB4F2E">
              <w:t xml:space="preserve"> Charte africaine des valeurs et des principes de la décentralisation, de la gouvernance locale et du développement local </w:t>
            </w:r>
          </w:p>
        </w:tc>
        <w:tc>
          <w:tcPr>
            <w:tcW w:w="1861" w:type="dxa"/>
          </w:tcPr>
          <w:p w14:paraId="1CC1BA17" w14:textId="77777777" w:rsidR="0093676D" w:rsidRPr="00CB4F2E" w:rsidRDefault="0093676D" w:rsidP="00D80992">
            <w:r w:rsidRPr="00CB4F2E">
              <w:t>31 octobre 2019</w:t>
            </w:r>
          </w:p>
        </w:tc>
      </w:tr>
      <w:tr w:rsidR="0093676D" w:rsidRPr="00CB4F2E" w14:paraId="04F39588" w14:textId="77777777" w:rsidTr="00D80992">
        <w:tc>
          <w:tcPr>
            <w:tcW w:w="5509" w:type="dxa"/>
          </w:tcPr>
          <w:p w14:paraId="3770A6FB" w14:textId="77777777" w:rsidR="0093676D" w:rsidRPr="00CB4F2E" w:rsidRDefault="0093676D" w:rsidP="00D80992">
            <w:r w:rsidRPr="00CB4F2E">
              <w:t>Accord portant création de l’Agence pour l’Assurance du Commerce en Afrique</w:t>
            </w:r>
          </w:p>
        </w:tc>
        <w:tc>
          <w:tcPr>
            <w:tcW w:w="1861" w:type="dxa"/>
          </w:tcPr>
          <w:p w14:paraId="77C2BDAD" w14:textId="77777777" w:rsidR="0093676D" w:rsidRPr="00CB4F2E" w:rsidRDefault="0093676D" w:rsidP="00D80992">
            <w:r w:rsidRPr="00CB4F2E">
              <w:t>6 janvier 2020</w:t>
            </w:r>
          </w:p>
        </w:tc>
      </w:tr>
      <w:tr w:rsidR="0093676D" w:rsidRPr="00CB4F2E" w14:paraId="6DCA206F" w14:textId="77777777" w:rsidTr="00D80992">
        <w:tc>
          <w:tcPr>
            <w:tcW w:w="5509" w:type="dxa"/>
          </w:tcPr>
          <w:p w14:paraId="0FBC234E" w14:textId="77777777" w:rsidR="0093676D" w:rsidRPr="00CB4F2E" w:rsidRDefault="0093676D" w:rsidP="00D80992">
            <w:r w:rsidRPr="00CB4F2E">
              <w:rPr>
                <w:lang w:val="fr-FR"/>
              </w:rPr>
              <w:t xml:space="preserve"> Convention de l’UA sur la prévention et la lutte contre la corruption </w:t>
            </w:r>
          </w:p>
        </w:tc>
        <w:tc>
          <w:tcPr>
            <w:tcW w:w="1861" w:type="dxa"/>
          </w:tcPr>
          <w:p w14:paraId="3FA310D9" w14:textId="77777777" w:rsidR="0093676D" w:rsidRPr="00CB4F2E" w:rsidRDefault="0093676D" w:rsidP="00D80992">
            <w:r w:rsidRPr="00CB4F2E">
              <w:t>1</w:t>
            </w:r>
            <w:r w:rsidRPr="00CB4F2E">
              <w:rPr>
                <w:vertAlign w:val="superscript"/>
              </w:rPr>
              <w:t>er</w:t>
            </w:r>
            <w:r w:rsidRPr="00CB4F2E">
              <w:t xml:space="preserve"> avril 2020</w:t>
            </w:r>
          </w:p>
        </w:tc>
      </w:tr>
      <w:tr w:rsidR="0093676D" w:rsidRPr="00CB4F2E" w14:paraId="04B6FE83" w14:textId="77777777" w:rsidTr="00D80992">
        <w:tc>
          <w:tcPr>
            <w:tcW w:w="5509" w:type="dxa"/>
          </w:tcPr>
          <w:p w14:paraId="7E4B26BA" w14:textId="77777777" w:rsidR="0093676D" w:rsidRPr="00CB4F2E" w:rsidRDefault="0093676D" w:rsidP="00D80992">
            <w:r w:rsidRPr="00CB4F2E">
              <w:t xml:space="preserve">Traité révisé de la Conférence interafricaine de la prévoyance sociale </w:t>
            </w:r>
          </w:p>
        </w:tc>
        <w:tc>
          <w:tcPr>
            <w:tcW w:w="1861" w:type="dxa"/>
          </w:tcPr>
          <w:p w14:paraId="241996B2" w14:textId="77777777" w:rsidR="0093676D" w:rsidRPr="00CB4F2E" w:rsidRDefault="0093676D" w:rsidP="00D80992">
            <w:r w:rsidRPr="00CB4F2E">
              <w:t>28 avril 2020</w:t>
            </w:r>
          </w:p>
        </w:tc>
      </w:tr>
      <w:tr w:rsidR="0093676D" w:rsidRPr="00CB4F2E" w14:paraId="23BF09FA" w14:textId="77777777" w:rsidTr="00D80992">
        <w:tc>
          <w:tcPr>
            <w:tcW w:w="5509" w:type="dxa"/>
          </w:tcPr>
          <w:p w14:paraId="7B4EA4E1" w14:textId="77777777" w:rsidR="0093676D" w:rsidRPr="00CB4F2E" w:rsidRDefault="0093676D" w:rsidP="00D80992">
            <w:pPr>
              <w:rPr>
                <w:lang w:val="fr-FR"/>
              </w:rPr>
            </w:pPr>
            <w:r w:rsidRPr="00CB4F2E">
              <w:rPr>
                <w:lang w:val="fr-FR"/>
              </w:rPr>
              <w:t xml:space="preserve"> Protocole à la CADHP relatif aux droits des personnes handicapées </w:t>
            </w:r>
          </w:p>
        </w:tc>
        <w:tc>
          <w:tcPr>
            <w:tcW w:w="1861" w:type="dxa"/>
          </w:tcPr>
          <w:p w14:paraId="13183BE9" w14:textId="77777777" w:rsidR="0093676D" w:rsidRPr="00CB4F2E" w:rsidRDefault="0093676D" w:rsidP="00D80992">
            <w:r w:rsidRPr="00CB4F2E">
              <w:t>8 septembre 2023</w:t>
            </w:r>
          </w:p>
        </w:tc>
      </w:tr>
      <w:tr w:rsidR="0093676D" w:rsidRPr="00CB4F2E" w14:paraId="05308CC5" w14:textId="77777777" w:rsidTr="00D80992">
        <w:tc>
          <w:tcPr>
            <w:tcW w:w="5509" w:type="dxa"/>
            <w:tcBorders>
              <w:bottom w:val="single" w:sz="12" w:space="0" w:color="auto"/>
            </w:tcBorders>
          </w:tcPr>
          <w:p w14:paraId="72EE755D" w14:textId="77777777" w:rsidR="0093676D" w:rsidRPr="00CB4F2E" w:rsidRDefault="0093676D" w:rsidP="00D80992">
            <w:pPr>
              <w:rPr>
                <w:lang w:val="fr-FR"/>
              </w:rPr>
            </w:pPr>
            <w:r w:rsidRPr="00CB4F2E">
              <w:rPr>
                <w:lang w:val="fr-FR"/>
              </w:rPr>
              <w:t xml:space="preserve"> Protocole à la CADHP relatif aux droits des personnes âgées </w:t>
            </w:r>
          </w:p>
        </w:tc>
        <w:tc>
          <w:tcPr>
            <w:tcW w:w="1861" w:type="dxa"/>
            <w:tcBorders>
              <w:bottom w:val="single" w:sz="12" w:space="0" w:color="auto"/>
            </w:tcBorders>
          </w:tcPr>
          <w:p w14:paraId="41195DCE" w14:textId="77777777" w:rsidR="0093676D" w:rsidRPr="00CB4F2E" w:rsidRDefault="0093676D" w:rsidP="00D80992">
            <w:r w:rsidRPr="00CB4F2E">
              <w:t>8 septembre 2023</w:t>
            </w:r>
          </w:p>
        </w:tc>
      </w:tr>
    </w:tbl>
    <w:p w14:paraId="1A6F4E87" w14:textId="03FA6215" w:rsidR="0093676D" w:rsidRPr="00CB4F2E" w:rsidRDefault="0093676D" w:rsidP="005F1D8A">
      <w:pPr>
        <w:pStyle w:val="SingleTxtG"/>
        <w:numPr>
          <w:ilvl w:val="0"/>
          <w:numId w:val="6"/>
        </w:numPr>
        <w:ind w:left="1134" w:firstLine="0"/>
      </w:pPr>
      <w:r w:rsidRPr="00CB4F2E">
        <w:t>Le Cameroun a également ratifié des instruments créant, instituant ou établissant certaines organisations régionales d’intégration juridique, qui ont un impact considérable sur les droits économiques, sociaux et culturels, à l’exemple.</w:t>
      </w:r>
      <w:r w:rsidR="0027203C">
        <w:t xml:space="preserve"> </w:t>
      </w:r>
      <w:r w:rsidRPr="00CB4F2E">
        <w:t>: du Traité portant création de l’Organisation pour l’Harmonisation en Afrique du Droit des Affaires (ratifié le 20 octobre 1995 )</w:t>
      </w:r>
      <w:r w:rsidR="0027203C">
        <w:t>;</w:t>
      </w:r>
      <w:r w:rsidRPr="00CB4F2E">
        <w:t xml:space="preserve"> du Traité instituant la Conférence Interafricaine de la Prévoyance Sociale (ratifié le 20 juillet 2022)</w:t>
      </w:r>
      <w:r w:rsidR="0027203C">
        <w:t>;</w:t>
      </w:r>
      <w:r w:rsidRPr="00CB4F2E">
        <w:t xml:space="preserve"> du Traité révisé de la Conférence Interafricaine des Marchés d’Assurance (ratifié le 28 avril 2020)</w:t>
      </w:r>
      <w:r w:rsidR="0027203C">
        <w:t>;</w:t>
      </w:r>
      <w:r w:rsidRPr="00CB4F2E">
        <w:t xml:space="preserve"> de l’Accord instituant l’Organisation Africaine de la Propriété Intellectuelle (ratifié le 31 Octobre 2019)</w:t>
      </w:r>
      <w:r w:rsidR="0027203C">
        <w:t>;</w:t>
      </w:r>
      <w:r w:rsidRPr="00CB4F2E">
        <w:t xml:space="preserve"> et de l’Accord établissant la Zone de </w:t>
      </w:r>
      <w:proofErr w:type="spellStart"/>
      <w:r w:rsidRPr="00CB4F2E">
        <w:t>Libre-Echange</w:t>
      </w:r>
      <w:proofErr w:type="spellEnd"/>
      <w:r w:rsidRPr="00CB4F2E">
        <w:t xml:space="preserve"> Continentale Africaine (ratifié le 31 octobre 2019 ). </w:t>
      </w:r>
    </w:p>
    <w:p w14:paraId="3B2449FD" w14:textId="283B6CEA" w:rsidR="0093676D" w:rsidRPr="00CB4F2E" w:rsidRDefault="00423320" w:rsidP="00423320">
      <w:pPr>
        <w:pStyle w:val="H23G"/>
      </w:pPr>
      <w:bookmarkStart w:id="81" w:name="_Toc210646344"/>
      <w:r>
        <w:tab/>
      </w:r>
      <w:r>
        <w:tab/>
      </w:r>
      <w:r w:rsidR="0093676D" w:rsidRPr="00CB4F2E">
        <w:t>Instruments au niveau sous-régional</w:t>
      </w:r>
      <w:bookmarkEnd w:id="81"/>
    </w:p>
    <w:p w14:paraId="7A374A8B" w14:textId="77777777" w:rsidR="0093676D" w:rsidRPr="00CB4F2E" w:rsidRDefault="0093676D" w:rsidP="005F1D8A">
      <w:pPr>
        <w:pStyle w:val="SingleTxtG"/>
        <w:numPr>
          <w:ilvl w:val="0"/>
          <w:numId w:val="6"/>
        </w:numPr>
        <w:ind w:left="1134" w:firstLine="0"/>
        <w:rPr>
          <w:lang w:val="fr-FR"/>
        </w:rPr>
      </w:pPr>
      <w:r w:rsidRPr="00CB4F2E">
        <w:rPr>
          <w:lang w:val="fr-FR"/>
        </w:rPr>
        <w:t xml:space="preserve">Au niveau sous-régional, le Cameroun est parti, entre autres, aux instruments suivants : </w:t>
      </w:r>
    </w:p>
    <w:tbl>
      <w:tblPr>
        <w:tblW w:w="7370" w:type="dxa"/>
        <w:tblInd w:w="1134" w:type="dxa"/>
        <w:tblLayout w:type="fixed"/>
        <w:tblCellMar>
          <w:left w:w="0" w:type="dxa"/>
          <w:right w:w="0" w:type="dxa"/>
        </w:tblCellMar>
        <w:tblLook w:val="04A0" w:firstRow="1" w:lastRow="0" w:firstColumn="1" w:lastColumn="0" w:noHBand="0" w:noVBand="1"/>
      </w:tblPr>
      <w:tblGrid>
        <w:gridCol w:w="5387"/>
        <w:gridCol w:w="1983"/>
      </w:tblGrid>
      <w:tr w:rsidR="0093676D" w:rsidRPr="00CB4F2E" w14:paraId="195CF83D" w14:textId="77777777" w:rsidTr="00D80992">
        <w:trPr>
          <w:tblHeader/>
        </w:trPr>
        <w:tc>
          <w:tcPr>
            <w:tcW w:w="5387" w:type="dxa"/>
            <w:tcBorders>
              <w:top w:val="single" w:sz="4" w:space="0" w:color="auto"/>
              <w:bottom w:val="single" w:sz="12" w:space="0" w:color="auto"/>
            </w:tcBorders>
            <w:vAlign w:val="bottom"/>
          </w:tcPr>
          <w:p w14:paraId="79CC5925" w14:textId="77777777" w:rsidR="0093676D" w:rsidRPr="00CB4F2E" w:rsidRDefault="0093676D" w:rsidP="00D80992">
            <w:pPr>
              <w:rPr>
                <w:i/>
                <w:lang w:val="fr-FR"/>
              </w:rPr>
            </w:pPr>
            <w:r w:rsidRPr="00CB4F2E">
              <w:rPr>
                <w:i/>
                <w:lang w:val="fr-FR"/>
              </w:rPr>
              <w:t>Conventions</w:t>
            </w:r>
          </w:p>
        </w:tc>
        <w:tc>
          <w:tcPr>
            <w:tcW w:w="1983" w:type="dxa"/>
            <w:tcBorders>
              <w:top w:val="single" w:sz="4" w:space="0" w:color="auto"/>
              <w:bottom w:val="single" w:sz="12" w:space="0" w:color="auto"/>
            </w:tcBorders>
            <w:vAlign w:val="bottom"/>
          </w:tcPr>
          <w:p w14:paraId="2F84EBF6" w14:textId="77777777" w:rsidR="0093676D" w:rsidRPr="00CB4F2E" w:rsidRDefault="0093676D" w:rsidP="00D80992">
            <w:pPr>
              <w:rPr>
                <w:i/>
                <w:lang w:val="fr-FR"/>
              </w:rPr>
            </w:pPr>
            <w:r w:rsidRPr="00CB4F2E">
              <w:rPr>
                <w:i/>
                <w:lang w:val="fr-FR"/>
              </w:rPr>
              <w:t>Dates de ratification</w:t>
            </w:r>
          </w:p>
        </w:tc>
      </w:tr>
      <w:tr w:rsidR="0093676D" w:rsidRPr="00CB4F2E" w14:paraId="30C9C188" w14:textId="77777777" w:rsidTr="00D80992">
        <w:trPr>
          <w:trHeight w:hRule="exact" w:val="113"/>
          <w:tblHeader/>
        </w:trPr>
        <w:tc>
          <w:tcPr>
            <w:tcW w:w="5387" w:type="dxa"/>
            <w:tcBorders>
              <w:top w:val="single" w:sz="12" w:space="0" w:color="auto"/>
            </w:tcBorders>
          </w:tcPr>
          <w:p w14:paraId="1EABF4A9" w14:textId="77777777" w:rsidR="0093676D" w:rsidRPr="00CB4F2E" w:rsidRDefault="0093676D" w:rsidP="00D80992">
            <w:pPr>
              <w:rPr>
                <w:lang w:val="fr-FR"/>
              </w:rPr>
            </w:pPr>
          </w:p>
        </w:tc>
        <w:tc>
          <w:tcPr>
            <w:tcW w:w="1983" w:type="dxa"/>
            <w:tcBorders>
              <w:top w:val="single" w:sz="12" w:space="0" w:color="auto"/>
            </w:tcBorders>
          </w:tcPr>
          <w:p w14:paraId="45D5A939" w14:textId="77777777" w:rsidR="0093676D" w:rsidRPr="00CB4F2E" w:rsidRDefault="0093676D" w:rsidP="00D80992">
            <w:pPr>
              <w:rPr>
                <w:lang w:val="fr-FR"/>
              </w:rPr>
            </w:pPr>
          </w:p>
        </w:tc>
      </w:tr>
      <w:tr w:rsidR="0093676D" w:rsidRPr="00CB4F2E" w14:paraId="3D1205A4" w14:textId="77777777" w:rsidTr="00D80992">
        <w:trPr>
          <w:tblHeader/>
        </w:trPr>
        <w:tc>
          <w:tcPr>
            <w:tcW w:w="5387" w:type="dxa"/>
          </w:tcPr>
          <w:p w14:paraId="47123F5E" w14:textId="77777777" w:rsidR="0093676D" w:rsidRPr="00CB4F2E" w:rsidRDefault="0093676D" w:rsidP="00D80992">
            <w:pPr>
              <w:rPr>
                <w:lang w:val="fr-FR"/>
              </w:rPr>
            </w:pPr>
            <w:r w:rsidRPr="00CB4F2E">
              <w:t xml:space="preserve">Convention entre les </w:t>
            </w:r>
            <w:proofErr w:type="spellStart"/>
            <w:r w:rsidRPr="00CB4F2E">
              <w:t>Etats</w:t>
            </w:r>
            <w:proofErr w:type="spellEnd"/>
            <w:r w:rsidRPr="00CB4F2E">
              <w:t xml:space="preserve"> membres du Comité des chefs de police de l'Afrique centrale en matière de lutte contre le terrorisme </w:t>
            </w:r>
          </w:p>
        </w:tc>
        <w:tc>
          <w:tcPr>
            <w:tcW w:w="1983" w:type="dxa"/>
          </w:tcPr>
          <w:p w14:paraId="2215E57F" w14:textId="77777777" w:rsidR="0093676D" w:rsidRPr="00CB4F2E" w:rsidRDefault="0093676D" w:rsidP="00D80992">
            <w:pPr>
              <w:rPr>
                <w:lang w:val="fr-FR"/>
              </w:rPr>
            </w:pPr>
            <w:r w:rsidRPr="00CB4F2E">
              <w:t>24 mai 2004</w:t>
            </w:r>
          </w:p>
        </w:tc>
      </w:tr>
      <w:tr w:rsidR="0093676D" w:rsidRPr="00CB4F2E" w14:paraId="37592677" w14:textId="77777777" w:rsidTr="00D80992">
        <w:tc>
          <w:tcPr>
            <w:tcW w:w="5387" w:type="dxa"/>
          </w:tcPr>
          <w:p w14:paraId="776F2982" w14:textId="77777777" w:rsidR="0093676D" w:rsidRPr="00CB4F2E" w:rsidRDefault="0093676D" w:rsidP="00D80992">
            <w:r w:rsidRPr="00CB4F2E">
              <w:t xml:space="preserve">Accord de coopération judiciaire entre les </w:t>
            </w:r>
            <w:proofErr w:type="spellStart"/>
            <w:r w:rsidRPr="00CB4F2E">
              <w:t>Etats</w:t>
            </w:r>
            <w:proofErr w:type="spellEnd"/>
            <w:r w:rsidRPr="00CB4F2E">
              <w:t xml:space="preserve"> membres de la Communauté économique et monétaire de l’Afrique centrale (CEMAC) </w:t>
            </w:r>
          </w:p>
        </w:tc>
        <w:tc>
          <w:tcPr>
            <w:tcW w:w="1983" w:type="dxa"/>
          </w:tcPr>
          <w:p w14:paraId="7E98649F" w14:textId="77777777" w:rsidR="0093676D" w:rsidRPr="00CB4F2E" w:rsidRDefault="0093676D" w:rsidP="00D80992">
            <w:pPr>
              <w:rPr>
                <w:lang w:val="fr-FR"/>
              </w:rPr>
            </w:pPr>
            <w:r w:rsidRPr="00CB4F2E">
              <w:t>30 janvier 2006</w:t>
            </w:r>
          </w:p>
        </w:tc>
      </w:tr>
      <w:tr w:rsidR="0093676D" w:rsidRPr="00CB4F2E" w14:paraId="43092169" w14:textId="77777777" w:rsidTr="00D80992">
        <w:tc>
          <w:tcPr>
            <w:tcW w:w="5387" w:type="dxa"/>
          </w:tcPr>
          <w:p w14:paraId="72258310" w14:textId="77777777" w:rsidR="0093676D" w:rsidRPr="00CB4F2E" w:rsidRDefault="0093676D" w:rsidP="00D80992">
            <w:r w:rsidRPr="00CB4F2E">
              <w:t xml:space="preserve">Accord d’extradition entre les </w:t>
            </w:r>
            <w:proofErr w:type="spellStart"/>
            <w:r w:rsidRPr="00CB4F2E">
              <w:t>Etats</w:t>
            </w:r>
            <w:proofErr w:type="spellEnd"/>
            <w:r w:rsidRPr="00CB4F2E">
              <w:t xml:space="preserve"> membres de la CEMAC </w:t>
            </w:r>
          </w:p>
        </w:tc>
        <w:tc>
          <w:tcPr>
            <w:tcW w:w="1983" w:type="dxa"/>
          </w:tcPr>
          <w:p w14:paraId="2421E2DE" w14:textId="77777777" w:rsidR="0093676D" w:rsidRPr="00CB4F2E" w:rsidRDefault="0093676D" w:rsidP="00D80992">
            <w:pPr>
              <w:rPr>
                <w:lang w:val="fr-FR"/>
              </w:rPr>
            </w:pPr>
            <w:r w:rsidRPr="00CB4F2E">
              <w:t>30 janvier 2006</w:t>
            </w:r>
          </w:p>
        </w:tc>
      </w:tr>
      <w:tr w:rsidR="0093676D" w:rsidRPr="00CB4F2E" w14:paraId="4CB37F97" w14:textId="77777777" w:rsidTr="00D80992">
        <w:tc>
          <w:tcPr>
            <w:tcW w:w="5387" w:type="dxa"/>
          </w:tcPr>
          <w:p w14:paraId="50538CEA" w14:textId="77777777" w:rsidR="0093676D" w:rsidRPr="00CB4F2E" w:rsidRDefault="0093676D" w:rsidP="00D80992">
            <w:r w:rsidRPr="00CB4F2E">
              <w:t xml:space="preserve"> Pacte de non-agression, de solidarité et d’assistance mutuelle entre les États membres de la CEMAC </w:t>
            </w:r>
          </w:p>
        </w:tc>
        <w:tc>
          <w:tcPr>
            <w:tcW w:w="1983" w:type="dxa"/>
          </w:tcPr>
          <w:p w14:paraId="3051C9B2" w14:textId="77777777" w:rsidR="0093676D" w:rsidRPr="00CB4F2E" w:rsidRDefault="0093676D" w:rsidP="00D80992">
            <w:pPr>
              <w:rPr>
                <w:lang w:val="fr-FR"/>
              </w:rPr>
            </w:pPr>
            <w:r w:rsidRPr="00CB4F2E">
              <w:t>30 janvier 2006</w:t>
            </w:r>
          </w:p>
        </w:tc>
      </w:tr>
      <w:tr w:rsidR="0093676D" w:rsidRPr="00CB4F2E" w14:paraId="1598ECE2" w14:textId="77777777" w:rsidTr="00D80992">
        <w:tc>
          <w:tcPr>
            <w:tcW w:w="5387" w:type="dxa"/>
          </w:tcPr>
          <w:p w14:paraId="1D329A1A" w14:textId="77777777" w:rsidR="0093676D" w:rsidRPr="00CB4F2E" w:rsidRDefault="0093676D" w:rsidP="00D80992">
            <w:pPr>
              <w:rPr>
                <w:lang w:val="fr-FR"/>
              </w:rPr>
            </w:pPr>
            <w:r w:rsidRPr="00CB4F2E">
              <w:t xml:space="preserve"> Convention régissant le Parlement de la CEMAC </w:t>
            </w:r>
          </w:p>
        </w:tc>
        <w:tc>
          <w:tcPr>
            <w:tcW w:w="1983" w:type="dxa"/>
          </w:tcPr>
          <w:p w14:paraId="394E8D8B" w14:textId="77777777" w:rsidR="0093676D" w:rsidRPr="00CB4F2E" w:rsidRDefault="0093676D" w:rsidP="00D80992">
            <w:pPr>
              <w:rPr>
                <w:lang w:val="fr-FR"/>
              </w:rPr>
            </w:pPr>
            <w:r w:rsidRPr="00CB4F2E">
              <w:t>30 janvier 2006</w:t>
            </w:r>
          </w:p>
        </w:tc>
      </w:tr>
      <w:tr w:rsidR="0093676D" w:rsidRPr="00CB4F2E" w14:paraId="5ED61F48" w14:textId="77777777" w:rsidTr="00D80992">
        <w:tc>
          <w:tcPr>
            <w:tcW w:w="5387" w:type="dxa"/>
          </w:tcPr>
          <w:p w14:paraId="26C45659" w14:textId="77777777" w:rsidR="0093676D" w:rsidRPr="00CB4F2E" w:rsidRDefault="0093676D" w:rsidP="00D80992">
            <w:pPr>
              <w:rPr>
                <w:lang w:val="fr-FR"/>
              </w:rPr>
            </w:pPr>
            <w:r w:rsidRPr="00CB4F2E">
              <w:rPr>
                <w:lang w:val="fr-FR"/>
              </w:rPr>
              <w:t xml:space="preserve">Accord de coopération régionale entre les </w:t>
            </w:r>
            <w:proofErr w:type="spellStart"/>
            <w:r w:rsidRPr="00CB4F2E">
              <w:rPr>
                <w:lang w:val="fr-FR"/>
              </w:rPr>
              <w:t>Etats</w:t>
            </w:r>
            <w:proofErr w:type="spellEnd"/>
            <w:r w:rsidRPr="00CB4F2E">
              <w:rPr>
                <w:lang w:val="fr-FR"/>
              </w:rPr>
              <w:t xml:space="preserve"> membres de la CEEAC et de la Communauté </w:t>
            </w:r>
            <w:proofErr w:type="spellStart"/>
            <w:r w:rsidRPr="00CB4F2E">
              <w:rPr>
                <w:lang w:val="fr-FR"/>
              </w:rPr>
              <w:t>Economique</w:t>
            </w:r>
            <w:proofErr w:type="spellEnd"/>
            <w:r w:rsidRPr="00CB4F2E">
              <w:rPr>
                <w:lang w:val="fr-FR"/>
              </w:rPr>
              <w:t xml:space="preserve"> des États de l’Afrique de l’Ouest (CEDEAO) sur la lutte contre le trafic des personnes, en particulier les femmes et les enfants </w:t>
            </w:r>
          </w:p>
        </w:tc>
        <w:tc>
          <w:tcPr>
            <w:tcW w:w="1983" w:type="dxa"/>
          </w:tcPr>
          <w:p w14:paraId="5531494E" w14:textId="77777777" w:rsidR="0093676D" w:rsidRPr="00CB4F2E" w:rsidRDefault="0093676D" w:rsidP="00D80992">
            <w:pPr>
              <w:rPr>
                <w:lang w:val="fr-FR"/>
              </w:rPr>
            </w:pPr>
            <w:r w:rsidRPr="00CB4F2E">
              <w:rPr>
                <w:lang w:val="fr-FR"/>
              </w:rPr>
              <w:t xml:space="preserve"> 6 juillet 2006</w:t>
            </w:r>
          </w:p>
        </w:tc>
      </w:tr>
      <w:tr w:rsidR="0093676D" w:rsidRPr="00CB4F2E" w14:paraId="4F650B13" w14:textId="77777777" w:rsidTr="00D80992">
        <w:tc>
          <w:tcPr>
            <w:tcW w:w="5387" w:type="dxa"/>
          </w:tcPr>
          <w:p w14:paraId="577B0737" w14:textId="77777777" w:rsidR="0093676D" w:rsidRPr="00CB4F2E" w:rsidRDefault="0093676D" w:rsidP="00D80992">
            <w:pPr>
              <w:rPr>
                <w:lang w:val="fr-FR"/>
              </w:rPr>
            </w:pPr>
            <w:r w:rsidRPr="00CB4F2E">
              <w:t xml:space="preserve">Traité révisé de la CEMAC et les conventions s’y rapportant </w:t>
            </w:r>
          </w:p>
        </w:tc>
        <w:tc>
          <w:tcPr>
            <w:tcW w:w="1983" w:type="dxa"/>
          </w:tcPr>
          <w:p w14:paraId="25D09EB3" w14:textId="77777777" w:rsidR="0093676D" w:rsidRPr="00CB4F2E" w:rsidRDefault="0093676D" w:rsidP="00D80992">
            <w:pPr>
              <w:rPr>
                <w:lang w:val="fr-FR"/>
              </w:rPr>
            </w:pPr>
            <w:r w:rsidRPr="00CB4F2E">
              <w:t>15 juillet 2011</w:t>
            </w:r>
          </w:p>
        </w:tc>
      </w:tr>
      <w:tr w:rsidR="0093676D" w:rsidRPr="00CB4F2E" w14:paraId="77DD74EC" w14:textId="77777777" w:rsidTr="00D80992">
        <w:tc>
          <w:tcPr>
            <w:tcW w:w="5387" w:type="dxa"/>
          </w:tcPr>
          <w:p w14:paraId="7266ADC4" w14:textId="77777777" w:rsidR="0093676D" w:rsidRPr="00CB4F2E" w:rsidRDefault="0093676D" w:rsidP="00D80992">
            <w:pPr>
              <w:rPr>
                <w:lang w:val="fr-FR"/>
              </w:rPr>
            </w:pPr>
            <w:r w:rsidRPr="00CB4F2E">
              <w:t xml:space="preserve">Traité révisé instituant la Communauté économique des </w:t>
            </w:r>
            <w:proofErr w:type="spellStart"/>
            <w:r w:rsidRPr="00CB4F2E">
              <w:t>Etats</w:t>
            </w:r>
            <w:proofErr w:type="spellEnd"/>
            <w:r w:rsidRPr="00CB4F2E">
              <w:t xml:space="preserve"> de l’Afrique Centrale </w:t>
            </w:r>
          </w:p>
        </w:tc>
        <w:tc>
          <w:tcPr>
            <w:tcW w:w="1983" w:type="dxa"/>
          </w:tcPr>
          <w:p w14:paraId="68253E8C" w14:textId="77777777" w:rsidR="0093676D" w:rsidRPr="00CB4F2E" w:rsidRDefault="0093676D" w:rsidP="00D80992">
            <w:pPr>
              <w:rPr>
                <w:lang w:val="fr-FR"/>
              </w:rPr>
            </w:pPr>
            <w:r w:rsidRPr="00CB4F2E">
              <w:t xml:space="preserve"> 28 avril 2020</w:t>
            </w:r>
          </w:p>
        </w:tc>
      </w:tr>
      <w:tr w:rsidR="0093676D" w:rsidRPr="00CB4F2E" w14:paraId="443A8011" w14:textId="77777777" w:rsidTr="00D80992">
        <w:tc>
          <w:tcPr>
            <w:tcW w:w="5387" w:type="dxa"/>
          </w:tcPr>
          <w:p w14:paraId="05DB6970" w14:textId="77777777" w:rsidR="0093676D" w:rsidRPr="00CB4F2E" w:rsidRDefault="0093676D" w:rsidP="00D80992">
            <w:r w:rsidRPr="00CB4F2E">
              <w:rPr>
                <w:b/>
                <w:bCs/>
              </w:rPr>
              <w:t xml:space="preserve">Traité révisé instituant la Communauté </w:t>
            </w:r>
            <w:proofErr w:type="spellStart"/>
            <w:r w:rsidRPr="00CB4F2E">
              <w:rPr>
                <w:b/>
                <w:bCs/>
              </w:rPr>
              <w:t>Economique</w:t>
            </w:r>
            <w:proofErr w:type="spellEnd"/>
            <w:r w:rsidRPr="00CB4F2E">
              <w:rPr>
                <w:b/>
                <w:bCs/>
              </w:rPr>
              <w:t xml:space="preserve"> des </w:t>
            </w:r>
            <w:proofErr w:type="spellStart"/>
            <w:r w:rsidRPr="00CB4F2E">
              <w:rPr>
                <w:b/>
                <w:bCs/>
              </w:rPr>
              <w:t>Etats</w:t>
            </w:r>
            <w:proofErr w:type="spellEnd"/>
            <w:r w:rsidRPr="00CB4F2E">
              <w:rPr>
                <w:b/>
                <w:bCs/>
              </w:rPr>
              <w:t xml:space="preserve"> de l’Afrique Centrale </w:t>
            </w:r>
          </w:p>
        </w:tc>
        <w:tc>
          <w:tcPr>
            <w:tcW w:w="1983" w:type="dxa"/>
          </w:tcPr>
          <w:p w14:paraId="4D68B026" w14:textId="77777777" w:rsidR="0093676D" w:rsidRPr="00CB4F2E" w:rsidRDefault="0093676D" w:rsidP="00D80992">
            <w:pPr>
              <w:rPr>
                <w:lang w:val="fr-FR"/>
              </w:rPr>
            </w:pPr>
            <w:r w:rsidRPr="00CB4F2E">
              <w:rPr>
                <w:b/>
                <w:bCs/>
              </w:rPr>
              <w:t>28 avril 2020</w:t>
            </w:r>
          </w:p>
        </w:tc>
      </w:tr>
      <w:tr w:rsidR="0093676D" w:rsidRPr="00CB4F2E" w14:paraId="438009C9" w14:textId="77777777" w:rsidTr="00D80992">
        <w:tc>
          <w:tcPr>
            <w:tcW w:w="5387" w:type="dxa"/>
          </w:tcPr>
          <w:p w14:paraId="134FD2FC" w14:textId="77777777" w:rsidR="0093676D" w:rsidRPr="00CB4F2E" w:rsidRDefault="0093676D" w:rsidP="00D80992">
            <w:r w:rsidRPr="00CB4F2E">
              <w:rPr>
                <w:lang w:val="fr-FR"/>
              </w:rPr>
              <w:t xml:space="preserve">Accord de coopération en matière de police criminelle entre les </w:t>
            </w:r>
            <w:proofErr w:type="spellStart"/>
            <w:r w:rsidRPr="00CB4F2E">
              <w:rPr>
                <w:lang w:val="fr-FR"/>
              </w:rPr>
              <w:t>Etats</w:t>
            </w:r>
            <w:proofErr w:type="spellEnd"/>
            <w:r w:rsidRPr="00CB4F2E">
              <w:rPr>
                <w:lang w:val="fr-FR"/>
              </w:rPr>
              <w:t xml:space="preserve"> de l’Afrique centrale </w:t>
            </w:r>
          </w:p>
        </w:tc>
        <w:tc>
          <w:tcPr>
            <w:tcW w:w="1983" w:type="dxa"/>
          </w:tcPr>
          <w:p w14:paraId="785DD9F8" w14:textId="77777777" w:rsidR="0093676D" w:rsidRPr="00CB4F2E" w:rsidRDefault="0093676D" w:rsidP="00D80992">
            <w:pPr>
              <w:rPr>
                <w:lang w:val="fr-FR"/>
              </w:rPr>
            </w:pPr>
            <w:r w:rsidRPr="00CB4F2E">
              <w:rPr>
                <w:lang w:val="fr-FR"/>
              </w:rPr>
              <w:t>29 décembre 2020</w:t>
            </w:r>
          </w:p>
        </w:tc>
      </w:tr>
      <w:tr w:rsidR="0093676D" w:rsidRPr="00CB4F2E" w14:paraId="5EC6DE5C" w14:textId="77777777" w:rsidTr="00D80992">
        <w:tc>
          <w:tcPr>
            <w:tcW w:w="5387" w:type="dxa"/>
          </w:tcPr>
          <w:p w14:paraId="22044641" w14:textId="77777777" w:rsidR="0093676D" w:rsidRPr="00CB4F2E" w:rsidRDefault="0093676D" w:rsidP="00D80992">
            <w:pPr>
              <w:rPr>
                <w:lang w:val="fr-FR"/>
              </w:rPr>
            </w:pPr>
            <w:r w:rsidRPr="00CB4F2E">
              <w:lastRenderedPageBreak/>
              <w:t xml:space="preserve">Accord de coopération en matière de police criminelle entre les États de l’Afrique centrale, </w:t>
            </w:r>
          </w:p>
        </w:tc>
        <w:tc>
          <w:tcPr>
            <w:tcW w:w="1983" w:type="dxa"/>
          </w:tcPr>
          <w:p w14:paraId="1907E41D" w14:textId="77777777" w:rsidR="0093676D" w:rsidRPr="00CB4F2E" w:rsidRDefault="0093676D" w:rsidP="00D80992">
            <w:pPr>
              <w:rPr>
                <w:lang w:val="fr-FR"/>
              </w:rPr>
            </w:pPr>
            <w:r w:rsidRPr="00CB4F2E">
              <w:t xml:space="preserve"> 29 décembre 2020</w:t>
            </w:r>
          </w:p>
        </w:tc>
      </w:tr>
      <w:tr w:rsidR="0093676D" w:rsidRPr="00CB4F2E" w14:paraId="0CFC0F34" w14:textId="77777777" w:rsidTr="00D80992">
        <w:tc>
          <w:tcPr>
            <w:tcW w:w="5387" w:type="dxa"/>
            <w:tcBorders>
              <w:bottom w:val="single" w:sz="12" w:space="0" w:color="auto"/>
            </w:tcBorders>
          </w:tcPr>
          <w:p w14:paraId="0E4D679C" w14:textId="77777777" w:rsidR="0093676D" w:rsidRPr="00CB4F2E" w:rsidRDefault="0093676D" w:rsidP="00D80992">
            <w:pPr>
              <w:rPr>
                <w:lang w:val="fr-FR"/>
              </w:rPr>
            </w:pPr>
            <w:r w:rsidRPr="00CB4F2E">
              <w:t>Accord de coopération en matière de Police criminelle entre les États de l’Afrique centrale et de l’Afrique de l’Est</w:t>
            </w:r>
          </w:p>
        </w:tc>
        <w:tc>
          <w:tcPr>
            <w:tcW w:w="1983" w:type="dxa"/>
            <w:tcBorders>
              <w:bottom w:val="single" w:sz="12" w:space="0" w:color="auto"/>
            </w:tcBorders>
          </w:tcPr>
          <w:p w14:paraId="4A8C8CA2" w14:textId="77777777" w:rsidR="0093676D" w:rsidRPr="00CB4F2E" w:rsidRDefault="0093676D" w:rsidP="00D80992">
            <w:pPr>
              <w:rPr>
                <w:lang w:val="fr-FR"/>
              </w:rPr>
            </w:pPr>
            <w:r w:rsidRPr="00CB4F2E">
              <w:t xml:space="preserve"> 6 janvier 2025</w:t>
            </w:r>
          </w:p>
        </w:tc>
      </w:tr>
    </w:tbl>
    <w:p w14:paraId="743BCBD6" w14:textId="2B0D1B98" w:rsidR="0093676D" w:rsidRPr="00CB4F2E" w:rsidRDefault="00423320" w:rsidP="00423320">
      <w:pPr>
        <w:pStyle w:val="HChG"/>
      </w:pPr>
      <w:bookmarkStart w:id="82" w:name="_Toc210209114"/>
      <w:bookmarkStart w:id="83" w:name="_Toc210646345"/>
      <w:r>
        <w:tab/>
      </w:r>
      <w:r w:rsidR="0093676D" w:rsidRPr="00CB4F2E">
        <w:t>IV.</w:t>
      </w:r>
      <w:r>
        <w:tab/>
      </w:r>
      <w:r w:rsidRPr="00CB4F2E">
        <w:t xml:space="preserve">Le cadre </w:t>
      </w:r>
      <w:proofErr w:type="spellStart"/>
      <w:r w:rsidRPr="00CB4F2E">
        <w:t>general</w:t>
      </w:r>
      <w:proofErr w:type="spellEnd"/>
      <w:r w:rsidRPr="00CB4F2E">
        <w:t xml:space="preserve"> de protection des droits de l’homme</w:t>
      </w:r>
      <w:bookmarkEnd w:id="82"/>
      <w:bookmarkEnd w:id="83"/>
    </w:p>
    <w:p w14:paraId="08ECB8FD" w14:textId="32920B41" w:rsidR="00ED20A7" w:rsidRDefault="00423320" w:rsidP="00423320">
      <w:pPr>
        <w:pStyle w:val="H1G"/>
        <w:ind w:left="720" w:hanging="360"/>
        <w:rPr>
          <w:i/>
        </w:rPr>
      </w:pPr>
      <w:bookmarkStart w:id="84" w:name="_Toc210646346"/>
      <w:r w:rsidRPr="000100A9">
        <w:t>A.</w:t>
      </w:r>
      <w:r w:rsidRPr="000100A9">
        <w:tab/>
      </w:r>
      <w:r w:rsidRPr="000100A9">
        <w:tab/>
      </w:r>
      <w:r w:rsidR="0093676D" w:rsidRPr="000100A9">
        <w:t>Les</w:t>
      </w:r>
      <w:r w:rsidR="0093676D" w:rsidRPr="00CB4F2E">
        <w:t xml:space="preserve"> autorités judiciaires, administratives ou autres, compétentes en matière de Droits de l’Homme</w:t>
      </w:r>
      <w:bookmarkEnd w:id="84"/>
    </w:p>
    <w:p w14:paraId="7917864B" w14:textId="77777777" w:rsidR="00ED20A7" w:rsidRDefault="0093676D" w:rsidP="005F1D8A">
      <w:pPr>
        <w:pStyle w:val="SingleTxtG"/>
        <w:numPr>
          <w:ilvl w:val="0"/>
          <w:numId w:val="6"/>
        </w:numPr>
        <w:ind w:left="1134" w:firstLine="0"/>
        <w:rPr>
          <w:lang w:val="fr-FR"/>
        </w:rPr>
      </w:pPr>
      <w:r w:rsidRPr="00CB4F2E">
        <w:rPr>
          <w:lang w:val="fr-FR"/>
        </w:rPr>
        <w:t xml:space="preserve">En </w:t>
      </w:r>
      <w:r w:rsidRPr="00CB4F2E">
        <w:t>matière</w:t>
      </w:r>
      <w:r w:rsidRPr="00CB4F2E">
        <w:rPr>
          <w:lang w:val="fr-FR"/>
        </w:rPr>
        <w:t xml:space="preserve"> de Droits de l’Homme, les compétences sont réparties entre les autorités judiciaires et administratives, sous réserve des attributions des institutions administratives indépendantes</w:t>
      </w:r>
      <w:r w:rsidRPr="00CB4F2E">
        <w:rPr>
          <w:rStyle w:val="FootnoteReference"/>
        </w:rPr>
        <w:footnoteReference w:id="41"/>
      </w:r>
      <w:r w:rsidRPr="00CB4F2E">
        <w:rPr>
          <w:lang w:val="fr-FR"/>
        </w:rPr>
        <w:t xml:space="preserve"> qui ont un rôle de promotion, et dans une certaine mesure, de protection desdits droits. Les autorités judiciaires, en charge de la répression, sont les magistrats, assistés des officiers de police judiciaire (OPJ). </w:t>
      </w:r>
    </w:p>
    <w:p w14:paraId="6314EE27" w14:textId="011AF48B" w:rsidR="00ED20A7" w:rsidRDefault="0093676D" w:rsidP="005F1D8A">
      <w:pPr>
        <w:pStyle w:val="SingleTxtG"/>
        <w:numPr>
          <w:ilvl w:val="0"/>
          <w:numId w:val="6"/>
        </w:numPr>
        <w:ind w:left="1134" w:firstLine="0"/>
        <w:rPr>
          <w:lang w:val="fr-FR"/>
        </w:rPr>
      </w:pPr>
      <w:r w:rsidRPr="00CB4F2E">
        <w:rPr>
          <w:lang w:val="fr-FR"/>
        </w:rPr>
        <w:t>Les OPJ</w:t>
      </w:r>
      <w:r w:rsidRPr="00CB4F2E">
        <w:rPr>
          <w:rStyle w:val="FootnoteReference"/>
        </w:rPr>
        <w:footnoteReference w:id="42"/>
      </w:r>
      <w:r w:rsidRPr="00CB4F2E">
        <w:rPr>
          <w:lang w:val="fr-FR"/>
        </w:rPr>
        <w:t xml:space="preserve"> sont chargés : de recevoir les plaintes et les dénonciations</w:t>
      </w:r>
      <w:r w:rsidR="0027203C">
        <w:rPr>
          <w:lang w:val="fr-FR"/>
        </w:rPr>
        <w:t>;</w:t>
      </w:r>
      <w:r w:rsidRPr="00CB4F2E">
        <w:rPr>
          <w:lang w:val="fr-FR"/>
        </w:rPr>
        <w:t xml:space="preserve"> de constater les infractions, d’en rassembler les preuves, </w:t>
      </w:r>
      <w:r w:rsidRPr="00CB4F2E">
        <w:t>d’en</w:t>
      </w:r>
      <w:r w:rsidRPr="00CB4F2E">
        <w:rPr>
          <w:lang w:val="fr-FR"/>
        </w:rPr>
        <w:t xml:space="preserve"> rechercher les auteurs, co-auteurs ou complices et, le cas échéant, de les déférer au parquet</w:t>
      </w:r>
      <w:r w:rsidR="0027203C">
        <w:rPr>
          <w:lang w:val="fr-FR"/>
        </w:rPr>
        <w:t>;</w:t>
      </w:r>
      <w:r w:rsidRPr="00CB4F2E">
        <w:rPr>
          <w:lang w:val="fr-FR"/>
        </w:rPr>
        <w:t xml:space="preserve"> d’exécuter les commissions rogatoires des autorités judiciaires</w:t>
      </w:r>
      <w:r w:rsidR="0027203C">
        <w:rPr>
          <w:lang w:val="fr-FR"/>
        </w:rPr>
        <w:t>;</w:t>
      </w:r>
      <w:r w:rsidRPr="00CB4F2E">
        <w:rPr>
          <w:lang w:val="fr-FR"/>
        </w:rPr>
        <w:t xml:space="preserve"> et de notifier des actes de justice dans les conditions prévues par la loi. Les OPJ travaillent sous l’autorité des magistrats du Parquet, qui peuvent à tout moment se transporter dans les locaux de Police et de Gendarmerie pour procéder au contrôle de la garde à vue.</w:t>
      </w:r>
    </w:p>
    <w:p w14:paraId="0F9FC4B1" w14:textId="77777777" w:rsidR="00ED20A7" w:rsidRDefault="0093676D" w:rsidP="005F1D8A">
      <w:pPr>
        <w:pStyle w:val="SingleTxtG"/>
        <w:numPr>
          <w:ilvl w:val="0"/>
          <w:numId w:val="6"/>
        </w:numPr>
        <w:ind w:left="1134" w:firstLine="0"/>
        <w:rPr>
          <w:lang w:val="fr-FR"/>
        </w:rPr>
      </w:pPr>
      <w:r w:rsidRPr="00CB4F2E">
        <w:rPr>
          <w:lang w:val="fr-FR"/>
        </w:rPr>
        <w:t xml:space="preserve">Le Procureur de la République peut être saisi par une dénonciation écrite ou orale, une plainte ou un procès-verbal établi </w:t>
      </w:r>
      <w:r w:rsidRPr="00CB4F2E">
        <w:t>par</w:t>
      </w:r>
      <w:r w:rsidRPr="00CB4F2E">
        <w:rPr>
          <w:lang w:val="fr-FR"/>
        </w:rPr>
        <w:t xml:space="preserve"> une autorité compétente. Il peut également se saisir d’office</w:t>
      </w:r>
      <w:r w:rsidRPr="00CB4F2E">
        <w:rPr>
          <w:rStyle w:val="FootnoteReference"/>
        </w:rPr>
        <w:footnoteReference w:id="43"/>
      </w:r>
      <w:r w:rsidRPr="00CB4F2E">
        <w:rPr>
          <w:lang w:val="fr-FR"/>
        </w:rPr>
        <w:t xml:space="preserve">. Il a le pouvoir de mettre en mouvement et d’exercer l’action publique devant les juridictions compétentes. En cas de violation des Droits de l’Homme constatée, celles-ci peuvent infliger aux auteurs les peines prévues par la </w:t>
      </w:r>
      <w:proofErr w:type="spellStart"/>
      <w:r w:rsidRPr="00CB4F2E">
        <w:rPr>
          <w:lang w:val="fr-FR"/>
        </w:rPr>
        <w:t>règlementation</w:t>
      </w:r>
      <w:proofErr w:type="spellEnd"/>
      <w:r w:rsidRPr="00CB4F2E">
        <w:rPr>
          <w:lang w:val="fr-FR"/>
        </w:rPr>
        <w:t xml:space="preserve"> en vigueur.</w:t>
      </w:r>
    </w:p>
    <w:p w14:paraId="619FA430" w14:textId="7B83A86B" w:rsidR="00ED20A7" w:rsidRDefault="0093676D" w:rsidP="005F1D8A">
      <w:pPr>
        <w:pStyle w:val="SingleTxtG"/>
        <w:numPr>
          <w:ilvl w:val="0"/>
          <w:numId w:val="6"/>
        </w:numPr>
        <w:ind w:left="1134" w:firstLine="0"/>
        <w:rPr>
          <w:lang w:val="fr-FR"/>
        </w:rPr>
      </w:pPr>
      <w:r w:rsidRPr="00CB4F2E">
        <w:rPr>
          <w:lang w:val="fr-FR"/>
        </w:rPr>
        <w:t xml:space="preserve">De plus, la plupart des Ministères sont, chacun en ce qui le concerne, chargés de la promotion et de la protection de certains </w:t>
      </w:r>
      <w:r w:rsidRPr="00CB4F2E">
        <w:t>droits</w:t>
      </w:r>
      <w:r w:rsidRPr="00CB4F2E">
        <w:rPr>
          <w:lang w:val="fr-FR"/>
        </w:rPr>
        <w:t xml:space="preserve"> catégoriels, ou d’une catégorie précise de droits. L’on peut ainsi citer le Ministère des Affaires Sociales-MINAS pour les droits de l’enfant, des personnes vivant avec un handicap, des populations autochtones, des personnes âgées, etc.), le Ministère de la promotion de la femme et de la famille-MINPROFF (</w:t>
      </w:r>
      <w:hyperlink r:id="rId43" w:history="1">
        <w:r w:rsidRPr="00CB4F2E">
          <w:rPr>
            <w:rStyle w:val="Hyperlink"/>
          </w:rPr>
          <w:t>www.minproff.cm</w:t>
        </w:r>
      </w:hyperlink>
      <w:r w:rsidRPr="00CB4F2E">
        <w:rPr>
          <w:lang w:val="fr-FR"/>
        </w:rPr>
        <w:t xml:space="preserve">) (pour les droits des femmes et de l’enfant), le Ministère de l’administration territoriale (pour les libertés publiques), le Ministère de la Communication (pour la liberté de la presse). Les Ministères en charge de l’éducation ( </w:t>
      </w:r>
      <w:hyperlink r:id="rId44" w:history="1">
        <w:r w:rsidRPr="00CB4F2E">
          <w:rPr>
            <w:rStyle w:val="Hyperlink"/>
            <w:lang w:val="fr-FR"/>
          </w:rPr>
          <w:t>www.minesec.gov.cm</w:t>
        </w:r>
      </w:hyperlink>
      <w:r w:rsidRPr="00CB4F2E">
        <w:rPr>
          <w:lang w:val="fr-FR"/>
        </w:rPr>
        <w:t xml:space="preserve"> ), de la Santé Publique, du Travail et de la Sécurité Sociale (</w:t>
      </w:r>
      <w:hyperlink r:id="rId45" w:history="1">
        <w:r w:rsidRPr="00CB4F2E">
          <w:rPr>
            <w:rStyle w:val="Hyperlink"/>
            <w:lang w:val="fr-FR"/>
          </w:rPr>
          <w:t>http://www.mintss.cm/</w:t>
        </w:r>
      </w:hyperlink>
      <w:r w:rsidRPr="00CB4F2E">
        <w:rPr>
          <w:lang w:val="fr-FR"/>
        </w:rPr>
        <w:t>)</w:t>
      </w:r>
      <w:r w:rsidR="0027203C">
        <w:rPr>
          <w:lang w:val="fr-FR"/>
        </w:rPr>
        <w:t>,</w:t>
      </w:r>
      <w:r w:rsidRPr="00CB4F2E">
        <w:rPr>
          <w:lang w:val="fr-FR"/>
        </w:rPr>
        <w:t xml:space="preserve"> de la Culture (</w:t>
      </w:r>
      <w:hyperlink r:id="rId46" w:history="1">
        <w:r w:rsidRPr="00CB4F2E">
          <w:rPr>
            <w:rStyle w:val="Hyperlink"/>
          </w:rPr>
          <w:t>www.minculture-cameroun-gov.com</w:t>
        </w:r>
      </w:hyperlink>
      <w:r w:rsidRPr="00CB4F2E">
        <w:rPr>
          <w:lang w:val="fr-FR"/>
        </w:rPr>
        <w:t>)</w:t>
      </w:r>
      <w:r w:rsidR="0027203C">
        <w:rPr>
          <w:lang w:val="fr-FR"/>
        </w:rPr>
        <w:t>,</w:t>
      </w:r>
      <w:r w:rsidRPr="00CB4F2E">
        <w:rPr>
          <w:lang w:val="fr-FR"/>
        </w:rPr>
        <w:t xml:space="preserve"> etc., s’occupent chacun, des droits correspondants, tandis que le Ministère de l’Environnement, de la Protection de la Nature et du Développement Durable (</w:t>
      </w:r>
      <w:hyperlink r:id="rId47" w:history="1">
        <w:r w:rsidRPr="00CB4F2E">
          <w:rPr>
            <w:rStyle w:val="Hyperlink"/>
            <w:lang w:val="fr-FR"/>
          </w:rPr>
          <w:t>https://minepded.gov.cm/</w:t>
        </w:r>
      </w:hyperlink>
      <w:r w:rsidRPr="00CB4F2E">
        <w:rPr>
          <w:lang w:val="fr-FR"/>
        </w:rPr>
        <w:t>) ainsi que le Ministère des forêts et de la faune (), s’occupent du droit à un environnement sain.</w:t>
      </w:r>
    </w:p>
    <w:p w14:paraId="4809B911" w14:textId="01818A34" w:rsidR="0093676D" w:rsidRPr="00CB4F2E" w:rsidRDefault="0093676D" w:rsidP="005F1D8A">
      <w:pPr>
        <w:pStyle w:val="SingleTxtG"/>
        <w:numPr>
          <w:ilvl w:val="0"/>
          <w:numId w:val="6"/>
        </w:numPr>
        <w:ind w:left="1134" w:firstLine="0"/>
        <w:rPr>
          <w:lang w:val="fr-FR"/>
        </w:rPr>
      </w:pPr>
      <w:r w:rsidRPr="00CB4F2E">
        <w:rPr>
          <w:lang w:val="fr-FR"/>
        </w:rPr>
        <w:lastRenderedPageBreak/>
        <w:t xml:space="preserve">A ces </w:t>
      </w:r>
      <w:r w:rsidRPr="00CB4F2E">
        <w:t>ministères</w:t>
      </w:r>
      <w:r w:rsidRPr="00CB4F2E">
        <w:rPr>
          <w:lang w:val="fr-FR"/>
        </w:rPr>
        <w:t>, s’ajoute le MINJUSTICE, chargé, entre autres, de la protection et du suivi des Droits de l’Homme. Ce Département ministériel publie d’ailleurs, depuis 2005, un Rapport annuel sur l’état des Droits de l’Homme au Cameroun</w:t>
      </w:r>
      <w:r w:rsidRPr="00CB4F2E">
        <w:rPr>
          <w:rStyle w:val="FootnoteReference"/>
        </w:rPr>
        <w:footnoteReference w:id="44"/>
      </w:r>
      <w:r w:rsidRPr="00CB4F2E">
        <w:rPr>
          <w:lang w:val="fr-FR"/>
        </w:rPr>
        <w:t>.</w:t>
      </w:r>
    </w:p>
    <w:p w14:paraId="1ACF10C3" w14:textId="0AA2B17F" w:rsidR="00ED20A7" w:rsidRDefault="00423320" w:rsidP="00423320">
      <w:pPr>
        <w:pStyle w:val="H1G"/>
        <w:rPr>
          <w:i/>
        </w:rPr>
      </w:pPr>
      <w:bookmarkStart w:id="85" w:name="_Toc210646347"/>
      <w:r>
        <w:tab/>
        <w:t>B.</w:t>
      </w:r>
      <w:r>
        <w:tab/>
      </w:r>
      <w:r w:rsidR="0093676D" w:rsidRPr="00CB4F2E">
        <w:t>Les recours en cas de violation des droits, systèmes de compensation et de réhabilitation disponibles</w:t>
      </w:r>
      <w:bookmarkEnd w:id="85"/>
    </w:p>
    <w:p w14:paraId="0850A1CE" w14:textId="77777777" w:rsidR="00ED20A7" w:rsidRDefault="0093676D" w:rsidP="005F1D8A">
      <w:pPr>
        <w:pStyle w:val="SingleTxtG"/>
        <w:numPr>
          <w:ilvl w:val="0"/>
          <w:numId w:val="6"/>
        </w:numPr>
        <w:ind w:left="1134" w:firstLine="0"/>
      </w:pPr>
      <w:r w:rsidRPr="00CB4F2E">
        <w:t>Toute personne dont les droits ont été violés peut demander réparation du préjudice subi devant les juridictions compétentes. De plus, une personne illégalement ou arbitrairement privée de sa liberté peut solliciter sa libération immédiate devant le Président du Tribunal de grande instance par la voie de l’</w:t>
      </w:r>
      <w:r w:rsidRPr="00CB4F2E">
        <w:rPr>
          <w:i/>
        </w:rPr>
        <w:t>habeas corpus</w:t>
      </w:r>
      <w:r w:rsidRPr="00CB4F2E">
        <w:rPr>
          <w:rStyle w:val="FootnoteReference"/>
        </w:rPr>
        <w:footnoteReference w:id="45"/>
      </w:r>
      <w:r w:rsidRPr="00CB4F2E">
        <w:rPr>
          <w:i/>
        </w:rPr>
        <w:t>.</w:t>
      </w:r>
      <w:r w:rsidRPr="00CB4F2E">
        <w:t xml:space="preserve"> </w:t>
      </w:r>
    </w:p>
    <w:p w14:paraId="480E072E" w14:textId="03B53BC1" w:rsidR="00ED20A7" w:rsidRDefault="0093676D" w:rsidP="005F1D8A">
      <w:pPr>
        <w:pStyle w:val="SingleTxtG"/>
        <w:numPr>
          <w:ilvl w:val="0"/>
          <w:numId w:val="6"/>
        </w:numPr>
        <w:ind w:left="1134" w:firstLine="0"/>
      </w:pPr>
      <w:r w:rsidRPr="00CB4F2E">
        <w:t>La personne lésée peut également saisir la CDHC qui, à l’effet d’assurer la garantie juridictionnelle et non juridictionnelle du respect des droits humains, déploie ses compétences en matière de traitement des dénonciations. La CDHC peut également s’autosaisir des faits portés à sa connaissance qui sont de nature à constituer des violations graves, récurrentes ou systémiques des Droits de l’Homme. Elle s’est d’ailleurs dotée d’une ligne verte (1523) pour accueillir des requêtes, écouter et assister les usagers porteurs d’allégations de violation des Droits de l’Homme. La DGSN a également mis en place des numéros verts permettant aux populations de dénoncer toute violation des Droits de l’Homme et de bénéficier éventuellement d’une assistance. Il s’agit du « 1500 » et du « 17 » pour les téléphones connectés au réseau de la CAMTEL et du « 117 » pour les téléphones connectés à d’autres réseaux.</w:t>
      </w:r>
    </w:p>
    <w:p w14:paraId="4E5BB042" w14:textId="77777777" w:rsidR="00ED20A7" w:rsidRDefault="0093676D" w:rsidP="005F1D8A">
      <w:pPr>
        <w:pStyle w:val="SingleTxtG"/>
        <w:numPr>
          <w:ilvl w:val="0"/>
          <w:numId w:val="6"/>
        </w:numPr>
        <w:ind w:left="1134" w:firstLine="0"/>
        <w:rPr>
          <w:lang w:val="fr-FR"/>
        </w:rPr>
      </w:pPr>
      <w:r w:rsidRPr="00CB4F2E">
        <w:rPr>
          <w:lang w:val="fr-FR"/>
        </w:rPr>
        <w:t xml:space="preserve">De façon </w:t>
      </w:r>
      <w:r w:rsidRPr="00CB4F2E">
        <w:t>ultime</w:t>
      </w:r>
      <w:r w:rsidRPr="00CB4F2E">
        <w:rPr>
          <w:lang w:val="fr-FR"/>
        </w:rPr>
        <w:t>, la victime d’une violation peut en outre saisir les instances régionales ou internationales de protection des Droits de l’Homme (dont le Cameroun a accepté le mécanisme des plaintes individuelles), lorsque les recours internes ont été épuisés.</w:t>
      </w:r>
    </w:p>
    <w:p w14:paraId="7BD2D56E" w14:textId="33C29C11" w:rsidR="00ED20A7" w:rsidRDefault="00423320" w:rsidP="00423320">
      <w:pPr>
        <w:pStyle w:val="H1G"/>
        <w:ind w:left="1210" w:hanging="850"/>
        <w:rPr>
          <w:i/>
        </w:rPr>
      </w:pPr>
      <w:bookmarkStart w:id="86" w:name="_Toc210646348"/>
      <w:r>
        <w:tab/>
        <w:t>C.</w:t>
      </w:r>
      <w:r>
        <w:tab/>
      </w:r>
      <w:r w:rsidR="0093676D" w:rsidRPr="00CB4F2E">
        <w:t>La protection constitutionnelle des droits énoncés dans les divers instruments internationaux relatifs aux Droits de l’Homme</w:t>
      </w:r>
      <w:bookmarkEnd w:id="86"/>
    </w:p>
    <w:p w14:paraId="71A4D68A" w14:textId="497F3E3E" w:rsidR="00ED20A7" w:rsidRDefault="0093676D" w:rsidP="005F1D8A">
      <w:pPr>
        <w:pStyle w:val="SingleTxtG"/>
        <w:numPr>
          <w:ilvl w:val="0"/>
          <w:numId w:val="6"/>
        </w:numPr>
        <w:ind w:left="1134" w:firstLine="0"/>
        <w:rPr>
          <w:lang w:val="fr-FR"/>
        </w:rPr>
      </w:pPr>
      <w:r w:rsidRPr="00CB4F2E">
        <w:rPr>
          <w:lang w:val="fr-FR"/>
        </w:rPr>
        <w:t xml:space="preserve">Le Préambule de la Constitution proclame l’attachement du peuple camerounais aux valeurs et principes universels </w:t>
      </w:r>
      <w:r w:rsidRPr="00CB4F2E">
        <w:t>suivants</w:t>
      </w:r>
      <w:r w:rsidRPr="00CB4F2E">
        <w:rPr>
          <w:lang w:val="fr-FR"/>
        </w:rPr>
        <w:t>, consacrés dans la Déclaration universelle des Droits de l’Homme, la Charte des Nations Unies, la CADHP et dans divers autres instruments internationaux et régionaux : l’égalité de tous en droits et en devoirs</w:t>
      </w:r>
      <w:r w:rsidR="0027203C">
        <w:rPr>
          <w:lang w:val="fr-FR"/>
        </w:rPr>
        <w:t>;</w:t>
      </w:r>
      <w:r w:rsidRPr="00CB4F2E">
        <w:rPr>
          <w:lang w:val="fr-FR"/>
        </w:rPr>
        <w:t xml:space="preserve"> la liberté et la sécurité pour chacun</w:t>
      </w:r>
      <w:r w:rsidR="0027203C">
        <w:rPr>
          <w:lang w:val="fr-FR"/>
        </w:rPr>
        <w:t>;</w:t>
      </w:r>
      <w:r w:rsidRPr="00CB4F2E">
        <w:rPr>
          <w:lang w:val="fr-FR"/>
        </w:rPr>
        <w:t xml:space="preserve"> la prohibition de tout commandement ou ordre arbitraire</w:t>
      </w:r>
      <w:r w:rsidR="0027203C">
        <w:rPr>
          <w:lang w:val="fr-FR"/>
        </w:rPr>
        <w:t>;</w:t>
      </w:r>
      <w:r w:rsidRPr="00CB4F2E">
        <w:rPr>
          <w:lang w:val="fr-FR"/>
        </w:rPr>
        <w:t xml:space="preserve"> la liberté d’aller et venir</w:t>
      </w:r>
      <w:r w:rsidR="0027203C">
        <w:rPr>
          <w:lang w:val="fr-FR"/>
        </w:rPr>
        <w:t>;</w:t>
      </w:r>
      <w:r w:rsidRPr="00CB4F2E">
        <w:rPr>
          <w:lang w:val="fr-FR"/>
        </w:rPr>
        <w:t xml:space="preserve"> l’inviolabilité du domicile et de la correspondance</w:t>
      </w:r>
      <w:r w:rsidR="0027203C">
        <w:rPr>
          <w:lang w:val="fr-FR"/>
        </w:rPr>
        <w:t>;</w:t>
      </w:r>
      <w:r w:rsidRPr="00CB4F2E">
        <w:rPr>
          <w:lang w:val="fr-FR"/>
        </w:rPr>
        <w:t xml:space="preserve"> le principe de légalité</w:t>
      </w:r>
      <w:r w:rsidR="0027203C">
        <w:rPr>
          <w:lang w:val="fr-FR"/>
        </w:rPr>
        <w:t>;</w:t>
      </w:r>
      <w:r w:rsidRPr="00CB4F2E">
        <w:rPr>
          <w:lang w:val="fr-FR"/>
        </w:rPr>
        <w:t xml:space="preserve"> la sûreté individuelle</w:t>
      </w:r>
      <w:r w:rsidR="0027203C">
        <w:rPr>
          <w:lang w:val="fr-FR"/>
        </w:rPr>
        <w:t>;</w:t>
      </w:r>
      <w:r w:rsidRPr="00CB4F2E">
        <w:rPr>
          <w:lang w:val="fr-FR"/>
        </w:rPr>
        <w:t xml:space="preserve"> le droit de ne pas être soumis à la torture</w:t>
      </w:r>
      <w:r w:rsidR="0027203C">
        <w:rPr>
          <w:lang w:val="fr-FR"/>
        </w:rPr>
        <w:t>;</w:t>
      </w:r>
      <w:r w:rsidRPr="00CB4F2E">
        <w:rPr>
          <w:lang w:val="fr-FR"/>
        </w:rPr>
        <w:t xml:space="preserve"> la non-rétroactivité de la loi</w:t>
      </w:r>
      <w:r w:rsidR="0027203C">
        <w:rPr>
          <w:lang w:val="fr-FR"/>
        </w:rPr>
        <w:t>;</w:t>
      </w:r>
      <w:r w:rsidRPr="00CB4F2E">
        <w:rPr>
          <w:lang w:val="fr-FR"/>
        </w:rPr>
        <w:t xml:space="preserve"> le droit pour tous de se faire rendre justice</w:t>
      </w:r>
      <w:r w:rsidR="0027203C">
        <w:rPr>
          <w:lang w:val="fr-FR"/>
        </w:rPr>
        <w:t>;</w:t>
      </w:r>
      <w:r w:rsidRPr="00CB4F2E">
        <w:rPr>
          <w:lang w:val="fr-FR"/>
        </w:rPr>
        <w:t xml:space="preserve"> les libertés d’opinion, de croyance, de conscience et de culte</w:t>
      </w:r>
      <w:r w:rsidR="0027203C">
        <w:rPr>
          <w:lang w:val="fr-FR"/>
        </w:rPr>
        <w:t>;</w:t>
      </w:r>
      <w:r w:rsidRPr="00CB4F2E">
        <w:rPr>
          <w:lang w:val="fr-FR"/>
        </w:rPr>
        <w:t xml:space="preserve"> les libertés d’expression, de presse, de réunion et d’</w:t>
      </w:r>
      <w:proofErr w:type="spellStart"/>
      <w:r w:rsidRPr="00CB4F2E">
        <w:rPr>
          <w:lang w:val="fr-FR"/>
        </w:rPr>
        <w:t>association</w:t>
      </w:r>
      <w:r w:rsidR="0027203C">
        <w:rPr>
          <w:lang w:val="fr-FR"/>
        </w:rPr>
        <w:t>;</w:t>
      </w:r>
      <w:r w:rsidRPr="00CB4F2E">
        <w:rPr>
          <w:lang w:val="fr-FR"/>
        </w:rPr>
        <w:t>la</w:t>
      </w:r>
      <w:proofErr w:type="spellEnd"/>
      <w:r w:rsidRPr="00CB4F2E">
        <w:rPr>
          <w:lang w:val="fr-FR"/>
        </w:rPr>
        <w:t xml:space="preserve"> liberté syndicale et le droit de grève</w:t>
      </w:r>
      <w:r w:rsidR="0027203C">
        <w:rPr>
          <w:lang w:val="fr-FR"/>
        </w:rPr>
        <w:t>;</w:t>
      </w:r>
      <w:r w:rsidRPr="00CB4F2E">
        <w:rPr>
          <w:lang w:val="fr-FR"/>
        </w:rPr>
        <w:t xml:space="preserve"> le droit à un environnement sain</w:t>
      </w:r>
      <w:r w:rsidR="0027203C">
        <w:rPr>
          <w:lang w:val="fr-FR"/>
        </w:rPr>
        <w:t>;</w:t>
      </w:r>
      <w:r w:rsidRPr="00CB4F2E">
        <w:rPr>
          <w:lang w:val="fr-FR"/>
        </w:rPr>
        <w:t xml:space="preserve"> la protection des minorités et des populations autochtones.</w:t>
      </w:r>
    </w:p>
    <w:p w14:paraId="041E0370" w14:textId="41C65B2E" w:rsidR="0093676D" w:rsidRPr="00CB4F2E" w:rsidRDefault="0093676D" w:rsidP="005F1D8A">
      <w:pPr>
        <w:pStyle w:val="SingleTxtG"/>
        <w:numPr>
          <w:ilvl w:val="0"/>
          <w:numId w:val="6"/>
        </w:numPr>
        <w:ind w:left="1134" w:firstLine="0"/>
      </w:pPr>
      <w:r w:rsidRPr="00CB4F2E">
        <w:t>L’article 65 de la Constitution dispose clairement que le Préambule fait partie intégrante de la Constitution. Par ailleurs, le Conseil Constitutionnel joue un rôle primordial dans la protection desdits droits, notamment dans le cadre du contrôle de constitutionnalité et de conventionalité des textes législatifs.</w:t>
      </w:r>
    </w:p>
    <w:p w14:paraId="0E7686BA" w14:textId="7CCA7542" w:rsidR="0093676D" w:rsidRPr="00CB4F2E" w:rsidRDefault="00423320" w:rsidP="00423320">
      <w:pPr>
        <w:pStyle w:val="H1G"/>
        <w:rPr>
          <w:i/>
        </w:rPr>
      </w:pPr>
      <w:bookmarkStart w:id="87" w:name="_Toc466705774"/>
      <w:bookmarkStart w:id="88" w:name="_Toc210208613"/>
      <w:bookmarkStart w:id="89" w:name="_Toc210209115"/>
      <w:bookmarkStart w:id="90" w:name="_Toc210646349"/>
      <w:r>
        <w:tab/>
      </w:r>
      <w:r w:rsidRPr="00CB4F2E">
        <w:t>D.</w:t>
      </w:r>
      <w:r w:rsidRPr="00CB4F2E">
        <w:tab/>
      </w:r>
      <w:r w:rsidR="0093676D" w:rsidRPr="00CB4F2E">
        <w:t>Incorporation des instruments relatifs aux Droits de l’Homme dans le droit national et invocabilité devant les instances judiciaires ou les autorités administratives</w:t>
      </w:r>
      <w:bookmarkEnd w:id="87"/>
      <w:bookmarkEnd w:id="88"/>
      <w:bookmarkEnd w:id="89"/>
      <w:bookmarkEnd w:id="90"/>
    </w:p>
    <w:p w14:paraId="741B5965" w14:textId="77777777" w:rsidR="0093676D" w:rsidRPr="00CB4F2E" w:rsidRDefault="0093676D" w:rsidP="005F1D8A">
      <w:pPr>
        <w:pStyle w:val="SingleTxtG"/>
        <w:numPr>
          <w:ilvl w:val="0"/>
          <w:numId w:val="6"/>
        </w:numPr>
        <w:ind w:left="1134" w:firstLine="0"/>
      </w:pPr>
      <w:bookmarkStart w:id="91" w:name="_Toc210208614"/>
      <w:bookmarkStart w:id="92" w:name="_Toc210209116"/>
      <w:bookmarkStart w:id="93" w:name="_Toc210217661"/>
      <w:bookmarkStart w:id="94" w:name="_Toc210221227"/>
      <w:bookmarkStart w:id="95" w:name="_Toc210643389"/>
      <w:bookmarkStart w:id="96" w:name="_Toc210646350"/>
      <w:r w:rsidRPr="00CB4F2E">
        <w:t xml:space="preserve">Ainsi que cela a été rappelé plus haut (§103), le Cameroun a opté pour un système juridique moniste avec primauté du droit international (article 45 de la Constitution). En conséquence, tous les instruments internationaux et régionaux ratifiés par le Cameroun </w:t>
      </w:r>
      <w:r w:rsidRPr="00CB4F2E">
        <w:lastRenderedPageBreak/>
        <w:t>constituent directement une source de droit camerounais et ont priorité sur la législation interne en cas de contrariété.</w:t>
      </w:r>
      <w:bookmarkEnd w:id="91"/>
      <w:bookmarkEnd w:id="92"/>
      <w:bookmarkEnd w:id="93"/>
      <w:bookmarkEnd w:id="94"/>
      <w:bookmarkEnd w:id="95"/>
      <w:bookmarkEnd w:id="96"/>
      <w:r w:rsidRPr="00CB4F2E">
        <w:t xml:space="preserve"> </w:t>
      </w:r>
    </w:p>
    <w:p w14:paraId="112A6C4B" w14:textId="77777777" w:rsidR="00ED20A7" w:rsidRDefault="0093676D" w:rsidP="005F1D8A">
      <w:pPr>
        <w:pStyle w:val="SingleTxtG"/>
        <w:numPr>
          <w:ilvl w:val="0"/>
          <w:numId w:val="6"/>
        </w:numPr>
        <w:ind w:left="1134" w:firstLine="0"/>
        <w:rPr>
          <w:lang w:val="fr-FR"/>
        </w:rPr>
      </w:pPr>
      <w:r w:rsidRPr="00CB4F2E">
        <w:t>Au-delà du monisme, l</w:t>
      </w:r>
      <w:r w:rsidRPr="00CB4F2E">
        <w:rPr>
          <w:lang w:val="fr-FR"/>
        </w:rPr>
        <w:t>es dispositions des conventions internationales sont progressivement internalisées. Le Code Pénal issu de la Loi n°2016/007 du 12 juillet 2016 en est une illustration. Il prend en compte les droits protégés au titre de la Convention sur l’élimination de toutes les formes de discrimination à l’égard des femmes, du Protocole à la CADHP relatif aux droits de la femme en Afrique ou encore de la Convention des Nations unies relative aux droits de l’enfant. Il incrimine ainsi les mutilations génitales, l’atteinte à la croissance d’un organe, l’adultère, le harcèlement sexuel, l’expulsion du domicile conjugal, l’entrave à l’exercice du droit de visite et l’entrave au droit à la scolarisation (articles 277-1, 277-2, 302-1, 355-1, 355-2, 358-1 et 361 du Code Pénal).</w:t>
      </w:r>
    </w:p>
    <w:p w14:paraId="3B6B4737" w14:textId="77777777" w:rsidR="00ED20A7" w:rsidRDefault="0093676D" w:rsidP="005F1D8A">
      <w:pPr>
        <w:pStyle w:val="SingleTxtG"/>
        <w:numPr>
          <w:ilvl w:val="0"/>
          <w:numId w:val="6"/>
        </w:numPr>
        <w:ind w:left="1134" w:firstLine="0"/>
        <w:rPr>
          <w:b/>
          <w:bCs/>
        </w:rPr>
      </w:pPr>
      <w:r w:rsidRPr="00CB4F2E">
        <w:rPr>
          <w:lang w:val="fr-FR"/>
        </w:rPr>
        <w:t xml:space="preserve">D’autres textes </w:t>
      </w:r>
      <w:r w:rsidRPr="00CB4F2E">
        <w:t>nationaux</w:t>
      </w:r>
      <w:r w:rsidRPr="00CB4F2E">
        <w:rPr>
          <w:lang w:val="fr-FR"/>
        </w:rPr>
        <w:t xml:space="preserve"> permettent également de donner effet aux dispositions des conventions internationales ratifiées. </w:t>
      </w:r>
      <w:proofErr w:type="spellStart"/>
      <w:r w:rsidRPr="00CB4F2E">
        <w:rPr>
          <w:lang w:val="fr-FR"/>
        </w:rPr>
        <w:t>A</w:t>
      </w:r>
      <w:proofErr w:type="spellEnd"/>
      <w:r w:rsidRPr="00CB4F2E">
        <w:rPr>
          <w:lang w:val="fr-FR"/>
        </w:rPr>
        <w:t xml:space="preserve"> titre d’illustration, les Lois n° 2012/001 du 19 avril 2012 portant Code </w:t>
      </w:r>
      <w:proofErr w:type="spellStart"/>
      <w:r w:rsidRPr="00CB4F2E">
        <w:rPr>
          <w:lang w:val="fr-FR"/>
        </w:rPr>
        <w:t>Electoral</w:t>
      </w:r>
      <w:proofErr w:type="spellEnd"/>
      <w:r w:rsidRPr="00CB4F2E">
        <w:rPr>
          <w:lang w:val="fr-FR"/>
        </w:rPr>
        <w:t>, n°</w:t>
      </w:r>
      <w:r w:rsidRPr="00CB4F2E">
        <w:t>2019/024 du 24 décembre 2019 portant Code général des CTD, n°2021/015 du 09 juillet 2021 portant organisation et promotion du volontariat au Cameroun, entre autres,</w:t>
      </w:r>
      <w:r w:rsidRPr="00CB4F2E">
        <w:rPr>
          <w:b/>
          <w:bCs/>
        </w:rPr>
        <w:t xml:space="preserve"> </w:t>
      </w:r>
      <w:r w:rsidRPr="00CB4F2E">
        <w:rPr>
          <w:lang w:val="fr-FR"/>
        </w:rPr>
        <w:t xml:space="preserve">permettent de donner effet aux dispositions du Pacte international relatif aux droits civils et politiques, de la CADHP, du Protocole de Maputo et à la Charte Africaine de la Gouvernance, de la Démocratie et des Élections, </w:t>
      </w:r>
      <w:proofErr w:type="spellStart"/>
      <w:r w:rsidRPr="00CB4F2E">
        <w:rPr>
          <w:lang w:val="fr-FR"/>
        </w:rPr>
        <w:t>etc</w:t>
      </w:r>
      <w:proofErr w:type="spellEnd"/>
      <w:r w:rsidRPr="00CB4F2E">
        <w:rPr>
          <w:lang w:val="fr-FR"/>
        </w:rPr>
        <w:t xml:space="preserve">, en ce qui concerne le droit de participer à la gestion des affaires publiques à travers les élections. </w:t>
      </w:r>
    </w:p>
    <w:p w14:paraId="7F80E0D0" w14:textId="77777777" w:rsidR="00ED20A7" w:rsidRDefault="0093676D" w:rsidP="005F1D8A">
      <w:pPr>
        <w:pStyle w:val="SingleTxtG"/>
        <w:numPr>
          <w:ilvl w:val="0"/>
          <w:numId w:val="6"/>
        </w:numPr>
        <w:ind w:left="1134" w:firstLine="0"/>
      </w:pPr>
      <w:r w:rsidRPr="00CB4F2E">
        <w:t xml:space="preserve">Toujours à titre illustratif, la Loi n°92/007 du 14 août 1992 portant Code du Travail, Loi n° 96/03 du 4 janvier 1996 portant loi-cadre dans le domaine de la santé, la Loi n°2024/018 du 23 décembre 2024 portant exercice et organisation de la médecine traditionnelle au Cameroun, la Loi n°2023/007 du 25 juillet 2023 portant orientation de l'enseignement supérieur au Cameroun, la Loi n°98/004 du 14 avril 1998 portant orientation de l'éducation au Cameroun, la Loi n°2018/010 du 11 juillet 2018 régissant la Formation Professionnelle au Cameroun, la Loi n°2022/014 du 14 juillet 2022 relative à la procréation médicalement assistée au Cameroun, le Décret n°2018/354 du 07 juin 2018 portant réorganisation et fonctionnement de la Caisse Nationale de Prévoyance Sociale, entre autres, donnent effet aux dispositions relatives aux droits au travail, à la santé, à l’éducation contenues dans le Pacte international relatif aux droits économiques, sociaux et culturels, de la CADHP, du Protocole de Maputo, etc. </w:t>
      </w:r>
    </w:p>
    <w:p w14:paraId="70AF2987" w14:textId="77777777" w:rsidR="00ED20A7" w:rsidRDefault="0093676D" w:rsidP="005F1D8A">
      <w:pPr>
        <w:pStyle w:val="SingleTxtG"/>
        <w:numPr>
          <w:ilvl w:val="0"/>
          <w:numId w:val="6"/>
        </w:numPr>
        <w:ind w:left="1134" w:firstLine="0"/>
        <w:rPr>
          <w:lang w:val="fr-FR"/>
        </w:rPr>
      </w:pPr>
      <w:r w:rsidRPr="00CB4F2E">
        <w:rPr>
          <w:lang w:val="fr-FR"/>
        </w:rPr>
        <w:t xml:space="preserve">De même, la </w:t>
      </w:r>
      <w:r w:rsidRPr="00CB4F2E">
        <w:t>Loi n°2011/024 du 14 décembre 2011 relative à la lutte contre le trafic et la traite des personnes a domestiqué certaines dispositions du Protocole additionnel à la Convention des Nations Unies contre la criminalité transnationale organisée visant à prévenir, réprimer et punir la traite des personnes, en particulier des femmes et des enfants, ainsi que du Protocole contre le trafic illicite de migrants par terre, air et mer.</w:t>
      </w:r>
    </w:p>
    <w:p w14:paraId="4EDFF065" w14:textId="637CB418" w:rsidR="00ED20A7" w:rsidRDefault="0093676D" w:rsidP="005F1D8A">
      <w:pPr>
        <w:pStyle w:val="SingleTxtG"/>
        <w:numPr>
          <w:ilvl w:val="0"/>
          <w:numId w:val="6"/>
        </w:numPr>
        <w:ind w:left="1134" w:firstLine="0"/>
        <w:rPr>
          <w:lang w:val="fr-FR"/>
        </w:rPr>
      </w:pPr>
      <w:r w:rsidRPr="00CB4F2E">
        <w:rPr>
          <w:lang w:val="fr-FR"/>
        </w:rPr>
        <w:t xml:space="preserve">Relativement à l’invocabilité des normes internationales, les citoyens sont fondés à s’en prévaloir et les juges peuvent </w:t>
      </w:r>
      <w:r w:rsidRPr="00CB4F2E">
        <w:t>appliquer</w:t>
      </w:r>
      <w:r w:rsidRPr="00CB4F2E">
        <w:rPr>
          <w:lang w:val="fr-FR"/>
        </w:rPr>
        <w:t xml:space="preserve"> directement les dispositions claires et précises qui ne nécessitent pas de mesures de transposition ou d’incorporation particulières.</w:t>
      </w:r>
      <w:r w:rsidR="0027203C">
        <w:rPr>
          <w:lang w:val="fr-FR"/>
        </w:rPr>
        <w:t xml:space="preserve"> </w:t>
      </w:r>
    </w:p>
    <w:p w14:paraId="1790CCD4" w14:textId="2C683BC4" w:rsidR="0093676D" w:rsidRPr="00CB4F2E" w:rsidRDefault="00423320" w:rsidP="00423320">
      <w:pPr>
        <w:pStyle w:val="H1G"/>
        <w:rPr>
          <w:i/>
        </w:rPr>
      </w:pPr>
      <w:bookmarkStart w:id="97" w:name="_Toc210646351"/>
      <w:r>
        <w:tab/>
      </w:r>
      <w:r w:rsidR="0093676D" w:rsidRPr="00CB4F2E">
        <w:t>E.</w:t>
      </w:r>
      <w:r>
        <w:tab/>
      </w:r>
      <w:r w:rsidR="0093676D" w:rsidRPr="00CB4F2E">
        <w:t>Les institutions et les organismes nationaux chargés de veiller au respect des Droits de l’Homme</w:t>
      </w:r>
      <w:bookmarkEnd w:id="97"/>
    </w:p>
    <w:p w14:paraId="3BADAACF" w14:textId="2E2BAA48" w:rsidR="00ED20A7" w:rsidRDefault="00423320" w:rsidP="00423320">
      <w:pPr>
        <w:pStyle w:val="H23G"/>
      </w:pPr>
      <w:bookmarkStart w:id="98" w:name="_Toc210646352"/>
      <w:r>
        <w:tab/>
      </w:r>
      <w:r>
        <w:tab/>
      </w:r>
      <w:r w:rsidR="0093676D" w:rsidRPr="00CB4F2E">
        <w:t>La Direction des Droits de l’Homme et de la Coopération Internationale du MINJUSTICE</w:t>
      </w:r>
      <w:bookmarkEnd w:id="98"/>
    </w:p>
    <w:p w14:paraId="3F120237" w14:textId="5AEBFC96" w:rsidR="0093676D" w:rsidRPr="00CB4F2E" w:rsidRDefault="0093676D" w:rsidP="005F1D8A">
      <w:pPr>
        <w:pStyle w:val="SingleTxtG"/>
        <w:numPr>
          <w:ilvl w:val="0"/>
          <w:numId w:val="6"/>
        </w:numPr>
        <w:ind w:left="1134" w:firstLine="0"/>
        <w:rPr>
          <w:lang w:val="fr-FR"/>
        </w:rPr>
      </w:pPr>
      <w:r w:rsidRPr="00CB4F2E">
        <w:rPr>
          <w:lang w:val="fr-FR"/>
        </w:rPr>
        <w:t xml:space="preserve">Elle est chargée entre autres : du suivi des questions des Droits de l’Homme en général, de la lutte contre la torture, les </w:t>
      </w:r>
      <w:r w:rsidRPr="00CB4F2E">
        <w:t>traitements</w:t>
      </w:r>
      <w:r w:rsidRPr="00CB4F2E">
        <w:rPr>
          <w:lang w:val="fr-FR"/>
        </w:rPr>
        <w:t xml:space="preserve"> cruels, inhumains ou dégradants</w:t>
      </w:r>
      <w:r w:rsidR="0027203C">
        <w:rPr>
          <w:lang w:val="fr-FR"/>
        </w:rPr>
        <w:t>;</w:t>
      </w:r>
      <w:r w:rsidRPr="00CB4F2E">
        <w:rPr>
          <w:lang w:val="fr-FR"/>
        </w:rPr>
        <w:t xml:space="preserve"> du suivi de l’application des conventions internationales relatives aux Droits de l’Homme; de l’information et de la sensibilisation des administrations, organismes publics et privés, des personnels des services judiciaires et de l’administration pénitentiaire aux normes de promotion et de</w:t>
      </w:r>
      <w:r w:rsidR="0027203C">
        <w:rPr>
          <w:lang w:val="fr-FR"/>
        </w:rPr>
        <w:t xml:space="preserve"> </w:t>
      </w:r>
      <w:r w:rsidRPr="00CB4F2E">
        <w:rPr>
          <w:lang w:val="fr-FR"/>
        </w:rPr>
        <w:t>protection des Droits de l’Homme</w:t>
      </w:r>
      <w:r w:rsidR="0027203C">
        <w:rPr>
          <w:lang w:val="fr-FR"/>
        </w:rPr>
        <w:t>;</w:t>
      </w:r>
      <w:r w:rsidRPr="00CB4F2E">
        <w:rPr>
          <w:lang w:val="fr-FR"/>
        </w:rPr>
        <w:t xml:space="preserve"> du suivi de la collaboration avec </w:t>
      </w:r>
      <w:r w:rsidRPr="00CB4F2E">
        <w:t>la Cour Internationale de Justice, la Cour Pénale Internationale (CPI) et le Haut-Commissariat des Nations Unies aux Droits de l’Homme, en liaison avec le Ministère des Relations Extérieures (</w:t>
      </w:r>
      <w:hyperlink r:id="rId48" w:history="1">
        <w:r w:rsidRPr="00CB4F2E">
          <w:rPr>
            <w:rStyle w:val="Hyperlink"/>
          </w:rPr>
          <w:t>https://diplocam.cm/</w:t>
        </w:r>
      </w:hyperlink>
      <w:r w:rsidRPr="00CB4F2E">
        <w:t>)</w:t>
      </w:r>
      <w:r w:rsidR="0027203C">
        <w:t>;</w:t>
      </w:r>
      <w:r w:rsidRPr="00CB4F2E">
        <w:t xml:space="preserve"> du suivi des activités de la CDHC, des organisations internationales et des Organisations de la Société Civile œuvrant dans le domaine des Droits de l’Homme.</w:t>
      </w:r>
    </w:p>
    <w:p w14:paraId="45FF7A48" w14:textId="1088A319" w:rsidR="00ED20A7" w:rsidRDefault="00423320" w:rsidP="00423320">
      <w:pPr>
        <w:pStyle w:val="H23G"/>
      </w:pPr>
      <w:bookmarkStart w:id="99" w:name="_Toc210646353"/>
      <w:r>
        <w:lastRenderedPageBreak/>
        <w:tab/>
      </w:r>
      <w:r>
        <w:tab/>
      </w:r>
      <w:r w:rsidR="0093676D" w:rsidRPr="00CB4F2E">
        <w:t>La Direction de l’Administration Pénitentiaire du MINJUSTICE</w:t>
      </w:r>
      <w:bookmarkEnd w:id="99"/>
    </w:p>
    <w:p w14:paraId="7AE3A9BC" w14:textId="5679A604" w:rsidR="0093676D" w:rsidRPr="00CB4F2E" w:rsidRDefault="0093676D" w:rsidP="005F1D8A">
      <w:pPr>
        <w:pStyle w:val="SingleTxtG"/>
        <w:numPr>
          <w:ilvl w:val="0"/>
          <w:numId w:val="6"/>
        </w:numPr>
        <w:ind w:left="1134" w:firstLine="0"/>
        <w:rPr>
          <w:lang w:val="fr-FR"/>
        </w:rPr>
      </w:pPr>
      <w:r w:rsidRPr="00CB4F2E">
        <w:rPr>
          <w:bCs/>
          <w:lang w:val="fr-FR"/>
        </w:rPr>
        <w:t>Elle est</w:t>
      </w:r>
      <w:r w:rsidRPr="00CB4F2E">
        <w:rPr>
          <w:lang w:val="fr-FR"/>
        </w:rPr>
        <w:t xml:space="preserve"> chargée entre autres : </w:t>
      </w:r>
      <w:r w:rsidRPr="00CB4F2E">
        <w:rPr>
          <w:lang w:val="fr-MC"/>
        </w:rPr>
        <w:t>de la promotion et de la protection des Droits de l’Homme en milieu carcéral</w:t>
      </w:r>
      <w:r w:rsidR="0027203C">
        <w:rPr>
          <w:lang w:val="fr-MC"/>
        </w:rPr>
        <w:t>;</w:t>
      </w:r>
      <w:r w:rsidRPr="00CB4F2E">
        <w:rPr>
          <w:lang w:val="fr-MC"/>
        </w:rPr>
        <w:t xml:space="preserve"> du développement et du suivi de la mise en œuvre des plans et programmes de réhabilitation et de réinsertion sociale des </w:t>
      </w:r>
      <w:r w:rsidRPr="00CB4F2E">
        <w:t>détenus</w:t>
      </w:r>
      <w:r w:rsidR="0027203C">
        <w:rPr>
          <w:lang w:val="fr-MC"/>
        </w:rPr>
        <w:t>;</w:t>
      </w:r>
      <w:r w:rsidRPr="00CB4F2E">
        <w:rPr>
          <w:lang w:val="fr-MC"/>
        </w:rPr>
        <w:t xml:space="preserve"> du développement et du suivi de la mise en œuvre des programmes et</w:t>
      </w:r>
      <w:r w:rsidR="0027203C">
        <w:rPr>
          <w:lang w:val="fr-MC"/>
        </w:rPr>
        <w:t xml:space="preserve"> </w:t>
      </w:r>
      <w:r w:rsidRPr="00CB4F2E">
        <w:rPr>
          <w:lang w:val="fr-MC"/>
        </w:rPr>
        <w:t>plans de travail et d’activités de production dans le cadre de la valorisation du potentiel humain en détention</w:t>
      </w:r>
      <w:r w:rsidR="0027203C">
        <w:rPr>
          <w:lang w:val="fr-MC"/>
        </w:rPr>
        <w:t>;</w:t>
      </w:r>
      <w:r w:rsidRPr="00CB4F2E">
        <w:rPr>
          <w:lang w:val="fr-MC"/>
        </w:rPr>
        <w:t xml:space="preserve"> du suivi de la santé, de l’hygiène et de la prophylaxie en milieu carcéral, en relation avec le MINSANTE et les organismes concernés. </w:t>
      </w:r>
    </w:p>
    <w:p w14:paraId="0AF378ED" w14:textId="08713638" w:rsidR="0093676D" w:rsidRPr="00CB4F2E" w:rsidRDefault="00423320" w:rsidP="00423320">
      <w:pPr>
        <w:pStyle w:val="H23G"/>
      </w:pPr>
      <w:bookmarkStart w:id="100" w:name="_Toc210646354"/>
      <w:r>
        <w:tab/>
      </w:r>
      <w:r>
        <w:tab/>
      </w:r>
      <w:r w:rsidR="0093676D" w:rsidRPr="00CB4F2E">
        <w:t>Le MINPROFF et le MINAS</w:t>
      </w:r>
      <w:bookmarkEnd w:id="100"/>
    </w:p>
    <w:p w14:paraId="25BB75FF" w14:textId="77777777" w:rsidR="00ED20A7" w:rsidRDefault="0093676D" w:rsidP="005F1D8A">
      <w:pPr>
        <w:pStyle w:val="SingleTxtG"/>
        <w:numPr>
          <w:ilvl w:val="0"/>
          <w:numId w:val="6"/>
        </w:numPr>
        <w:ind w:left="1134" w:firstLine="0"/>
        <w:rPr>
          <w:b/>
          <w:bCs/>
        </w:rPr>
      </w:pPr>
      <w:r w:rsidRPr="00CB4F2E">
        <w:t>Concernant les droits catégoriels, le MINPROFF et le MINAS sont chargés de la promotion et de la protection des droits des personnes socialement vulnérables.</w:t>
      </w:r>
    </w:p>
    <w:p w14:paraId="3C18411D" w14:textId="2E852DBE" w:rsidR="00ED20A7" w:rsidRDefault="0093676D" w:rsidP="005F1D8A">
      <w:pPr>
        <w:pStyle w:val="SingleTxtG"/>
        <w:numPr>
          <w:ilvl w:val="0"/>
          <w:numId w:val="6"/>
        </w:numPr>
        <w:ind w:left="1134" w:firstLine="0"/>
      </w:pPr>
      <w:r w:rsidRPr="00CB4F2E">
        <w:t xml:space="preserve">De façon spécifique, le MINPROFF est responsable de l’élaboration et de la mise en œuvre des mesures gouvernementales relatives à la promotion et au respect des droits de la femme et à la protection de la famille. </w:t>
      </w:r>
      <w:proofErr w:type="spellStart"/>
      <w:r w:rsidRPr="00CB4F2E">
        <w:t>A</w:t>
      </w:r>
      <w:proofErr w:type="spellEnd"/>
      <w:r w:rsidRPr="00CB4F2E">
        <w:t xml:space="preserve"> ce titre, il est chargé notamment : de veiller à l’élimination de toute discrimination à l’égard de la femme</w:t>
      </w:r>
      <w:r w:rsidR="0027203C">
        <w:t>;</w:t>
      </w:r>
      <w:r w:rsidRPr="00CB4F2E">
        <w:t xml:space="preserve"> de veiller à l’accroissement des garanties d’égalité à l’égard de la femme dans tous les domaines d’activité</w:t>
      </w:r>
      <w:r w:rsidR="0027203C">
        <w:t>;</w:t>
      </w:r>
      <w:r w:rsidRPr="00CB4F2E">
        <w:t xml:space="preserve"> d’étudier et de soumettre au Gouvernement les conditions facilitant l’emploi de la femme dans tous les secteurs d’activité</w:t>
      </w:r>
      <w:r w:rsidR="0027203C">
        <w:t>;</w:t>
      </w:r>
      <w:r w:rsidRPr="00CB4F2E">
        <w:t xml:space="preserve"> d’étudier et de proposer les mesures visant à la promotion et à la protection des droits de l’enfant</w:t>
      </w:r>
      <w:r w:rsidR="0027203C">
        <w:t>;</w:t>
      </w:r>
      <w:r w:rsidRPr="00CB4F2E">
        <w:t xml:space="preserve"> </w:t>
      </w:r>
      <w:r w:rsidRPr="00CB4F2E">
        <w:rPr>
          <w:lang w:val="fr-MC"/>
        </w:rPr>
        <w:t>d’étudier et de proposer des stratégies et mesures visant à renforcer l’harmonie dans les familles.</w:t>
      </w:r>
    </w:p>
    <w:p w14:paraId="41267CBD" w14:textId="51BBA68B" w:rsidR="00ED20A7" w:rsidRDefault="0093676D" w:rsidP="005F1D8A">
      <w:pPr>
        <w:pStyle w:val="SingleTxtG"/>
        <w:numPr>
          <w:ilvl w:val="0"/>
          <w:numId w:val="6"/>
        </w:numPr>
        <w:ind w:left="1134" w:firstLine="0"/>
        <w:rPr>
          <w:lang w:val="fr-FR"/>
        </w:rPr>
      </w:pPr>
      <w:r w:rsidRPr="00CB4F2E">
        <w:rPr>
          <w:lang w:val="fr-FR"/>
        </w:rPr>
        <w:t>Le MINAS, quant à lui, est responsable de l’élaboration et de la mise en œuvre de la politique du Gouvernement en matière de prévention, d’assistance et de protection des personnes socialement vulnérables (enfants en difficulté, personnes âgées, personnes vivant avec un handicap et populations autochtones). Il est notamment chargé : de la prévention et du traitement de la délinquance juvénile et de l’inadaptation sociale</w:t>
      </w:r>
      <w:r w:rsidR="0027203C">
        <w:rPr>
          <w:lang w:val="fr-FR"/>
        </w:rPr>
        <w:t>;</w:t>
      </w:r>
      <w:r w:rsidRPr="00CB4F2E">
        <w:rPr>
          <w:lang w:val="fr-FR"/>
        </w:rPr>
        <w:t xml:space="preserve"> de la lutte contre les exclusions</w:t>
      </w:r>
      <w:r w:rsidR="0027203C">
        <w:rPr>
          <w:lang w:val="fr-FR"/>
        </w:rPr>
        <w:t>;</w:t>
      </w:r>
      <w:r w:rsidRPr="00CB4F2E">
        <w:rPr>
          <w:lang w:val="fr-FR"/>
        </w:rPr>
        <w:t xml:space="preserve"> de la lutte contre le trafic des personnes, notamment des enfants</w:t>
      </w:r>
      <w:r w:rsidR="0027203C">
        <w:rPr>
          <w:lang w:val="fr-FR"/>
        </w:rPr>
        <w:t>;</w:t>
      </w:r>
      <w:r w:rsidRPr="00CB4F2E">
        <w:rPr>
          <w:lang w:val="fr-FR"/>
        </w:rPr>
        <w:t xml:space="preserve"> de la protection des personnes victimes d’abus physiques</w:t>
      </w:r>
      <w:r w:rsidR="0027203C">
        <w:rPr>
          <w:lang w:val="fr-FR"/>
        </w:rPr>
        <w:t>;</w:t>
      </w:r>
      <w:r w:rsidRPr="00CB4F2E">
        <w:rPr>
          <w:lang w:val="fr-FR"/>
        </w:rPr>
        <w:t xml:space="preserve"> du suivi des procédures de protection de l’enfance en difficulté</w:t>
      </w:r>
      <w:r w:rsidR="0027203C">
        <w:rPr>
          <w:lang w:val="fr-FR"/>
        </w:rPr>
        <w:t>;</w:t>
      </w:r>
      <w:r w:rsidRPr="00CB4F2E">
        <w:rPr>
          <w:lang w:val="fr-FR"/>
        </w:rPr>
        <w:t xml:space="preserve"> du suivi et de la protection des personnes victimes de trafics</w:t>
      </w:r>
      <w:r w:rsidR="0027203C">
        <w:rPr>
          <w:lang w:val="fr-FR"/>
        </w:rPr>
        <w:t>;</w:t>
      </w:r>
      <w:r w:rsidRPr="00CB4F2E">
        <w:rPr>
          <w:lang w:val="fr-FR"/>
        </w:rPr>
        <w:t xml:space="preserve"> du suivi et de la protection des personnes âgées et des personnes vivant avec un handicap; de la facilitation de la réinsertion sociale</w:t>
      </w:r>
      <w:r w:rsidR="0027203C">
        <w:rPr>
          <w:lang w:val="fr-FR"/>
        </w:rPr>
        <w:t>;</w:t>
      </w:r>
      <w:r w:rsidRPr="00CB4F2E">
        <w:rPr>
          <w:lang w:val="fr-FR"/>
        </w:rPr>
        <w:t xml:space="preserve"> de la solidarité nationale et du suivi des écoles de formation des personnels sociaux</w:t>
      </w:r>
      <w:r w:rsidR="0027203C">
        <w:rPr>
          <w:lang w:val="fr-FR"/>
        </w:rPr>
        <w:t>;</w:t>
      </w:r>
      <w:r w:rsidRPr="00CB4F2E">
        <w:rPr>
          <w:lang w:val="fr-FR"/>
        </w:rPr>
        <w:t xml:space="preserve"> de l’animation, de la supervision et du suivi des établissements et des institutions concourant à la mise en œuvre de la politique de protection sociale.</w:t>
      </w:r>
    </w:p>
    <w:p w14:paraId="78D0CE47" w14:textId="140C9115" w:rsidR="0093676D" w:rsidRPr="00CB4F2E" w:rsidRDefault="0093676D" w:rsidP="005F1D8A">
      <w:pPr>
        <w:pStyle w:val="SingleTxtG"/>
        <w:numPr>
          <w:ilvl w:val="0"/>
          <w:numId w:val="6"/>
        </w:numPr>
        <w:ind w:left="1134" w:firstLine="0"/>
        <w:rPr>
          <w:lang w:val="fr-FR"/>
        </w:rPr>
      </w:pPr>
      <w:r w:rsidRPr="00CB4F2E">
        <w:rPr>
          <w:lang w:val="fr-FR"/>
        </w:rPr>
        <w:t>Ces deux Ministères disposent de structures déconcentrées (10 délégations régionales, 58 délégations départementales) et opérationnelles. Il s’agit principalement, pour ce qui est du MINPROFF, des Centres de Promotion de la Femme et de la Famille, des centres de technologies appropriées. En mai 2025, le MINAS comptait 283 Centres Sociaux, 217 Services d'Action Sociale, 33 Centres Sociaux et en même temps Services d'Action Sociale auprès des Populations Autochtones Vulnérables et 176 établissements et organismes spécialisés sur toute l'étendue du territoire national.</w:t>
      </w:r>
    </w:p>
    <w:p w14:paraId="6C713DA6" w14:textId="4A0BF828" w:rsidR="00ED20A7" w:rsidRDefault="00423320" w:rsidP="00423320">
      <w:pPr>
        <w:pStyle w:val="H23G"/>
      </w:pPr>
      <w:bookmarkStart w:id="101" w:name="_Toc210646355"/>
      <w:r>
        <w:tab/>
      </w:r>
      <w:r>
        <w:tab/>
      </w:r>
      <w:r w:rsidR="0093676D" w:rsidRPr="00CB4F2E">
        <w:t>Les services de contrôle la Sûreté Nationale et de l’Armé</w:t>
      </w:r>
      <w:bookmarkEnd w:id="101"/>
    </w:p>
    <w:p w14:paraId="24D71555" w14:textId="77777777" w:rsidR="00ED20A7" w:rsidRDefault="0093676D" w:rsidP="005F1D8A">
      <w:pPr>
        <w:pStyle w:val="SingleTxtG"/>
        <w:numPr>
          <w:ilvl w:val="0"/>
          <w:numId w:val="6"/>
        </w:numPr>
        <w:ind w:left="1134" w:firstLine="0"/>
        <w:rPr>
          <w:lang w:val="fr-FR"/>
        </w:rPr>
      </w:pPr>
      <w:r w:rsidRPr="00CB4F2E">
        <w:t xml:space="preserve">Ces services </w:t>
      </w:r>
      <w:r w:rsidRPr="00CB4F2E">
        <w:rPr>
          <w:lang w:val="fr-FR"/>
        </w:rPr>
        <w:t xml:space="preserve">veillent particulièrement au respect des Droits de l’Homme et à la sanction disciplinaire et judiciaire des </w:t>
      </w:r>
      <w:r w:rsidRPr="00CB4F2E">
        <w:t>violations</w:t>
      </w:r>
      <w:r w:rsidRPr="00CB4F2E">
        <w:rPr>
          <w:lang w:val="fr-FR"/>
        </w:rPr>
        <w:t xml:space="preserve"> constatées. </w:t>
      </w:r>
    </w:p>
    <w:p w14:paraId="6DC6FF46" w14:textId="77777777" w:rsidR="00ED20A7" w:rsidRDefault="0093676D" w:rsidP="005F1D8A">
      <w:pPr>
        <w:pStyle w:val="SingleTxtG"/>
        <w:numPr>
          <w:ilvl w:val="0"/>
          <w:numId w:val="6"/>
        </w:numPr>
        <w:ind w:left="1134" w:firstLine="0"/>
        <w:rPr>
          <w:lang w:val="fr-FR"/>
        </w:rPr>
      </w:pPr>
      <w:r w:rsidRPr="00CB4F2E">
        <w:rPr>
          <w:lang w:val="fr-FR"/>
        </w:rPr>
        <w:t>Au sein de la Délégation Générale à la Sûreté Nationale-DGSN (</w:t>
      </w:r>
      <w:hyperlink r:id="rId49" w:history="1">
        <w:r w:rsidRPr="00CB4F2E">
          <w:rPr>
            <w:rStyle w:val="Hyperlink"/>
          </w:rPr>
          <w:t>https://www.dgsn.cm/</w:t>
        </w:r>
      </w:hyperlink>
      <w:r w:rsidRPr="00CB4F2E">
        <w:rPr>
          <w:lang w:val="fr-FR"/>
        </w:rPr>
        <w:t xml:space="preserve">), la Division Spéciale de Contrôle des Services, rattachée à l’Inspection Générale des Services, est chargée, entre autres, de la lutte contre la </w:t>
      </w:r>
      <w:r w:rsidRPr="00CB4F2E">
        <w:t>corruption</w:t>
      </w:r>
      <w:r w:rsidRPr="00CB4F2E">
        <w:rPr>
          <w:lang w:val="fr-FR"/>
        </w:rPr>
        <w:t>, de l’exécution des enquêtes administratives et judiciaires concernant les personnels de la Sûreté nationale et du renforcement de la discipline au sein de la Sûreté Nationale.</w:t>
      </w:r>
    </w:p>
    <w:p w14:paraId="7043D087" w14:textId="4F93A252" w:rsidR="0093676D" w:rsidRPr="00CB4F2E" w:rsidRDefault="0093676D" w:rsidP="005F1D8A">
      <w:pPr>
        <w:pStyle w:val="SingleTxtG"/>
        <w:numPr>
          <w:ilvl w:val="0"/>
          <w:numId w:val="6"/>
        </w:numPr>
        <w:ind w:left="1134" w:firstLine="0"/>
        <w:rPr>
          <w:lang w:val="fr-FR"/>
        </w:rPr>
      </w:pPr>
      <w:r w:rsidRPr="00CB4F2E">
        <w:t xml:space="preserve">Au Ministère de la Défense, le Contrôle Général des Armées assure le contrôle de l’ensemble des organismes relevant du Ministre chargé de la Défense ou soumis à sa tutelle. Il a pour mission, entre autres, de vérifier les conditions d’application des lois, ordonnances, décrets, règlements et décisions ministérielles, et de veiller à la sauvegarde des droits et des personnes. S’agissant particulièrement de </w:t>
      </w:r>
      <w:r w:rsidRPr="00CB4F2E">
        <w:rPr>
          <w:lang w:val="fr-FR"/>
        </w:rPr>
        <w:t>la Gendarmerie Nationale</w:t>
      </w:r>
      <w:r w:rsidRPr="00CB4F2E">
        <w:t>, l’Inspection générale exécute des missions d’inspection et de contrôle sur l’ensemble des commandements, formations, directions et organismes de la Gendarmerie Nationale</w:t>
      </w:r>
    </w:p>
    <w:p w14:paraId="74A3C8C5" w14:textId="149AC921" w:rsidR="0093676D" w:rsidRPr="00CB4F2E" w:rsidRDefault="00423320" w:rsidP="00423320">
      <w:pPr>
        <w:pStyle w:val="H23G"/>
      </w:pPr>
      <w:bookmarkStart w:id="102" w:name="_Toc210646356"/>
      <w:r>
        <w:lastRenderedPageBreak/>
        <w:tab/>
      </w:r>
      <w:r>
        <w:tab/>
      </w:r>
      <w:r w:rsidR="0093676D" w:rsidRPr="00CB4F2E">
        <w:t>Les organes de gestion du statut de réfugié</w:t>
      </w:r>
      <w:bookmarkEnd w:id="102"/>
    </w:p>
    <w:p w14:paraId="36C2205E" w14:textId="77777777" w:rsidR="00ED20A7" w:rsidRDefault="0093676D" w:rsidP="005F1D8A">
      <w:pPr>
        <w:pStyle w:val="SingleTxtG"/>
        <w:numPr>
          <w:ilvl w:val="0"/>
          <w:numId w:val="6"/>
        </w:numPr>
        <w:ind w:left="1134" w:firstLine="0"/>
        <w:rPr>
          <w:lang w:val="fr-FR"/>
        </w:rPr>
      </w:pPr>
      <w:r w:rsidRPr="00CB4F2E">
        <w:rPr>
          <w:bCs/>
          <w:lang w:val="fr-FR"/>
        </w:rPr>
        <w:t>L</w:t>
      </w:r>
      <w:r w:rsidRPr="00CB4F2E">
        <w:rPr>
          <w:lang w:val="fr-FR"/>
        </w:rPr>
        <w:t>e Décret n</w:t>
      </w:r>
      <w:r w:rsidRPr="00CB4F2E">
        <w:rPr>
          <w:vertAlign w:val="superscript"/>
          <w:lang w:val="fr-FR"/>
        </w:rPr>
        <w:t>o</w:t>
      </w:r>
      <w:r w:rsidRPr="00CB4F2E">
        <w:rPr>
          <w:lang w:val="fr-FR"/>
        </w:rPr>
        <w:t> 2011/389 du 28 novembre 2011 portant organisation et fonctionnement des organes de gestion du statut de réfugié et fixant les règles de procédure a rendu opérationnelles la Commission d’éligibilité au statut de réfugié et la Commission des recours des réfugiés, créées par la Loi n</w:t>
      </w:r>
      <w:r w:rsidRPr="00CB4F2E">
        <w:rPr>
          <w:vertAlign w:val="superscript"/>
          <w:lang w:val="fr-FR"/>
        </w:rPr>
        <w:t>o</w:t>
      </w:r>
      <w:r w:rsidRPr="00CB4F2E">
        <w:rPr>
          <w:lang w:val="fr-FR"/>
        </w:rPr>
        <w:t>2005/006 du 27 juillet 2005 portant statut des réfugiés au Cameroun.</w:t>
      </w:r>
      <w:r w:rsidRPr="00CB4F2E">
        <w:t xml:space="preserve"> Les procédures devant ces commissions sont gratuites.</w:t>
      </w:r>
    </w:p>
    <w:p w14:paraId="13224E6C" w14:textId="77777777" w:rsidR="00ED20A7" w:rsidRDefault="0093676D" w:rsidP="005F1D8A">
      <w:pPr>
        <w:pStyle w:val="SingleTxtG"/>
        <w:numPr>
          <w:ilvl w:val="0"/>
          <w:numId w:val="6"/>
        </w:numPr>
        <w:ind w:left="1134" w:firstLine="0"/>
      </w:pPr>
      <w:r w:rsidRPr="00CB4F2E">
        <w:rPr>
          <w:lang w:val="fr-FR"/>
        </w:rPr>
        <w:t xml:space="preserve">La Commission d’éligibilité est composée de 8 membres auxquels est adjoint un Représentant du Haut-Commissariat des Nations Unies pour les Réfugiés (HCR) ayant voix consultative. Cette Commission se prononce en premier ressort sur l’octroi ou non du statut de réfugié. Elle dispose d’un délai de 2 mois, renouvelable une fois, pour statuer sur un dossier. En cas d’arrivée massive de demandeurs d’asile, la Commission peut décider, sous réserve de vérifications individuelles ultérieures, de leur accorder le statut de réfugié </w:t>
      </w:r>
      <w:r w:rsidRPr="00CB4F2E">
        <w:rPr>
          <w:i/>
          <w:lang w:val="fr-FR"/>
        </w:rPr>
        <w:t>prima facie</w:t>
      </w:r>
      <w:r w:rsidRPr="00CB4F2E">
        <w:rPr>
          <w:lang w:val="fr-FR"/>
        </w:rPr>
        <w:t xml:space="preserve">. En cas de contestation de la décision de la Commission d’éligibilité, la Commission de recours intervient en dernier ressort et dispose de 2 mois après sa saisine pour se prononcer. Elle est composée de cinq membres. Un membre du HCR peut être invité à ses sessions en qualité d’observateur avec voix consultative. </w:t>
      </w:r>
    </w:p>
    <w:p w14:paraId="115F9774" w14:textId="77777777" w:rsidR="00ED20A7" w:rsidRDefault="0093676D" w:rsidP="005F1D8A">
      <w:pPr>
        <w:pStyle w:val="SingleTxtG"/>
        <w:numPr>
          <w:ilvl w:val="0"/>
          <w:numId w:val="6"/>
        </w:numPr>
        <w:ind w:left="1134" w:firstLine="0"/>
      </w:pPr>
      <w:r w:rsidRPr="00CB4F2E">
        <w:t xml:space="preserve">Les demandes d'asile sont adressées au président de la commission d'éligibilité et reçues, pour instruction, par le secrétariat technique qui convoque le demandeur d'asile pour un entretien avec un agent dûment habilité chargé de procéder à toutes les investigations nécessaires et de recueillir toutes informations complémentaires utiles sur sa situation. </w:t>
      </w:r>
      <w:proofErr w:type="spellStart"/>
      <w:r w:rsidRPr="00CB4F2E">
        <w:t>A</w:t>
      </w:r>
      <w:proofErr w:type="spellEnd"/>
      <w:r w:rsidRPr="00CB4F2E">
        <w:t xml:space="preserve"> l'issue de cet entretien et des investigations subséquentes, un rapport sur la demande d'asile est confectionné, contenant l’exposé des faits, une analyse juridique fondée sur les instruments relatifs au statut du réfugié et un état de la situation sociale du demandeur d’asile. Jusqu’·à la transmission du dossier au président de la commission d'éligibilité, le secrétariat technique dispose pour l'instruction d'un délai de 2 mois renouvelables 3 fois.</w:t>
      </w:r>
    </w:p>
    <w:p w14:paraId="1DCAF8F1" w14:textId="77777777" w:rsidR="00ED20A7" w:rsidRDefault="0093676D" w:rsidP="005F1D8A">
      <w:pPr>
        <w:pStyle w:val="SingleTxtG"/>
        <w:numPr>
          <w:ilvl w:val="0"/>
          <w:numId w:val="6"/>
        </w:numPr>
        <w:ind w:left="1134" w:firstLine="0"/>
        <w:rPr>
          <w:lang w:val="fr-FR"/>
        </w:rPr>
      </w:pPr>
      <w:r w:rsidRPr="00CB4F2E">
        <w:rPr>
          <w:lang w:val="fr-FR"/>
        </w:rPr>
        <w:t>Une fois le statut de réfugié reconnu à un demandeur d’asile, le Secrétariat technique de la Commission</w:t>
      </w:r>
      <w:r w:rsidRPr="00CB4F2E">
        <w:rPr>
          <w:b/>
          <w:bCs/>
          <w:lang w:val="fr-FR"/>
        </w:rPr>
        <w:t xml:space="preserve"> </w:t>
      </w:r>
      <w:r w:rsidRPr="00CB4F2E">
        <w:rPr>
          <w:lang w:val="fr-FR"/>
        </w:rPr>
        <w:t xml:space="preserve">lui délivre, ainsi </w:t>
      </w:r>
      <w:r w:rsidRPr="00CB4F2E">
        <w:t>qu’à</w:t>
      </w:r>
      <w:r w:rsidRPr="00CB4F2E">
        <w:rPr>
          <w:lang w:val="fr-FR"/>
        </w:rPr>
        <w:t xml:space="preserve"> tous les membres de sa famille, des attestations de réfugiés en attendant la délivrance de cartes de réfugié d’une validité de 2 ans renouvelables. En cas de perte ou de refus du statut, l’intéressé dispose de 6 mois pour trouver un autre pays d’accueil. </w:t>
      </w:r>
    </w:p>
    <w:p w14:paraId="0A55B09A" w14:textId="2EDE3604" w:rsidR="0093676D" w:rsidRPr="00CB4F2E" w:rsidRDefault="0093676D" w:rsidP="005F1D8A">
      <w:pPr>
        <w:pStyle w:val="SingleTxtG"/>
        <w:numPr>
          <w:ilvl w:val="0"/>
          <w:numId w:val="6"/>
        </w:numPr>
        <w:ind w:left="1134" w:firstLine="0"/>
        <w:rPr>
          <w:lang w:val="fr-FR"/>
        </w:rPr>
      </w:pPr>
      <w:r w:rsidRPr="00CB4F2E">
        <w:rPr>
          <w:lang w:val="fr-FR"/>
        </w:rPr>
        <w:t xml:space="preserve">Les </w:t>
      </w:r>
      <w:r w:rsidRPr="00CB4F2E">
        <w:t>ressources</w:t>
      </w:r>
      <w:r w:rsidRPr="00CB4F2E">
        <w:rPr>
          <w:lang w:val="fr-FR"/>
        </w:rPr>
        <w:t xml:space="preserve"> des organes de gestion des réfugiés proviennent des crédits inscrits annuellement au budget du Ministère des Relations extérieures, des contributions du HCR, des dons et legs divers.</w:t>
      </w:r>
      <w:bookmarkStart w:id="103" w:name="_Toc466705776"/>
    </w:p>
    <w:p w14:paraId="1153B660" w14:textId="6B7C3672" w:rsidR="00ED20A7" w:rsidRDefault="00423320" w:rsidP="00423320">
      <w:pPr>
        <w:pStyle w:val="H23G"/>
      </w:pPr>
      <w:bookmarkStart w:id="104" w:name="_Toc210208615"/>
      <w:bookmarkStart w:id="105" w:name="_Toc210209117"/>
      <w:bookmarkStart w:id="106" w:name="_Toc210646357"/>
      <w:r>
        <w:tab/>
      </w:r>
      <w:r>
        <w:tab/>
      </w:r>
      <w:r w:rsidR="0093676D" w:rsidRPr="00CB4F2E">
        <w:t>La reconnaissance de la compétence d’une Cour Régionale des Droits de l’Homme ou des mécanismes de cet ordre</w:t>
      </w:r>
      <w:bookmarkEnd w:id="103"/>
      <w:r w:rsidR="0093676D" w:rsidRPr="00CB4F2E">
        <w:t>.</w:t>
      </w:r>
      <w:bookmarkEnd w:id="104"/>
      <w:bookmarkEnd w:id="105"/>
      <w:bookmarkEnd w:id="106"/>
    </w:p>
    <w:p w14:paraId="2E76B2E8" w14:textId="77777777" w:rsidR="00ED20A7" w:rsidRDefault="0093676D" w:rsidP="005F1D8A">
      <w:pPr>
        <w:pStyle w:val="SingleTxtG"/>
        <w:numPr>
          <w:ilvl w:val="0"/>
          <w:numId w:val="6"/>
        </w:numPr>
        <w:ind w:left="1134" w:firstLine="0"/>
        <w:rPr>
          <w:lang w:val="fr-FR"/>
        </w:rPr>
      </w:pPr>
      <w:r w:rsidRPr="00CB4F2E">
        <w:rPr>
          <w:lang w:val="fr-FR"/>
        </w:rPr>
        <w:t xml:space="preserve">Comme relevé plus haut, le Cameroun a ratifié le Protocole à la CADHP portant création de la Cour africaine des Droits de </w:t>
      </w:r>
      <w:r w:rsidRPr="00CB4F2E">
        <w:t>l’Homme</w:t>
      </w:r>
      <w:r w:rsidRPr="00CB4F2E">
        <w:rPr>
          <w:lang w:val="fr-FR"/>
        </w:rPr>
        <w:t xml:space="preserve"> et des Peuples</w:t>
      </w:r>
      <w:r w:rsidRPr="00CB4F2E">
        <w:rPr>
          <w:rStyle w:val="FootnoteReference"/>
        </w:rPr>
        <w:footnoteReference w:id="46"/>
      </w:r>
      <w:r w:rsidRPr="00CB4F2E">
        <w:rPr>
          <w:lang w:val="fr-FR"/>
        </w:rPr>
        <w:t xml:space="preserve">, mais n’a pas encore signé la déclaration de compétence telle qu’exigée par l’article 34 § 6 dudit Protocole. </w:t>
      </w:r>
    </w:p>
    <w:p w14:paraId="09B035A6" w14:textId="7C88B2A4" w:rsidR="0093676D" w:rsidRPr="00CB4F2E" w:rsidRDefault="0093676D" w:rsidP="005F1D8A">
      <w:pPr>
        <w:pStyle w:val="SingleTxtG"/>
        <w:numPr>
          <w:ilvl w:val="0"/>
          <w:numId w:val="6"/>
        </w:numPr>
        <w:ind w:left="1134" w:firstLine="0"/>
        <w:rPr>
          <w:lang w:val="fr-FR"/>
        </w:rPr>
      </w:pPr>
      <w:r w:rsidRPr="00CB4F2E">
        <w:rPr>
          <w:lang w:val="fr-FR"/>
        </w:rPr>
        <w:t>Toutefois, le Cameroun est soumis à la compétence de la Commission Africaine des Droits de l’Homme et des Peuples (</w:t>
      </w:r>
      <w:proofErr w:type="spellStart"/>
      <w:r w:rsidRPr="00CB4F2E">
        <w:rPr>
          <w:lang w:val="fr-FR"/>
        </w:rPr>
        <w:t>ComADHP</w:t>
      </w:r>
      <w:proofErr w:type="spellEnd"/>
      <w:r w:rsidRPr="00CB4F2E">
        <w:rPr>
          <w:lang w:val="fr-FR"/>
        </w:rPr>
        <w:t xml:space="preserve">). Celle-ci est chargée de promouvoir et d’assurer la protection des Droits de l’Homme et des peuples en Afrique. Dans ce cadre, elle est habilitée à examiner des communications émanant des </w:t>
      </w:r>
      <w:proofErr w:type="spellStart"/>
      <w:r w:rsidRPr="00CB4F2E">
        <w:rPr>
          <w:lang w:val="fr-FR"/>
        </w:rPr>
        <w:t>Etats</w:t>
      </w:r>
      <w:proofErr w:type="spellEnd"/>
      <w:r w:rsidRPr="00CB4F2E">
        <w:rPr>
          <w:lang w:val="fr-FR"/>
        </w:rPr>
        <w:t xml:space="preserve"> parties et des individus. Le Cameroun a aussi accepté les procédures de plaintes individuelles sous la Convention contre la torture et le Pacte international relatif aux droits civils et politiques.</w:t>
      </w:r>
      <w:r w:rsidR="0027203C">
        <w:rPr>
          <w:lang w:val="fr-FR"/>
        </w:rPr>
        <w:t xml:space="preserve"> </w:t>
      </w:r>
    </w:p>
    <w:p w14:paraId="4806CD70" w14:textId="0F3A545F" w:rsidR="0093676D" w:rsidRPr="00CB4F2E" w:rsidRDefault="00423320" w:rsidP="00423320">
      <w:pPr>
        <w:pStyle w:val="HChG"/>
      </w:pPr>
      <w:bookmarkStart w:id="107" w:name="_Toc210209118"/>
      <w:bookmarkStart w:id="108" w:name="_Toc210646358"/>
      <w:r>
        <w:lastRenderedPageBreak/>
        <w:tab/>
      </w:r>
      <w:r w:rsidR="0093676D" w:rsidRPr="00CB4F2E">
        <w:t>V.</w:t>
      </w:r>
      <w:r>
        <w:tab/>
      </w:r>
      <w:r w:rsidRPr="00CB4F2E">
        <w:t xml:space="preserve">Le cadre </w:t>
      </w:r>
      <w:proofErr w:type="spellStart"/>
      <w:r w:rsidRPr="00CB4F2E">
        <w:t>general</w:t>
      </w:r>
      <w:proofErr w:type="spellEnd"/>
      <w:r w:rsidRPr="00CB4F2E">
        <w:t xml:space="preserve"> de promotion des droits de l’homme</w:t>
      </w:r>
      <w:bookmarkEnd w:id="107"/>
      <w:bookmarkEnd w:id="108"/>
    </w:p>
    <w:p w14:paraId="36494797" w14:textId="0668565C" w:rsidR="00ED20A7" w:rsidRDefault="00423320" w:rsidP="00423320">
      <w:pPr>
        <w:pStyle w:val="H1G"/>
        <w:rPr>
          <w:i/>
        </w:rPr>
      </w:pPr>
      <w:bookmarkStart w:id="109" w:name="_Toc210646359"/>
      <w:r>
        <w:tab/>
      </w:r>
      <w:r w:rsidR="0093676D" w:rsidRPr="00CB4F2E">
        <w:t>A.</w:t>
      </w:r>
      <w:r>
        <w:tab/>
      </w:r>
      <w:r w:rsidR="0093676D" w:rsidRPr="00CB4F2E">
        <w:t>Le Plan d’Action National de Promotion et de Protection des Droits de l’Homme</w:t>
      </w:r>
      <w:bookmarkEnd w:id="109"/>
    </w:p>
    <w:p w14:paraId="612160F7" w14:textId="6521E513" w:rsidR="00ED20A7" w:rsidRDefault="0093676D" w:rsidP="005F1D8A">
      <w:pPr>
        <w:pStyle w:val="SingleTxtG"/>
        <w:numPr>
          <w:ilvl w:val="0"/>
          <w:numId w:val="6"/>
        </w:numPr>
        <w:ind w:left="1134" w:firstLine="0"/>
      </w:pPr>
      <w:r w:rsidRPr="000100A9">
        <w:rPr>
          <w:lang w:val="fr-FR"/>
        </w:rPr>
        <w:t>Dans</w:t>
      </w:r>
      <w:r w:rsidRPr="00CB4F2E">
        <w:t xml:space="preserve"> l’optique de consolider son engagement en faveur des Droits de l’Homme et d’accompagner la mise en œuvre effective des normes protectrices desdits droits, l’</w:t>
      </w:r>
      <w:proofErr w:type="spellStart"/>
      <w:r w:rsidRPr="00CB4F2E">
        <w:t>Etat</w:t>
      </w:r>
      <w:proofErr w:type="spellEnd"/>
      <w:r w:rsidRPr="00CB4F2E">
        <w:t xml:space="preserve"> s’est doté en 2015 de cet outil stratégique. Aligné en son temps sur le DSCE</w:t>
      </w:r>
      <w:r w:rsidRPr="00CB4F2E">
        <w:rPr>
          <w:bCs/>
          <w:lang w:val="fr-FR"/>
        </w:rPr>
        <w:t xml:space="preserve"> 2010-2019, l’objectif général </w:t>
      </w:r>
      <w:r w:rsidRPr="00CB4F2E">
        <w:rPr>
          <w:lang w:val="fr-FR"/>
        </w:rPr>
        <w:t xml:space="preserve">du Plan d’Action, qui couvrait la période 2015-2019, était la mise </w:t>
      </w:r>
      <w:r w:rsidRPr="00CB4F2E">
        <w:t>en œuvre cohérente des actions des divers acteurs impliqués, le renforcement de l’</w:t>
      </w:r>
      <w:proofErr w:type="spellStart"/>
      <w:r w:rsidRPr="00CB4F2E">
        <w:t>Etat</w:t>
      </w:r>
      <w:proofErr w:type="spellEnd"/>
      <w:r w:rsidRPr="00CB4F2E">
        <w:t xml:space="preserve"> de droit et l’ancrage d’une culture des Droits de l’Homme dans la société camerounaise. </w:t>
      </w:r>
      <w:r w:rsidRPr="00CB4F2E">
        <w:rPr>
          <w:lang w:val="fr-FR"/>
        </w:rPr>
        <w:t xml:space="preserve">Sur la base d’une analyse situationnelle de la réalisation des Droits de l’Homme, ce Plan articulait un cadre opérationnel autour de quatre Programmes techniques : le Programme technique 1 relatif aux </w:t>
      </w:r>
      <w:r w:rsidRPr="00CB4F2E">
        <w:rPr>
          <w:bCs/>
          <w:lang w:val="fr-FR"/>
        </w:rPr>
        <w:t>droits civils et politiques</w:t>
      </w:r>
      <w:r w:rsidRPr="00CB4F2E">
        <w:rPr>
          <w:lang w:val="fr-FR"/>
        </w:rPr>
        <w:t xml:space="preserve">, le Programme technique </w:t>
      </w:r>
      <w:r w:rsidRPr="00CB4F2E">
        <w:rPr>
          <w:bCs/>
          <w:lang w:val="fr-FR"/>
        </w:rPr>
        <w:t xml:space="preserve">2 portant </w:t>
      </w:r>
      <w:r w:rsidRPr="00CB4F2E">
        <w:rPr>
          <w:lang w:val="fr-FR"/>
        </w:rPr>
        <w:t xml:space="preserve">sur les </w:t>
      </w:r>
      <w:r w:rsidRPr="00CB4F2E">
        <w:rPr>
          <w:bCs/>
          <w:lang w:val="fr-FR"/>
        </w:rPr>
        <w:t xml:space="preserve">droits économiques, sociaux et culturels, le </w:t>
      </w:r>
      <w:r w:rsidRPr="00CB4F2E">
        <w:rPr>
          <w:lang w:val="fr-FR"/>
        </w:rPr>
        <w:t xml:space="preserve">Programme technique </w:t>
      </w:r>
      <w:r w:rsidRPr="00CB4F2E">
        <w:rPr>
          <w:bCs/>
          <w:lang w:val="fr-FR"/>
        </w:rPr>
        <w:t xml:space="preserve">3 inhérent aux droits catégoriels et le </w:t>
      </w:r>
      <w:r w:rsidRPr="00CB4F2E">
        <w:rPr>
          <w:lang w:val="fr-FR"/>
        </w:rPr>
        <w:t xml:space="preserve">Programme technique </w:t>
      </w:r>
      <w:r w:rsidRPr="00CB4F2E">
        <w:rPr>
          <w:bCs/>
          <w:lang w:val="fr-FR"/>
        </w:rPr>
        <w:t>4</w:t>
      </w:r>
      <w:r w:rsidR="0027203C">
        <w:rPr>
          <w:lang w:val="fr-FR"/>
        </w:rPr>
        <w:t xml:space="preserve"> </w:t>
      </w:r>
      <w:r w:rsidRPr="00CB4F2E">
        <w:rPr>
          <w:lang w:val="fr-FR"/>
        </w:rPr>
        <w:t>dédié à la</w:t>
      </w:r>
      <w:r w:rsidR="0027203C">
        <w:rPr>
          <w:lang w:val="fr-FR"/>
        </w:rPr>
        <w:t xml:space="preserve"> </w:t>
      </w:r>
      <w:r w:rsidRPr="00CB4F2E">
        <w:rPr>
          <w:bCs/>
          <w:lang w:val="fr-FR"/>
        </w:rPr>
        <w:t>coopération, au</w:t>
      </w:r>
      <w:r w:rsidR="0027203C">
        <w:rPr>
          <w:bCs/>
          <w:lang w:val="fr-FR"/>
        </w:rPr>
        <w:t xml:space="preserve"> </w:t>
      </w:r>
      <w:r w:rsidRPr="00CB4F2E">
        <w:rPr>
          <w:bCs/>
          <w:lang w:val="fr-FR"/>
        </w:rPr>
        <w:t xml:space="preserve">pilotage et au suivi-évaluation. </w:t>
      </w:r>
    </w:p>
    <w:p w14:paraId="40BC3554" w14:textId="36471C9C" w:rsidR="0093676D" w:rsidRPr="00CB4F2E" w:rsidRDefault="0093676D" w:rsidP="005F1D8A">
      <w:pPr>
        <w:pStyle w:val="SingleTxtG"/>
        <w:numPr>
          <w:ilvl w:val="0"/>
          <w:numId w:val="6"/>
        </w:numPr>
        <w:ind w:left="1134" w:firstLine="0"/>
      </w:pPr>
      <w:r w:rsidRPr="000100A9">
        <w:rPr>
          <w:lang w:val="fr-FR"/>
        </w:rPr>
        <w:t>Après</w:t>
      </w:r>
      <w:r w:rsidRPr="00CB4F2E">
        <w:t xml:space="preserve"> l’évaluation du Plan courant 2020 et 2021, le Gouvernement a entrepris d’élaborer un nouveau plan, qui sera aligné sur la SND-30. En effet, le pilier 4 de cette stratégie est relatif à la Gouvernance, la décentralisation et la gestion stratégique de l’</w:t>
      </w:r>
      <w:proofErr w:type="spellStart"/>
      <w:r w:rsidRPr="00CB4F2E">
        <w:t>Etat</w:t>
      </w:r>
      <w:proofErr w:type="spellEnd"/>
      <w:r w:rsidRPr="00CB4F2E">
        <w:t>. L’un de ses axes majeurs tient au renforcement de l’</w:t>
      </w:r>
      <w:proofErr w:type="spellStart"/>
      <w:r w:rsidRPr="00CB4F2E">
        <w:t>Etat</w:t>
      </w:r>
      <w:proofErr w:type="spellEnd"/>
      <w:r w:rsidRPr="00CB4F2E">
        <w:t xml:space="preserve"> de droit et de la sécurité des personnes et des biens, qui passera par le renforcement des droits humains, la consolidation du pouvoir judiciaire et de l’accès de tous à une justice équitable, l’intensification de la lutte contre l’insécurité, la criminalité et le terrorisme, ainsi que la prévention et la gestion des crises.</w:t>
      </w:r>
    </w:p>
    <w:p w14:paraId="39FCDA65" w14:textId="4EA1DC6C" w:rsidR="00ED20A7" w:rsidRDefault="00423320" w:rsidP="00423320">
      <w:pPr>
        <w:pStyle w:val="H1G"/>
        <w:ind w:left="720" w:hanging="360"/>
        <w:rPr>
          <w:i/>
        </w:rPr>
      </w:pPr>
      <w:bookmarkStart w:id="110" w:name="_Toc466705779"/>
      <w:bookmarkStart w:id="111" w:name="_Toc210208617"/>
      <w:bookmarkStart w:id="112" w:name="_Toc210209119"/>
      <w:bookmarkStart w:id="113" w:name="_Toc210646360"/>
      <w:r w:rsidRPr="000100A9">
        <w:t>B.</w:t>
      </w:r>
      <w:r w:rsidRPr="000100A9">
        <w:tab/>
      </w:r>
      <w:r w:rsidR="0093676D" w:rsidRPr="000100A9">
        <w:t>Le rôle et les activités du Parlement en faveur de la promotion et de la</w:t>
      </w:r>
      <w:r w:rsidR="0093676D" w:rsidRPr="00CB4F2E">
        <w:t xml:space="preserve"> protection des Droits de l’Homme</w:t>
      </w:r>
      <w:bookmarkEnd w:id="110"/>
      <w:bookmarkEnd w:id="111"/>
      <w:bookmarkEnd w:id="112"/>
      <w:bookmarkEnd w:id="113"/>
    </w:p>
    <w:p w14:paraId="6B5C0D83" w14:textId="0F104984" w:rsidR="00ED20A7" w:rsidRDefault="0093676D" w:rsidP="005F1D8A">
      <w:pPr>
        <w:pStyle w:val="SingleTxtG"/>
        <w:numPr>
          <w:ilvl w:val="0"/>
          <w:numId w:val="6"/>
        </w:numPr>
        <w:ind w:left="1134" w:firstLine="0"/>
      </w:pPr>
      <w:r w:rsidRPr="000100A9">
        <w:rPr>
          <w:lang w:val="fr-FR"/>
        </w:rPr>
        <w:t>Comme</w:t>
      </w:r>
      <w:r w:rsidRPr="00CB4F2E">
        <w:rPr>
          <w:u w:val="single"/>
        </w:rPr>
        <w:t xml:space="preserve"> indiqué plus haut </w:t>
      </w:r>
      <w:r w:rsidRPr="00CB4F2E">
        <w:rPr>
          <w:b/>
          <w:u w:val="single"/>
        </w:rPr>
        <w:t>(§133</w:t>
      </w:r>
      <w:r w:rsidRPr="00CB4F2E">
        <w:rPr>
          <w:u w:val="single"/>
        </w:rPr>
        <w:t>), le Parlement a pour missions de voter les lois et de contrôler l’action du Gouvernement. Sont du</w:t>
      </w:r>
      <w:r w:rsidRPr="00CB4F2E">
        <w:t xml:space="preserve"> domaine de la loi conformément à l’article 26 de la Constitution :</w:t>
      </w:r>
      <w:r w:rsidR="0027203C">
        <w:t xml:space="preserve"> </w:t>
      </w:r>
      <w:r w:rsidRPr="00CB4F2E">
        <w:t>les droits, garanties et obligations fondamentaux du citoyen (la sauvegarde de la liberté et de la sécurité individuelles</w:t>
      </w:r>
      <w:r w:rsidR="0027203C">
        <w:t>;</w:t>
      </w:r>
      <w:r w:rsidRPr="00CB4F2E">
        <w:t xml:space="preserve"> le régime des libertés publiques</w:t>
      </w:r>
      <w:r w:rsidR="0027203C">
        <w:t>;</w:t>
      </w:r>
      <w:r w:rsidRPr="00CB4F2E">
        <w:t xml:space="preserve"> le droit du travail, le droit syndical, le régime de la protection sociale</w:t>
      </w:r>
      <w:r w:rsidR="0027203C">
        <w:t>;</w:t>
      </w:r>
      <w:r w:rsidRPr="00CB4F2E">
        <w:t xml:space="preserve"> les devoirs et obligations du citoyen en fonction des impératifs de la défense nationale)</w:t>
      </w:r>
      <w:r w:rsidR="0027203C">
        <w:t>;</w:t>
      </w:r>
      <w:r w:rsidRPr="00CB4F2E">
        <w:t xml:space="preserve"> le statut des personnes et le régime de biens (la nationalité, l’état et la capacité des personnes, les régimes matrimoniaux, les successions et libéralités</w:t>
      </w:r>
      <w:r w:rsidR="0027203C">
        <w:t>;</w:t>
      </w:r>
      <w:r w:rsidRPr="00CB4F2E">
        <w:t xml:space="preserve"> le régime des obligations civiles et commerciales</w:t>
      </w:r>
      <w:r w:rsidR="0027203C">
        <w:t>;</w:t>
      </w:r>
      <w:r w:rsidRPr="00CB4F2E">
        <w:t xml:space="preserve"> le régime de la propriété mobilière et immobilière)</w:t>
      </w:r>
      <w:r w:rsidR="0027203C">
        <w:t>;</w:t>
      </w:r>
      <w:r w:rsidRPr="00CB4F2E">
        <w:t xml:space="preserve"> </w:t>
      </w:r>
    </w:p>
    <w:p w14:paraId="30825644" w14:textId="3F61490B" w:rsidR="0093676D" w:rsidRPr="00CB4F2E" w:rsidRDefault="0093676D" w:rsidP="005F1D8A">
      <w:pPr>
        <w:pStyle w:val="SingleTxtG"/>
        <w:numPr>
          <w:ilvl w:val="0"/>
          <w:numId w:val="6"/>
        </w:numPr>
        <w:ind w:left="1134" w:firstLine="0"/>
      </w:pPr>
      <w:r w:rsidRPr="000100A9">
        <w:rPr>
          <w:lang w:val="fr-FR"/>
        </w:rPr>
        <w:t>Sont</w:t>
      </w:r>
      <w:r w:rsidRPr="00CB4F2E">
        <w:t xml:space="preserve"> également du domaine de la loi : l’organisation politique, administrative et judiciaire concernant (le régime de l’élection à la Présidence de la République, le régime des élections à l’Assemblée Nationale, au Sénat et aux assemblées régionales et locales et le régime des consultations référendaires</w:t>
      </w:r>
      <w:r w:rsidR="0027203C">
        <w:t>;</w:t>
      </w:r>
      <w:r w:rsidRPr="00CB4F2E">
        <w:t xml:space="preserve"> le régime des associations et des partis politiques</w:t>
      </w:r>
      <w:r w:rsidR="0027203C">
        <w:t>;</w:t>
      </w:r>
      <w:r w:rsidRPr="00CB4F2E">
        <w:t xml:space="preserve"> l’organisation, le fonctionnement, la détermination des compétences et des ressources des CTD</w:t>
      </w:r>
      <w:r w:rsidR="0027203C">
        <w:t>;</w:t>
      </w:r>
      <w:r w:rsidRPr="00CB4F2E">
        <w:t xml:space="preserve"> les règles générales d’organisation de la défense nationale</w:t>
      </w:r>
      <w:r w:rsidR="0027203C">
        <w:t>;</w:t>
      </w:r>
      <w:r w:rsidRPr="00CB4F2E">
        <w:t xml:space="preserve"> l’organisation judiciaire et la création des ordres de juridiction</w:t>
      </w:r>
      <w:r w:rsidR="0027203C">
        <w:t>;</w:t>
      </w:r>
      <w:r w:rsidRPr="00CB4F2E">
        <w:t xml:space="preserve"> la détermination des crimes et délits et l’institution des peines de toute nature, la procédure pénale, la procédure civile, les voies d’exécution, l’amnistie)</w:t>
      </w:r>
      <w:r w:rsidR="0027203C">
        <w:t>;</w:t>
      </w:r>
      <w:r w:rsidRPr="00CB4F2E">
        <w:t xml:space="preserve"> les questions financières et patrimoniales (le régime d’émission de la monnaie</w:t>
      </w:r>
      <w:r w:rsidR="0027203C">
        <w:t>;</w:t>
      </w:r>
      <w:r w:rsidRPr="00CB4F2E">
        <w:t xml:space="preserve"> le budget</w:t>
      </w:r>
      <w:r w:rsidR="0027203C">
        <w:t>;</w:t>
      </w:r>
      <w:r w:rsidRPr="00CB4F2E">
        <w:t xml:space="preserve"> la création des impôts et taxes et la détermination de l’assiette fiscale, du taux et des modalités de recouvrement de ceux-ci</w:t>
      </w:r>
      <w:r w:rsidR="0027203C">
        <w:t>;</w:t>
      </w:r>
      <w:r w:rsidRPr="00CB4F2E">
        <w:t xml:space="preserve"> le régime domanial, foncier et minier</w:t>
      </w:r>
      <w:r w:rsidR="0027203C">
        <w:t>;</w:t>
      </w:r>
      <w:proofErr w:type="spellStart"/>
      <w:r w:rsidRPr="00CB4F2E">
        <w:t>l e</w:t>
      </w:r>
      <w:proofErr w:type="spellEnd"/>
      <w:r w:rsidRPr="00CB4F2E">
        <w:t xml:space="preserve"> régime des ressources naturelles )</w:t>
      </w:r>
      <w:r w:rsidR="0027203C">
        <w:t>;</w:t>
      </w:r>
      <w:r w:rsidRPr="00CB4F2E">
        <w:t xml:space="preserve"> la programmation des objectifs de l’action économique et sociale; le régime de l’éducation.</w:t>
      </w:r>
    </w:p>
    <w:p w14:paraId="13344B3E" w14:textId="77777777" w:rsidR="0093676D" w:rsidRPr="00CB4F2E" w:rsidRDefault="0093676D" w:rsidP="005F1D8A">
      <w:pPr>
        <w:pStyle w:val="SingleTxtG"/>
        <w:numPr>
          <w:ilvl w:val="0"/>
          <w:numId w:val="6"/>
        </w:numPr>
        <w:ind w:left="1134" w:firstLine="0"/>
      </w:pPr>
      <w:bookmarkStart w:id="114" w:name="_Toc210208618"/>
      <w:bookmarkStart w:id="115" w:name="_Toc210209120"/>
      <w:bookmarkStart w:id="116" w:name="_Toc210217672"/>
      <w:bookmarkStart w:id="117" w:name="_Toc210221238"/>
      <w:bookmarkStart w:id="118" w:name="_Toc210646361"/>
      <w:r w:rsidRPr="00CB4F2E">
        <w:t>Des textes législatifs, sous forme de lois ou d’ordonnances, ont été pris dans la quasi-totalité de ce domaine.</w:t>
      </w:r>
      <w:bookmarkEnd w:id="114"/>
      <w:bookmarkEnd w:id="115"/>
      <w:bookmarkEnd w:id="116"/>
      <w:bookmarkEnd w:id="117"/>
      <w:bookmarkEnd w:id="118"/>
      <w:r w:rsidRPr="00CB4F2E">
        <w:t xml:space="preserve"> </w:t>
      </w:r>
    </w:p>
    <w:p w14:paraId="6DE69DA0" w14:textId="77777777" w:rsidR="00ED20A7" w:rsidRDefault="0093676D" w:rsidP="005F1D8A">
      <w:pPr>
        <w:pStyle w:val="SingleTxtG"/>
        <w:numPr>
          <w:ilvl w:val="0"/>
          <w:numId w:val="6"/>
        </w:numPr>
        <w:ind w:left="1134" w:firstLine="0"/>
      </w:pPr>
      <w:r w:rsidRPr="000100A9">
        <w:rPr>
          <w:lang w:val="fr-FR"/>
        </w:rPr>
        <w:t>Outre</w:t>
      </w:r>
      <w:r w:rsidRPr="00CB4F2E">
        <w:t xml:space="preserve"> cet aspect législatif, les membres du Parlement sont impliqués dans la promotion des Droits de l’Homme. La division du travail, tant au niveau de l’Assemblée Nationale que du Sénat, prévoit la Commission des Lois constitutionnelles, des Droits de l’Homme et des Libertés, de la Justice, de la Législation et du Règlement de l’Administration. </w:t>
      </w:r>
    </w:p>
    <w:p w14:paraId="542B859D" w14:textId="558BC3E2" w:rsidR="0093676D" w:rsidRPr="00CB4F2E" w:rsidRDefault="0093676D" w:rsidP="005F1D8A">
      <w:pPr>
        <w:pStyle w:val="SingleTxtG"/>
        <w:numPr>
          <w:ilvl w:val="0"/>
          <w:numId w:val="6"/>
        </w:numPr>
        <w:ind w:left="1134" w:firstLine="0"/>
      </w:pPr>
      <w:r w:rsidRPr="00CB4F2E">
        <w:lastRenderedPageBreak/>
        <w:t xml:space="preserve">Par ailleurs, les Membres du Parlement se déploient dans le cadre de nombreux réseaux, en vue de promouvoir les Droits de l’Homme. Il en est ainsi </w:t>
      </w:r>
      <w:r w:rsidRPr="00CB4F2E">
        <w:rPr>
          <w:bCs/>
        </w:rPr>
        <w:t xml:space="preserve">du Réseau des parlementaires pour la protection des Droits de l’Homme et de la cybersécurité, </w:t>
      </w:r>
      <w:r w:rsidRPr="00CB4F2E">
        <w:t>du Réseau des Parlementaires pour la promotion du Genre, et du Réseau des Parlementaires pour la gestion durable des écosystèmes forestiers et humides d’Afrique Centrale (ce dernier est particulièrement impliqué dans la protection des droits des populations autochtones).</w:t>
      </w:r>
      <w:bookmarkStart w:id="119" w:name="_Toc466705780"/>
      <w:r w:rsidRPr="00CB4F2E">
        <w:rPr>
          <w:b/>
          <w:bCs/>
          <w:webHidden/>
        </w:rPr>
        <w:tab/>
      </w:r>
    </w:p>
    <w:p w14:paraId="53D49ACB" w14:textId="6FD161CD" w:rsidR="00ED20A7" w:rsidRDefault="00423320" w:rsidP="00423320">
      <w:pPr>
        <w:pStyle w:val="H1G"/>
        <w:ind w:left="720" w:hanging="360"/>
        <w:rPr>
          <w:i/>
        </w:rPr>
      </w:pPr>
      <w:bookmarkStart w:id="120" w:name="_Toc210208619"/>
      <w:bookmarkStart w:id="121" w:name="_Toc210209121"/>
      <w:bookmarkStart w:id="122" w:name="_Toc210646362"/>
      <w:r w:rsidRPr="000100A9">
        <w:t>C.</w:t>
      </w:r>
      <w:r w:rsidRPr="000100A9">
        <w:tab/>
      </w:r>
      <w:r w:rsidR="0093676D" w:rsidRPr="000100A9">
        <w:t>L’</w:t>
      </w:r>
      <w:r w:rsidR="0093676D" w:rsidRPr="00CB4F2E">
        <w:t>Institution nationale de promotion et de défense des Droits de l’Homme</w:t>
      </w:r>
      <w:bookmarkEnd w:id="119"/>
      <w:bookmarkEnd w:id="120"/>
      <w:bookmarkEnd w:id="121"/>
      <w:bookmarkEnd w:id="122"/>
    </w:p>
    <w:p w14:paraId="70CF5032" w14:textId="77777777" w:rsidR="00ED20A7" w:rsidRDefault="0093676D" w:rsidP="005F1D8A">
      <w:pPr>
        <w:pStyle w:val="SingleTxtG"/>
        <w:numPr>
          <w:ilvl w:val="0"/>
          <w:numId w:val="6"/>
        </w:numPr>
        <w:ind w:left="1134" w:firstLine="0"/>
      </w:pPr>
      <w:r w:rsidRPr="00CB4F2E">
        <w:t>En novembre 1990, le Cameroun a mis en place un Comité National des Droits de l’Homme et des Libertés, qui a été transformé en Commission nationale des Droits de l’Homme et des libertés (CNDHL) par la Loi n</w:t>
      </w:r>
      <w:r w:rsidRPr="00CB4F2E">
        <w:rPr>
          <w:vertAlign w:val="superscript"/>
        </w:rPr>
        <w:t>o</w:t>
      </w:r>
      <w:r w:rsidRPr="00CB4F2E">
        <w:t> 2004/016 du 22 juillet 2004, amendée en 2010, puis en Commission des Droits de l’Homme du Cameroun-CDHC (</w:t>
      </w:r>
      <w:hyperlink r:id="rId50" w:history="1">
        <w:r w:rsidRPr="00CB4F2E">
          <w:rPr>
            <w:rStyle w:val="Hyperlink"/>
          </w:rPr>
          <w:t>www.cdhc.cm</w:t>
        </w:r>
      </w:hyperlink>
      <w:r w:rsidRPr="00CB4F2E">
        <w:t xml:space="preserve"> ) à la faveur de la Loi n° 2019/014 du 19 juillet 2019. Dotée de la personnalité juridique et de l’autonomie financière, la CDHC est une institution indépendante de consultation, d’observation, d’évaluation, de dialogue, de conciliation et de concertation en matière de promotion et de protection des Droits de l’Homme. En plus du changement de la dénomination, la Loi n°2019/014 a innové tant sur le plan organique, en réaménageant la composition</w:t>
      </w:r>
      <w:r w:rsidRPr="00CB4F2E">
        <w:rPr>
          <w:rStyle w:val="FootnoteReference"/>
        </w:rPr>
        <w:footnoteReference w:id="47"/>
      </w:r>
      <w:r w:rsidRPr="00CB4F2E">
        <w:t xml:space="preserve"> et en revisitant l’architecture institutionnelle</w:t>
      </w:r>
      <w:r w:rsidRPr="00CB4F2E">
        <w:rPr>
          <w:rStyle w:val="FootnoteReference"/>
        </w:rPr>
        <w:footnoteReference w:id="48"/>
      </w:r>
      <w:r w:rsidRPr="00CB4F2E">
        <w:t>, que sur le plan fonctionnel, en lui attribuant le mandat de Mécanisme National de Prévention de la Torture (MNPT) et en densifiant ses moyens d’action</w:t>
      </w:r>
      <w:r w:rsidRPr="00CB4F2E">
        <w:rPr>
          <w:rStyle w:val="FootnoteReference"/>
        </w:rPr>
        <w:footnoteReference w:id="49"/>
      </w:r>
      <w:r w:rsidRPr="00CB4F2E">
        <w:t xml:space="preserve">. </w:t>
      </w:r>
    </w:p>
    <w:p w14:paraId="4A1D18CB" w14:textId="0DCD6F6D" w:rsidR="00ED20A7" w:rsidRDefault="0093676D" w:rsidP="005F1D8A">
      <w:pPr>
        <w:pStyle w:val="SingleTxtG"/>
        <w:numPr>
          <w:ilvl w:val="0"/>
          <w:numId w:val="6"/>
        </w:numPr>
        <w:ind w:left="1134" w:firstLine="0"/>
      </w:pPr>
      <w:r w:rsidRPr="00CB4F2E">
        <w:t>En matière de promotion, la CDHC contribue au développement d’une culture des Droits de l’Homme fondée sur les idéaux de paix, d’égalité en droits et en devoirs, de respect mutuel et de développement durable, à travers notamment : la vulgarisation des instruments juridiques des Droits de l’Homme</w:t>
      </w:r>
      <w:r w:rsidR="0027203C">
        <w:t>;</w:t>
      </w:r>
      <w:r w:rsidRPr="00CB4F2E">
        <w:t xml:space="preserve"> la sensibilisation du public sur diverses thématiques relatives aux Droits de l’Homme, ainsi qu’aux questions du genre et des groupes vulnérables</w:t>
      </w:r>
      <w:r w:rsidR="0027203C">
        <w:t>;</w:t>
      </w:r>
      <w:r w:rsidRPr="00CB4F2E">
        <w:t xml:space="preserve"> la recherche, l’éducation et la formation en matière de Droits de l’Homme</w:t>
      </w:r>
      <w:r w:rsidR="0027203C">
        <w:t>;</w:t>
      </w:r>
      <w:r w:rsidRPr="00CB4F2E">
        <w:t xml:space="preserve"> la coopération en matière de Droits de l’Homme</w:t>
      </w:r>
      <w:r w:rsidR="0027203C">
        <w:t>;</w:t>
      </w:r>
      <w:r w:rsidRPr="00CB4F2E">
        <w:t xml:space="preserve"> le plaidoyer en faveur de l’amélioration du cadre juridique et institutionnel de promotion des Droits de l’Homme.</w:t>
      </w:r>
    </w:p>
    <w:p w14:paraId="7894639A" w14:textId="1847B43B" w:rsidR="00ED20A7" w:rsidRDefault="0093676D" w:rsidP="005F1D8A">
      <w:pPr>
        <w:pStyle w:val="SingleTxtG"/>
        <w:numPr>
          <w:ilvl w:val="0"/>
          <w:numId w:val="6"/>
        </w:numPr>
        <w:ind w:left="1134" w:firstLine="0"/>
      </w:pPr>
      <w:r w:rsidRPr="00CB4F2E">
        <w:t>En matière de protection, la CDHC contribue à la consolidation de l’</w:t>
      </w:r>
      <w:proofErr w:type="spellStart"/>
      <w:r w:rsidRPr="00CB4F2E">
        <w:t>Etat</w:t>
      </w:r>
      <w:proofErr w:type="spellEnd"/>
      <w:r w:rsidRPr="00CB4F2E">
        <w:t xml:space="preserve"> de droit et à la lutte contre l’impunité en matière de Droits de l’Homme, à travers notamment : le traitement des requêtes et dénonciations relatives aux allégations de violation des Droits de l’Homme</w:t>
      </w:r>
      <w:r w:rsidR="0027203C">
        <w:t>;</w:t>
      </w:r>
      <w:r w:rsidRPr="00CB4F2E">
        <w:t xml:space="preserve"> l’auto-saisine pour les faits portés à sa connaissance, qui sont de nature à constituer des violations graves, récurrentes ou systémiques des Droits de l’Homme</w:t>
      </w:r>
      <w:r w:rsidR="0027203C">
        <w:t>;</w:t>
      </w:r>
      <w:r w:rsidRPr="00CB4F2E">
        <w:t xml:space="preserve"> le suivi de la situation des Droits de l’Homme</w:t>
      </w:r>
      <w:r w:rsidR="0027203C">
        <w:t>;</w:t>
      </w:r>
      <w:r w:rsidRPr="00CB4F2E">
        <w:t xml:space="preserve"> les avis et conseils en matière de Droits de l’Homme. Elle</w:t>
      </w:r>
      <w:r w:rsidR="0027203C">
        <w:t xml:space="preserve"> </w:t>
      </w:r>
      <w:r w:rsidRPr="00CB4F2E">
        <w:t>peut également agir en tant qu'</w:t>
      </w:r>
      <w:proofErr w:type="spellStart"/>
      <w:r w:rsidRPr="00CB4F2E">
        <w:rPr>
          <w:i/>
        </w:rPr>
        <w:t>amicus</w:t>
      </w:r>
      <w:proofErr w:type="spellEnd"/>
      <w:r w:rsidRPr="00CB4F2E">
        <w:rPr>
          <w:i/>
        </w:rPr>
        <w:t xml:space="preserve"> </w:t>
      </w:r>
      <w:proofErr w:type="spellStart"/>
      <w:r w:rsidRPr="00CB4F2E">
        <w:rPr>
          <w:i/>
        </w:rPr>
        <w:t>curiae</w:t>
      </w:r>
      <w:proofErr w:type="spellEnd"/>
      <w:r w:rsidRPr="00CB4F2E">
        <w:rPr>
          <w:i/>
        </w:rPr>
        <w:t>.</w:t>
      </w:r>
    </w:p>
    <w:p w14:paraId="3629947E" w14:textId="73611346" w:rsidR="00ED20A7" w:rsidRDefault="0093676D" w:rsidP="005F1D8A">
      <w:pPr>
        <w:pStyle w:val="SingleTxtG"/>
        <w:numPr>
          <w:ilvl w:val="0"/>
          <w:numId w:val="6"/>
        </w:numPr>
        <w:ind w:left="1134" w:firstLine="0"/>
      </w:pPr>
      <w:r w:rsidRPr="00CB4F2E">
        <w:t>En tant que MNPT, la CDHC : effectue des visites régulières, inopinées ou notifiées, de tous les lieux de privation de liberté</w:t>
      </w:r>
      <w:r w:rsidR="0027203C">
        <w:t>;</w:t>
      </w:r>
      <w:r w:rsidRPr="00CB4F2E">
        <w:t xml:space="preserve"> engage un dialogue constructif avec tous les autorités chargées de l’administration et de la gestion des lieux de privation de liberté ou toute autre </w:t>
      </w:r>
      <w:r w:rsidRPr="00CB4F2E">
        <w:lastRenderedPageBreak/>
        <w:t>autorité</w:t>
      </w:r>
      <w:r w:rsidR="0027203C">
        <w:t>;</w:t>
      </w:r>
      <w:r w:rsidRPr="00CB4F2E">
        <w:t xml:space="preserve"> et participe au suivi de la mise en œuvre des observations formulées par le Sous-comité de la prévention de la torture des Nations Unies.</w:t>
      </w:r>
      <w:r w:rsidR="0027203C">
        <w:t xml:space="preserve"> </w:t>
      </w:r>
    </w:p>
    <w:p w14:paraId="3980AEF3" w14:textId="77777777" w:rsidR="00ED20A7" w:rsidRDefault="0093676D" w:rsidP="005F1D8A">
      <w:pPr>
        <w:pStyle w:val="SingleTxtG"/>
        <w:numPr>
          <w:ilvl w:val="0"/>
          <w:numId w:val="6"/>
        </w:numPr>
        <w:ind w:left="1134" w:firstLine="0"/>
      </w:pPr>
      <w:r w:rsidRPr="00CB4F2E">
        <w:t>La CDHC a été effectivement opérationnalisée par la nomination de ses membres le 19 février 2021 et leur prestation de serment devant la Cour Suprême le 29 avril 2021. Les commissaires nouvellement nommés et le personnel de la CDHC ont reçu, au cours d’un atelier organisé à Yaoundé du 25 au 28 mai 2021 avec l’appui du Centre des Nations Unies pour les Droits de l’Homme et la Démocratie en Afrique Centrale, une formation pour améliorer leurs connaissances de base en matière de Droits de l’Homme.</w:t>
      </w:r>
    </w:p>
    <w:p w14:paraId="5DDCA88A" w14:textId="77777777" w:rsidR="00ED20A7" w:rsidRDefault="0093676D" w:rsidP="005F1D8A">
      <w:pPr>
        <w:pStyle w:val="SingleTxtG"/>
        <w:numPr>
          <w:ilvl w:val="0"/>
          <w:numId w:val="6"/>
        </w:numPr>
        <w:ind w:left="1134" w:firstLine="0"/>
      </w:pPr>
      <w:r w:rsidRPr="00CB4F2E">
        <w:t>Les ressources nécessaires à son fonctionnement sont inscrites au Budget de l’</w:t>
      </w:r>
      <w:proofErr w:type="spellStart"/>
      <w:r w:rsidRPr="00CB4F2E">
        <w:t>Etat</w:t>
      </w:r>
      <w:proofErr w:type="spellEnd"/>
      <w:r w:rsidRPr="00CB4F2E">
        <w:t xml:space="preserve"> (Loi des finances) chaque année. De 2019 à 2025, son budget est passé de de 867 928 304 FCFA à 4 796 000 000 FCFA. A ces financements de l’</w:t>
      </w:r>
      <w:proofErr w:type="spellStart"/>
      <w:r w:rsidRPr="00CB4F2E">
        <w:t>Etat</w:t>
      </w:r>
      <w:proofErr w:type="spellEnd"/>
      <w:r w:rsidRPr="00CB4F2E">
        <w:t>, dont une part importante est consacrée à l’investissement. Il faut ajouter les appuis divers octroyés par les partenaires nationaux et internationaux de l’</w:t>
      </w:r>
      <w:proofErr w:type="spellStart"/>
      <w:r w:rsidRPr="00CB4F2E">
        <w:t>Etat</w:t>
      </w:r>
      <w:proofErr w:type="spellEnd"/>
      <w:r w:rsidRPr="00CB4F2E">
        <w:t xml:space="preserve">. Ces moyens conséquents ont permis à la CDHC de se doter d’infrastructures, de matériels roulants, de mobiliers, d’équipements de bureau, etc. </w:t>
      </w:r>
    </w:p>
    <w:p w14:paraId="20ED4582" w14:textId="77777777" w:rsidR="00ED20A7" w:rsidRDefault="0093676D" w:rsidP="005F1D8A">
      <w:pPr>
        <w:pStyle w:val="SingleTxtG"/>
        <w:numPr>
          <w:ilvl w:val="0"/>
          <w:numId w:val="6"/>
        </w:numPr>
        <w:ind w:left="1134" w:firstLine="0"/>
      </w:pPr>
      <w:r w:rsidRPr="00CB4F2E">
        <w:t>La CDHC est dotée d’un siège à Yaoundé, de 10 antennes régionales opérationnelles et d’une antenne départementale dans le Logone-et-Chari. En plus des 15 membres statutaires et du Secrétaire Permanent, elle compte 194 personnels (113 hommes et 81 femmes). Elle dispose également de Points focaux dans la plupart des Départements ministériels.</w:t>
      </w:r>
    </w:p>
    <w:p w14:paraId="53AE3532" w14:textId="77777777" w:rsidR="00ED20A7" w:rsidRDefault="0093676D" w:rsidP="005F1D8A">
      <w:pPr>
        <w:pStyle w:val="SingleTxtG"/>
        <w:numPr>
          <w:ilvl w:val="0"/>
          <w:numId w:val="6"/>
        </w:numPr>
        <w:ind w:left="1134" w:firstLine="0"/>
        <w:rPr>
          <w:i/>
        </w:rPr>
      </w:pPr>
      <w:r w:rsidRPr="00CB4F2E">
        <w:t xml:space="preserve">Toutes ces avancées ont contribué à renforcer les prérogatives et l’indépendance de cette institution nationale des Droits de l’Homme, à l’effet de la rendre conforme aux Principes de Paris, ce qui lui a permis de conserver le statut « A » auprès du Sous-Comité d’accréditation du </w:t>
      </w:r>
      <w:r w:rsidRPr="00CB4F2E">
        <w:rPr>
          <w:i/>
        </w:rPr>
        <w:t xml:space="preserve">Global Alliance for National Human Rights Institutions. </w:t>
      </w:r>
    </w:p>
    <w:p w14:paraId="1172108E" w14:textId="77777777" w:rsidR="00ED20A7" w:rsidRDefault="0093676D" w:rsidP="005F1D8A">
      <w:pPr>
        <w:pStyle w:val="SingleTxtG"/>
        <w:numPr>
          <w:ilvl w:val="0"/>
          <w:numId w:val="6"/>
        </w:numPr>
        <w:ind w:left="1134" w:firstLine="0"/>
        <w:rPr>
          <w:i/>
        </w:rPr>
      </w:pPr>
      <w:r w:rsidRPr="00CB4F2E">
        <w:t xml:space="preserve">La liste des diverses activités menées par la CDHC peut être consultée sur son site Internet </w:t>
      </w:r>
      <w:hyperlink r:id="rId51" w:history="1">
        <w:r w:rsidRPr="00CB4F2E">
          <w:rPr>
            <w:rStyle w:val="Hyperlink"/>
          </w:rPr>
          <w:t>www.cdhc.cm</w:t>
        </w:r>
      </w:hyperlink>
      <w:r w:rsidRPr="00CB4F2E">
        <w:t xml:space="preserve">. </w:t>
      </w:r>
    </w:p>
    <w:p w14:paraId="7F61EFCA" w14:textId="0D32C58D" w:rsidR="00ED20A7" w:rsidRDefault="00423320" w:rsidP="00423320">
      <w:pPr>
        <w:pStyle w:val="H1G"/>
        <w:ind w:left="720" w:hanging="360"/>
        <w:rPr>
          <w:i/>
        </w:rPr>
      </w:pPr>
      <w:bookmarkStart w:id="123" w:name="_Toc210646363"/>
      <w:r w:rsidRPr="000100A9">
        <w:t>D.</w:t>
      </w:r>
      <w:r w:rsidRPr="000100A9">
        <w:tab/>
      </w:r>
      <w:r w:rsidR="0093676D" w:rsidRPr="000100A9">
        <w:t>L</w:t>
      </w:r>
      <w:r w:rsidR="0093676D" w:rsidRPr="00CB4F2E">
        <w:t>es organes de régulation</w:t>
      </w:r>
      <w:bookmarkEnd w:id="123"/>
    </w:p>
    <w:p w14:paraId="60721582" w14:textId="77777777" w:rsidR="00ED20A7" w:rsidRDefault="0093676D" w:rsidP="005F1D8A">
      <w:pPr>
        <w:pStyle w:val="SingleTxtG"/>
        <w:numPr>
          <w:ilvl w:val="0"/>
          <w:numId w:val="6"/>
        </w:numPr>
        <w:ind w:left="1134" w:firstLine="0"/>
      </w:pPr>
      <w:r w:rsidRPr="000100A9">
        <w:rPr>
          <w:lang w:val="fr-FR"/>
        </w:rPr>
        <w:t>Organe</w:t>
      </w:r>
      <w:r w:rsidRPr="00CB4F2E">
        <w:t xml:space="preserve"> indépendant de régulation et de consultation, le Conseil National de la Communication-CNC (</w:t>
      </w:r>
      <w:hyperlink r:id="rId52" w:history="1">
        <w:r w:rsidRPr="00CB4F2E">
          <w:rPr>
            <w:rStyle w:val="Hyperlink"/>
            <w:lang w:val="fr-FR"/>
          </w:rPr>
          <w:t>https://cnc.gov.cm/</w:t>
        </w:r>
      </w:hyperlink>
      <w:r w:rsidRPr="00CB4F2E">
        <w:t>) est chargé d'assister les pouvoirs publics dans l'élaboration, la mise en œuvre et le suivi de la politique nationale de communication sociale, ainsi que de veiller au respect de la liberté de communication sociale (Décret n°2012/038 du 23 janvier 2012 portant réorganisation du CNC).</w:t>
      </w:r>
    </w:p>
    <w:p w14:paraId="43AC3E96" w14:textId="77777777" w:rsidR="00ED20A7" w:rsidRDefault="0093676D" w:rsidP="005F1D8A">
      <w:pPr>
        <w:pStyle w:val="SingleTxtG"/>
        <w:numPr>
          <w:ilvl w:val="0"/>
          <w:numId w:val="6"/>
        </w:numPr>
        <w:ind w:left="1134" w:firstLine="0"/>
      </w:pPr>
      <w:proofErr w:type="spellStart"/>
      <w:r w:rsidRPr="00CB4F2E">
        <w:t>Etablissement</w:t>
      </w:r>
      <w:proofErr w:type="spellEnd"/>
      <w:r w:rsidRPr="00CB4F2E">
        <w:t xml:space="preserve"> public à caractère spécial, l'Agence de Régulation des Télécommunications-ART (</w:t>
      </w:r>
      <w:hyperlink r:id="rId53" w:history="1">
        <w:r w:rsidRPr="00CB4F2E">
          <w:rPr>
            <w:rStyle w:val="Hyperlink"/>
            <w:lang w:val="fr-FR"/>
          </w:rPr>
          <w:t>https://www.art.cm/</w:t>
        </w:r>
      </w:hyperlink>
      <w:r w:rsidRPr="00CB4F2E">
        <w:t>) est chargée d’une part, d’assurer pour le compte de l'</w:t>
      </w:r>
      <w:proofErr w:type="spellStart"/>
      <w:r w:rsidRPr="00CB4F2E">
        <w:t>Etat</w:t>
      </w:r>
      <w:proofErr w:type="spellEnd"/>
      <w:r w:rsidRPr="00CB4F2E">
        <w:t>, la régulation, le contrôle et le suivi des activités des opérateurs, des exploitants des réseaux et des fournisseurs des services de communications électroniques et d’autre part, de veiller également au respect du principe d'égalité de traitement des usagers dans toutes les entreprises de communications électroniques (</w:t>
      </w:r>
      <w:r w:rsidRPr="00CB4F2E">
        <w:rPr>
          <w:i/>
          <w:iCs/>
        </w:rPr>
        <w:t>Décret</w:t>
      </w:r>
      <w:r w:rsidRPr="00CB4F2E">
        <w:t> n°2020/727 du 3 décembre 2020 portant réorganisation et fonctionnement de l’ART).</w:t>
      </w:r>
    </w:p>
    <w:p w14:paraId="00C9D162" w14:textId="28E7120D" w:rsidR="0093676D" w:rsidRPr="00CB4F2E" w:rsidRDefault="0093676D" w:rsidP="005F1D8A">
      <w:pPr>
        <w:pStyle w:val="SingleTxtG"/>
        <w:numPr>
          <w:ilvl w:val="0"/>
          <w:numId w:val="6"/>
        </w:numPr>
        <w:ind w:left="1134" w:firstLine="0"/>
      </w:pPr>
      <w:r w:rsidRPr="00CB4F2E">
        <w:t>Placée sous la tutelle de la Présidence de la République, l’Agence de Régulation des Marchés Publics (</w:t>
      </w:r>
      <w:hyperlink r:id="rId54" w:history="1">
        <w:r w:rsidRPr="00CB4F2E">
          <w:rPr>
            <w:rStyle w:val="Hyperlink"/>
          </w:rPr>
          <w:t>www.armp.cm</w:t>
        </w:r>
      </w:hyperlink>
      <w:r w:rsidRPr="00CB4F2E">
        <w:t xml:space="preserve"> ) est chargée d'assurer la régulation du système de passation des marchés publics et des conventions de délégation des services publics (Décret n°2001/048 du 23 février 200, modifié par Décret n°2012/076 du 08 mars 2012). </w:t>
      </w:r>
    </w:p>
    <w:p w14:paraId="2CDC4AE2" w14:textId="28317A6F" w:rsidR="00ED20A7" w:rsidRDefault="00423320" w:rsidP="00423320">
      <w:pPr>
        <w:pStyle w:val="H1G"/>
        <w:ind w:left="720" w:hanging="360"/>
        <w:rPr>
          <w:i/>
        </w:rPr>
      </w:pPr>
      <w:bookmarkStart w:id="124" w:name="_Toc210646364"/>
      <w:r w:rsidRPr="000100A9">
        <w:t>E.</w:t>
      </w:r>
      <w:r w:rsidRPr="000100A9">
        <w:tab/>
      </w:r>
      <w:r w:rsidR="0093676D" w:rsidRPr="00CB4F2E">
        <w:t>La diffusion des instruments relatifs aux Droits de l’Homme</w:t>
      </w:r>
      <w:bookmarkEnd w:id="124"/>
    </w:p>
    <w:p w14:paraId="65E1D98B" w14:textId="77777777" w:rsidR="00ED20A7" w:rsidRDefault="0093676D" w:rsidP="005F1D8A">
      <w:pPr>
        <w:pStyle w:val="SingleTxtG"/>
        <w:numPr>
          <w:ilvl w:val="0"/>
          <w:numId w:val="6"/>
        </w:numPr>
        <w:ind w:left="1134" w:firstLine="0"/>
      </w:pPr>
      <w:r w:rsidRPr="00CB4F2E">
        <w:t xml:space="preserve">Les différentes instances gouvernementales en charge des questions des Droits de l’Homme en général ou de droits catégoriels en particulier, auxquelles il faut ajouter la CDHC, à travers divers supports et activités, disséminent les </w:t>
      </w:r>
      <w:r w:rsidRPr="00CB4F2E">
        <w:rPr>
          <w:bCs/>
        </w:rPr>
        <w:t>instruments afférents aux Droits de l’Homme</w:t>
      </w:r>
      <w:r w:rsidRPr="00CB4F2E">
        <w:t xml:space="preserve">. Ainsi, la Déclaration Universelle des Droits de l’Homme et certains traités relatifs aux Droits de l’Homme auxquels le Cameroun est partie ont été traduits en langues locales, pour en faciliter la diffusion et la compréhension auprès des personnes ne parlant aucune des 2 langues officielles. </w:t>
      </w:r>
    </w:p>
    <w:p w14:paraId="696B9B56" w14:textId="77777777" w:rsidR="00ED20A7" w:rsidRDefault="0093676D" w:rsidP="005F1D8A">
      <w:pPr>
        <w:pStyle w:val="SingleTxtG"/>
        <w:numPr>
          <w:ilvl w:val="0"/>
          <w:numId w:val="6"/>
        </w:numPr>
        <w:ind w:left="1134" w:firstLine="0"/>
      </w:pPr>
      <w:r w:rsidRPr="00CB4F2E">
        <w:lastRenderedPageBreak/>
        <w:t>Dans le cadre du Projet «</w:t>
      </w:r>
      <w:r w:rsidRPr="00CB4F2E">
        <w:rPr>
          <w:i/>
        </w:rPr>
        <w:t xml:space="preserve"> Appui à l’appropriation et à la mise en œuvre effective de la Convention sur l’élimination de toutes les formes de discrimination à l’égard des femmes </w:t>
      </w:r>
      <w:r w:rsidRPr="00CB4F2E">
        <w:t xml:space="preserve">», cette convention a été traduite en </w:t>
      </w:r>
      <w:r w:rsidRPr="00CB4F2E">
        <w:rPr>
          <w:i/>
        </w:rPr>
        <w:t xml:space="preserve">pidgin </w:t>
      </w:r>
      <w:proofErr w:type="spellStart"/>
      <w:r w:rsidRPr="00CB4F2E">
        <w:rPr>
          <w:i/>
        </w:rPr>
        <w:t>english</w:t>
      </w:r>
      <w:proofErr w:type="spellEnd"/>
      <w:r w:rsidRPr="00CB4F2E">
        <w:rPr>
          <w:rStyle w:val="FootnoteReference"/>
        </w:rPr>
        <w:footnoteReference w:id="50"/>
      </w:r>
      <w:r w:rsidRPr="00CB4F2E">
        <w:t xml:space="preserve"> ainsi qu’en trois langues nationales de différentes régions : le </w:t>
      </w:r>
      <w:proofErr w:type="spellStart"/>
      <w:r w:rsidRPr="00CB4F2E">
        <w:rPr>
          <w:i/>
        </w:rPr>
        <w:t>fulfuldé</w:t>
      </w:r>
      <w:proofErr w:type="spellEnd"/>
      <w:r w:rsidRPr="00CB4F2E">
        <w:rPr>
          <w:rStyle w:val="FootnoteReference"/>
        </w:rPr>
        <w:footnoteReference w:id="51"/>
      </w:r>
      <w:r w:rsidRPr="00CB4F2E">
        <w:t xml:space="preserve">, le </w:t>
      </w:r>
      <w:proofErr w:type="spellStart"/>
      <w:r w:rsidRPr="00CB4F2E">
        <w:rPr>
          <w:i/>
        </w:rPr>
        <w:t>bulu</w:t>
      </w:r>
      <w:proofErr w:type="spellEnd"/>
      <w:r w:rsidRPr="00CB4F2E">
        <w:rPr>
          <w:rStyle w:val="FootnoteReference"/>
        </w:rPr>
        <w:footnoteReference w:id="52"/>
      </w:r>
      <w:r w:rsidRPr="00CB4F2E">
        <w:t xml:space="preserve"> et le </w:t>
      </w:r>
      <w:proofErr w:type="spellStart"/>
      <w:r w:rsidRPr="00CB4F2E">
        <w:rPr>
          <w:i/>
        </w:rPr>
        <w:t>ghom’ala</w:t>
      </w:r>
      <w:proofErr w:type="spellEnd"/>
      <w:r w:rsidRPr="00CB4F2E">
        <w:rPr>
          <w:rStyle w:val="FootnoteReference"/>
        </w:rPr>
        <w:footnoteReference w:id="53"/>
      </w:r>
      <w:r w:rsidRPr="00CB4F2E">
        <w:t>. Par ailleurs, la Loi n° 2010/002 du 13 avril 2010 portant protection et promotion des personnes handicapées a également été traduite en 2 langues locales (</w:t>
      </w:r>
      <w:r w:rsidRPr="00CB4F2E">
        <w:rPr>
          <w:i/>
        </w:rPr>
        <w:t xml:space="preserve">le fang-béti et le </w:t>
      </w:r>
      <w:proofErr w:type="spellStart"/>
      <w:r w:rsidRPr="00CB4F2E">
        <w:rPr>
          <w:i/>
        </w:rPr>
        <w:t>ghom’ala</w:t>
      </w:r>
      <w:proofErr w:type="spellEnd"/>
      <w:r w:rsidRPr="00CB4F2E">
        <w:t xml:space="preserve">). </w:t>
      </w:r>
    </w:p>
    <w:p w14:paraId="1978845B" w14:textId="77777777" w:rsidR="00ED20A7" w:rsidRDefault="0093676D" w:rsidP="005F1D8A">
      <w:pPr>
        <w:pStyle w:val="SingleTxtG"/>
        <w:numPr>
          <w:ilvl w:val="0"/>
          <w:numId w:val="6"/>
        </w:numPr>
        <w:ind w:left="1134" w:firstLine="0"/>
      </w:pPr>
      <w:r w:rsidRPr="00CB4F2E">
        <w:t xml:space="preserve">En 2011, 2018 and 2024, le MINJUSTICE a élaboré et diffusé des Recueils d’instruments internationaux, régionaux et nationaux relatifs aux Droits de l’Homme. Plusieurs autres administrations, à l’instar du MINPROFF et du MINAS, ont élaboré et diffusé des textes sur les Droits de l’Homme dans leurs secteurs d’activité. Dans le même ordre d’idées, le </w:t>
      </w:r>
      <w:r w:rsidRPr="00CB4F2E">
        <w:rPr>
          <w:iCs/>
        </w:rPr>
        <w:t>Plan d’Action National de Promotion et de Protection des Droits de l’Homme</w:t>
      </w:r>
      <w:r w:rsidRPr="00CB4F2E">
        <w:t xml:space="preserve"> a fait l’objet d’une large diffusion sur toute l’étendue du territoire</w:t>
      </w:r>
      <w:r w:rsidRPr="00CB4F2E">
        <w:rPr>
          <w:rStyle w:val="FootnoteReference"/>
        </w:rPr>
        <w:footnoteReference w:id="54"/>
      </w:r>
      <w:r w:rsidRPr="00CB4F2E">
        <w:t xml:space="preserve">. </w:t>
      </w:r>
    </w:p>
    <w:p w14:paraId="478B6566" w14:textId="2D0E5250" w:rsidR="0093676D" w:rsidRPr="00CB4F2E" w:rsidRDefault="0093676D" w:rsidP="005F1D8A">
      <w:pPr>
        <w:pStyle w:val="SingleTxtG"/>
        <w:numPr>
          <w:ilvl w:val="0"/>
          <w:numId w:val="6"/>
        </w:numPr>
        <w:ind w:left="1134" w:firstLine="0"/>
      </w:pPr>
      <w:r w:rsidRPr="00CB4F2E">
        <w:t xml:space="preserve">Davantage, les différents instruments juridiques relatifs aux Droits de l’Homme sont mentionnés systématiquement dans les Rapports du MINJUSTICE sur l’état des Droits de l’Homme au Cameroun de l’année de leur signature, ratification, adoption ou publication, suivant la nature de l’instrument. Produit annuellement en 1 000 exemplaires bilingues, ces Rapports sont aussi largement diffusés en copie numérique. Bien plus, le MINJUSTICE publie, en 4 500 exemplaires en moyenne par an, le Magazine </w:t>
      </w:r>
      <w:proofErr w:type="spellStart"/>
      <w:r w:rsidRPr="00CB4F2E">
        <w:rPr>
          <w:i/>
          <w:iCs/>
        </w:rPr>
        <w:t>Justitia</w:t>
      </w:r>
      <w:proofErr w:type="spellEnd"/>
      <w:r w:rsidRPr="00CB4F2E">
        <w:t xml:space="preserve"> qui aborde des questions liées aux Droits de l’Homme. Ce magazine est aussi publié sur son site Internet. </w:t>
      </w:r>
    </w:p>
    <w:p w14:paraId="297773F5" w14:textId="4A20A952" w:rsidR="00ED20A7" w:rsidRDefault="000100A9" w:rsidP="000100A9">
      <w:pPr>
        <w:pStyle w:val="H1G"/>
        <w:rPr>
          <w:i/>
        </w:rPr>
      </w:pPr>
      <w:bookmarkStart w:id="125" w:name="_Toc210646365"/>
      <w:r>
        <w:tab/>
      </w:r>
      <w:r w:rsidR="00423320" w:rsidRPr="000100A9">
        <w:t>F.</w:t>
      </w:r>
      <w:r w:rsidR="00423320" w:rsidRPr="000100A9">
        <w:tab/>
      </w:r>
      <w:r w:rsidR="0093676D" w:rsidRPr="00CB4F2E">
        <w:t>Les activités de formation</w:t>
      </w:r>
      <w:bookmarkEnd w:id="125"/>
      <w:r w:rsidR="0093676D" w:rsidRPr="00CB4F2E">
        <w:t xml:space="preserve"> </w:t>
      </w:r>
    </w:p>
    <w:p w14:paraId="03C575AE" w14:textId="4C02FB81" w:rsidR="0093676D" w:rsidRPr="00CB4F2E" w:rsidRDefault="0093676D" w:rsidP="005F1D8A">
      <w:pPr>
        <w:pStyle w:val="SingleTxtG"/>
        <w:numPr>
          <w:ilvl w:val="0"/>
          <w:numId w:val="6"/>
        </w:numPr>
        <w:ind w:left="1134" w:firstLine="0"/>
      </w:pPr>
      <w:r w:rsidRPr="00CB4F2E">
        <w:rPr>
          <w:lang w:val="fr-FR"/>
        </w:rPr>
        <w:t>Au-delà des actions générales, i</w:t>
      </w:r>
      <w:r w:rsidRPr="00CB4F2E">
        <w:t>l est utile de mettre en lumière les activités de formation de certains maillons importants dans la chaîne de protection des Droits de l’Homme.</w:t>
      </w:r>
    </w:p>
    <w:p w14:paraId="1E345CB3" w14:textId="49745D8A" w:rsidR="00ED20A7" w:rsidRDefault="00423320" w:rsidP="00423320">
      <w:pPr>
        <w:pStyle w:val="H23G"/>
      </w:pPr>
      <w:bookmarkStart w:id="126" w:name="_Toc210646366"/>
      <w:r>
        <w:tab/>
      </w:r>
      <w:r>
        <w:tab/>
      </w:r>
      <w:r w:rsidR="0093676D" w:rsidRPr="00CB4F2E">
        <w:t>Les actions d’ordre général</w:t>
      </w:r>
      <w:bookmarkEnd w:id="126"/>
    </w:p>
    <w:p w14:paraId="1D51DA80" w14:textId="77777777" w:rsidR="00ED20A7" w:rsidRDefault="0093676D" w:rsidP="005F1D8A">
      <w:pPr>
        <w:pStyle w:val="SingleTxtG"/>
        <w:numPr>
          <w:ilvl w:val="0"/>
          <w:numId w:val="6"/>
        </w:numPr>
        <w:ind w:left="1134" w:firstLine="0"/>
      </w:pPr>
      <w:r w:rsidRPr="00CB4F2E">
        <w:t xml:space="preserve">Des programmes de formation initiale de certains personnels des différents corps de la fonction publique contiennent des modules d’enseignement en Droits de l’Homme. Tel est le cas, principalement, pour les personnels de la Magistrature, de la Police, de la </w:t>
      </w:r>
      <w:r w:rsidRPr="00CB4F2E">
        <w:rPr>
          <w:iCs/>
        </w:rPr>
        <w:t>Gendarmerie</w:t>
      </w:r>
      <w:r w:rsidRPr="00CB4F2E">
        <w:t>, de l’</w:t>
      </w:r>
      <w:r w:rsidRPr="00CB4F2E">
        <w:rPr>
          <w:iCs/>
        </w:rPr>
        <w:t>Armée</w:t>
      </w:r>
      <w:r w:rsidRPr="00CB4F2E">
        <w:t xml:space="preserve"> et de l’Administration pénitentiaire. Par ailleurs, le programme de formation des instituteurs et autres formateurs met l’accent sur le respect des Droits de l’Homme en général, et ceux de l’enfant en particulier. </w:t>
      </w:r>
    </w:p>
    <w:p w14:paraId="07D519FA" w14:textId="77777777" w:rsidR="00ED20A7" w:rsidRDefault="0093676D" w:rsidP="005F1D8A">
      <w:pPr>
        <w:pStyle w:val="SingleTxtG"/>
        <w:numPr>
          <w:ilvl w:val="0"/>
          <w:numId w:val="6"/>
        </w:numPr>
        <w:ind w:left="1134" w:firstLine="0"/>
        <w:rPr>
          <w:bCs/>
        </w:rPr>
      </w:pPr>
      <w:r w:rsidRPr="00CB4F2E">
        <w:rPr>
          <w:bCs/>
        </w:rPr>
        <w:t>Sur fonds propres ou avec l’appui des partenaires, l’</w:t>
      </w:r>
      <w:proofErr w:type="spellStart"/>
      <w:r w:rsidRPr="00CB4F2E">
        <w:rPr>
          <w:bCs/>
        </w:rPr>
        <w:t>Etat</w:t>
      </w:r>
      <w:proofErr w:type="spellEnd"/>
      <w:r w:rsidRPr="00CB4F2E">
        <w:rPr>
          <w:bCs/>
        </w:rPr>
        <w:t xml:space="preserve"> du Cameroun organise des formations continues</w:t>
      </w:r>
      <w:r w:rsidRPr="00CB4F2E">
        <w:rPr>
          <w:rStyle w:val="FootnoteReference"/>
        </w:rPr>
        <w:footnoteReference w:id="55"/>
      </w:r>
      <w:r w:rsidRPr="00CB4F2E">
        <w:rPr>
          <w:bCs/>
        </w:rPr>
        <w:t xml:space="preserve"> au profit des acteurs </w:t>
      </w:r>
      <w:r w:rsidRPr="00CB4F2E">
        <w:t>de</w:t>
      </w:r>
      <w:r w:rsidRPr="00CB4F2E">
        <w:rPr>
          <w:bCs/>
        </w:rPr>
        <w:t xml:space="preserve"> la société civile, des agents chargés de l’application des lois, des journalistes, des défenseurs des Droits de l’Homme, des syndicats et autres, sur des thématiques telles que : le droit à un environnement sain, la lutte contre le </w:t>
      </w:r>
      <w:r w:rsidRPr="000100A9">
        <w:t>terrorisme</w:t>
      </w:r>
      <w:r w:rsidRPr="00CB4F2E">
        <w:rPr>
          <w:bCs/>
        </w:rPr>
        <w:t xml:space="preserve"> et le blanchement des capitaux, les droits des enfants, les droits des femmes, les </w:t>
      </w:r>
      <w:r w:rsidRPr="00CB4F2E">
        <w:rPr>
          <w:bCs/>
        </w:rPr>
        <w:lastRenderedPageBreak/>
        <w:t>conditions de détention, le droit international humanitaire, la lutte contre la torture et autres peines ou traitements cruels, inhumains ou dégradants, les règles de procédures pénales, le trafic et la traite des personnes, les peines alternatives à l’emprisonnement, l’application des conventions en matière de Droits de l’Homme, la justice juvénile, la lutte contre la criminalité faunique, l’entraide judiciaire internationale, la lutte contre la cybercriminalité, etc.</w:t>
      </w:r>
    </w:p>
    <w:p w14:paraId="6028E1EB" w14:textId="3D2D2444" w:rsidR="0093676D" w:rsidRPr="00CB4F2E" w:rsidRDefault="0093676D" w:rsidP="005F1D8A">
      <w:pPr>
        <w:pStyle w:val="SingleTxtG"/>
        <w:numPr>
          <w:ilvl w:val="0"/>
          <w:numId w:val="6"/>
        </w:numPr>
        <w:ind w:left="1134" w:firstLine="0"/>
      </w:pPr>
      <w:r w:rsidRPr="00CB4F2E">
        <w:t>Plus globalement, dans le cadre de la formation continue, la CDHC, les Départements ministériels et autres entités publiques organisent régulièrement des sessions de renforcement des capacités. Les informations à ce sujet sont notamment disponibles sur leurs sites Internet.</w:t>
      </w:r>
    </w:p>
    <w:p w14:paraId="1B6FD34F" w14:textId="7591982C" w:rsidR="0093676D" w:rsidRPr="00CB4F2E" w:rsidRDefault="00423320" w:rsidP="00423320">
      <w:pPr>
        <w:pStyle w:val="H23G"/>
      </w:pPr>
      <w:bookmarkStart w:id="127" w:name="_Toc210646367"/>
      <w:r>
        <w:tab/>
      </w:r>
      <w:r>
        <w:tab/>
      </w:r>
      <w:r w:rsidR="0093676D" w:rsidRPr="00CB4F2E">
        <w:t>La formation des magistrats et des administrateurs civils</w:t>
      </w:r>
      <w:bookmarkEnd w:id="127"/>
    </w:p>
    <w:p w14:paraId="66B92A65" w14:textId="77777777" w:rsidR="00ED20A7" w:rsidRDefault="0093676D" w:rsidP="005F1D8A">
      <w:pPr>
        <w:pStyle w:val="SingleTxtG"/>
        <w:numPr>
          <w:ilvl w:val="0"/>
          <w:numId w:val="6"/>
        </w:numPr>
        <w:ind w:left="1134" w:firstLine="0"/>
        <w:rPr>
          <w:b/>
          <w:lang w:val="fr-FR"/>
        </w:rPr>
      </w:pPr>
      <w:r w:rsidRPr="00CB4F2E">
        <w:t>Au</w:t>
      </w:r>
      <w:r w:rsidRPr="00CB4F2E">
        <w:rPr>
          <w:bCs/>
          <w:lang w:val="fr-FR"/>
        </w:rPr>
        <w:t xml:space="preserve"> sein de</w:t>
      </w:r>
      <w:r w:rsidRPr="00CB4F2E">
        <w:rPr>
          <w:b/>
          <w:lang w:val="fr-FR"/>
        </w:rPr>
        <w:t xml:space="preserve"> </w:t>
      </w:r>
      <w:r w:rsidRPr="00CB4F2E">
        <w:rPr>
          <w:lang w:val="fr-FR"/>
        </w:rPr>
        <w:t xml:space="preserve">l’Ecole Nationale d’Administration et de Magistrature (ENAM), un </w:t>
      </w:r>
      <w:r w:rsidRPr="00CB4F2E">
        <w:t>module de cours de 30 heures en « </w:t>
      </w:r>
      <w:r w:rsidRPr="00CB4F2E">
        <w:rPr>
          <w:i/>
          <w:iCs/>
        </w:rPr>
        <w:t>Droits de l’Homme et libertés publiques </w:t>
      </w:r>
      <w:r w:rsidRPr="00CB4F2E">
        <w:t xml:space="preserve">» est dispensé aux élèves magistrats, aux administrateurs civils, ainsi qu’aux élèves des filières des affaires foncières, travail et affaires sociales de l’Ecole Nationale d’Administration et de Magistrature (ENAM). </w:t>
      </w:r>
      <w:proofErr w:type="spellStart"/>
      <w:r w:rsidRPr="00CB4F2E">
        <w:t>A</w:t>
      </w:r>
      <w:proofErr w:type="spellEnd"/>
      <w:r w:rsidRPr="00CB4F2E">
        <w:t xml:space="preserve"> l’exception des auditeurs de justice des comptes, ces élèves bénéficient en plus d’un enseignement de 30 heures sur le « </w:t>
      </w:r>
      <w:r w:rsidRPr="00CB4F2E">
        <w:rPr>
          <w:i/>
          <w:iCs/>
        </w:rPr>
        <w:t>contentieux des Droits de l’Homme</w:t>
      </w:r>
      <w:r w:rsidRPr="00CB4F2E">
        <w:t> ». </w:t>
      </w:r>
    </w:p>
    <w:p w14:paraId="67591BDF" w14:textId="77777777" w:rsidR="00ED20A7" w:rsidRDefault="0093676D" w:rsidP="005F1D8A">
      <w:pPr>
        <w:pStyle w:val="SingleTxtG"/>
        <w:numPr>
          <w:ilvl w:val="0"/>
          <w:numId w:val="6"/>
        </w:numPr>
        <w:ind w:left="1134" w:firstLine="0"/>
        <w:rPr>
          <w:lang w:val="fr-FR"/>
        </w:rPr>
      </w:pPr>
      <w:r w:rsidRPr="00CB4F2E">
        <w:rPr>
          <w:lang w:val="fr-FR"/>
        </w:rPr>
        <w:t xml:space="preserve">Par ailleurs, les auditeurs de justice de la section judiciaire bénéficient chaque année, avec l’appui du CICR, d’un séminaire académique de 3 jours sur le droit international humanitaire et la prise en compte des Droits de l’Homme dans l’administration de la justice en contexte de contre-terrorisme. </w:t>
      </w:r>
    </w:p>
    <w:p w14:paraId="792B4AA2" w14:textId="5FAB1EE3" w:rsidR="0093676D" w:rsidRPr="00CB4F2E" w:rsidRDefault="0093676D" w:rsidP="005F1D8A">
      <w:pPr>
        <w:pStyle w:val="SingleTxtG"/>
        <w:numPr>
          <w:ilvl w:val="0"/>
          <w:numId w:val="6"/>
        </w:numPr>
        <w:ind w:left="1134" w:firstLine="0"/>
      </w:pPr>
      <w:r w:rsidRPr="00CB4F2E">
        <w:rPr>
          <w:lang w:val="fr-FR"/>
        </w:rPr>
        <w:t xml:space="preserve">En collaboration avec des partenaires nationaux ou internationaux, l’ENAM organise régulièrement des sessions de </w:t>
      </w:r>
      <w:r w:rsidRPr="00CB4F2E">
        <w:t>formation</w:t>
      </w:r>
      <w:r w:rsidRPr="00CB4F2E">
        <w:rPr>
          <w:lang w:val="fr-FR"/>
        </w:rPr>
        <w:t xml:space="preserve"> continue. Ainsi,</w:t>
      </w:r>
      <w:r w:rsidR="0027203C">
        <w:rPr>
          <w:lang w:val="fr-FR"/>
        </w:rPr>
        <w:t xml:space="preserve"> </w:t>
      </w:r>
      <w:r w:rsidRPr="00CB4F2E">
        <w:rPr>
          <w:lang w:val="fr-FR"/>
        </w:rPr>
        <w:t xml:space="preserve">en coopération avec le </w:t>
      </w:r>
      <w:r w:rsidRPr="00CB4F2E">
        <w:rPr>
          <w:i/>
          <w:lang w:val="fr-FR"/>
        </w:rPr>
        <w:t xml:space="preserve">Global Center on </w:t>
      </w:r>
      <w:proofErr w:type="spellStart"/>
      <w:r w:rsidRPr="00CB4F2E">
        <w:rPr>
          <w:i/>
          <w:lang w:val="fr-FR"/>
        </w:rPr>
        <w:t>Cooperative</w:t>
      </w:r>
      <w:proofErr w:type="spellEnd"/>
      <w:r w:rsidRPr="00CB4F2E">
        <w:rPr>
          <w:i/>
          <w:lang w:val="fr-FR"/>
        </w:rPr>
        <w:t xml:space="preserve"> Security,</w:t>
      </w:r>
      <w:r w:rsidRPr="00CB4F2E">
        <w:rPr>
          <w:lang w:val="fr-FR"/>
        </w:rPr>
        <w:t xml:space="preserve"> avec l’appui de l’Ambassade des Etats-Unis et de l’Institut International pour la Justice et l’état de droit, cette école a, entre 2018 et 2021, organisé 16 sessions de formation à l’intention de près de 400 magistrats civils et militaires, autorités administratives, avocats, officiers de police judiciaire, travailleurs sociaux, élus locaux, leaders religieux et communautaires, membres de la société civile, sur l’administration de la justice en contexte de contre-terrorisme et sur la bonne gouvernance administrative dans la lutte contre le terrorisme. En 2022, les 2 sessions de formation organisées dans le même cadre de coopération ont porté sur les techniques d’enquêtes efficaces non coercitives. De 2023 à 2025, l’ENAM a conduit plusieurs formations continues en collaboration avec </w:t>
      </w:r>
      <w:r w:rsidRPr="00CB4F2E">
        <w:t xml:space="preserve">la </w:t>
      </w:r>
      <w:proofErr w:type="spellStart"/>
      <w:r w:rsidRPr="00CB4F2E">
        <w:rPr>
          <w:i/>
          <w:iCs/>
        </w:rPr>
        <w:t>Scuola</w:t>
      </w:r>
      <w:proofErr w:type="spellEnd"/>
      <w:r w:rsidRPr="00CB4F2E">
        <w:rPr>
          <w:i/>
          <w:iCs/>
        </w:rPr>
        <w:t xml:space="preserve"> Superiore Sant'Anna di Pisa</w:t>
      </w:r>
      <w:r w:rsidRPr="00CB4F2E">
        <w:t>, y compris sur les crimes de droit international.</w:t>
      </w:r>
    </w:p>
    <w:p w14:paraId="0CDB1607" w14:textId="25555E89" w:rsidR="0093676D" w:rsidRPr="00CB4F2E" w:rsidRDefault="00423320" w:rsidP="00423320">
      <w:pPr>
        <w:pStyle w:val="H23G"/>
      </w:pPr>
      <w:bookmarkStart w:id="128" w:name="_Toc210646368"/>
      <w:r>
        <w:tab/>
      </w:r>
      <w:r>
        <w:tab/>
      </w:r>
      <w:r w:rsidR="0093676D" w:rsidRPr="00CB4F2E">
        <w:t>La formation des fonctionnaires de police</w:t>
      </w:r>
      <w:bookmarkEnd w:id="128"/>
      <w:r w:rsidR="0093676D" w:rsidRPr="00CB4F2E">
        <w:t> </w:t>
      </w:r>
    </w:p>
    <w:p w14:paraId="7DFED77B" w14:textId="77777777" w:rsidR="00ED20A7" w:rsidRDefault="0093676D" w:rsidP="005F1D8A">
      <w:pPr>
        <w:pStyle w:val="SingleTxtG"/>
        <w:numPr>
          <w:ilvl w:val="0"/>
          <w:numId w:val="6"/>
        </w:numPr>
        <w:ind w:left="1134" w:firstLine="0"/>
        <w:rPr>
          <w:lang w:val="fr-FR"/>
        </w:rPr>
      </w:pPr>
      <w:r w:rsidRPr="00CB4F2E">
        <w:rPr>
          <w:lang w:val="fr-FR"/>
        </w:rPr>
        <w:t xml:space="preserve">Les curricula et programmes de la formation initiale dans les centres et écoles d’instruction de la police ont fait l’objet d’une réforme accordant une place prépondérante aux Droits de l’Homme. Ainsi, pour la formation des nouvelles recrues dans le cadre des concours directs et spéciaux, des modules sur des Droits de l’Homme suivants sont institués avec des crédits horaires conséquents. Dans le cadre des stages de promotions professionnelles, de tels modules sont également établis. Par ailleurs, le cours d’éthique et déontologie est dispensé tout au long de la durée de la formation. </w:t>
      </w:r>
    </w:p>
    <w:p w14:paraId="75A0CF42" w14:textId="25AD2205" w:rsidR="0093676D" w:rsidRPr="00CB4F2E" w:rsidRDefault="0093676D" w:rsidP="005F1D8A">
      <w:pPr>
        <w:pStyle w:val="SingleTxtG"/>
        <w:numPr>
          <w:ilvl w:val="0"/>
          <w:numId w:val="6"/>
        </w:numPr>
        <w:ind w:left="1134" w:firstLine="0"/>
      </w:pPr>
      <w:r w:rsidRPr="00CB4F2E">
        <w:rPr>
          <w:lang w:val="fr-FR"/>
        </w:rPr>
        <w:t xml:space="preserve">A </w:t>
      </w:r>
      <w:r w:rsidRPr="00CB4F2E">
        <w:t>l’occasion</w:t>
      </w:r>
      <w:r w:rsidRPr="00CB4F2E">
        <w:rPr>
          <w:lang w:val="fr-FR"/>
        </w:rPr>
        <w:t xml:space="preserve"> de </w:t>
      </w:r>
      <w:r w:rsidRPr="00CB4F2E">
        <w:t>la formation continue, les fonctionnaires de police ayant bénéficié d’un avancement de grade suivent impérativement, lors de leur retour en centres de formation, une mise à jour de leurs connaissances en matière de Droits de l’Homme. De plus, la DGSN organise régulièrement des sessions de renforcement des capacités avec l’appui des partenaires comme ONU Femmes</w:t>
      </w:r>
      <w:r w:rsidRPr="00CB4F2E">
        <w:rPr>
          <w:rStyle w:val="FootnoteReference"/>
        </w:rPr>
        <w:footnoteReference w:id="56"/>
      </w:r>
      <w:r w:rsidRPr="00CB4F2E">
        <w:t>, Global Center</w:t>
      </w:r>
      <w:r w:rsidRPr="00CB4F2E">
        <w:rPr>
          <w:rStyle w:val="FootnoteReference"/>
        </w:rPr>
        <w:footnoteReference w:id="57"/>
      </w:r>
      <w:r w:rsidRPr="00CB4F2E">
        <w:t xml:space="preserve"> et GIZ</w:t>
      </w:r>
      <w:r w:rsidRPr="00CB4F2E">
        <w:rPr>
          <w:rStyle w:val="FootnoteReference"/>
        </w:rPr>
        <w:footnoteReference w:id="58"/>
      </w:r>
      <w:r w:rsidRPr="00CB4F2E">
        <w:t>.</w:t>
      </w:r>
    </w:p>
    <w:p w14:paraId="353C159B" w14:textId="6E33F1A9" w:rsidR="0093676D" w:rsidRPr="00CB4F2E" w:rsidRDefault="00423320" w:rsidP="00423320">
      <w:pPr>
        <w:pStyle w:val="H23G"/>
      </w:pPr>
      <w:bookmarkStart w:id="129" w:name="_Toc210646369"/>
      <w:r>
        <w:lastRenderedPageBreak/>
        <w:tab/>
      </w:r>
      <w:r>
        <w:tab/>
      </w:r>
      <w:r w:rsidR="0093676D" w:rsidRPr="00CB4F2E">
        <w:t>La formation des personnels de la Gendarmerie Nationale</w:t>
      </w:r>
      <w:bookmarkEnd w:id="129"/>
    </w:p>
    <w:p w14:paraId="5D15B43F" w14:textId="77777777" w:rsidR="0093676D" w:rsidRPr="00CB4F2E" w:rsidRDefault="0093676D" w:rsidP="005F1D8A">
      <w:pPr>
        <w:pStyle w:val="SingleTxtG"/>
        <w:numPr>
          <w:ilvl w:val="0"/>
          <w:numId w:val="6"/>
        </w:numPr>
        <w:ind w:left="1134" w:firstLine="0"/>
        <w:rPr>
          <w:bCs/>
        </w:rPr>
      </w:pPr>
      <w:r w:rsidRPr="00CB4F2E">
        <w:t xml:space="preserve">Dans les nouveaux programmes de formation des OPJ de la Gendarmerie Nationale, un module sur la criminalité organisée a été inclus. Ce module intègre des chapitres spécifiques sur la traite et le trafic des êtres humains. </w:t>
      </w:r>
      <w:r w:rsidRPr="00CB4F2E">
        <w:rPr>
          <w:bCs/>
        </w:rPr>
        <w:t xml:space="preserve">Par ailleurs, </w:t>
      </w:r>
      <w:r w:rsidRPr="00CB4F2E">
        <w:rPr>
          <w:bCs/>
          <w:lang w:val="fr-CA"/>
        </w:rPr>
        <w:t>la Gendarmerie Nationale a introduit dans ses nouveaux programmes, les modules de Droit International Humanitaire et de Droit International des Droits de l’Homme</w:t>
      </w:r>
      <w:r w:rsidRPr="00CB4F2E">
        <w:t xml:space="preserve"> (</w:t>
      </w:r>
      <w:r w:rsidRPr="00CB4F2E">
        <w:rPr>
          <w:bCs/>
          <w:lang w:val="fr-CA"/>
        </w:rPr>
        <w:t>DIH/DIDH), dispensés aux élèves-Gendarmes en formation dans les centres d’instruction de la Gendarmerie.</w:t>
      </w:r>
      <w:r w:rsidRPr="00CB4F2E">
        <w:rPr>
          <w:bCs/>
        </w:rPr>
        <w:t xml:space="preserve"> Entre 2023 et 2024, les officiers de police judiciaire de la Gendarmerie Nationale ont reçu 30 heures d’enseignement. Ainsi, 1766 personnels ont été formés. Le Commandement des Ecoles et Centres d’Instructions de la Gendarmerie a, en 2024, formé 2 075 Gendarmes dont 1 955 dans le cadre du module DIH/DIDH intégré au cours de tous les stages y organisés, et 120 au cours des formations spécifiques offertes par le CICR. </w:t>
      </w:r>
    </w:p>
    <w:p w14:paraId="24B0C608" w14:textId="6EC67D27" w:rsidR="0093676D" w:rsidRPr="00CB4F2E" w:rsidRDefault="00423320" w:rsidP="00423320">
      <w:pPr>
        <w:pStyle w:val="H23G"/>
      </w:pPr>
      <w:bookmarkStart w:id="130" w:name="_Toc210646370"/>
      <w:r>
        <w:tab/>
      </w:r>
      <w:r>
        <w:tab/>
      </w:r>
      <w:r w:rsidR="0093676D" w:rsidRPr="00CB4F2E">
        <w:t>La formation des personnels de l’Administration Pénitentiaire</w:t>
      </w:r>
      <w:bookmarkEnd w:id="130"/>
    </w:p>
    <w:p w14:paraId="2CA9DF06" w14:textId="77777777" w:rsidR="0093676D" w:rsidRPr="00CB4F2E" w:rsidRDefault="0093676D" w:rsidP="005F1D8A">
      <w:pPr>
        <w:pStyle w:val="SingleTxtG"/>
        <w:numPr>
          <w:ilvl w:val="0"/>
          <w:numId w:val="6"/>
        </w:numPr>
        <w:ind w:left="1134" w:firstLine="0"/>
      </w:pPr>
      <w:r w:rsidRPr="00CB4F2E">
        <w:t>Des modules dédiés aux Droits de l’Homme sont inscrits au programme de formation de l’Ecole Nationale d’Administration Pénitentiaire. Au titre de la formation continue et à titre d’illustration, de 2023 à 2024, environ 200 personnels pénitentiaires ont été outillés sur diverses thématiques des Droits de l’Homme à la diligence du MINJUSTICE.</w:t>
      </w:r>
    </w:p>
    <w:p w14:paraId="5CC0C850" w14:textId="71968C41" w:rsidR="00ED20A7" w:rsidRDefault="000100A9" w:rsidP="000100A9">
      <w:pPr>
        <w:pStyle w:val="H1G"/>
        <w:rPr>
          <w:i/>
        </w:rPr>
      </w:pPr>
      <w:bookmarkStart w:id="131" w:name="_Toc210646371"/>
      <w:r>
        <w:tab/>
      </w:r>
      <w:r w:rsidR="00423320" w:rsidRPr="000100A9">
        <w:t>G.</w:t>
      </w:r>
      <w:r w:rsidR="00423320" w:rsidRPr="000100A9">
        <w:tab/>
      </w:r>
      <w:r w:rsidR="0093676D" w:rsidRPr="00CB4F2E">
        <w:t>Les activités de sensibilisation</w:t>
      </w:r>
      <w:bookmarkStart w:id="132" w:name="_Toc462928639"/>
      <w:bookmarkStart w:id="133" w:name="_Toc466705785"/>
      <w:bookmarkEnd w:id="131"/>
      <w:r w:rsidR="0093676D" w:rsidRPr="00CB4F2E">
        <w:t xml:space="preserve"> </w:t>
      </w:r>
    </w:p>
    <w:p w14:paraId="688144A4" w14:textId="49174205" w:rsidR="00ED20A7" w:rsidRDefault="0093676D" w:rsidP="005F1D8A">
      <w:pPr>
        <w:pStyle w:val="SingleTxtG"/>
        <w:numPr>
          <w:ilvl w:val="0"/>
          <w:numId w:val="6"/>
        </w:numPr>
        <w:ind w:left="1134" w:firstLine="0"/>
      </w:pPr>
      <w:r w:rsidRPr="00CB4F2E">
        <w:t xml:space="preserve">Les initiatives de sensibilisation, y compris par la voie des </w:t>
      </w:r>
      <w:proofErr w:type="spellStart"/>
      <w:r w:rsidRPr="00CB4F2E">
        <w:t>médias</w:t>
      </w:r>
      <w:proofErr w:type="spellEnd"/>
      <w:r w:rsidRPr="00CB4F2E">
        <w:t>, visent aussi bien les agents publics que le grand public. S’agissant des agents publics,</w:t>
      </w:r>
      <w:r w:rsidR="0027203C">
        <w:rPr>
          <w:b/>
          <w:bCs/>
        </w:rPr>
        <w:t xml:space="preserve"> </w:t>
      </w:r>
      <w:r w:rsidRPr="00CB4F2E">
        <w:t>les</w:t>
      </w:r>
      <w:r w:rsidRPr="00CB4F2E">
        <w:rPr>
          <w:b/>
          <w:bCs/>
        </w:rPr>
        <w:t xml:space="preserve"> </w:t>
      </w:r>
      <w:r w:rsidRPr="00CB4F2E">
        <w:t>initiatives visent à : renforcer les connaissances des personnels de l’</w:t>
      </w:r>
      <w:proofErr w:type="spellStart"/>
      <w:r w:rsidRPr="00CB4F2E">
        <w:t>Etat</w:t>
      </w:r>
      <w:proofErr w:type="spellEnd"/>
      <w:r w:rsidRPr="00CB4F2E">
        <w:t> en matière de Droits de l’Homme, mettre en conformité les actions avec les normes en matière de Droits de l’Homme, identifier les défis et obstacles de la mise en œuvre effective des normes internationales, acquérir des connaissances et des compétences nécessaires pour mener à bien des investigations sur des cas présumés de violation et promouvoir les mesures et initiatives de prévention des violations des Droits de l’Homme.</w:t>
      </w:r>
    </w:p>
    <w:p w14:paraId="1FA692B3" w14:textId="77777777" w:rsidR="00ED20A7" w:rsidRDefault="0093676D" w:rsidP="005F1D8A">
      <w:pPr>
        <w:pStyle w:val="SingleTxtG"/>
        <w:numPr>
          <w:ilvl w:val="0"/>
          <w:numId w:val="6"/>
        </w:numPr>
        <w:ind w:left="1134" w:firstLine="0"/>
        <w:rPr>
          <w:b/>
          <w:bCs/>
        </w:rPr>
      </w:pPr>
      <w:r w:rsidRPr="00CB4F2E">
        <w:t>Dans cette veine, des</w:t>
      </w:r>
      <w:r w:rsidRPr="00CB4F2E">
        <w:rPr>
          <w:b/>
          <w:bCs/>
        </w:rPr>
        <w:t xml:space="preserve"> </w:t>
      </w:r>
      <w:r w:rsidRPr="00CB4F2E">
        <w:t>responsables des services publics et les chefs d’unités de police judiciaire, qui ont la charge de l’encadrement quotidien des personnels placés sous leur autorité, tiennent avec ceux-ci, de manière régulière, des causeries éducatives sur les principes fondamentaux de l’éthique et de la déontologie du service public, qui prescrivent, entre autres, le respect et la protection des Droits de l’Homme, le respect de la liberté, de la sécurité et de la vie privée des personnes, l’interdiction des discriminations et des tracasserie. Un accent particulier est mis sur la vulgarisation des instruments juridiques relatifs à la prévention de la torture.</w:t>
      </w:r>
    </w:p>
    <w:p w14:paraId="1FD4495D" w14:textId="77777777" w:rsidR="00ED20A7" w:rsidRDefault="0093676D" w:rsidP="005F1D8A">
      <w:pPr>
        <w:pStyle w:val="SingleTxtG"/>
        <w:numPr>
          <w:ilvl w:val="0"/>
          <w:numId w:val="6"/>
        </w:numPr>
        <w:ind w:left="1134" w:firstLine="0"/>
      </w:pPr>
      <w:r w:rsidRPr="00CB4F2E">
        <w:t>En direction du grand public, par le biais des rapports, des magazines, de publications sur leur sites Internet et leurs pages sur les réseaux sociaux, des articles de presse, des émissions radiodiffusées ou télévisées, des plaquettes, ainsi que des dépliants et flyers et autres supports, les Administrations et autres entités publiques, y compris la CDHC, sensibilisent en français et en anglais sur des questions liées aux Droits de l’Homme. Ces émissions sont parfois relayées en langues locales par le biais des radios communautaires et des tranches d’antennes régionales.</w:t>
      </w:r>
    </w:p>
    <w:p w14:paraId="6B667A30" w14:textId="77777777" w:rsidR="00ED20A7" w:rsidRDefault="0093676D" w:rsidP="005F1D8A">
      <w:pPr>
        <w:pStyle w:val="SingleTxtG"/>
        <w:numPr>
          <w:ilvl w:val="0"/>
          <w:numId w:val="6"/>
        </w:numPr>
        <w:ind w:left="1134" w:firstLine="0"/>
      </w:pPr>
      <w:r w:rsidRPr="00CB4F2E">
        <w:t xml:space="preserve">Dans ce sillage, le MINJUSTICE produit chaque année depuis 2005, un Rapport sur l’état des Droits de l’Homme au Cameroun, ainsi que plusieurs numéros du magazine </w:t>
      </w:r>
      <w:r w:rsidRPr="00CB4F2E">
        <w:rPr>
          <w:i/>
        </w:rPr>
        <w:t xml:space="preserve">Justicia, </w:t>
      </w:r>
      <w:r w:rsidRPr="00CB4F2E">
        <w:t xml:space="preserve">un magazine d’informations générales qui abordent fréquemment des sujets relatifs aux Droits de l’Homme, à l’instar des aspects législatifs et institutionnels, des conditions de détention, des divers aspects du procès équitable, etc. En 2024, 3 numéros magazine </w:t>
      </w:r>
      <w:r w:rsidRPr="00CB4F2E">
        <w:rPr>
          <w:i/>
        </w:rPr>
        <w:t>Justicia</w:t>
      </w:r>
      <w:r w:rsidRPr="00CB4F2E">
        <w:t xml:space="preserve"> ont été produits en 4 500 exemplaires. </w:t>
      </w:r>
    </w:p>
    <w:p w14:paraId="1AD4B076" w14:textId="6EDE90D0" w:rsidR="0093676D" w:rsidRPr="00CB4F2E" w:rsidRDefault="0093676D" w:rsidP="005F1D8A">
      <w:pPr>
        <w:pStyle w:val="SingleTxtG"/>
        <w:numPr>
          <w:ilvl w:val="0"/>
          <w:numId w:val="6"/>
        </w:numPr>
        <w:ind w:left="1134" w:firstLine="0"/>
      </w:pPr>
      <w:r w:rsidRPr="00CB4F2E">
        <w:t xml:space="preserve">Pareillement, sur les ondes de la </w:t>
      </w:r>
      <w:proofErr w:type="spellStart"/>
      <w:r w:rsidRPr="00CB4F2E">
        <w:rPr>
          <w:i/>
        </w:rPr>
        <w:t>Cameroon</w:t>
      </w:r>
      <w:proofErr w:type="spellEnd"/>
      <w:r w:rsidRPr="00CB4F2E">
        <w:rPr>
          <w:i/>
        </w:rPr>
        <w:t xml:space="preserve"> Radio </w:t>
      </w:r>
      <w:proofErr w:type="spellStart"/>
      <w:r w:rsidRPr="00CB4F2E">
        <w:rPr>
          <w:i/>
        </w:rPr>
        <w:t>Television</w:t>
      </w:r>
      <w:proofErr w:type="spellEnd"/>
      <w:r w:rsidRPr="00CB4F2E">
        <w:t xml:space="preserve"> (CRTV sont diffusées à l’échelle nationale les émissions « </w:t>
      </w:r>
      <w:r w:rsidRPr="00CB4F2E">
        <w:rPr>
          <w:i/>
        </w:rPr>
        <w:t>Au service de tous et de chacun », «</w:t>
      </w:r>
      <w:r w:rsidRPr="00CB4F2E">
        <w:t xml:space="preserve"> Canal Police » de la DGSN et « Honneur et fidélité » du MINDEF, qui édifient les citoyens sur les missions et l’action quotidienne des FDS, les devoirs et les obligations des militaires et des fonctionnaires de police, ainsi que sur les droits, les devoirs et les obligations des citoyens. </w:t>
      </w:r>
    </w:p>
    <w:p w14:paraId="6C825710" w14:textId="77777777" w:rsidR="0093676D" w:rsidRPr="00CB4F2E" w:rsidRDefault="0093676D" w:rsidP="005F1D8A">
      <w:pPr>
        <w:pStyle w:val="SingleTxtG"/>
        <w:numPr>
          <w:ilvl w:val="0"/>
          <w:numId w:val="6"/>
        </w:numPr>
        <w:ind w:left="1134" w:firstLine="0"/>
      </w:pPr>
      <w:r w:rsidRPr="00CB4F2E">
        <w:lastRenderedPageBreak/>
        <w:t xml:space="preserve">De même, concernant les droits des femmes, des émissions comme « Femmes-Famille Magazine » (semestriel), ainsi que « Entre-Nous Mesdames », « Et si on en parlait », « </w:t>
      </w:r>
      <w:r w:rsidRPr="00CB4F2E">
        <w:rPr>
          <w:i/>
        </w:rPr>
        <w:t>Gender Issues</w:t>
      </w:r>
      <w:r w:rsidRPr="00CB4F2E">
        <w:t xml:space="preserve"> », « </w:t>
      </w:r>
      <w:r w:rsidRPr="00CB4F2E">
        <w:rPr>
          <w:i/>
        </w:rPr>
        <w:t>Women on Move</w:t>
      </w:r>
      <w:r w:rsidRPr="00CB4F2E">
        <w:t xml:space="preserve"> » sont diffusées sur la CRTV.</w:t>
      </w:r>
    </w:p>
    <w:p w14:paraId="5F52E37E" w14:textId="77777777" w:rsidR="0093676D" w:rsidRPr="00CB4F2E" w:rsidRDefault="0093676D" w:rsidP="005F1D8A">
      <w:pPr>
        <w:pStyle w:val="SingleTxtG"/>
        <w:numPr>
          <w:ilvl w:val="0"/>
          <w:numId w:val="6"/>
        </w:numPr>
        <w:ind w:left="1134" w:firstLine="0"/>
      </w:pPr>
      <w:r w:rsidRPr="00CB4F2E">
        <w:t>Lors des différentes journées commémoratives, le MINPROFF dissémine des dépliants des instruments tels que le Protocole de Maputo et la CEDEF. L’on peut en plus signaler l’organisation des cliniques juridiques par le MINPROFF sur les droits fondamentaux des femmes.</w:t>
      </w:r>
    </w:p>
    <w:p w14:paraId="09EE3B28" w14:textId="3FA9F2A3" w:rsidR="0093676D" w:rsidRPr="00CB4F2E" w:rsidRDefault="0093676D" w:rsidP="005F1D8A">
      <w:pPr>
        <w:pStyle w:val="SingleTxtG"/>
        <w:numPr>
          <w:ilvl w:val="0"/>
          <w:numId w:val="6"/>
        </w:numPr>
        <w:ind w:left="1134" w:firstLine="0"/>
      </w:pPr>
      <w:r w:rsidRPr="00CB4F2E">
        <w:t>Quant à elle, outre 60 000 exemplaires « </w:t>
      </w:r>
      <w:r w:rsidRPr="00CB4F2E">
        <w:rPr>
          <w:i/>
          <w:iCs/>
        </w:rPr>
        <w:t>CONAC Newsletter</w:t>
      </w:r>
      <w:r w:rsidRPr="00CB4F2E">
        <w:t> », la CONAC (</w:t>
      </w:r>
      <w:hyperlink r:id="rId55" w:history="1">
        <w:r w:rsidRPr="00CB4F2E">
          <w:rPr>
            <w:rStyle w:val="Hyperlink"/>
          </w:rPr>
          <w:t>https://conac.cm/</w:t>
        </w:r>
      </w:hyperlink>
      <w:r w:rsidRPr="00CB4F2E">
        <w:t>) produit annuellement environ 20 éditions d’«</w:t>
      </w:r>
      <w:r w:rsidRPr="00CB4F2E">
        <w:rPr>
          <w:i/>
          <w:iCs/>
        </w:rPr>
        <w:t>Espace CONAC</w:t>
      </w:r>
      <w:r w:rsidR="0027203C">
        <w:rPr>
          <w:i/>
          <w:iCs/>
        </w:rPr>
        <w:t xml:space="preserve"> </w:t>
      </w:r>
      <w:r w:rsidRPr="00CB4F2E">
        <w:rPr>
          <w:i/>
          <w:iCs/>
        </w:rPr>
        <w:t>Magazine Télé</w:t>
      </w:r>
      <w:r w:rsidRPr="00CB4F2E">
        <w:t> » de 13 minutes diffusées à la CRTV ainsi que 20 éditions d' « </w:t>
      </w:r>
      <w:r w:rsidRPr="00CB4F2E">
        <w:rPr>
          <w:i/>
          <w:iCs/>
        </w:rPr>
        <w:t>Espace CONAC Magazine Radio</w:t>
      </w:r>
      <w:r w:rsidRPr="00CB4F2E">
        <w:t> » de 13 minutes et 8 éditions d' « </w:t>
      </w:r>
      <w:r w:rsidRPr="00CB4F2E">
        <w:rPr>
          <w:i/>
          <w:iCs/>
        </w:rPr>
        <w:t>Espace CONAC Magazine Alerte</w:t>
      </w:r>
      <w:r w:rsidRPr="00CB4F2E">
        <w:t xml:space="preserve"> », diffusées au Poste National de la CRTV. </w:t>
      </w:r>
    </w:p>
    <w:p w14:paraId="457ECC1B" w14:textId="77777777" w:rsidR="00ED20A7" w:rsidRDefault="0093676D" w:rsidP="005F1D8A">
      <w:pPr>
        <w:pStyle w:val="SingleTxtG"/>
        <w:numPr>
          <w:ilvl w:val="0"/>
          <w:numId w:val="6"/>
        </w:numPr>
        <w:ind w:left="1134" w:firstLine="0"/>
      </w:pPr>
      <w:r w:rsidRPr="00CB4F2E">
        <w:t>En sus des notices, des rapports thématiques et des rapports annuels sur l’état des Droits de l’Homme au Cameroun, la CDHC fait des déclarations assorties de recommandations à l’occasion des célébrations des journées régionales et internationales des Droits de l’Homme. C’est le cas, entre autres, d’une centaine de déclarations</w:t>
      </w:r>
      <w:r w:rsidRPr="00CB4F2E">
        <w:rPr>
          <w:rStyle w:val="FootnoteReference"/>
        </w:rPr>
        <w:footnoteReference w:id="59"/>
      </w:r>
      <w:r w:rsidRPr="00CB4F2E">
        <w:t xml:space="preserve"> de janvier 2021 à septembre 2025, de la Notice sur la mise en œuvre de son mandat en tant que mécanisme national de prévention de la torture (MNPT) du Rapport relatif à l’indemnisation des victimes de détentions provisoires et des gardes à vue abusives, du Rapport sur le suivi de la situation des Camerounais en situation d’immigration irrégulière en Guinée équatoriale et du Diagnostique statistique sur la situation de la détention provisoire au Cameroun. </w:t>
      </w:r>
      <w:bookmarkStart w:id="134" w:name="_Toc462928640"/>
      <w:bookmarkStart w:id="135" w:name="_Toc466705786"/>
      <w:bookmarkEnd w:id="132"/>
      <w:bookmarkEnd w:id="133"/>
      <w:r w:rsidRPr="00CB4F2E">
        <w:t>Au niveau de ses antennes régionales, la CDHC produit des émissions radiophoniques, au rang desquelles « </w:t>
      </w:r>
      <w:r w:rsidRPr="00CB4F2E">
        <w:rPr>
          <w:i/>
          <w:iCs/>
        </w:rPr>
        <w:t>Espace Droits de l’Homme</w:t>
      </w:r>
      <w:r w:rsidRPr="00CB4F2E">
        <w:t> » sur la Radio Espoir dans la Région du Sud (2 fois par semaine) et « </w:t>
      </w:r>
      <w:r w:rsidRPr="00CB4F2E">
        <w:rPr>
          <w:i/>
          <w:iCs/>
        </w:rPr>
        <w:t>Regards sur les Droits de l’Homme</w:t>
      </w:r>
      <w:r w:rsidRPr="00CB4F2E">
        <w:t xml:space="preserve"> » sur la CRTV Radio la Région d’Extrême Nord (2 fois par semaine). </w:t>
      </w:r>
    </w:p>
    <w:p w14:paraId="74FD1AD8" w14:textId="00B0099C" w:rsidR="00ED20A7" w:rsidRDefault="0093676D" w:rsidP="005F1D8A">
      <w:pPr>
        <w:pStyle w:val="SingleTxtG"/>
        <w:numPr>
          <w:ilvl w:val="0"/>
          <w:numId w:val="6"/>
        </w:numPr>
        <w:ind w:left="1134" w:firstLine="0"/>
        <w:rPr>
          <w:lang w:val="fr-FR"/>
        </w:rPr>
      </w:pPr>
      <w:r w:rsidRPr="00CB4F2E">
        <w:t>L’enseignement des Droits de l’Homme est effectif dans les cycles primaires, secondaires et universitaires, même si les difficultés se posent en termes d’acquisition des manuels y relatifs.</w:t>
      </w:r>
      <w:r w:rsidRPr="00CB4F2E">
        <w:rPr>
          <w:lang w:val="fr-FR"/>
        </w:rPr>
        <w:t xml:space="preserve"> </w:t>
      </w:r>
      <w:r w:rsidRPr="00CB4F2E">
        <w:t>La CNDHL avait soutenu en son temps le Programme national d’éducation aux Droits de l’Homme dans les cycles d’enseignement primaire et secondaire en mettant 667 cahiers et guides pédagogiques à la disposition du MINEDUB et en appuyant l’organisation des ateliers de formation des inspecteurs pédagogiques régionaux des ministères chargés de l’éducation sur l’utilisation desdits outils. La CDHC a poursuivi ce programme, en revisitant avec les inspecteurs pédagogiques le contenu des manuels didactiques. Cette révision</w:t>
      </w:r>
      <w:r w:rsidR="0027203C">
        <w:t xml:space="preserve"> </w:t>
      </w:r>
      <w:r w:rsidRPr="00CB4F2E">
        <w:t>faisait suite à une évaluation de la mise en œuvre des ODD 4.7 au Cameroun. De plus, 2 Guides d’éducation à la prévention de l’exploitation sexuelle des enfants ont été produits et diffusés auprès des enfants, des parents et personnels en charge des enfants, en vue d’améliorer leurs aptitudes à protéger les enfants contre la violence.</w:t>
      </w:r>
    </w:p>
    <w:p w14:paraId="7D51A76D" w14:textId="493AEF5A" w:rsidR="0093676D" w:rsidRPr="00CB4F2E" w:rsidRDefault="0093676D" w:rsidP="005F1D8A">
      <w:pPr>
        <w:pStyle w:val="SingleTxtG"/>
        <w:numPr>
          <w:ilvl w:val="0"/>
          <w:numId w:val="6"/>
        </w:numPr>
        <w:ind w:left="1134" w:firstLine="0"/>
        <w:rPr>
          <w:b/>
        </w:rPr>
      </w:pPr>
      <w:r w:rsidRPr="00CB4F2E">
        <w:t xml:space="preserve">Il convient de relever, de manière générale, que l’enseignement des Droits de l’Homme dans les établissements scolaires et universitaires ainsi que dans les écoles de formation professionnelle fait partie des objectifs inscrits dans la SND30. </w:t>
      </w:r>
      <w:bookmarkStart w:id="136" w:name="_Toc462928641"/>
      <w:bookmarkStart w:id="137" w:name="_Toc466705787"/>
      <w:bookmarkEnd w:id="134"/>
      <w:bookmarkEnd w:id="135"/>
    </w:p>
    <w:p w14:paraId="5BD6F716" w14:textId="13A71E50" w:rsidR="00ED20A7" w:rsidRDefault="00423320" w:rsidP="00423320">
      <w:pPr>
        <w:pStyle w:val="H1G"/>
        <w:rPr>
          <w:i/>
        </w:rPr>
      </w:pPr>
      <w:bookmarkStart w:id="138" w:name="_Toc210646372"/>
      <w:r>
        <w:tab/>
      </w:r>
      <w:r w:rsidRPr="00423320">
        <w:t>H.</w:t>
      </w:r>
      <w:r w:rsidRPr="00423320">
        <w:tab/>
      </w:r>
      <w:r w:rsidR="0093676D" w:rsidRPr="00423320">
        <w:t>Le</w:t>
      </w:r>
      <w:r w:rsidR="0093676D" w:rsidRPr="00CB4F2E">
        <w:t xml:space="preserve"> rôle de la société civile et les mesures prises par le Gouvernement pour encourager la société civile à promouvoir et de protéger les Droits de l’Homme</w:t>
      </w:r>
      <w:bookmarkStart w:id="139" w:name="_Toc462928642"/>
      <w:bookmarkStart w:id="140" w:name="_Toc466705788"/>
      <w:bookmarkEnd w:id="136"/>
      <w:bookmarkEnd w:id="137"/>
      <w:bookmarkEnd w:id="138"/>
    </w:p>
    <w:p w14:paraId="57899F83" w14:textId="77777777" w:rsidR="00ED20A7" w:rsidRDefault="0093676D" w:rsidP="005F1D8A">
      <w:pPr>
        <w:pStyle w:val="SingleTxtG"/>
        <w:numPr>
          <w:ilvl w:val="0"/>
          <w:numId w:val="6"/>
        </w:numPr>
        <w:ind w:left="1134" w:firstLine="0"/>
      </w:pPr>
      <w:r w:rsidRPr="00CB4F2E">
        <w:t xml:space="preserve">Les OSC ont une mission d’intérêt général dans la promotion et la défense des Droits de l’Homme, ainsi que dans le suivi des recommandations des mécanismes nationaux, régionaux et internationaux de mise en œuvre des Droits de l’Homme. </w:t>
      </w:r>
      <w:r w:rsidRPr="00CB4F2E">
        <w:rPr>
          <w:lang w:val="fr-MC"/>
        </w:rPr>
        <w:t>S’agissant de la promotion des Droits de l’Homme, elles mènent des actions de formation et de sensibilisation des populations et des groupes cibles, ainsi que des actions de plaidoyer auprès des autorités gouvernementales.</w:t>
      </w:r>
    </w:p>
    <w:p w14:paraId="0B32BA1D" w14:textId="77777777" w:rsidR="00ED20A7" w:rsidRDefault="0093676D" w:rsidP="005F1D8A">
      <w:pPr>
        <w:pStyle w:val="SingleTxtG"/>
        <w:numPr>
          <w:ilvl w:val="0"/>
          <w:numId w:val="6"/>
        </w:numPr>
        <w:ind w:left="1134" w:firstLine="0"/>
        <w:rPr>
          <w:lang w:val="fr-MC"/>
        </w:rPr>
      </w:pPr>
      <w:r w:rsidRPr="00CB4F2E">
        <w:rPr>
          <w:lang w:val="fr-MC"/>
        </w:rPr>
        <w:t xml:space="preserve">En ce qui concerne la défense des Droits de l’Homme, les OSC dénoncent auprès des autorités compétentes les cas de violations des Droits de l’Homme dont elles ont </w:t>
      </w:r>
      <w:r w:rsidRPr="00CB4F2E">
        <w:rPr>
          <w:lang w:val="fr-MC"/>
        </w:rPr>
        <w:lastRenderedPageBreak/>
        <w:t>connaissance et concourent à la collecte des informations y relatives. Elles peuvent également apporter une assistance juridique aux victimes.</w:t>
      </w:r>
    </w:p>
    <w:p w14:paraId="538CBADA" w14:textId="08EDE4E6" w:rsidR="00ED20A7" w:rsidRDefault="0093676D" w:rsidP="005F1D8A">
      <w:pPr>
        <w:pStyle w:val="SingleTxtG"/>
        <w:numPr>
          <w:ilvl w:val="0"/>
          <w:numId w:val="6"/>
        </w:numPr>
        <w:ind w:left="1134" w:firstLine="0"/>
        <w:rPr>
          <w:lang w:val="fr-MC"/>
        </w:rPr>
      </w:pPr>
      <w:r w:rsidRPr="00CB4F2E">
        <w:rPr>
          <w:lang w:val="fr-MC"/>
        </w:rPr>
        <w:t>Relativement à la mise en œuvre</w:t>
      </w:r>
      <w:r w:rsidR="0027203C">
        <w:rPr>
          <w:lang w:val="fr-MC"/>
        </w:rPr>
        <w:t xml:space="preserve"> </w:t>
      </w:r>
      <w:r w:rsidRPr="00CB4F2E">
        <w:rPr>
          <w:lang w:val="fr-MC"/>
        </w:rPr>
        <w:t xml:space="preserve">des recommandations des mécanismes nationaux, régionaux et internationaux des Droits de l’Homme, les OSC participent aux actions tendant à : </w:t>
      </w:r>
      <w:r w:rsidRPr="00CB4F2E">
        <w:t>la vulgarisation des recommandations dès leur publication par un mécanisme précis (Comité des Droits de l’Homme, CDESC, CERD, etc.)</w:t>
      </w:r>
      <w:r w:rsidR="0027203C">
        <w:t>;</w:t>
      </w:r>
      <w:r w:rsidRPr="00CB4F2E">
        <w:t xml:space="preserve"> le suivi de leur mise en œuvre et l’élaboration des rapports alternatifs</w:t>
      </w:r>
      <w:r w:rsidR="0027203C">
        <w:t>;</w:t>
      </w:r>
      <w:r w:rsidRPr="00CB4F2E">
        <w:t xml:space="preserve"> la collaboration avec le Gouvernement, la CDHC, les Procédures Spéciales, les Organes de Traités lors de la collecte des données relatives aux Droits de l’Homme et la validation des Rapports annuels de l’</w:t>
      </w:r>
      <w:proofErr w:type="spellStart"/>
      <w:r w:rsidRPr="00CB4F2E">
        <w:t>Etat</w:t>
      </w:r>
      <w:proofErr w:type="spellEnd"/>
      <w:r w:rsidRPr="00CB4F2E">
        <w:t xml:space="preserve"> sur la situation des Droits de l’Homme ou des rapports à soumettre à tout mécanisme de suivi des Droits de l’Homme, y compris dans le cadre de l’Examen Périodique Universel (EPU).</w:t>
      </w:r>
    </w:p>
    <w:p w14:paraId="1D56B4F8" w14:textId="77777777" w:rsidR="00ED20A7" w:rsidRDefault="0093676D" w:rsidP="005F1D8A">
      <w:pPr>
        <w:pStyle w:val="SingleTxtG"/>
        <w:numPr>
          <w:ilvl w:val="0"/>
          <w:numId w:val="6"/>
        </w:numPr>
        <w:ind w:left="1134" w:firstLine="0"/>
      </w:pPr>
      <w:r w:rsidRPr="00CB4F2E">
        <w:t>C’est conscient de ce rôle important des OSC que l’</w:t>
      </w:r>
      <w:proofErr w:type="spellStart"/>
      <w:r w:rsidRPr="00CB4F2E">
        <w:t>Etat</w:t>
      </w:r>
      <w:proofErr w:type="spellEnd"/>
      <w:r w:rsidRPr="00CB4F2E">
        <w:t xml:space="preserve"> a mis en place un régime souple de création des associations et accorde des exonérations fiscales et douanières aux ONG. Ainsi, aux termes de l’article 18 de la Loi n°99/014 du 22 décembre 1999 régissant les Organisations Non Gouvernementales, «</w:t>
      </w:r>
      <w:r w:rsidRPr="00CB4F2E">
        <w:rPr>
          <w:i/>
        </w:rPr>
        <w:t xml:space="preserve"> les ONG dûment agréées bénéficient d’exonérations fiscales et de droits d’enregistrement, conforment au Code général des impôts et au Code de l’enregistrement. Elles sont également exonérées de la taxe sur la valeur ajoutée, conformément à la législation en vigueur</w:t>
      </w:r>
      <w:r w:rsidRPr="00CB4F2E">
        <w:t xml:space="preserve"> ».</w:t>
      </w:r>
    </w:p>
    <w:p w14:paraId="4BFD948D" w14:textId="77777777" w:rsidR="00ED20A7" w:rsidRDefault="0093676D" w:rsidP="005F1D8A">
      <w:pPr>
        <w:pStyle w:val="SingleTxtG"/>
        <w:numPr>
          <w:ilvl w:val="0"/>
          <w:numId w:val="6"/>
        </w:numPr>
        <w:ind w:left="1134" w:firstLine="0"/>
      </w:pPr>
      <w:r w:rsidRPr="00CB4F2E">
        <w:t>De plus, les OSC actives dans le domaine des Droits de l’Homme bénéficient d’un encadrement de la CDHC. Des formations leur sont fournies en vue de renforcer leurs capacités en la matière. C’est ainsi que des ateliers de formation à la connaissance des instruments internationaux et régionaux des Droits de l’Homme, à la soumission des rapports aux organes de traités, au suivi des recommandations des Procédures spéciales et à l’EPU, sont régulièrement organisés à leur intention</w:t>
      </w:r>
      <w:r w:rsidRPr="00CB4F2E">
        <w:rPr>
          <w:rStyle w:val="FootnoteReference"/>
        </w:rPr>
        <w:footnoteReference w:id="60"/>
      </w:r>
      <w:r w:rsidRPr="00CB4F2E">
        <w:t>.</w:t>
      </w:r>
    </w:p>
    <w:p w14:paraId="578ACD8F" w14:textId="515BDB6C" w:rsidR="0093676D" w:rsidRPr="00CB4F2E" w:rsidRDefault="0093676D" w:rsidP="005F1D8A">
      <w:pPr>
        <w:pStyle w:val="SingleTxtG"/>
        <w:numPr>
          <w:ilvl w:val="0"/>
          <w:numId w:val="6"/>
        </w:numPr>
        <w:ind w:left="1134" w:firstLine="0"/>
      </w:pPr>
      <w:r w:rsidRPr="00CB4F2E">
        <w:t xml:space="preserve">Par ailleurs, dans le but de faire participer la société civile aux affaires publiques, le Gouvernement s’est engagé dans la structuration du dialogue avec celle-ci à travers la mise en place d’une </w:t>
      </w:r>
      <w:proofErr w:type="spellStart"/>
      <w:r w:rsidRPr="00CB4F2E">
        <w:t>plateforme</w:t>
      </w:r>
      <w:proofErr w:type="spellEnd"/>
      <w:r w:rsidRPr="00CB4F2E">
        <w:t xml:space="preserve"> de concertation. Ainsi, en septembre 2015, sous la houlette du MINJUSTICE, une rencontre a regroupé les acteurs étatiques et des OSC pour échanger sur les questions des Droits de l’Homme et baliser le cadre des échanges structurés entre les 2 parties prenantes.</w:t>
      </w:r>
      <w:r w:rsidRPr="00CB4F2E">
        <w:rPr>
          <w:lang w:val="fr-FR"/>
        </w:rPr>
        <w:t xml:space="preserve"> En outre, la CDHC compte désormais plusieurs centaines</w:t>
      </w:r>
      <w:r w:rsidRPr="00CB4F2E">
        <w:rPr>
          <w:b/>
          <w:bCs/>
          <w:lang w:val="fr-FR"/>
        </w:rPr>
        <w:t xml:space="preserve"> </w:t>
      </w:r>
      <w:r w:rsidRPr="00CB4F2E">
        <w:rPr>
          <w:bCs/>
          <w:lang w:val="fr-FR"/>
        </w:rPr>
        <w:t>d</w:t>
      </w:r>
      <w:r w:rsidRPr="00CB4F2E">
        <w:rPr>
          <w:b/>
          <w:bCs/>
          <w:lang w:val="fr-FR"/>
        </w:rPr>
        <w:t>’</w:t>
      </w:r>
      <w:r w:rsidRPr="00CB4F2E">
        <w:rPr>
          <w:lang w:val="fr-FR"/>
        </w:rPr>
        <w:t xml:space="preserve">Organisations de la société civile (OSC) affiliées et 261 OSC membres de l’Observatoire des libertés publiques au Cameroun (OLPC), un réseau structuré d’observateurs des Droits de l’Homme mis en place dans le cadre du </w:t>
      </w:r>
      <w:r w:rsidRPr="00CB4F2E">
        <w:rPr>
          <w:bCs/>
          <w:i/>
          <w:iCs/>
        </w:rPr>
        <w:t>Projet d'amélioration des conditions d'exercice des libertés publiques au Cameroun</w:t>
      </w:r>
      <w:r w:rsidRPr="00CB4F2E">
        <w:rPr>
          <w:lang w:val="fr-FR"/>
        </w:rPr>
        <w:t xml:space="preserve"> (PACEL). Cet Observatoire est doté de coordination régionale. Pour illustrer son dynamisme, en décembre 2024, il a, avec l’appui du CNDHD-AC, </w:t>
      </w:r>
      <w:r w:rsidRPr="00CB4F2E">
        <w:t>élaboré sa feuille de route pour le suivi des recommandations faites au Cameroun à l’issue de son passage au 4</w:t>
      </w:r>
      <w:r w:rsidRPr="00CB4F2E">
        <w:rPr>
          <w:vertAlign w:val="superscript"/>
        </w:rPr>
        <w:t>ème</w:t>
      </w:r>
      <w:r w:rsidRPr="00CB4F2E">
        <w:t xml:space="preserve"> cycle de l’Examen Périodique Universel.</w:t>
      </w:r>
    </w:p>
    <w:p w14:paraId="30360AD8" w14:textId="182A7AA8" w:rsidR="00ED20A7" w:rsidRPr="00423320" w:rsidRDefault="00423320" w:rsidP="00423320">
      <w:pPr>
        <w:pStyle w:val="H1G"/>
      </w:pPr>
      <w:bookmarkStart w:id="141" w:name="_Toc210646373"/>
      <w:r w:rsidRPr="00423320">
        <w:tab/>
        <w:t>I.</w:t>
      </w:r>
      <w:r w:rsidRPr="00423320">
        <w:tab/>
      </w:r>
      <w:r w:rsidR="0093676D" w:rsidRPr="00423320">
        <w:t>L’affectation de crédits budgétaires consacrés expressément à la mise en œuvre des obligations souscrites dans le domaine des Droits de l’Homme</w:t>
      </w:r>
      <w:bookmarkEnd w:id="139"/>
      <w:bookmarkEnd w:id="140"/>
      <w:bookmarkEnd w:id="141"/>
    </w:p>
    <w:p w14:paraId="5BD44959" w14:textId="77777777" w:rsidR="00ED20A7" w:rsidRDefault="0093676D" w:rsidP="005F1D8A">
      <w:pPr>
        <w:pStyle w:val="SingleTxtG"/>
        <w:numPr>
          <w:ilvl w:val="0"/>
          <w:numId w:val="6"/>
        </w:numPr>
        <w:ind w:left="1134" w:firstLine="0"/>
      </w:pPr>
      <w:r w:rsidRPr="00CB4F2E">
        <w:t>En raison du caractère transversal des Droits de l’Homme, le suivi des questions y relatives ressortit de la compétence de plusieurs administrations et institutions, qui reçoivent chacune des allocations budgétaires et contribuent dans leurs secteurs d’activités respectifs, à la mise en œuvre des obligations internationales de l’</w:t>
      </w:r>
      <w:proofErr w:type="spellStart"/>
      <w:r w:rsidRPr="00CB4F2E">
        <w:t>Etat</w:t>
      </w:r>
      <w:proofErr w:type="spellEnd"/>
      <w:r w:rsidRPr="00CB4F2E">
        <w:t xml:space="preserve"> en matière de Droits de l’Homme</w:t>
      </w:r>
      <w:r w:rsidRPr="00CB4F2E">
        <w:rPr>
          <w:rStyle w:val="FootnoteReference"/>
        </w:rPr>
        <w:footnoteReference w:id="61"/>
      </w:r>
      <w:r w:rsidRPr="00CB4F2E">
        <w:t>.</w:t>
      </w:r>
    </w:p>
    <w:p w14:paraId="2F2BC032" w14:textId="77777777" w:rsidR="00ED20A7" w:rsidRDefault="0093676D" w:rsidP="005F1D8A">
      <w:pPr>
        <w:pStyle w:val="SingleTxtG"/>
        <w:numPr>
          <w:ilvl w:val="0"/>
          <w:numId w:val="6"/>
        </w:numPr>
        <w:ind w:left="1134" w:firstLine="0"/>
      </w:pPr>
      <w:r w:rsidRPr="00980BBC">
        <w:rPr>
          <w:bCs/>
        </w:rPr>
        <w:lastRenderedPageBreak/>
        <w:t>De</w:t>
      </w:r>
      <w:r w:rsidRPr="00CB4F2E">
        <w:t xml:space="preserve"> même, beaucoup de partenaires bilatéraux et multilatéraux assistent et appuient le Gouvernement dans la mise en œuvre d’actions en faveur des Droits de l’Homme. </w:t>
      </w:r>
      <w:proofErr w:type="spellStart"/>
      <w:r w:rsidRPr="00CB4F2E">
        <w:t>A</w:t>
      </w:r>
      <w:proofErr w:type="spellEnd"/>
      <w:r w:rsidRPr="00CB4F2E">
        <w:t xml:space="preserve"> cet effet, les droits de la femme, des enfants et des autres couches socialement vulnérables, la mise en œuvre des recommandations issues de l’EPU et l’amélioration des conditions carcérales, sont les principaux domaines sur lesquels se concentre l’assistance internationale.</w:t>
      </w:r>
    </w:p>
    <w:p w14:paraId="6471867C" w14:textId="32F9AB42" w:rsidR="0093676D" w:rsidRPr="00CB4F2E" w:rsidRDefault="0093676D" w:rsidP="005F1D8A">
      <w:pPr>
        <w:pStyle w:val="SingleTxtG"/>
        <w:numPr>
          <w:ilvl w:val="0"/>
          <w:numId w:val="6"/>
        </w:numPr>
        <w:ind w:left="1134" w:firstLine="0"/>
      </w:pPr>
      <w:r w:rsidRPr="00CB4F2E">
        <w:t>Enfin, les Droits de l’Homme occupent une place importante dans les actions des agences du système des Nations Unies installées au Cameroun.</w:t>
      </w:r>
    </w:p>
    <w:p w14:paraId="0623ADA8" w14:textId="42F902AD" w:rsidR="00ED20A7" w:rsidRDefault="00423320" w:rsidP="00423320">
      <w:pPr>
        <w:pStyle w:val="H1G"/>
        <w:rPr>
          <w:i/>
        </w:rPr>
      </w:pPr>
      <w:bookmarkStart w:id="142" w:name="_Toc210646374"/>
      <w:r>
        <w:tab/>
      </w:r>
      <w:r w:rsidR="0093676D" w:rsidRPr="00CB4F2E">
        <w:t>J.</w:t>
      </w:r>
      <w:r>
        <w:tab/>
      </w:r>
      <w:r w:rsidR="0093676D" w:rsidRPr="00CB4F2E">
        <w:t>Le processus d’élaboration des Rapports au niveau national</w:t>
      </w:r>
      <w:bookmarkEnd w:id="142"/>
    </w:p>
    <w:p w14:paraId="61400A18" w14:textId="77777777" w:rsidR="00ED20A7" w:rsidRDefault="0093676D" w:rsidP="005F1D8A">
      <w:pPr>
        <w:pStyle w:val="SingleTxtG"/>
        <w:numPr>
          <w:ilvl w:val="0"/>
          <w:numId w:val="6"/>
        </w:numPr>
        <w:ind w:left="1134" w:firstLine="0"/>
      </w:pPr>
      <w:r w:rsidRPr="00CB4F2E">
        <w:t>L’élaboration des rapports initiaux et périodiques au titre des conventions en matière de Droits de l’Homme obéit à un processus consultatif qui intègre les administrations publiques concernées par chaque instrument, aussi bien au niveau central qu’aux niveaux déconcentré et décentralisé (régions, communes etc…).</w:t>
      </w:r>
    </w:p>
    <w:p w14:paraId="627515A4" w14:textId="77777777" w:rsidR="00ED20A7" w:rsidRDefault="0093676D" w:rsidP="005F1D8A">
      <w:pPr>
        <w:pStyle w:val="SingleTxtG"/>
        <w:numPr>
          <w:ilvl w:val="0"/>
          <w:numId w:val="6"/>
        </w:numPr>
        <w:ind w:left="1134" w:firstLine="0"/>
      </w:pPr>
      <w:r w:rsidRPr="00CB4F2E">
        <w:t xml:space="preserve">La CDHC, ainsi que d’autres organismes indépendants (la Commission nationale anticorruption, ELECAM, l’Agence nationale d’investigation financière, le Conseil national de la communication, l’Agence de régulation des télécommunications, etc.), le parlement, les administrations parapubliques, la société civile (les ONG, les représentants des </w:t>
      </w:r>
      <w:proofErr w:type="spellStart"/>
      <w:r w:rsidRPr="00CB4F2E">
        <w:t>médias</w:t>
      </w:r>
      <w:proofErr w:type="spellEnd"/>
      <w:r w:rsidRPr="00CB4F2E">
        <w:t>, du barreau, les représentants des groupes vulnérables et populations cibles, etc.) sont également associés à ce processus.</w:t>
      </w:r>
    </w:p>
    <w:p w14:paraId="5FC91B14" w14:textId="77777777" w:rsidR="00ED20A7" w:rsidRDefault="0093676D" w:rsidP="005F1D8A">
      <w:pPr>
        <w:pStyle w:val="SingleTxtG"/>
        <w:numPr>
          <w:ilvl w:val="0"/>
          <w:numId w:val="6"/>
        </w:numPr>
        <w:ind w:left="1134" w:firstLine="0"/>
      </w:pPr>
      <w:r w:rsidRPr="00CB4F2E">
        <w:t>Toutes les parties prenantes au processus d’élaboration sont intégrées en amont (lors de la collecte de données) et en aval (lors de la validation du projet de rapport et de la restitution des observations finales et recommandations à l’issue de la présentation du rapport). La validation des documents se fait généralement au cours des séminaires-ateliers. Le processus de validation fait l’objet d’une couverture médiatique.</w:t>
      </w:r>
    </w:p>
    <w:p w14:paraId="0C2BB29B" w14:textId="20E17536" w:rsidR="00ED20A7" w:rsidRDefault="0093676D" w:rsidP="005F1D8A">
      <w:pPr>
        <w:pStyle w:val="SingleTxtG"/>
        <w:numPr>
          <w:ilvl w:val="0"/>
          <w:numId w:val="6"/>
        </w:numPr>
        <w:ind w:left="1134" w:firstLine="0"/>
      </w:pPr>
      <w:r w:rsidRPr="00CB4F2E">
        <w:t>De manière schématique, les étapes suivantes sont suivies : mise en place d’une structure de coordination</w:t>
      </w:r>
      <w:r w:rsidR="0027203C">
        <w:t>;</w:t>
      </w:r>
      <w:r w:rsidRPr="00CB4F2E">
        <w:t xml:space="preserve"> collecte des données auprès des différentes parties prenantes sus énumérées; élaboration du premier projet de rapport; enrichissement du premier projet au cours des réunions; validation générale du rapport par toutes les parties prenantes; soumission à l’endossement de la Présidence de la République ou des Services du Premier Ministre.</w:t>
      </w:r>
    </w:p>
    <w:p w14:paraId="592BF1F2" w14:textId="77777777" w:rsidR="00ED20A7" w:rsidRDefault="0093676D" w:rsidP="005F1D8A">
      <w:pPr>
        <w:pStyle w:val="SingleTxtG"/>
        <w:numPr>
          <w:ilvl w:val="0"/>
          <w:numId w:val="6"/>
        </w:numPr>
        <w:ind w:left="1134" w:firstLine="0"/>
      </w:pPr>
      <w:r w:rsidRPr="00CB4F2E">
        <w:t>Après la défense du Rapport de l’</w:t>
      </w:r>
      <w:proofErr w:type="spellStart"/>
      <w:r w:rsidRPr="00CB4F2E">
        <w:t>Etat</w:t>
      </w:r>
      <w:proofErr w:type="spellEnd"/>
      <w:r w:rsidRPr="00CB4F2E">
        <w:t xml:space="preserve">, un communiqué radio-presse est généralement diffusé par le </w:t>
      </w:r>
      <w:r w:rsidRPr="00CB4F2E">
        <w:rPr>
          <w:lang w:val="fr-FR"/>
        </w:rPr>
        <w:t xml:space="preserve">Comité </w:t>
      </w:r>
      <w:r w:rsidRPr="00CB4F2E">
        <w:t>interministériel</w:t>
      </w:r>
      <w:r w:rsidRPr="00CB4F2E">
        <w:rPr>
          <w:lang w:val="fr-FR"/>
        </w:rPr>
        <w:t xml:space="preserve"> chargé du suivi des recommandations et/ou décisions des mécanismes internationaux et régionaux de promotion et de protection des Droits de l’Homme</w:t>
      </w:r>
      <w:r w:rsidRPr="00CB4F2E">
        <w:rPr>
          <w:rStyle w:val="FootnoteReference"/>
        </w:rPr>
        <w:footnoteReference w:id="62"/>
      </w:r>
      <w:r w:rsidRPr="00CB4F2E">
        <w:t xml:space="preserve"> pour informer les populations des observations finales ainsi que des principales recommandations y contenues. Lesdites observations sont ensuite transmises à toutes les parties prenantes, en vue de susciter leurs commentaires et propositions sur la mise en œuvre des recommandations. Elles sont également insérées dans les Rapports du MINJUSTICE sur l’état des Droits de l’Homme au Cameroun. </w:t>
      </w:r>
    </w:p>
    <w:p w14:paraId="7B957C5C" w14:textId="6214F5F0" w:rsidR="0093676D" w:rsidRPr="00CB4F2E" w:rsidRDefault="0093676D" w:rsidP="005F1D8A">
      <w:pPr>
        <w:pStyle w:val="SingleTxtG"/>
        <w:numPr>
          <w:ilvl w:val="0"/>
          <w:numId w:val="6"/>
        </w:numPr>
        <w:ind w:left="1134" w:firstLine="0"/>
      </w:pPr>
      <w:r w:rsidRPr="00CB4F2E">
        <w:t>L’élaboration des Rapports contribue ainsi à consolider l’approche participative dans la gestion des questions relatives aux Droits de l’Homme. La mise en relation des acteurs de divers horizons facilite le partage d’information, la dissémination des bonnes pratiques et une évaluation concertée du niveau de mise en œuvre des obligations de l’</w:t>
      </w:r>
      <w:proofErr w:type="spellStart"/>
      <w:r w:rsidRPr="00CB4F2E">
        <w:t>Etat</w:t>
      </w:r>
      <w:proofErr w:type="spellEnd"/>
      <w:r w:rsidRPr="00CB4F2E">
        <w:t>. Ce processus nourrit la formulation des outils stratégiques. L’élaboration du Plan d’Action national de promotion et de protection des Droits de l’Homme au Cameroun 2015-2019, en cours d’actualisation, a largement tiré parti de ces acquis.</w:t>
      </w:r>
    </w:p>
    <w:p w14:paraId="7DEAFCBA" w14:textId="03DCBC52" w:rsidR="00ED20A7" w:rsidRDefault="00423320" w:rsidP="00423320">
      <w:pPr>
        <w:pStyle w:val="H1G"/>
        <w:rPr>
          <w:i/>
        </w:rPr>
      </w:pPr>
      <w:bookmarkStart w:id="143" w:name="_Toc210646375"/>
      <w:r>
        <w:tab/>
      </w:r>
      <w:r w:rsidR="0093676D" w:rsidRPr="00CB4F2E">
        <w:t>K.</w:t>
      </w:r>
      <w:r>
        <w:tab/>
      </w:r>
      <w:r w:rsidR="0093676D" w:rsidRPr="00CB4F2E">
        <w:t>Les autres informations relatives aux droits de l’homme et au suivi des conférences internationales</w:t>
      </w:r>
      <w:bookmarkEnd w:id="143"/>
      <w:r w:rsidR="0093676D" w:rsidRPr="00CB4F2E">
        <w:t xml:space="preserve"> </w:t>
      </w:r>
    </w:p>
    <w:p w14:paraId="72DB17DB" w14:textId="77777777" w:rsidR="00ED20A7" w:rsidRDefault="0093676D" w:rsidP="005F1D8A">
      <w:pPr>
        <w:pStyle w:val="SingleTxtG"/>
        <w:numPr>
          <w:ilvl w:val="0"/>
          <w:numId w:val="6"/>
        </w:numPr>
        <w:ind w:left="1134" w:firstLine="0"/>
      </w:pPr>
      <w:r w:rsidRPr="00CB4F2E">
        <w:t xml:space="preserve">Dans la perspective du passage aux Objectifs de Développement Durable (ODD), le Cameroun a, en septembre 2015, publié un Rapport national sur les Objectifs du Millénaire </w:t>
      </w:r>
      <w:r w:rsidRPr="00CB4F2E">
        <w:lastRenderedPageBreak/>
        <w:t>pour le Développement (OMD)</w:t>
      </w:r>
      <w:r w:rsidRPr="00CB4F2E">
        <w:rPr>
          <w:rStyle w:val="FootnoteReference"/>
        </w:rPr>
        <w:footnoteReference w:id="63"/>
      </w:r>
      <w:r w:rsidRPr="00CB4F2E">
        <w:t>, réalisé sous la coordination de l’Institut National de la Statistique. En substance, il en ressort que même si des défis demeurent, des performances encourageantes ont été enregistrées dans plusieurs secteurs, à l’instar de l’économie, l’éducation, la santé, la lutte contre la pauvreté et la faim, l’égalité des sexes et l’autonomisation des femmes, l’environnement, etc.</w:t>
      </w:r>
    </w:p>
    <w:p w14:paraId="74A5C52F" w14:textId="77777777" w:rsidR="00ED20A7" w:rsidRDefault="0093676D" w:rsidP="005F1D8A">
      <w:pPr>
        <w:pStyle w:val="SingleTxtG"/>
        <w:numPr>
          <w:ilvl w:val="0"/>
          <w:numId w:val="6"/>
        </w:numPr>
        <w:ind w:left="1134" w:firstLine="0"/>
      </w:pPr>
      <w:r w:rsidRPr="00CB4F2E">
        <w:t>S’agissant des ODD</w:t>
      </w:r>
      <w:r w:rsidRPr="00CB4F2E">
        <w:rPr>
          <w:b/>
          <w:bCs/>
        </w:rPr>
        <w:t xml:space="preserve">, </w:t>
      </w:r>
      <w:r w:rsidRPr="00CB4F2E">
        <w:t>dans une démarche inclusive, participative et transparente, le Cameroun a, en 2019, procédé à l’Examen National Volontaire</w:t>
      </w:r>
      <w:r w:rsidRPr="00CB4F2E">
        <w:rPr>
          <w:rStyle w:val="FootnoteReference"/>
        </w:rPr>
        <w:footnoteReference w:id="64"/>
      </w:r>
      <w:r w:rsidRPr="00CB4F2E">
        <w:t xml:space="preserve">. Outre la présentation du Cameroun et de sa stratégie de développement, des politiques et environnement facilitateurs, le Rapport y affèrent fait une évaluation de la mise en œuvre des ODD, ainsi qu’une présentation des recommandations clés et des perspectives globales et thématiques. </w:t>
      </w:r>
    </w:p>
    <w:p w14:paraId="6A9E29EB" w14:textId="77777777" w:rsidR="00ED20A7" w:rsidRDefault="0093676D" w:rsidP="005F1D8A">
      <w:pPr>
        <w:pStyle w:val="SingleTxtG"/>
        <w:numPr>
          <w:ilvl w:val="0"/>
          <w:numId w:val="6"/>
        </w:numPr>
        <w:ind w:left="1134" w:firstLine="0"/>
        <w:rPr>
          <w:b/>
          <w:bCs/>
        </w:rPr>
      </w:pPr>
      <w:r w:rsidRPr="00CB4F2E">
        <w:t>Suivant la même méthodologie, un 2</w:t>
      </w:r>
      <w:r w:rsidRPr="00CB4F2E">
        <w:rPr>
          <w:vertAlign w:val="superscript"/>
        </w:rPr>
        <w:t>ème</w:t>
      </w:r>
      <w:r w:rsidRPr="00CB4F2E">
        <w:t xml:space="preserve"> Examen National Volontaire</w:t>
      </w:r>
      <w:r w:rsidRPr="00CB4F2E">
        <w:rPr>
          <w:rStyle w:val="FootnoteReference"/>
        </w:rPr>
        <w:footnoteReference w:id="65"/>
      </w:r>
      <w:r w:rsidRPr="00CB4F2E">
        <w:t xml:space="preserve"> a été fait et le Rapport y afférent a été présenté courant 2022, avec cette particularité qu’il intervenait dans le contexte de la pandémie de la Covid-19. </w:t>
      </w:r>
    </w:p>
    <w:p w14:paraId="0C11A2DA" w14:textId="57F4A170" w:rsidR="00ED20A7" w:rsidRDefault="0093676D" w:rsidP="005F1D8A">
      <w:pPr>
        <w:pStyle w:val="SingleTxtG"/>
        <w:numPr>
          <w:ilvl w:val="0"/>
          <w:numId w:val="6"/>
        </w:numPr>
        <w:ind w:left="1134" w:firstLine="0"/>
        <w:rPr>
          <w:b/>
          <w:bCs/>
        </w:rPr>
      </w:pPr>
      <w:r w:rsidRPr="00CB4F2E">
        <w:t>En outre, le Cameroun a soumis au total 6 Rapports au titre de la Convention contre la torture</w:t>
      </w:r>
      <w:r w:rsidR="0027203C">
        <w:t>;</w:t>
      </w:r>
      <w:r w:rsidRPr="00CB4F2E">
        <w:t xml:space="preserve"> 6 Rapports au titre du Pacte international relatif aux droits civils et politiques</w:t>
      </w:r>
      <w:r w:rsidR="0027203C">
        <w:t>;</w:t>
      </w:r>
      <w:r w:rsidRPr="00CB4F2E">
        <w:t xml:space="preserve"> 5 Rapports au titre du Pacte international sur les droits économiques, sociaux et culturels</w:t>
      </w:r>
      <w:r w:rsidR="0027203C">
        <w:t>;</w:t>
      </w:r>
      <w:r w:rsidRPr="00CB4F2E">
        <w:t xml:space="preserve"> 4 Rapports au titre de l’Examen Périodique Universel; et plusieurs Rapports au titre de la </w:t>
      </w:r>
      <w:r w:rsidRPr="00CB4F2E">
        <w:rPr>
          <w:i/>
          <w:iCs/>
        </w:rPr>
        <w:t>Convention</w:t>
      </w:r>
      <w:r w:rsidRPr="00CB4F2E">
        <w:t> internationale sur l'élimination de toutes les formes de discrimination raciale dont le Rapport valant 24</w:t>
      </w:r>
      <w:r w:rsidRPr="00CB4F2E">
        <w:rPr>
          <w:vertAlign w:val="superscript"/>
        </w:rPr>
        <w:t>ème</w:t>
      </w:r>
      <w:r w:rsidRPr="00CB4F2E">
        <w:t>, 25</w:t>
      </w:r>
      <w:r w:rsidRPr="00CB4F2E">
        <w:rPr>
          <w:vertAlign w:val="superscript"/>
        </w:rPr>
        <w:t>ème</w:t>
      </w:r>
      <w:r w:rsidRPr="00CB4F2E">
        <w:t xml:space="preserve"> et 26</w:t>
      </w:r>
      <w:r w:rsidRPr="00CB4F2E">
        <w:rPr>
          <w:vertAlign w:val="superscript"/>
        </w:rPr>
        <w:t>ème</w:t>
      </w:r>
      <w:r w:rsidRPr="00CB4F2E">
        <w:t xml:space="preserve"> Rapports périodiques. </w:t>
      </w:r>
    </w:p>
    <w:p w14:paraId="00D74D4A" w14:textId="77777777" w:rsidR="00ED20A7" w:rsidRDefault="0093676D" w:rsidP="005F1D8A">
      <w:pPr>
        <w:pStyle w:val="SingleTxtG"/>
        <w:numPr>
          <w:ilvl w:val="0"/>
          <w:numId w:val="6"/>
        </w:numPr>
        <w:ind w:left="1134" w:firstLine="0"/>
        <w:rPr>
          <w:b/>
          <w:bCs/>
        </w:rPr>
      </w:pPr>
      <w:r w:rsidRPr="00CB4F2E">
        <w:t>De plus, des rapports de mise en œuvre sont généralement présentés lors des sessions d’évaluation des conférences et sommets organisés par l’Assemblée Générale des Nations Unies, le Conseil économique et social, ou à l’occasion des conférences de suivi ou d’examen</w:t>
      </w:r>
      <w:r w:rsidRPr="00CB4F2E">
        <w:rPr>
          <w:b/>
          <w:bCs/>
        </w:rPr>
        <w:t xml:space="preserve">. </w:t>
      </w:r>
      <w:proofErr w:type="spellStart"/>
      <w:r w:rsidRPr="00CB4F2E">
        <w:t>A</w:t>
      </w:r>
      <w:proofErr w:type="spellEnd"/>
      <w:r w:rsidRPr="00CB4F2E">
        <w:t xml:space="preserve"> titre d’illustration, le Cameroun a adhéré à l’Initiative pour la Transparence dans les Industries Extractives (ITIE) en mars 2005 et ce, en vue de renforcer la bonne gouvernance des revenus publics issus de l’extraction des ressources pétrolières, gazières et minières. Il a publié 16 Rapports ITIE couvrant la période de 2001 à 2025.</w:t>
      </w:r>
      <w:r w:rsidRPr="00CB4F2E">
        <w:rPr>
          <w:b/>
          <w:bCs/>
        </w:rPr>
        <w:t xml:space="preserve"> </w:t>
      </w:r>
      <w:r w:rsidRPr="00CB4F2E">
        <w:t>Sur le plan normatif, est intervenu le Décret n°2024/00165/PM du 31 janvier 2024 portant réorganisation et fonctionnement du Comité de suivi de la mise en œuvre de l'ITIE.</w:t>
      </w:r>
    </w:p>
    <w:p w14:paraId="4A400721" w14:textId="2E8CD5E2" w:rsidR="00ED20A7" w:rsidRDefault="0093676D" w:rsidP="005F1D8A">
      <w:pPr>
        <w:pStyle w:val="SingleTxtG"/>
        <w:numPr>
          <w:ilvl w:val="0"/>
          <w:numId w:val="6"/>
        </w:numPr>
        <w:ind w:left="1134" w:firstLine="0"/>
        <w:rPr>
          <w:i/>
        </w:rPr>
      </w:pPr>
      <w:r w:rsidRPr="00CB4F2E">
        <w:t xml:space="preserve">Le Cameroun a par ailleurs participé au </w:t>
      </w:r>
      <w:r w:rsidRPr="00CB4F2E">
        <w:rPr>
          <w:i/>
        </w:rPr>
        <w:t>Sommet de Paris sur la Sécurité au Nigeria,</w:t>
      </w:r>
      <w:r w:rsidRPr="00CB4F2E">
        <w:t xml:space="preserve"> au cours duquel la décision de mutualiser les forces à l’effet de mieux coordonner la lutte contre le Groupe </w:t>
      </w:r>
      <w:r w:rsidRPr="00CB4F2E">
        <w:rPr>
          <w:i/>
        </w:rPr>
        <w:t>Boko Haram</w:t>
      </w:r>
      <w:r w:rsidRPr="00CB4F2E">
        <w:t xml:space="preserve"> a été prise. Par la suite, une session extraordinaire de la Conférence des Chefs d’</w:t>
      </w:r>
      <w:proofErr w:type="spellStart"/>
      <w:r w:rsidRPr="00CB4F2E">
        <w:t>Etat</w:t>
      </w:r>
      <w:proofErr w:type="spellEnd"/>
      <w:r w:rsidRPr="00CB4F2E">
        <w:t xml:space="preserve"> et de Gouvernement du Conseil de Paix et de Sécurité de l’Afrique Centrale consacrée à la lutte contre le Groupe </w:t>
      </w:r>
      <w:r w:rsidRPr="00CB4F2E">
        <w:rPr>
          <w:i/>
        </w:rPr>
        <w:t>Boko Haram</w:t>
      </w:r>
      <w:r w:rsidRPr="00CB4F2E">
        <w:t xml:space="preserve"> s’est tenue à Yaoundé, suivie par le Sommet d’Abuja sur la Sécurité et la lutte contre le Groupe terroriste </w:t>
      </w:r>
      <w:r w:rsidRPr="00CB4F2E">
        <w:rPr>
          <w:i/>
        </w:rPr>
        <w:t>Boko</w:t>
      </w:r>
      <w:r w:rsidR="0027203C">
        <w:rPr>
          <w:i/>
        </w:rPr>
        <w:t xml:space="preserve"> </w:t>
      </w:r>
      <w:r w:rsidRPr="00CB4F2E">
        <w:rPr>
          <w:i/>
        </w:rPr>
        <w:t>Haram.</w:t>
      </w:r>
    </w:p>
    <w:p w14:paraId="072235C7" w14:textId="63ABA0AD" w:rsidR="0093676D" w:rsidRPr="00CB4F2E" w:rsidRDefault="0093676D" w:rsidP="005F1D8A">
      <w:pPr>
        <w:pStyle w:val="SingleTxtG"/>
        <w:numPr>
          <w:ilvl w:val="0"/>
          <w:numId w:val="6"/>
        </w:numPr>
        <w:ind w:left="1134" w:firstLine="0"/>
        <w:rPr>
          <w:b/>
        </w:rPr>
      </w:pPr>
      <w:r w:rsidRPr="00CB4F2E">
        <w:t>Enfin, la Conférence de Paris en 2015 sur les Changements climatiques (COP21) et celle de Glasgow en 2021 (COP26) ont connu la participation du Cameroun et les Accords issus des travaux ont fait l’objet de ratification par le Parlement. De même, dans le cadre de la Convention sur le commerce international des espèces de faune et de flore menacées d’extinction (CITES), le Cameroun adresse chaque mois d’octobre de l’année, ses rapports annuels au Secrétariat de la CITES</w:t>
      </w:r>
      <w:r w:rsidRPr="00CB4F2E">
        <w:rPr>
          <w:rStyle w:val="FootnoteReference"/>
        </w:rPr>
        <w:footnoteReference w:id="66"/>
      </w:r>
      <w:r w:rsidRPr="00CB4F2E">
        <w:t xml:space="preserve">. </w:t>
      </w:r>
    </w:p>
    <w:p w14:paraId="1F089251" w14:textId="1185312E" w:rsidR="00ED20A7" w:rsidRDefault="00423320" w:rsidP="00423320">
      <w:pPr>
        <w:pStyle w:val="HChG"/>
      </w:pPr>
      <w:bookmarkStart w:id="144" w:name="_Toc210209122"/>
      <w:bookmarkStart w:id="145" w:name="_Toc210646376"/>
      <w:r>
        <w:tab/>
      </w:r>
      <w:r w:rsidR="0093676D" w:rsidRPr="00CB4F2E">
        <w:t>VI.</w:t>
      </w:r>
      <w:r>
        <w:tab/>
      </w:r>
      <w:r w:rsidRPr="00CB4F2E">
        <w:t xml:space="preserve">Les dispositions de fond </w:t>
      </w:r>
      <w:proofErr w:type="spellStart"/>
      <w:r w:rsidRPr="00CB4F2E">
        <w:t>apparentees</w:t>
      </w:r>
      <w:bookmarkEnd w:id="144"/>
      <w:bookmarkEnd w:id="145"/>
      <w:proofErr w:type="spellEnd"/>
    </w:p>
    <w:p w14:paraId="5DA1704C" w14:textId="7884F06E" w:rsidR="0093676D" w:rsidRPr="00CB4F2E" w:rsidRDefault="0093676D" w:rsidP="005F1D8A">
      <w:pPr>
        <w:pStyle w:val="SingleTxtG"/>
        <w:numPr>
          <w:ilvl w:val="0"/>
          <w:numId w:val="6"/>
        </w:numPr>
        <w:ind w:left="1134" w:firstLine="0"/>
      </w:pPr>
      <w:r w:rsidRPr="00CB4F2E">
        <w:t>Dans le cadre des dispositions apparentées, les aspects concernant la non-discrimination et l’égalité, les recours utiles, ainsi que les garanties procédurales seront successivement abordés.</w:t>
      </w:r>
    </w:p>
    <w:p w14:paraId="155E0235" w14:textId="60900BBA" w:rsidR="0093676D" w:rsidRPr="00CB4F2E" w:rsidRDefault="00423320" w:rsidP="00423320">
      <w:pPr>
        <w:pStyle w:val="H1G"/>
        <w:rPr>
          <w:i/>
        </w:rPr>
      </w:pPr>
      <w:bookmarkStart w:id="146" w:name="_Toc210646377"/>
      <w:r>
        <w:lastRenderedPageBreak/>
        <w:tab/>
      </w:r>
      <w:r w:rsidR="0093676D" w:rsidRPr="00CB4F2E">
        <w:t>A.</w:t>
      </w:r>
      <w:r>
        <w:tab/>
      </w:r>
      <w:r w:rsidR="0093676D" w:rsidRPr="00CB4F2E">
        <w:t>La non-discrimination et l’égalité</w:t>
      </w:r>
      <w:bookmarkEnd w:id="146"/>
      <w:r w:rsidR="0093676D" w:rsidRPr="00CB4F2E">
        <w:t xml:space="preserve"> </w:t>
      </w:r>
    </w:p>
    <w:p w14:paraId="528762A0" w14:textId="036485BD" w:rsidR="0093676D" w:rsidRPr="00CB4F2E" w:rsidRDefault="00423320" w:rsidP="00423320">
      <w:pPr>
        <w:pStyle w:val="H23G"/>
      </w:pPr>
      <w:bookmarkStart w:id="147" w:name="_Toc210646378"/>
      <w:r>
        <w:tab/>
      </w:r>
      <w:r>
        <w:tab/>
      </w:r>
      <w:r w:rsidR="0093676D" w:rsidRPr="00CB4F2E">
        <w:t>Sur la non-discrimination</w:t>
      </w:r>
      <w:bookmarkEnd w:id="147"/>
    </w:p>
    <w:p w14:paraId="5B35945F" w14:textId="77777777" w:rsidR="00ED20A7" w:rsidRDefault="0093676D" w:rsidP="005F1D8A">
      <w:pPr>
        <w:pStyle w:val="SingleTxtG"/>
        <w:numPr>
          <w:ilvl w:val="0"/>
          <w:numId w:val="6"/>
        </w:numPr>
        <w:ind w:left="1134" w:firstLine="0"/>
        <w:rPr>
          <w:lang w:val="fr-FR"/>
        </w:rPr>
      </w:pPr>
      <w:r w:rsidRPr="00CB4F2E">
        <w:rPr>
          <w:lang w:val="fr-FR"/>
        </w:rPr>
        <w:t xml:space="preserve">La Constitution dans son Préambule proclame que </w:t>
      </w:r>
      <w:r w:rsidRPr="00CB4F2E">
        <w:rPr>
          <w:i/>
          <w:lang w:val="fr-FR"/>
        </w:rPr>
        <w:t xml:space="preserve">«l’être humain, sans distinction de race, de religion, de sexe, de croyance, possède des droits inaliénables et sacrés». </w:t>
      </w:r>
      <w:r w:rsidRPr="00CB4F2E">
        <w:rPr>
          <w:lang w:val="fr-FR"/>
        </w:rPr>
        <w:t>Elle réaffirme également que « </w:t>
      </w:r>
      <w:r w:rsidRPr="00CB4F2E">
        <w:rPr>
          <w:i/>
          <w:lang w:val="fr-FR"/>
        </w:rPr>
        <w:t>tous les Hommes sont égaux en droits et en devoirs</w:t>
      </w:r>
      <w:r w:rsidRPr="00CB4F2E">
        <w:rPr>
          <w:lang w:val="fr-FR"/>
        </w:rPr>
        <w:t> » et que «</w:t>
      </w:r>
      <w:r w:rsidRPr="00CB4F2E">
        <w:rPr>
          <w:i/>
          <w:lang w:val="fr-FR"/>
        </w:rPr>
        <w:t> nul ne peut être inquiété en raison de ses origines, de ses opinions ou croyances en matière religieuse, philosophique ou politique sous réserve du respect de l’ordre public et des bonnes mœurs </w:t>
      </w:r>
      <w:r w:rsidRPr="00CB4F2E">
        <w:rPr>
          <w:lang w:val="fr-FR"/>
        </w:rPr>
        <w:t>».</w:t>
      </w:r>
    </w:p>
    <w:p w14:paraId="36070170" w14:textId="77777777" w:rsidR="00ED20A7" w:rsidRDefault="0093676D" w:rsidP="005F1D8A">
      <w:pPr>
        <w:pStyle w:val="SingleTxtG"/>
        <w:numPr>
          <w:ilvl w:val="0"/>
          <w:numId w:val="6"/>
        </w:numPr>
        <w:ind w:left="1134" w:firstLine="0"/>
        <w:rPr>
          <w:lang w:val="fr-FR"/>
        </w:rPr>
      </w:pPr>
      <w:r w:rsidRPr="00CB4F2E">
        <w:rPr>
          <w:lang w:val="fr-FR"/>
        </w:rPr>
        <w:t xml:space="preserve">Pour permettre à ces dispositions constitutionnelles d’assortir leur plein effet, le Code Pénal a érigé la violation de l’interdiction de toute pratique discriminatoire en infraction. Ainsi, l’article 242 dudit Code, intitulé « </w:t>
      </w:r>
      <w:r w:rsidRPr="00CB4F2E">
        <w:rPr>
          <w:i/>
          <w:lang w:val="fr-FR"/>
        </w:rPr>
        <w:t xml:space="preserve">Discrimination </w:t>
      </w:r>
      <w:r w:rsidRPr="00CB4F2E">
        <w:rPr>
          <w:lang w:val="fr-FR"/>
        </w:rPr>
        <w:t>», dispose : «</w:t>
      </w:r>
      <w:r w:rsidRPr="00CB4F2E">
        <w:rPr>
          <w:i/>
          <w:lang w:val="fr-FR"/>
        </w:rPr>
        <w:t>Est puni d’un emprisonnement de un (1) mois à deux (2) ans et d’une amende de cinq mille (5 000)</w:t>
      </w:r>
      <w:r w:rsidRPr="00CB4F2E">
        <w:rPr>
          <w:rStyle w:val="FootnoteReference"/>
        </w:rPr>
        <w:footnoteReference w:id="67"/>
      </w:r>
      <w:r w:rsidRPr="00CB4F2E">
        <w:rPr>
          <w:i/>
          <w:lang w:val="fr-FR"/>
        </w:rPr>
        <w:t xml:space="preserve"> à cinq cent mille (500 000) francs CFA</w:t>
      </w:r>
      <w:r w:rsidRPr="00CB4F2E">
        <w:rPr>
          <w:rStyle w:val="FootnoteReference"/>
        </w:rPr>
        <w:footnoteReference w:id="68"/>
      </w:r>
      <w:r w:rsidRPr="00CB4F2E">
        <w:rPr>
          <w:i/>
          <w:lang w:val="fr-FR"/>
        </w:rPr>
        <w:t xml:space="preserve"> celui qui refuse à autrui l’accès soit dans des lieux ouverts au public, soit dans des emplois, en raison de sa race, de sa religion, de son sexe ou de son statut médical, lorsque ledit statut ne met personne en danger </w:t>
      </w:r>
      <w:r w:rsidRPr="00CB4F2E">
        <w:rPr>
          <w:lang w:val="fr-FR"/>
        </w:rPr>
        <w:t>». La discrimination est également réprimée par l’ordonnance n</w:t>
      </w:r>
      <w:r w:rsidRPr="00CB4F2E">
        <w:rPr>
          <w:vertAlign w:val="superscript"/>
          <w:lang w:val="fr-FR"/>
        </w:rPr>
        <w:t>o</w:t>
      </w:r>
      <w:r w:rsidRPr="00CB4F2E">
        <w:rPr>
          <w:lang w:val="fr-FR"/>
        </w:rPr>
        <w:t> 73/17 du 22 mai 1973 portant organisation de la prévoyance sociale, modifiée par la Loi n° 84-006 du 04 juillet 1984 (art. 180) et par la loi n</w:t>
      </w:r>
      <w:r w:rsidRPr="00CB4F2E">
        <w:rPr>
          <w:vertAlign w:val="superscript"/>
          <w:lang w:val="fr-FR"/>
        </w:rPr>
        <w:t>o</w:t>
      </w:r>
      <w:r w:rsidRPr="00CB4F2E">
        <w:rPr>
          <w:lang w:val="fr-FR"/>
        </w:rPr>
        <w:t> 92/007 du 14 août 1992 portant Code du Travail (art. 4 et 168).</w:t>
      </w:r>
    </w:p>
    <w:p w14:paraId="04184685" w14:textId="77777777" w:rsidR="00ED20A7" w:rsidRDefault="0093676D" w:rsidP="005F1D8A">
      <w:pPr>
        <w:pStyle w:val="SingleTxtG"/>
        <w:numPr>
          <w:ilvl w:val="0"/>
          <w:numId w:val="6"/>
        </w:numPr>
        <w:ind w:left="1134" w:firstLine="0"/>
        <w:rPr>
          <w:lang w:val="fr-FR"/>
        </w:rPr>
      </w:pPr>
      <w:r w:rsidRPr="00980BBC">
        <w:rPr>
          <w:bCs/>
        </w:rPr>
        <w:t>Dans</w:t>
      </w:r>
      <w:r w:rsidRPr="00CB4F2E">
        <w:rPr>
          <w:lang w:val="fr-FR"/>
        </w:rPr>
        <w:t xml:space="preserve"> le même sillage, le Code Pénal réprime l’outrage</w:t>
      </w:r>
      <w:r w:rsidRPr="00CB4F2E">
        <w:rPr>
          <w:rStyle w:val="FootnoteReference"/>
          <w:lang w:val="fr-FR"/>
        </w:rPr>
        <w:footnoteReference w:id="69"/>
      </w:r>
      <w:r w:rsidRPr="00CB4F2E">
        <w:rPr>
          <w:lang w:val="fr-FR"/>
        </w:rPr>
        <w:t xml:space="preserve"> aux races et aux religions (article 241), l’outrage à la tribu ou à l’ethnie (article 241-1) et le favoritisme (article 143). Les peines de cette dernière infraction sont doublées si le fonctionnaire qui en est l’auteur est un magistrat ou une autorité administrative.</w:t>
      </w:r>
    </w:p>
    <w:p w14:paraId="41961C32" w14:textId="77777777" w:rsidR="00ED20A7" w:rsidRDefault="0093676D" w:rsidP="005F1D8A">
      <w:pPr>
        <w:pStyle w:val="SingleTxtG"/>
        <w:numPr>
          <w:ilvl w:val="0"/>
          <w:numId w:val="6"/>
        </w:numPr>
        <w:ind w:left="1134" w:firstLine="0"/>
        <w:rPr>
          <w:lang w:val="fr-FR"/>
        </w:rPr>
      </w:pPr>
      <w:r w:rsidRPr="00CB4F2E">
        <w:rPr>
          <w:lang w:val="fr-FR"/>
        </w:rPr>
        <w:t>Des mesures sont également prises pour lutter contre les discriminations liées au handicap et au sexe. En ce qui concerne le handicap, le Cameroun s’est doté de la Loi n</w:t>
      </w:r>
      <w:r w:rsidRPr="00CB4F2E">
        <w:rPr>
          <w:vertAlign w:val="superscript"/>
          <w:lang w:val="fr-FR"/>
        </w:rPr>
        <w:t>o</w:t>
      </w:r>
      <w:r w:rsidRPr="00CB4F2E">
        <w:rPr>
          <w:lang w:val="fr-FR"/>
        </w:rPr>
        <w:t> 2010/002 du 13 avril 2010 portant protection et promotion des personnes handicapées. L'article 38 (3) de cette loi interdit la discrimination fondée sur le handicap en énonçant que « </w:t>
      </w:r>
      <w:r w:rsidRPr="00CB4F2E">
        <w:rPr>
          <w:i/>
          <w:lang w:val="fr-FR"/>
        </w:rPr>
        <w:t>le handicap ne peut constituer un motif de rejet de leur candidature ou de discrimination »</w:t>
      </w:r>
      <w:r w:rsidRPr="00CB4F2E">
        <w:rPr>
          <w:lang w:val="fr-FR"/>
        </w:rPr>
        <w:t xml:space="preserve">. Cette loi prévoit par ailleurs des mesures de discrimination positive. Ainsi, </w:t>
      </w:r>
      <w:r w:rsidRPr="00CB4F2E">
        <w:t>l’</w:t>
      </w:r>
      <w:proofErr w:type="spellStart"/>
      <w:r w:rsidRPr="00CB4F2E">
        <w:t>Etat</w:t>
      </w:r>
      <w:proofErr w:type="spellEnd"/>
      <w:r w:rsidRPr="00CB4F2E">
        <w:t xml:space="preserve"> encourage la présence des personnes vivant avec un handicap dans les différentes instances de la vie sociale et politique (article 27 (2)). De même, les personnes vivant avec un handicap justifiant d’une formation professionnelle ou scolaire bénéficient des mesures préférentielles</w:t>
      </w:r>
      <w:r w:rsidRPr="00CB4F2E">
        <w:rPr>
          <w:rStyle w:val="FootnoteReference"/>
        </w:rPr>
        <w:footnoteReference w:id="70"/>
      </w:r>
      <w:r w:rsidRPr="00CB4F2E">
        <w:t>, notamment la dispense d’âge lors des recrutements aux emplois publics et privés par rapport aux personnes valides, lorsque le poste est compatible avec leur état (Article 38 (1)).</w:t>
      </w:r>
    </w:p>
    <w:p w14:paraId="27DF3162" w14:textId="77777777" w:rsidR="00ED20A7" w:rsidRDefault="0093676D" w:rsidP="005F1D8A">
      <w:pPr>
        <w:pStyle w:val="SingleTxtG"/>
        <w:numPr>
          <w:ilvl w:val="0"/>
          <w:numId w:val="6"/>
        </w:numPr>
        <w:ind w:left="1134" w:firstLine="0"/>
        <w:rPr>
          <w:lang w:val="fr-FR"/>
        </w:rPr>
      </w:pPr>
      <w:r w:rsidRPr="00CB4F2E">
        <w:rPr>
          <w:lang w:val="fr-FR"/>
        </w:rPr>
        <w:t>Le Gouvernement a aussi pris des mesures d’ordre économique, social et culturel pour lutter contre toute pratique discriminatoire fondée sur le sexe. C’est ce qui justifie la pénalisation des agissements tels que le harcèlement sexuel (article 302-1 du Code Pénal).</w:t>
      </w:r>
    </w:p>
    <w:p w14:paraId="4AB5A6B4" w14:textId="77777777" w:rsidR="00ED20A7" w:rsidRDefault="0093676D" w:rsidP="005F1D8A">
      <w:pPr>
        <w:pStyle w:val="SingleTxtG"/>
        <w:numPr>
          <w:ilvl w:val="0"/>
          <w:numId w:val="6"/>
        </w:numPr>
        <w:ind w:left="1134" w:firstLine="0"/>
      </w:pPr>
      <w:proofErr w:type="spellStart"/>
      <w:r w:rsidRPr="00CB4F2E">
        <w:t>A</w:t>
      </w:r>
      <w:proofErr w:type="spellEnd"/>
      <w:r w:rsidRPr="00CB4F2E">
        <w:t xml:space="preserve"> l’égard des étrangers, le Cameroun a continué, sans discrimination, à offrir son hospitalité aux réfugiés. Le rapatriement volontaire des réfugiés désireux de rentrer dans leur pays est régulièrement effectué. Ainsi, sur la base d’Accords tripartites signés d’une part </w:t>
      </w:r>
      <w:r w:rsidRPr="00CB4F2E">
        <w:lastRenderedPageBreak/>
        <w:t xml:space="preserve">entre les Gouvernements camerounais, nigérian et le HCR le 2 mars 2017 et entre les Gouvernements camerounais, centrafricain et le HCR le 29 juin 2019, d’autre part, le Cameroun facilite, en toute sécurité et dignité, les retours volontaires des réfugiés vers leurs pays. En 2023, 2 396 réfugiés ont été rapatriés vers leurs pays, notamment 1 319 réfugiés nigérians, 997 centrafricains, 80 réfugiés urbains de différentes nationalités et en 2024, 242 réfugiés nigérians et environ 600 réfugiés centrafricains ont été rapatriés. Par ailleurs, en novembre 2023, le Cameroun a facilité la réinstallation de 878 réfugiés en France (364), aux Etats-Unis (274), au Canada (215), en Australie (22) et en Finlande (3), ainsi que celle de 1 080 réfugiés en Australie, au Canada, en France et aux Etats-Unis en 2024. </w:t>
      </w:r>
    </w:p>
    <w:p w14:paraId="2D54141C" w14:textId="77777777" w:rsidR="00ED20A7" w:rsidRDefault="0093676D" w:rsidP="005F1D8A">
      <w:pPr>
        <w:pStyle w:val="SingleTxtG"/>
        <w:numPr>
          <w:ilvl w:val="0"/>
          <w:numId w:val="6"/>
        </w:numPr>
        <w:ind w:left="1134" w:firstLine="0"/>
        <w:rPr>
          <w:lang w:val="fr-FR"/>
        </w:rPr>
      </w:pPr>
      <w:r w:rsidRPr="00CB4F2E">
        <w:rPr>
          <w:lang w:val="fr-FR"/>
        </w:rPr>
        <w:t>Cette volonté d’inscrire la lutte contre les discriminations, au cœur des actions de l’</w:t>
      </w:r>
      <w:proofErr w:type="spellStart"/>
      <w:r w:rsidRPr="00CB4F2E">
        <w:rPr>
          <w:lang w:val="fr-FR"/>
        </w:rPr>
        <w:t>Etat</w:t>
      </w:r>
      <w:proofErr w:type="spellEnd"/>
      <w:r w:rsidRPr="00CB4F2E">
        <w:rPr>
          <w:lang w:val="fr-FR"/>
        </w:rPr>
        <w:t xml:space="preserve"> s’est cristallisée par la mise à jour de la Politique Nationale Genre (2022-2030), laquelle définit des stratégies multisectorielles pour un développement national inclusif au profit des femmes et </w:t>
      </w:r>
      <w:r w:rsidRPr="00CB4F2E">
        <w:t xml:space="preserve">prend en compte les nouveaux cadres programmatiques (tels que l’Agenda 2030 au niveau international, l’Agenda 2063 de l'Union Africaine au plan régional et la Stratégie Nationale de Développement du Cameroun 2020-2030 sur le plan national), ainsi que les nouveaux défis auxquels le pays est confronté tels que la décentralisation, la situation humanitaire et la mise en œuvre de la budgétisation sensible au genre. </w:t>
      </w:r>
    </w:p>
    <w:p w14:paraId="3654164A" w14:textId="77777777" w:rsidR="00ED20A7" w:rsidRDefault="0093676D" w:rsidP="005F1D8A">
      <w:pPr>
        <w:pStyle w:val="SingleTxtG"/>
        <w:numPr>
          <w:ilvl w:val="0"/>
          <w:numId w:val="6"/>
        </w:numPr>
        <w:ind w:left="1134" w:firstLine="0"/>
      </w:pPr>
      <w:r w:rsidRPr="00CB4F2E">
        <w:t>Des stratégies sectorielles et thématiques intégrant le genre ont également été élaborées. Il s'agit, entre autres, de la Stratégie Nationale de Lutte contre les Violences Basées sur le Genre (2012-2026), du Deuxième Plan d’action du Cameroun pour la mise en œuvre des Résolutions 1325 et connexes (2023-2027) et du Plan d'Action National contre les Mutilations Génitales Féminines (</w:t>
      </w:r>
      <w:r w:rsidRPr="00CB4F2E">
        <w:rPr>
          <w:iCs/>
        </w:rPr>
        <w:t>2022-2026)</w:t>
      </w:r>
      <w:r w:rsidRPr="00CB4F2E">
        <w:t xml:space="preserve">. </w:t>
      </w:r>
    </w:p>
    <w:p w14:paraId="30E1DDAB" w14:textId="270AEB3F" w:rsidR="00ED20A7" w:rsidRDefault="0093676D" w:rsidP="005F1D8A">
      <w:pPr>
        <w:pStyle w:val="SingleTxtG"/>
        <w:numPr>
          <w:ilvl w:val="0"/>
          <w:numId w:val="6"/>
        </w:numPr>
        <w:ind w:left="1134" w:firstLine="0"/>
      </w:pPr>
      <w:r w:rsidRPr="00CB4F2E">
        <w:t>Sur le plan institutionnel, l’une des attributions de la Commission Nationale pour la Promotion du Bilinguisme et du Multiculturalisme</w:t>
      </w:r>
      <w:r w:rsidRPr="00CB4F2E">
        <w:rPr>
          <w:b/>
          <w:bCs/>
        </w:rPr>
        <w:t xml:space="preserve"> (</w:t>
      </w:r>
      <w:hyperlink r:id="rId56" w:history="1">
        <w:r w:rsidRPr="00CB4F2E">
          <w:rPr>
            <w:rStyle w:val="Hyperlink"/>
            <w:lang w:val="fr-FR"/>
          </w:rPr>
          <w:t>https://www.cnpbm.cm/fr/</w:t>
        </w:r>
      </w:hyperlink>
      <w:r w:rsidRPr="00CB4F2E">
        <w:rPr>
          <w:b/>
          <w:bCs/>
        </w:rPr>
        <w:t>)</w:t>
      </w:r>
      <w:r w:rsidRPr="00CB4F2E">
        <w:t>, créée par Décret n° 2017/013 du 23 janvier 2017, est de renforcer la volonté et la pratique quotidienne du vivre ensemble des populations</w:t>
      </w:r>
      <w:r w:rsidR="0027203C">
        <w:t>;</w:t>
      </w:r>
      <w:r w:rsidRPr="00CB4F2E">
        <w:t xml:space="preserve"> toute chose qui a pour effet de prévenir les comportements discriminatoires. Dans le même souci d’inclusion, le Comité National de Désarmement, de Démobilisation et de Réintégration a été créé par Décret n° 2018/719 du 30 novembre 2019 pour organiser, encadrer et gérer le désarmement, la démobilisation et la réintégration des ex-combattants de </w:t>
      </w:r>
      <w:r w:rsidRPr="00CB4F2E">
        <w:rPr>
          <w:i/>
        </w:rPr>
        <w:t xml:space="preserve">Boko Haram </w:t>
      </w:r>
      <w:r w:rsidRPr="00CB4F2E">
        <w:t>et des groupes armés des régions du Nord-Ouest et du Sud-Ouest désireux de répondre favorablement à l’offre de paix du Chef de l’</w:t>
      </w:r>
      <w:proofErr w:type="spellStart"/>
      <w:r w:rsidRPr="00CB4F2E">
        <w:t>Etat</w:t>
      </w:r>
      <w:proofErr w:type="spellEnd"/>
      <w:r w:rsidRPr="00CB4F2E">
        <w:t xml:space="preserve"> en déposant les armes.</w:t>
      </w:r>
      <w:r w:rsidRPr="00CB4F2E">
        <w:rPr>
          <w:b/>
          <w:bCs/>
        </w:rPr>
        <w:t xml:space="preserve"> </w:t>
      </w:r>
      <w:r w:rsidRPr="00CB4F2E">
        <w:t>En décembre 2024, ses centres comptaient 3 430 pensionnaires, soit 1 544 hommes, 788 femmes et 1 098 enfants.</w:t>
      </w:r>
    </w:p>
    <w:p w14:paraId="450EB847" w14:textId="77777777" w:rsidR="00ED20A7" w:rsidRDefault="0093676D" w:rsidP="005F1D8A">
      <w:pPr>
        <w:pStyle w:val="SingleTxtG"/>
        <w:numPr>
          <w:ilvl w:val="0"/>
          <w:numId w:val="6"/>
        </w:numPr>
        <w:ind w:left="1134" w:firstLine="0"/>
        <w:rPr>
          <w:lang w:val="fr-FR"/>
        </w:rPr>
      </w:pPr>
      <w:r w:rsidRPr="00CB4F2E">
        <w:rPr>
          <w:lang w:val="fr-FR"/>
        </w:rPr>
        <w:t>Le Cameroun, en tant que mosaïque de peuples, de langues et de cultures, se trouve souvent confronté à sa propre diversité et aux difficultés que celle-ci engendre dans la mise en application rapide des dispositions liées à la non-discrimination. La singularité du paysage camerounais a poussé l’</w:t>
      </w:r>
      <w:proofErr w:type="spellStart"/>
      <w:r w:rsidRPr="00CB4F2E">
        <w:rPr>
          <w:lang w:val="fr-FR"/>
        </w:rPr>
        <w:t>Etat</w:t>
      </w:r>
      <w:proofErr w:type="spellEnd"/>
      <w:r w:rsidRPr="00CB4F2E">
        <w:rPr>
          <w:lang w:val="fr-FR"/>
        </w:rPr>
        <w:t xml:space="preserve"> à mettre en place, pour lutter contre la discrimination, une politique fondée sur le principe de l’unité nationale qui est l’une des pierres angulaires de la Constitution.</w:t>
      </w:r>
    </w:p>
    <w:p w14:paraId="21FFF280" w14:textId="18A9CC48" w:rsidR="0093676D" w:rsidRPr="00CB4F2E" w:rsidRDefault="0093676D" w:rsidP="005F1D8A">
      <w:pPr>
        <w:pStyle w:val="SingleTxtG"/>
        <w:numPr>
          <w:ilvl w:val="0"/>
          <w:numId w:val="6"/>
        </w:numPr>
        <w:ind w:left="1134" w:firstLine="0"/>
        <w:rPr>
          <w:lang w:val="fr-FR"/>
        </w:rPr>
      </w:pPr>
      <w:r w:rsidRPr="00CB4F2E">
        <w:rPr>
          <w:lang w:val="fr-FR"/>
        </w:rPr>
        <w:t>L’</w:t>
      </w:r>
      <w:proofErr w:type="spellStart"/>
      <w:r w:rsidRPr="00CB4F2E">
        <w:rPr>
          <w:lang w:val="fr-FR"/>
        </w:rPr>
        <w:t>Etat</w:t>
      </w:r>
      <w:proofErr w:type="spellEnd"/>
      <w:r w:rsidRPr="00CB4F2E">
        <w:rPr>
          <w:lang w:val="fr-FR"/>
        </w:rPr>
        <w:t xml:space="preserve"> a ainsi pris certaines mesures afin de sceller l’unité nationale sans mettre à mal les diversités. Ainsi, aucune information discriminatoire, n’apparaît sur les actes d’état civil, la carte nationale d’identité ou autres documents officiels. Par ces mesures, l’</w:t>
      </w:r>
      <w:proofErr w:type="spellStart"/>
      <w:r w:rsidRPr="00CB4F2E">
        <w:rPr>
          <w:lang w:val="fr-FR"/>
        </w:rPr>
        <w:t>Etat</w:t>
      </w:r>
      <w:proofErr w:type="spellEnd"/>
      <w:r w:rsidRPr="00CB4F2E">
        <w:rPr>
          <w:lang w:val="fr-FR"/>
        </w:rPr>
        <w:t xml:space="preserve"> camerounais a voulu éviter les effets néfastes que de telles précisions auraient pu provoquer dans le maintien de la paix et de l’équilibre social.</w:t>
      </w:r>
      <w:r w:rsidRPr="00CB4F2E">
        <w:t xml:space="preserve"> </w:t>
      </w:r>
    </w:p>
    <w:p w14:paraId="7306D065" w14:textId="747C39CD" w:rsidR="0093676D" w:rsidRPr="00CB4F2E" w:rsidRDefault="00423320" w:rsidP="00423320">
      <w:pPr>
        <w:pStyle w:val="H23G"/>
      </w:pPr>
      <w:bookmarkStart w:id="148" w:name="_Toc210646379"/>
      <w:r>
        <w:tab/>
      </w:r>
      <w:r>
        <w:tab/>
      </w:r>
      <w:r w:rsidR="0093676D" w:rsidRPr="00CB4F2E">
        <w:t>Sur l’égalité</w:t>
      </w:r>
      <w:bookmarkEnd w:id="148"/>
    </w:p>
    <w:p w14:paraId="5464A83D" w14:textId="77777777" w:rsidR="00ED20A7" w:rsidRDefault="0093676D" w:rsidP="005F1D8A">
      <w:pPr>
        <w:pStyle w:val="SingleTxtG"/>
        <w:numPr>
          <w:ilvl w:val="0"/>
          <w:numId w:val="6"/>
        </w:numPr>
        <w:ind w:left="1134" w:firstLine="0"/>
        <w:rPr>
          <w:lang w:val="fr-FR"/>
        </w:rPr>
      </w:pPr>
      <w:r w:rsidRPr="00CB4F2E">
        <w:rPr>
          <w:lang w:val="fr-FR"/>
        </w:rPr>
        <w:t>Prolongeant le principe d’égalité consacré par la Constitution, l’article 1</w:t>
      </w:r>
      <w:r w:rsidRPr="00CB4F2E">
        <w:rPr>
          <w:vertAlign w:val="superscript"/>
          <w:lang w:val="fr-FR"/>
        </w:rPr>
        <w:t>er</w:t>
      </w:r>
      <w:r w:rsidRPr="00CB4F2E">
        <w:rPr>
          <w:lang w:val="fr-FR"/>
        </w:rPr>
        <w:t xml:space="preserve"> du Code Pénal dispose que la loi pénale s’applique à tous. L’égalité devant les tribunaux, qui induit un accès libre à la justice et un traitement égal devant le juge, est également affirmée par la Constitution, qui mentionne dans son Préambule, que tout le monde a le droit de se faire rendre justice, et la loi assure à tous le droit de se faire rendre justice.</w:t>
      </w:r>
    </w:p>
    <w:p w14:paraId="558ACE74" w14:textId="77777777" w:rsidR="00ED20A7" w:rsidRDefault="0093676D" w:rsidP="005F1D8A">
      <w:pPr>
        <w:pStyle w:val="SingleTxtG"/>
        <w:numPr>
          <w:ilvl w:val="0"/>
          <w:numId w:val="6"/>
        </w:numPr>
        <w:ind w:left="1134" w:firstLine="0"/>
        <w:rPr>
          <w:lang w:val="fr-FR"/>
        </w:rPr>
      </w:pPr>
      <w:r w:rsidRPr="00CB4F2E">
        <w:t>Outre</w:t>
      </w:r>
      <w:r w:rsidRPr="00CB4F2E">
        <w:rPr>
          <w:lang w:val="fr-FR"/>
        </w:rPr>
        <w:t xml:space="preserve"> la Constitution, des actes visant à prôner l’égalité de tous ont été pris dans un certain nombre de domaines. Ainsi, pour favoriser l’accès des plus démunis à la justice, le Cameroun a adopté la Loi n</w:t>
      </w:r>
      <w:r w:rsidRPr="00CB4F2E">
        <w:rPr>
          <w:vertAlign w:val="superscript"/>
          <w:lang w:val="fr-FR"/>
        </w:rPr>
        <w:t>o</w:t>
      </w:r>
      <w:r w:rsidRPr="00CB4F2E">
        <w:rPr>
          <w:lang w:val="fr-FR"/>
        </w:rPr>
        <w:t> 2009/004 du 14 avril 2009 portant organisation de l’assistance judiciaire, qui prévoit une exonération intégrale ou partielle des frais de justice pour son bénéficiaire.</w:t>
      </w:r>
    </w:p>
    <w:p w14:paraId="6EF66D8F" w14:textId="77777777" w:rsidR="00ED20A7" w:rsidRDefault="0093676D" w:rsidP="005F1D8A">
      <w:pPr>
        <w:pStyle w:val="SingleTxtG"/>
        <w:numPr>
          <w:ilvl w:val="0"/>
          <w:numId w:val="6"/>
        </w:numPr>
        <w:ind w:left="1134" w:firstLine="0"/>
        <w:rPr>
          <w:lang w:val="fr-FR"/>
        </w:rPr>
      </w:pPr>
      <w:r w:rsidRPr="00CB4F2E">
        <w:rPr>
          <w:lang w:val="fr-FR"/>
        </w:rPr>
        <w:lastRenderedPageBreak/>
        <w:t>Dans le domaine de l’éducation, les dispositions de l’article 7 de la Loi n</w:t>
      </w:r>
      <w:r w:rsidRPr="00CB4F2E">
        <w:rPr>
          <w:vertAlign w:val="superscript"/>
          <w:lang w:val="fr-FR"/>
        </w:rPr>
        <w:t>o</w:t>
      </w:r>
      <w:r w:rsidRPr="00CB4F2E">
        <w:rPr>
          <w:lang w:val="fr-FR"/>
        </w:rPr>
        <w:t xml:space="preserve"> 98/04 du 14 avril 1998 portant orientation de l’éducation au Cameroun disposent que </w:t>
      </w:r>
      <w:r w:rsidRPr="00CB4F2E">
        <w:rPr>
          <w:i/>
          <w:lang w:val="fr-FR"/>
        </w:rPr>
        <w:t>«l’</w:t>
      </w:r>
      <w:proofErr w:type="spellStart"/>
      <w:r w:rsidRPr="00CB4F2E">
        <w:rPr>
          <w:i/>
          <w:lang w:val="fr-FR"/>
        </w:rPr>
        <w:t>Etat</w:t>
      </w:r>
      <w:proofErr w:type="spellEnd"/>
      <w:r w:rsidRPr="00CB4F2E">
        <w:rPr>
          <w:i/>
          <w:lang w:val="fr-FR"/>
        </w:rPr>
        <w:t xml:space="preserve"> garantit à tous l’égalité de chances d’accès à l’éducation sans distinction de sexe, d’opinion politique, philosophique et religieuse, d’origine sociale, culturelle, linguistique ou géographique»</w:t>
      </w:r>
      <w:r w:rsidRPr="00CB4F2E">
        <w:rPr>
          <w:lang w:val="fr-FR"/>
        </w:rPr>
        <w:t xml:space="preserve">. </w:t>
      </w:r>
    </w:p>
    <w:p w14:paraId="6CBA962C" w14:textId="11511745" w:rsidR="0093676D" w:rsidRPr="00CB4F2E" w:rsidRDefault="0093676D" w:rsidP="005F1D8A">
      <w:pPr>
        <w:pStyle w:val="SingleTxtG"/>
        <w:numPr>
          <w:ilvl w:val="0"/>
          <w:numId w:val="6"/>
        </w:numPr>
        <w:ind w:left="1134" w:firstLine="0"/>
        <w:rPr>
          <w:lang w:val="fr-FR"/>
        </w:rPr>
      </w:pPr>
      <w:r w:rsidRPr="00CB4F2E">
        <w:rPr>
          <w:lang w:val="fr-FR"/>
        </w:rPr>
        <w:t xml:space="preserve">Dans le domaine politique, le Code </w:t>
      </w:r>
      <w:proofErr w:type="spellStart"/>
      <w:r w:rsidRPr="00CB4F2E">
        <w:rPr>
          <w:lang w:val="fr-FR"/>
        </w:rPr>
        <w:t>Electoral</w:t>
      </w:r>
      <w:proofErr w:type="spellEnd"/>
      <w:r w:rsidRPr="00CB4F2E">
        <w:rPr>
          <w:lang w:val="fr-FR"/>
        </w:rPr>
        <w:t xml:space="preserve"> fait obligation aux partis politiques de prouver la prise en compte des composantes sociologiques de chaque circonscription dans l’élaboration des listes de candidats. La même obligation est faite en ce qui concerne la prise en compte du genre, afin de favoriser l’implication politique des femmes. </w:t>
      </w:r>
    </w:p>
    <w:p w14:paraId="4D200315" w14:textId="77777777" w:rsidR="0093676D" w:rsidRPr="00CB4F2E" w:rsidRDefault="0093676D" w:rsidP="005F1D8A">
      <w:pPr>
        <w:pStyle w:val="SingleTxtG"/>
        <w:numPr>
          <w:ilvl w:val="0"/>
          <w:numId w:val="6"/>
        </w:numPr>
        <w:ind w:left="1134" w:firstLine="0"/>
        <w:rPr>
          <w:lang w:val="fr-FR"/>
        </w:rPr>
      </w:pPr>
      <w:r w:rsidRPr="00CB4F2E">
        <w:rPr>
          <w:b/>
          <w:bCs/>
          <w:lang w:val="fr-FR"/>
        </w:rPr>
        <w:t>Sur le champ des droits civils et politiques</w:t>
      </w:r>
      <w:r w:rsidRPr="00CB4F2E">
        <w:rPr>
          <w:lang w:val="fr-FR"/>
        </w:rPr>
        <w:t>, à l’effet de garantir le droit de tous les ressortissants camerounais à la libre circulation, à une identité et à une nationalité, le Cameroun a d’une part, adhéré</w:t>
      </w:r>
      <w:r w:rsidRPr="00CB4F2E">
        <w:rPr>
          <w:rStyle w:val="FootnoteReference"/>
        </w:rPr>
        <w:footnoteReference w:id="71"/>
      </w:r>
      <w:r w:rsidRPr="00CB4F2E">
        <w:rPr>
          <w:lang w:val="fr-FR"/>
        </w:rPr>
        <w:t xml:space="preserve"> aux Conventions des Nations Unies relatives au statut des apatrides et à la réduction des cas d'apatridie et d’autre part, facilité et accéléré l’enregistrement des faits d’état ainsi que les modalités de délivrance de la carte nationale d’identité et du passeport, à travers la Loi n°2024/016 du 23 décembre 2024 portant organisation du système d’enregistrement des faits d’état civil au Cameroun, le Décret n°2025/059 du 28 février 2025 fixant les caractéristiques et les modalités d'établissement et de délivrance des titres identitaires, et le Décret n°2021/347 du 17 juin 2021 fixant les conditions d'établissement des passeports.</w:t>
      </w:r>
    </w:p>
    <w:p w14:paraId="6023192A" w14:textId="5639BFFF" w:rsidR="0093676D" w:rsidRPr="00CB4F2E" w:rsidRDefault="0093676D" w:rsidP="005F1D8A">
      <w:pPr>
        <w:pStyle w:val="SingleTxtG"/>
        <w:numPr>
          <w:ilvl w:val="0"/>
          <w:numId w:val="6"/>
        </w:numPr>
        <w:ind w:left="1134" w:firstLine="0"/>
        <w:rPr>
          <w:lang w:val="fr-FR"/>
        </w:rPr>
      </w:pPr>
      <w:r w:rsidRPr="00CB4F2E">
        <w:rPr>
          <w:lang w:val="fr-FR"/>
        </w:rPr>
        <w:t>En ce qui concerne l’égal accès aux tribunaux, les commissions d’assistance font régulièrement droit à des demandes, soit à titre d’illustration un taux d’accord de 66,21% en 2023.</w:t>
      </w:r>
      <w:r w:rsidR="0027203C">
        <w:rPr>
          <w:lang w:val="fr-FR"/>
        </w:rPr>
        <w:t xml:space="preserve"> </w:t>
      </w:r>
      <w:r w:rsidRPr="00CB4F2E">
        <w:rPr>
          <w:lang w:val="fr-FR"/>
        </w:rPr>
        <w:t xml:space="preserve">En vue de pousser l’accès inclusif aux services juridiques, les lois et les actes </w:t>
      </w:r>
      <w:proofErr w:type="spellStart"/>
      <w:r w:rsidRPr="00CB4F2E">
        <w:rPr>
          <w:lang w:val="fr-FR"/>
        </w:rPr>
        <w:t>règlementaires</w:t>
      </w:r>
      <w:proofErr w:type="spellEnd"/>
      <w:r w:rsidRPr="00CB4F2E">
        <w:rPr>
          <w:lang w:val="fr-FR"/>
        </w:rPr>
        <w:t xml:space="preserve"> ont été publiés en français et en anglais. Bien plus, l’ENAM a poursuivi l’admission annuelle des auditeurs de Justice et d’élèves greffiers d’expression anglaise, soit 430 élèves depuis 2019.</w:t>
      </w:r>
    </w:p>
    <w:p w14:paraId="3D89469C" w14:textId="77777777" w:rsidR="0093676D" w:rsidRPr="00CB4F2E" w:rsidRDefault="0093676D" w:rsidP="005F1D8A">
      <w:pPr>
        <w:pStyle w:val="SingleTxtG"/>
        <w:numPr>
          <w:ilvl w:val="0"/>
          <w:numId w:val="6"/>
        </w:numPr>
        <w:ind w:left="1134" w:firstLine="0"/>
        <w:rPr>
          <w:lang w:val="fr-FR"/>
        </w:rPr>
      </w:pPr>
      <w:r w:rsidRPr="00CB4F2E">
        <w:rPr>
          <w:lang w:val="fr-FR"/>
        </w:rPr>
        <w:t>En outre, les jeunes, les femmes, les personnes d’expression anglaise, les personnes handicapées, les personnes de la diaspora, entre autres, sont pris en compte dans les processus politiques et décisionnelles. Dans la fonction publique, au nombre des recrues en 2024, l’on comptait 50% de femmes et 19% de personnes d’expression anglaise. Pour ce qui est de l’inscription sur les listes électorales, au 31 août 2024, l’on a enregistré 1 254 438 nouveaux inscrits dont 41,30% de femmes, 64,88% de jeunes, 654 personnes handicapées et 8 830 électeurs de la diaspora.</w:t>
      </w:r>
    </w:p>
    <w:p w14:paraId="5666AD28" w14:textId="77777777" w:rsidR="0093676D" w:rsidRPr="00CB4F2E" w:rsidRDefault="0093676D" w:rsidP="005F1D8A">
      <w:pPr>
        <w:pStyle w:val="SingleTxtG"/>
        <w:numPr>
          <w:ilvl w:val="0"/>
          <w:numId w:val="6"/>
        </w:numPr>
        <w:ind w:left="1134" w:firstLine="0"/>
        <w:rPr>
          <w:lang w:val="fr-FR"/>
        </w:rPr>
      </w:pPr>
      <w:r w:rsidRPr="00CB4F2E">
        <w:rPr>
          <w:lang w:val="fr-FR"/>
        </w:rPr>
        <w:t>S’agissant de la sûreté et de la protection des personnes et de leurs biens, le Cameroun a adopté la Loi n°2024/015 du 23 décembre 2024 régissant la protection civile au Cameroun, qui précise qu’elle doit être mise en œuvre suivant des principaux fondamentaux dont celui de l’équité.</w:t>
      </w:r>
    </w:p>
    <w:p w14:paraId="3C0DB33E" w14:textId="77777777" w:rsidR="0093676D" w:rsidRPr="00CB4F2E" w:rsidRDefault="0093676D" w:rsidP="005F1D8A">
      <w:pPr>
        <w:pStyle w:val="SingleTxtG"/>
        <w:numPr>
          <w:ilvl w:val="0"/>
          <w:numId w:val="6"/>
        </w:numPr>
        <w:ind w:left="1134" w:firstLine="0"/>
        <w:rPr>
          <w:lang w:val="fr-FR"/>
        </w:rPr>
      </w:pPr>
      <w:r w:rsidRPr="00CB4F2E">
        <w:rPr>
          <w:b/>
          <w:bCs/>
          <w:lang w:val="fr-FR"/>
        </w:rPr>
        <w:t>S’agissant des droits économiques, sociaux et culturels</w:t>
      </w:r>
      <w:r w:rsidRPr="00CB4F2E">
        <w:rPr>
          <w:lang w:val="fr-FR"/>
        </w:rPr>
        <w:t>, d</w:t>
      </w:r>
      <w:r w:rsidRPr="00CB4F2E">
        <w:rPr>
          <w:iCs/>
          <w:lang w:val="fr-FR"/>
        </w:rPr>
        <w:t>ans le domaine du travail et de la sécurité sociale</w:t>
      </w:r>
      <w:r w:rsidRPr="00CB4F2E">
        <w:rPr>
          <w:lang w:val="fr-FR"/>
        </w:rPr>
        <w:t>, en réponse au renchérissement du coût de la vie, source de discrimination de fait liée au niveau de fortune, sont intervenus le Décret n°2020/376 du 8 juillet 2020 fixant le coefficient de revalorisation de certaines pensions de vieillesse, d’invalidité et de décès et des appuis au secteur productif, le Décret n°2020/802 du 30 décembre 2020 portant harmonisation de l’âge de départ à la retraite des fonctionnaires, ainsi que le Décret n°2023/00338/PM du 21 mars 2023 qui a relevé le Salaire Minimum Interprofessionnel Garanti</w:t>
      </w:r>
      <w:r w:rsidRPr="00CB4F2E">
        <w:rPr>
          <w:rStyle w:val="FootnoteReference"/>
        </w:rPr>
        <w:footnoteReference w:id="72"/>
      </w:r>
      <w:r w:rsidRPr="00CB4F2E">
        <w:rPr>
          <w:lang w:val="fr-FR"/>
        </w:rPr>
        <w:t>.</w:t>
      </w:r>
    </w:p>
    <w:p w14:paraId="74A237F3" w14:textId="77777777" w:rsidR="0093676D" w:rsidRPr="00CB4F2E" w:rsidRDefault="0093676D" w:rsidP="005F1D8A">
      <w:pPr>
        <w:pStyle w:val="SingleTxtG"/>
        <w:numPr>
          <w:ilvl w:val="0"/>
          <w:numId w:val="6"/>
        </w:numPr>
        <w:ind w:left="1134" w:firstLine="0"/>
        <w:rPr>
          <w:lang w:val="fr-FR"/>
        </w:rPr>
      </w:pPr>
      <w:r w:rsidRPr="00CB4F2E">
        <w:rPr>
          <w:lang w:val="fr-FR"/>
        </w:rPr>
        <w:t xml:space="preserve">Dans sa politique tendant à l’accès universel aux services préventifs, curatifs, palliatifs, de réadaptation et de promotion de la santé, le Cameroun a mis en place la Couverture Santé Universelle (§ 28). </w:t>
      </w:r>
      <w:proofErr w:type="spellStart"/>
      <w:r w:rsidRPr="00CB4F2E">
        <w:rPr>
          <w:lang w:val="fr-FR"/>
        </w:rPr>
        <w:t>Elargissant</w:t>
      </w:r>
      <w:proofErr w:type="spellEnd"/>
      <w:r w:rsidRPr="00CB4F2E">
        <w:rPr>
          <w:lang w:val="fr-FR"/>
        </w:rPr>
        <w:t xml:space="preserve"> davantage le spectre de l’offre universelle de soin de santé, y compris de santé reproductive, le Cameroun a adopté la Loi n°2022/014 du 14 juillet 2022 relative à la procréation médicalement assistée et la Loi n°2024/018 du 23 décembre 2024 portant exercice et organisation de la médecine traditionnelle au Cameroun</w:t>
      </w:r>
    </w:p>
    <w:p w14:paraId="237AC4D0" w14:textId="77777777" w:rsidR="00ED20A7" w:rsidRDefault="0093676D" w:rsidP="005F1D8A">
      <w:pPr>
        <w:pStyle w:val="SingleTxtG"/>
        <w:numPr>
          <w:ilvl w:val="0"/>
          <w:numId w:val="6"/>
        </w:numPr>
        <w:ind w:left="1134" w:firstLine="0"/>
      </w:pPr>
      <w:r w:rsidRPr="00CB4F2E">
        <w:t xml:space="preserve">Dans le secteur de l’éducation et de la formation, la Loi n°2018/010 du 11 juillet 2018 régissant la formation professionnelle au Cameroun et la Loi n°2023/007 du 25 juillet 2023 </w:t>
      </w:r>
      <w:r w:rsidRPr="00CB4F2E">
        <w:lastRenderedPageBreak/>
        <w:t xml:space="preserve">portant orientation de l'enseignement supérieur au Cameroun ont fixé le principe de l’égalité d’accès. </w:t>
      </w:r>
    </w:p>
    <w:p w14:paraId="5C916FFE" w14:textId="77777777" w:rsidR="00ED20A7" w:rsidRDefault="0093676D" w:rsidP="005F1D8A">
      <w:pPr>
        <w:pStyle w:val="SingleTxtG"/>
        <w:numPr>
          <w:ilvl w:val="0"/>
          <w:numId w:val="6"/>
        </w:numPr>
        <w:ind w:left="1134" w:firstLine="0"/>
      </w:pPr>
      <w:r w:rsidRPr="00CB4F2E">
        <w:t>Pour ce qui est de l’égal l'accès à tous lieux et services destinés à l'usage du public, la Loi n°2023/010 du 25 juillet 2023 régissant le secteur ferroviaire au Cameroun précise que le transport ferroviaire à destination du public est guidé, entre autres, par le principe de l’égalité. Dans la même veine, la Loi n°2021/024 du 16 décembre 2021 portant organisation et promotion de la filière du livre a prescrit à l’</w:t>
      </w:r>
      <w:proofErr w:type="spellStart"/>
      <w:r w:rsidRPr="00CB4F2E">
        <w:t>Etat</w:t>
      </w:r>
      <w:proofErr w:type="spellEnd"/>
      <w:r w:rsidRPr="00CB4F2E">
        <w:t xml:space="preserve"> du Cameroun d’encourager l'édition du livre en langues nationales et sa traduction dans les 2 langues officielles.</w:t>
      </w:r>
    </w:p>
    <w:p w14:paraId="0D258DFD" w14:textId="23CB33BB" w:rsidR="00ED20A7" w:rsidRDefault="00423320" w:rsidP="00423320">
      <w:pPr>
        <w:pStyle w:val="H1G"/>
        <w:rPr>
          <w:i/>
        </w:rPr>
      </w:pPr>
      <w:bookmarkStart w:id="149" w:name="_Toc210646380"/>
      <w:r>
        <w:tab/>
      </w:r>
      <w:r w:rsidR="0093676D" w:rsidRPr="00CB4F2E">
        <w:t>B.</w:t>
      </w:r>
      <w:r>
        <w:tab/>
      </w:r>
      <w:r w:rsidR="0093676D" w:rsidRPr="00CB4F2E">
        <w:t>Les recours utiles</w:t>
      </w:r>
      <w:bookmarkEnd w:id="149"/>
    </w:p>
    <w:p w14:paraId="2F07DE93" w14:textId="77777777" w:rsidR="00ED20A7" w:rsidRDefault="0093676D" w:rsidP="005F1D8A">
      <w:pPr>
        <w:pStyle w:val="SingleTxtG"/>
        <w:numPr>
          <w:ilvl w:val="0"/>
          <w:numId w:val="6"/>
        </w:numPr>
        <w:ind w:left="1134" w:firstLine="0"/>
        <w:rPr>
          <w:b/>
          <w:lang w:val="fr-FR"/>
        </w:rPr>
      </w:pPr>
      <w:r w:rsidRPr="00CB4F2E">
        <w:rPr>
          <w:lang w:val="fr-FR"/>
        </w:rPr>
        <w:t xml:space="preserve">Les recours sont ouverts devant les juridictions civiles, pénales et administratives, à toute personne victime de violations de ses droits. En effet, tout citoyen camerounais ou résident peut saisir les tribunaux nationaux compétents pour se faire rendre justice. </w:t>
      </w:r>
    </w:p>
    <w:p w14:paraId="5231361A" w14:textId="77777777" w:rsidR="00ED20A7" w:rsidRDefault="0093676D" w:rsidP="005F1D8A">
      <w:pPr>
        <w:pStyle w:val="SingleTxtG"/>
        <w:numPr>
          <w:ilvl w:val="0"/>
          <w:numId w:val="6"/>
        </w:numPr>
        <w:ind w:left="1134" w:firstLine="0"/>
        <w:rPr>
          <w:lang w:val="fr-FR"/>
        </w:rPr>
      </w:pPr>
      <w:r w:rsidRPr="00CB4F2E">
        <w:rPr>
          <w:lang w:val="fr-FR"/>
        </w:rPr>
        <w:t>Le principe du double degré de juridiction est garanti dans toutes les matières, avec la possibilité pour les justiciables de relever appel contre les décisions rendues par les juridictions d’instance. Ainsi, en matière pénale, l’article 436 du CPP prévoit que «</w:t>
      </w:r>
      <w:r w:rsidRPr="00CB4F2E">
        <w:rPr>
          <w:i/>
          <w:lang w:val="fr-FR"/>
        </w:rPr>
        <w:t xml:space="preserve">Tout jugement, y compris les jugements rendus par un tribunal militaire est, sauf dispositions contraires de la loi, susceptible d’appel </w:t>
      </w:r>
      <w:r w:rsidRPr="00CB4F2E">
        <w:rPr>
          <w:lang w:val="fr-FR"/>
        </w:rPr>
        <w:t xml:space="preserve">». L’appel contre les décisions des juridictions militaires est porté devant les juridictions civiles, en l’occurrence les Cours d’Appel. </w:t>
      </w:r>
    </w:p>
    <w:p w14:paraId="2FCD2E25" w14:textId="77777777" w:rsidR="00ED20A7" w:rsidRDefault="0093676D" w:rsidP="005F1D8A">
      <w:pPr>
        <w:pStyle w:val="SingleTxtG"/>
        <w:numPr>
          <w:ilvl w:val="0"/>
          <w:numId w:val="6"/>
        </w:numPr>
        <w:ind w:left="1134" w:firstLine="0"/>
        <w:rPr>
          <w:b/>
          <w:lang w:val="fr-FR"/>
        </w:rPr>
      </w:pPr>
      <w:r w:rsidRPr="00CB4F2E">
        <w:rPr>
          <w:lang w:val="fr-FR"/>
        </w:rPr>
        <w:t xml:space="preserve">En outre, l’opposition, la tierce-opposition, le pourvoi en cassation, le recours en révision et le recours en rectification d’erreur matérielle, sont également ouverts aux justiciables. </w:t>
      </w:r>
    </w:p>
    <w:p w14:paraId="47514EF5" w14:textId="77777777" w:rsidR="00ED20A7" w:rsidRDefault="0093676D" w:rsidP="005F1D8A">
      <w:pPr>
        <w:pStyle w:val="SingleTxtG"/>
        <w:numPr>
          <w:ilvl w:val="0"/>
          <w:numId w:val="6"/>
        </w:numPr>
        <w:ind w:left="1134" w:firstLine="0"/>
        <w:rPr>
          <w:b/>
          <w:lang w:val="fr-FR"/>
        </w:rPr>
      </w:pPr>
      <w:r w:rsidRPr="00CB4F2E">
        <w:rPr>
          <w:lang w:val="fr-FR"/>
        </w:rPr>
        <w:t>Afin de garantir le droit à la liberté et à la sûreté des personnes et les protéger contre des arrestations ou des détentions illégales et arbitraires, le recours en libération immédiate (</w:t>
      </w:r>
      <w:r w:rsidRPr="00CB4F2E">
        <w:rPr>
          <w:i/>
          <w:lang w:val="fr-FR"/>
        </w:rPr>
        <w:t>habeas corpus</w:t>
      </w:r>
      <w:r w:rsidRPr="00CB4F2E">
        <w:rPr>
          <w:lang w:val="fr-FR"/>
        </w:rPr>
        <w:t>), prévu par les articles 585 et suivants du CPP, peut être introduit devant le Président du TGI.</w:t>
      </w:r>
    </w:p>
    <w:p w14:paraId="4F0ABA13" w14:textId="77777777" w:rsidR="00ED20A7" w:rsidRDefault="0093676D" w:rsidP="005F1D8A">
      <w:pPr>
        <w:pStyle w:val="SingleTxtG"/>
        <w:numPr>
          <w:ilvl w:val="0"/>
          <w:numId w:val="6"/>
        </w:numPr>
        <w:ind w:left="1134" w:firstLine="0"/>
        <w:rPr>
          <w:lang w:val="fr-FR"/>
        </w:rPr>
      </w:pPr>
      <w:r w:rsidRPr="00CB4F2E">
        <w:t>Par</w:t>
      </w:r>
      <w:r w:rsidRPr="00CB4F2E">
        <w:rPr>
          <w:lang w:val="fr-FR"/>
        </w:rPr>
        <w:t xml:space="preserve"> ailleurs, un recours </w:t>
      </w:r>
      <w:proofErr w:type="spellStart"/>
      <w:r w:rsidRPr="00CB4F2E">
        <w:rPr>
          <w:lang w:val="fr-FR"/>
        </w:rPr>
        <w:t>extrajudiciaire</w:t>
      </w:r>
      <w:proofErr w:type="spellEnd"/>
      <w:r w:rsidRPr="00CB4F2E">
        <w:rPr>
          <w:lang w:val="fr-FR"/>
        </w:rPr>
        <w:t xml:space="preserve"> est prévu pour les personnes victimes de violations de leurs droits humains auprès de la CDHC. Cette institution peut également s’auto-saisir de toute affaire en lien avec la violation des Droits de l’Homme.</w:t>
      </w:r>
    </w:p>
    <w:p w14:paraId="08563FFD" w14:textId="68405729" w:rsidR="00ED20A7" w:rsidRDefault="0093676D" w:rsidP="005F1D8A">
      <w:pPr>
        <w:pStyle w:val="SingleTxtG"/>
        <w:numPr>
          <w:ilvl w:val="0"/>
          <w:numId w:val="6"/>
        </w:numPr>
        <w:ind w:left="1134" w:firstLine="0"/>
        <w:rPr>
          <w:lang w:val="fr-FR"/>
        </w:rPr>
      </w:pPr>
      <w:r w:rsidRPr="00CB4F2E">
        <w:rPr>
          <w:lang w:val="fr-FR"/>
        </w:rPr>
        <w:t>Les autorités administratives (Gouverneurs, Préfets, Sous-préfets), régionales (Présidents des conseils régionaux) et municipales (Maires), peuvent également être saisies des recours des populations, notamment en ce qui concerne les droits économiques, sociaux et culturels.</w:t>
      </w:r>
      <w:r w:rsidR="0027203C">
        <w:rPr>
          <w:lang w:val="fr-FR"/>
        </w:rPr>
        <w:t xml:space="preserve"> </w:t>
      </w:r>
    </w:p>
    <w:p w14:paraId="440D7CA9" w14:textId="6143FD38" w:rsidR="0093676D" w:rsidRPr="00CB4F2E" w:rsidRDefault="0093676D" w:rsidP="005F1D8A">
      <w:pPr>
        <w:pStyle w:val="SingleTxtG"/>
        <w:numPr>
          <w:ilvl w:val="0"/>
          <w:numId w:val="6"/>
        </w:numPr>
        <w:ind w:left="1134" w:firstLine="0"/>
        <w:rPr>
          <w:b/>
          <w:lang w:val="fr-FR"/>
        </w:rPr>
      </w:pPr>
      <w:r w:rsidRPr="00CB4F2E">
        <w:rPr>
          <w:lang w:val="fr-FR"/>
        </w:rPr>
        <w:t>Après épuisement des recours internes, la personne lésée peut saisir les organes de traités des Nations Unies ou les mécanismes africains de promotion et de protection des Droits de l’Homme (à l’instar de la Commission africaine des Droits de l’Homme et des peuples et du Comité africain d’experts sur les droits et le bien-être de l’enfant).</w:t>
      </w:r>
    </w:p>
    <w:p w14:paraId="54742AE9" w14:textId="6913806B" w:rsidR="0093676D" w:rsidRPr="00CB4F2E" w:rsidRDefault="00423320" w:rsidP="00423320">
      <w:pPr>
        <w:pStyle w:val="H1G"/>
        <w:rPr>
          <w:i/>
        </w:rPr>
      </w:pPr>
      <w:bookmarkStart w:id="150" w:name="_Toc210646381"/>
      <w:r>
        <w:tab/>
      </w:r>
      <w:r w:rsidR="0093676D" w:rsidRPr="00CB4F2E">
        <w:t>C.</w:t>
      </w:r>
      <w:r>
        <w:tab/>
      </w:r>
      <w:r w:rsidR="0093676D" w:rsidRPr="00CB4F2E">
        <w:t>Les garanties procédurales</w:t>
      </w:r>
      <w:bookmarkEnd w:id="150"/>
    </w:p>
    <w:p w14:paraId="7EC7E6AD" w14:textId="77777777" w:rsidR="0093676D" w:rsidRPr="00CB4F2E" w:rsidRDefault="0093676D" w:rsidP="005F1D8A">
      <w:pPr>
        <w:pStyle w:val="SingleTxtG"/>
        <w:numPr>
          <w:ilvl w:val="0"/>
          <w:numId w:val="6"/>
        </w:numPr>
        <w:ind w:left="1134" w:firstLine="0"/>
      </w:pPr>
      <w:r w:rsidRPr="00CB4F2E">
        <w:t>La législation camerounaise a aménagé des garanties au profit des parties à toutes les phases d’une procédure judiciaire, notamment à l’enquête, à l’information judiciaire et à la phase de jugement.</w:t>
      </w:r>
    </w:p>
    <w:p w14:paraId="55E9714F" w14:textId="2E15FC0F" w:rsidR="0093676D" w:rsidRPr="00CB4F2E" w:rsidRDefault="00423320" w:rsidP="00423320">
      <w:pPr>
        <w:pStyle w:val="H23G"/>
      </w:pPr>
      <w:bookmarkStart w:id="151" w:name="_Toc210646382"/>
      <w:r>
        <w:tab/>
      </w:r>
      <w:r>
        <w:tab/>
      </w:r>
      <w:r w:rsidR="0093676D" w:rsidRPr="00CB4F2E">
        <w:t>A la phase d’enquête</w:t>
      </w:r>
      <w:bookmarkEnd w:id="151"/>
    </w:p>
    <w:p w14:paraId="6F527EF5" w14:textId="6FF9B890" w:rsidR="00ED20A7" w:rsidRDefault="0093676D" w:rsidP="005F1D8A">
      <w:pPr>
        <w:pStyle w:val="SingleTxtG"/>
        <w:numPr>
          <w:ilvl w:val="0"/>
          <w:numId w:val="6"/>
        </w:numPr>
        <w:ind w:left="1134" w:firstLine="0"/>
      </w:pPr>
      <w:r w:rsidRPr="00CB4F2E">
        <w:t>Le CPP prévoit les garanties procédurales suivantes à la phase d’enquête : l’interdiction des arrestations arbitraires</w:t>
      </w:r>
      <w:r w:rsidR="0027203C">
        <w:t>;</w:t>
      </w:r>
      <w:r w:rsidRPr="00CB4F2E">
        <w:t xml:space="preserve"> l’opportunité pour le suspect de communiquer avec sa famille, notamment pour l'informer de son arrestation et du lieu où il est conduit</w:t>
      </w:r>
      <w:r w:rsidR="0027203C">
        <w:t>;</w:t>
      </w:r>
      <w:r w:rsidRPr="00CB4F2E">
        <w:t xml:space="preserve"> le droit pour le suspect de garder le silence, de se faire assister d’un conseil et de se faire examiner par un médecin</w:t>
      </w:r>
      <w:r w:rsidR="0027203C">
        <w:t>;</w:t>
      </w:r>
      <w:r w:rsidRPr="00CB4F2E">
        <w:t xml:space="preserve"> le droit d’être informé de la décision et des motifs de la garde à vue</w:t>
      </w:r>
      <w:r w:rsidR="0027203C">
        <w:t>;</w:t>
      </w:r>
      <w:r w:rsidRPr="00CB4F2E">
        <w:t xml:space="preserve"> la garde à vue des hommes, femmes et enfants dans les cellules distinctes</w:t>
      </w:r>
      <w:r w:rsidR="0027203C">
        <w:t>;</w:t>
      </w:r>
      <w:r w:rsidRPr="00CB4F2E">
        <w:t xml:space="preserve"> le droit au repos durant les auditions</w:t>
      </w:r>
      <w:r w:rsidR="0027203C">
        <w:t>;</w:t>
      </w:r>
      <w:r w:rsidRPr="00CB4F2E">
        <w:t xml:space="preserve"> l’interdiction de la torture et des traitements cruels, inhumains ou dégradants</w:t>
      </w:r>
      <w:r w:rsidR="0027203C">
        <w:t>;</w:t>
      </w:r>
      <w:r w:rsidRPr="00CB4F2E">
        <w:t xml:space="preserve"> le droit à l’alimentation aux frais de l’</w:t>
      </w:r>
      <w:proofErr w:type="spellStart"/>
      <w:r w:rsidRPr="00CB4F2E">
        <w:t>Etat</w:t>
      </w:r>
      <w:proofErr w:type="spellEnd"/>
      <w:r w:rsidRPr="00CB4F2E">
        <w:t xml:space="preserve"> durant la garde à vue. </w:t>
      </w:r>
    </w:p>
    <w:p w14:paraId="5D3A456F" w14:textId="77777777" w:rsidR="00ED20A7" w:rsidRDefault="0093676D" w:rsidP="005F1D8A">
      <w:pPr>
        <w:pStyle w:val="SingleTxtG"/>
        <w:numPr>
          <w:ilvl w:val="0"/>
          <w:numId w:val="6"/>
        </w:numPr>
        <w:ind w:left="1134" w:firstLine="0"/>
      </w:pPr>
      <w:r w:rsidRPr="00CB4F2E">
        <w:lastRenderedPageBreak/>
        <w:t>L’article 31 du CPP résume certains de ces droits en ces termes : «</w:t>
      </w:r>
      <w:r w:rsidRPr="00CB4F2E">
        <w:rPr>
          <w:i/>
        </w:rPr>
        <w:t>Sauf cas de crime ou de délit flagrant, celui qui procède à une arrestation doit décliner son identité, informer la personne du motif de l’arrestation et le cas échéant, permettre à un tiers d’accompagner la personne arrêtée afin de s’assurer du lieu où elle est conduite ».</w:t>
      </w:r>
    </w:p>
    <w:p w14:paraId="2250BA04" w14:textId="77777777" w:rsidR="00ED20A7" w:rsidRDefault="0093676D" w:rsidP="005F1D8A">
      <w:pPr>
        <w:pStyle w:val="SingleTxtG"/>
        <w:numPr>
          <w:ilvl w:val="0"/>
          <w:numId w:val="6"/>
        </w:numPr>
        <w:ind w:left="1134" w:firstLine="0"/>
        <w:rPr>
          <w:lang w:val="fr-FR"/>
        </w:rPr>
      </w:pPr>
      <w:r w:rsidRPr="00CB4F2E">
        <w:rPr>
          <w:lang w:val="fr-FR"/>
        </w:rPr>
        <w:t>Afin d’assurer le respect de ces droits, les contrôles de chambres de sûreté sont régulièrement effectués par les chefs de parquets, les responsables des unités de police et de gendarmerie, ainsi que la Division spéciale de contrôle de services (police des polices).</w:t>
      </w:r>
    </w:p>
    <w:p w14:paraId="1429A160" w14:textId="3C349901" w:rsidR="00ED20A7" w:rsidRDefault="0093676D" w:rsidP="005F1D8A">
      <w:pPr>
        <w:pStyle w:val="SingleTxtG"/>
        <w:numPr>
          <w:ilvl w:val="0"/>
          <w:numId w:val="6"/>
        </w:numPr>
        <w:ind w:left="1134" w:firstLine="0"/>
        <w:rPr>
          <w:lang w:val="fr-FR"/>
        </w:rPr>
      </w:pPr>
      <w:r w:rsidRPr="00CB4F2E">
        <w:rPr>
          <w:lang w:val="fr-FR"/>
        </w:rPr>
        <w:t>Le cadre normatif national et international est régulièrement renforcé par les circulaires et notes de service qui viennent rappeler et préciser les dispositions relatives aux droits et libertés ainsi que la nécessité de les respecter. C’est le cas de la circulaire n</w:t>
      </w:r>
      <w:r w:rsidRPr="00CB4F2E">
        <w:rPr>
          <w:vertAlign w:val="superscript"/>
          <w:lang w:val="fr-FR"/>
        </w:rPr>
        <w:t>o</w:t>
      </w:r>
      <w:r w:rsidRPr="00CB4F2E">
        <w:rPr>
          <w:lang w:val="fr-FR"/>
        </w:rPr>
        <w:t> 00700/SESI du 23 juin 1993 relative aux sévices et traitements cruels et inhumains, destinée aux responsables des services centraux et extérieurs de la Sûreté nationale, par laquelle le Délégué Général à la Sûreté Nationale avait prescrit les mesures à appliquer dans tous les services et unités avec la plus grande rigueur, à savoir que : seuls les commissaires et officiers de police sont habilités à placer des individus en garde à vue et ce, sous le contrôle permanent du Procureur de la République</w:t>
      </w:r>
      <w:r w:rsidR="0027203C">
        <w:rPr>
          <w:lang w:val="fr-FR"/>
        </w:rPr>
        <w:t>;</w:t>
      </w:r>
      <w:r w:rsidRPr="00CB4F2E">
        <w:rPr>
          <w:lang w:val="fr-FR"/>
        </w:rPr>
        <w:t xml:space="preserve"> les responsables des commissariats de sécurité publique et les chefs d’unités de police judiciaire doivent contrôler tous les matins, la situation des gardés à vue, afin de déceler à temps les malades éventuels qui devront aussitôt être conduits à l’hôpital pour des soins médicaux appropriés</w:t>
      </w:r>
      <w:r w:rsidR="0027203C">
        <w:rPr>
          <w:lang w:val="fr-FR"/>
        </w:rPr>
        <w:t>;</w:t>
      </w:r>
      <w:r w:rsidRPr="00CB4F2E">
        <w:rPr>
          <w:lang w:val="fr-FR"/>
        </w:rPr>
        <w:t xml:space="preserve"> les registres des gardés à vue sont visés chaque jour par les mêmes responsables qui s’enquièrent de la présence effective et de la bonne santé des personnes en cellule</w:t>
      </w:r>
      <w:r w:rsidR="0027203C">
        <w:rPr>
          <w:lang w:val="fr-FR"/>
        </w:rPr>
        <w:t>;</w:t>
      </w:r>
      <w:r w:rsidRPr="00CB4F2E">
        <w:rPr>
          <w:lang w:val="fr-FR"/>
        </w:rPr>
        <w:t xml:space="preserve"> l’interdiction de tout traitement inhumain ou dégradant dans les commissariats. </w:t>
      </w:r>
    </w:p>
    <w:p w14:paraId="3B6CDE90" w14:textId="77777777" w:rsidR="00ED20A7" w:rsidRDefault="0093676D" w:rsidP="005F1D8A">
      <w:pPr>
        <w:pStyle w:val="SingleTxtG"/>
        <w:numPr>
          <w:ilvl w:val="0"/>
          <w:numId w:val="6"/>
        </w:numPr>
        <w:ind w:left="1134" w:firstLine="0"/>
        <w:rPr>
          <w:lang w:val="fr-FR"/>
        </w:rPr>
      </w:pPr>
      <w:r w:rsidRPr="00CB4F2E">
        <w:rPr>
          <w:lang w:val="fr-FR"/>
        </w:rPr>
        <w:t>Le contenu de cette circulaire a été renforcé par la Circulaire n</w:t>
      </w:r>
      <w:r w:rsidRPr="00CB4F2E">
        <w:rPr>
          <w:vertAlign w:val="superscript"/>
          <w:lang w:val="fr-FR"/>
        </w:rPr>
        <w:t>o</w:t>
      </w:r>
      <w:r w:rsidRPr="00CB4F2E">
        <w:rPr>
          <w:lang w:val="fr-FR"/>
        </w:rPr>
        <w:t> 00001806/ DGSN/SG/SDD du 22 juin 2011, qui astreint les responsables au suivi de leurs collaborateurs sur le terrain, et les rend comptables des actes d’indélicatesse commis par les intéressés, du fait de leur manquement.</w:t>
      </w:r>
    </w:p>
    <w:p w14:paraId="1910FDCA" w14:textId="0B3FA7DC" w:rsidR="0093676D" w:rsidRPr="00CB4F2E" w:rsidRDefault="0093676D" w:rsidP="005F1D8A">
      <w:pPr>
        <w:pStyle w:val="SingleTxtG"/>
        <w:numPr>
          <w:ilvl w:val="0"/>
          <w:numId w:val="6"/>
        </w:numPr>
        <w:ind w:left="1134" w:firstLine="0"/>
        <w:rPr>
          <w:i/>
        </w:rPr>
      </w:pPr>
      <w:r w:rsidRPr="00CB4F2E">
        <w:t>Dans</w:t>
      </w:r>
      <w:r w:rsidRPr="00CB4F2E">
        <w:rPr>
          <w:bCs/>
        </w:rPr>
        <w:t xml:space="preserve"> la même veine, dans la Lettre-Circulaire n° 190256/DV/MINDEF/01 du 18 janvier 2019 adressée à tous les Services de défense et de sécurité placés sous sa responsabilité, le Ministre en charge de la Défense a rappelé le principe de l’interdiction des violences. Ce rappel a été suivi de prescriptions fermes aux fins d’ouverture d’enquêtes et d’initiation des poursuites contre les auteurs et complices de tels actes. Dans la même Lettre-Circulaire, le Ministre de la Défense a également donné des prescriptions spécifiques aux responsables militaires des régions en crise, à l’effet d’assurer une formation continue et permanente en matière d’usage de la force à tous les personnels placés sous leur autorité, conformément aux principes de base des Nations Unies et de l’Union Africaine y relatifs.</w:t>
      </w:r>
      <w:r w:rsidR="0027203C">
        <w:rPr>
          <w:bCs/>
        </w:rPr>
        <w:t xml:space="preserve"> </w:t>
      </w:r>
      <w:r w:rsidRPr="00CB4F2E">
        <w:rPr>
          <w:bCs/>
        </w:rPr>
        <w:t>Par ailleurs, par Note n° 00000153/MRP/GN/244 du 23 janvier 2019, le Secrétaire d’</w:t>
      </w:r>
      <w:proofErr w:type="spellStart"/>
      <w:r w:rsidRPr="00CB4F2E">
        <w:rPr>
          <w:bCs/>
        </w:rPr>
        <w:t>Etat</w:t>
      </w:r>
      <w:proofErr w:type="spellEnd"/>
      <w:r w:rsidRPr="00CB4F2E">
        <w:rPr>
          <w:bCs/>
        </w:rPr>
        <w:t xml:space="preserve"> </w:t>
      </w:r>
      <w:r w:rsidRPr="00CB4F2E">
        <w:t xml:space="preserve">auprès du Ministre de la </w:t>
      </w:r>
      <w:r w:rsidRPr="00CB4F2E">
        <w:rPr>
          <w:iCs/>
        </w:rPr>
        <w:t>Défense</w:t>
      </w:r>
      <w:r w:rsidRPr="00CB4F2E">
        <w:rPr>
          <w:bCs/>
        </w:rPr>
        <w:t xml:space="preserve"> chargé de la Gendarmerie Nationale a relayé aux Services de la Gendarmerie, des instructions allant dans le même sens que celles contenues dans la Lettre-Circulaire du Ministre de la Défense.</w:t>
      </w:r>
    </w:p>
    <w:p w14:paraId="3BE4FD35" w14:textId="5CE10410" w:rsidR="0093676D" w:rsidRPr="00CB4F2E" w:rsidRDefault="00423320" w:rsidP="00423320">
      <w:pPr>
        <w:pStyle w:val="H23G"/>
      </w:pPr>
      <w:bookmarkStart w:id="152" w:name="_Toc210646383"/>
      <w:r>
        <w:tab/>
      </w:r>
      <w:r>
        <w:tab/>
      </w:r>
      <w:r w:rsidR="0093676D" w:rsidRPr="00CB4F2E">
        <w:t>A la phase de l’information judiciaire</w:t>
      </w:r>
      <w:bookmarkEnd w:id="152"/>
    </w:p>
    <w:p w14:paraId="5AD2B763" w14:textId="37775A07" w:rsidR="0093676D" w:rsidRPr="00CB4F2E" w:rsidRDefault="0093676D" w:rsidP="005F1D8A">
      <w:pPr>
        <w:pStyle w:val="SingleTxtG"/>
        <w:numPr>
          <w:ilvl w:val="0"/>
          <w:numId w:val="6"/>
        </w:numPr>
        <w:ind w:left="1134" w:firstLine="0"/>
        <w:rPr>
          <w:lang w:val="fr-FR"/>
        </w:rPr>
      </w:pPr>
      <w:r w:rsidRPr="00CB4F2E">
        <w:rPr>
          <w:lang w:val="fr-FR"/>
        </w:rPr>
        <w:t xml:space="preserve">A la phase de l’information judiciaire, les garanties procédurales sont, entre autres : le droit </w:t>
      </w:r>
      <w:r w:rsidRPr="00980BBC">
        <w:rPr>
          <w:bCs/>
        </w:rPr>
        <w:t>d’être</w:t>
      </w:r>
      <w:r w:rsidRPr="00CB4F2E">
        <w:rPr>
          <w:lang w:val="fr-FR"/>
        </w:rPr>
        <w:t xml:space="preserve"> informé des motifs de l’inculpation</w:t>
      </w:r>
      <w:r w:rsidR="0027203C">
        <w:rPr>
          <w:lang w:val="fr-FR"/>
        </w:rPr>
        <w:t>;</w:t>
      </w:r>
      <w:r w:rsidRPr="00CB4F2E">
        <w:rPr>
          <w:lang w:val="fr-FR"/>
        </w:rPr>
        <w:t xml:space="preserve"> le délai de préparation de la défense : l’avocat constitué doit être avisé de la date et de l’heure de comparution au moins quarante-huit (48) heures avant le jour de cette comparution si le conseil réside au siège du tribunal, et soixante-douze (72) heures s’il réside hors du siège du tribunal, par tout moyen laissant trace écrite (</w:t>
      </w:r>
      <w:r w:rsidRPr="00980BBC">
        <w:rPr>
          <w:bCs/>
        </w:rPr>
        <w:t>article</w:t>
      </w:r>
      <w:r w:rsidRPr="00CB4F2E">
        <w:rPr>
          <w:lang w:val="fr-FR"/>
        </w:rPr>
        <w:t> 172 (2) du CPP).</w:t>
      </w:r>
      <w:r w:rsidR="0027203C">
        <w:rPr>
          <w:lang w:val="fr-FR"/>
        </w:rPr>
        <w:t xml:space="preserve"> </w:t>
      </w:r>
      <w:r w:rsidRPr="00CB4F2E">
        <w:rPr>
          <w:lang w:val="fr-FR"/>
        </w:rPr>
        <w:t>Le dossier de procédure est tenu à la disposition de l’avocat au cabinet d’instruction, vingt-quatre (24) heures avant chaque interrogatoire ou confrontation de son client (article 172 (3) du CPP)</w:t>
      </w:r>
      <w:r w:rsidR="0027203C">
        <w:rPr>
          <w:lang w:val="fr-FR"/>
        </w:rPr>
        <w:t>;</w:t>
      </w:r>
      <w:r w:rsidRPr="00CB4F2E">
        <w:rPr>
          <w:lang w:val="fr-FR"/>
        </w:rPr>
        <w:t xml:space="preserve"> la limitation du délai de détention provisoire, qui ne peut excéder 12 mois en matière délictuelle et 18 mois en matière criminelle, prorogations comprises (article 221 du CPP)</w:t>
      </w:r>
      <w:r w:rsidR="0027203C">
        <w:rPr>
          <w:lang w:val="fr-FR"/>
        </w:rPr>
        <w:t>;</w:t>
      </w:r>
      <w:r w:rsidRPr="00CB4F2E">
        <w:rPr>
          <w:lang w:val="fr-FR"/>
        </w:rPr>
        <w:t xml:space="preserve"> le droit de présenter les témoins: le CPP autorise le juge d’instruction à convoquer ou à faire citer tout témoin dont la déposition lui paraît utile à la manifestation de la vérité; le libre choix du conseil</w:t>
      </w:r>
      <w:r w:rsidR="0027203C">
        <w:rPr>
          <w:lang w:val="fr-FR"/>
        </w:rPr>
        <w:t>;</w:t>
      </w:r>
      <w:r w:rsidRPr="00CB4F2E">
        <w:rPr>
          <w:lang w:val="fr-FR"/>
        </w:rPr>
        <w:t xml:space="preserve"> le droit de l’inculpé détenu de recevoir les visites et de correspondre avec les personnes vivant à l’extérieur de la prison. L’article 239 (1) du CPP dispose</w:t>
      </w:r>
      <w:r w:rsidR="0027203C">
        <w:rPr>
          <w:lang w:val="fr-FR"/>
        </w:rPr>
        <w:t xml:space="preserve"> </w:t>
      </w:r>
      <w:r w:rsidRPr="00CB4F2E">
        <w:rPr>
          <w:lang w:val="fr-FR"/>
        </w:rPr>
        <w:t>à cet effet que : «</w:t>
      </w:r>
      <w:r w:rsidRPr="00CB4F2E">
        <w:rPr>
          <w:i/>
          <w:lang w:val="fr-FR"/>
        </w:rPr>
        <w:t>l’inculpé détenu peut, sauf prescriptions contraires du Juge d’Instruction, correspondre sans restriction avec toute personne de son choix</w:t>
      </w:r>
      <w:r w:rsidRPr="00CB4F2E">
        <w:rPr>
          <w:lang w:val="fr-FR"/>
        </w:rPr>
        <w:t>»</w:t>
      </w:r>
      <w:r w:rsidR="0027203C">
        <w:rPr>
          <w:lang w:val="fr-FR"/>
        </w:rPr>
        <w:t>;</w:t>
      </w:r>
      <w:r w:rsidRPr="00CB4F2E">
        <w:rPr>
          <w:lang w:val="fr-FR"/>
        </w:rPr>
        <w:t xml:space="preserve"> le droit de relever appel contre les actes du juge d’instruction devant </w:t>
      </w:r>
      <w:r w:rsidRPr="00CB4F2E">
        <w:rPr>
          <w:lang w:val="fr-FR"/>
        </w:rPr>
        <w:lastRenderedPageBreak/>
        <w:t>la Chambre de contrôle de l’instruction</w:t>
      </w:r>
      <w:r w:rsidR="0027203C">
        <w:rPr>
          <w:lang w:val="fr-FR"/>
        </w:rPr>
        <w:t>;</w:t>
      </w:r>
      <w:r w:rsidRPr="00CB4F2E">
        <w:rPr>
          <w:lang w:val="fr-FR"/>
        </w:rPr>
        <w:t xml:space="preserve"> le droit de l’inculpé détenu de solliciter la mise en liberté avec ou sans caution. </w:t>
      </w:r>
    </w:p>
    <w:p w14:paraId="60D248B3" w14:textId="5A97079A" w:rsidR="0093676D" w:rsidRPr="00CB4F2E" w:rsidRDefault="00423320" w:rsidP="00423320">
      <w:pPr>
        <w:pStyle w:val="H23G"/>
      </w:pPr>
      <w:bookmarkStart w:id="153" w:name="_Toc210646384"/>
      <w:r>
        <w:tab/>
      </w:r>
      <w:r>
        <w:tab/>
      </w:r>
      <w:r w:rsidR="0093676D" w:rsidRPr="00CB4F2E">
        <w:t>A la phase de jugement</w:t>
      </w:r>
      <w:bookmarkEnd w:id="153"/>
    </w:p>
    <w:p w14:paraId="137BDE7C" w14:textId="64EB8FF3" w:rsidR="00ED20A7" w:rsidRDefault="0093676D" w:rsidP="005F1D8A">
      <w:pPr>
        <w:pStyle w:val="SingleTxtG"/>
        <w:numPr>
          <w:ilvl w:val="0"/>
          <w:numId w:val="6"/>
        </w:numPr>
        <w:ind w:left="1134" w:firstLine="0"/>
        <w:rPr>
          <w:lang w:val="fr-FR"/>
        </w:rPr>
      </w:pPr>
      <w:r w:rsidRPr="00CB4F2E">
        <w:rPr>
          <w:lang w:val="fr-FR"/>
        </w:rPr>
        <w:t xml:space="preserve">A la phase de jugement, les garanties procédurales sont les suivantes : l’obligation de la personne </w:t>
      </w:r>
      <w:r w:rsidRPr="00980BBC">
        <w:rPr>
          <w:bCs/>
        </w:rPr>
        <w:t>poursuivie</w:t>
      </w:r>
      <w:r w:rsidRPr="00CB4F2E">
        <w:rPr>
          <w:lang w:val="fr-FR"/>
        </w:rPr>
        <w:t xml:space="preserve"> de comparaître. Toutefois, « </w:t>
      </w:r>
      <w:r w:rsidRPr="00CB4F2E">
        <w:rPr>
          <w:i/>
          <w:lang w:val="fr-FR"/>
        </w:rPr>
        <w:t>le prévenu cité pour une infraction punie d’une amende ou d’une peine d’emprisonnement inférieure ou égale à deux ans peut, par lettre, demander à être jugé en son absence »</w:t>
      </w:r>
      <w:r w:rsidRPr="00CB4F2E">
        <w:rPr>
          <w:lang w:val="fr-FR"/>
        </w:rPr>
        <w:t xml:space="preserve"> (article 350 du CPP); l’aveu n’est valable que s’il est fait sans coercition ni tromperie</w:t>
      </w:r>
      <w:r w:rsidR="0027203C">
        <w:rPr>
          <w:lang w:val="fr-FR"/>
        </w:rPr>
        <w:t>;</w:t>
      </w:r>
      <w:r w:rsidRPr="00CB4F2E">
        <w:rPr>
          <w:lang w:val="fr-FR"/>
        </w:rPr>
        <w:t xml:space="preserve"> le délai de jugement : en matière pénale, des délais n’ont été fixés que pour le prononcé de la décision à compter de la clôture des débats. Ainsi, l’article 388 du CPP prévoit que le jugement doit être rendu soit immédiatement, soit dans un délai de 15 jours après la clôture des débats. La possibilité de réouverture des débats avant le prononcé de la décision n’est pas exclue</w:t>
      </w:r>
      <w:r w:rsidR="0027203C">
        <w:rPr>
          <w:lang w:val="fr-FR"/>
        </w:rPr>
        <w:t>;</w:t>
      </w:r>
      <w:r w:rsidRPr="00CB4F2E">
        <w:rPr>
          <w:lang w:val="fr-FR"/>
        </w:rPr>
        <w:t xml:space="preserve"> le droit d’exercer les voies de recours contre le jugement rendu (opposition, tierce opposition, appel, recours en rectification d’erreur matérielle, etc.)</w:t>
      </w:r>
      <w:r w:rsidR="0027203C">
        <w:rPr>
          <w:lang w:val="fr-FR"/>
        </w:rPr>
        <w:t>;</w:t>
      </w:r>
      <w:r w:rsidRPr="00CB4F2E">
        <w:rPr>
          <w:lang w:val="fr-FR"/>
        </w:rPr>
        <w:t xml:space="preserve"> l’appel doit être jugé dans un délai de 7 jours à compter du lendemain du jour de la réception du dossier d’appel contre un jugement avant dire droit mettant fin à un incident de procédure. </w:t>
      </w:r>
    </w:p>
    <w:p w14:paraId="75A65830" w14:textId="77777777" w:rsidR="00ED20A7" w:rsidRDefault="0093676D" w:rsidP="005F1D8A">
      <w:pPr>
        <w:pStyle w:val="SingleTxtG"/>
        <w:numPr>
          <w:ilvl w:val="0"/>
          <w:numId w:val="6"/>
        </w:numPr>
        <w:ind w:left="1134" w:firstLine="0"/>
        <w:rPr>
          <w:lang w:val="fr-FR"/>
        </w:rPr>
      </w:pPr>
      <w:r w:rsidRPr="00CB4F2E">
        <w:rPr>
          <w:lang w:val="fr-FR"/>
        </w:rPr>
        <w:t xml:space="preserve">Les </w:t>
      </w:r>
      <w:r w:rsidRPr="00980BBC">
        <w:rPr>
          <w:bCs/>
        </w:rPr>
        <w:t>affaires</w:t>
      </w:r>
      <w:r w:rsidRPr="00CB4F2E">
        <w:rPr>
          <w:lang w:val="fr-FR"/>
        </w:rPr>
        <w:t xml:space="preserve"> sont instruites et jugées dans un délai raisonnable. Les délais de jugement sont plus courts en matière de délits de presse et de détournements de biens publics pour tenir compte de la spécificité de ces matières. En matière de délits de presse, le tribunal compétent statue en temps ordinaire dans un délai de 15 jours à compter de la date de la première audience, et en période électorale dans un délai de 48 heures</w:t>
      </w:r>
      <w:r w:rsidRPr="00CB4F2E">
        <w:rPr>
          <w:rStyle w:val="FootnoteReference"/>
          <w:lang w:val="fr-FR"/>
        </w:rPr>
        <w:footnoteReference w:id="73"/>
      </w:r>
      <w:r w:rsidRPr="00CB4F2E">
        <w:rPr>
          <w:lang w:val="fr-FR"/>
        </w:rPr>
        <w:t>. En ce qui concerne le jugement des infractions de détournement de biens publics et des infractions connexes, la Loi n° 2011/028 du 14 décembre 2011 portant création du Tribunal Criminel Spécial dispose en son article 10 (5) que le Tribunal dispose d'un délai de six (6) mois pour statuer. Ce délai peut être prorogé de trois (3) mois par Ordonnance du Président du Tribunal.</w:t>
      </w:r>
    </w:p>
    <w:p w14:paraId="6A16FD1F" w14:textId="77777777" w:rsidR="00ED20A7" w:rsidRDefault="0093676D" w:rsidP="005F1D8A">
      <w:pPr>
        <w:pStyle w:val="SingleTxtG"/>
        <w:numPr>
          <w:ilvl w:val="0"/>
          <w:numId w:val="6"/>
        </w:numPr>
        <w:ind w:left="1134" w:firstLine="0"/>
        <w:rPr>
          <w:lang w:val="fr-FR"/>
        </w:rPr>
      </w:pPr>
      <w:r w:rsidRPr="00CB4F2E">
        <w:rPr>
          <w:lang w:val="fr-FR"/>
        </w:rPr>
        <w:t>En matière sociale, l’article 145 du Code du Travail</w:t>
      </w:r>
      <w:r w:rsidRPr="00CB4F2E">
        <w:rPr>
          <w:rStyle w:val="FootnoteReference"/>
          <w:lang w:val="fr-FR"/>
        </w:rPr>
        <w:footnoteReference w:id="74"/>
      </w:r>
      <w:r w:rsidRPr="00CB4F2E">
        <w:rPr>
          <w:lang w:val="fr-FR"/>
        </w:rPr>
        <w:t xml:space="preserve"> dispose que le Tribunal peut procéder, le cas </w:t>
      </w:r>
      <w:r w:rsidRPr="00980BBC">
        <w:rPr>
          <w:bCs/>
        </w:rPr>
        <w:t>échéant</w:t>
      </w:r>
      <w:r w:rsidRPr="00CB4F2E">
        <w:rPr>
          <w:lang w:val="fr-FR"/>
        </w:rPr>
        <w:t>, au renvoi à quinzaine au maximum et la mise en délibéré ne peut excéder huit (8) jours.</w:t>
      </w:r>
    </w:p>
    <w:p w14:paraId="114A6BAE" w14:textId="77777777" w:rsidR="00ED20A7" w:rsidRDefault="0093676D" w:rsidP="005F1D8A">
      <w:pPr>
        <w:pStyle w:val="SingleTxtG"/>
        <w:numPr>
          <w:ilvl w:val="0"/>
          <w:numId w:val="6"/>
        </w:numPr>
        <w:ind w:left="1134" w:firstLine="0"/>
        <w:rPr>
          <w:lang w:val="fr-FR"/>
        </w:rPr>
      </w:pPr>
      <w:r w:rsidRPr="00CB4F2E">
        <w:rPr>
          <w:lang w:val="fr-FR"/>
        </w:rPr>
        <w:t xml:space="preserve">Les garanties prévues par le CPP sont également applicables devant les Tribunaux militaires (articles 11, 13 et 19 de la Loi n° 2017/012 du 12 juillet 2017 portant Code de Justice </w:t>
      </w:r>
      <w:r w:rsidRPr="00980BBC">
        <w:rPr>
          <w:bCs/>
        </w:rPr>
        <w:t>Militaire</w:t>
      </w:r>
      <w:r w:rsidRPr="00CB4F2E">
        <w:rPr>
          <w:lang w:val="fr-FR"/>
        </w:rPr>
        <w:t xml:space="preserve">). Les jugements rendus par les Tribunaux militaires font l’objet d’appel de la Cour d’Appel, qui est une juridiction de droit commun. Les arrêts de la Cour d’Appel sont susceptibles de pourvoi en cassation. </w:t>
      </w:r>
    </w:p>
    <w:p w14:paraId="5CCEE4A0" w14:textId="77777777" w:rsidR="00ED20A7" w:rsidRDefault="0093676D" w:rsidP="005F1D8A">
      <w:pPr>
        <w:pStyle w:val="SingleTxtG"/>
        <w:numPr>
          <w:ilvl w:val="0"/>
          <w:numId w:val="6"/>
        </w:numPr>
        <w:ind w:left="1134" w:firstLine="0"/>
        <w:rPr>
          <w:lang w:val="fr-FR"/>
        </w:rPr>
      </w:pPr>
      <w:r w:rsidRPr="00CB4F2E">
        <w:t>L’inobservation</w:t>
      </w:r>
      <w:r w:rsidRPr="00CB4F2E">
        <w:rPr>
          <w:lang w:val="fr-FR"/>
        </w:rPr>
        <w:t xml:space="preserve"> de certaines de ces prescriptions peut entraîner la nullité de la procédure. Il en va ainsi </w:t>
      </w:r>
      <w:r w:rsidRPr="00980BBC">
        <w:rPr>
          <w:bCs/>
        </w:rPr>
        <w:t>en</w:t>
      </w:r>
      <w:r w:rsidRPr="00CB4F2E">
        <w:rPr>
          <w:lang w:val="fr-FR"/>
        </w:rPr>
        <w:t xml:space="preserve"> cas de </w:t>
      </w:r>
      <w:proofErr w:type="spellStart"/>
      <w:r w:rsidRPr="00CB4F2E">
        <w:rPr>
          <w:lang w:val="fr-FR"/>
        </w:rPr>
        <w:t>non respect</w:t>
      </w:r>
      <w:proofErr w:type="spellEnd"/>
      <w:r w:rsidRPr="00CB4F2E">
        <w:rPr>
          <w:lang w:val="fr-FR"/>
        </w:rPr>
        <w:t xml:space="preserve"> des droits de la défense. L’article 3 (1) du CPP dispose à cet égard que</w:t>
      </w:r>
      <w:r w:rsidRPr="00CB4F2E">
        <w:rPr>
          <w:i/>
          <w:lang w:val="fr-FR"/>
        </w:rPr>
        <w:t> </w:t>
      </w:r>
      <w:r w:rsidRPr="00CB4F2E">
        <w:rPr>
          <w:iCs/>
          <w:lang w:val="fr-FR"/>
        </w:rPr>
        <w:t>la violation d'une règle de procédure pénale est sanctionnée par la nullité absolue lorsqu'elle préjudicie aux droits de la défense définis par les dispositions légales en vigueur ou porte atteinte à un principe d'ordre public.</w:t>
      </w:r>
    </w:p>
    <w:p w14:paraId="7F194AF7" w14:textId="7E173EBD" w:rsidR="0093676D" w:rsidRPr="00CB4F2E" w:rsidRDefault="0093676D" w:rsidP="005F1D8A">
      <w:pPr>
        <w:pStyle w:val="SingleTxtG"/>
        <w:numPr>
          <w:ilvl w:val="0"/>
          <w:numId w:val="6"/>
        </w:numPr>
        <w:ind w:left="1134" w:firstLine="0"/>
        <w:rPr>
          <w:lang w:val="fr-FR"/>
        </w:rPr>
      </w:pPr>
      <w:r w:rsidRPr="00CB4F2E">
        <w:t>En</w:t>
      </w:r>
      <w:r w:rsidRPr="00CB4F2E">
        <w:rPr>
          <w:lang w:val="fr-FR"/>
        </w:rPr>
        <w:t xml:space="preserve"> ce qui concerne la lutte contre le grand banditisme, qui nécessite des délais plus longs, le </w:t>
      </w:r>
      <w:r w:rsidRPr="00980BBC">
        <w:rPr>
          <w:bCs/>
        </w:rPr>
        <w:t>Gouverneur</w:t>
      </w:r>
      <w:r w:rsidRPr="00CB4F2E">
        <w:rPr>
          <w:lang w:val="fr-FR"/>
        </w:rPr>
        <w:t xml:space="preserve"> et le Préfet peuvent prendre un arrêté motivé ordonnant une garde à vue administrative de 15 jours renouvelables. Cette garde à vue administrative, tout comme les autres mesures de privation de liberté, est soumise au contrôle des autorités judiciaires par le biais du recours en libération immédiate (</w:t>
      </w:r>
      <w:r w:rsidRPr="00CB4F2E">
        <w:rPr>
          <w:i/>
          <w:iCs/>
          <w:lang w:val="fr-FR"/>
        </w:rPr>
        <w:t>habeas corpus</w:t>
      </w:r>
      <w:r w:rsidRPr="00CB4F2E">
        <w:rPr>
          <w:lang w:val="fr-FR"/>
        </w:rPr>
        <w:t xml:space="preserve">). </w:t>
      </w:r>
    </w:p>
    <w:p w14:paraId="0EC49E28" w14:textId="10AF7C46" w:rsidR="00ED20A7" w:rsidRDefault="00E23E36" w:rsidP="00E23E36">
      <w:pPr>
        <w:pStyle w:val="H1G"/>
        <w:rPr>
          <w:i/>
        </w:rPr>
      </w:pPr>
      <w:bookmarkStart w:id="154" w:name="_Toc210646385"/>
      <w:r>
        <w:tab/>
      </w:r>
      <w:r w:rsidR="0093676D" w:rsidRPr="00CB4F2E">
        <w:t>D.</w:t>
      </w:r>
      <w:r>
        <w:tab/>
      </w:r>
      <w:r w:rsidR="0093676D" w:rsidRPr="00CB4F2E">
        <w:t>La participation à la gestion des affaires publiques</w:t>
      </w:r>
      <w:bookmarkEnd w:id="154"/>
    </w:p>
    <w:p w14:paraId="63BE2C91" w14:textId="77777777" w:rsidR="00ED20A7" w:rsidRDefault="0093676D" w:rsidP="005F1D8A">
      <w:pPr>
        <w:pStyle w:val="SingleTxtG"/>
        <w:numPr>
          <w:ilvl w:val="0"/>
          <w:numId w:val="6"/>
        </w:numPr>
        <w:ind w:left="1134" w:firstLine="0"/>
        <w:rPr>
          <w:lang w:val="fr-FR"/>
        </w:rPr>
      </w:pPr>
      <w:r w:rsidRPr="00CB4F2E">
        <w:rPr>
          <w:lang w:val="fr-FR"/>
        </w:rPr>
        <w:t xml:space="preserve">Le droit de participer à la gestion des affaires publiques est garanti à tous les citoyens. Ce droit peut s’exercer soit de manière directe à travers l’accès aux emplois publics, soit de manière indirecte à travers l’élection des représentants du peuple. </w:t>
      </w:r>
    </w:p>
    <w:p w14:paraId="26B3E2B6" w14:textId="77777777" w:rsidR="00ED20A7" w:rsidRDefault="0093676D" w:rsidP="005F1D8A">
      <w:pPr>
        <w:pStyle w:val="SingleTxtG"/>
        <w:numPr>
          <w:ilvl w:val="0"/>
          <w:numId w:val="6"/>
        </w:numPr>
        <w:ind w:left="1134" w:firstLine="0"/>
        <w:rPr>
          <w:lang w:val="fr-FR"/>
        </w:rPr>
      </w:pPr>
      <w:r w:rsidRPr="00CB4F2E">
        <w:rPr>
          <w:lang w:val="fr-FR"/>
        </w:rPr>
        <w:lastRenderedPageBreak/>
        <w:t>L’opérationnalisation de la décentralisation, dont les contours actuels sont fixés par le Loi n° 2019/</w:t>
      </w:r>
      <w:r w:rsidRPr="00980BBC">
        <w:rPr>
          <w:bCs/>
        </w:rPr>
        <w:t>024</w:t>
      </w:r>
      <w:r w:rsidRPr="00CB4F2E">
        <w:rPr>
          <w:lang w:val="fr-FR"/>
        </w:rPr>
        <w:t xml:space="preserve"> du 24 décembre 2019 portant Code Général des CTD, permet de garantir la participation de tous les citoyens à la gestion des affaires publiques. Cette modalité de partage du pouvoir a connu son parachèvement en 2020, avec la mise en place des conseils régionaux, aux côtés des communes et des communautés urbaines fonctionnelles </w:t>
      </w:r>
      <w:proofErr w:type="spellStart"/>
      <w:r w:rsidRPr="00CB4F2E">
        <w:rPr>
          <w:lang w:val="fr-FR"/>
        </w:rPr>
        <w:t>jusque là</w:t>
      </w:r>
      <w:proofErr w:type="spellEnd"/>
      <w:r w:rsidRPr="00CB4F2E">
        <w:rPr>
          <w:lang w:val="fr-FR"/>
        </w:rPr>
        <w:t xml:space="preserve">. </w:t>
      </w:r>
    </w:p>
    <w:p w14:paraId="27F04FDC" w14:textId="77777777" w:rsidR="00ED20A7" w:rsidRDefault="0093676D" w:rsidP="005F1D8A">
      <w:pPr>
        <w:pStyle w:val="SingleTxtG"/>
        <w:numPr>
          <w:ilvl w:val="0"/>
          <w:numId w:val="6"/>
        </w:numPr>
        <w:ind w:left="1134" w:firstLine="0"/>
        <w:rPr>
          <w:lang w:val="fr-FR"/>
        </w:rPr>
      </w:pPr>
      <w:r w:rsidRPr="00CB4F2E">
        <w:rPr>
          <w:lang w:val="fr-FR"/>
        </w:rPr>
        <w:t xml:space="preserve">Une attention croissante est désormais accordée aux problèmes sociaux, éducatifs, </w:t>
      </w:r>
      <w:r w:rsidRPr="00980BBC">
        <w:rPr>
          <w:bCs/>
        </w:rPr>
        <w:t>économiques</w:t>
      </w:r>
      <w:r w:rsidRPr="00CB4F2E">
        <w:rPr>
          <w:lang w:val="fr-FR"/>
        </w:rPr>
        <w:t xml:space="preserve"> et culturels des populations, appelées à devenir les pivots des politiques de développement au niveau local. Ainsi, depuis 2010, les compétences</w:t>
      </w:r>
      <w:r w:rsidRPr="00CB4F2E">
        <w:rPr>
          <w:rStyle w:val="FootnoteReference"/>
        </w:rPr>
        <w:footnoteReference w:id="75"/>
      </w:r>
      <w:r w:rsidRPr="00CB4F2E">
        <w:rPr>
          <w:lang w:val="fr-FR"/>
        </w:rPr>
        <w:t xml:space="preserve"> ont été progressivement transférées aux CTD par les structures centrales, accompagnées des transferts des ressources financières nécessaires à leur exercice.</w:t>
      </w:r>
    </w:p>
    <w:p w14:paraId="39915EB5" w14:textId="77777777" w:rsidR="00ED20A7" w:rsidRDefault="0093676D" w:rsidP="005F1D8A">
      <w:pPr>
        <w:pStyle w:val="SingleTxtG"/>
        <w:numPr>
          <w:ilvl w:val="0"/>
          <w:numId w:val="6"/>
        </w:numPr>
        <w:ind w:left="1134" w:firstLine="0"/>
      </w:pPr>
      <w:r w:rsidRPr="00980BBC">
        <w:rPr>
          <w:bCs/>
        </w:rPr>
        <w:t>Ainsi</w:t>
      </w:r>
      <w:r w:rsidRPr="00CB4F2E">
        <w:t>, par Décret n°2021/743 du 28 décembre 2021, le montant de la Dotation Générale de la Décentralisation au titre de l’exercice budgétaire 2021 a été fixé à 232 176 624 000 FCFA</w:t>
      </w:r>
      <w:r w:rsidRPr="00CB4F2E">
        <w:rPr>
          <w:rStyle w:val="FootnoteReference"/>
        </w:rPr>
        <w:footnoteReference w:id="76"/>
      </w:r>
      <w:r w:rsidRPr="00CB4F2E">
        <w:t>, contre 49 900 000 000 FCFA</w:t>
      </w:r>
      <w:r w:rsidRPr="00CB4F2E">
        <w:rPr>
          <w:rStyle w:val="FootnoteReference"/>
        </w:rPr>
        <w:footnoteReference w:id="77"/>
      </w:r>
      <w:r w:rsidRPr="00CB4F2E">
        <w:t xml:space="preserve"> au titre de l’exercice 2020, soit 125 772 505 000 FCFA</w:t>
      </w:r>
      <w:r w:rsidRPr="00CB4F2E">
        <w:rPr>
          <w:rStyle w:val="FootnoteReference"/>
        </w:rPr>
        <w:footnoteReference w:id="78"/>
      </w:r>
      <w:r w:rsidRPr="00CB4F2E">
        <w:t xml:space="preserve"> pour le fonctionnement contre 13 900 000 000 FCFA en 2020, et 106 404 119 000 FCFA</w:t>
      </w:r>
      <w:r w:rsidRPr="00CB4F2E">
        <w:rPr>
          <w:rStyle w:val="FootnoteReference"/>
        </w:rPr>
        <w:footnoteReference w:id="79"/>
      </w:r>
      <w:r w:rsidRPr="00CB4F2E">
        <w:t xml:space="preserve"> pour l’investissement contre 36 000 000 000 FCFA en 2020. La dotation générale était donc en hausse de 182 276 624 000 FCFA</w:t>
      </w:r>
      <w:r w:rsidRPr="00CB4F2E">
        <w:rPr>
          <w:rStyle w:val="FootnoteReference"/>
        </w:rPr>
        <w:footnoteReference w:id="80"/>
      </w:r>
      <w:r w:rsidRPr="00CB4F2E">
        <w:t xml:space="preserve"> par rapport à l’année 2020.</w:t>
      </w:r>
    </w:p>
    <w:p w14:paraId="48AC9748" w14:textId="77777777" w:rsidR="00ED20A7" w:rsidRDefault="0093676D" w:rsidP="005F1D8A">
      <w:pPr>
        <w:pStyle w:val="SingleTxtG"/>
        <w:numPr>
          <w:ilvl w:val="0"/>
          <w:numId w:val="6"/>
        </w:numPr>
        <w:ind w:left="1134" w:firstLine="0"/>
      </w:pPr>
      <w:r w:rsidRPr="00980BBC">
        <w:rPr>
          <w:bCs/>
        </w:rPr>
        <w:t>Destinée</w:t>
      </w:r>
      <w:r w:rsidRPr="00CB4F2E">
        <w:t xml:space="preserve"> à appuyer les dépenses de fonctionnement et d’investissement des CTD, la Dotation générale de la décentralisation, qui était de 252 568 936 000 FCFA</w:t>
      </w:r>
      <w:r w:rsidRPr="00CB4F2E">
        <w:rPr>
          <w:rStyle w:val="FootnoteReference"/>
        </w:rPr>
        <w:footnoteReference w:id="81"/>
      </w:r>
      <w:r w:rsidRPr="00CB4F2E">
        <w:t xml:space="preserve"> en 2023 est passé à 292 500 000 000 FCFA</w:t>
      </w:r>
      <w:r w:rsidRPr="00CB4F2E">
        <w:rPr>
          <w:rStyle w:val="FootnoteReference"/>
        </w:rPr>
        <w:footnoteReference w:id="82"/>
      </w:r>
      <w:r w:rsidRPr="00CB4F2E">
        <w:t xml:space="preserve"> en 2024. Sur la même période, l’enveloppe budgétaire du Ministère de la Décentralisation et du Développement Local-MINDDEVEL (</w:t>
      </w:r>
      <w:hyperlink r:id="rId57" w:history="1">
        <w:r w:rsidRPr="00CB4F2E">
          <w:rPr>
            <w:rStyle w:val="Hyperlink"/>
          </w:rPr>
          <w:t>https://www.minddevel.gov.cm/</w:t>
        </w:r>
      </w:hyperlink>
      <w:r w:rsidRPr="00CB4F2E">
        <w:t>) a été doublée, passant de 50 217 000 000 FCFA</w:t>
      </w:r>
      <w:r w:rsidRPr="00CB4F2E">
        <w:rPr>
          <w:rStyle w:val="FootnoteReference"/>
        </w:rPr>
        <w:footnoteReference w:id="83"/>
      </w:r>
      <w:r w:rsidRPr="00CB4F2E">
        <w:t xml:space="preserve"> à 100 052 000 000 FCFA</w:t>
      </w:r>
      <w:r w:rsidRPr="00CB4F2E">
        <w:rPr>
          <w:rStyle w:val="FootnoteReference"/>
        </w:rPr>
        <w:footnoteReference w:id="84"/>
      </w:r>
      <w:r w:rsidRPr="00CB4F2E">
        <w:t>. </w:t>
      </w:r>
    </w:p>
    <w:p w14:paraId="7B289782" w14:textId="028F25DF" w:rsidR="0093676D" w:rsidRPr="00CB4F2E" w:rsidRDefault="0093676D" w:rsidP="005F1D8A">
      <w:pPr>
        <w:pStyle w:val="SingleTxtG"/>
        <w:numPr>
          <w:ilvl w:val="0"/>
          <w:numId w:val="6"/>
        </w:numPr>
        <w:ind w:left="1134" w:firstLine="0"/>
      </w:pPr>
      <w:r w:rsidRPr="00CB4F2E">
        <w:rPr>
          <w:lang w:val="fr-FR"/>
        </w:rPr>
        <w:t>L’accès à la fonction publique</w:t>
      </w:r>
      <w:r w:rsidRPr="00CB4F2E">
        <w:rPr>
          <w:b/>
          <w:bCs/>
          <w:lang w:val="fr-FR"/>
        </w:rPr>
        <w:t xml:space="preserve"> </w:t>
      </w:r>
      <w:r w:rsidRPr="00CB4F2E">
        <w:rPr>
          <w:lang w:val="fr-FR"/>
        </w:rPr>
        <w:t xml:space="preserve">étant une autre modalité de participation à la gestion des </w:t>
      </w:r>
      <w:r w:rsidRPr="00980BBC">
        <w:rPr>
          <w:bCs/>
        </w:rPr>
        <w:t>affaires</w:t>
      </w:r>
      <w:r w:rsidRPr="00CB4F2E">
        <w:rPr>
          <w:lang w:val="fr-FR"/>
        </w:rPr>
        <w:t xml:space="preserve"> publiques, les cadres de l’administration publique sont recrutés parmi les ressortissants camerounais remplissant les conditions civiles et académiques requises, sans aucune discrimination. </w:t>
      </w:r>
      <w:r w:rsidRPr="00CB4F2E">
        <w:t>Le Ministère de la Fonction Publique et de la Réforme Administrative-MINFOPRA (</w:t>
      </w:r>
      <w:hyperlink r:id="rId58" w:history="1">
        <w:r w:rsidRPr="00CB4F2E">
          <w:rPr>
            <w:rStyle w:val="Hyperlink"/>
            <w:lang w:val="fr-FR"/>
          </w:rPr>
          <w:t>https://www.minfopra.gov.cm/index.php/fr/</w:t>
        </w:r>
      </w:hyperlink>
      <w:r w:rsidRPr="00CB4F2E">
        <w:t>) organise des concours administratifs et des concours spéciaux sur la base des besoins en personnels identifiés au sein des administrations bénéficiaires, selon un plan annuel de recrutement prédéfini, qui tient compte des dotations et de la soutenabilité budgétaires. Par souci d’inclusion, le MINFOPRA a mis sur pied depuis 2019, un groupe de travail sur la prise en compte des catégories sociales défavorisées dans le processus de recrutement dans la fonction publique de l’</w:t>
      </w:r>
      <w:proofErr w:type="spellStart"/>
      <w:r w:rsidRPr="00CB4F2E">
        <w:t>Etat</w:t>
      </w:r>
      <w:proofErr w:type="spellEnd"/>
      <w:r w:rsidRPr="00CB4F2E">
        <w:t xml:space="preserve">. Pour permettre une représentation équitable de toutes les régions du pays à tous les niveaux de l’administration, une politique d’équilibre régional est en vigueur. </w:t>
      </w:r>
    </w:p>
    <w:p w14:paraId="1483F1CD" w14:textId="38509B36" w:rsidR="00ED20A7" w:rsidRDefault="003A57F6" w:rsidP="003A57F6">
      <w:pPr>
        <w:pStyle w:val="HChG"/>
      </w:pPr>
      <w:bookmarkStart w:id="155" w:name="_Toc210209123"/>
      <w:bookmarkStart w:id="156" w:name="_Toc210646386"/>
      <w:r>
        <w:lastRenderedPageBreak/>
        <w:tab/>
      </w:r>
      <w:r w:rsidR="0093676D" w:rsidRPr="00CB4F2E">
        <w:t>VII.</w:t>
      </w:r>
      <w:r>
        <w:tab/>
      </w:r>
      <w:r w:rsidR="002D1699" w:rsidRPr="00CB4F2E">
        <w:t>La position de l’</w:t>
      </w:r>
      <w:proofErr w:type="spellStart"/>
      <w:r w:rsidR="002D1699" w:rsidRPr="00CB4F2E">
        <w:t>etat</w:t>
      </w:r>
      <w:proofErr w:type="spellEnd"/>
      <w:r w:rsidR="002D1699" w:rsidRPr="00CB4F2E">
        <w:t xml:space="preserve"> du </w:t>
      </w:r>
      <w:proofErr w:type="spellStart"/>
      <w:r w:rsidR="002D1699" w:rsidRPr="00CB4F2E">
        <w:t>cameroun</w:t>
      </w:r>
      <w:proofErr w:type="spellEnd"/>
      <w:r w:rsidR="002D1699" w:rsidRPr="00CB4F2E">
        <w:t xml:space="preserve"> sur certaines questions majeures des droits de l’homme</w:t>
      </w:r>
      <w:bookmarkEnd w:id="155"/>
      <w:bookmarkEnd w:id="156"/>
    </w:p>
    <w:p w14:paraId="0B4A395B" w14:textId="0081F440" w:rsidR="0093676D" w:rsidRPr="00CB4F2E" w:rsidRDefault="0093676D" w:rsidP="005F1D8A">
      <w:pPr>
        <w:pStyle w:val="SingleTxtG"/>
        <w:numPr>
          <w:ilvl w:val="0"/>
          <w:numId w:val="6"/>
        </w:numPr>
        <w:ind w:left="1134" w:firstLine="0"/>
      </w:pPr>
      <w:r w:rsidRPr="00CB4F2E">
        <w:t>L’</w:t>
      </w:r>
      <w:proofErr w:type="spellStart"/>
      <w:r w:rsidRPr="00CB4F2E">
        <w:t>Etat</w:t>
      </w:r>
      <w:proofErr w:type="spellEnd"/>
      <w:r w:rsidRPr="00CB4F2E">
        <w:t xml:space="preserve"> du Cameroun a tenu à préciser dans les lignes qui suivent, sa position relativement à certaines questions sur lesquelles il est fréquemment interpellé sur la scène internationale. Ces questions portent notamment sur la Cour Pénale Internationale, certaines pratiques culturelles, les délits de presse, l’homosexualité et les pratiques apparentées, la peine de mort, les lieux de détention et les manifestations publiques. </w:t>
      </w:r>
    </w:p>
    <w:p w14:paraId="043596D5" w14:textId="2AC71D35" w:rsidR="00ED20A7" w:rsidRDefault="00324640" w:rsidP="00324640">
      <w:pPr>
        <w:pStyle w:val="H1G"/>
        <w:rPr>
          <w:i/>
        </w:rPr>
      </w:pPr>
      <w:bookmarkStart w:id="157" w:name="_Toc210646387"/>
      <w:r>
        <w:tab/>
      </w:r>
      <w:r w:rsidR="0093676D" w:rsidRPr="00CB4F2E">
        <w:t>A.</w:t>
      </w:r>
      <w:r>
        <w:tab/>
      </w:r>
      <w:r w:rsidR="0093676D" w:rsidRPr="00CB4F2E">
        <w:t>Le Statut de Rome sur la Cour Pénale Internationale</w:t>
      </w:r>
      <w:bookmarkEnd w:id="157"/>
    </w:p>
    <w:p w14:paraId="740F16E2" w14:textId="26D0FAD1" w:rsidR="00ED20A7" w:rsidRDefault="0093676D" w:rsidP="005F1D8A">
      <w:pPr>
        <w:pStyle w:val="SingleTxtG"/>
        <w:numPr>
          <w:ilvl w:val="0"/>
          <w:numId w:val="6"/>
        </w:numPr>
        <w:ind w:left="1134" w:firstLine="0"/>
      </w:pPr>
      <w:r w:rsidRPr="00CB4F2E">
        <w:rPr>
          <w:lang w:val="fr-FR"/>
        </w:rPr>
        <w:t xml:space="preserve">Le Cameroun a accueilli favorablement la création de la CPI pour laquelle il a joué un rôle très actif dans le processus de négociation. Bien que n’étant pas partie au Statut de Rome, il a amorcé l’incorporation des infractions relevant de la compétence de la CPI dans sa législation interne. Ainsi, l’article 8 de la loi n° 2017/012 du 12 juillet 2017 portant Code de Justice Militaire dispose que </w:t>
      </w:r>
      <w:r w:rsidRPr="00CB4F2E">
        <w:rPr>
          <w:i/>
          <w:lang w:val="fr-FR"/>
        </w:rPr>
        <w:t>« le Tribunal Militaire est seul compétent pour connaître : a) des infractions militaires et des crimes de guerre</w:t>
      </w:r>
      <w:r w:rsidR="0027203C">
        <w:rPr>
          <w:i/>
          <w:lang w:val="fr-FR"/>
        </w:rPr>
        <w:t>;</w:t>
      </w:r>
      <w:r w:rsidRPr="00CB4F2E">
        <w:rPr>
          <w:i/>
          <w:lang w:val="fr-FR"/>
        </w:rPr>
        <w:t xml:space="preserve"> b) des crimes contre l’humanité et du crime de génocide ».</w:t>
      </w:r>
    </w:p>
    <w:p w14:paraId="7BB6E84D" w14:textId="77777777" w:rsidR="00ED20A7" w:rsidRDefault="0093676D" w:rsidP="005F1D8A">
      <w:pPr>
        <w:pStyle w:val="SingleTxtG"/>
        <w:numPr>
          <w:ilvl w:val="0"/>
          <w:numId w:val="6"/>
        </w:numPr>
        <w:ind w:left="1134" w:firstLine="0"/>
        <w:rPr>
          <w:lang w:val="fr-FR"/>
        </w:rPr>
      </w:pPr>
      <w:r w:rsidRPr="00980BBC">
        <w:rPr>
          <w:bCs/>
        </w:rPr>
        <w:t>Même</w:t>
      </w:r>
      <w:r w:rsidRPr="00CB4F2E">
        <w:rPr>
          <w:lang w:val="fr-FR"/>
        </w:rPr>
        <w:t xml:space="preserve"> s'il n'est pas un </w:t>
      </w:r>
      <w:proofErr w:type="spellStart"/>
      <w:r w:rsidRPr="00CB4F2E">
        <w:rPr>
          <w:lang w:val="fr-FR"/>
        </w:rPr>
        <w:t>Etat</w:t>
      </w:r>
      <w:proofErr w:type="spellEnd"/>
      <w:r w:rsidRPr="00CB4F2E">
        <w:rPr>
          <w:lang w:val="fr-FR"/>
        </w:rPr>
        <w:t xml:space="preserve"> membre, le Cameroun entretient une riche coopération avec la CPI, tant sur le plan judiciaire que sur le plan non judiciaire. </w:t>
      </w:r>
      <w:r w:rsidRPr="00CB4F2E">
        <w:t xml:space="preserve">Sur le plan judiciaire, le Gouvernement du Cameroun avait donné son accord pour la conduite sur son territoire des missions d’investigation de la CPI dans l’affaire concernant le Darfour et dans les 2 situations se rapportant à la République Centrafricaine (RCA), à savoir la situation concernant </w:t>
      </w:r>
      <w:r w:rsidRPr="00CB4F2E">
        <w:rPr>
          <w:b/>
        </w:rPr>
        <w:t>Jean Pierre BEMBA et autres, </w:t>
      </w:r>
      <w:r w:rsidRPr="00CB4F2E">
        <w:t>et la situation relative à la 2</w:t>
      </w:r>
      <w:r w:rsidRPr="00CB4F2E">
        <w:rPr>
          <w:vertAlign w:val="superscript"/>
        </w:rPr>
        <w:t>ème</w:t>
      </w:r>
      <w:r w:rsidRPr="00CB4F2E">
        <w:t xml:space="preserve"> enquête sur les crimes perpétrés en RCA par les groupes Seleka et anti Balaka entre 2013 et 2014 (</w:t>
      </w:r>
      <w:r w:rsidRPr="00CB4F2E">
        <w:rPr>
          <w:i/>
        </w:rPr>
        <w:t xml:space="preserve">Affaire le Procureur c/ </w:t>
      </w:r>
      <w:r w:rsidRPr="00CB4F2E">
        <w:rPr>
          <w:b/>
          <w:i/>
        </w:rPr>
        <w:t xml:space="preserve">Alfred YEKATOM </w:t>
      </w:r>
      <w:r w:rsidRPr="00CB4F2E">
        <w:t xml:space="preserve">et </w:t>
      </w:r>
      <w:r w:rsidRPr="00CB4F2E">
        <w:rPr>
          <w:i/>
        </w:rPr>
        <w:t xml:space="preserve">Affaire le Procureur c/ </w:t>
      </w:r>
      <w:r w:rsidRPr="00CB4F2E">
        <w:rPr>
          <w:b/>
          <w:i/>
        </w:rPr>
        <w:t>Patrice-Edouard NGAÏSSONA)</w:t>
      </w:r>
      <w:r w:rsidRPr="00CB4F2E">
        <w:t>.</w:t>
      </w:r>
    </w:p>
    <w:p w14:paraId="35049DC1" w14:textId="77777777" w:rsidR="00ED20A7" w:rsidRDefault="0093676D" w:rsidP="005F1D8A">
      <w:pPr>
        <w:pStyle w:val="SingleTxtG"/>
        <w:numPr>
          <w:ilvl w:val="0"/>
          <w:numId w:val="6"/>
        </w:numPr>
        <w:ind w:left="1134" w:firstLine="0"/>
      </w:pPr>
      <w:r w:rsidRPr="00CB4F2E">
        <w:t xml:space="preserve">Dans le cadre de ces affaires, le Greffe de la CPI a conduit plusieurs missions au Cameroun, en vue d’auditionner les témoins, de sensibiliser les victimes dans la perspective de leur participation au procès et d’identifier les structures pouvant assurer la prise en charge psychologique et la protection desdites victimes, etc. Le Cameroun a également reçu et exécuté plusieurs demandes de coopération judiciaire de la CPI, accordé des visas et des immunités à son personnel. </w:t>
      </w:r>
    </w:p>
    <w:p w14:paraId="250EB81D" w14:textId="6C19CE1A" w:rsidR="0093676D" w:rsidRPr="00CB4F2E" w:rsidRDefault="0093676D" w:rsidP="005F1D8A">
      <w:pPr>
        <w:pStyle w:val="SingleTxtG"/>
        <w:numPr>
          <w:ilvl w:val="0"/>
          <w:numId w:val="6"/>
        </w:numPr>
        <w:ind w:left="1134" w:firstLine="0"/>
      </w:pPr>
      <w:r w:rsidRPr="00CB4F2E">
        <w:rPr>
          <w:lang w:val="fr-FR"/>
        </w:rPr>
        <w:t>Sur le plan non judiciaire, l</w:t>
      </w:r>
      <w:r w:rsidRPr="00CB4F2E">
        <w:t xml:space="preserve">es autorités camerounaises ont assisté à des séminaires de </w:t>
      </w:r>
      <w:r w:rsidRPr="00980BBC">
        <w:rPr>
          <w:bCs/>
        </w:rPr>
        <w:t>renforcement</w:t>
      </w:r>
      <w:r w:rsidRPr="00CB4F2E">
        <w:t xml:space="preserve"> des capacités des points focaux nationaux de la CPI et à des symposiums de haut niveau sur la coopération et la complémentarité entre les </w:t>
      </w:r>
      <w:proofErr w:type="spellStart"/>
      <w:r w:rsidRPr="00CB4F2E">
        <w:t>Etats</w:t>
      </w:r>
      <w:proofErr w:type="spellEnd"/>
      <w:r w:rsidRPr="00CB4F2E">
        <w:t xml:space="preserve"> et la CPI, organisés dans divers pays d’Afrique et d’Europe. En outre, les Ambassadeurs du Cameroun ont assisté à certaines sessions de l’Assemblée des </w:t>
      </w:r>
      <w:proofErr w:type="spellStart"/>
      <w:r w:rsidRPr="00CB4F2E">
        <w:t>Etats</w:t>
      </w:r>
      <w:proofErr w:type="spellEnd"/>
      <w:r w:rsidRPr="00CB4F2E">
        <w:t xml:space="preserve"> parties au Statut de Rome, en qualité d’observateurs.</w:t>
      </w:r>
    </w:p>
    <w:p w14:paraId="21A6BDD5" w14:textId="5A329890" w:rsidR="00ED20A7" w:rsidRDefault="00324640" w:rsidP="00324640">
      <w:pPr>
        <w:pStyle w:val="H1G"/>
        <w:rPr>
          <w:i/>
        </w:rPr>
      </w:pPr>
      <w:bookmarkStart w:id="158" w:name="_Toc210646388"/>
      <w:r>
        <w:tab/>
      </w:r>
      <w:r w:rsidR="0093676D" w:rsidRPr="00CB4F2E">
        <w:t>B.</w:t>
      </w:r>
      <w:r>
        <w:tab/>
      </w:r>
      <w:r w:rsidR="0093676D" w:rsidRPr="00CB4F2E">
        <w:t>Les pratiques néfastes</w:t>
      </w:r>
      <w:bookmarkEnd w:id="158"/>
    </w:p>
    <w:p w14:paraId="4139C8F0" w14:textId="77777777" w:rsidR="00ED20A7" w:rsidRDefault="0093676D" w:rsidP="005F1D8A">
      <w:pPr>
        <w:pStyle w:val="SingleTxtG"/>
        <w:numPr>
          <w:ilvl w:val="0"/>
          <w:numId w:val="6"/>
        </w:numPr>
        <w:ind w:left="1134" w:firstLine="0"/>
        <w:rPr>
          <w:lang w:val="fr-FR"/>
        </w:rPr>
      </w:pPr>
      <w:r w:rsidRPr="00CB4F2E">
        <w:rPr>
          <w:lang w:val="fr-FR"/>
        </w:rPr>
        <w:t xml:space="preserve">Les </w:t>
      </w:r>
      <w:r w:rsidRPr="00980BBC">
        <w:rPr>
          <w:bCs/>
        </w:rPr>
        <w:t>pratiques</w:t>
      </w:r>
      <w:r w:rsidRPr="00CB4F2E">
        <w:rPr>
          <w:lang w:val="fr-FR"/>
        </w:rPr>
        <w:t xml:space="preserve"> néfastes visées que l’</w:t>
      </w:r>
      <w:proofErr w:type="spellStart"/>
      <w:r w:rsidRPr="00CB4F2E">
        <w:rPr>
          <w:lang w:val="fr-FR"/>
        </w:rPr>
        <w:t>Etat</w:t>
      </w:r>
      <w:proofErr w:type="spellEnd"/>
      <w:r w:rsidRPr="00CB4F2E">
        <w:rPr>
          <w:lang w:val="fr-FR"/>
        </w:rPr>
        <w:t xml:space="preserve"> s’emploie à éradiquer intègrent, entre autres, les mutilations génitales féminines (MGF), les mariages précoces ou forcés et les rites de veuvage dégradants, lesquels sont contraires notamment à la Constitution du Cameroun qui garantit à tous le droit à l’intégrité physique ou morale et d’être traité en toutes circonstances avec humanité. Pour lutter contre de telles pratiques, le Cameroun s’est armé d’un dispositif structuré autour d’un arsenal normatif et institutionnel, de documents de stratégie et de mesures opérationnelles essentiellement portées par le MINJUSTICE, le MINAS et le MINPROFF.</w:t>
      </w:r>
    </w:p>
    <w:p w14:paraId="6788A45E" w14:textId="77777777" w:rsidR="00ED20A7" w:rsidRDefault="0093676D" w:rsidP="005F1D8A">
      <w:pPr>
        <w:pStyle w:val="SingleTxtG"/>
        <w:numPr>
          <w:ilvl w:val="0"/>
          <w:numId w:val="6"/>
        </w:numPr>
        <w:ind w:left="1134" w:firstLine="0"/>
        <w:rPr>
          <w:iCs/>
        </w:rPr>
      </w:pPr>
      <w:r w:rsidRPr="00CB4F2E">
        <w:rPr>
          <w:lang w:val="fr-FR"/>
        </w:rPr>
        <w:t xml:space="preserve">Au </w:t>
      </w:r>
      <w:r w:rsidRPr="00980BBC">
        <w:rPr>
          <w:bCs/>
        </w:rPr>
        <w:t>niveau</w:t>
      </w:r>
      <w:r w:rsidRPr="00CB4F2E">
        <w:rPr>
          <w:lang w:val="fr-FR"/>
        </w:rPr>
        <w:t xml:space="preserve"> stratégique, le Cameroun s’est doté, entre autres, </w:t>
      </w:r>
      <w:r w:rsidRPr="00CB4F2E">
        <w:rPr>
          <w:iCs/>
          <w:lang w:val="fr-FR"/>
        </w:rPr>
        <w:t xml:space="preserve">d’une </w:t>
      </w:r>
      <w:r w:rsidRPr="00CB4F2E">
        <w:rPr>
          <w:iCs/>
        </w:rPr>
        <w:t xml:space="preserve">Stratégie nationale de la lutte contre les violences basées sur le genre (VBG) 2022-2026 et d’un </w:t>
      </w:r>
      <w:r w:rsidRPr="00CB4F2E">
        <w:t>Plan d'Action National contre les Mutilations Génitales Féminines (</w:t>
      </w:r>
      <w:r w:rsidRPr="00CB4F2E">
        <w:rPr>
          <w:iCs/>
        </w:rPr>
        <w:t>2022-2026), etc.</w:t>
      </w:r>
    </w:p>
    <w:p w14:paraId="56561250" w14:textId="77777777" w:rsidR="00ED20A7" w:rsidRDefault="0093676D" w:rsidP="005F1D8A">
      <w:pPr>
        <w:pStyle w:val="SingleTxtG"/>
        <w:numPr>
          <w:ilvl w:val="0"/>
          <w:numId w:val="6"/>
        </w:numPr>
        <w:ind w:left="1134" w:firstLine="0"/>
        <w:rPr>
          <w:lang w:val="fr-FR"/>
        </w:rPr>
      </w:pPr>
      <w:r w:rsidRPr="00CB4F2E">
        <w:rPr>
          <w:lang w:val="fr-FR"/>
        </w:rPr>
        <w:t xml:space="preserve">Sur le plan normatif, outre la ratification des instruments qui engagent les </w:t>
      </w:r>
      <w:proofErr w:type="spellStart"/>
      <w:r w:rsidRPr="00CB4F2E">
        <w:rPr>
          <w:lang w:val="fr-FR"/>
        </w:rPr>
        <w:t>Etats</w:t>
      </w:r>
      <w:proofErr w:type="spellEnd"/>
      <w:r w:rsidRPr="00CB4F2E">
        <w:rPr>
          <w:lang w:val="fr-FR"/>
        </w:rPr>
        <w:t xml:space="preserve"> parties à prendre des mesures pour éliminer les pratiques néfastes, à l’instar du Protocole de Maputo et la </w:t>
      </w:r>
      <w:r w:rsidRPr="00CB4F2E">
        <w:t xml:space="preserve">Charte Africaine des Droits et du </w:t>
      </w:r>
      <w:proofErr w:type="spellStart"/>
      <w:r w:rsidRPr="00CB4F2E">
        <w:t>Bien-Etre</w:t>
      </w:r>
      <w:proofErr w:type="spellEnd"/>
      <w:r w:rsidRPr="00CB4F2E">
        <w:t xml:space="preserve"> de l'Enfant, la législation pénale </w:t>
      </w:r>
      <w:r w:rsidRPr="00CB4F2E">
        <w:lastRenderedPageBreak/>
        <w:t>camerounaise sanctionne des faits tels que le mariage forcé, les mutilations génitales, l’atteinte à la croissance d’un organe, le viol, ainsi que diverses atteintes à l’intégrité physique (articles 275 et suivants du Code Pénal).</w:t>
      </w:r>
    </w:p>
    <w:p w14:paraId="6FBF82B9" w14:textId="77777777" w:rsidR="00ED20A7" w:rsidRDefault="0093676D" w:rsidP="005F1D8A">
      <w:pPr>
        <w:pStyle w:val="SingleTxtG"/>
        <w:numPr>
          <w:ilvl w:val="0"/>
          <w:numId w:val="6"/>
        </w:numPr>
        <w:ind w:left="1134" w:firstLine="0"/>
      </w:pPr>
      <w:r w:rsidRPr="00CB4F2E">
        <w:t xml:space="preserve">Les mesures opérationnelles incluent notamment la sensibilisation et la formation en direction </w:t>
      </w:r>
      <w:r w:rsidRPr="00980BBC">
        <w:rPr>
          <w:bCs/>
        </w:rPr>
        <w:t>des</w:t>
      </w:r>
      <w:r w:rsidRPr="00CB4F2E">
        <w:t xml:space="preserve"> personnes chargées de l’application de la loi, des leaders religieux et communautaires, la sensibilisation du grand public, de même la répression par les juridictions. Ainsi, en 2024, 138 personnels du MINPROFF ont bénéficié de la formation des formateurs en vue de la diffusion du « programme de parentalité́ positive ». </w:t>
      </w:r>
      <w:proofErr w:type="spellStart"/>
      <w:r w:rsidRPr="00CB4F2E">
        <w:t>A</w:t>
      </w:r>
      <w:proofErr w:type="spellEnd"/>
      <w:r w:rsidRPr="00CB4F2E">
        <w:t xml:space="preserve"> travers à ce programme, environ 3 500 000 personnes ont été sensibilisées entre 2023 et 2024. En outre, 12 ateliers de sensibilisation contre le mariage d’enfant ont été organisés auprès des leaders communautaires dans les villes de Bertoua, Garoua, Maroua et Ngaoundéré, touchant près de 10 000 personnes entre 2019 et 2024. Sur la même période, 6 000 000 personnes ont été sensibilisées à l’occasion de la commémoration de la Journée internationale de la fille dans les Régions de l’Extrême-Nord, du Nord, de l’Adamaoua, et de l’Est.</w:t>
      </w:r>
    </w:p>
    <w:p w14:paraId="70CEC353" w14:textId="2EAE4CA8" w:rsidR="0093676D" w:rsidRPr="00CB4F2E" w:rsidRDefault="0093676D" w:rsidP="005F1D8A">
      <w:pPr>
        <w:pStyle w:val="SingleTxtG"/>
        <w:numPr>
          <w:ilvl w:val="0"/>
          <w:numId w:val="6"/>
        </w:numPr>
        <w:ind w:left="1134" w:firstLine="0"/>
        <w:rPr>
          <w:lang w:val="fr-FR"/>
        </w:rPr>
      </w:pPr>
      <w:r w:rsidRPr="00CB4F2E">
        <w:rPr>
          <w:lang w:val="fr-FR"/>
        </w:rPr>
        <w:t xml:space="preserve">D’autres mesures portent sur la mise en place des comités locaux de lutte contre les MGF et de brigades de dénonciation des mariages précoces et/ou forcés sous l’encadrement des autorités </w:t>
      </w:r>
      <w:r w:rsidRPr="00980BBC">
        <w:rPr>
          <w:bCs/>
        </w:rPr>
        <w:t>administratives</w:t>
      </w:r>
      <w:r w:rsidRPr="00CB4F2E">
        <w:rPr>
          <w:lang w:val="fr-FR"/>
        </w:rPr>
        <w:t>, sur l’autonomisation des ex-exciseurs et ex-exciseuses par des activités génératrices de revenus à travers des appuis matériels, financiers et techniques.</w:t>
      </w:r>
    </w:p>
    <w:p w14:paraId="6094F547" w14:textId="336B1FBB" w:rsidR="00ED20A7" w:rsidRDefault="00324640" w:rsidP="00324640">
      <w:pPr>
        <w:pStyle w:val="H1G"/>
        <w:rPr>
          <w:i/>
        </w:rPr>
      </w:pPr>
      <w:bookmarkStart w:id="159" w:name="_Toc210646389"/>
      <w:r>
        <w:tab/>
      </w:r>
      <w:r w:rsidR="0093676D" w:rsidRPr="00CB4F2E">
        <w:t>C.</w:t>
      </w:r>
      <w:r>
        <w:tab/>
      </w:r>
      <w:r w:rsidR="0093676D" w:rsidRPr="00CB4F2E">
        <w:t>La dépénalisation des délits commis par voie de presse</w:t>
      </w:r>
      <w:bookmarkEnd w:id="159"/>
    </w:p>
    <w:p w14:paraId="281F59A2" w14:textId="77777777" w:rsidR="00ED20A7" w:rsidRDefault="0093676D" w:rsidP="005F1D8A">
      <w:pPr>
        <w:pStyle w:val="SingleTxtG"/>
        <w:numPr>
          <w:ilvl w:val="0"/>
          <w:numId w:val="6"/>
        </w:numPr>
        <w:ind w:left="1134" w:firstLine="0"/>
        <w:rPr>
          <w:lang w:val="fr-FR"/>
        </w:rPr>
      </w:pPr>
      <w:r w:rsidRPr="00CB4F2E">
        <w:rPr>
          <w:lang w:val="fr-FR"/>
        </w:rPr>
        <w:t xml:space="preserve">La liberté de la presse est une réalité au Cameroun. Le Préambule de la Constitution énonce que </w:t>
      </w:r>
      <w:r w:rsidRPr="00CB4F2E">
        <w:rPr>
          <w:i/>
          <w:lang w:val="fr-FR"/>
        </w:rPr>
        <w:t>«la liberté d’expression, la liberté de presse, la liberté de réunion, la liberté d’association, la liberté syndicale et le droit de grève sont garantis »</w:t>
      </w:r>
      <w:r w:rsidRPr="00CB4F2E">
        <w:rPr>
          <w:lang w:val="fr-FR"/>
        </w:rPr>
        <w:t>.</w:t>
      </w:r>
    </w:p>
    <w:p w14:paraId="700605E5" w14:textId="77777777" w:rsidR="00ED20A7" w:rsidRDefault="0093676D" w:rsidP="005F1D8A">
      <w:pPr>
        <w:pStyle w:val="SingleTxtG"/>
        <w:numPr>
          <w:ilvl w:val="0"/>
          <w:numId w:val="6"/>
        </w:numPr>
        <w:ind w:left="1134" w:firstLine="0"/>
        <w:rPr>
          <w:lang w:val="fr-FR"/>
        </w:rPr>
      </w:pPr>
      <w:r w:rsidRPr="00CB4F2E">
        <w:rPr>
          <w:lang w:val="fr-FR"/>
        </w:rPr>
        <w:t>La Loi n</w:t>
      </w:r>
      <w:r w:rsidRPr="00CB4F2E">
        <w:rPr>
          <w:vertAlign w:val="superscript"/>
          <w:lang w:val="fr-FR"/>
        </w:rPr>
        <w:t>o</w:t>
      </w:r>
      <w:r w:rsidRPr="00CB4F2E">
        <w:rPr>
          <w:lang w:val="fr-FR"/>
        </w:rPr>
        <w:t> 90/52 du 19 décembre 1990 relative à la communication sociale, modifiée par la Loi n</w:t>
      </w:r>
      <w:r w:rsidRPr="00CB4F2E">
        <w:rPr>
          <w:vertAlign w:val="superscript"/>
          <w:lang w:val="fr-FR"/>
        </w:rPr>
        <w:t>o</w:t>
      </w:r>
      <w:r w:rsidRPr="00CB4F2E">
        <w:rPr>
          <w:lang w:val="fr-FR"/>
        </w:rPr>
        <w:t> 96/04 du 4 janvier 1996, a instauré un système libéral d’information. Cette loi est complétée par le Décret n</w:t>
      </w:r>
      <w:r w:rsidRPr="00CB4F2E">
        <w:rPr>
          <w:vertAlign w:val="superscript"/>
          <w:lang w:val="fr-FR"/>
        </w:rPr>
        <w:t>o</w:t>
      </w:r>
      <w:r w:rsidRPr="00CB4F2E">
        <w:rPr>
          <w:lang w:val="fr-FR"/>
        </w:rPr>
        <w:t xml:space="preserve"> 2000/158 du 3 avril 2000 fixant les conditions et les modalités de création et d’exploitation des entreprises privées de communication </w:t>
      </w:r>
      <w:proofErr w:type="spellStart"/>
      <w:r w:rsidRPr="00CB4F2E">
        <w:rPr>
          <w:lang w:val="fr-FR"/>
        </w:rPr>
        <w:t>audiovisuelle</w:t>
      </w:r>
      <w:proofErr w:type="spellEnd"/>
      <w:r w:rsidRPr="00CB4F2E">
        <w:rPr>
          <w:lang w:val="fr-FR"/>
        </w:rPr>
        <w:t xml:space="preserve">. La Loi n° 2010/012 du 21 décembre 2010 relative à la cybersécurité et à la cybercriminalité, la Loi n° 2015/006 du 20 avril 2015 portant modification de la Loi n° 2010/013 du 21 décembre 2010 régissant les communications électroniques et la Loi n°2015/007 du 20 avril 2015 régissant la communication </w:t>
      </w:r>
      <w:proofErr w:type="spellStart"/>
      <w:r w:rsidRPr="00CB4F2E">
        <w:rPr>
          <w:lang w:val="fr-FR"/>
        </w:rPr>
        <w:t>audiovisuelle</w:t>
      </w:r>
      <w:proofErr w:type="spellEnd"/>
      <w:r w:rsidRPr="00CB4F2E">
        <w:rPr>
          <w:lang w:val="fr-FR"/>
        </w:rPr>
        <w:t xml:space="preserve"> au Cameroun ont consacré une véritable évolution dans le domaine de la liberté d’expression et de communication. </w:t>
      </w:r>
      <w:r w:rsidRPr="00CB4F2E">
        <w:t>Au 31 décembre 2024, le Cameroun comptait un nombre considérable d’organe de presse (§124).</w:t>
      </w:r>
    </w:p>
    <w:p w14:paraId="0A31592F" w14:textId="77777777" w:rsidR="00ED20A7" w:rsidRDefault="0093676D" w:rsidP="005F1D8A">
      <w:pPr>
        <w:pStyle w:val="SingleTxtG"/>
        <w:numPr>
          <w:ilvl w:val="0"/>
          <w:numId w:val="6"/>
        </w:numPr>
        <w:ind w:left="1134" w:firstLine="0"/>
        <w:rPr>
          <w:lang w:val="fr-FR"/>
        </w:rPr>
      </w:pPr>
      <w:r w:rsidRPr="00CB4F2E">
        <w:rPr>
          <w:lang w:val="fr-FR"/>
        </w:rPr>
        <w:t>Si la censure administrative a été supprimée, les délits commis par voie de presse demeurent sanctionnés par le droit pénal, en vue de promouvoir la responsabilité et le respect de l’éthique et de la déontologie chez les journalistes d’une part et de protéger les droits des autres personnes ainsi que l’ordre public d’autre part.</w:t>
      </w:r>
    </w:p>
    <w:p w14:paraId="6310EE89" w14:textId="77777777" w:rsidR="00ED20A7" w:rsidRDefault="0093676D" w:rsidP="005F1D8A">
      <w:pPr>
        <w:pStyle w:val="SingleTxtG"/>
        <w:numPr>
          <w:ilvl w:val="0"/>
          <w:numId w:val="6"/>
        </w:numPr>
        <w:ind w:left="1134" w:firstLine="0"/>
        <w:rPr>
          <w:lang w:val="fr-FR"/>
        </w:rPr>
      </w:pPr>
      <w:r w:rsidRPr="00CB4F2E">
        <w:rPr>
          <w:lang w:val="fr-FR"/>
        </w:rPr>
        <w:t xml:space="preserve">En effet, dans la plupart des affaires impliquant des journalistes, les poursuites ont été engagées non par le ministère public, mais à l’initiative des particuliers estimant leurs droits violés par des journalistes. </w:t>
      </w:r>
    </w:p>
    <w:p w14:paraId="490334D4" w14:textId="77777777" w:rsidR="00ED20A7" w:rsidRDefault="0093676D" w:rsidP="005F1D8A">
      <w:pPr>
        <w:pStyle w:val="SingleTxtG"/>
        <w:numPr>
          <w:ilvl w:val="0"/>
          <w:numId w:val="6"/>
        </w:numPr>
        <w:ind w:left="1134" w:firstLine="0"/>
        <w:rPr>
          <w:lang w:val="fr-FR"/>
        </w:rPr>
      </w:pPr>
      <w:r w:rsidRPr="00CB4F2E">
        <w:rPr>
          <w:lang w:val="fr-FR"/>
        </w:rPr>
        <w:t>Les journalistes, les membres des ONG et les défenseurs des Droits de l’Homme exercent librement leurs activités sur le territoire camerounais. Lorsqu’ils s’écartent volontairement de l’objet statutaire de leur association en se livrant à des activités qui dévoient les droits et libertés proclamés par la Déclaration Universelle des Droits de l’Homme (DUDH) et d’autres instruments internationaux, il en découle parfois de nombreux abus au préjudice de paisibles citoyens, qui, parfois, saisissent la justice. Le harcèlement judiciaire dont se plaignent certains journalistes tire très souvent son origine de la violation par leurs agissements, des droits des autres citoyens, à l’instar du droit à la vie privée, du droit à l’honneur et à la dignité, etc. L’</w:t>
      </w:r>
      <w:proofErr w:type="spellStart"/>
      <w:r w:rsidRPr="00CB4F2E">
        <w:rPr>
          <w:lang w:val="fr-FR"/>
        </w:rPr>
        <w:t>Etat</w:t>
      </w:r>
      <w:proofErr w:type="spellEnd"/>
      <w:r w:rsidRPr="00CB4F2E">
        <w:rPr>
          <w:lang w:val="fr-FR"/>
        </w:rPr>
        <w:t xml:space="preserve"> veille également à la protection des journalistes lorsqu’ils agissent dans le cadre de leurs activités et sont victimes d’abus de la part des tiers.</w:t>
      </w:r>
    </w:p>
    <w:p w14:paraId="59841FBA" w14:textId="5C627A85" w:rsidR="0093676D" w:rsidRPr="00CB4F2E" w:rsidRDefault="0093676D" w:rsidP="005F1D8A">
      <w:pPr>
        <w:pStyle w:val="SingleTxtG"/>
        <w:numPr>
          <w:ilvl w:val="0"/>
          <w:numId w:val="6"/>
        </w:numPr>
        <w:ind w:left="1134" w:firstLine="0"/>
        <w:rPr>
          <w:lang w:val="fr-FR"/>
        </w:rPr>
      </w:pPr>
      <w:r w:rsidRPr="00CB4F2E">
        <w:rPr>
          <w:lang w:val="fr-FR"/>
        </w:rPr>
        <w:t xml:space="preserve">Au Cameroun, tout journaliste, toute agence de presse, toute station de radiodiffusion sonore ou toute chaîne de télévision a le droit de collecter, traiter et publier les informations en sa possession, à l’instant et à l’endroit où il le souhaite. Il doit également répondre des responsabilités susceptibles d’en découler dans les conditions prévues par la loi. Ce régime, </w:t>
      </w:r>
      <w:r w:rsidRPr="00CB4F2E">
        <w:rPr>
          <w:lang w:val="fr-FR"/>
        </w:rPr>
        <w:lastRenderedPageBreak/>
        <w:t>en vigueur dans tout système libéral d’information, découle de l’article 19 de la DUDH, ainsi que de l’article 19 du Pacte international relatif aux droits civils et politiques.</w:t>
      </w:r>
    </w:p>
    <w:p w14:paraId="72044D23" w14:textId="18B5CB45" w:rsidR="00ED20A7" w:rsidRDefault="00324640" w:rsidP="00324640">
      <w:pPr>
        <w:pStyle w:val="H1G"/>
        <w:rPr>
          <w:i/>
        </w:rPr>
      </w:pPr>
      <w:bookmarkStart w:id="160" w:name="_Toc210646390"/>
      <w:r>
        <w:tab/>
      </w:r>
      <w:r w:rsidR="0093676D" w:rsidRPr="00CB4F2E">
        <w:t>D.</w:t>
      </w:r>
      <w:r>
        <w:tab/>
      </w:r>
      <w:r w:rsidR="0093676D" w:rsidRPr="00CB4F2E">
        <w:t>La dépénalisation de l’homosexualité et des pratiques apparentées</w:t>
      </w:r>
      <w:bookmarkEnd w:id="160"/>
    </w:p>
    <w:p w14:paraId="1E506E4B" w14:textId="77777777" w:rsidR="00ED20A7" w:rsidRDefault="0093676D" w:rsidP="005F1D8A">
      <w:pPr>
        <w:pStyle w:val="SingleTxtG"/>
        <w:numPr>
          <w:ilvl w:val="0"/>
          <w:numId w:val="6"/>
        </w:numPr>
        <w:ind w:left="1134" w:firstLine="0"/>
        <w:rPr>
          <w:lang w:val="fr-FR"/>
        </w:rPr>
      </w:pPr>
      <w:r w:rsidRPr="00CB4F2E">
        <w:rPr>
          <w:lang w:val="fr-FR"/>
        </w:rPr>
        <w:t>L’incrimination de l’homosexualité n’est pas, du point de vue de l’ordre juridique camerounais, contraire aux dispositions de l’article 12 de la DUDH et à celles de l’article 26 du Pacte international relatif aux droits civils et politiques, en ce sens qu’il n’est pas refusé aux personnes homosexuelles le bénéfice d’un droit ou d’une prestation en raison de leur orientation sexuelle présumée.</w:t>
      </w:r>
    </w:p>
    <w:p w14:paraId="05DD8F38" w14:textId="77777777" w:rsidR="00ED20A7" w:rsidRDefault="0093676D" w:rsidP="005F1D8A">
      <w:pPr>
        <w:pStyle w:val="SingleTxtG"/>
        <w:numPr>
          <w:ilvl w:val="0"/>
          <w:numId w:val="6"/>
        </w:numPr>
        <w:ind w:left="1134" w:firstLine="0"/>
        <w:rPr>
          <w:lang w:val="fr-FR"/>
        </w:rPr>
      </w:pPr>
      <w:r w:rsidRPr="00CB4F2E">
        <w:rPr>
          <w:lang w:val="fr-FR"/>
        </w:rPr>
        <w:t>Il s’agit des pratiques contraires autant à la législation en vigueur qu’à ce que la société camerounaise démocratique d’aujourd’hui considère encore comme les bonnes mœurs.</w:t>
      </w:r>
    </w:p>
    <w:p w14:paraId="049D852F" w14:textId="77777777" w:rsidR="00ED20A7" w:rsidRDefault="0093676D" w:rsidP="005F1D8A">
      <w:pPr>
        <w:pStyle w:val="SingleTxtG"/>
        <w:numPr>
          <w:ilvl w:val="0"/>
          <w:numId w:val="6"/>
        </w:numPr>
        <w:ind w:left="1134" w:firstLine="0"/>
        <w:rPr>
          <w:lang w:val="fr-FR"/>
        </w:rPr>
      </w:pPr>
      <w:r w:rsidRPr="00CB4F2E">
        <w:rPr>
          <w:lang w:val="fr-FR"/>
        </w:rPr>
        <w:t xml:space="preserve">Bien plus, la position de la législation camerounaise trouve un appui dans les dispositions pertinentes des articles 29 (2) de la DUDH et 29 (7) de la CADHP qui constituent des clauses de sauvegarde invocables par chaque société démocratique en fonction de ses particularités morales. Ces dispositions, de manière respective, admettent qu’un </w:t>
      </w:r>
      <w:proofErr w:type="spellStart"/>
      <w:r w:rsidRPr="00CB4F2E">
        <w:rPr>
          <w:lang w:val="fr-FR"/>
        </w:rPr>
        <w:t>Etat</w:t>
      </w:r>
      <w:proofErr w:type="spellEnd"/>
      <w:r w:rsidRPr="00CB4F2E">
        <w:rPr>
          <w:lang w:val="fr-FR"/>
        </w:rPr>
        <w:t xml:space="preserve"> puisse restreindre un droit ou une liberté </w:t>
      </w:r>
      <w:r w:rsidRPr="00CB4F2E">
        <w:rPr>
          <w:i/>
          <w:lang w:val="fr-FR"/>
        </w:rPr>
        <w:t>«afin de satisfaire aux justes exigences de la morale, de l’ordre public et du bien-être général dans une société démocratique…»</w:t>
      </w:r>
      <w:r w:rsidRPr="00CB4F2E">
        <w:rPr>
          <w:lang w:val="fr-FR"/>
        </w:rPr>
        <w:t xml:space="preserve">, et imposent à l’individu </w:t>
      </w:r>
      <w:r w:rsidRPr="00CB4F2E">
        <w:rPr>
          <w:i/>
          <w:lang w:val="fr-FR"/>
        </w:rPr>
        <w:t>«de veiller dans ses relations avec la société, à la préservation et au renforcement des valeurs culturelles africaines positives…».</w:t>
      </w:r>
    </w:p>
    <w:p w14:paraId="690DDA0B" w14:textId="77777777" w:rsidR="00ED20A7" w:rsidRDefault="0093676D" w:rsidP="005F1D8A">
      <w:pPr>
        <w:pStyle w:val="SingleTxtG"/>
        <w:numPr>
          <w:ilvl w:val="0"/>
          <w:numId w:val="6"/>
        </w:numPr>
        <w:ind w:left="1134" w:firstLine="0"/>
        <w:rPr>
          <w:lang w:val="fr-FR"/>
        </w:rPr>
      </w:pPr>
      <w:r w:rsidRPr="00CB4F2E">
        <w:rPr>
          <w:lang w:val="fr-FR"/>
        </w:rPr>
        <w:t>En l’état actuel des choses, l’homosexualité n’apparaît pas comme une valeur admise par la Société Camerounaise, mais est globalement considérée comme une activité contraire aux bonnes mœurs et qui doit être réprimée. En effet, les débats sur cette question dans le cadre de la révision du Code Pénal ont dégagé une réprobation générale de la pratique de l’homosexualité. Le Code Pénal reflète donc une position claire du corps social.</w:t>
      </w:r>
    </w:p>
    <w:p w14:paraId="1C901FFB" w14:textId="77777777" w:rsidR="00ED20A7" w:rsidRDefault="0093676D" w:rsidP="005F1D8A">
      <w:pPr>
        <w:pStyle w:val="SingleTxtG"/>
        <w:numPr>
          <w:ilvl w:val="0"/>
          <w:numId w:val="6"/>
        </w:numPr>
        <w:ind w:left="1134" w:firstLine="0"/>
        <w:rPr>
          <w:lang w:val="fr-FR"/>
        </w:rPr>
      </w:pPr>
      <w:r w:rsidRPr="00CB4F2E">
        <w:rPr>
          <w:lang w:val="fr-FR"/>
        </w:rPr>
        <w:t xml:space="preserve">Le Gouvernement Camerounais n’a pas changé d’opinion relativement à l’homosexualité, qui continue ainsi à être réprimée. La Loi n° 2016/007 du 12 juillet 2016 portant Code Pénal (nouveau), en son article 347-1, punit </w:t>
      </w:r>
      <w:r w:rsidRPr="00CB4F2E">
        <w:rPr>
          <w:i/>
          <w:lang w:val="fr-FR"/>
        </w:rPr>
        <w:t>«d’un emprisonnement de six (6) mois à cinq (5) ans et d’une amende de vingt mille (20 000) à deux cent mille (200 000) francs toute personne qui a des rapports sexuels avec une personne de son sexe».</w:t>
      </w:r>
    </w:p>
    <w:p w14:paraId="713F36FA" w14:textId="08D2DDB5" w:rsidR="0093676D" w:rsidRPr="00CB4F2E" w:rsidRDefault="0093676D" w:rsidP="005F1D8A">
      <w:pPr>
        <w:pStyle w:val="SingleTxtG"/>
        <w:numPr>
          <w:ilvl w:val="0"/>
          <w:numId w:val="6"/>
        </w:numPr>
        <w:ind w:left="1134" w:firstLine="0"/>
        <w:rPr>
          <w:lang w:val="fr-FR"/>
        </w:rPr>
      </w:pPr>
      <w:r w:rsidRPr="00CB4F2E">
        <w:rPr>
          <w:lang w:val="fr-FR"/>
        </w:rPr>
        <w:t>Le Gouvernement met un point d’honneur à ce que les droits de toutes les personnes sur son territoire</w:t>
      </w:r>
      <w:r w:rsidRPr="00CB4F2E" w:rsidDel="00C059BB">
        <w:rPr>
          <w:lang w:val="fr-FR"/>
        </w:rPr>
        <w:t xml:space="preserve"> </w:t>
      </w:r>
      <w:r w:rsidRPr="00CB4F2E">
        <w:rPr>
          <w:lang w:val="fr-FR"/>
        </w:rPr>
        <w:t>soient respectés, sans discrimination aucune.</w:t>
      </w:r>
    </w:p>
    <w:p w14:paraId="212D0930" w14:textId="07FAFDBE" w:rsidR="0093676D" w:rsidRPr="00CB4F2E" w:rsidRDefault="00324640" w:rsidP="00324640">
      <w:pPr>
        <w:pStyle w:val="H1G"/>
        <w:rPr>
          <w:i/>
        </w:rPr>
      </w:pPr>
      <w:bookmarkStart w:id="161" w:name="_Toc210646391"/>
      <w:r>
        <w:tab/>
      </w:r>
      <w:r w:rsidR="0093676D" w:rsidRPr="00CB4F2E">
        <w:t>E.</w:t>
      </w:r>
      <w:r>
        <w:tab/>
      </w:r>
      <w:r w:rsidR="0093676D" w:rsidRPr="00CB4F2E">
        <w:t>L’abolition de la peine de mort</w:t>
      </w:r>
      <w:bookmarkEnd w:id="161"/>
    </w:p>
    <w:p w14:paraId="57C62D5C" w14:textId="77777777" w:rsidR="0093676D" w:rsidRPr="00CB4F2E" w:rsidRDefault="0093676D" w:rsidP="005F1D8A">
      <w:pPr>
        <w:pStyle w:val="SingleTxtG"/>
        <w:numPr>
          <w:ilvl w:val="0"/>
          <w:numId w:val="6"/>
        </w:numPr>
        <w:ind w:left="1134" w:firstLine="0"/>
      </w:pPr>
      <w:r w:rsidRPr="00CB4F2E">
        <w:t>L’</w:t>
      </w:r>
      <w:proofErr w:type="spellStart"/>
      <w:r w:rsidRPr="00CB4F2E">
        <w:t>Etat</w:t>
      </w:r>
      <w:proofErr w:type="spellEnd"/>
      <w:r w:rsidRPr="00CB4F2E">
        <w:t xml:space="preserve"> du Cameroun n’a pas ratifié le deuxième Protocole facultatif se rapportant au Pacte international relatif aux droits civils et politiques, visant à abolir la peine de mort. Néanmoins, le Cameroun est un pays abolitionniste de fait de cette peine. En effet, même si les juridictions continuent de l’infliger à certains accusés, il reste qu’aucune exécution n’a eu lieu depuis plus de deux décennies (depuis1997), de sorte que l’on peut dire que la peine de mort est, </w:t>
      </w:r>
      <w:r w:rsidRPr="00CB4F2E">
        <w:rPr>
          <w:i/>
        </w:rPr>
        <w:t xml:space="preserve">de facto, </w:t>
      </w:r>
      <w:r w:rsidRPr="00CB4F2E">
        <w:t xml:space="preserve">systématiquement transformée en peine d’emprisonnement à vie. </w:t>
      </w:r>
    </w:p>
    <w:p w14:paraId="68C701BA" w14:textId="77777777" w:rsidR="0093676D" w:rsidRPr="00CB4F2E" w:rsidRDefault="0093676D" w:rsidP="005F1D8A">
      <w:pPr>
        <w:pStyle w:val="SingleTxtG"/>
        <w:numPr>
          <w:ilvl w:val="0"/>
          <w:numId w:val="6"/>
        </w:numPr>
        <w:ind w:left="1134" w:firstLine="0"/>
        <w:rPr>
          <w:i/>
        </w:rPr>
      </w:pPr>
      <w:r w:rsidRPr="00980BBC">
        <w:rPr>
          <w:bCs/>
        </w:rPr>
        <w:t>De</w:t>
      </w:r>
      <w:r w:rsidRPr="00CB4F2E">
        <w:t xml:space="preserve"> plus, cette peine bénéficie d’un encadrement juridique rigoureux, qui préserve le principe de la responsabilité pénale du fait personnel et qui réduit substantiellement les possibilités de son exécution effective. Ainsi, l’article 22 du Code Pénal, intitulé </w:t>
      </w:r>
      <w:r w:rsidRPr="00CB4F2E">
        <w:rPr>
          <w:i/>
        </w:rPr>
        <w:t>« conditions préalables à l’exécution »,</w:t>
      </w:r>
      <w:r w:rsidRPr="00CB4F2E">
        <w:t xml:space="preserve"> dispose ce qui suit : </w:t>
      </w:r>
      <w:r w:rsidRPr="00CB4F2E">
        <w:rPr>
          <w:i/>
        </w:rPr>
        <w:t>« (1) Toute condamnation à mort est soumise au Président de la République, en vue de l’exercice de son droit de grâce</w:t>
      </w:r>
      <w:r w:rsidRPr="00CB4F2E">
        <w:rPr>
          <w:rStyle w:val="FootnoteReference"/>
        </w:rPr>
        <w:footnoteReference w:id="85"/>
      </w:r>
      <w:r w:rsidRPr="00CB4F2E">
        <w:rPr>
          <w:i/>
        </w:rPr>
        <w:t>. (2) Tant qu’il n’a pas été statué par le Président de la République sur la grâce du condamné, aucune condamnation à mort ne peut recevoir exécution. (3) La femme enceinte ne subit la peine de mort qu’après son accouchement (…) ».</w:t>
      </w:r>
    </w:p>
    <w:p w14:paraId="359A3E92" w14:textId="77777777" w:rsidR="0093676D" w:rsidRPr="00CB4F2E" w:rsidRDefault="0093676D" w:rsidP="005F1D8A">
      <w:pPr>
        <w:pStyle w:val="SingleTxtG"/>
        <w:numPr>
          <w:ilvl w:val="0"/>
          <w:numId w:val="6"/>
        </w:numPr>
        <w:ind w:left="1134" w:firstLine="0"/>
      </w:pPr>
      <w:r w:rsidRPr="00CB4F2E">
        <w:t>Il s’ensuit que le recours en grâce est systématiquement introduit auprès du Président de la République, même en l’absence d’une demande expresse du condamné. En outre, au-</w:t>
      </w:r>
      <w:r w:rsidRPr="00CB4F2E">
        <w:lastRenderedPageBreak/>
        <w:t xml:space="preserve">delà de la grâce, la personne condamnée à la peine de mort peut, lorsque les conditions sont réunies, bénéficier de la prescription de la peine ou de l’amnistie, respectivement en application des dispositions des articles 67 et 73 du Code Pénal. </w:t>
      </w:r>
    </w:p>
    <w:p w14:paraId="795F467F" w14:textId="77777777" w:rsidR="0093676D" w:rsidRPr="00CB4F2E" w:rsidRDefault="0093676D" w:rsidP="005F1D8A">
      <w:pPr>
        <w:pStyle w:val="SingleTxtG"/>
        <w:numPr>
          <w:ilvl w:val="0"/>
          <w:numId w:val="6"/>
        </w:numPr>
        <w:ind w:left="1134" w:firstLine="0"/>
      </w:pPr>
      <w:r w:rsidRPr="00CB4F2E">
        <w:t>La peine de mort est maintenue dans l’arsenal juridique du Cameroun en raison de son effet dissuasif d’une part, et en considération des réalités, du contexte et des spécificités propres au Cameroun d’autre part. En effet, cette peine ne s’applique qu’à quelques infractions seulement, considérées comme les plus graves, parce que portant atteinte aux valeurs protégées fondamentales, à l’instar de la sûreté de l’</w:t>
      </w:r>
      <w:proofErr w:type="spellStart"/>
      <w:r w:rsidRPr="00CB4F2E">
        <w:t>Etat</w:t>
      </w:r>
      <w:proofErr w:type="spellEnd"/>
      <w:r w:rsidRPr="00CB4F2E">
        <w:t>, de la vie humaine et de l’enfant. Au rang de ces infractions, l’on peut citer l’hostilité contre la patrie, la haute trahison et l’espionnage, l’incitation à la guerre civile, l’assassinat, l’enlèvement de mineur lorsque la mort de la victime en résulte (articles 102, 103, 112, 276, 352, 353 et 354 du Code pénal), les actes de terrorisme et les infractions assimilées (article 2, 3 et 4 de la loi n°2014/028 du 23 décembre 2014 portant répression des actes de terrorisme).</w:t>
      </w:r>
    </w:p>
    <w:p w14:paraId="458A41BB" w14:textId="01C3C272" w:rsidR="00ED20A7" w:rsidRDefault="00DA01A7" w:rsidP="00DA01A7">
      <w:pPr>
        <w:pStyle w:val="H1G"/>
        <w:rPr>
          <w:i/>
        </w:rPr>
      </w:pPr>
      <w:bookmarkStart w:id="162" w:name="_Toc210646392"/>
      <w:r>
        <w:tab/>
      </w:r>
      <w:r w:rsidR="0093676D" w:rsidRPr="00CB4F2E">
        <w:t>F.</w:t>
      </w:r>
      <w:r>
        <w:tab/>
      </w:r>
      <w:r>
        <w:tab/>
      </w:r>
      <w:r w:rsidR="0093676D" w:rsidRPr="00CB4F2E">
        <w:t>La conformité des lieux de détention aux standards internationaux</w:t>
      </w:r>
      <w:bookmarkEnd w:id="162"/>
    </w:p>
    <w:p w14:paraId="57D96080" w14:textId="179B9523" w:rsidR="00ED20A7" w:rsidRDefault="0093676D" w:rsidP="005F1D8A">
      <w:pPr>
        <w:pStyle w:val="SingleTxtG"/>
        <w:numPr>
          <w:ilvl w:val="0"/>
          <w:numId w:val="6"/>
        </w:numPr>
        <w:ind w:left="1134" w:firstLine="0"/>
      </w:pPr>
      <w:r w:rsidRPr="00CB4F2E">
        <w:t>L’amélioration des conditions de détention est une préoccupation constante du Gouvernement qui s’emploie à cette fin à relever progressivement l’enveloppe allouée à l’Administration pénitentiaire. Par exemple, cette enveloppe est passée de 22 894 127 000 FCFA</w:t>
      </w:r>
      <w:r w:rsidR="0027203C">
        <w:t xml:space="preserve"> </w:t>
      </w:r>
      <w:r w:rsidRPr="00CB4F2E">
        <w:t>en 2023 à</w:t>
      </w:r>
      <w:r w:rsidRPr="00CB4F2E">
        <w:rPr>
          <w:b/>
          <w:bCs/>
        </w:rPr>
        <w:t xml:space="preserve"> </w:t>
      </w:r>
      <w:r w:rsidRPr="00CB4F2E">
        <w:t>25 722 894 858 FCFA</w:t>
      </w:r>
      <w:r w:rsidRPr="00CB4F2E">
        <w:rPr>
          <w:rStyle w:val="FootnoteReference"/>
        </w:rPr>
        <w:footnoteReference w:id="86"/>
      </w:r>
      <w:r w:rsidRPr="00CB4F2E">
        <w:t xml:space="preserve"> en 2024. L’augmentation progressive du budget a d’ores et déjà mis en œuvre un Programme d’amélioration des conditions de détention (PACDET) et initié un projet de modernisation des prisons et de préparation à la réinsertion sociale des détenus. Plusieurs prisons ont ainsi été réhabilitées.</w:t>
      </w:r>
      <w:r w:rsidR="0027203C">
        <w:t xml:space="preserve"> </w:t>
      </w:r>
    </w:p>
    <w:p w14:paraId="38D6F450" w14:textId="77777777" w:rsidR="00ED20A7" w:rsidRDefault="0093676D" w:rsidP="005F1D8A">
      <w:pPr>
        <w:pStyle w:val="SingleTxtG"/>
        <w:numPr>
          <w:ilvl w:val="0"/>
          <w:numId w:val="6"/>
        </w:numPr>
        <w:ind w:left="1134" w:firstLine="0"/>
      </w:pPr>
      <w:r w:rsidRPr="00CB4F2E">
        <w:t>En 2024, le Cameroun comptait 91 prisons, dont 76 fonctionnelles, 10 créées mais non encore ouvertes</w:t>
      </w:r>
      <w:r w:rsidRPr="00CB4F2E">
        <w:rPr>
          <w:rStyle w:val="FootnoteReference"/>
        </w:rPr>
        <w:footnoteReference w:id="87"/>
      </w:r>
      <w:r w:rsidRPr="00CB4F2E">
        <w:t xml:space="preserve"> et 5 momentanément fermées</w:t>
      </w:r>
      <w:r w:rsidRPr="00CB4F2E">
        <w:rPr>
          <w:rStyle w:val="FootnoteReference"/>
        </w:rPr>
        <w:footnoteReference w:id="88"/>
      </w:r>
      <w:r w:rsidRPr="00CB4F2E">
        <w:t>.</w:t>
      </w:r>
      <w:r w:rsidRPr="00CB4F2E">
        <w:rPr>
          <w:b/>
          <w:bCs/>
        </w:rPr>
        <w:t xml:space="preserve"> </w:t>
      </w:r>
      <w:r w:rsidRPr="00CB4F2E">
        <w:t>D’une capacité de 1 500 places et opérationnalisée en 2022, la prison centrale de Douala-Ngoma, qui est l’un des symboles de la vision de l’</w:t>
      </w:r>
      <w:proofErr w:type="spellStart"/>
      <w:r w:rsidRPr="00CB4F2E">
        <w:t>Etat</w:t>
      </w:r>
      <w:proofErr w:type="spellEnd"/>
      <w:r w:rsidRPr="00CB4F2E">
        <w:t xml:space="preserve"> dans ce secteur, comprend 8 bâtiments, dont 3 R+1 destinés aux détenus masculins, un R+2 pour les mineurs et les femmes, un atelier de formation professionnelle, une cuisine, 4 chambres froides, 2 magasins, une chapelle, une mosquée, 32 douches et 27 WC, une aire de jeu, un parloir, un bloc administratif, etc. </w:t>
      </w:r>
    </w:p>
    <w:p w14:paraId="151467C0" w14:textId="77777777" w:rsidR="00ED20A7" w:rsidRDefault="0093676D" w:rsidP="005F1D8A">
      <w:pPr>
        <w:pStyle w:val="SingleTxtG"/>
        <w:numPr>
          <w:ilvl w:val="0"/>
          <w:numId w:val="6"/>
        </w:numPr>
        <w:ind w:left="1134" w:firstLine="0"/>
        <w:rPr>
          <w:bCs/>
        </w:rPr>
      </w:pPr>
      <w:r w:rsidRPr="00980BBC">
        <w:rPr>
          <w:bCs/>
        </w:rPr>
        <w:t>Globalement</w:t>
      </w:r>
      <w:r w:rsidRPr="00CB4F2E">
        <w:t>, les prisons sont dotées d’une infirmerie nantie de personnels soignant et sont alimentées en eau et en électricité. Au total, dans 10 prisons centrales sur 11, les détenus hommes, femmes et mineurs sont installés dans des quartiers distincts. Dans les autres prisons, lorsqu’ils arrivent qu’ils soient en raison de contraintes infrastructurelles installées dans un même quartier, ces détenus sont logés séparément dans des cellules.</w:t>
      </w:r>
      <w:r w:rsidRPr="00CB4F2E">
        <w:rPr>
          <w:bCs/>
        </w:rPr>
        <w:t xml:space="preserve"> </w:t>
      </w:r>
    </w:p>
    <w:p w14:paraId="099404BD" w14:textId="77777777" w:rsidR="00ED20A7" w:rsidRDefault="0093676D" w:rsidP="005F1D8A">
      <w:pPr>
        <w:pStyle w:val="SingleTxtG"/>
        <w:numPr>
          <w:ilvl w:val="0"/>
          <w:numId w:val="6"/>
        </w:numPr>
        <w:ind w:left="1134" w:firstLine="0"/>
        <w:rPr>
          <w:lang w:val="fr-FR"/>
        </w:rPr>
      </w:pPr>
      <w:r w:rsidRPr="00CB4F2E">
        <w:rPr>
          <w:bCs/>
        </w:rPr>
        <w:t>L’</w:t>
      </w:r>
      <w:proofErr w:type="spellStart"/>
      <w:r w:rsidRPr="00CB4F2E">
        <w:rPr>
          <w:bCs/>
        </w:rPr>
        <w:t>Etat</w:t>
      </w:r>
      <w:proofErr w:type="spellEnd"/>
      <w:r w:rsidRPr="00CB4F2E">
        <w:rPr>
          <w:bCs/>
        </w:rPr>
        <w:t xml:space="preserve"> pourvoit systématiquement à la nutrition et aux soins de santé des détenus. Dans la mesure du possible, les détenus sont scolarisés et bénéficient d’une formation professionnelle. </w:t>
      </w:r>
      <w:r w:rsidRPr="00CB4F2E">
        <w:rPr>
          <w:lang w:val="fr-FR"/>
        </w:rPr>
        <w:t xml:space="preserve">En 2024, l’on a enregistré un total de 98 610 consultations, parmi lesquelles 8 998 consultations externes, et 1 617 cas d’hospitalisations externes. L’acquisition des équipements pour les prisons tels que les véhicules, facilitent le transport des détenus vers les tribunaux pour les audiences et vers les hôpitaux pour les soins médicaux. </w:t>
      </w:r>
    </w:p>
    <w:p w14:paraId="5A957AA6" w14:textId="77777777" w:rsidR="00ED20A7" w:rsidRDefault="0093676D" w:rsidP="005F1D8A">
      <w:pPr>
        <w:pStyle w:val="SingleTxtG"/>
        <w:numPr>
          <w:ilvl w:val="0"/>
          <w:numId w:val="6"/>
        </w:numPr>
        <w:ind w:left="1134" w:firstLine="0"/>
        <w:rPr>
          <w:bCs/>
        </w:rPr>
      </w:pPr>
      <w:r w:rsidRPr="00CB4F2E">
        <w:t>D’autres indicateurs traduisent les efforts de l’</w:t>
      </w:r>
      <w:proofErr w:type="spellStart"/>
      <w:r w:rsidRPr="00CB4F2E">
        <w:t>Etat</w:t>
      </w:r>
      <w:proofErr w:type="spellEnd"/>
      <w:r w:rsidRPr="00CB4F2E">
        <w:t xml:space="preserve"> en vue d’améliorer la prise en charge des </w:t>
      </w:r>
      <w:r w:rsidRPr="00980BBC">
        <w:rPr>
          <w:bCs/>
        </w:rPr>
        <w:t>personnes</w:t>
      </w:r>
      <w:r w:rsidRPr="00CB4F2E">
        <w:t xml:space="preserve"> détenus. Ainsi, de 2016 à 2024, environ</w:t>
      </w:r>
      <w:r w:rsidRPr="00CB4F2E">
        <w:rPr>
          <w:b/>
          <w:bCs/>
        </w:rPr>
        <w:t xml:space="preserve"> </w:t>
      </w:r>
      <w:r w:rsidRPr="00CB4F2E">
        <w:t>1 455 détenus ont bénéficié d’une formation professionnelle (dans divers domaines tels que la couture, la coiffure, la menuiserie, l’informatique, l’agriculture), près</w:t>
      </w:r>
      <w:r w:rsidRPr="00CB4F2E">
        <w:rPr>
          <w:b/>
          <w:bCs/>
        </w:rPr>
        <w:t xml:space="preserve"> </w:t>
      </w:r>
      <w:r w:rsidRPr="00CB4F2E">
        <w:t>de</w:t>
      </w:r>
      <w:r w:rsidRPr="00CB4F2E">
        <w:rPr>
          <w:b/>
          <w:bCs/>
        </w:rPr>
        <w:t xml:space="preserve"> </w:t>
      </w:r>
      <w:r w:rsidRPr="00CB4F2E">
        <w:t xml:space="preserve">1 920 détenus mineurs ont été scolarisés, le montant de la ration journalière par détenu a pratiquement été doublé et le montant annuel de la prise en charge des détendu a connu une hausse de 500%. </w:t>
      </w:r>
    </w:p>
    <w:p w14:paraId="4A373C26" w14:textId="77777777" w:rsidR="00ED20A7" w:rsidRDefault="0093676D" w:rsidP="005F1D8A">
      <w:pPr>
        <w:pStyle w:val="SingleTxtG"/>
        <w:numPr>
          <w:ilvl w:val="0"/>
          <w:numId w:val="6"/>
        </w:numPr>
        <w:ind w:left="1134" w:firstLine="0"/>
      </w:pPr>
      <w:r w:rsidRPr="00CB4F2E">
        <w:t xml:space="preserve">Dans l’optique de décongestionner les prisons, est intervenu le Décret n°2020/193 du 15 avril </w:t>
      </w:r>
      <w:r w:rsidRPr="00980BBC">
        <w:rPr>
          <w:bCs/>
        </w:rPr>
        <w:t>2020</w:t>
      </w:r>
      <w:r w:rsidRPr="00CB4F2E">
        <w:t xml:space="preserve"> portant commutation et remise des peines a été signé. En somme, 10 181 </w:t>
      </w:r>
      <w:r w:rsidRPr="00CB4F2E">
        <w:lastRenderedPageBreak/>
        <w:t>détenus ont bénéficié de la mesure. Parmi eux, 6 942 ont été libérés, soit 25,24% de la population carcérale en 2020.</w:t>
      </w:r>
    </w:p>
    <w:p w14:paraId="6387D3E5" w14:textId="77777777" w:rsidR="00ED20A7" w:rsidRDefault="0093676D" w:rsidP="005F1D8A">
      <w:pPr>
        <w:pStyle w:val="SingleTxtG"/>
        <w:numPr>
          <w:ilvl w:val="0"/>
          <w:numId w:val="6"/>
        </w:numPr>
        <w:ind w:left="1134" w:firstLine="0"/>
      </w:pPr>
      <w:r w:rsidRPr="00980BBC">
        <w:rPr>
          <w:bCs/>
        </w:rPr>
        <w:t>Pour</w:t>
      </w:r>
      <w:r w:rsidRPr="00CB4F2E">
        <w:t xml:space="preserve"> prévenir et corriger les atteintes aux droits des détenus, les prisons font l’objet d’un contrôle régulier de l’Inspection Générale de l’Administration Pénitentiaire du MINJUSTICE et d’un contrôle en moyenne trimestrielle des Parquets. Elles font aussi l’objet d’une trentaine de visites annuelles de la Direction des Droits de l’Homme et de la Coopération Internationale du MINJUSTICE. </w:t>
      </w:r>
    </w:p>
    <w:p w14:paraId="5FACDA56" w14:textId="77777777" w:rsidR="00ED20A7" w:rsidRDefault="0093676D" w:rsidP="005F1D8A">
      <w:pPr>
        <w:pStyle w:val="SingleTxtG"/>
        <w:numPr>
          <w:ilvl w:val="0"/>
          <w:numId w:val="6"/>
        </w:numPr>
        <w:ind w:left="1134" w:firstLine="0"/>
      </w:pPr>
      <w:r w:rsidRPr="00980BBC">
        <w:rPr>
          <w:bCs/>
        </w:rPr>
        <w:t>Dans</w:t>
      </w:r>
      <w:r w:rsidRPr="00CB4F2E">
        <w:t xml:space="preserve"> le cadre de son office de MNPT, la CDHC effectue elle aussi des visites inopinées ou annoncées dans les prisons. </w:t>
      </w:r>
      <w:proofErr w:type="spellStart"/>
      <w:r w:rsidRPr="00CB4F2E">
        <w:t>A</w:t>
      </w:r>
      <w:proofErr w:type="spellEnd"/>
      <w:r w:rsidRPr="00CB4F2E">
        <w:t xml:space="preserve"> titre d’illustration,</w:t>
      </w:r>
      <w:r w:rsidRPr="00CB4F2E">
        <w:rPr>
          <w:bCs/>
        </w:rPr>
        <w:t xml:space="preserve"> entre juillet et décembre 2021,</w:t>
      </w:r>
      <w:r w:rsidRPr="00CB4F2E">
        <w:t xml:space="preserve"> elle</w:t>
      </w:r>
      <w:r w:rsidRPr="00CB4F2E">
        <w:rPr>
          <w:bCs/>
        </w:rPr>
        <w:t xml:space="preserve"> a effectué des visites dans 21 prisons des régions de l’Est, de l’Extrême-Nord, du Centre, du Nord, du Sud, de l’Ouest, du Littoral, du Sud-Ouest et du Sud</w:t>
      </w:r>
      <w:r w:rsidRPr="00CB4F2E">
        <w:rPr>
          <w:rStyle w:val="FootnoteReference"/>
        </w:rPr>
        <w:footnoteReference w:id="89"/>
      </w:r>
      <w:r w:rsidRPr="00CB4F2E">
        <w:rPr>
          <w:bCs/>
        </w:rPr>
        <w:t xml:space="preserve">. </w:t>
      </w:r>
    </w:p>
    <w:p w14:paraId="6CD19F4B" w14:textId="77777777" w:rsidR="00ED20A7" w:rsidRDefault="0093676D" w:rsidP="005F1D8A">
      <w:pPr>
        <w:pStyle w:val="SingleTxtG"/>
        <w:numPr>
          <w:ilvl w:val="0"/>
          <w:numId w:val="6"/>
        </w:numPr>
        <w:ind w:left="1134" w:firstLine="0"/>
        <w:rPr>
          <w:lang w:val="fr-FR"/>
        </w:rPr>
      </w:pPr>
      <w:r w:rsidRPr="00CB4F2E">
        <w:rPr>
          <w:lang w:val="fr-FR"/>
        </w:rPr>
        <w:t xml:space="preserve">Par </w:t>
      </w:r>
      <w:r w:rsidRPr="00CB4F2E">
        <w:t>ailleurs</w:t>
      </w:r>
      <w:r w:rsidRPr="00CB4F2E">
        <w:rPr>
          <w:lang w:val="fr-FR"/>
        </w:rPr>
        <w:t xml:space="preserve">, dans les conditions préalablement arrêtées, les OSC et les organisations internationales peuvent être autorisés à visiter les prisons. </w:t>
      </w:r>
      <w:r w:rsidRPr="00CB4F2E">
        <w:t>Ainsi, entre octobre 2017 et avril 2018, le CICR a visité 17 lieux de détention. En outre, les détenus sont autorisés à recevoir la visite de leurs proches.</w:t>
      </w:r>
    </w:p>
    <w:p w14:paraId="6E88649E" w14:textId="7EADCE55" w:rsidR="0093676D" w:rsidRPr="00CB4F2E" w:rsidRDefault="0093676D" w:rsidP="005F1D8A">
      <w:pPr>
        <w:pStyle w:val="SingleTxtG"/>
        <w:numPr>
          <w:ilvl w:val="0"/>
          <w:numId w:val="6"/>
        </w:numPr>
        <w:ind w:left="1134" w:firstLine="0"/>
      </w:pPr>
      <w:r w:rsidRPr="00CB4F2E">
        <w:rPr>
          <w:bCs/>
        </w:rPr>
        <w:t xml:space="preserve">Dans </w:t>
      </w:r>
      <w:r w:rsidRPr="00CB4F2E">
        <w:t>tous</w:t>
      </w:r>
      <w:r w:rsidRPr="00CB4F2E">
        <w:rPr>
          <w:bCs/>
        </w:rPr>
        <w:t xml:space="preserve"> les cas, l</w:t>
      </w:r>
      <w:r w:rsidRPr="00CB4F2E">
        <w:t xml:space="preserve">e Cameroun continuera, dans la limite de ses moyens, à entreprendre des actions pour conformer les prisons camerounaises aux standards internationaux. </w:t>
      </w:r>
    </w:p>
    <w:p w14:paraId="2F582BA8" w14:textId="6DC3A54C" w:rsidR="00ED20A7" w:rsidRDefault="00DA01A7" w:rsidP="00DA01A7">
      <w:pPr>
        <w:pStyle w:val="H1G"/>
        <w:rPr>
          <w:i/>
        </w:rPr>
      </w:pPr>
      <w:bookmarkStart w:id="163" w:name="_Toc210646393"/>
      <w:r>
        <w:tab/>
      </w:r>
      <w:r w:rsidR="0093676D" w:rsidRPr="00CB4F2E">
        <w:t>G.</w:t>
      </w:r>
      <w:r>
        <w:tab/>
      </w:r>
      <w:r>
        <w:tab/>
      </w:r>
      <w:r w:rsidR="0093676D" w:rsidRPr="00CB4F2E">
        <w:t>Le régime des manifestations publiques et des associations</w:t>
      </w:r>
      <w:bookmarkEnd w:id="163"/>
    </w:p>
    <w:p w14:paraId="2F1C6D0F" w14:textId="77777777" w:rsidR="00ED20A7" w:rsidRDefault="0093676D" w:rsidP="005F1D8A">
      <w:pPr>
        <w:pStyle w:val="SingleTxtG"/>
        <w:numPr>
          <w:ilvl w:val="0"/>
          <w:numId w:val="6"/>
        </w:numPr>
        <w:ind w:left="1134" w:firstLine="0"/>
        <w:rPr>
          <w:b/>
          <w:lang w:val="fr-FR"/>
        </w:rPr>
      </w:pPr>
      <w:r w:rsidRPr="00980BBC">
        <w:rPr>
          <w:bCs/>
        </w:rPr>
        <w:t>Les</w:t>
      </w:r>
      <w:r w:rsidRPr="00CB4F2E">
        <w:rPr>
          <w:lang w:val="fr-FR"/>
        </w:rPr>
        <w:t xml:space="preserve"> </w:t>
      </w:r>
      <w:r w:rsidRPr="00CB4F2E">
        <w:t>réunions</w:t>
      </w:r>
      <w:r w:rsidRPr="00CB4F2E">
        <w:rPr>
          <w:lang w:val="fr-FR"/>
        </w:rPr>
        <w:t xml:space="preserve"> et autres manifestations publiques sont garanties par la Loi n</w:t>
      </w:r>
      <w:r w:rsidRPr="00CB4F2E">
        <w:rPr>
          <w:vertAlign w:val="superscript"/>
          <w:lang w:val="fr-FR"/>
        </w:rPr>
        <w:t>o</w:t>
      </w:r>
      <w:r w:rsidRPr="00CB4F2E">
        <w:rPr>
          <w:lang w:val="fr-FR"/>
        </w:rPr>
        <w:t> 90/55 du 19 décembre 1990 portant régime des réunions et des manifestations publiques. Cette loi les soumet au régime de la déclaration et non de l’autorisation.</w:t>
      </w:r>
    </w:p>
    <w:p w14:paraId="2EC61521" w14:textId="77777777" w:rsidR="00ED20A7" w:rsidRDefault="0093676D" w:rsidP="005F1D8A">
      <w:pPr>
        <w:pStyle w:val="SingleTxtG"/>
        <w:numPr>
          <w:ilvl w:val="0"/>
          <w:numId w:val="6"/>
        </w:numPr>
        <w:ind w:left="1134" w:firstLine="0"/>
        <w:rPr>
          <w:b/>
          <w:lang w:val="fr-FR"/>
        </w:rPr>
      </w:pPr>
      <w:r w:rsidRPr="00CB4F2E">
        <w:rPr>
          <w:lang w:val="fr-FR"/>
        </w:rPr>
        <w:t xml:space="preserve">La tenue </w:t>
      </w:r>
      <w:r w:rsidRPr="00CB4F2E">
        <w:t>de</w:t>
      </w:r>
      <w:r w:rsidRPr="00CB4F2E">
        <w:rPr>
          <w:lang w:val="fr-FR"/>
        </w:rPr>
        <w:t xml:space="preserve"> toute réunion publique, c’est-à-dire qui se déroule dans un lieu public ou ouvert au public, est libre, quel qu’en soit l’objet. Les réunions et manifestations publiques doivent néanmoins faire l’objet d’une déclaration préalable (articles 3 et 6 de la loi).</w:t>
      </w:r>
    </w:p>
    <w:p w14:paraId="12199F2A" w14:textId="77777777" w:rsidR="00ED20A7" w:rsidRDefault="0093676D" w:rsidP="005F1D8A">
      <w:pPr>
        <w:pStyle w:val="SingleTxtG"/>
        <w:numPr>
          <w:ilvl w:val="0"/>
          <w:numId w:val="6"/>
        </w:numPr>
        <w:ind w:left="1134" w:firstLine="0"/>
        <w:rPr>
          <w:lang w:val="fr-FR"/>
        </w:rPr>
      </w:pPr>
      <w:r w:rsidRPr="00980BBC">
        <w:rPr>
          <w:bCs/>
        </w:rPr>
        <w:t>Ladite</w:t>
      </w:r>
      <w:r w:rsidRPr="00CB4F2E">
        <w:rPr>
          <w:lang w:val="fr-FR"/>
        </w:rPr>
        <w:t xml:space="preserve"> </w:t>
      </w:r>
      <w:r w:rsidRPr="00CB4F2E">
        <w:t>déclaration</w:t>
      </w:r>
      <w:r w:rsidRPr="00CB4F2E">
        <w:rPr>
          <w:lang w:val="fr-FR"/>
        </w:rPr>
        <w:t xml:space="preserve"> est soumise à l’autorité administrative territorialement compétente sur le territoire duquel la réunion est prévue, au moins trois jours francs avant sa tenue. Doivent y être indiqués les noms, prénoms et domicile des organisateurs, le but de la réunion, le </w:t>
      </w:r>
      <w:r w:rsidRPr="00980BBC">
        <w:rPr>
          <w:bCs/>
        </w:rPr>
        <w:t>lieu</w:t>
      </w:r>
      <w:r w:rsidRPr="00CB4F2E">
        <w:rPr>
          <w:lang w:val="fr-FR"/>
        </w:rPr>
        <w:t>, la date et l’heure de sa tenue. Elle doit être signée par l’un des organisateurs.</w:t>
      </w:r>
    </w:p>
    <w:p w14:paraId="4F9F9C29" w14:textId="77777777" w:rsidR="00ED20A7" w:rsidRDefault="0093676D" w:rsidP="005F1D8A">
      <w:pPr>
        <w:pStyle w:val="SingleTxtG"/>
        <w:numPr>
          <w:ilvl w:val="0"/>
          <w:numId w:val="6"/>
        </w:numPr>
        <w:ind w:left="1134" w:firstLine="0"/>
        <w:rPr>
          <w:lang w:val="fr-FR"/>
        </w:rPr>
      </w:pPr>
      <w:r w:rsidRPr="00CB4F2E">
        <w:rPr>
          <w:lang w:val="fr-FR"/>
        </w:rPr>
        <w:t>Suivant l’article 5 de cette loi, un bureau de 3 personnes est mis en place dans le cadre de toute réunion publique. Celui-ci est chargé de maintenir l’ordre, d’empêcher toute infraction aux lois, d’interdire tout discours contraire à l’ordre public et aux bonnes mœurs ou de nature à inciter à la commission d’actes qualifiés comme délits ou crimes.</w:t>
      </w:r>
    </w:p>
    <w:p w14:paraId="1EA003DD" w14:textId="77777777" w:rsidR="00ED20A7" w:rsidRDefault="0093676D" w:rsidP="005F1D8A">
      <w:pPr>
        <w:pStyle w:val="SingleTxtG"/>
        <w:numPr>
          <w:ilvl w:val="0"/>
          <w:numId w:val="6"/>
        </w:numPr>
        <w:ind w:left="1134" w:firstLine="0"/>
        <w:rPr>
          <w:lang w:val="fr-FR"/>
        </w:rPr>
      </w:pPr>
      <w:r w:rsidRPr="00CB4F2E">
        <w:rPr>
          <w:lang w:val="fr-FR"/>
        </w:rPr>
        <w:t xml:space="preserve">Lorsque </w:t>
      </w:r>
      <w:r w:rsidRPr="00CB4F2E">
        <w:t>l’autorité</w:t>
      </w:r>
      <w:r w:rsidRPr="00CB4F2E">
        <w:rPr>
          <w:lang w:val="fr-FR"/>
        </w:rPr>
        <w:t xml:space="preserve"> administrative estime que la manifestation projetée est de nature à troubler gravement l’ordre public, il peut, soit lui assigner un autre lieu ou un autre itinéraire, soit </w:t>
      </w:r>
      <w:r w:rsidRPr="00980BBC">
        <w:rPr>
          <w:bCs/>
        </w:rPr>
        <w:t>l’interdire</w:t>
      </w:r>
      <w:r w:rsidRPr="00CB4F2E">
        <w:rPr>
          <w:lang w:val="fr-FR"/>
        </w:rPr>
        <w:t xml:space="preserve"> par un arrêté qu’elle notifie immédiatement au signataire de la déclaration. Un recours juridictionnel est prévu en cas d’interdiction de la manifestation. La juridiction compétente se prononce dans un délai de 8 jours à compter de sa saisine, par ordonnance susceptible de recours dans les conditions de droit commun.</w:t>
      </w:r>
    </w:p>
    <w:p w14:paraId="4533D8A3" w14:textId="77777777" w:rsidR="00ED20A7" w:rsidRDefault="0093676D" w:rsidP="005F1D8A">
      <w:pPr>
        <w:pStyle w:val="SingleTxtG"/>
        <w:numPr>
          <w:ilvl w:val="0"/>
          <w:numId w:val="6"/>
        </w:numPr>
        <w:ind w:left="1134" w:firstLine="0"/>
        <w:rPr>
          <w:b/>
          <w:lang w:val="fr-FR"/>
        </w:rPr>
      </w:pPr>
      <w:r w:rsidRPr="00CB4F2E">
        <w:rPr>
          <w:lang w:val="fr-FR"/>
        </w:rPr>
        <w:t xml:space="preserve">Dans le but de mettre les organisateurs face à leurs responsabilités, la loi punit, conformément à </w:t>
      </w:r>
      <w:r w:rsidRPr="00980BBC">
        <w:rPr>
          <w:bCs/>
        </w:rPr>
        <w:t>l’article</w:t>
      </w:r>
      <w:r w:rsidRPr="00CB4F2E">
        <w:rPr>
          <w:lang w:val="fr-FR"/>
        </w:rPr>
        <w:t xml:space="preserve"> 231 du CP </w:t>
      </w:r>
      <w:r w:rsidRPr="00CB4F2E">
        <w:t>quiconque</w:t>
      </w:r>
      <w:r w:rsidRPr="00CB4F2E">
        <w:rPr>
          <w:lang w:val="fr-FR"/>
        </w:rPr>
        <w:t xml:space="preserve"> participe à l’organisation d’une réunion publique qui n’a pas été préalablement déclarée ou fait une déclaration de nature à tromper les autorités sur les conditions et l’objet de la réunion.</w:t>
      </w:r>
    </w:p>
    <w:p w14:paraId="7C3AA472" w14:textId="4E4FDBA1" w:rsidR="00ED20A7" w:rsidRDefault="0093676D" w:rsidP="005F1D8A">
      <w:pPr>
        <w:pStyle w:val="SingleTxtG"/>
        <w:numPr>
          <w:ilvl w:val="0"/>
          <w:numId w:val="6"/>
        </w:numPr>
        <w:ind w:left="1134" w:firstLine="0"/>
        <w:rPr>
          <w:lang w:val="fr-FR"/>
        </w:rPr>
      </w:pPr>
      <w:r w:rsidRPr="00CB4F2E">
        <w:rPr>
          <w:lang w:val="fr-FR"/>
        </w:rPr>
        <w:t xml:space="preserve">Le </w:t>
      </w:r>
      <w:r w:rsidRPr="00980BBC">
        <w:rPr>
          <w:bCs/>
        </w:rPr>
        <w:t>CP</w:t>
      </w:r>
      <w:r w:rsidRPr="00CB4F2E">
        <w:rPr>
          <w:lang w:val="fr-FR"/>
        </w:rPr>
        <w:t xml:space="preserve"> réprime également quiconque avant le dépôt de la déclaration ou après l’interdiction légale d’une manifestation, </w:t>
      </w:r>
      <w:r w:rsidRPr="00CB4F2E">
        <w:t>adresse</w:t>
      </w:r>
      <w:r w:rsidRPr="00CB4F2E">
        <w:rPr>
          <w:lang w:val="fr-FR"/>
        </w:rPr>
        <w:t xml:space="preserve">, par quelque moyen que ce soit, une </w:t>
      </w:r>
      <w:r w:rsidRPr="00980BBC">
        <w:rPr>
          <w:bCs/>
        </w:rPr>
        <w:lastRenderedPageBreak/>
        <w:t>convocation</w:t>
      </w:r>
      <w:r w:rsidRPr="00CB4F2E">
        <w:rPr>
          <w:lang w:val="fr-FR"/>
        </w:rPr>
        <w:t xml:space="preserve"> pour y prendre part</w:t>
      </w:r>
      <w:r w:rsidR="0027203C">
        <w:rPr>
          <w:lang w:val="fr-FR"/>
        </w:rPr>
        <w:t>;</w:t>
      </w:r>
      <w:r w:rsidRPr="00CB4F2E">
        <w:rPr>
          <w:lang w:val="fr-FR"/>
        </w:rPr>
        <w:t xml:space="preserve"> fait une déclaration incomplète ou inexacte de nature à tromper sur les conditions de la manifestation projetée.</w:t>
      </w:r>
    </w:p>
    <w:p w14:paraId="21FAA3F0" w14:textId="501CCEE9" w:rsidR="0093676D" w:rsidRPr="00CB4F2E" w:rsidRDefault="0093676D" w:rsidP="005F1D8A">
      <w:pPr>
        <w:pStyle w:val="SingleTxtG"/>
        <w:numPr>
          <w:ilvl w:val="0"/>
          <w:numId w:val="6"/>
        </w:numPr>
        <w:ind w:left="1134" w:firstLine="0"/>
        <w:rPr>
          <w:lang w:val="fr-FR"/>
        </w:rPr>
      </w:pPr>
      <w:r w:rsidRPr="00CB4F2E">
        <w:rPr>
          <w:lang w:val="fr-FR"/>
        </w:rPr>
        <w:t xml:space="preserve">Les </w:t>
      </w:r>
      <w:r w:rsidRPr="00CB4F2E">
        <w:t>peines</w:t>
      </w:r>
      <w:r w:rsidRPr="00CB4F2E">
        <w:rPr>
          <w:lang w:val="fr-FR"/>
        </w:rPr>
        <w:t xml:space="preserve"> s’appliquent également aux organisateurs de toute manifestation publique sans déclaration requise ou après notification de l’interdiction légale.</w:t>
      </w:r>
    </w:p>
    <w:p w14:paraId="7931DA77" w14:textId="5EC7169F" w:rsidR="00ED20A7" w:rsidRDefault="00FE0B04" w:rsidP="00FE0B04">
      <w:pPr>
        <w:pStyle w:val="HChG"/>
      </w:pPr>
      <w:bookmarkStart w:id="164" w:name="_Toc210209124"/>
      <w:bookmarkStart w:id="165" w:name="_Toc210646394"/>
      <w:r>
        <w:tab/>
      </w:r>
      <w:r>
        <w:tab/>
      </w:r>
      <w:r w:rsidR="0093676D" w:rsidRPr="00CB4F2E">
        <w:t>C</w:t>
      </w:r>
      <w:r>
        <w:t>onclusion</w:t>
      </w:r>
      <w:bookmarkEnd w:id="164"/>
      <w:bookmarkEnd w:id="165"/>
    </w:p>
    <w:p w14:paraId="240F4928" w14:textId="77777777" w:rsidR="00ED20A7" w:rsidRDefault="0093676D" w:rsidP="005F1D8A">
      <w:pPr>
        <w:pStyle w:val="SingleTxtG"/>
        <w:numPr>
          <w:ilvl w:val="0"/>
          <w:numId w:val="6"/>
        </w:numPr>
        <w:ind w:left="1134" w:firstLine="0"/>
        <w:rPr>
          <w:lang w:val="fr-FR"/>
        </w:rPr>
      </w:pPr>
      <w:r w:rsidRPr="00CB4F2E">
        <w:rPr>
          <w:lang w:val="fr-FR"/>
        </w:rPr>
        <w:t xml:space="preserve">Le </w:t>
      </w:r>
      <w:r w:rsidRPr="00CB4F2E">
        <w:t>Cameroun</w:t>
      </w:r>
      <w:r w:rsidRPr="00CB4F2E">
        <w:rPr>
          <w:lang w:val="fr-FR"/>
        </w:rPr>
        <w:t xml:space="preserve"> est déterminé à renforcer sa coopération avec les organes de traités des Nations </w:t>
      </w:r>
      <w:r w:rsidRPr="00980BBC">
        <w:rPr>
          <w:bCs/>
        </w:rPr>
        <w:t>Unies</w:t>
      </w:r>
      <w:r w:rsidRPr="00CB4F2E">
        <w:rPr>
          <w:lang w:val="fr-FR"/>
        </w:rPr>
        <w:t xml:space="preserve"> et les autres instances internationales en vue de l’amélioration de la situation des Droits de l’Homme sur son territoire.</w:t>
      </w:r>
    </w:p>
    <w:p w14:paraId="67980E94" w14:textId="77777777" w:rsidR="00ED20A7" w:rsidRDefault="0093676D" w:rsidP="005F1D8A">
      <w:pPr>
        <w:pStyle w:val="SingleTxtG"/>
        <w:numPr>
          <w:ilvl w:val="0"/>
          <w:numId w:val="6"/>
        </w:numPr>
        <w:ind w:left="1134" w:firstLine="0"/>
        <w:rPr>
          <w:lang w:val="fr-FR"/>
        </w:rPr>
      </w:pPr>
      <w:proofErr w:type="spellStart"/>
      <w:r w:rsidRPr="00CB4F2E">
        <w:rPr>
          <w:lang w:val="fr-FR"/>
        </w:rPr>
        <w:t>A</w:t>
      </w:r>
      <w:proofErr w:type="spellEnd"/>
      <w:r w:rsidRPr="00CB4F2E">
        <w:rPr>
          <w:lang w:val="fr-FR"/>
        </w:rPr>
        <w:t xml:space="preserve"> cet égard, l’insuffisance de données statistiques et de système fiable de collecte de données, constituent des défis majeurs et des domaines de préoccupation du Gouvernement </w:t>
      </w:r>
      <w:r w:rsidRPr="00980BBC">
        <w:rPr>
          <w:bCs/>
        </w:rPr>
        <w:t>Camerounais</w:t>
      </w:r>
      <w:r w:rsidRPr="00CB4F2E">
        <w:rPr>
          <w:lang w:val="fr-FR"/>
        </w:rPr>
        <w:t>.</w:t>
      </w:r>
    </w:p>
    <w:p w14:paraId="2F85443F" w14:textId="2697F8A9" w:rsidR="00FE0B04" w:rsidRPr="00FE0B04" w:rsidRDefault="00FE0B04" w:rsidP="00FE0B04">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p w14:paraId="0FDB7DD8" w14:textId="2E96BB31" w:rsidR="00ED20A7" w:rsidRDefault="00ED20A7" w:rsidP="0093676D"/>
    <w:p w14:paraId="5A00056C" w14:textId="77777777" w:rsidR="0093676D" w:rsidRPr="00CB4F2E" w:rsidRDefault="0093676D" w:rsidP="0093676D">
      <w:pPr>
        <w:rPr>
          <w:b/>
        </w:rPr>
      </w:pPr>
      <w:r w:rsidRPr="00CB4F2E">
        <w:rPr>
          <w:b/>
        </w:rPr>
        <w:br w:type="column"/>
      </w:r>
      <w:bookmarkStart w:id="166" w:name="_Toc210646395"/>
      <w:r w:rsidRPr="00CB4F2E">
        <w:rPr>
          <w:b/>
        </w:rPr>
        <w:lastRenderedPageBreak/>
        <w:t>ANNEXE</w:t>
      </w:r>
      <w:bookmarkEnd w:id="166"/>
    </w:p>
    <w:p w14:paraId="3EF139F5" w14:textId="77777777" w:rsidR="00ED20A7" w:rsidRDefault="0093676D" w:rsidP="0093676D">
      <w:pPr>
        <w:rPr>
          <w:b/>
        </w:rPr>
      </w:pPr>
      <w:r w:rsidRPr="00CB4F2E">
        <w:rPr>
          <w:b/>
        </w:rPr>
        <w:t>LES FAITS CONSTATES, LES MIS EN CAUSE ET LES CONDAMNATIONS EN 2024</w:t>
      </w:r>
    </w:p>
    <w:p w14:paraId="1E3C9618" w14:textId="75A1100A" w:rsidR="0093676D" w:rsidRPr="00CB4F2E" w:rsidRDefault="0093676D" w:rsidP="0093676D"/>
    <w:tbl>
      <w:tblPr>
        <w:tblW w:w="7370" w:type="dxa"/>
        <w:tblInd w:w="1134" w:type="dxa"/>
        <w:tblLayout w:type="fixed"/>
        <w:tblCellMar>
          <w:left w:w="0" w:type="dxa"/>
          <w:right w:w="0" w:type="dxa"/>
        </w:tblCellMar>
        <w:tblLook w:val="04A0" w:firstRow="1" w:lastRow="0" w:firstColumn="1" w:lastColumn="0" w:noHBand="0" w:noVBand="1"/>
      </w:tblPr>
      <w:tblGrid>
        <w:gridCol w:w="1418"/>
        <w:gridCol w:w="541"/>
        <w:gridCol w:w="625"/>
        <w:gridCol w:w="559"/>
        <w:gridCol w:w="591"/>
        <w:gridCol w:w="606"/>
        <w:gridCol w:w="295"/>
        <w:gridCol w:w="295"/>
        <w:gridCol w:w="252"/>
        <w:gridCol w:w="295"/>
        <w:gridCol w:w="514"/>
        <w:gridCol w:w="716"/>
        <w:gridCol w:w="663"/>
      </w:tblGrid>
      <w:tr w:rsidR="0093676D" w:rsidRPr="00CB4F2E" w14:paraId="2364D99D" w14:textId="77777777" w:rsidTr="00D80992">
        <w:trPr>
          <w:tblHeader/>
        </w:trPr>
        <w:tc>
          <w:tcPr>
            <w:tcW w:w="962" w:type="pct"/>
            <w:vMerge w:val="restart"/>
            <w:tcBorders>
              <w:top w:val="single" w:sz="4" w:space="0" w:color="auto"/>
              <w:bottom w:val="single" w:sz="12" w:space="0" w:color="auto"/>
            </w:tcBorders>
            <w:vAlign w:val="bottom"/>
            <w:hideMark/>
          </w:tcPr>
          <w:p w14:paraId="1556CEB1" w14:textId="77777777" w:rsidR="0093676D" w:rsidRPr="00CB4F2E" w:rsidRDefault="0093676D" w:rsidP="00D80992">
            <w:pPr>
              <w:rPr>
                <w:i/>
              </w:rPr>
            </w:pPr>
            <w:r w:rsidRPr="00CB4F2E">
              <w:rPr>
                <w:i/>
              </w:rPr>
              <w:t>Infractions</w:t>
            </w:r>
          </w:p>
        </w:tc>
        <w:tc>
          <w:tcPr>
            <w:tcW w:w="367" w:type="pct"/>
            <w:vMerge w:val="restart"/>
            <w:tcBorders>
              <w:top w:val="single" w:sz="4" w:space="0" w:color="auto"/>
              <w:bottom w:val="single" w:sz="12" w:space="0" w:color="auto"/>
            </w:tcBorders>
            <w:vAlign w:val="bottom"/>
            <w:hideMark/>
          </w:tcPr>
          <w:p w14:paraId="3E442A14" w14:textId="77777777" w:rsidR="0093676D" w:rsidRPr="00CB4F2E" w:rsidRDefault="0093676D" w:rsidP="00D80992">
            <w:pPr>
              <w:rPr>
                <w:i/>
              </w:rPr>
            </w:pPr>
            <w:r w:rsidRPr="00CB4F2E">
              <w:rPr>
                <w:i/>
              </w:rPr>
              <w:t>Nombre de PV d’enquêtes reçues</w:t>
            </w:r>
          </w:p>
        </w:tc>
        <w:tc>
          <w:tcPr>
            <w:tcW w:w="803" w:type="pct"/>
            <w:gridSpan w:val="2"/>
            <w:tcBorders>
              <w:top w:val="single" w:sz="4" w:space="0" w:color="auto"/>
              <w:bottom w:val="single" w:sz="12" w:space="0" w:color="auto"/>
            </w:tcBorders>
            <w:vAlign w:val="bottom"/>
            <w:hideMark/>
          </w:tcPr>
          <w:p w14:paraId="580F0992" w14:textId="77777777" w:rsidR="0093676D" w:rsidRPr="00CB4F2E" w:rsidRDefault="0093676D" w:rsidP="00D80992">
            <w:pPr>
              <w:rPr>
                <w:i/>
              </w:rPr>
            </w:pPr>
            <w:r w:rsidRPr="00CB4F2E">
              <w:rPr>
                <w:i/>
              </w:rPr>
              <w:t>Nombre de procédures engagées</w:t>
            </w:r>
          </w:p>
        </w:tc>
        <w:tc>
          <w:tcPr>
            <w:tcW w:w="401" w:type="pct"/>
            <w:vMerge w:val="restart"/>
            <w:tcBorders>
              <w:top w:val="single" w:sz="4" w:space="0" w:color="auto"/>
              <w:bottom w:val="single" w:sz="12" w:space="0" w:color="auto"/>
            </w:tcBorders>
            <w:vAlign w:val="bottom"/>
            <w:hideMark/>
          </w:tcPr>
          <w:p w14:paraId="53EF0ABE" w14:textId="77777777" w:rsidR="0093676D" w:rsidRPr="00CB4F2E" w:rsidRDefault="0093676D" w:rsidP="00D80992">
            <w:pPr>
              <w:rPr>
                <w:i/>
              </w:rPr>
            </w:pPr>
            <w:r w:rsidRPr="00CB4F2E">
              <w:rPr>
                <w:i/>
              </w:rPr>
              <w:t>Nombre de personnes condamnées</w:t>
            </w:r>
          </w:p>
        </w:tc>
        <w:tc>
          <w:tcPr>
            <w:tcW w:w="411" w:type="pct"/>
            <w:tcBorders>
              <w:top w:val="single" w:sz="4" w:space="0" w:color="auto"/>
              <w:bottom w:val="single" w:sz="12" w:space="0" w:color="auto"/>
            </w:tcBorders>
            <w:vAlign w:val="bottom"/>
            <w:hideMark/>
          </w:tcPr>
          <w:p w14:paraId="147BF9A9" w14:textId="77777777" w:rsidR="0093676D" w:rsidRPr="00CB4F2E" w:rsidRDefault="0093676D" w:rsidP="00D80992">
            <w:pPr>
              <w:rPr>
                <w:i/>
              </w:rPr>
            </w:pPr>
            <w:r w:rsidRPr="00CB4F2E">
              <w:rPr>
                <w:i/>
              </w:rPr>
              <w:t>Nombre d’acquittées/</w:t>
            </w:r>
          </w:p>
        </w:tc>
        <w:tc>
          <w:tcPr>
            <w:tcW w:w="771" w:type="pct"/>
            <w:gridSpan w:val="4"/>
            <w:tcBorders>
              <w:top w:val="single" w:sz="4" w:space="0" w:color="auto"/>
              <w:bottom w:val="single" w:sz="12" w:space="0" w:color="auto"/>
            </w:tcBorders>
            <w:vAlign w:val="bottom"/>
            <w:hideMark/>
          </w:tcPr>
          <w:p w14:paraId="73258BAD" w14:textId="77777777" w:rsidR="0093676D" w:rsidRPr="00CB4F2E" w:rsidRDefault="0093676D" w:rsidP="00D80992">
            <w:pPr>
              <w:rPr>
                <w:i/>
              </w:rPr>
            </w:pPr>
            <w:r w:rsidRPr="00CB4F2E">
              <w:rPr>
                <w:i/>
              </w:rPr>
              <w:t>Nombre de victimes</w:t>
            </w:r>
          </w:p>
        </w:tc>
        <w:tc>
          <w:tcPr>
            <w:tcW w:w="349" w:type="pct"/>
            <w:vMerge w:val="restart"/>
            <w:tcBorders>
              <w:top w:val="single" w:sz="4" w:space="0" w:color="auto"/>
              <w:bottom w:val="single" w:sz="12" w:space="0" w:color="auto"/>
            </w:tcBorders>
            <w:vAlign w:val="bottom"/>
            <w:hideMark/>
          </w:tcPr>
          <w:p w14:paraId="026C7066" w14:textId="77777777" w:rsidR="0093676D" w:rsidRPr="00CB4F2E" w:rsidRDefault="0093676D" w:rsidP="00D80992">
            <w:pPr>
              <w:rPr>
                <w:i/>
              </w:rPr>
            </w:pPr>
            <w:r w:rsidRPr="00CB4F2E">
              <w:rPr>
                <w:i/>
              </w:rPr>
              <w:t>Nombre de victimes ayant bénéficié d’une réparation</w:t>
            </w:r>
          </w:p>
        </w:tc>
        <w:tc>
          <w:tcPr>
            <w:tcW w:w="936" w:type="pct"/>
            <w:gridSpan w:val="2"/>
            <w:tcBorders>
              <w:top w:val="single" w:sz="4" w:space="0" w:color="auto"/>
              <w:bottom w:val="single" w:sz="12" w:space="0" w:color="auto"/>
            </w:tcBorders>
            <w:vAlign w:val="bottom"/>
            <w:hideMark/>
          </w:tcPr>
          <w:p w14:paraId="1520B8F9" w14:textId="77777777" w:rsidR="0093676D" w:rsidRPr="00CB4F2E" w:rsidRDefault="0093676D" w:rsidP="00D80992">
            <w:pPr>
              <w:rPr>
                <w:i/>
              </w:rPr>
            </w:pPr>
            <w:r w:rsidRPr="00CB4F2E">
              <w:rPr>
                <w:i/>
              </w:rPr>
              <w:t>Auteurs de l’infraction</w:t>
            </w:r>
          </w:p>
        </w:tc>
      </w:tr>
      <w:tr w:rsidR="0093676D" w:rsidRPr="00CB4F2E" w14:paraId="01EB89D1" w14:textId="77777777" w:rsidTr="00D80992">
        <w:trPr>
          <w:tblHeader/>
        </w:trPr>
        <w:tc>
          <w:tcPr>
            <w:tcW w:w="962" w:type="pct"/>
            <w:vMerge/>
            <w:tcBorders>
              <w:top w:val="single" w:sz="12" w:space="0" w:color="auto"/>
            </w:tcBorders>
            <w:vAlign w:val="bottom"/>
          </w:tcPr>
          <w:p w14:paraId="6EFD2C81" w14:textId="77777777" w:rsidR="0093676D" w:rsidRPr="00CB4F2E" w:rsidRDefault="0093676D" w:rsidP="00D80992"/>
        </w:tc>
        <w:tc>
          <w:tcPr>
            <w:tcW w:w="367" w:type="pct"/>
            <w:vMerge/>
            <w:tcBorders>
              <w:top w:val="single" w:sz="12" w:space="0" w:color="auto"/>
            </w:tcBorders>
            <w:vAlign w:val="bottom"/>
          </w:tcPr>
          <w:p w14:paraId="01A15437" w14:textId="77777777" w:rsidR="0093676D" w:rsidRPr="00CB4F2E" w:rsidRDefault="0093676D" w:rsidP="00D80992"/>
        </w:tc>
        <w:tc>
          <w:tcPr>
            <w:tcW w:w="803" w:type="pct"/>
            <w:gridSpan w:val="2"/>
            <w:tcBorders>
              <w:top w:val="single" w:sz="12" w:space="0" w:color="auto"/>
            </w:tcBorders>
            <w:vAlign w:val="bottom"/>
          </w:tcPr>
          <w:p w14:paraId="2528857E" w14:textId="77777777" w:rsidR="0093676D" w:rsidRPr="00CB4F2E" w:rsidRDefault="0093676D" w:rsidP="00D80992"/>
        </w:tc>
        <w:tc>
          <w:tcPr>
            <w:tcW w:w="401" w:type="pct"/>
            <w:vMerge/>
            <w:tcBorders>
              <w:top w:val="single" w:sz="12" w:space="0" w:color="auto"/>
            </w:tcBorders>
            <w:vAlign w:val="bottom"/>
          </w:tcPr>
          <w:p w14:paraId="1E95FF81" w14:textId="77777777" w:rsidR="0093676D" w:rsidRPr="00CB4F2E" w:rsidRDefault="0093676D" w:rsidP="00D80992"/>
        </w:tc>
        <w:tc>
          <w:tcPr>
            <w:tcW w:w="411" w:type="pct"/>
            <w:tcBorders>
              <w:top w:val="single" w:sz="12" w:space="0" w:color="auto"/>
            </w:tcBorders>
            <w:vAlign w:val="bottom"/>
          </w:tcPr>
          <w:p w14:paraId="7B77B6D6" w14:textId="77777777" w:rsidR="0093676D" w:rsidRPr="00CB4F2E" w:rsidRDefault="0093676D" w:rsidP="00D80992"/>
        </w:tc>
        <w:tc>
          <w:tcPr>
            <w:tcW w:w="771" w:type="pct"/>
            <w:gridSpan w:val="4"/>
            <w:tcBorders>
              <w:top w:val="single" w:sz="12" w:space="0" w:color="auto"/>
            </w:tcBorders>
            <w:vAlign w:val="bottom"/>
          </w:tcPr>
          <w:p w14:paraId="3AAE366D" w14:textId="77777777" w:rsidR="0093676D" w:rsidRPr="00CB4F2E" w:rsidRDefault="0093676D" w:rsidP="00D80992"/>
        </w:tc>
        <w:tc>
          <w:tcPr>
            <w:tcW w:w="349" w:type="pct"/>
            <w:vMerge/>
            <w:tcBorders>
              <w:top w:val="single" w:sz="12" w:space="0" w:color="auto"/>
            </w:tcBorders>
            <w:vAlign w:val="bottom"/>
          </w:tcPr>
          <w:p w14:paraId="486ACD70" w14:textId="77777777" w:rsidR="0093676D" w:rsidRPr="00CB4F2E" w:rsidRDefault="0093676D" w:rsidP="00D80992"/>
        </w:tc>
        <w:tc>
          <w:tcPr>
            <w:tcW w:w="936" w:type="pct"/>
            <w:gridSpan w:val="2"/>
            <w:tcBorders>
              <w:top w:val="single" w:sz="12" w:space="0" w:color="auto"/>
            </w:tcBorders>
            <w:vAlign w:val="bottom"/>
          </w:tcPr>
          <w:p w14:paraId="4458135C" w14:textId="77777777" w:rsidR="0093676D" w:rsidRPr="00CB4F2E" w:rsidRDefault="0093676D" w:rsidP="00D80992"/>
        </w:tc>
      </w:tr>
      <w:tr w:rsidR="0093676D" w:rsidRPr="00CB4F2E" w14:paraId="4E14E4D4" w14:textId="77777777" w:rsidTr="00D80992">
        <w:trPr>
          <w:tblHeader/>
        </w:trPr>
        <w:tc>
          <w:tcPr>
            <w:tcW w:w="962" w:type="pct"/>
            <w:vMerge/>
            <w:vAlign w:val="bottom"/>
            <w:hideMark/>
          </w:tcPr>
          <w:p w14:paraId="4412BECA" w14:textId="77777777" w:rsidR="0093676D" w:rsidRPr="00CB4F2E" w:rsidRDefault="0093676D" w:rsidP="00D80992"/>
        </w:tc>
        <w:tc>
          <w:tcPr>
            <w:tcW w:w="367" w:type="pct"/>
            <w:vMerge/>
            <w:vAlign w:val="bottom"/>
            <w:hideMark/>
          </w:tcPr>
          <w:p w14:paraId="1E2E1724" w14:textId="77777777" w:rsidR="0093676D" w:rsidRPr="00CB4F2E" w:rsidRDefault="0093676D" w:rsidP="00D80992"/>
        </w:tc>
        <w:tc>
          <w:tcPr>
            <w:tcW w:w="424" w:type="pct"/>
            <w:vMerge w:val="restart"/>
            <w:vAlign w:val="bottom"/>
            <w:hideMark/>
          </w:tcPr>
          <w:p w14:paraId="693A7CB1" w14:textId="77777777" w:rsidR="0093676D" w:rsidRPr="00CB4F2E" w:rsidRDefault="0093676D" w:rsidP="00D80992">
            <w:proofErr w:type="spellStart"/>
            <w:r w:rsidRPr="00CB4F2E">
              <w:t>A</w:t>
            </w:r>
            <w:proofErr w:type="spellEnd"/>
            <w:r w:rsidRPr="00CB4F2E">
              <w:t xml:space="preserve"> l’information judiciaire</w:t>
            </w:r>
          </w:p>
        </w:tc>
        <w:tc>
          <w:tcPr>
            <w:tcW w:w="379" w:type="pct"/>
            <w:vMerge w:val="restart"/>
            <w:vAlign w:val="bottom"/>
            <w:hideMark/>
          </w:tcPr>
          <w:p w14:paraId="03CE907C" w14:textId="77777777" w:rsidR="0093676D" w:rsidRPr="00CB4F2E" w:rsidRDefault="0093676D" w:rsidP="00D80992">
            <w:r w:rsidRPr="00CB4F2E">
              <w:t>Devant les juridictions de jugement</w:t>
            </w:r>
          </w:p>
        </w:tc>
        <w:tc>
          <w:tcPr>
            <w:tcW w:w="401" w:type="pct"/>
            <w:vMerge/>
            <w:vAlign w:val="bottom"/>
            <w:hideMark/>
          </w:tcPr>
          <w:p w14:paraId="26899407" w14:textId="77777777" w:rsidR="0093676D" w:rsidRPr="00CB4F2E" w:rsidRDefault="0093676D" w:rsidP="00D80992"/>
        </w:tc>
        <w:tc>
          <w:tcPr>
            <w:tcW w:w="411" w:type="pct"/>
            <w:vMerge w:val="restart"/>
            <w:vAlign w:val="bottom"/>
            <w:hideMark/>
          </w:tcPr>
          <w:p w14:paraId="0700A61D" w14:textId="77777777" w:rsidR="0093676D" w:rsidRPr="00CB4F2E" w:rsidRDefault="0093676D" w:rsidP="00D80992">
            <w:r w:rsidRPr="00CB4F2E">
              <w:t>relaxe</w:t>
            </w:r>
          </w:p>
        </w:tc>
        <w:tc>
          <w:tcPr>
            <w:tcW w:w="200" w:type="pct"/>
            <w:vMerge w:val="restart"/>
            <w:vAlign w:val="bottom"/>
            <w:hideMark/>
          </w:tcPr>
          <w:p w14:paraId="3EF16AA5" w14:textId="77777777" w:rsidR="0093676D" w:rsidRPr="00CB4F2E" w:rsidRDefault="0093676D" w:rsidP="00D80992">
            <w:r w:rsidRPr="00CB4F2E">
              <w:t>H</w:t>
            </w:r>
          </w:p>
        </w:tc>
        <w:tc>
          <w:tcPr>
            <w:tcW w:w="200" w:type="pct"/>
            <w:vMerge w:val="restart"/>
            <w:vAlign w:val="bottom"/>
            <w:hideMark/>
          </w:tcPr>
          <w:p w14:paraId="4E951A0D" w14:textId="77777777" w:rsidR="0093676D" w:rsidRPr="00CB4F2E" w:rsidRDefault="0093676D" w:rsidP="00D80992">
            <w:r w:rsidRPr="00CB4F2E">
              <w:t>F</w:t>
            </w:r>
          </w:p>
        </w:tc>
        <w:tc>
          <w:tcPr>
            <w:tcW w:w="371" w:type="pct"/>
            <w:gridSpan w:val="2"/>
            <w:vAlign w:val="bottom"/>
            <w:hideMark/>
          </w:tcPr>
          <w:p w14:paraId="491543F5" w14:textId="77777777" w:rsidR="0093676D" w:rsidRPr="00CB4F2E" w:rsidRDefault="0093676D" w:rsidP="00D80992">
            <w:r w:rsidRPr="00CB4F2E">
              <w:t>Enfant</w:t>
            </w:r>
          </w:p>
        </w:tc>
        <w:tc>
          <w:tcPr>
            <w:tcW w:w="349" w:type="pct"/>
            <w:vMerge/>
            <w:vAlign w:val="bottom"/>
            <w:hideMark/>
          </w:tcPr>
          <w:p w14:paraId="4FDCE2AC" w14:textId="77777777" w:rsidR="0093676D" w:rsidRPr="00CB4F2E" w:rsidRDefault="0093676D" w:rsidP="00D80992"/>
        </w:tc>
        <w:tc>
          <w:tcPr>
            <w:tcW w:w="486" w:type="pct"/>
            <w:vMerge w:val="restart"/>
            <w:vAlign w:val="bottom"/>
            <w:hideMark/>
          </w:tcPr>
          <w:p w14:paraId="67F0C410" w14:textId="77777777" w:rsidR="0093676D" w:rsidRPr="00CB4F2E" w:rsidRDefault="0093676D" w:rsidP="00D80992">
            <w:r w:rsidRPr="00CB4F2E">
              <w:t>Nombre de personnels chargés de l’application de la loi (Préciser la qualité de l’auteur de l’infraction : Magistrat, Policier, Gendarme, personnel de l’administration pénitentiaire, auxiliaire de justice)</w:t>
            </w:r>
          </w:p>
        </w:tc>
        <w:tc>
          <w:tcPr>
            <w:tcW w:w="450" w:type="pct"/>
            <w:vMerge w:val="restart"/>
            <w:vAlign w:val="bottom"/>
            <w:hideMark/>
          </w:tcPr>
          <w:p w14:paraId="1A9E8304" w14:textId="2EF56AB6" w:rsidR="0093676D" w:rsidRPr="00CB4F2E" w:rsidRDefault="0093676D" w:rsidP="00D80992">
            <w:r w:rsidRPr="00CB4F2E">
              <w:t>Nombre de personnes</w:t>
            </w:r>
            <w:r w:rsidR="0027203C">
              <w:t xml:space="preserve"> </w:t>
            </w:r>
            <w:r w:rsidRPr="00CB4F2E">
              <w:t>ayant autorité sur la victime (lien familial, lien de subordination)</w:t>
            </w:r>
          </w:p>
        </w:tc>
      </w:tr>
      <w:tr w:rsidR="0093676D" w:rsidRPr="00CB4F2E" w14:paraId="7BAE72FC" w14:textId="77777777" w:rsidTr="00D80992">
        <w:trPr>
          <w:tblHeader/>
        </w:trPr>
        <w:tc>
          <w:tcPr>
            <w:tcW w:w="962" w:type="pct"/>
            <w:vMerge/>
            <w:vAlign w:val="bottom"/>
            <w:hideMark/>
          </w:tcPr>
          <w:p w14:paraId="129B7195" w14:textId="77777777" w:rsidR="0093676D" w:rsidRPr="00CB4F2E" w:rsidRDefault="0093676D" w:rsidP="00D80992"/>
        </w:tc>
        <w:tc>
          <w:tcPr>
            <w:tcW w:w="367" w:type="pct"/>
            <w:vMerge/>
            <w:vAlign w:val="bottom"/>
            <w:hideMark/>
          </w:tcPr>
          <w:p w14:paraId="70612F6D" w14:textId="77777777" w:rsidR="0093676D" w:rsidRPr="00CB4F2E" w:rsidRDefault="0093676D" w:rsidP="00D80992"/>
        </w:tc>
        <w:tc>
          <w:tcPr>
            <w:tcW w:w="424" w:type="pct"/>
            <w:vMerge/>
            <w:vAlign w:val="bottom"/>
            <w:hideMark/>
          </w:tcPr>
          <w:p w14:paraId="5B6561AE" w14:textId="77777777" w:rsidR="0093676D" w:rsidRPr="00CB4F2E" w:rsidRDefault="0093676D" w:rsidP="00D80992"/>
        </w:tc>
        <w:tc>
          <w:tcPr>
            <w:tcW w:w="379" w:type="pct"/>
            <w:vMerge/>
            <w:vAlign w:val="bottom"/>
            <w:hideMark/>
          </w:tcPr>
          <w:p w14:paraId="5B613E6E" w14:textId="77777777" w:rsidR="0093676D" w:rsidRPr="00CB4F2E" w:rsidRDefault="0093676D" w:rsidP="00D80992"/>
        </w:tc>
        <w:tc>
          <w:tcPr>
            <w:tcW w:w="401" w:type="pct"/>
            <w:vMerge/>
            <w:vAlign w:val="bottom"/>
            <w:hideMark/>
          </w:tcPr>
          <w:p w14:paraId="3CA4E338" w14:textId="77777777" w:rsidR="0093676D" w:rsidRPr="00CB4F2E" w:rsidRDefault="0093676D" w:rsidP="00D80992"/>
        </w:tc>
        <w:tc>
          <w:tcPr>
            <w:tcW w:w="411" w:type="pct"/>
            <w:vMerge/>
            <w:vAlign w:val="bottom"/>
            <w:hideMark/>
          </w:tcPr>
          <w:p w14:paraId="1CADAC58" w14:textId="77777777" w:rsidR="0093676D" w:rsidRPr="00CB4F2E" w:rsidRDefault="0093676D" w:rsidP="00D80992"/>
        </w:tc>
        <w:tc>
          <w:tcPr>
            <w:tcW w:w="200" w:type="pct"/>
            <w:vMerge/>
            <w:vAlign w:val="bottom"/>
            <w:hideMark/>
          </w:tcPr>
          <w:p w14:paraId="4DB96D02" w14:textId="77777777" w:rsidR="0093676D" w:rsidRPr="00CB4F2E" w:rsidRDefault="0093676D" w:rsidP="00D80992"/>
        </w:tc>
        <w:tc>
          <w:tcPr>
            <w:tcW w:w="200" w:type="pct"/>
            <w:vMerge/>
            <w:vAlign w:val="bottom"/>
            <w:hideMark/>
          </w:tcPr>
          <w:p w14:paraId="5D97B2AD" w14:textId="77777777" w:rsidR="0093676D" w:rsidRPr="00CB4F2E" w:rsidRDefault="0093676D" w:rsidP="00D80992"/>
        </w:tc>
        <w:tc>
          <w:tcPr>
            <w:tcW w:w="171" w:type="pct"/>
            <w:vAlign w:val="bottom"/>
            <w:hideMark/>
          </w:tcPr>
          <w:p w14:paraId="1FAE8598" w14:textId="77777777" w:rsidR="0093676D" w:rsidRPr="00CB4F2E" w:rsidRDefault="0093676D" w:rsidP="00D80992">
            <w:r w:rsidRPr="00CB4F2E">
              <w:t>G</w:t>
            </w:r>
          </w:p>
        </w:tc>
        <w:tc>
          <w:tcPr>
            <w:tcW w:w="200" w:type="pct"/>
            <w:vAlign w:val="bottom"/>
            <w:hideMark/>
          </w:tcPr>
          <w:p w14:paraId="0547DD88" w14:textId="77777777" w:rsidR="0093676D" w:rsidRPr="00CB4F2E" w:rsidRDefault="0093676D" w:rsidP="00D80992">
            <w:r w:rsidRPr="00CB4F2E">
              <w:t>F1</w:t>
            </w:r>
          </w:p>
        </w:tc>
        <w:tc>
          <w:tcPr>
            <w:tcW w:w="349" w:type="pct"/>
            <w:vMerge/>
            <w:vAlign w:val="bottom"/>
            <w:hideMark/>
          </w:tcPr>
          <w:p w14:paraId="310A5E8F" w14:textId="77777777" w:rsidR="0093676D" w:rsidRPr="00CB4F2E" w:rsidRDefault="0093676D" w:rsidP="00D80992"/>
        </w:tc>
        <w:tc>
          <w:tcPr>
            <w:tcW w:w="486" w:type="pct"/>
            <w:vMerge/>
            <w:vAlign w:val="bottom"/>
            <w:hideMark/>
          </w:tcPr>
          <w:p w14:paraId="75DA579B" w14:textId="77777777" w:rsidR="0093676D" w:rsidRPr="00CB4F2E" w:rsidRDefault="0093676D" w:rsidP="00D80992"/>
        </w:tc>
        <w:tc>
          <w:tcPr>
            <w:tcW w:w="450" w:type="pct"/>
            <w:vMerge/>
            <w:vAlign w:val="bottom"/>
            <w:hideMark/>
          </w:tcPr>
          <w:p w14:paraId="545FD656" w14:textId="77777777" w:rsidR="0093676D" w:rsidRPr="00CB4F2E" w:rsidRDefault="0093676D" w:rsidP="00D80992"/>
        </w:tc>
      </w:tr>
      <w:tr w:rsidR="0093676D" w:rsidRPr="00CB4F2E" w14:paraId="5D77AFE5" w14:textId="77777777" w:rsidTr="00D80992">
        <w:tc>
          <w:tcPr>
            <w:tcW w:w="962" w:type="pct"/>
            <w:noWrap/>
            <w:hideMark/>
          </w:tcPr>
          <w:p w14:paraId="6E7E3444" w14:textId="77777777" w:rsidR="0093676D" w:rsidRPr="00CB4F2E" w:rsidRDefault="0093676D" w:rsidP="00D80992">
            <w:r w:rsidRPr="00CB4F2E">
              <w:t>Assassinat</w:t>
            </w:r>
          </w:p>
        </w:tc>
        <w:tc>
          <w:tcPr>
            <w:tcW w:w="367" w:type="pct"/>
            <w:noWrap/>
            <w:vAlign w:val="bottom"/>
            <w:hideMark/>
          </w:tcPr>
          <w:p w14:paraId="7AA80551" w14:textId="77777777" w:rsidR="0093676D" w:rsidRPr="00CB4F2E" w:rsidRDefault="0093676D" w:rsidP="00D80992">
            <w:r w:rsidRPr="00CB4F2E">
              <w:t>332</w:t>
            </w:r>
          </w:p>
        </w:tc>
        <w:tc>
          <w:tcPr>
            <w:tcW w:w="424" w:type="pct"/>
            <w:noWrap/>
            <w:vAlign w:val="bottom"/>
            <w:hideMark/>
          </w:tcPr>
          <w:p w14:paraId="1AE0F4EE" w14:textId="77777777" w:rsidR="0093676D" w:rsidRPr="00CB4F2E" w:rsidRDefault="0093676D" w:rsidP="00D80992">
            <w:r w:rsidRPr="00CB4F2E">
              <w:t>290</w:t>
            </w:r>
          </w:p>
        </w:tc>
        <w:tc>
          <w:tcPr>
            <w:tcW w:w="379" w:type="pct"/>
            <w:noWrap/>
            <w:vAlign w:val="bottom"/>
            <w:hideMark/>
          </w:tcPr>
          <w:p w14:paraId="432115B8" w14:textId="77777777" w:rsidR="0093676D" w:rsidRPr="00CB4F2E" w:rsidRDefault="0093676D" w:rsidP="00D80992">
            <w:r w:rsidRPr="00CB4F2E">
              <w:t>180</w:t>
            </w:r>
          </w:p>
        </w:tc>
        <w:tc>
          <w:tcPr>
            <w:tcW w:w="401" w:type="pct"/>
            <w:noWrap/>
            <w:vAlign w:val="bottom"/>
            <w:hideMark/>
          </w:tcPr>
          <w:p w14:paraId="674B03B7" w14:textId="77777777" w:rsidR="0093676D" w:rsidRPr="00CB4F2E" w:rsidRDefault="0093676D" w:rsidP="00D80992">
            <w:r w:rsidRPr="00CB4F2E">
              <w:t>131</w:t>
            </w:r>
          </w:p>
        </w:tc>
        <w:tc>
          <w:tcPr>
            <w:tcW w:w="411" w:type="pct"/>
            <w:noWrap/>
            <w:vAlign w:val="bottom"/>
            <w:hideMark/>
          </w:tcPr>
          <w:p w14:paraId="43DA7572" w14:textId="77777777" w:rsidR="0093676D" w:rsidRPr="00CB4F2E" w:rsidRDefault="0093676D" w:rsidP="00D80992">
            <w:r w:rsidRPr="00CB4F2E">
              <w:t>27</w:t>
            </w:r>
          </w:p>
        </w:tc>
        <w:tc>
          <w:tcPr>
            <w:tcW w:w="200" w:type="pct"/>
            <w:noWrap/>
            <w:vAlign w:val="bottom"/>
            <w:hideMark/>
          </w:tcPr>
          <w:p w14:paraId="2ED87AD2" w14:textId="77777777" w:rsidR="0093676D" w:rsidRPr="00CB4F2E" w:rsidRDefault="0093676D" w:rsidP="00D80992">
            <w:r w:rsidRPr="00CB4F2E">
              <w:t>209</w:t>
            </w:r>
          </w:p>
        </w:tc>
        <w:tc>
          <w:tcPr>
            <w:tcW w:w="200" w:type="pct"/>
            <w:noWrap/>
            <w:vAlign w:val="bottom"/>
            <w:hideMark/>
          </w:tcPr>
          <w:p w14:paraId="41EC8D0D" w14:textId="77777777" w:rsidR="0093676D" w:rsidRPr="00CB4F2E" w:rsidRDefault="0093676D" w:rsidP="00D80992">
            <w:r w:rsidRPr="00CB4F2E">
              <w:t>65</w:t>
            </w:r>
          </w:p>
        </w:tc>
        <w:tc>
          <w:tcPr>
            <w:tcW w:w="171" w:type="pct"/>
            <w:noWrap/>
            <w:vAlign w:val="bottom"/>
            <w:hideMark/>
          </w:tcPr>
          <w:p w14:paraId="2AEBFF7E" w14:textId="77777777" w:rsidR="0093676D" w:rsidRPr="00CB4F2E" w:rsidRDefault="0093676D" w:rsidP="00D80992">
            <w:r w:rsidRPr="00CB4F2E">
              <w:t>10</w:t>
            </w:r>
          </w:p>
        </w:tc>
        <w:tc>
          <w:tcPr>
            <w:tcW w:w="200" w:type="pct"/>
            <w:noWrap/>
            <w:vAlign w:val="bottom"/>
            <w:hideMark/>
          </w:tcPr>
          <w:p w14:paraId="3AB56176" w14:textId="77777777" w:rsidR="0093676D" w:rsidRPr="00CB4F2E" w:rsidRDefault="0093676D" w:rsidP="00D80992">
            <w:r w:rsidRPr="00CB4F2E">
              <w:t>9</w:t>
            </w:r>
          </w:p>
        </w:tc>
        <w:tc>
          <w:tcPr>
            <w:tcW w:w="349" w:type="pct"/>
            <w:noWrap/>
            <w:vAlign w:val="bottom"/>
            <w:hideMark/>
          </w:tcPr>
          <w:p w14:paraId="5B68B9CB" w14:textId="77777777" w:rsidR="0093676D" w:rsidRPr="00CB4F2E" w:rsidRDefault="0093676D" w:rsidP="00D80992">
            <w:r w:rsidRPr="00CB4F2E">
              <w:t>15</w:t>
            </w:r>
          </w:p>
        </w:tc>
        <w:tc>
          <w:tcPr>
            <w:tcW w:w="486" w:type="pct"/>
            <w:noWrap/>
            <w:vAlign w:val="bottom"/>
            <w:hideMark/>
          </w:tcPr>
          <w:p w14:paraId="5BAC76FD" w14:textId="77777777" w:rsidR="0093676D" w:rsidRPr="00CB4F2E" w:rsidRDefault="0093676D" w:rsidP="00D80992">
            <w:r w:rsidRPr="00CB4F2E">
              <w:t>0</w:t>
            </w:r>
          </w:p>
        </w:tc>
        <w:tc>
          <w:tcPr>
            <w:tcW w:w="450" w:type="pct"/>
            <w:noWrap/>
            <w:vAlign w:val="bottom"/>
            <w:hideMark/>
          </w:tcPr>
          <w:p w14:paraId="025DA460" w14:textId="77777777" w:rsidR="0093676D" w:rsidRPr="00CB4F2E" w:rsidRDefault="0093676D" w:rsidP="00D80992">
            <w:r w:rsidRPr="00CB4F2E">
              <w:t>13</w:t>
            </w:r>
          </w:p>
        </w:tc>
      </w:tr>
      <w:tr w:rsidR="0093676D" w:rsidRPr="00CB4F2E" w14:paraId="2C715261" w14:textId="77777777" w:rsidTr="00D80992">
        <w:tc>
          <w:tcPr>
            <w:tcW w:w="962" w:type="pct"/>
            <w:noWrap/>
            <w:hideMark/>
          </w:tcPr>
          <w:p w14:paraId="53A3C6CC" w14:textId="77777777" w:rsidR="0093676D" w:rsidRPr="00CB4F2E" w:rsidRDefault="0093676D" w:rsidP="00D80992">
            <w:r w:rsidRPr="00CB4F2E">
              <w:t>Meurtre</w:t>
            </w:r>
          </w:p>
        </w:tc>
        <w:tc>
          <w:tcPr>
            <w:tcW w:w="367" w:type="pct"/>
            <w:noWrap/>
            <w:vAlign w:val="bottom"/>
            <w:hideMark/>
          </w:tcPr>
          <w:p w14:paraId="4D0E7273" w14:textId="77777777" w:rsidR="0093676D" w:rsidRPr="00CB4F2E" w:rsidRDefault="0093676D" w:rsidP="00D80992">
            <w:r w:rsidRPr="00CB4F2E">
              <w:t>369</w:t>
            </w:r>
          </w:p>
        </w:tc>
        <w:tc>
          <w:tcPr>
            <w:tcW w:w="424" w:type="pct"/>
            <w:noWrap/>
            <w:vAlign w:val="bottom"/>
            <w:hideMark/>
          </w:tcPr>
          <w:p w14:paraId="3E4986A9" w14:textId="77777777" w:rsidR="0093676D" w:rsidRPr="00CB4F2E" w:rsidRDefault="0093676D" w:rsidP="00D80992">
            <w:r w:rsidRPr="00CB4F2E">
              <w:t>308</w:t>
            </w:r>
          </w:p>
        </w:tc>
        <w:tc>
          <w:tcPr>
            <w:tcW w:w="379" w:type="pct"/>
            <w:noWrap/>
            <w:vAlign w:val="bottom"/>
            <w:hideMark/>
          </w:tcPr>
          <w:p w14:paraId="25BFD5EA" w14:textId="77777777" w:rsidR="0093676D" w:rsidRPr="00CB4F2E" w:rsidRDefault="0093676D" w:rsidP="00D80992">
            <w:r w:rsidRPr="00CB4F2E">
              <w:t>178</w:t>
            </w:r>
          </w:p>
        </w:tc>
        <w:tc>
          <w:tcPr>
            <w:tcW w:w="401" w:type="pct"/>
            <w:noWrap/>
            <w:vAlign w:val="bottom"/>
            <w:hideMark/>
          </w:tcPr>
          <w:p w14:paraId="4B7E47A7" w14:textId="77777777" w:rsidR="0093676D" w:rsidRPr="00CB4F2E" w:rsidRDefault="0093676D" w:rsidP="00D80992">
            <w:r w:rsidRPr="00CB4F2E">
              <w:t>180</w:t>
            </w:r>
          </w:p>
        </w:tc>
        <w:tc>
          <w:tcPr>
            <w:tcW w:w="411" w:type="pct"/>
            <w:noWrap/>
            <w:vAlign w:val="bottom"/>
            <w:hideMark/>
          </w:tcPr>
          <w:p w14:paraId="468F9CBF" w14:textId="77777777" w:rsidR="0093676D" w:rsidRPr="00CB4F2E" w:rsidRDefault="0093676D" w:rsidP="00D80992">
            <w:r w:rsidRPr="00CB4F2E">
              <w:t>24</w:t>
            </w:r>
          </w:p>
        </w:tc>
        <w:tc>
          <w:tcPr>
            <w:tcW w:w="200" w:type="pct"/>
            <w:noWrap/>
            <w:vAlign w:val="bottom"/>
            <w:hideMark/>
          </w:tcPr>
          <w:p w14:paraId="0E7D2561" w14:textId="77777777" w:rsidR="0093676D" w:rsidRPr="00CB4F2E" w:rsidRDefault="0093676D" w:rsidP="00D80992">
            <w:r w:rsidRPr="00CB4F2E">
              <w:t>227</w:t>
            </w:r>
          </w:p>
        </w:tc>
        <w:tc>
          <w:tcPr>
            <w:tcW w:w="200" w:type="pct"/>
            <w:noWrap/>
            <w:vAlign w:val="bottom"/>
            <w:hideMark/>
          </w:tcPr>
          <w:p w14:paraId="720FB37B" w14:textId="77777777" w:rsidR="0093676D" w:rsidRPr="00CB4F2E" w:rsidRDefault="0093676D" w:rsidP="00D80992">
            <w:r w:rsidRPr="00CB4F2E">
              <w:t>48</w:t>
            </w:r>
          </w:p>
        </w:tc>
        <w:tc>
          <w:tcPr>
            <w:tcW w:w="171" w:type="pct"/>
            <w:noWrap/>
            <w:vAlign w:val="bottom"/>
            <w:hideMark/>
          </w:tcPr>
          <w:p w14:paraId="5F656D31" w14:textId="77777777" w:rsidR="0093676D" w:rsidRPr="00CB4F2E" w:rsidRDefault="0093676D" w:rsidP="00D80992">
            <w:r w:rsidRPr="00CB4F2E">
              <w:t>14</w:t>
            </w:r>
          </w:p>
        </w:tc>
        <w:tc>
          <w:tcPr>
            <w:tcW w:w="200" w:type="pct"/>
            <w:noWrap/>
            <w:vAlign w:val="bottom"/>
            <w:hideMark/>
          </w:tcPr>
          <w:p w14:paraId="511AE636" w14:textId="77777777" w:rsidR="0093676D" w:rsidRPr="00CB4F2E" w:rsidRDefault="0093676D" w:rsidP="00D80992">
            <w:r w:rsidRPr="00CB4F2E">
              <w:t>13</w:t>
            </w:r>
          </w:p>
        </w:tc>
        <w:tc>
          <w:tcPr>
            <w:tcW w:w="349" w:type="pct"/>
            <w:noWrap/>
            <w:vAlign w:val="bottom"/>
            <w:hideMark/>
          </w:tcPr>
          <w:p w14:paraId="0FFE97A9" w14:textId="77777777" w:rsidR="0093676D" w:rsidRPr="00CB4F2E" w:rsidRDefault="0093676D" w:rsidP="00D80992">
            <w:r w:rsidRPr="00CB4F2E">
              <w:t>7</w:t>
            </w:r>
          </w:p>
        </w:tc>
        <w:tc>
          <w:tcPr>
            <w:tcW w:w="486" w:type="pct"/>
            <w:noWrap/>
            <w:vAlign w:val="bottom"/>
            <w:hideMark/>
          </w:tcPr>
          <w:p w14:paraId="350CF368" w14:textId="77777777" w:rsidR="0093676D" w:rsidRPr="00CB4F2E" w:rsidRDefault="0093676D" w:rsidP="00D80992">
            <w:r w:rsidRPr="00CB4F2E">
              <w:t>0</w:t>
            </w:r>
          </w:p>
        </w:tc>
        <w:tc>
          <w:tcPr>
            <w:tcW w:w="450" w:type="pct"/>
            <w:noWrap/>
            <w:vAlign w:val="bottom"/>
            <w:hideMark/>
          </w:tcPr>
          <w:p w14:paraId="4CE29B6C" w14:textId="77777777" w:rsidR="0093676D" w:rsidRPr="00CB4F2E" w:rsidRDefault="0093676D" w:rsidP="00D80992">
            <w:r w:rsidRPr="00CB4F2E">
              <w:t>11</w:t>
            </w:r>
          </w:p>
        </w:tc>
      </w:tr>
      <w:tr w:rsidR="0093676D" w:rsidRPr="00CB4F2E" w14:paraId="7FF7CDAE" w14:textId="77777777" w:rsidTr="00D80992">
        <w:tc>
          <w:tcPr>
            <w:tcW w:w="962" w:type="pct"/>
            <w:noWrap/>
            <w:hideMark/>
          </w:tcPr>
          <w:p w14:paraId="12722C68" w14:textId="77777777" w:rsidR="0093676D" w:rsidRPr="00CB4F2E" w:rsidRDefault="0093676D" w:rsidP="00D80992">
            <w:r w:rsidRPr="00CB4F2E">
              <w:t>Homicide involontaire</w:t>
            </w:r>
          </w:p>
        </w:tc>
        <w:tc>
          <w:tcPr>
            <w:tcW w:w="367" w:type="pct"/>
            <w:noWrap/>
            <w:vAlign w:val="bottom"/>
            <w:hideMark/>
          </w:tcPr>
          <w:p w14:paraId="411E4B1A" w14:textId="77777777" w:rsidR="0093676D" w:rsidRPr="00CB4F2E" w:rsidRDefault="0093676D" w:rsidP="00D80992">
            <w:r w:rsidRPr="00CB4F2E">
              <w:t>1180</w:t>
            </w:r>
          </w:p>
        </w:tc>
        <w:tc>
          <w:tcPr>
            <w:tcW w:w="424" w:type="pct"/>
            <w:noWrap/>
            <w:vAlign w:val="bottom"/>
            <w:hideMark/>
          </w:tcPr>
          <w:p w14:paraId="4233FC90" w14:textId="77777777" w:rsidR="0093676D" w:rsidRPr="00CB4F2E" w:rsidRDefault="0093676D" w:rsidP="00D80992">
            <w:r w:rsidRPr="00CB4F2E">
              <w:t>99</w:t>
            </w:r>
          </w:p>
        </w:tc>
        <w:tc>
          <w:tcPr>
            <w:tcW w:w="379" w:type="pct"/>
            <w:noWrap/>
            <w:vAlign w:val="bottom"/>
            <w:hideMark/>
          </w:tcPr>
          <w:p w14:paraId="5F6CEB2A" w14:textId="77777777" w:rsidR="0093676D" w:rsidRPr="00CB4F2E" w:rsidRDefault="0093676D" w:rsidP="00D80992">
            <w:r w:rsidRPr="00CB4F2E">
              <w:t>1202</w:t>
            </w:r>
          </w:p>
        </w:tc>
        <w:tc>
          <w:tcPr>
            <w:tcW w:w="401" w:type="pct"/>
            <w:noWrap/>
            <w:vAlign w:val="bottom"/>
            <w:hideMark/>
          </w:tcPr>
          <w:p w14:paraId="708695B4" w14:textId="77777777" w:rsidR="0093676D" w:rsidRPr="00CB4F2E" w:rsidRDefault="0093676D" w:rsidP="00D80992">
            <w:r w:rsidRPr="00CB4F2E">
              <w:t>806</w:t>
            </w:r>
          </w:p>
        </w:tc>
        <w:tc>
          <w:tcPr>
            <w:tcW w:w="411" w:type="pct"/>
            <w:noWrap/>
            <w:vAlign w:val="bottom"/>
            <w:hideMark/>
          </w:tcPr>
          <w:p w14:paraId="762A065C" w14:textId="77777777" w:rsidR="0093676D" w:rsidRPr="00CB4F2E" w:rsidRDefault="0093676D" w:rsidP="00D80992">
            <w:r w:rsidRPr="00CB4F2E">
              <w:t>72</w:t>
            </w:r>
          </w:p>
        </w:tc>
        <w:tc>
          <w:tcPr>
            <w:tcW w:w="200" w:type="pct"/>
            <w:noWrap/>
            <w:vAlign w:val="bottom"/>
            <w:hideMark/>
          </w:tcPr>
          <w:p w14:paraId="4542EDE2" w14:textId="77777777" w:rsidR="0093676D" w:rsidRPr="00CB4F2E" w:rsidRDefault="0093676D" w:rsidP="00D80992">
            <w:r w:rsidRPr="00CB4F2E">
              <w:t>971</w:t>
            </w:r>
          </w:p>
        </w:tc>
        <w:tc>
          <w:tcPr>
            <w:tcW w:w="200" w:type="pct"/>
            <w:noWrap/>
            <w:vAlign w:val="bottom"/>
            <w:hideMark/>
          </w:tcPr>
          <w:p w14:paraId="33ACD7AF" w14:textId="77777777" w:rsidR="0093676D" w:rsidRPr="00CB4F2E" w:rsidRDefault="0093676D" w:rsidP="00D80992">
            <w:r w:rsidRPr="00CB4F2E">
              <w:t>298</w:t>
            </w:r>
          </w:p>
        </w:tc>
        <w:tc>
          <w:tcPr>
            <w:tcW w:w="171" w:type="pct"/>
            <w:noWrap/>
            <w:vAlign w:val="bottom"/>
            <w:hideMark/>
          </w:tcPr>
          <w:p w14:paraId="08DB3396" w14:textId="77777777" w:rsidR="0093676D" w:rsidRPr="00CB4F2E" w:rsidRDefault="0093676D" w:rsidP="00D80992">
            <w:r w:rsidRPr="00CB4F2E">
              <w:t>93</w:t>
            </w:r>
          </w:p>
        </w:tc>
        <w:tc>
          <w:tcPr>
            <w:tcW w:w="200" w:type="pct"/>
            <w:noWrap/>
            <w:vAlign w:val="bottom"/>
            <w:hideMark/>
          </w:tcPr>
          <w:p w14:paraId="5C56C141" w14:textId="77777777" w:rsidR="0093676D" w:rsidRPr="00CB4F2E" w:rsidRDefault="0093676D" w:rsidP="00D80992">
            <w:r w:rsidRPr="00CB4F2E">
              <w:t>51</w:t>
            </w:r>
          </w:p>
        </w:tc>
        <w:tc>
          <w:tcPr>
            <w:tcW w:w="349" w:type="pct"/>
            <w:noWrap/>
            <w:vAlign w:val="bottom"/>
            <w:hideMark/>
          </w:tcPr>
          <w:p w14:paraId="0740CA8F" w14:textId="77777777" w:rsidR="0093676D" w:rsidRPr="00CB4F2E" w:rsidRDefault="0093676D" w:rsidP="00D80992">
            <w:r w:rsidRPr="00CB4F2E">
              <w:t>231</w:t>
            </w:r>
          </w:p>
        </w:tc>
        <w:tc>
          <w:tcPr>
            <w:tcW w:w="486" w:type="pct"/>
            <w:noWrap/>
            <w:vAlign w:val="bottom"/>
            <w:hideMark/>
          </w:tcPr>
          <w:p w14:paraId="5BA791A9" w14:textId="77777777" w:rsidR="0093676D" w:rsidRPr="00CB4F2E" w:rsidRDefault="0093676D" w:rsidP="00D80992">
            <w:r w:rsidRPr="00CB4F2E">
              <w:t>6</w:t>
            </w:r>
          </w:p>
        </w:tc>
        <w:tc>
          <w:tcPr>
            <w:tcW w:w="450" w:type="pct"/>
            <w:noWrap/>
            <w:vAlign w:val="bottom"/>
            <w:hideMark/>
          </w:tcPr>
          <w:p w14:paraId="468BE5B3" w14:textId="77777777" w:rsidR="0093676D" w:rsidRPr="00CB4F2E" w:rsidRDefault="0093676D" w:rsidP="00D80992">
            <w:r w:rsidRPr="00CB4F2E">
              <w:t>65</w:t>
            </w:r>
          </w:p>
        </w:tc>
      </w:tr>
      <w:tr w:rsidR="0093676D" w:rsidRPr="00CB4F2E" w14:paraId="71D9B616" w14:textId="77777777" w:rsidTr="00D80992">
        <w:tc>
          <w:tcPr>
            <w:tcW w:w="962" w:type="pct"/>
            <w:noWrap/>
            <w:hideMark/>
          </w:tcPr>
          <w:p w14:paraId="609A7B41" w14:textId="77777777" w:rsidR="0093676D" w:rsidRPr="00CB4F2E" w:rsidRDefault="0093676D" w:rsidP="00D80992">
            <w:r w:rsidRPr="00CB4F2E">
              <w:t>Coups mortels</w:t>
            </w:r>
          </w:p>
        </w:tc>
        <w:tc>
          <w:tcPr>
            <w:tcW w:w="367" w:type="pct"/>
            <w:noWrap/>
            <w:vAlign w:val="bottom"/>
            <w:hideMark/>
          </w:tcPr>
          <w:p w14:paraId="21774DF3" w14:textId="77777777" w:rsidR="0093676D" w:rsidRPr="00CB4F2E" w:rsidRDefault="0093676D" w:rsidP="00D80992">
            <w:r w:rsidRPr="00CB4F2E">
              <w:t>171</w:t>
            </w:r>
          </w:p>
        </w:tc>
        <w:tc>
          <w:tcPr>
            <w:tcW w:w="424" w:type="pct"/>
            <w:noWrap/>
            <w:vAlign w:val="bottom"/>
            <w:hideMark/>
          </w:tcPr>
          <w:p w14:paraId="78F614E0" w14:textId="77777777" w:rsidR="0093676D" w:rsidRPr="00CB4F2E" w:rsidRDefault="0093676D" w:rsidP="00D80992">
            <w:r w:rsidRPr="00CB4F2E">
              <w:t>153</w:t>
            </w:r>
          </w:p>
        </w:tc>
        <w:tc>
          <w:tcPr>
            <w:tcW w:w="379" w:type="pct"/>
            <w:noWrap/>
            <w:vAlign w:val="bottom"/>
            <w:hideMark/>
          </w:tcPr>
          <w:p w14:paraId="138BDF05" w14:textId="77777777" w:rsidR="0093676D" w:rsidRPr="00CB4F2E" w:rsidRDefault="0093676D" w:rsidP="00D80992">
            <w:r w:rsidRPr="00CB4F2E">
              <w:t>107</w:t>
            </w:r>
          </w:p>
        </w:tc>
        <w:tc>
          <w:tcPr>
            <w:tcW w:w="401" w:type="pct"/>
            <w:noWrap/>
            <w:vAlign w:val="bottom"/>
            <w:hideMark/>
          </w:tcPr>
          <w:p w14:paraId="77F79037" w14:textId="77777777" w:rsidR="0093676D" w:rsidRPr="00CB4F2E" w:rsidRDefault="0093676D" w:rsidP="00D80992">
            <w:r w:rsidRPr="00CB4F2E">
              <w:t>118</w:t>
            </w:r>
          </w:p>
        </w:tc>
        <w:tc>
          <w:tcPr>
            <w:tcW w:w="411" w:type="pct"/>
            <w:noWrap/>
            <w:vAlign w:val="bottom"/>
            <w:hideMark/>
          </w:tcPr>
          <w:p w14:paraId="6F64802B" w14:textId="77777777" w:rsidR="0093676D" w:rsidRPr="00CB4F2E" w:rsidRDefault="0093676D" w:rsidP="00D80992">
            <w:r w:rsidRPr="00CB4F2E">
              <w:t>22</w:t>
            </w:r>
          </w:p>
        </w:tc>
        <w:tc>
          <w:tcPr>
            <w:tcW w:w="200" w:type="pct"/>
            <w:noWrap/>
            <w:vAlign w:val="bottom"/>
            <w:hideMark/>
          </w:tcPr>
          <w:p w14:paraId="7D95EAED" w14:textId="77777777" w:rsidR="0093676D" w:rsidRPr="00CB4F2E" w:rsidRDefault="0093676D" w:rsidP="00D80992">
            <w:r w:rsidRPr="00CB4F2E">
              <w:t>93</w:t>
            </w:r>
          </w:p>
        </w:tc>
        <w:tc>
          <w:tcPr>
            <w:tcW w:w="200" w:type="pct"/>
            <w:noWrap/>
            <w:vAlign w:val="bottom"/>
            <w:hideMark/>
          </w:tcPr>
          <w:p w14:paraId="7B62894B" w14:textId="77777777" w:rsidR="0093676D" w:rsidRPr="00CB4F2E" w:rsidRDefault="0093676D" w:rsidP="00D80992">
            <w:r w:rsidRPr="00CB4F2E">
              <w:t>35</w:t>
            </w:r>
          </w:p>
        </w:tc>
        <w:tc>
          <w:tcPr>
            <w:tcW w:w="171" w:type="pct"/>
            <w:noWrap/>
            <w:vAlign w:val="bottom"/>
            <w:hideMark/>
          </w:tcPr>
          <w:p w14:paraId="0E3A048D" w14:textId="77777777" w:rsidR="0093676D" w:rsidRPr="00CB4F2E" w:rsidRDefault="0093676D" w:rsidP="00D80992">
            <w:r w:rsidRPr="00CB4F2E">
              <w:t>15</w:t>
            </w:r>
          </w:p>
        </w:tc>
        <w:tc>
          <w:tcPr>
            <w:tcW w:w="200" w:type="pct"/>
            <w:noWrap/>
            <w:vAlign w:val="bottom"/>
            <w:hideMark/>
          </w:tcPr>
          <w:p w14:paraId="62CD43E7" w14:textId="77777777" w:rsidR="0093676D" w:rsidRPr="00CB4F2E" w:rsidRDefault="0093676D" w:rsidP="00D80992">
            <w:r w:rsidRPr="00CB4F2E">
              <w:t>2</w:t>
            </w:r>
          </w:p>
        </w:tc>
        <w:tc>
          <w:tcPr>
            <w:tcW w:w="349" w:type="pct"/>
            <w:noWrap/>
            <w:vAlign w:val="bottom"/>
            <w:hideMark/>
          </w:tcPr>
          <w:p w14:paraId="77B2D4F9" w14:textId="77777777" w:rsidR="0093676D" w:rsidRPr="00CB4F2E" w:rsidRDefault="0093676D" w:rsidP="00D80992">
            <w:r w:rsidRPr="00CB4F2E">
              <w:t>9</w:t>
            </w:r>
          </w:p>
        </w:tc>
        <w:tc>
          <w:tcPr>
            <w:tcW w:w="486" w:type="pct"/>
            <w:noWrap/>
            <w:vAlign w:val="bottom"/>
            <w:hideMark/>
          </w:tcPr>
          <w:p w14:paraId="22A14F6B" w14:textId="77777777" w:rsidR="0093676D" w:rsidRPr="00CB4F2E" w:rsidRDefault="0093676D" w:rsidP="00D80992">
            <w:r w:rsidRPr="00CB4F2E">
              <w:t>0</w:t>
            </w:r>
          </w:p>
        </w:tc>
        <w:tc>
          <w:tcPr>
            <w:tcW w:w="450" w:type="pct"/>
            <w:noWrap/>
            <w:vAlign w:val="bottom"/>
            <w:hideMark/>
          </w:tcPr>
          <w:p w14:paraId="21707232" w14:textId="77777777" w:rsidR="0093676D" w:rsidRPr="00CB4F2E" w:rsidRDefault="0093676D" w:rsidP="00D80992">
            <w:r w:rsidRPr="00CB4F2E">
              <w:t>8</w:t>
            </w:r>
          </w:p>
        </w:tc>
      </w:tr>
      <w:tr w:rsidR="0093676D" w:rsidRPr="00CB4F2E" w14:paraId="6AE501A6" w14:textId="77777777" w:rsidTr="00D80992">
        <w:tc>
          <w:tcPr>
            <w:tcW w:w="962" w:type="pct"/>
            <w:noWrap/>
            <w:hideMark/>
          </w:tcPr>
          <w:p w14:paraId="482B6699" w14:textId="77777777" w:rsidR="0093676D" w:rsidRPr="00CB4F2E" w:rsidRDefault="0093676D" w:rsidP="00D80992">
            <w:r w:rsidRPr="00CB4F2E">
              <w:t>Coups avec blessures graves</w:t>
            </w:r>
          </w:p>
        </w:tc>
        <w:tc>
          <w:tcPr>
            <w:tcW w:w="367" w:type="pct"/>
            <w:noWrap/>
            <w:vAlign w:val="bottom"/>
            <w:hideMark/>
          </w:tcPr>
          <w:p w14:paraId="440BD81E" w14:textId="77777777" w:rsidR="0093676D" w:rsidRPr="00CB4F2E" w:rsidRDefault="0093676D" w:rsidP="00D80992">
            <w:r w:rsidRPr="00CB4F2E">
              <w:t>18</w:t>
            </w:r>
          </w:p>
        </w:tc>
        <w:tc>
          <w:tcPr>
            <w:tcW w:w="424" w:type="pct"/>
            <w:noWrap/>
            <w:vAlign w:val="bottom"/>
            <w:hideMark/>
          </w:tcPr>
          <w:p w14:paraId="156EDD41" w14:textId="77777777" w:rsidR="0093676D" w:rsidRPr="00CB4F2E" w:rsidRDefault="0093676D" w:rsidP="00D80992">
            <w:r w:rsidRPr="00CB4F2E">
              <w:t>13</w:t>
            </w:r>
          </w:p>
        </w:tc>
        <w:tc>
          <w:tcPr>
            <w:tcW w:w="379" w:type="pct"/>
            <w:noWrap/>
            <w:vAlign w:val="bottom"/>
            <w:hideMark/>
          </w:tcPr>
          <w:p w14:paraId="592ABEBC" w14:textId="77777777" w:rsidR="0093676D" w:rsidRPr="00CB4F2E" w:rsidRDefault="0093676D" w:rsidP="00D80992">
            <w:r w:rsidRPr="00CB4F2E">
              <w:t>7</w:t>
            </w:r>
          </w:p>
        </w:tc>
        <w:tc>
          <w:tcPr>
            <w:tcW w:w="401" w:type="pct"/>
            <w:noWrap/>
            <w:vAlign w:val="bottom"/>
            <w:hideMark/>
          </w:tcPr>
          <w:p w14:paraId="57E40E02" w14:textId="77777777" w:rsidR="0093676D" w:rsidRPr="00CB4F2E" w:rsidRDefault="0093676D" w:rsidP="00D80992">
            <w:r w:rsidRPr="00CB4F2E">
              <w:t>13</w:t>
            </w:r>
          </w:p>
        </w:tc>
        <w:tc>
          <w:tcPr>
            <w:tcW w:w="411" w:type="pct"/>
            <w:noWrap/>
            <w:vAlign w:val="bottom"/>
            <w:hideMark/>
          </w:tcPr>
          <w:p w14:paraId="62FA4927" w14:textId="77777777" w:rsidR="0093676D" w:rsidRPr="00CB4F2E" w:rsidRDefault="0093676D" w:rsidP="00D80992">
            <w:r w:rsidRPr="00CB4F2E">
              <w:t>2</w:t>
            </w:r>
          </w:p>
        </w:tc>
        <w:tc>
          <w:tcPr>
            <w:tcW w:w="200" w:type="pct"/>
            <w:noWrap/>
            <w:vAlign w:val="bottom"/>
            <w:hideMark/>
          </w:tcPr>
          <w:p w14:paraId="36D5429F" w14:textId="77777777" w:rsidR="0093676D" w:rsidRPr="00CB4F2E" w:rsidRDefault="0093676D" w:rsidP="00D80992">
            <w:r w:rsidRPr="00CB4F2E">
              <w:t>4</w:t>
            </w:r>
          </w:p>
        </w:tc>
        <w:tc>
          <w:tcPr>
            <w:tcW w:w="200" w:type="pct"/>
            <w:noWrap/>
            <w:vAlign w:val="bottom"/>
            <w:hideMark/>
          </w:tcPr>
          <w:p w14:paraId="2E69A55B" w14:textId="77777777" w:rsidR="0093676D" w:rsidRPr="00CB4F2E" w:rsidRDefault="0093676D" w:rsidP="00D80992">
            <w:r w:rsidRPr="00CB4F2E">
              <w:t>2</w:t>
            </w:r>
          </w:p>
        </w:tc>
        <w:tc>
          <w:tcPr>
            <w:tcW w:w="171" w:type="pct"/>
            <w:noWrap/>
            <w:vAlign w:val="bottom"/>
            <w:hideMark/>
          </w:tcPr>
          <w:p w14:paraId="25F95480" w14:textId="77777777" w:rsidR="0093676D" w:rsidRPr="00CB4F2E" w:rsidRDefault="0093676D" w:rsidP="00D80992">
            <w:r w:rsidRPr="00CB4F2E">
              <w:t>0</w:t>
            </w:r>
          </w:p>
        </w:tc>
        <w:tc>
          <w:tcPr>
            <w:tcW w:w="200" w:type="pct"/>
            <w:noWrap/>
            <w:vAlign w:val="bottom"/>
            <w:hideMark/>
          </w:tcPr>
          <w:p w14:paraId="692B6E11" w14:textId="77777777" w:rsidR="0093676D" w:rsidRPr="00CB4F2E" w:rsidRDefault="0093676D" w:rsidP="00D80992">
            <w:r w:rsidRPr="00CB4F2E">
              <w:t>1</w:t>
            </w:r>
          </w:p>
        </w:tc>
        <w:tc>
          <w:tcPr>
            <w:tcW w:w="349" w:type="pct"/>
            <w:noWrap/>
            <w:vAlign w:val="bottom"/>
            <w:hideMark/>
          </w:tcPr>
          <w:p w14:paraId="422A6B86" w14:textId="77777777" w:rsidR="0093676D" w:rsidRPr="00CB4F2E" w:rsidRDefault="0093676D" w:rsidP="00D80992">
            <w:r w:rsidRPr="00CB4F2E">
              <w:t>1</w:t>
            </w:r>
          </w:p>
        </w:tc>
        <w:tc>
          <w:tcPr>
            <w:tcW w:w="486" w:type="pct"/>
            <w:noWrap/>
            <w:vAlign w:val="bottom"/>
            <w:hideMark/>
          </w:tcPr>
          <w:p w14:paraId="706BDC5A" w14:textId="77777777" w:rsidR="0093676D" w:rsidRPr="00CB4F2E" w:rsidRDefault="0093676D" w:rsidP="00D80992">
            <w:r w:rsidRPr="00CB4F2E">
              <w:t>0</w:t>
            </w:r>
          </w:p>
        </w:tc>
        <w:tc>
          <w:tcPr>
            <w:tcW w:w="450" w:type="pct"/>
            <w:noWrap/>
            <w:vAlign w:val="bottom"/>
            <w:hideMark/>
          </w:tcPr>
          <w:p w14:paraId="74F15F61" w14:textId="77777777" w:rsidR="0093676D" w:rsidRPr="00CB4F2E" w:rsidRDefault="0093676D" w:rsidP="00D80992">
            <w:r w:rsidRPr="00CB4F2E">
              <w:t>0</w:t>
            </w:r>
          </w:p>
        </w:tc>
      </w:tr>
      <w:tr w:rsidR="0093676D" w:rsidRPr="00CB4F2E" w14:paraId="6626DB65" w14:textId="77777777" w:rsidTr="00D80992">
        <w:tc>
          <w:tcPr>
            <w:tcW w:w="962" w:type="pct"/>
            <w:noWrap/>
            <w:hideMark/>
          </w:tcPr>
          <w:p w14:paraId="6E7D2F6B" w14:textId="77777777" w:rsidR="0093676D" w:rsidRPr="00CB4F2E" w:rsidRDefault="0093676D" w:rsidP="00D80992">
            <w:r w:rsidRPr="00CB4F2E">
              <w:t>Torture</w:t>
            </w:r>
          </w:p>
        </w:tc>
        <w:tc>
          <w:tcPr>
            <w:tcW w:w="367" w:type="pct"/>
            <w:noWrap/>
            <w:vAlign w:val="bottom"/>
            <w:hideMark/>
          </w:tcPr>
          <w:p w14:paraId="53910E49" w14:textId="77777777" w:rsidR="0093676D" w:rsidRPr="00CB4F2E" w:rsidRDefault="0093676D" w:rsidP="00D80992">
            <w:r w:rsidRPr="00CB4F2E">
              <w:t>35</w:t>
            </w:r>
          </w:p>
        </w:tc>
        <w:tc>
          <w:tcPr>
            <w:tcW w:w="424" w:type="pct"/>
            <w:noWrap/>
            <w:vAlign w:val="bottom"/>
            <w:hideMark/>
          </w:tcPr>
          <w:p w14:paraId="7EDDEE71" w14:textId="77777777" w:rsidR="0093676D" w:rsidRPr="00CB4F2E" w:rsidRDefault="0093676D" w:rsidP="00D80992">
            <w:r w:rsidRPr="00CB4F2E">
              <w:t>24</w:t>
            </w:r>
          </w:p>
        </w:tc>
        <w:tc>
          <w:tcPr>
            <w:tcW w:w="379" w:type="pct"/>
            <w:noWrap/>
            <w:vAlign w:val="bottom"/>
            <w:hideMark/>
          </w:tcPr>
          <w:p w14:paraId="231162C8" w14:textId="77777777" w:rsidR="0093676D" w:rsidRPr="00CB4F2E" w:rsidRDefault="0093676D" w:rsidP="00D80992">
            <w:r w:rsidRPr="00CB4F2E">
              <w:t>180</w:t>
            </w:r>
          </w:p>
        </w:tc>
        <w:tc>
          <w:tcPr>
            <w:tcW w:w="401" w:type="pct"/>
            <w:noWrap/>
            <w:vAlign w:val="bottom"/>
            <w:hideMark/>
          </w:tcPr>
          <w:p w14:paraId="6D0764B3" w14:textId="77777777" w:rsidR="0093676D" w:rsidRPr="00CB4F2E" w:rsidRDefault="0093676D" w:rsidP="00D80992">
            <w:r w:rsidRPr="00CB4F2E">
              <w:t>117</w:t>
            </w:r>
          </w:p>
        </w:tc>
        <w:tc>
          <w:tcPr>
            <w:tcW w:w="411" w:type="pct"/>
            <w:noWrap/>
            <w:vAlign w:val="bottom"/>
            <w:hideMark/>
          </w:tcPr>
          <w:p w14:paraId="4FAF2342" w14:textId="77777777" w:rsidR="0093676D" w:rsidRPr="00CB4F2E" w:rsidRDefault="0093676D" w:rsidP="00D80992">
            <w:r w:rsidRPr="00CB4F2E">
              <w:t>19</w:t>
            </w:r>
          </w:p>
        </w:tc>
        <w:tc>
          <w:tcPr>
            <w:tcW w:w="200" w:type="pct"/>
            <w:noWrap/>
            <w:vAlign w:val="bottom"/>
            <w:hideMark/>
          </w:tcPr>
          <w:p w14:paraId="0CE87B1D" w14:textId="77777777" w:rsidR="0093676D" w:rsidRPr="00CB4F2E" w:rsidRDefault="0093676D" w:rsidP="00D80992">
            <w:r w:rsidRPr="00CB4F2E">
              <w:t>68</w:t>
            </w:r>
          </w:p>
        </w:tc>
        <w:tc>
          <w:tcPr>
            <w:tcW w:w="200" w:type="pct"/>
            <w:noWrap/>
            <w:vAlign w:val="bottom"/>
            <w:hideMark/>
          </w:tcPr>
          <w:p w14:paraId="4DC7BCBC" w14:textId="77777777" w:rsidR="0093676D" w:rsidRPr="00CB4F2E" w:rsidRDefault="0093676D" w:rsidP="00D80992">
            <w:r w:rsidRPr="00CB4F2E">
              <w:t>50</w:t>
            </w:r>
          </w:p>
        </w:tc>
        <w:tc>
          <w:tcPr>
            <w:tcW w:w="171" w:type="pct"/>
            <w:noWrap/>
            <w:vAlign w:val="bottom"/>
            <w:hideMark/>
          </w:tcPr>
          <w:p w14:paraId="02A050CB" w14:textId="77777777" w:rsidR="0093676D" w:rsidRPr="00CB4F2E" w:rsidRDefault="0093676D" w:rsidP="00D80992">
            <w:r w:rsidRPr="00CB4F2E">
              <w:t>6</w:t>
            </w:r>
          </w:p>
        </w:tc>
        <w:tc>
          <w:tcPr>
            <w:tcW w:w="200" w:type="pct"/>
            <w:noWrap/>
            <w:vAlign w:val="bottom"/>
            <w:hideMark/>
          </w:tcPr>
          <w:p w14:paraId="5B481CB7" w14:textId="77777777" w:rsidR="0093676D" w:rsidRPr="00CB4F2E" w:rsidRDefault="0093676D" w:rsidP="00D80992">
            <w:r w:rsidRPr="00CB4F2E">
              <w:t>2</w:t>
            </w:r>
          </w:p>
        </w:tc>
        <w:tc>
          <w:tcPr>
            <w:tcW w:w="349" w:type="pct"/>
            <w:noWrap/>
            <w:vAlign w:val="bottom"/>
            <w:hideMark/>
          </w:tcPr>
          <w:p w14:paraId="78826F52" w14:textId="77777777" w:rsidR="0093676D" w:rsidRPr="00CB4F2E" w:rsidRDefault="0093676D" w:rsidP="00D80992">
            <w:r w:rsidRPr="00CB4F2E">
              <w:t>1</w:t>
            </w:r>
          </w:p>
        </w:tc>
        <w:tc>
          <w:tcPr>
            <w:tcW w:w="486" w:type="pct"/>
            <w:noWrap/>
            <w:vAlign w:val="bottom"/>
            <w:hideMark/>
          </w:tcPr>
          <w:p w14:paraId="3EF5A1A3" w14:textId="77777777" w:rsidR="0093676D" w:rsidRPr="00CB4F2E" w:rsidRDefault="0093676D" w:rsidP="00D80992">
            <w:r w:rsidRPr="00CB4F2E">
              <w:t>0</w:t>
            </w:r>
          </w:p>
        </w:tc>
        <w:tc>
          <w:tcPr>
            <w:tcW w:w="450" w:type="pct"/>
            <w:noWrap/>
            <w:vAlign w:val="bottom"/>
            <w:hideMark/>
          </w:tcPr>
          <w:p w14:paraId="7046C600" w14:textId="77777777" w:rsidR="0093676D" w:rsidRPr="00CB4F2E" w:rsidRDefault="0093676D" w:rsidP="00D80992">
            <w:r w:rsidRPr="00CB4F2E">
              <w:t>4</w:t>
            </w:r>
          </w:p>
        </w:tc>
      </w:tr>
      <w:tr w:rsidR="0093676D" w:rsidRPr="00CB4F2E" w14:paraId="6EAF6153" w14:textId="77777777" w:rsidTr="00D80992">
        <w:tc>
          <w:tcPr>
            <w:tcW w:w="962" w:type="pct"/>
            <w:noWrap/>
            <w:hideMark/>
          </w:tcPr>
          <w:p w14:paraId="7BBB9305" w14:textId="77777777" w:rsidR="0093676D" w:rsidRPr="00CB4F2E" w:rsidRDefault="0093676D" w:rsidP="00D80992">
            <w:r w:rsidRPr="00CB4F2E">
              <w:t>Blessures graves</w:t>
            </w:r>
          </w:p>
        </w:tc>
        <w:tc>
          <w:tcPr>
            <w:tcW w:w="367" w:type="pct"/>
            <w:noWrap/>
            <w:vAlign w:val="bottom"/>
            <w:hideMark/>
          </w:tcPr>
          <w:p w14:paraId="66042525" w14:textId="77777777" w:rsidR="0093676D" w:rsidRPr="00CB4F2E" w:rsidRDefault="0093676D" w:rsidP="00D80992">
            <w:r w:rsidRPr="00CB4F2E">
              <w:t>553</w:t>
            </w:r>
          </w:p>
        </w:tc>
        <w:tc>
          <w:tcPr>
            <w:tcW w:w="424" w:type="pct"/>
            <w:noWrap/>
            <w:vAlign w:val="bottom"/>
            <w:hideMark/>
          </w:tcPr>
          <w:p w14:paraId="4811DFDF" w14:textId="77777777" w:rsidR="0093676D" w:rsidRPr="00CB4F2E" w:rsidRDefault="0093676D" w:rsidP="00D80992">
            <w:r w:rsidRPr="00CB4F2E">
              <w:t>49</w:t>
            </w:r>
          </w:p>
        </w:tc>
        <w:tc>
          <w:tcPr>
            <w:tcW w:w="379" w:type="pct"/>
            <w:noWrap/>
            <w:vAlign w:val="bottom"/>
            <w:hideMark/>
          </w:tcPr>
          <w:p w14:paraId="70C64946" w14:textId="77777777" w:rsidR="0093676D" w:rsidRPr="00CB4F2E" w:rsidRDefault="0093676D" w:rsidP="00D80992">
            <w:r w:rsidRPr="00CB4F2E">
              <w:t>553</w:t>
            </w:r>
          </w:p>
        </w:tc>
        <w:tc>
          <w:tcPr>
            <w:tcW w:w="401" w:type="pct"/>
            <w:noWrap/>
            <w:vAlign w:val="bottom"/>
            <w:hideMark/>
          </w:tcPr>
          <w:p w14:paraId="01F5E56A" w14:textId="77777777" w:rsidR="0093676D" w:rsidRPr="00CB4F2E" w:rsidRDefault="0093676D" w:rsidP="00D80992">
            <w:r w:rsidRPr="00CB4F2E">
              <w:t>365</w:t>
            </w:r>
          </w:p>
        </w:tc>
        <w:tc>
          <w:tcPr>
            <w:tcW w:w="411" w:type="pct"/>
            <w:noWrap/>
            <w:vAlign w:val="bottom"/>
            <w:hideMark/>
          </w:tcPr>
          <w:p w14:paraId="516EC509" w14:textId="77777777" w:rsidR="0093676D" w:rsidRPr="00CB4F2E" w:rsidRDefault="0093676D" w:rsidP="00D80992">
            <w:r w:rsidRPr="00CB4F2E">
              <w:t>58</w:t>
            </w:r>
          </w:p>
        </w:tc>
        <w:tc>
          <w:tcPr>
            <w:tcW w:w="200" w:type="pct"/>
            <w:noWrap/>
            <w:vAlign w:val="bottom"/>
            <w:hideMark/>
          </w:tcPr>
          <w:p w14:paraId="2189C696" w14:textId="77777777" w:rsidR="0093676D" w:rsidRPr="00CB4F2E" w:rsidRDefault="0093676D" w:rsidP="00D80992">
            <w:r w:rsidRPr="00CB4F2E">
              <w:t>339</w:t>
            </w:r>
          </w:p>
        </w:tc>
        <w:tc>
          <w:tcPr>
            <w:tcW w:w="200" w:type="pct"/>
            <w:noWrap/>
            <w:vAlign w:val="bottom"/>
            <w:hideMark/>
          </w:tcPr>
          <w:p w14:paraId="3D942A94" w14:textId="77777777" w:rsidR="0093676D" w:rsidRPr="00CB4F2E" w:rsidRDefault="0093676D" w:rsidP="00D80992">
            <w:r w:rsidRPr="00CB4F2E">
              <w:t>208</w:t>
            </w:r>
          </w:p>
        </w:tc>
        <w:tc>
          <w:tcPr>
            <w:tcW w:w="171" w:type="pct"/>
            <w:noWrap/>
            <w:vAlign w:val="bottom"/>
            <w:hideMark/>
          </w:tcPr>
          <w:p w14:paraId="7832518B" w14:textId="77777777" w:rsidR="0093676D" w:rsidRPr="00CB4F2E" w:rsidRDefault="0093676D" w:rsidP="00D80992">
            <w:r w:rsidRPr="00CB4F2E">
              <w:t>25</w:t>
            </w:r>
          </w:p>
        </w:tc>
        <w:tc>
          <w:tcPr>
            <w:tcW w:w="200" w:type="pct"/>
            <w:noWrap/>
            <w:vAlign w:val="bottom"/>
            <w:hideMark/>
          </w:tcPr>
          <w:p w14:paraId="3D6F4346" w14:textId="77777777" w:rsidR="0093676D" w:rsidRPr="00CB4F2E" w:rsidRDefault="0093676D" w:rsidP="00D80992">
            <w:r w:rsidRPr="00CB4F2E">
              <w:t>6</w:t>
            </w:r>
          </w:p>
        </w:tc>
        <w:tc>
          <w:tcPr>
            <w:tcW w:w="349" w:type="pct"/>
            <w:noWrap/>
            <w:vAlign w:val="bottom"/>
            <w:hideMark/>
          </w:tcPr>
          <w:p w14:paraId="70749EFB" w14:textId="77777777" w:rsidR="0093676D" w:rsidRPr="00CB4F2E" w:rsidRDefault="0093676D" w:rsidP="00D80992">
            <w:r w:rsidRPr="00CB4F2E">
              <w:t>35</w:t>
            </w:r>
          </w:p>
        </w:tc>
        <w:tc>
          <w:tcPr>
            <w:tcW w:w="486" w:type="pct"/>
            <w:noWrap/>
            <w:vAlign w:val="bottom"/>
            <w:hideMark/>
          </w:tcPr>
          <w:p w14:paraId="4503F91F" w14:textId="77777777" w:rsidR="0093676D" w:rsidRPr="00CB4F2E" w:rsidRDefault="0093676D" w:rsidP="00D80992">
            <w:r w:rsidRPr="00CB4F2E">
              <w:t>0</w:t>
            </w:r>
          </w:p>
        </w:tc>
        <w:tc>
          <w:tcPr>
            <w:tcW w:w="450" w:type="pct"/>
            <w:noWrap/>
            <w:vAlign w:val="bottom"/>
            <w:hideMark/>
          </w:tcPr>
          <w:p w14:paraId="4478F081" w14:textId="77777777" w:rsidR="0093676D" w:rsidRPr="00CB4F2E" w:rsidRDefault="0093676D" w:rsidP="00D80992">
            <w:r w:rsidRPr="00CB4F2E">
              <w:t>0</w:t>
            </w:r>
          </w:p>
        </w:tc>
      </w:tr>
      <w:tr w:rsidR="0093676D" w:rsidRPr="00CB4F2E" w14:paraId="0FD9B95D" w14:textId="77777777" w:rsidTr="00D80992">
        <w:tc>
          <w:tcPr>
            <w:tcW w:w="962" w:type="pct"/>
            <w:noWrap/>
            <w:hideMark/>
          </w:tcPr>
          <w:p w14:paraId="59358C89" w14:textId="77777777" w:rsidR="0093676D" w:rsidRPr="00CB4F2E" w:rsidRDefault="0093676D" w:rsidP="00D80992">
            <w:r w:rsidRPr="00CB4F2E">
              <w:t>Blessures simples</w:t>
            </w:r>
          </w:p>
        </w:tc>
        <w:tc>
          <w:tcPr>
            <w:tcW w:w="367" w:type="pct"/>
            <w:noWrap/>
            <w:vAlign w:val="bottom"/>
            <w:hideMark/>
          </w:tcPr>
          <w:p w14:paraId="765D4672" w14:textId="77777777" w:rsidR="0093676D" w:rsidRPr="00CB4F2E" w:rsidRDefault="0093676D" w:rsidP="00D80992">
            <w:r w:rsidRPr="00CB4F2E">
              <w:t>924</w:t>
            </w:r>
          </w:p>
        </w:tc>
        <w:tc>
          <w:tcPr>
            <w:tcW w:w="424" w:type="pct"/>
            <w:noWrap/>
            <w:vAlign w:val="bottom"/>
            <w:hideMark/>
          </w:tcPr>
          <w:p w14:paraId="73648C15" w14:textId="77777777" w:rsidR="0093676D" w:rsidRPr="00CB4F2E" w:rsidRDefault="0093676D" w:rsidP="00D80992">
            <w:r w:rsidRPr="00CB4F2E">
              <w:t>78</w:t>
            </w:r>
          </w:p>
        </w:tc>
        <w:tc>
          <w:tcPr>
            <w:tcW w:w="379" w:type="pct"/>
            <w:noWrap/>
            <w:vAlign w:val="bottom"/>
            <w:hideMark/>
          </w:tcPr>
          <w:p w14:paraId="735EE774" w14:textId="77777777" w:rsidR="0093676D" w:rsidRPr="00CB4F2E" w:rsidRDefault="0093676D" w:rsidP="00D80992">
            <w:r w:rsidRPr="00CB4F2E">
              <w:t>1326</w:t>
            </w:r>
          </w:p>
        </w:tc>
        <w:tc>
          <w:tcPr>
            <w:tcW w:w="401" w:type="pct"/>
            <w:noWrap/>
            <w:vAlign w:val="bottom"/>
            <w:hideMark/>
          </w:tcPr>
          <w:p w14:paraId="1AE247A7" w14:textId="77777777" w:rsidR="0093676D" w:rsidRPr="00CB4F2E" w:rsidRDefault="0093676D" w:rsidP="00D80992">
            <w:r w:rsidRPr="00CB4F2E">
              <w:t>625</w:t>
            </w:r>
          </w:p>
        </w:tc>
        <w:tc>
          <w:tcPr>
            <w:tcW w:w="411" w:type="pct"/>
            <w:noWrap/>
            <w:vAlign w:val="bottom"/>
            <w:hideMark/>
          </w:tcPr>
          <w:p w14:paraId="75E3848B" w14:textId="77777777" w:rsidR="0093676D" w:rsidRPr="00CB4F2E" w:rsidRDefault="0093676D" w:rsidP="00D80992">
            <w:r w:rsidRPr="00CB4F2E">
              <w:t>138</w:t>
            </w:r>
          </w:p>
        </w:tc>
        <w:tc>
          <w:tcPr>
            <w:tcW w:w="200" w:type="pct"/>
            <w:noWrap/>
            <w:vAlign w:val="bottom"/>
            <w:hideMark/>
          </w:tcPr>
          <w:p w14:paraId="3460AF26" w14:textId="77777777" w:rsidR="0093676D" w:rsidRPr="00CB4F2E" w:rsidRDefault="0093676D" w:rsidP="00D80992">
            <w:r w:rsidRPr="00CB4F2E">
              <w:t>694</w:t>
            </w:r>
          </w:p>
        </w:tc>
        <w:tc>
          <w:tcPr>
            <w:tcW w:w="200" w:type="pct"/>
            <w:noWrap/>
            <w:vAlign w:val="bottom"/>
            <w:hideMark/>
          </w:tcPr>
          <w:p w14:paraId="7C2C18F2" w14:textId="77777777" w:rsidR="0093676D" w:rsidRPr="00CB4F2E" w:rsidRDefault="0093676D" w:rsidP="00D80992">
            <w:r w:rsidRPr="00CB4F2E">
              <w:t>336</w:t>
            </w:r>
          </w:p>
        </w:tc>
        <w:tc>
          <w:tcPr>
            <w:tcW w:w="171" w:type="pct"/>
            <w:noWrap/>
            <w:vAlign w:val="bottom"/>
            <w:hideMark/>
          </w:tcPr>
          <w:p w14:paraId="42C5FB71" w14:textId="77777777" w:rsidR="0093676D" w:rsidRPr="00CB4F2E" w:rsidRDefault="0093676D" w:rsidP="00D80992">
            <w:r w:rsidRPr="00CB4F2E">
              <w:t>18</w:t>
            </w:r>
          </w:p>
        </w:tc>
        <w:tc>
          <w:tcPr>
            <w:tcW w:w="200" w:type="pct"/>
            <w:noWrap/>
            <w:vAlign w:val="bottom"/>
            <w:hideMark/>
          </w:tcPr>
          <w:p w14:paraId="404BFDE2" w14:textId="77777777" w:rsidR="0093676D" w:rsidRPr="00CB4F2E" w:rsidRDefault="0093676D" w:rsidP="00D80992">
            <w:r w:rsidRPr="00CB4F2E">
              <w:t>36</w:t>
            </w:r>
          </w:p>
        </w:tc>
        <w:tc>
          <w:tcPr>
            <w:tcW w:w="349" w:type="pct"/>
            <w:noWrap/>
            <w:vAlign w:val="bottom"/>
            <w:hideMark/>
          </w:tcPr>
          <w:p w14:paraId="3E57AD28" w14:textId="77777777" w:rsidR="0093676D" w:rsidRPr="00CB4F2E" w:rsidRDefault="0093676D" w:rsidP="00D80992">
            <w:r w:rsidRPr="00CB4F2E">
              <w:t>224</w:t>
            </w:r>
          </w:p>
        </w:tc>
        <w:tc>
          <w:tcPr>
            <w:tcW w:w="486" w:type="pct"/>
            <w:noWrap/>
            <w:vAlign w:val="bottom"/>
            <w:hideMark/>
          </w:tcPr>
          <w:p w14:paraId="449A9A24" w14:textId="77777777" w:rsidR="0093676D" w:rsidRPr="00CB4F2E" w:rsidRDefault="0093676D" w:rsidP="00D80992">
            <w:r w:rsidRPr="00CB4F2E">
              <w:t>1</w:t>
            </w:r>
          </w:p>
        </w:tc>
        <w:tc>
          <w:tcPr>
            <w:tcW w:w="450" w:type="pct"/>
            <w:noWrap/>
            <w:vAlign w:val="bottom"/>
            <w:hideMark/>
          </w:tcPr>
          <w:p w14:paraId="7A184345" w14:textId="77777777" w:rsidR="0093676D" w:rsidRPr="00CB4F2E" w:rsidRDefault="0093676D" w:rsidP="00D80992">
            <w:r w:rsidRPr="00CB4F2E">
              <w:t>0</w:t>
            </w:r>
          </w:p>
        </w:tc>
      </w:tr>
      <w:tr w:rsidR="0093676D" w:rsidRPr="00CB4F2E" w14:paraId="29225290" w14:textId="77777777" w:rsidTr="00D80992">
        <w:tc>
          <w:tcPr>
            <w:tcW w:w="962" w:type="pct"/>
            <w:noWrap/>
            <w:hideMark/>
          </w:tcPr>
          <w:p w14:paraId="2EA8CBAD" w14:textId="77777777" w:rsidR="0093676D" w:rsidRPr="00CB4F2E" w:rsidRDefault="0093676D" w:rsidP="00D80992">
            <w:r w:rsidRPr="00CB4F2E">
              <w:t>Blessures légères</w:t>
            </w:r>
          </w:p>
        </w:tc>
        <w:tc>
          <w:tcPr>
            <w:tcW w:w="367" w:type="pct"/>
            <w:noWrap/>
            <w:vAlign w:val="bottom"/>
            <w:hideMark/>
          </w:tcPr>
          <w:p w14:paraId="1C9A69BE" w14:textId="77777777" w:rsidR="0093676D" w:rsidRPr="00CB4F2E" w:rsidRDefault="0093676D" w:rsidP="00D80992">
            <w:r w:rsidRPr="00CB4F2E">
              <w:t>1498</w:t>
            </w:r>
          </w:p>
        </w:tc>
        <w:tc>
          <w:tcPr>
            <w:tcW w:w="424" w:type="pct"/>
            <w:noWrap/>
            <w:vAlign w:val="bottom"/>
            <w:hideMark/>
          </w:tcPr>
          <w:p w14:paraId="6AD752D8" w14:textId="77777777" w:rsidR="0093676D" w:rsidRPr="00CB4F2E" w:rsidRDefault="0093676D" w:rsidP="00D80992">
            <w:r w:rsidRPr="00CB4F2E">
              <w:t>56</w:t>
            </w:r>
          </w:p>
        </w:tc>
        <w:tc>
          <w:tcPr>
            <w:tcW w:w="379" w:type="pct"/>
            <w:noWrap/>
            <w:vAlign w:val="bottom"/>
            <w:hideMark/>
          </w:tcPr>
          <w:p w14:paraId="61922AD8" w14:textId="77777777" w:rsidR="0093676D" w:rsidRPr="00CB4F2E" w:rsidRDefault="0093676D" w:rsidP="00D80992">
            <w:r w:rsidRPr="00CB4F2E">
              <w:t>1308</w:t>
            </w:r>
          </w:p>
        </w:tc>
        <w:tc>
          <w:tcPr>
            <w:tcW w:w="401" w:type="pct"/>
            <w:noWrap/>
            <w:vAlign w:val="bottom"/>
            <w:hideMark/>
          </w:tcPr>
          <w:p w14:paraId="3F827C68" w14:textId="77777777" w:rsidR="0093676D" w:rsidRPr="00CB4F2E" w:rsidRDefault="0093676D" w:rsidP="00D80992">
            <w:r w:rsidRPr="00CB4F2E">
              <w:t>844</w:t>
            </w:r>
          </w:p>
        </w:tc>
        <w:tc>
          <w:tcPr>
            <w:tcW w:w="411" w:type="pct"/>
            <w:noWrap/>
            <w:vAlign w:val="bottom"/>
            <w:hideMark/>
          </w:tcPr>
          <w:p w14:paraId="0BEB76C1" w14:textId="77777777" w:rsidR="0093676D" w:rsidRPr="00CB4F2E" w:rsidRDefault="0093676D" w:rsidP="00D80992">
            <w:r w:rsidRPr="00CB4F2E">
              <w:t>186</w:t>
            </w:r>
          </w:p>
        </w:tc>
        <w:tc>
          <w:tcPr>
            <w:tcW w:w="200" w:type="pct"/>
            <w:noWrap/>
            <w:vAlign w:val="bottom"/>
            <w:hideMark/>
          </w:tcPr>
          <w:p w14:paraId="63377CD7" w14:textId="77777777" w:rsidR="0093676D" w:rsidRPr="00CB4F2E" w:rsidRDefault="0093676D" w:rsidP="00D80992">
            <w:r w:rsidRPr="00CB4F2E">
              <w:t>683</w:t>
            </w:r>
          </w:p>
        </w:tc>
        <w:tc>
          <w:tcPr>
            <w:tcW w:w="200" w:type="pct"/>
            <w:noWrap/>
            <w:vAlign w:val="bottom"/>
            <w:hideMark/>
          </w:tcPr>
          <w:p w14:paraId="62BD1CD2" w14:textId="77777777" w:rsidR="0093676D" w:rsidRPr="00CB4F2E" w:rsidRDefault="0093676D" w:rsidP="00D80992">
            <w:r w:rsidRPr="00CB4F2E">
              <w:t>211</w:t>
            </w:r>
          </w:p>
        </w:tc>
        <w:tc>
          <w:tcPr>
            <w:tcW w:w="171" w:type="pct"/>
            <w:noWrap/>
            <w:vAlign w:val="bottom"/>
            <w:hideMark/>
          </w:tcPr>
          <w:p w14:paraId="0C078087" w14:textId="77777777" w:rsidR="0093676D" w:rsidRPr="00CB4F2E" w:rsidRDefault="0093676D" w:rsidP="00D80992">
            <w:r w:rsidRPr="00CB4F2E">
              <w:t>28</w:t>
            </w:r>
          </w:p>
        </w:tc>
        <w:tc>
          <w:tcPr>
            <w:tcW w:w="200" w:type="pct"/>
            <w:noWrap/>
            <w:vAlign w:val="bottom"/>
            <w:hideMark/>
          </w:tcPr>
          <w:p w14:paraId="16DA8586" w14:textId="77777777" w:rsidR="0093676D" w:rsidRPr="00CB4F2E" w:rsidRDefault="0093676D" w:rsidP="00D80992">
            <w:r w:rsidRPr="00CB4F2E">
              <w:t>17</w:t>
            </w:r>
          </w:p>
        </w:tc>
        <w:tc>
          <w:tcPr>
            <w:tcW w:w="349" w:type="pct"/>
            <w:noWrap/>
            <w:vAlign w:val="bottom"/>
            <w:hideMark/>
          </w:tcPr>
          <w:p w14:paraId="58412E49" w14:textId="77777777" w:rsidR="0093676D" w:rsidRPr="00CB4F2E" w:rsidRDefault="0093676D" w:rsidP="00D80992">
            <w:r w:rsidRPr="00CB4F2E">
              <w:t>165</w:t>
            </w:r>
          </w:p>
        </w:tc>
        <w:tc>
          <w:tcPr>
            <w:tcW w:w="486" w:type="pct"/>
            <w:noWrap/>
            <w:vAlign w:val="bottom"/>
            <w:hideMark/>
          </w:tcPr>
          <w:p w14:paraId="579980BB" w14:textId="77777777" w:rsidR="0093676D" w:rsidRPr="00CB4F2E" w:rsidRDefault="0093676D" w:rsidP="00D80992">
            <w:r w:rsidRPr="00CB4F2E">
              <w:t>0</w:t>
            </w:r>
          </w:p>
        </w:tc>
        <w:tc>
          <w:tcPr>
            <w:tcW w:w="450" w:type="pct"/>
            <w:noWrap/>
            <w:vAlign w:val="bottom"/>
            <w:hideMark/>
          </w:tcPr>
          <w:p w14:paraId="36EC7A73" w14:textId="77777777" w:rsidR="0093676D" w:rsidRPr="00CB4F2E" w:rsidRDefault="0093676D" w:rsidP="00D80992">
            <w:r w:rsidRPr="00CB4F2E">
              <w:t>6</w:t>
            </w:r>
          </w:p>
        </w:tc>
      </w:tr>
      <w:tr w:rsidR="0093676D" w:rsidRPr="00CB4F2E" w14:paraId="1FBB5E87" w14:textId="77777777" w:rsidTr="00D80992">
        <w:tc>
          <w:tcPr>
            <w:tcW w:w="962" w:type="pct"/>
            <w:noWrap/>
            <w:hideMark/>
          </w:tcPr>
          <w:p w14:paraId="24C62E6A" w14:textId="77777777" w:rsidR="0093676D" w:rsidRPr="00CB4F2E" w:rsidRDefault="0093676D" w:rsidP="00D80992">
            <w:r w:rsidRPr="00CB4F2E">
              <w:t>Viol</w:t>
            </w:r>
          </w:p>
        </w:tc>
        <w:tc>
          <w:tcPr>
            <w:tcW w:w="367" w:type="pct"/>
            <w:noWrap/>
            <w:vAlign w:val="bottom"/>
            <w:hideMark/>
          </w:tcPr>
          <w:p w14:paraId="61EF52A7" w14:textId="77777777" w:rsidR="0093676D" w:rsidRPr="00CB4F2E" w:rsidRDefault="0093676D" w:rsidP="00D80992">
            <w:r w:rsidRPr="00CB4F2E">
              <w:t>229</w:t>
            </w:r>
          </w:p>
        </w:tc>
        <w:tc>
          <w:tcPr>
            <w:tcW w:w="424" w:type="pct"/>
            <w:noWrap/>
            <w:vAlign w:val="bottom"/>
            <w:hideMark/>
          </w:tcPr>
          <w:p w14:paraId="3542A8B6" w14:textId="77777777" w:rsidR="0093676D" w:rsidRPr="00CB4F2E" w:rsidRDefault="0093676D" w:rsidP="00D80992">
            <w:r w:rsidRPr="00CB4F2E">
              <w:t>121</w:t>
            </w:r>
          </w:p>
        </w:tc>
        <w:tc>
          <w:tcPr>
            <w:tcW w:w="379" w:type="pct"/>
            <w:noWrap/>
            <w:vAlign w:val="bottom"/>
            <w:hideMark/>
          </w:tcPr>
          <w:p w14:paraId="594F1200" w14:textId="77777777" w:rsidR="0093676D" w:rsidRPr="00CB4F2E" w:rsidRDefault="0093676D" w:rsidP="00D80992">
            <w:r w:rsidRPr="00CB4F2E">
              <w:t>176</w:t>
            </w:r>
          </w:p>
        </w:tc>
        <w:tc>
          <w:tcPr>
            <w:tcW w:w="401" w:type="pct"/>
            <w:noWrap/>
            <w:vAlign w:val="bottom"/>
            <w:hideMark/>
          </w:tcPr>
          <w:p w14:paraId="49727991" w14:textId="77777777" w:rsidR="0093676D" w:rsidRPr="00CB4F2E" w:rsidRDefault="0093676D" w:rsidP="00D80992">
            <w:r w:rsidRPr="00CB4F2E">
              <w:t>155</w:t>
            </w:r>
          </w:p>
        </w:tc>
        <w:tc>
          <w:tcPr>
            <w:tcW w:w="411" w:type="pct"/>
            <w:noWrap/>
            <w:vAlign w:val="bottom"/>
            <w:hideMark/>
          </w:tcPr>
          <w:p w14:paraId="47AE9B46" w14:textId="77777777" w:rsidR="0093676D" w:rsidRPr="00CB4F2E" w:rsidRDefault="0093676D" w:rsidP="00D80992">
            <w:r w:rsidRPr="00CB4F2E">
              <w:t>22</w:t>
            </w:r>
          </w:p>
        </w:tc>
        <w:tc>
          <w:tcPr>
            <w:tcW w:w="200" w:type="pct"/>
            <w:noWrap/>
            <w:vAlign w:val="bottom"/>
            <w:hideMark/>
          </w:tcPr>
          <w:p w14:paraId="10879FFA" w14:textId="77777777" w:rsidR="0093676D" w:rsidRPr="00CB4F2E" w:rsidRDefault="0093676D" w:rsidP="00D80992">
            <w:r w:rsidRPr="00CB4F2E">
              <w:t>25</w:t>
            </w:r>
          </w:p>
        </w:tc>
        <w:tc>
          <w:tcPr>
            <w:tcW w:w="200" w:type="pct"/>
            <w:noWrap/>
            <w:vAlign w:val="bottom"/>
            <w:hideMark/>
          </w:tcPr>
          <w:p w14:paraId="3E11019A" w14:textId="77777777" w:rsidR="0093676D" w:rsidRPr="00CB4F2E" w:rsidRDefault="0093676D" w:rsidP="00D80992">
            <w:r w:rsidRPr="00CB4F2E">
              <w:t>124</w:t>
            </w:r>
          </w:p>
        </w:tc>
        <w:tc>
          <w:tcPr>
            <w:tcW w:w="171" w:type="pct"/>
            <w:noWrap/>
            <w:vAlign w:val="bottom"/>
            <w:hideMark/>
          </w:tcPr>
          <w:p w14:paraId="2D774B3C" w14:textId="77777777" w:rsidR="0093676D" w:rsidRPr="00CB4F2E" w:rsidRDefault="0093676D" w:rsidP="00D80992">
            <w:r w:rsidRPr="00CB4F2E">
              <w:t>6</w:t>
            </w:r>
          </w:p>
        </w:tc>
        <w:tc>
          <w:tcPr>
            <w:tcW w:w="200" w:type="pct"/>
            <w:noWrap/>
            <w:vAlign w:val="bottom"/>
            <w:hideMark/>
          </w:tcPr>
          <w:p w14:paraId="548E11EA" w14:textId="77777777" w:rsidR="0093676D" w:rsidRPr="00CB4F2E" w:rsidRDefault="0093676D" w:rsidP="00D80992">
            <w:r w:rsidRPr="00CB4F2E">
              <w:t>109</w:t>
            </w:r>
          </w:p>
        </w:tc>
        <w:tc>
          <w:tcPr>
            <w:tcW w:w="349" w:type="pct"/>
            <w:noWrap/>
            <w:vAlign w:val="bottom"/>
            <w:hideMark/>
          </w:tcPr>
          <w:p w14:paraId="69522508" w14:textId="77777777" w:rsidR="0093676D" w:rsidRPr="00CB4F2E" w:rsidRDefault="0093676D" w:rsidP="00D80992">
            <w:r w:rsidRPr="00CB4F2E">
              <w:t>19</w:t>
            </w:r>
          </w:p>
        </w:tc>
        <w:tc>
          <w:tcPr>
            <w:tcW w:w="486" w:type="pct"/>
            <w:noWrap/>
            <w:vAlign w:val="bottom"/>
            <w:hideMark/>
          </w:tcPr>
          <w:p w14:paraId="0F639ABF" w14:textId="77777777" w:rsidR="0093676D" w:rsidRPr="00CB4F2E" w:rsidRDefault="0093676D" w:rsidP="00D80992">
            <w:r w:rsidRPr="00CB4F2E">
              <w:t>0</w:t>
            </w:r>
          </w:p>
        </w:tc>
        <w:tc>
          <w:tcPr>
            <w:tcW w:w="450" w:type="pct"/>
            <w:noWrap/>
            <w:vAlign w:val="bottom"/>
            <w:hideMark/>
          </w:tcPr>
          <w:p w14:paraId="7B344802" w14:textId="77777777" w:rsidR="0093676D" w:rsidRPr="00CB4F2E" w:rsidRDefault="0093676D" w:rsidP="00D80992">
            <w:r w:rsidRPr="00CB4F2E">
              <w:t>0</w:t>
            </w:r>
          </w:p>
        </w:tc>
      </w:tr>
      <w:tr w:rsidR="0093676D" w:rsidRPr="00CB4F2E" w14:paraId="3865D3F6" w14:textId="77777777" w:rsidTr="00D80992">
        <w:tc>
          <w:tcPr>
            <w:tcW w:w="962" w:type="pct"/>
            <w:noWrap/>
            <w:hideMark/>
          </w:tcPr>
          <w:p w14:paraId="722626CC" w14:textId="0F235EC5" w:rsidR="0093676D" w:rsidRPr="00CB4F2E" w:rsidRDefault="0093676D" w:rsidP="00D80992">
            <w:r w:rsidRPr="00CB4F2E">
              <w:t>Arrestation et</w:t>
            </w:r>
            <w:r w:rsidR="0027203C">
              <w:t xml:space="preserve"> </w:t>
            </w:r>
            <w:r w:rsidRPr="00CB4F2E">
              <w:t xml:space="preserve">séquestration </w:t>
            </w:r>
          </w:p>
        </w:tc>
        <w:tc>
          <w:tcPr>
            <w:tcW w:w="367" w:type="pct"/>
            <w:noWrap/>
            <w:vAlign w:val="bottom"/>
            <w:hideMark/>
          </w:tcPr>
          <w:p w14:paraId="3CAB646F" w14:textId="77777777" w:rsidR="0093676D" w:rsidRPr="00CB4F2E" w:rsidRDefault="0093676D" w:rsidP="00D80992">
            <w:r w:rsidRPr="00CB4F2E">
              <w:t>0</w:t>
            </w:r>
          </w:p>
        </w:tc>
        <w:tc>
          <w:tcPr>
            <w:tcW w:w="424" w:type="pct"/>
            <w:noWrap/>
            <w:vAlign w:val="bottom"/>
            <w:hideMark/>
          </w:tcPr>
          <w:p w14:paraId="1638C7C6" w14:textId="77777777" w:rsidR="0093676D" w:rsidRPr="00CB4F2E" w:rsidRDefault="0093676D" w:rsidP="00D80992">
            <w:r w:rsidRPr="00CB4F2E">
              <w:t>50</w:t>
            </w:r>
          </w:p>
        </w:tc>
        <w:tc>
          <w:tcPr>
            <w:tcW w:w="379" w:type="pct"/>
            <w:noWrap/>
            <w:vAlign w:val="bottom"/>
            <w:hideMark/>
          </w:tcPr>
          <w:p w14:paraId="1B54BB6B" w14:textId="77777777" w:rsidR="0093676D" w:rsidRPr="00CB4F2E" w:rsidRDefault="0093676D" w:rsidP="00D80992">
            <w:r w:rsidRPr="00CB4F2E">
              <w:t>0</w:t>
            </w:r>
          </w:p>
        </w:tc>
        <w:tc>
          <w:tcPr>
            <w:tcW w:w="401" w:type="pct"/>
            <w:noWrap/>
            <w:vAlign w:val="bottom"/>
            <w:hideMark/>
          </w:tcPr>
          <w:p w14:paraId="1CA6AC19" w14:textId="77777777" w:rsidR="0093676D" w:rsidRPr="00CB4F2E" w:rsidRDefault="0093676D" w:rsidP="00D80992">
            <w:r w:rsidRPr="00CB4F2E">
              <w:t>0</w:t>
            </w:r>
          </w:p>
        </w:tc>
        <w:tc>
          <w:tcPr>
            <w:tcW w:w="411" w:type="pct"/>
            <w:noWrap/>
            <w:vAlign w:val="bottom"/>
            <w:hideMark/>
          </w:tcPr>
          <w:p w14:paraId="412505B6" w14:textId="77777777" w:rsidR="0093676D" w:rsidRPr="00CB4F2E" w:rsidRDefault="0093676D" w:rsidP="00D80992">
            <w:r w:rsidRPr="00CB4F2E">
              <w:t>0</w:t>
            </w:r>
          </w:p>
        </w:tc>
        <w:tc>
          <w:tcPr>
            <w:tcW w:w="200" w:type="pct"/>
            <w:noWrap/>
            <w:vAlign w:val="bottom"/>
            <w:hideMark/>
          </w:tcPr>
          <w:p w14:paraId="4458EDA9" w14:textId="77777777" w:rsidR="0093676D" w:rsidRPr="00CB4F2E" w:rsidRDefault="0093676D" w:rsidP="00D80992">
            <w:r w:rsidRPr="00CB4F2E">
              <w:t>0</w:t>
            </w:r>
          </w:p>
        </w:tc>
        <w:tc>
          <w:tcPr>
            <w:tcW w:w="200" w:type="pct"/>
            <w:noWrap/>
            <w:vAlign w:val="bottom"/>
            <w:hideMark/>
          </w:tcPr>
          <w:p w14:paraId="22A23E5E" w14:textId="77777777" w:rsidR="0093676D" w:rsidRPr="00CB4F2E" w:rsidRDefault="0093676D" w:rsidP="00D80992">
            <w:r w:rsidRPr="00CB4F2E">
              <w:t>0</w:t>
            </w:r>
          </w:p>
        </w:tc>
        <w:tc>
          <w:tcPr>
            <w:tcW w:w="171" w:type="pct"/>
            <w:noWrap/>
            <w:vAlign w:val="bottom"/>
            <w:hideMark/>
          </w:tcPr>
          <w:p w14:paraId="453F6B0C" w14:textId="77777777" w:rsidR="0093676D" w:rsidRPr="00CB4F2E" w:rsidRDefault="0093676D" w:rsidP="00D80992">
            <w:r w:rsidRPr="00CB4F2E">
              <w:t>0</w:t>
            </w:r>
          </w:p>
        </w:tc>
        <w:tc>
          <w:tcPr>
            <w:tcW w:w="200" w:type="pct"/>
            <w:noWrap/>
            <w:vAlign w:val="bottom"/>
            <w:hideMark/>
          </w:tcPr>
          <w:p w14:paraId="2CFA8F77" w14:textId="77777777" w:rsidR="0093676D" w:rsidRPr="00CB4F2E" w:rsidRDefault="0093676D" w:rsidP="00D80992">
            <w:r w:rsidRPr="00CB4F2E">
              <w:t>0</w:t>
            </w:r>
          </w:p>
        </w:tc>
        <w:tc>
          <w:tcPr>
            <w:tcW w:w="349" w:type="pct"/>
            <w:noWrap/>
            <w:vAlign w:val="bottom"/>
            <w:hideMark/>
          </w:tcPr>
          <w:p w14:paraId="235E957C" w14:textId="77777777" w:rsidR="0093676D" w:rsidRPr="00CB4F2E" w:rsidRDefault="0093676D" w:rsidP="00D80992">
            <w:r w:rsidRPr="00CB4F2E">
              <w:t>0</w:t>
            </w:r>
          </w:p>
        </w:tc>
        <w:tc>
          <w:tcPr>
            <w:tcW w:w="486" w:type="pct"/>
            <w:noWrap/>
            <w:vAlign w:val="bottom"/>
            <w:hideMark/>
          </w:tcPr>
          <w:p w14:paraId="7E9973EF" w14:textId="77777777" w:rsidR="0093676D" w:rsidRPr="00CB4F2E" w:rsidRDefault="0093676D" w:rsidP="00D80992">
            <w:r w:rsidRPr="00CB4F2E">
              <w:t>0</w:t>
            </w:r>
          </w:p>
        </w:tc>
        <w:tc>
          <w:tcPr>
            <w:tcW w:w="450" w:type="pct"/>
            <w:noWrap/>
            <w:vAlign w:val="bottom"/>
            <w:hideMark/>
          </w:tcPr>
          <w:p w14:paraId="60019960" w14:textId="77777777" w:rsidR="0093676D" w:rsidRPr="00CB4F2E" w:rsidRDefault="0093676D" w:rsidP="00D80992">
            <w:r w:rsidRPr="00CB4F2E">
              <w:t>0</w:t>
            </w:r>
          </w:p>
        </w:tc>
      </w:tr>
      <w:tr w:rsidR="0093676D" w:rsidRPr="00CB4F2E" w14:paraId="6311C41F" w14:textId="77777777" w:rsidTr="00D80992">
        <w:tc>
          <w:tcPr>
            <w:tcW w:w="962" w:type="pct"/>
            <w:noWrap/>
            <w:hideMark/>
          </w:tcPr>
          <w:p w14:paraId="35816746" w14:textId="77777777" w:rsidR="0093676D" w:rsidRPr="00CB4F2E" w:rsidRDefault="0093676D" w:rsidP="00D80992">
            <w:r w:rsidRPr="00CB4F2E">
              <w:lastRenderedPageBreak/>
              <w:t>Travail forcé</w:t>
            </w:r>
          </w:p>
        </w:tc>
        <w:tc>
          <w:tcPr>
            <w:tcW w:w="367" w:type="pct"/>
            <w:noWrap/>
            <w:vAlign w:val="bottom"/>
            <w:hideMark/>
          </w:tcPr>
          <w:p w14:paraId="4063B947" w14:textId="77777777" w:rsidR="0093676D" w:rsidRPr="00CB4F2E" w:rsidRDefault="0093676D" w:rsidP="00D80992">
            <w:r w:rsidRPr="00CB4F2E">
              <w:t>59</w:t>
            </w:r>
          </w:p>
        </w:tc>
        <w:tc>
          <w:tcPr>
            <w:tcW w:w="424" w:type="pct"/>
            <w:noWrap/>
            <w:vAlign w:val="bottom"/>
            <w:hideMark/>
          </w:tcPr>
          <w:p w14:paraId="4CC7B242" w14:textId="77777777" w:rsidR="0093676D" w:rsidRPr="00CB4F2E" w:rsidRDefault="0093676D" w:rsidP="00D80992">
            <w:r w:rsidRPr="00CB4F2E">
              <w:t>31</w:t>
            </w:r>
          </w:p>
        </w:tc>
        <w:tc>
          <w:tcPr>
            <w:tcW w:w="379" w:type="pct"/>
            <w:noWrap/>
            <w:vAlign w:val="bottom"/>
            <w:hideMark/>
          </w:tcPr>
          <w:p w14:paraId="240E632C" w14:textId="77777777" w:rsidR="0093676D" w:rsidRPr="00CB4F2E" w:rsidRDefault="0093676D" w:rsidP="00D80992">
            <w:r w:rsidRPr="00CB4F2E">
              <w:t>54</w:t>
            </w:r>
          </w:p>
        </w:tc>
        <w:tc>
          <w:tcPr>
            <w:tcW w:w="401" w:type="pct"/>
            <w:noWrap/>
            <w:vAlign w:val="bottom"/>
            <w:hideMark/>
          </w:tcPr>
          <w:p w14:paraId="56FF569D" w14:textId="77777777" w:rsidR="0093676D" w:rsidRPr="00CB4F2E" w:rsidRDefault="0093676D" w:rsidP="00D80992">
            <w:r w:rsidRPr="00CB4F2E">
              <w:t>47</w:t>
            </w:r>
          </w:p>
        </w:tc>
        <w:tc>
          <w:tcPr>
            <w:tcW w:w="411" w:type="pct"/>
            <w:noWrap/>
            <w:vAlign w:val="bottom"/>
            <w:hideMark/>
          </w:tcPr>
          <w:p w14:paraId="1CAAB7C1" w14:textId="77777777" w:rsidR="0093676D" w:rsidRPr="00CB4F2E" w:rsidRDefault="0093676D" w:rsidP="00D80992">
            <w:r w:rsidRPr="00CB4F2E">
              <w:t>7</w:t>
            </w:r>
          </w:p>
        </w:tc>
        <w:tc>
          <w:tcPr>
            <w:tcW w:w="200" w:type="pct"/>
            <w:noWrap/>
            <w:vAlign w:val="bottom"/>
            <w:hideMark/>
          </w:tcPr>
          <w:p w14:paraId="5C581E1C" w14:textId="77777777" w:rsidR="0093676D" w:rsidRPr="00CB4F2E" w:rsidRDefault="0093676D" w:rsidP="00D80992">
            <w:r w:rsidRPr="00CB4F2E">
              <w:t>34</w:t>
            </w:r>
          </w:p>
        </w:tc>
        <w:tc>
          <w:tcPr>
            <w:tcW w:w="200" w:type="pct"/>
            <w:noWrap/>
            <w:vAlign w:val="bottom"/>
            <w:hideMark/>
          </w:tcPr>
          <w:p w14:paraId="3B87FE73" w14:textId="77777777" w:rsidR="0093676D" w:rsidRPr="00CB4F2E" w:rsidRDefault="0093676D" w:rsidP="00D80992">
            <w:r w:rsidRPr="00CB4F2E">
              <w:t>14</w:t>
            </w:r>
          </w:p>
        </w:tc>
        <w:tc>
          <w:tcPr>
            <w:tcW w:w="171" w:type="pct"/>
            <w:noWrap/>
            <w:vAlign w:val="bottom"/>
            <w:hideMark/>
          </w:tcPr>
          <w:p w14:paraId="6B39594B" w14:textId="77777777" w:rsidR="0093676D" w:rsidRPr="00CB4F2E" w:rsidRDefault="0093676D" w:rsidP="00D80992">
            <w:r w:rsidRPr="00CB4F2E">
              <w:t>4</w:t>
            </w:r>
          </w:p>
        </w:tc>
        <w:tc>
          <w:tcPr>
            <w:tcW w:w="200" w:type="pct"/>
            <w:noWrap/>
            <w:vAlign w:val="bottom"/>
            <w:hideMark/>
          </w:tcPr>
          <w:p w14:paraId="12237215" w14:textId="77777777" w:rsidR="0093676D" w:rsidRPr="00CB4F2E" w:rsidRDefault="0093676D" w:rsidP="00D80992">
            <w:r w:rsidRPr="00CB4F2E">
              <w:t>9</w:t>
            </w:r>
          </w:p>
        </w:tc>
        <w:tc>
          <w:tcPr>
            <w:tcW w:w="349" w:type="pct"/>
            <w:noWrap/>
            <w:vAlign w:val="bottom"/>
            <w:hideMark/>
          </w:tcPr>
          <w:p w14:paraId="74DC4F64" w14:textId="77777777" w:rsidR="0093676D" w:rsidRPr="00CB4F2E" w:rsidRDefault="0093676D" w:rsidP="00D80992">
            <w:r w:rsidRPr="00CB4F2E">
              <w:t>15</w:t>
            </w:r>
          </w:p>
        </w:tc>
        <w:tc>
          <w:tcPr>
            <w:tcW w:w="486" w:type="pct"/>
            <w:noWrap/>
            <w:vAlign w:val="bottom"/>
            <w:hideMark/>
          </w:tcPr>
          <w:p w14:paraId="42DE9F45" w14:textId="77777777" w:rsidR="0093676D" w:rsidRPr="00CB4F2E" w:rsidRDefault="0093676D" w:rsidP="00D80992">
            <w:r w:rsidRPr="00CB4F2E">
              <w:t>0</w:t>
            </w:r>
          </w:p>
        </w:tc>
        <w:tc>
          <w:tcPr>
            <w:tcW w:w="450" w:type="pct"/>
            <w:noWrap/>
            <w:vAlign w:val="bottom"/>
            <w:hideMark/>
          </w:tcPr>
          <w:p w14:paraId="7191024A" w14:textId="77777777" w:rsidR="0093676D" w:rsidRPr="00CB4F2E" w:rsidRDefault="0093676D" w:rsidP="00D80992">
            <w:r w:rsidRPr="00CB4F2E">
              <w:t>1</w:t>
            </w:r>
          </w:p>
        </w:tc>
      </w:tr>
      <w:tr w:rsidR="0093676D" w:rsidRPr="00CB4F2E" w14:paraId="3B624772" w14:textId="77777777" w:rsidTr="00D80992">
        <w:tc>
          <w:tcPr>
            <w:tcW w:w="962" w:type="pct"/>
            <w:noWrap/>
            <w:hideMark/>
          </w:tcPr>
          <w:p w14:paraId="3B9DC130" w14:textId="77777777" w:rsidR="0093676D" w:rsidRPr="00CB4F2E" w:rsidRDefault="0093676D" w:rsidP="00D80992">
            <w:r w:rsidRPr="00CB4F2E">
              <w:t>Traite des personnes</w:t>
            </w:r>
          </w:p>
        </w:tc>
        <w:tc>
          <w:tcPr>
            <w:tcW w:w="367" w:type="pct"/>
            <w:noWrap/>
            <w:vAlign w:val="bottom"/>
            <w:hideMark/>
          </w:tcPr>
          <w:p w14:paraId="2E0925CE" w14:textId="77777777" w:rsidR="0093676D" w:rsidRPr="00CB4F2E" w:rsidRDefault="0093676D" w:rsidP="00D80992">
            <w:r w:rsidRPr="00CB4F2E">
              <w:t>6</w:t>
            </w:r>
          </w:p>
        </w:tc>
        <w:tc>
          <w:tcPr>
            <w:tcW w:w="424" w:type="pct"/>
            <w:noWrap/>
            <w:vAlign w:val="bottom"/>
            <w:hideMark/>
          </w:tcPr>
          <w:p w14:paraId="2FFC21BC" w14:textId="77777777" w:rsidR="0093676D" w:rsidRPr="00CB4F2E" w:rsidRDefault="0093676D" w:rsidP="00D80992">
            <w:r w:rsidRPr="00CB4F2E">
              <w:t>3</w:t>
            </w:r>
          </w:p>
        </w:tc>
        <w:tc>
          <w:tcPr>
            <w:tcW w:w="379" w:type="pct"/>
            <w:noWrap/>
            <w:vAlign w:val="bottom"/>
            <w:hideMark/>
          </w:tcPr>
          <w:p w14:paraId="76A6F13A" w14:textId="77777777" w:rsidR="0093676D" w:rsidRPr="00CB4F2E" w:rsidRDefault="0093676D" w:rsidP="00D80992">
            <w:r w:rsidRPr="00CB4F2E">
              <w:t>4</w:t>
            </w:r>
          </w:p>
        </w:tc>
        <w:tc>
          <w:tcPr>
            <w:tcW w:w="401" w:type="pct"/>
            <w:noWrap/>
            <w:vAlign w:val="bottom"/>
            <w:hideMark/>
          </w:tcPr>
          <w:p w14:paraId="7D81264B" w14:textId="77777777" w:rsidR="0093676D" w:rsidRPr="00CB4F2E" w:rsidRDefault="0093676D" w:rsidP="00D80992">
            <w:r w:rsidRPr="00CB4F2E">
              <w:t>4</w:t>
            </w:r>
          </w:p>
        </w:tc>
        <w:tc>
          <w:tcPr>
            <w:tcW w:w="411" w:type="pct"/>
            <w:noWrap/>
            <w:vAlign w:val="bottom"/>
            <w:hideMark/>
          </w:tcPr>
          <w:p w14:paraId="5EA6FE8F" w14:textId="77777777" w:rsidR="0093676D" w:rsidRPr="00CB4F2E" w:rsidRDefault="0093676D" w:rsidP="00D80992">
            <w:r w:rsidRPr="00CB4F2E">
              <w:t>2</w:t>
            </w:r>
          </w:p>
        </w:tc>
        <w:tc>
          <w:tcPr>
            <w:tcW w:w="200" w:type="pct"/>
            <w:noWrap/>
            <w:vAlign w:val="bottom"/>
            <w:hideMark/>
          </w:tcPr>
          <w:p w14:paraId="4780A2C5" w14:textId="77777777" w:rsidR="0093676D" w:rsidRPr="00CB4F2E" w:rsidRDefault="0093676D" w:rsidP="00D80992">
            <w:r w:rsidRPr="00CB4F2E">
              <w:t>1</w:t>
            </w:r>
          </w:p>
        </w:tc>
        <w:tc>
          <w:tcPr>
            <w:tcW w:w="200" w:type="pct"/>
            <w:noWrap/>
            <w:vAlign w:val="bottom"/>
            <w:hideMark/>
          </w:tcPr>
          <w:p w14:paraId="2CF12BD8" w14:textId="77777777" w:rsidR="0093676D" w:rsidRPr="00CB4F2E" w:rsidRDefault="0093676D" w:rsidP="00D80992">
            <w:r w:rsidRPr="00CB4F2E">
              <w:t>0</w:t>
            </w:r>
          </w:p>
        </w:tc>
        <w:tc>
          <w:tcPr>
            <w:tcW w:w="171" w:type="pct"/>
            <w:noWrap/>
            <w:vAlign w:val="bottom"/>
            <w:hideMark/>
          </w:tcPr>
          <w:p w14:paraId="3B2BD3DD" w14:textId="77777777" w:rsidR="0093676D" w:rsidRPr="00CB4F2E" w:rsidRDefault="0093676D" w:rsidP="00D80992">
            <w:r w:rsidRPr="00CB4F2E">
              <w:t>94</w:t>
            </w:r>
          </w:p>
        </w:tc>
        <w:tc>
          <w:tcPr>
            <w:tcW w:w="200" w:type="pct"/>
            <w:noWrap/>
            <w:vAlign w:val="bottom"/>
            <w:hideMark/>
          </w:tcPr>
          <w:p w14:paraId="1B6B8953" w14:textId="77777777" w:rsidR="0093676D" w:rsidRPr="00CB4F2E" w:rsidRDefault="0093676D" w:rsidP="00D80992">
            <w:r w:rsidRPr="00CB4F2E">
              <w:t>39</w:t>
            </w:r>
          </w:p>
        </w:tc>
        <w:tc>
          <w:tcPr>
            <w:tcW w:w="349" w:type="pct"/>
            <w:noWrap/>
            <w:vAlign w:val="bottom"/>
            <w:hideMark/>
          </w:tcPr>
          <w:p w14:paraId="077FE5EF" w14:textId="77777777" w:rsidR="0093676D" w:rsidRPr="00CB4F2E" w:rsidRDefault="0093676D" w:rsidP="00D80992">
            <w:r w:rsidRPr="00CB4F2E">
              <w:t>0</w:t>
            </w:r>
          </w:p>
        </w:tc>
        <w:tc>
          <w:tcPr>
            <w:tcW w:w="486" w:type="pct"/>
            <w:noWrap/>
            <w:vAlign w:val="bottom"/>
            <w:hideMark/>
          </w:tcPr>
          <w:p w14:paraId="50A4BED1" w14:textId="77777777" w:rsidR="0093676D" w:rsidRPr="00CB4F2E" w:rsidRDefault="0093676D" w:rsidP="00D80992">
            <w:r w:rsidRPr="00CB4F2E">
              <w:t>0</w:t>
            </w:r>
          </w:p>
        </w:tc>
        <w:tc>
          <w:tcPr>
            <w:tcW w:w="450" w:type="pct"/>
            <w:noWrap/>
            <w:vAlign w:val="bottom"/>
            <w:hideMark/>
          </w:tcPr>
          <w:p w14:paraId="5B392C38" w14:textId="77777777" w:rsidR="0093676D" w:rsidRPr="00CB4F2E" w:rsidRDefault="0093676D" w:rsidP="00D80992">
            <w:r w:rsidRPr="00CB4F2E">
              <w:t>0</w:t>
            </w:r>
          </w:p>
        </w:tc>
      </w:tr>
      <w:tr w:rsidR="0093676D" w:rsidRPr="00CB4F2E" w14:paraId="4B1C560F" w14:textId="77777777" w:rsidTr="00D80992">
        <w:tc>
          <w:tcPr>
            <w:tcW w:w="962" w:type="pct"/>
            <w:noWrap/>
            <w:hideMark/>
          </w:tcPr>
          <w:p w14:paraId="445BB7DB" w14:textId="77777777" w:rsidR="0093676D" w:rsidRPr="00CB4F2E" w:rsidRDefault="0093676D" w:rsidP="00D80992">
            <w:r w:rsidRPr="00CB4F2E">
              <w:t>Trafic des personnes</w:t>
            </w:r>
          </w:p>
        </w:tc>
        <w:tc>
          <w:tcPr>
            <w:tcW w:w="367" w:type="pct"/>
            <w:noWrap/>
            <w:vAlign w:val="bottom"/>
            <w:hideMark/>
          </w:tcPr>
          <w:p w14:paraId="0DA9256D" w14:textId="77777777" w:rsidR="0093676D" w:rsidRPr="00CB4F2E" w:rsidRDefault="0093676D" w:rsidP="00D80992">
            <w:r w:rsidRPr="00CB4F2E">
              <w:t>39</w:t>
            </w:r>
          </w:p>
        </w:tc>
        <w:tc>
          <w:tcPr>
            <w:tcW w:w="424" w:type="pct"/>
            <w:noWrap/>
            <w:vAlign w:val="bottom"/>
            <w:hideMark/>
          </w:tcPr>
          <w:p w14:paraId="2D0D8A69" w14:textId="77777777" w:rsidR="0093676D" w:rsidRPr="00CB4F2E" w:rsidRDefault="0093676D" w:rsidP="00D80992">
            <w:r w:rsidRPr="00CB4F2E">
              <w:t>24</w:t>
            </w:r>
          </w:p>
        </w:tc>
        <w:tc>
          <w:tcPr>
            <w:tcW w:w="379" w:type="pct"/>
            <w:noWrap/>
            <w:vAlign w:val="bottom"/>
            <w:hideMark/>
          </w:tcPr>
          <w:p w14:paraId="7B83A061" w14:textId="77777777" w:rsidR="0093676D" w:rsidRPr="00CB4F2E" w:rsidRDefault="0093676D" w:rsidP="00D80992">
            <w:r w:rsidRPr="00CB4F2E">
              <w:t>26</w:t>
            </w:r>
          </w:p>
        </w:tc>
        <w:tc>
          <w:tcPr>
            <w:tcW w:w="401" w:type="pct"/>
            <w:noWrap/>
            <w:vAlign w:val="bottom"/>
            <w:hideMark/>
          </w:tcPr>
          <w:p w14:paraId="03AC98F6" w14:textId="77777777" w:rsidR="0093676D" w:rsidRPr="00CB4F2E" w:rsidRDefault="0093676D" w:rsidP="00D80992">
            <w:r w:rsidRPr="00CB4F2E">
              <w:t>16</w:t>
            </w:r>
          </w:p>
        </w:tc>
        <w:tc>
          <w:tcPr>
            <w:tcW w:w="411" w:type="pct"/>
            <w:noWrap/>
            <w:vAlign w:val="bottom"/>
            <w:hideMark/>
          </w:tcPr>
          <w:p w14:paraId="0F74C241" w14:textId="77777777" w:rsidR="0093676D" w:rsidRPr="00CB4F2E" w:rsidRDefault="0093676D" w:rsidP="00D80992">
            <w:r w:rsidRPr="00CB4F2E">
              <w:t>10</w:t>
            </w:r>
          </w:p>
        </w:tc>
        <w:tc>
          <w:tcPr>
            <w:tcW w:w="200" w:type="pct"/>
            <w:noWrap/>
            <w:vAlign w:val="bottom"/>
            <w:hideMark/>
          </w:tcPr>
          <w:p w14:paraId="0D4CE386" w14:textId="77777777" w:rsidR="0093676D" w:rsidRPr="00CB4F2E" w:rsidRDefault="0093676D" w:rsidP="00D80992">
            <w:r w:rsidRPr="00CB4F2E">
              <w:t>7</w:t>
            </w:r>
          </w:p>
        </w:tc>
        <w:tc>
          <w:tcPr>
            <w:tcW w:w="200" w:type="pct"/>
            <w:noWrap/>
            <w:vAlign w:val="bottom"/>
            <w:hideMark/>
          </w:tcPr>
          <w:p w14:paraId="59C15017" w14:textId="77777777" w:rsidR="0093676D" w:rsidRPr="00CB4F2E" w:rsidRDefault="0093676D" w:rsidP="00D80992">
            <w:r w:rsidRPr="00CB4F2E">
              <w:t>4</w:t>
            </w:r>
          </w:p>
        </w:tc>
        <w:tc>
          <w:tcPr>
            <w:tcW w:w="171" w:type="pct"/>
            <w:noWrap/>
            <w:vAlign w:val="bottom"/>
            <w:hideMark/>
          </w:tcPr>
          <w:p w14:paraId="682A55F9" w14:textId="77777777" w:rsidR="0093676D" w:rsidRPr="00CB4F2E" w:rsidRDefault="0093676D" w:rsidP="00D80992">
            <w:r w:rsidRPr="00CB4F2E">
              <w:t>11</w:t>
            </w:r>
          </w:p>
        </w:tc>
        <w:tc>
          <w:tcPr>
            <w:tcW w:w="200" w:type="pct"/>
            <w:noWrap/>
            <w:vAlign w:val="bottom"/>
            <w:hideMark/>
          </w:tcPr>
          <w:p w14:paraId="3B312692" w14:textId="77777777" w:rsidR="0093676D" w:rsidRPr="00CB4F2E" w:rsidRDefault="0093676D" w:rsidP="00D80992">
            <w:r w:rsidRPr="00CB4F2E">
              <w:t>12</w:t>
            </w:r>
          </w:p>
        </w:tc>
        <w:tc>
          <w:tcPr>
            <w:tcW w:w="349" w:type="pct"/>
            <w:noWrap/>
            <w:vAlign w:val="bottom"/>
            <w:hideMark/>
          </w:tcPr>
          <w:p w14:paraId="67A18534" w14:textId="77777777" w:rsidR="0093676D" w:rsidRPr="00CB4F2E" w:rsidRDefault="0093676D" w:rsidP="00D80992">
            <w:r w:rsidRPr="00CB4F2E">
              <w:t>2</w:t>
            </w:r>
          </w:p>
        </w:tc>
        <w:tc>
          <w:tcPr>
            <w:tcW w:w="486" w:type="pct"/>
            <w:noWrap/>
            <w:vAlign w:val="bottom"/>
            <w:hideMark/>
          </w:tcPr>
          <w:p w14:paraId="3A8017BF" w14:textId="77777777" w:rsidR="0093676D" w:rsidRPr="00CB4F2E" w:rsidRDefault="0093676D" w:rsidP="00D80992">
            <w:r w:rsidRPr="00CB4F2E">
              <w:t>0</w:t>
            </w:r>
          </w:p>
        </w:tc>
        <w:tc>
          <w:tcPr>
            <w:tcW w:w="450" w:type="pct"/>
            <w:noWrap/>
            <w:vAlign w:val="bottom"/>
            <w:hideMark/>
          </w:tcPr>
          <w:p w14:paraId="5F1BDDE4" w14:textId="77777777" w:rsidR="0093676D" w:rsidRPr="00CB4F2E" w:rsidRDefault="0093676D" w:rsidP="00D80992">
            <w:r w:rsidRPr="00CB4F2E">
              <w:t>0</w:t>
            </w:r>
          </w:p>
        </w:tc>
      </w:tr>
      <w:tr w:rsidR="0093676D" w:rsidRPr="00CB4F2E" w14:paraId="2413192F" w14:textId="77777777" w:rsidTr="00D80992">
        <w:tc>
          <w:tcPr>
            <w:tcW w:w="962" w:type="pct"/>
            <w:noWrap/>
            <w:hideMark/>
          </w:tcPr>
          <w:p w14:paraId="191E5C50" w14:textId="77777777" w:rsidR="0093676D" w:rsidRPr="00CB4F2E" w:rsidRDefault="0093676D" w:rsidP="00D80992">
            <w:r w:rsidRPr="00CB4F2E">
              <w:t>Enlèvement de mineurs</w:t>
            </w:r>
          </w:p>
        </w:tc>
        <w:tc>
          <w:tcPr>
            <w:tcW w:w="367" w:type="pct"/>
            <w:noWrap/>
            <w:vAlign w:val="bottom"/>
            <w:hideMark/>
          </w:tcPr>
          <w:p w14:paraId="3CC81AE4" w14:textId="77777777" w:rsidR="0093676D" w:rsidRPr="00CB4F2E" w:rsidRDefault="0093676D" w:rsidP="00D80992">
            <w:r w:rsidRPr="00CB4F2E">
              <w:t>30</w:t>
            </w:r>
          </w:p>
        </w:tc>
        <w:tc>
          <w:tcPr>
            <w:tcW w:w="424" w:type="pct"/>
            <w:noWrap/>
            <w:vAlign w:val="bottom"/>
            <w:hideMark/>
          </w:tcPr>
          <w:p w14:paraId="63BC6EA6" w14:textId="77777777" w:rsidR="0093676D" w:rsidRPr="00CB4F2E" w:rsidRDefault="0093676D" w:rsidP="00D80992">
            <w:r w:rsidRPr="00CB4F2E">
              <w:t>25</w:t>
            </w:r>
          </w:p>
        </w:tc>
        <w:tc>
          <w:tcPr>
            <w:tcW w:w="379" w:type="pct"/>
            <w:noWrap/>
            <w:vAlign w:val="bottom"/>
            <w:hideMark/>
          </w:tcPr>
          <w:p w14:paraId="4EEDBDA1" w14:textId="77777777" w:rsidR="0093676D" w:rsidRPr="00CB4F2E" w:rsidRDefault="0093676D" w:rsidP="00D80992">
            <w:r w:rsidRPr="00CB4F2E">
              <w:t>22</w:t>
            </w:r>
          </w:p>
        </w:tc>
        <w:tc>
          <w:tcPr>
            <w:tcW w:w="401" w:type="pct"/>
            <w:noWrap/>
            <w:vAlign w:val="bottom"/>
            <w:hideMark/>
          </w:tcPr>
          <w:p w14:paraId="1190B5D6" w14:textId="77777777" w:rsidR="0093676D" w:rsidRPr="00CB4F2E" w:rsidRDefault="0093676D" w:rsidP="00D80992">
            <w:r w:rsidRPr="00CB4F2E">
              <w:t>17</w:t>
            </w:r>
          </w:p>
        </w:tc>
        <w:tc>
          <w:tcPr>
            <w:tcW w:w="411" w:type="pct"/>
            <w:noWrap/>
            <w:vAlign w:val="bottom"/>
            <w:hideMark/>
          </w:tcPr>
          <w:p w14:paraId="779C9F3E" w14:textId="77777777" w:rsidR="0093676D" w:rsidRPr="00CB4F2E" w:rsidRDefault="0093676D" w:rsidP="00D80992">
            <w:r w:rsidRPr="00CB4F2E">
              <w:t>8</w:t>
            </w:r>
          </w:p>
        </w:tc>
        <w:tc>
          <w:tcPr>
            <w:tcW w:w="200" w:type="pct"/>
            <w:noWrap/>
            <w:vAlign w:val="bottom"/>
            <w:hideMark/>
          </w:tcPr>
          <w:p w14:paraId="4E95F8D2" w14:textId="77777777" w:rsidR="0093676D" w:rsidRPr="00CB4F2E" w:rsidRDefault="0093676D" w:rsidP="00D80992">
            <w:r w:rsidRPr="00CB4F2E">
              <w:t>4</w:t>
            </w:r>
          </w:p>
        </w:tc>
        <w:tc>
          <w:tcPr>
            <w:tcW w:w="200" w:type="pct"/>
            <w:noWrap/>
            <w:vAlign w:val="bottom"/>
            <w:hideMark/>
          </w:tcPr>
          <w:p w14:paraId="6A776E52" w14:textId="77777777" w:rsidR="0093676D" w:rsidRPr="00CB4F2E" w:rsidRDefault="0093676D" w:rsidP="00D80992">
            <w:r w:rsidRPr="00CB4F2E">
              <w:t>2</w:t>
            </w:r>
          </w:p>
        </w:tc>
        <w:tc>
          <w:tcPr>
            <w:tcW w:w="171" w:type="pct"/>
            <w:noWrap/>
            <w:vAlign w:val="bottom"/>
            <w:hideMark/>
          </w:tcPr>
          <w:p w14:paraId="02D03E6C" w14:textId="77777777" w:rsidR="0093676D" w:rsidRPr="00CB4F2E" w:rsidRDefault="0093676D" w:rsidP="00D80992">
            <w:r w:rsidRPr="00CB4F2E">
              <w:t>3</w:t>
            </w:r>
          </w:p>
        </w:tc>
        <w:tc>
          <w:tcPr>
            <w:tcW w:w="200" w:type="pct"/>
            <w:noWrap/>
            <w:vAlign w:val="bottom"/>
            <w:hideMark/>
          </w:tcPr>
          <w:p w14:paraId="09F767AA" w14:textId="77777777" w:rsidR="0093676D" w:rsidRPr="00CB4F2E" w:rsidRDefault="0093676D" w:rsidP="00D80992">
            <w:r w:rsidRPr="00CB4F2E">
              <w:t>13</w:t>
            </w:r>
          </w:p>
        </w:tc>
        <w:tc>
          <w:tcPr>
            <w:tcW w:w="349" w:type="pct"/>
            <w:noWrap/>
            <w:vAlign w:val="bottom"/>
            <w:hideMark/>
          </w:tcPr>
          <w:p w14:paraId="7350A199" w14:textId="77777777" w:rsidR="0093676D" w:rsidRPr="00CB4F2E" w:rsidRDefault="0093676D" w:rsidP="00D80992">
            <w:r w:rsidRPr="00CB4F2E">
              <w:t>1</w:t>
            </w:r>
          </w:p>
        </w:tc>
        <w:tc>
          <w:tcPr>
            <w:tcW w:w="486" w:type="pct"/>
            <w:noWrap/>
            <w:vAlign w:val="bottom"/>
            <w:hideMark/>
          </w:tcPr>
          <w:p w14:paraId="77546E4B" w14:textId="77777777" w:rsidR="0093676D" w:rsidRPr="00CB4F2E" w:rsidRDefault="0093676D" w:rsidP="00D80992">
            <w:r w:rsidRPr="00CB4F2E">
              <w:t>0</w:t>
            </w:r>
          </w:p>
        </w:tc>
        <w:tc>
          <w:tcPr>
            <w:tcW w:w="450" w:type="pct"/>
            <w:noWrap/>
            <w:vAlign w:val="bottom"/>
            <w:hideMark/>
          </w:tcPr>
          <w:p w14:paraId="7D1830BF" w14:textId="77777777" w:rsidR="0093676D" w:rsidRPr="00CB4F2E" w:rsidRDefault="0093676D" w:rsidP="00D80992">
            <w:r w:rsidRPr="00CB4F2E">
              <w:t>1</w:t>
            </w:r>
          </w:p>
        </w:tc>
      </w:tr>
      <w:tr w:rsidR="0093676D" w:rsidRPr="00CB4F2E" w14:paraId="0032B261" w14:textId="77777777" w:rsidTr="00D80992">
        <w:tc>
          <w:tcPr>
            <w:tcW w:w="962" w:type="pct"/>
            <w:noWrap/>
            <w:hideMark/>
          </w:tcPr>
          <w:p w14:paraId="0BB9D50D" w14:textId="77777777" w:rsidR="0093676D" w:rsidRPr="00CB4F2E" w:rsidRDefault="0093676D" w:rsidP="00D80992">
            <w:r w:rsidRPr="00CB4F2E">
              <w:t>Enlèvement avec fraude ou violence</w:t>
            </w:r>
          </w:p>
        </w:tc>
        <w:tc>
          <w:tcPr>
            <w:tcW w:w="367" w:type="pct"/>
            <w:noWrap/>
            <w:vAlign w:val="bottom"/>
            <w:hideMark/>
          </w:tcPr>
          <w:p w14:paraId="732F174E" w14:textId="77777777" w:rsidR="0093676D" w:rsidRPr="00CB4F2E" w:rsidRDefault="0093676D" w:rsidP="00D80992">
            <w:r w:rsidRPr="00CB4F2E">
              <w:t>191</w:t>
            </w:r>
          </w:p>
        </w:tc>
        <w:tc>
          <w:tcPr>
            <w:tcW w:w="424" w:type="pct"/>
            <w:noWrap/>
            <w:vAlign w:val="bottom"/>
            <w:hideMark/>
          </w:tcPr>
          <w:p w14:paraId="709E0564" w14:textId="77777777" w:rsidR="0093676D" w:rsidRPr="00CB4F2E" w:rsidRDefault="0093676D" w:rsidP="00D80992">
            <w:r w:rsidRPr="00CB4F2E">
              <w:t>155</w:t>
            </w:r>
          </w:p>
        </w:tc>
        <w:tc>
          <w:tcPr>
            <w:tcW w:w="379" w:type="pct"/>
            <w:noWrap/>
            <w:vAlign w:val="bottom"/>
            <w:hideMark/>
          </w:tcPr>
          <w:p w14:paraId="7941C97B" w14:textId="77777777" w:rsidR="0093676D" w:rsidRPr="00CB4F2E" w:rsidRDefault="0093676D" w:rsidP="00D80992">
            <w:r w:rsidRPr="00CB4F2E">
              <w:t>128</w:t>
            </w:r>
          </w:p>
        </w:tc>
        <w:tc>
          <w:tcPr>
            <w:tcW w:w="401" w:type="pct"/>
            <w:noWrap/>
            <w:vAlign w:val="bottom"/>
            <w:hideMark/>
          </w:tcPr>
          <w:p w14:paraId="6BDB7322" w14:textId="77777777" w:rsidR="0093676D" w:rsidRPr="00CB4F2E" w:rsidRDefault="0093676D" w:rsidP="00D80992">
            <w:r w:rsidRPr="00CB4F2E">
              <w:t>83</w:t>
            </w:r>
          </w:p>
        </w:tc>
        <w:tc>
          <w:tcPr>
            <w:tcW w:w="411" w:type="pct"/>
            <w:noWrap/>
            <w:vAlign w:val="bottom"/>
            <w:hideMark/>
          </w:tcPr>
          <w:p w14:paraId="5CDCDE81" w14:textId="77777777" w:rsidR="0093676D" w:rsidRPr="00CB4F2E" w:rsidRDefault="0093676D" w:rsidP="00D80992">
            <w:r w:rsidRPr="00CB4F2E">
              <w:t>19</w:t>
            </w:r>
          </w:p>
        </w:tc>
        <w:tc>
          <w:tcPr>
            <w:tcW w:w="200" w:type="pct"/>
            <w:noWrap/>
            <w:vAlign w:val="bottom"/>
            <w:hideMark/>
          </w:tcPr>
          <w:p w14:paraId="2050DE25" w14:textId="77777777" w:rsidR="0093676D" w:rsidRPr="00CB4F2E" w:rsidRDefault="0093676D" w:rsidP="00D80992">
            <w:r w:rsidRPr="00CB4F2E">
              <w:t>2</w:t>
            </w:r>
          </w:p>
        </w:tc>
        <w:tc>
          <w:tcPr>
            <w:tcW w:w="200" w:type="pct"/>
            <w:noWrap/>
            <w:vAlign w:val="bottom"/>
            <w:hideMark/>
          </w:tcPr>
          <w:p w14:paraId="5966FEC4" w14:textId="77777777" w:rsidR="0093676D" w:rsidRPr="00CB4F2E" w:rsidRDefault="0093676D" w:rsidP="00D80992">
            <w:r w:rsidRPr="00CB4F2E">
              <w:t>30</w:t>
            </w:r>
          </w:p>
        </w:tc>
        <w:tc>
          <w:tcPr>
            <w:tcW w:w="171" w:type="pct"/>
            <w:noWrap/>
            <w:vAlign w:val="bottom"/>
            <w:hideMark/>
          </w:tcPr>
          <w:p w14:paraId="5F48906D" w14:textId="77777777" w:rsidR="0093676D" w:rsidRPr="00CB4F2E" w:rsidRDefault="0093676D" w:rsidP="00D80992">
            <w:r w:rsidRPr="00CB4F2E">
              <w:t>8</w:t>
            </w:r>
          </w:p>
        </w:tc>
        <w:tc>
          <w:tcPr>
            <w:tcW w:w="200" w:type="pct"/>
            <w:noWrap/>
            <w:vAlign w:val="bottom"/>
            <w:hideMark/>
          </w:tcPr>
          <w:p w14:paraId="7DD97CA9" w14:textId="77777777" w:rsidR="0093676D" w:rsidRPr="00CB4F2E" w:rsidRDefault="0093676D" w:rsidP="00D80992">
            <w:r w:rsidRPr="00CB4F2E">
              <w:t>91</w:t>
            </w:r>
          </w:p>
        </w:tc>
        <w:tc>
          <w:tcPr>
            <w:tcW w:w="349" w:type="pct"/>
            <w:noWrap/>
            <w:vAlign w:val="bottom"/>
            <w:hideMark/>
          </w:tcPr>
          <w:p w14:paraId="1B906226" w14:textId="77777777" w:rsidR="0093676D" w:rsidRPr="00CB4F2E" w:rsidRDefault="0093676D" w:rsidP="00D80992">
            <w:r w:rsidRPr="00CB4F2E">
              <w:t>17</w:t>
            </w:r>
          </w:p>
        </w:tc>
        <w:tc>
          <w:tcPr>
            <w:tcW w:w="486" w:type="pct"/>
            <w:noWrap/>
            <w:vAlign w:val="bottom"/>
            <w:hideMark/>
          </w:tcPr>
          <w:p w14:paraId="0D11FDEF" w14:textId="77777777" w:rsidR="0093676D" w:rsidRPr="00CB4F2E" w:rsidRDefault="0093676D" w:rsidP="00D80992">
            <w:r w:rsidRPr="00CB4F2E">
              <w:t>0</w:t>
            </w:r>
          </w:p>
        </w:tc>
        <w:tc>
          <w:tcPr>
            <w:tcW w:w="450" w:type="pct"/>
            <w:noWrap/>
            <w:vAlign w:val="bottom"/>
            <w:hideMark/>
          </w:tcPr>
          <w:p w14:paraId="06478129" w14:textId="77777777" w:rsidR="0093676D" w:rsidRPr="00CB4F2E" w:rsidRDefault="0093676D" w:rsidP="00D80992">
            <w:r w:rsidRPr="00CB4F2E">
              <w:t>2</w:t>
            </w:r>
          </w:p>
        </w:tc>
      </w:tr>
      <w:tr w:rsidR="0093676D" w:rsidRPr="00CB4F2E" w14:paraId="2EFDE136" w14:textId="77777777" w:rsidTr="00D80992">
        <w:tc>
          <w:tcPr>
            <w:tcW w:w="962" w:type="pct"/>
            <w:noWrap/>
            <w:hideMark/>
          </w:tcPr>
          <w:p w14:paraId="33F1D45C" w14:textId="77777777" w:rsidR="0093676D" w:rsidRPr="00CB4F2E" w:rsidRDefault="0093676D" w:rsidP="00D80992">
            <w:r w:rsidRPr="00CB4F2E">
              <w:t>Outrage à la pudeur de - 16 ans</w:t>
            </w:r>
          </w:p>
        </w:tc>
        <w:tc>
          <w:tcPr>
            <w:tcW w:w="367" w:type="pct"/>
            <w:noWrap/>
            <w:vAlign w:val="bottom"/>
            <w:hideMark/>
          </w:tcPr>
          <w:p w14:paraId="5F6C8BD6" w14:textId="77777777" w:rsidR="0093676D" w:rsidRPr="00CB4F2E" w:rsidRDefault="0093676D" w:rsidP="00D80992">
            <w:r w:rsidRPr="00CB4F2E">
              <w:t>132</w:t>
            </w:r>
          </w:p>
        </w:tc>
        <w:tc>
          <w:tcPr>
            <w:tcW w:w="424" w:type="pct"/>
            <w:noWrap/>
            <w:vAlign w:val="bottom"/>
            <w:hideMark/>
          </w:tcPr>
          <w:p w14:paraId="623D84BB" w14:textId="77777777" w:rsidR="0093676D" w:rsidRPr="00CB4F2E" w:rsidRDefault="0093676D" w:rsidP="00D80992">
            <w:r w:rsidRPr="00CB4F2E">
              <w:t>138</w:t>
            </w:r>
          </w:p>
        </w:tc>
        <w:tc>
          <w:tcPr>
            <w:tcW w:w="379" w:type="pct"/>
            <w:noWrap/>
            <w:vAlign w:val="bottom"/>
            <w:hideMark/>
          </w:tcPr>
          <w:p w14:paraId="6D19DAAA" w14:textId="77777777" w:rsidR="0093676D" w:rsidRPr="00CB4F2E" w:rsidRDefault="0093676D" w:rsidP="00D80992">
            <w:r w:rsidRPr="00CB4F2E">
              <w:t>125</w:t>
            </w:r>
          </w:p>
        </w:tc>
        <w:tc>
          <w:tcPr>
            <w:tcW w:w="401" w:type="pct"/>
            <w:noWrap/>
            <w:vAlign w:val="bottom"/>
            <w:hideMark/>
          </w:tcPr>
          <w:p w14:paraId="13E698B5" w14:textId="77777777" w:rsidR="0093676D" w:rsidRPr="00CB4F2E" w:rsidRDefault="0093676D" w:rsidP="00D80992">
            <w:r w:rsidRPr="00CB4F2E">
              <w:t>99</w:t>
            </w:r>
          </w:p>
        </w:tc>
        <w:tc>
          <w:tcPr>
            <w:tcW w:w="411" w:type="pct"/>
            <w:noWrap/>
            <w:vAlign w:val="bottom"/>
            <w:hideMark/>
          </w:tcPr>
          <w:p w14:paraId="107D0F6E" w14:textId="77777777" w:rsidR="0093676D" w:rsidRPr="00CB4F2E" w:rsidRDefault="0093676D" w:rsidP="00D80992">
            <w:r w:rsidRPr="00CB4F2E">
              <w:t>10</w:t>
            </w:r>
          </w:p>
        </w:tc>
        <w:tc>
          <w:tcPr>
            <w:tcW w:w="200" w:type="pct"/>
            <w:noWrap/>
            <w:vAlign w:val="bottom"/>
            <w:hideMark/>
          </w:tcPr>
          <w:p w14:paraId="28C5A0DD" w14:textId="77777777" w:rsidR="0093676D" w:rsidRPr="00CB4F2E" w:rsidRDefault="0093676D" w:rsidP="00D80992">
            <w:r w:rsidRPr="00CB4F2E">
              <w:t>0</w:t>
            </w:r>
          </w:p>
        </w:tc>
        <w:tc>
          <w:tcPr>
            <w:tcW w:w="200" w:type="pct"/>
            <w:noWrap/>
            <w:vAlign w:val="bottom"/>
            <w:hideMark/>
          </w:tcPr>
          <w:p w14:paraId="40B91713" w14:textId="77777777" w:rsidR="0093676D" w:rsidRPr="00CB4F2E" w:rsidRDefault="0093676D" w:rsidP="00D80992">
            <w:r w:rsidRPr="00CB4F2E">
              <w:t>1</w:t>
            </w:r>
          </w:p>
        </w:tc>
        <w:tc>
          <w:tcPr>
            <w:tcW w:w="171" w:type="pct"/>
            <w:noWrap/>
            <w:vAlign w:val="bottom"/>
            <w:hideMark/>
          </w:tcPr>
          <w:p w14:paraId="17B7171C" w14:textId="77777777" w:rsidR="0093676D" w:rsidRPr="00CB4F2E" w:rsidRDefault="0093676D" w:rsidP="00D80992">
            <w:r w:rsidRPr="00CB4F2E">
              <w:t>1</w:t>
            </w:r>
          </w:p>
        </w:tc>
        <w:tc>
          <w:tcPr>
            <w:tcW w:w="200" w:type="pct"/>
            <w:noWrap/>
            <w:vAlign w:val="bottom"/>
            <w:hideMark/>
          </w:tcPr>
          <w:p w14:paraId="65FE5387" w14:textId="77777777" w:rsidR="0093676D" w:rsidRPr="00CB4F2E" w:rsidRDefault="0093676D" w:rsidP="00D80992">
            <w:r w:rsidRPr="00CB4F2E">
              <w:t>154</w:t>
            </w:r>
          </w:p>
        </w:tc>
        <w:tc>
          <w:tcPr>
            <w:tcW w:w="349" w:type="pct"/>
            <w:noWrap/>
            <w:vAlign w:val="bottom"/>
            <w:hideMark/>
          </w:tcPr>
          <w:p w14:paraId="68D75162" w14:textId="77777777" w:rsidR="0093676D" w:rsidRPr="00CB4F2E" w:rsidRDefault="0093676D" w:rsidP="00D80992">
            <w:r w:rsidRPr="00CB4F2E">
              <w:t>8</w:t>
            </w:r>
          </w:p>
        </w:tc>
        <w:tc>
          <w:tcPr>
            <w:tcW w:w="486" w:type="pct"/>
            <w:noWrap/>
            <w:vAlign w:val="bottom"/>
            <w:hideMark/>
          </w:tcPr>
          <w:p w14:paraId="275A19A9" w14:textId="77777777" w:rsidR="0093676D" w:rsidRPr="00CB4F2E" w:rsidRDefault="0093676D" w:rsidP="00D80992">
            <w:r w:rsidRPr="00CB4F2E">
              <w:t>0</w:t>
            </w:r>
          </w:p>
        </w:tc>
        <w:tc>
          <w:tcPr>
            <w:tcW w:w="450" w:type="pct"/>
            <w:noWrap/>
            <w:vAlign w:val="bottom"/>
            <w:hideMark/>
          </w:tcPr>
          <w:p w14:paraId="469721F0" w14:textId="77777777" w:rsidR="0093676D" w:rsidRPr="00CB4F2E" w:rsidRDefault="0093676D" w:rsidP="00D80992">
            <w:r w:rsidRPr="00CB4F2E">
              <w:t>4</w:t>
            </w:r>
          </w:p>
        </w:tc>
      </w:tr>
      <w:tr w:rsidR="0093676D" w:rsidRPr="00CB4F2E" w14:paraId="07E4F32F" w14:textId="77777777" w:rsidTr="00D80992">
        <w:tc>
          <w:tcPr>
            <w:tcW w:w="962" w:type="pct"/>
            <w:noWrap/>
            <w:hideMark/>
          </w:tcPr>
          <w:p w14:paraId="5CB5931B" w14:textId="77777777" w:rsidR="0093676D" w:rsidRPr="00CB4F2E" w:rsidRDefault="0093676D" w:rsidP="00D80992">
            <w:r w:rsidRPr="00CB4F2E">
              <w:t>Outrage à la pudeur 16- 21 ans</w:t>
            </w:r>
          </w:p>
        </w:tc>
        <w:tc>
          <w:tcPr>
            <w:tcW w:w="367" w:type="pct"/>
            <w:noWrap/>
            <w:vAlign w:val="bottom"/>
            <w:hideMark/>
          </w:tcPr>
          <w:p w14:paraId="3CD95F61" w14:textId="77777777" w:rsidR="0093676D" w:rsidRPr="00CB4F2E" w:rsidRDefault="0093676D" w:rsidP="00D80992">
            <w:r w:rsidRPr="00CB4F2E">
              <w:t>14</w:t>
            </w:r>
          </w:p>
        </w:tc>
        <w:tc>
          <w:tcPr>
            <w:tcW w:w="424" w:type="pct"/>
            <w:noWrap/>
            <w:vAlign w:val="bottom"/>
            <w:hideMark/>
          </w:tcPr>
          <w:p w14:paraId="7A2CEDA4" w14:textId="77777777" w:rsidR="0093676D" w:rsidRPr="00CB4F2E" w:rsidRDefault="0093676D" w:rsidP="00D80992">
            <w:r w:rsidRPr="00CB4F2E">
              <w:t>5</w:t>
            </w:r>
          </w:p>
        </w:tc>
        <w:tc>
          <w:tcPr>
            <w:tcW w:w="379" w:type="pct"/>
            <w:noWrap/>
            <w:vAlign w:val="bottom"/>
            <w:hideMark/>
          </w:tcPr>
          <w:p w14:paraId="28A5B1E1" w14:textId="77777777" w:rsidR="0093676D" w:rsidRPr="00CB4F2E" w:rsidRDefault="0093676D" w:rsidP="00D80992">
            <w:r w:rsidRPr="00CB4F2E">
              <w:t>12</w:t>
            </w:r>
          </w:p>
        </w:tc>
        <w:tc>
          <w:tcPr>
            <w:tcW w:w="401" w:type="pct"/>
            <w:noWrap/>
            <w:vAlign w:val="bottom"/>
            <w:hideMark/>
          </w:tcPr>
          <w:p w14:paraId="77A5BD9B" w14:textId="77777777" w:rsidR="0093676D" w:rsidRPr="00CB4F2E" w:rsidRDefault="0093676D" w:rsidP="00D80992">
            <w:r w:rsidRPr="00CB4F2E">
              <w:t>5</w:t>
            </w:r>
          </w:p>
        </w:tc>
        <w:tc>
          <w:tcPr>
            <w:tcW w:w="411" w:type="pct"/>
            <w:noWrap/>
            <w:vAlign w:val="bottom"/>
            <w:hideMark/>
          </w:tcPr>
          <w:p w14:paraId="2C67DE58" w14:textId="77777777" w:rsidR="0093676D" w:rsidRPr="00CB4F2E" w:rsidRDefault="0093676D" w:rsidP="00D80992">
            <w:r w:rsidRPr="00CB4F2E">
              <w:t>2</w:t>
            </w:r>
          </w:p>
        </w:tc>
        <w:tc>
          <w:tcPr>
            <w:tcW w:w="200" w:type="pct"/>
            <w:noWrap/>
            <w:vAlign w:val="bottom"/>
            <w:hideMark/>
          </w:tcPr>
          <w:p w14:paraId="27C99356" w14:textId="77777777" w:rsidR="0093676D" w:rsidRPr="00CB4F2E" w:rsidRDefault="0093676D" w:rsidP="00D80992">
            <w:r w:rsidRPr="00CB4F2E">
              <w:t>0</w:t>
            </w:r>
          </w:p>
        </w:tc>
        <w:tc>
          <w:tcPr>
            <w:tcW w:w="200" w:type="pct"/>
            <w:noWrap/>
            <w:vAlign w:val="bottom"/>
            <w:hideMark/>
          </w:tcPr>
          <w:p w14:paraId="7B261B03" w14:textId="77777777" w:rsidR="0093676D" w:rsidRPr="00CB4F2E" w:rsidRDefault="0093676D" w:rsidP="00D80992">
            <w:r w:rsidRPr="00CB4F2E">
              <w:t>8</w:t>
            </w:r>
          </w:p>
        </w:tc>
        <w:tc>
          <w:tcPr>
            <w:tcW w:w="171" w:type="pct"/>
            <w:noWrap/>
            <w:vAlign w:val="bottom"/>
            <w:hideMark/>
          </w:tcPr>
          <w:p w14:paraId="7FE73AF2" w14:textId="77777777" w:rsidR="0093676D" w:rsidRPr="00CB4F2E" w:rsidRDefault="0093676D" w:rsidP="00D80992">
            <w:r w:rsidRPr="00CB4F2E">
              <w:t>0</w:t>
            </w:r>
          </w:p>
        </w:tc>
        <w:tc>
          <w:tcPr>
            <w:tcW w:w="200" w:type="pct"/>
            <w:noWrap/>
            <w:vAlign w:val="bottom"/>
            <w:hideMark/>
          </w:tcPr>
          <w:p w14:paraId="64CD55AA" w14:textId="77777777" w:rsidR="0093676D" w:rsidRPr="00CB4F2E" w:rsidRDefault="0093676D" w:rsidP="00D80992">
            <w:r w:rsidRPr="00CB4F2E">
              <w:t>3</w:t>
            </w:r>
          </w:p>
        </w:tc>
        <w:tc>
          <w:tcPr>
            <w:tcW w:w="349" w:type="pct"/>
            <w:noWrap/>
            <w:vAlign w:val="bottom"/>
            <w:hideMark/>
          </w:tcPr>
          <w:p w14:paraId="345C4F6C" w14:textId="77777777" w:rsidR="0093676D" w:rsidRPr="00CB4F2E" w:rsidRDefault="0093676D" w:rsidP="00D80992">
            <w:r w:rsidRPr="00CB4F2E">
              <w:t>0</w:t>
            </w:r>
          </w:p>
        </w:tc>
        <w:tc>
          <w:tcPr>
            <w:tcW w:w="486" w:type="pct"/>
            <w:noWrap/>
            <w:vAlign w:val="bottom"/>
            <w:hideMark/>
          </w:tcPr>
          <w:p w14:paraId="545FB4F4" w14:textId="77777777" w:rsidR="0093676D" w:rsidRPr="00CB4F2E" w:rsidRDefault="0093676D" w:rsidP="00D80992">
            <w:r w:rsidRPr="00CB4F2E">
              <w:t>0</w:t>
            </w:r>
          </w:p>
        </w:tc>
        <w:tc>
          <w:tcPr>
            <w:tcW w:w="450" w:type="pct"/>
            <w:noWrap/>
            <w:vAlign w:val="bottom"/>
            <w:hideMark/>
          </w:tcPr>
          <w:p w14:paraId="76ADE2DB" w14:textId="77777777" w:rsidR="0093676D" w:rsidRPr="00CB4F2E" w:rsidRDefault="0093676D" w:rsidP="00D80992">
            <w:r w:rsidRPr="00CB4F2E">
              <w:t>1</w:t>
            </w:r>
          </w:p>
        </w:tc>
      </w:tr>
      <w:tr w:rsidR="0093676D" w:rsidRPr="00CB4F2E" w14:paraId="5C2D4379" w14:textId="77777777" w:rsidTr="00D80992">
        <w:tc>
          <w:tcPr>
            <w:tcW w:w="962" w:type="pct"/>
            <w:noWrap/>
            <w:hideMark/>
          </w:tcPr>
          <w:p w14:paraId="7551FCDB" w14:textId="77777777" w:rsidR="0093676D" w:rsidRPr="00CB4F2E" w:rsidRDefault="0093676D" w:rsidP="00D80992">
            <w:r w:rsidRPr="00CB4F2E">
              <w:t>Mariage forcé</w:t>
            </w:r>
          </w:p>
        </w:tc>
        <w:tc>
          <w:tcPr>
            <w:tcW w:w="367" w:type="pct"/>
            <w:noWrap/>
            <w:vAlign w:val="bottom"/>
            <w:hideMark/>
          </w:tcPr>
          <w:p w14:paraId="655E52E5" w14:textId="77777777" w:rsidR="0093676D" w:rsidRPr="00CB4F2E" w:rsidRDefault="0093676D" w:rsidP="00D80992">
            <w:r w:rsidRPr="00CB4F2E">
              <w:t>3</w:t>
            </w:r>
          </w:p>
        </w:tc>
        <w:tc>
          <w:tcPr>
            <w:tcW w:w="424" w:type="pct"/>
            <w:noWrap/>
            <w:vAlign w:val="bottom"/>
            <w:hideMark/>
          </w:tcPr>
          <w:p w14:paraId="6E9F0669" w14:textId="77777777" w:rsidR="0093676D" w:rsidRPr="00CB4F2E" w:rsidRDefault="0093676D" w:rsidP="00D80992">
            <w:r w:rsidRPr="00CB4F2E">
              <w:t>1</w:t>
            </w:r>
          </w:p>
        </w:tc>
        <w:tc>
          <w:tcPr>
            <w:tcW w:w="379" w:type="pct"/>
            <w:noWrap/>
            <w:vAlign w:val="bottom"/>
            <w:hideMark/>
          </w:tcPr>
          <w:p w14:paraId="65C5E793" w14:textId="77777777" w:rsidR="0093676D" w:rsidRPr="00CB4F2E" w:rsidRDefault="0093676D" w:rsidP="00D80992">
            <w:r w:rsidRPr="00CB4F2E">
              <w:t>2</w:t>
            </w:r>
          </w:p>
        </w:tc>
        <w:tc>
          <w:tcPr>
            <w:tcW w:w="401" w:type="pct"/>
            <w:noWrap/>
            <w:vAlign w:val="bottom"/>
            <w:hideMark/>
          </w:tcPr>
          <w:p w14:paraId="7451CEF0" w14:textId="77777777" w:rsidR="0093676D" w:rsidRPr="00CB4F2E" w:rsidRDefault="0093676D" w:rsidP="00D80992">
            <w:r w:rsidRPr="00CB4F2E">
              <w:t>2</w:t>
            </w:r>
          </w:p>
        </w:tc>
        <w:tc>
          <w:tcPr>
            <w:tcW w:w="411" w:type="pct"/>
            <w:noWrap/>
            <w:vAlign w:val="bottom"/>
            <w:hideMark/>
          </w:tcPr>
          <w:p w14:paraId="017CB38B" w14:textId="77777777" w:rsidR="0093676D" w:rsidRPr="00CB4F2E" w:rsidRDefault="0093676D" w:rsidP="00D80992">
            <w:r w:rsidRPr="00CB4F2E">
              <w:t>0</w:t>
            </w:r>
          </w:p>
        </w:tc>
        <w:tc>
          <w:tcPr>
            <w:tcW w:w="200" w:type="pct"/>
            <w:noWrap/>
            <w:vAlign w:val="bottom"/>
            <w:hideMark/>
          </w:tcPr>
          <w:p w14:paraId="280093C5" w14:textId="77777777" w:rsidR="0093676D" w:rsidRPr="00CB4F2E" w:rsidRDefault="0093676D" w:rsidP="00D80992">
            <w:r w:rsidRPr="00CB4F2E">
              <w:t>0</w:t>
            </w:r>
          </w:p>
        </w:tc>
        <w:tc>
          <w:tcPr>
            <w:tcW w:w="200" w:type="pct"/>
            <w:noWrap/>
            <w:vAlign w:val="bottom"/>
            <w:hideMark/>
          </w:tcPr>
          <w:p w14:paraId="3931AFDB" w14:textId="77777777" w:rsidR="0093676D" w:rsidRPr="00CB4F2E" w:rsidRDefault="0093676D" w:rsidP="00D80992">
            <w:r w:rsidRPr="00CB4F2E">
              <w:t>1</w:t>
            </w:r>
          </w:p>
        </w:tc>
        <w:tc>
          <w:tcPr>
            <w:tcW w:w="171" w:type="pct"/>
            <w:noWrap/>
            <w:vAlign w:val="bottom"/>
            <w:hideMark/>
          </w:tcPr>
          <w:p w14:paraId="423427E2" w14:textId="77777777" w:rsidR="0093676D" w:rsidRPr="00CB4F2E" w:rsidRDefault="0093676D" w:rsidP="00D80992">
            <w:r w:rsidRPr="00CB4F2E">
              <w:t>0</w:t>
            </w:r>
          </w:p>
        </w:tc>
        <w:tc>
          <w:tcPr>
            <w:tcW w:w="200" w:type="pct"/>
            <w:noWrap/>
            <w:vAlign w:val="bottom"/>
            <w:hideMark/>
          </w:tcPr>
          <w:p w14:paraId="65EAD7A0" w14:textId="77777777" w:rsidR="0093676D" w:rsidRPr="00CB4F2E" w:rsidRDefault="0093676D" w:rsidP="00D80992">
            <w:r w:rsidRPr="00CB4F2E">
              <w:t>0</w:t>
            </w:r>
          </w:p>
        </w:tc>
        <w:tc>
          <w:tcPr>
            <w:tcW w:w="349" w:type="pct"/>
            <w:noWrap/>
            <w:vAlign w:val="bottom"/>
            <w:hideMark/>
          </w:tcPr>
          <w:p w14:paraId="7D5EFCBF" w14:textId="77777777" w:rsidR="0093676D" w:rsidRPr="00CB4F2E" w:rsidRDefault="0093676D" w:rsidP="00D80992">
            <w:r w:rsidRPr="00CB4F2E">
              <w:t>0</w:t>
            </w:r>
          </w:p>
        </w:tc>
        <w:tc>
          <w:tcPr>
            <w:tcW w:w="486" w:type="pct"/>
            <w:noWrap/>
            <w:vAlign w:val="bottom"/>
            <w:hideMark/>
          </w:tcPr>
          <w:p w14:paraId="4013339B" w14:textId="77777777" w:rsidR="0093676D" w:rsidRPr="00CB4F2E" w:rsidRDefault="0093676D" w:rsidP="00D80992">
            <w:r w:rsidRPr="00CB4F2E">
              <w:t>0</w:t>
            </w:r>
          </w:p>
        </w:tc>
        <w:tc>
          <w:tcPr>
            <w:tcW w:w="450" w:type="pct"/>
            <w:noWrap/>
            <w:vAlign w:val="bottom"/>
            <w:hideMark/>
          </w:tcPr>
          <w:p w14:paraId="3BAFA3D7" w14:textId="77777777" w:rsidR="0093676D" w:rsidRPr="00CB4F2E" w:rsidRDefault="0093676D" w:rsidP="00D80992">
            <w:r w:rsidRPr="00CB4F2E">
              <w:t>0</w:t>
            </w:r>
          </w:p>
        </w:tc>
      </w:tr>
      <w:tr w:rsidR="0093676D" w:rsidRPr="00CB4F2E" w14:paraId="6874153C" w14:textId="77777777" w:rsidTr="00D80992">
        <w:tc>
          <w:tcPr>
            <w:tcW w:w="962" w:type="pct"/>
            <w:noWrap/>
            <w:hideMark/>
          </w:tcPr>
          <w:p w14:paraId="4F826707" w14:textId="77777777" w:rsidR="0093676D" w:rsidRPr="00CB4F2E" w:rsidRDefault="0093676D" w:rsidP="00D80992">
            <w:r w:rsidRPr="00CB4F2E">
              <w:t>Prostitution</w:t>
            </w:r>
          </w:p>
        </w:tc>
        <w:tc>
          <w:tcPr>
            <w:tcW w:w="367" w:type="pct"/>
            <w:noWrap/>
            <w:vAlign w:val="bottom"/>
            <w:hideMark/>
          </w:tcPr>
          <w:p w14:paraId="58B74ADD" w14:textId="77777777" w:rsidR="0093676D" w:rsidRPr="00CB4F2E" w:rsidRDefault="0093676D" w:rsidP="00D80992">
            <w:r w:rsidRPr="00CB4F2E">
              <w:t>7</w:t>
            </w:r>
          </w:p>
        </w:tc>
        <w:tc>
          <w:tcPr>
            <w:tcW w:w="424" w:type="pct"/>
            <w:noWrap/>
            <w:vAlign w:val="bottom"/>
            <w:hideMark/>
          </w:tcPr>
          <w:p w14:paraId="0ABFD987" w14:textId="77777777" w:rsidR="0093676D" w:rsidRPr="00CB4F2E" w:rsidRDefault="0093676D" w:rsidP="00D80992">
            <w:r w:rsidRPr="00CB4F2E">
              <w:t>1</w:t>
            </w:r>
          </w:p>
        </w:tc>
        <w:tc>
          <w:tcPr>
            <w:tcW w:w="379" w:type="pct"/>
            <w:noWrap/>
            <w:vAlign w:val="bottom"/>
            <w:hideMark/>
          </w:tcPr>
          <w:p w14:paraId="7D08D054" w14:textId="77777777" w:rsidR="0093676D" w:rsidRPr="00CB4F2E" w:rsidRDefault="0093676D" w:rsidP="00D80992">
            <w:r w:rsidRPr="00CB4F2E">
              <w:t>8</w:t>
            </w:r>
          </w:p>
        </w:tc>
        <w:tc>
          <w:tcPr>
            <w:tcW w:w="401" w:type="pct"/>
            <w:noWrap/>
            <w:vAlign w:val="bottom"/>
            <w:hideMark/>
          </w:tcPr>
          <w:p w14:paraId="562D20DF" w14:textId="77777777" w:rsidR="0093676D" w:rsidRPr="00CB4F2E" w:rsidRDefault="0093676D" w:rsidP="00D80992">
            <w:r w:rsidRPr="00CB4F2E">
              <w:t>2</w:t>
            </w:r>
          </w:p>
        </w:tc>
        <w:tc>
          <w:tcPr>
            <w:tcW w:w="411" w:type="pct"/>
            <w:noWrap/>
            <w:vAlign w:val="bottom"/>
            <w:hideMark/>
          </w:tcPr>
          <w:p w14:paraId="1C52FCAE" w14:textId="77777777" w:rsidR="0093676D" w:rsidRPr="00CB4F2E" w:rsidRDefault="0093676D" w:rsidP="00D80992">
            <w:r w:rsidRPr="00CB4F2E">
              <w:t>2</w:t>
            </w:r>
          </w:p>
        </w:tc>
        <w:tc>
          <w:tcPr>
            <w:tcW w:w="200" w:type="pct"/>
            <w:noWrap/>
            <w:vAlign w:val="bottom"/>
            <w:hideMark/>
          </w:tcPr>
          <w:p w14:paraId="36B467BE" w14:textId="77777777" w:rsidR="0093676D" w:rsidRPr="00CB4F2E" w:rsidRDefault="0093676D" w:rsidP="00D80992">
            <w:r w:rsidRPr="00CB4F2E">
              <w:t>1</w:t>
            </w:r>
          </w:p>
        </w:tc>
        <w:tc>
          <w:tcPr>
            <w:tcW w:w="200" w:type="pct"/>
            <w:noWrap/>
            <w:vAlign w:val="bottom"/>
            <w:hideMark/>
          </w:tcPr>
          <w:p w14:paraId="41FCB745" w14:textId="77777777" w:rsidR="0093676D" w:rsidRPr="00CB4F2E" w:rsidRDefault="0093676D" w:rsidP="00D80992">
            <w:r w:rsidRPr="00CB4F2E">
              <w:t>2</w:t>
            </w:r>
          </w:p>
        </w:tc>
        <w:tc>
          <w:tcPr>
            <w:tcW w:w="171" w:type="pct"/>
            <w:noWrap/>
            <w:vAlign w:val="bottom"/>
            <w:hideMark/>
          </w:tcPr>
          <w:p w14:paraId="170FA457" w14:textId="77777777" w:rsidR="0093676D" w:rsidRPr="00CB4F2E" w:rsidRDefault="0093676D" w:rsidP="00D80992">
            <w:r w:rsidRPr="00CB4F2E">
              <w:t>0</w:t>
            </w:r>
          </w:p>
        </w:tc>
        <w:tc>
          <w:tcPr>
            <w:tcW w:w="200" w:type="pct"/>
            <w:noWrap/>
            <w:vAlign w:val="bottom"/>
            <w:hideMark/>
          </w:tcPr>
          <w:p w14:paraId="4E206204" w14:textId="77777777" w:rsidR="0093676D" w:rsidRPr="00CB4F2E" w:rsidRDefault="0093676D" w:rsidP="00D80992">
            <w:r w:rsidRPr="00CB4F2E">
              <w:t>0</w:t>
            </w:r>
          </w:p>
        </w:tc>
        <w:tc>
          <w:tcPr>
            <w:tcW w:w="349" w:type="pct"/>
            <w:noWrap/>
            <w:vAlign w:val="bottom"/>
            <w:hideMark/>
          </w:tcPr>
          <w:p w14:paraId="4B5D0713" w14:textId="77777777" w:rsidR="0093676D" w:rsidRPr="00CB4F2E" w:rsidRDefault="0093676D" w:rsidP="00D80992">
            <w:r w:rsidRPr="00CB4F2E">
              <w:t>0</w:t>
            </w:r>
          </w:p>
        </w:tc>
        <w:tc>
          <w:tcPr>
            <w:tcW w:w="486" w:type="pct"/>
            <w:noWrap/>
            <w:vAlign w:val="bottom"/>
            <w:hideMark/>
          </w:tcPr>
          <w:p w14:paraId="4AE532A7" w14:textId="77777777" w:rsidR="0093676D" w:rsidRPr="00CB4F2E" w:rsidRDefault="0093676D" w:rsidP="00D80992">
            <w:r w:rsidRPr="00CB4F2E">
              <w:t>0</w:t>
            </w:r>
          </w:p>
        </w:tc>
        <w:tc>
          <w:tcPr>
            <w:tcW w:w="450" w:type="pct"/>
            <w:noWrap/>
            <w:vAlign w:val="bottom"/>
            <w:hideMark/>
          </w:tcPr>
          <w:p w14:paraId="55D506D6" w14:textId="77777777" w:rsidR="0093676D" w:rsidRPr="00CB4F2E" w:rsidRDefault="0093676D" w:rsidP="00D80992">
            <w:r w:rsidRPr="00CB4F2E">
              <w:t>0</w:t>
            </w:r>
          </w:p>
        </w:tc>
      </w:tr>
      <w:tr w:rsidR="0093676D" w:rsidRPr="00CB4F2E" w14:paraId="52BF71D6" w14:textId="77777777" w:rsidTr="00D80992">
        <w:tc>
          <w:tcPr>
            <w:tcW w:w="962" w:type="pct"/>
            <w:noWrap/>
            <w:hideMark/>
          </w:tcPr>
          <w:p w14:paraId="485F824D" w14:textId="77777777" w:rsidR="0093676D" w:rsidRPr="00CB4F2E" w:rsidRDefault="0093676D" w:rsidP="00D80992">
            <w:r w:rsidRPr="00CB4F2E">
              <w:t>Inceste</w:t>
            </w:r>
          </w:p>
        </w:tc>
        <w:tc>
          <w:tcPr>
            <w:tcW w:w="367" w:type="pct"/>
            <w:noWrap/>
            <w:vAlign w:val="bottom"/>
            <w:hideMark/>
          </w:tcPr>
          <w:p w14:paraId="1316A635" w14:textId="77777777" w:rsidR="0093676D" w:rsidRPr="00CB4F2E" w:rsidRDefault="0093676D" w:rsidP="00D80992">
            <w:r w:rsidRPr="00CB4F2E">
              <w:t>12</w:t>
            </w:r>
          </w:p>
        </w:tc>
        <w:tc>
          <w:tcPr>
            <w:tcW w:w="424" w:type="pct"/>
            <w:noWrap/>
            <w:vAlign w:val="bottom"/>
            <w:hideMark/>
          </w:tcPr>
          <w:p w14:paraId="66F2F7BF" w14:textId="77777777" w:rsidR="0093676D" w:rsidRPr="00CB4F2E" w:rsidRDefault="0093676D" w:rsidP="00D80992">
            <w:r w:rsidRPr="00CB4F2E">
              <w:t>4</w:t>
            </w:r>
          </w:p>
        </w:tc>
        <w:tc>
          <w:tcPr>
            <w:tcW w:w="379" w:type="pct"/>
            <w:noWrap/>
            <w:vAlign w:val="bottom"/>
            <w:hideMark/>
          </w:tcPr>
          <w:p w14:paraId="121758F2" w14:textId="77777777" w:rsidR="0093676D" w:rsidRPr="00CB4F2E" w:rsidRDefault="0093676D" w:rsidP="00D80992">
            <w:r w:rsidRPr="00CB4F2E">
              <w:t>13</w:t>
            </w:r>
          </w:p>
        </w:tc>
        <w:tc>
          <w:tcPr>
            <w:tcW w:w="401" w:type="pct"/>
            <w:noWrap/>
            <w:vAlign w:val="bottom"/>
            <w:hideMark/>
          </w:tcPr>
          <w:p w14:paraId="24BBE760" w14:textId="77777777" w:rsidR="0093676D" w:rsidRPr="00CB4F2E" w:rsidRDefault="0093676D" w:rsidP="00D80992">
            <w:r w:rsidRPr="00CB4F2E">
              <w:t>4</w:t>
            </w:r>
          </w:p>
        </w:tc>
        <w:tc>
          <w:tcPr>
            <w:tcW w:w="411" w:type="pct"/>
            <w:noWrap/>
            <w:vAlign w:val="bottom"/>
            <w:hideMark/>
          </w:tcPr>
          <w:p w14:paraId="57A80ED6" w14:textId="77777777" w:rsidR="0093676D" w:rsidRPr="00CB4F2E" w:rsidRDefault="0093676D" w:rsidP="00D80992">
            <w:r w:rsidRPr="00CB4F2E">
              <w:t>2</w:t>
            </w:r>
          </w:p>
        </w:tc>
        <w:tc>
          <w:tcPr>
            <w:tcW w:w="200" w:type="pct"/>
            <w:noWrap/>
            <w:vAlign w:val="bottom"/>
            <w:hideMark/>
          </w:tcPr>
          <w:p w14:paraId="654E1416" w14:textId="77777777" w:rsidR="0093676D" w:rsidRPr="00CB4F2E" w:rsidRDefault="0093676D" w:rsidP="00D80992">
            <w:r w:rsidRPr="00CB4F2E">
              <w:t>10</w:t>
            </w:r>
          </w:p>
        </w:tc>
        <w:tc>
          <w:tcPr>
            <w:tcW w:w="200" w:type="pct"/>
            <w:noWrap/>
            <w:vAlign w:val="bottom"/>
            <w:hideMark/>
          </w:tcPr>
          <w:p w14:paraId="7F6582DB" w14:textId="77777777" w:rsidR="0093676D" w:rsidRPr="00CB4F2E" w:rsidRDefault="0093676D" w:rsidP="00D80992">
            <w:r w:rsidRPr="00CB4F2E">
              <w:t>1</w:t>
            </w:r>
          </w:p>
        </w:tc>
        <w:tc>
          <w:tcPr>
            <w:tcW w:w="171" w:type="pct"/>
            <w:noWrap/>
            <w:vAlign w:val="bottom"/>
            <w:hideMark/>
          </w:tcPr>
          <w:p w14:paraId="7459F6DA" w14:textId="77777777" w:rsidR="0093676D" w:rsidRPr="00CB4F2E" w:rsidRDefault="0093676D" w:rsidP="00D80992">
            <w:r w:rsidRPr="00CB4F2E">
              <w:t>8</w:t>
            </w:r>
          </w:p>
        </w:tc>
        <w:tc>
          <w:tcPr>
            <w:tcW w:w="200" w:type="pct"/>
            <w:noWrap/>
            <w:vAlign w:val="bottom"/>
            <w:hideMark/>
          </w:tcPr>
          <w:p w14:paraId="3A600D98" w14:textId="77777777" w:rsidR="0093676D" w:rsidRPr="00CB4F2E" w:rsidRDefault="0093676D" w:rsidP="00D80992">
            <w:r w:rsidRPr="00CB4F2E">
              <w:t>4</w:t>
            </w:r>
          </w:p>
        </w:tc>
        <w:tc>
          <w:tcPr>
            <w:tcW w:w="349" w:type="pct"/>
            <w:noWrap/>
            <w:vAlign w:val="bottom"/>
            <w:hideMark/>
          </w:tcPr>
          <w:p w14:paraId="11F65890" w14:textId="77777777" w:rsidR="0093676D" w:rsidRPr="00CB4F2E" w:rsidRDefault="0093676D" w:rsidP="00D80992">
            <w:r w:rsidRPr="00CB4F2E">
              <w:t>0</w:t>
            </w:r>
          </w:p>
        </w:tc>
        <w:tc>
          <w:tcPr>
            <w:tcW w:w="486" w:type="pct"/>
            <w:noWrap/>
            <w:vAlign w:val="bottom"/>
            <w:hideMark/>
          </w:tcPr>
          <w:p w14:paraId="32B045B5" w14:textId="77777777" w:rsidR="0093676D" w:rsidRPr="00CB4F2E" w:rsidRDefault="0093676D" w:rsidP="00D80992">
            <w:r w:rsidRPr="00CB4F2E">
              <w:t>0</w:t>
            </w:r>
          </w:p>
        </w:tc>
        <w:tc>
          <w:tcPr>
            <w:tcW w:w="450" w:type="pct"/>
            <w:noWrap/>
            <w:vAlign w:val="bottom"/>
            <w:hideMark/>
          </w:tcPr>
          <w:p w14:paraId="2F6F0FD7" w14:textId="77777777" w:rsidR="0093676D" w:rsidRPr="00CB4F2E" w:rsidRDefault="0093676D" w:rsidP="00D80992">
            <w:r w:rsidRPr="00CB4F2E">
              <w:t>2</w:t>
            </w:r>
          </w:p>
        </w:tc>
      </w:tr>
      <w:tr w:rsidR="0093676D" w:rsidRPr="00CB4F2E" w14:paraId="22C66406" w14:textId="77777777" w:rsidTr="00D80992">
        <w:tc>
          <w:tcPr>
            <w:tcW w:w="962" w:type="pct"/>
            <w:noWrap/>
            <w:hideMark/>
          </w:tcPr>
          <w:p w14:paraId="157F0A91" w14:textId="77777777" w:rsidR="0093676D" w:rsidRPr="00CB4F2E" w:rsidRDefault="0093676D" w:rsidP="00D80992">
            <w:r w:rsidRPr="00CB4F2E">
              <w:t>Homosexualité</w:t>
            </w:r>
          </w:p>
        </w:tc>
        <w:tc>
          <w:tcPr>
            <w:tcW w:w="367" w:type="pct"/>
            <w:noWrap/>
            <w:vAlign w:val="bottom"/>
            <w:hideMark/>
          </w:tcPr>
          <w:p w14:paraId="45C51EC3" w14:textId="77777777" w:rsidR="0093676D" w:rsidRPr="00CB4F2E" w:rsidRDefault="0093676D" w:rsidP="00D80992">
            <w:r w:rsidRPr="00CB4F2E">
              <w:t>15</w:t>
            </w:r>
          </w:p>
        </w:tc>
        <w:tc>
          <w:tcPr>
            <w:tcW w:w="424" w:type="pct"/>
            <w:noWrap/>
            <w:vAlign w:val="bottom"/>
            <w:hideMark/>
          </w:tcPr>
          <w:p w14:paraId="363A009F" w14:textId="77777777" w:rsidR="0093676D" w:rsidRPr="00CB4F2E" w:rsidRDefault="0093676D" w:rsidP="00D80992">
            <w:r w:rsidRPr="00CB4F2E">
              <w:t>2</w:t>
            </w:r>
          </w:p>
        </w:tc>
        <w:tc>
          <w:tcPr>
            <w:tcW w:w="379" w:type="pct"/>
            <w:noWrap/>
            <w:vAlign w:val="bottom"/>
            <w:hideMark/>
          </w:tcPr>
          <w:p w14:paraId="6A36AF2C" w14:textId="77777777" w:rsidR="0093676D" w:rsidRPr="00CB4F2E" w:rsidRDefault="0093676D" w:rsidP="00D80992">
            <w:r w:rsidRPr="00CB4F2E">
              <w:t>14</w:t>
            </w:r>
          </w:p>
        </w:tc>
        <w:tc>
          <w:tcPr>
            <w:tcW w:w="401" w:type="pct"/>
            <w:noWrap/>
            <w:vAlign w:val="bottom"/>
            <w:hideMark/>
          </w:tcPr>
          <w:p w14:paraId="4EEB1BE7" w14:textId="77777777" w:rsidR="0093676D" w:rsidRPr="00CB4F2E" w:rsidRDefault="0093676D" w:rsidP="00D80992">
            <w:r w:rsidRPr="00CB4F2E">
              <w:t>5</w:t>
            </w:r>
          </w:p>
        </w:tc>
        <w:tc>
          <w:tcPr>
            <w:tcW w:w="411" w:type="pct"/>
            <w:noWrap/>
            <w:vAlign w:val="bottom"/>
            <w:hideMark/>
          </w:tcPr>
          <w:p w14:paraId="2C9A3C7E" w14:textId="77777777" w:rsidR="0093676D" w:rsidRPr="00CB4F2E" w:rsidRDefault="0093676D" w:rsidP="00D80992">
            <w:r w:rsidRPr="00CB4F2E">
              <w:t>0</w:t>
            </w:r>
          </w:p>
        </w:tc>
        <w:tc>
          <w:tcPr>
            <w:tcW w:w="200" w:type="pct"/>
            <w:noWrap/>
            <w:vAlign w:val="bottom"/>
            <w:hideMark/>
          </w:tcPr>
          <w:p w14:paraId="340F83DE" w14:textId="77777777" w:rsidR="0093676D" w:rsidRPr="00CB4F2E" w:rsidRDefault="0093676D" w:rsidP="00D80992">
            <w:r w:rsidRPr="00CB4F2E">
              <w:t>9</w:t>
            </w:r>
          </w:p>
        </w:tc>
        <w:tc>
          <w:tcPr>
            <w:tcW w:w="200" w:type="pct"/>
            <w:noWrap/>
            <w:vAlign w:val="bottom"/>
            <w:hideMark/>
          </w:tcPr>
          <w:p w14:paraId="5242AA2C" w14:textId="77777777" w:rsidR="0093676D" w:rsidRPr="00CB4F2E" w:rsidRDefault="0093676D" w:rsidP="00D80992">
            <w:r w:rsidRPr="00CB4F2E">
              <w:t>2</w:t>
            </w:r>
          </w:p>
        </w:tc>
        <w:tc>
          <w:tcPr>
            <w:tcW w:w="171" w:type="pct"/>
            <w:noWrap/>
            <w:vAlign w:val="bottom"/>
            <w:hideMark/>
          </w:tcPr>
          <w:p w14:paraId="6287419C" w14:textId="77777777" w:rsidR="0093676D" w:rsidRPr="00CB4F2E" w:rsidRDefault="0093676D" w:rsidP="00D80992">
            <w:r w:rsidRPr="00CB4F2E">
              <w:t>2</w:t>
            </w:r>
          </w:p>
        </w:tc>
        <w:tc>
          <w:tcPr>
            <w:tcW w:w="200" w:type="pct"/>
            <w:noWrap/>
            <w:vAlign w:val="bottom"/>
            <w:hideMark/>
          </w:tcPr>
          <w:p w14:paraId="79ECDF86" w14:textId="77777777" w:rsidR="0093676D" w:rsidRPr="00CB4F2E" w:rsidRDefault="0093676D" w:rsidP="00D80992">
            <w:r w:rsidRPr="00CB4F2E">
              <w:t>1</w:t>
            </w:r>
          </w:p>
        </w:tc>
        <w:tc>
          <w:tcPr>
            <w:tcW w:w="349" w:type="pct"/>
            <w:noWrap/>
            <w:vAlign w:val="bottom"/>
            <w:hideMark/>
          </w:tcPr>
          <w:p w14:paraId="0F48206D" w14:textId="77777777" w:rsidR="0093676D" w:rsidRPr="00CB4F2E" w:rsidRDefault="0093676D" w:rsidP="00D80992">
            <w:r w:rsidRPr="00CB4F2E">
              <w:t>0</w:t>
            </w:r>
          </w:p>
        </w:tc>
        <w:tc>
          <w:tcPr>
            <w:tcW w:w="486" w:type="pct"/>
            <w:noWrap/>
            <w:vAlign w:val="bottom"/>
            <w:hideMark/>
          </w:tcPr>
          <w:p w14:paraId="5D10BC1B" w14:textId="77777777" w:rsidR="0093676D" w:rsidRPr="00CB4F2E" w:rsidRDefault="0093676D" w:rsidP="00D80992">
            <w:r w:rsidRPr="00CB4F2E">
              <w:t>0</w:t>
            </w:r>
          </w:p>
        </w:tc>
        <w:tc>
          <w:tcPr>
            <w:tcW w:w="450" w:type="pct"/>
            <w:noWrap/>
            <w:vAlign w:val="bottom"/>
            <w:hideMark/>
          </w:tcPr>
          <w:p w14:paraId="660D2EB9" w14:textId="77777777" w:rsidR="0093676D" w:rsidRPr="00CB4F2E" w:rsidRDefault="0093676D" w:rsidP="00D80992">
            <w:r w:rsidRPr="00CB4F2E">
              <w:t>0</w:t>
            </w:r>
          </w:p>
        </w:tc>
      </w:tr>
      <w:tr w:rsidR="0093676D" w:rsidRPr="00CB4F2E" w14:paraId="4B59ED7F" w14:textId="77777777" w:rsidTr="00D80992">
        <w:tc>
          <w:tcPr>
            <w:tcW w:w="962" w:type="pct"/>
            <w:noWrap/>
            <w:hideMark/>
          </w:tcPr>
          <w:p w14:paraId="2FF7F47A" w14:textId="77777777" w:rsidR="0093676D" w:rsidRPr="00CB4F2E" w:rsidRDefault="0093676D" w:rsidP="00D80992">
            <w:r w:rsidRPr="00CB4F2E">
              <w:t>Pollution</w:t>
            </w:r>
          </w:p>
        </w:tc>
        <w:tc>
          <w:tcPr>
            <w:tcW w:w="367" w:type="pct"/>
            <w:noWrap/>
            <w:vAlign w:val="bottom"/>
            <w:hideMark/>
          </w:tcPr>
          <w:p w14:paraId="566AABEF" w14:textId="77777777" w:rsidR="0093676D" w:rsidRPr="00CB4F2E" w:rsidRDefault="0093676D" w:rsidP="00D80992">
            <w:r w:rsidRPr="00CB4F2E">
              <w:t>37</w:t>
            </w:r>
          </w:p>
        </w:tc>
        <w:tc>
          <w:tcPr>
            <w:tcW w:w="424" w:type="pct"/>
            <w:noWrap/>
            <w:vAlign w:val="bottom"/>
            <w:hideMark/>
          </w:tcPr>
          <w:p w14:paraId="5552D1D4" w14:textId="77777777" w:rsidR="0093676D" w:rsidRPr="00CB4F2E" w:rsidRDefault="0093676D" w:rsidP="00D80992">
            <w:r w:rsidRPr="00CB4F2E">
              <w:t>8</w:t>
            </w:r>
          </w:p>
        </w:tc>
        <w:tc>
          <w:tcPr>
            <w:tcW w:w="379" w:type="pct"/>
            <w:noWrap/>
            <w:vAlign w:val="bottom"/>
            <w:hideMark/>
          </w:tcPr>
          <w:p w14:paraId="6548A255" w14:textId="77777777" w:rsidR="0093676D" w:rsidRPr="00CB4F2E" w:rsidRDefault="0093676D" w:rsidP="00D80992">
            <w:r w:rsidRPr="00CB4F2E">
              <w:t>25</w:t>
            </w:r>
          </w:p>
        </w:tc>
        <w:tc>
          <w:tcPr>
            <w:tcW w:w="401" w:type="pct"/>
            <w:noWrap/>
            <w:vAlign w:val="bottom"/>
            <w:hideMark/>
          </w:tcPr>
          <w:p w14:paraId="2E887B6F" w14:textId="77777777" w:rsidR="0093676D" w:rsidRPr="00CB4F2E" w:rsidRDefault="0093676D" w:rsidP="00D80992">
            <w:r w:rsidRPr="00CB4F2E">
              <w:t>0</w:t>
            </w:r>
          </w:p>
        </w:tc>
        <w:tc>
          <w:tcPr>
            <w:tcW w:w="411" w:type="pct"/>
            <w:noWrap/>
            <w:vAlign w:val="bottom"/>
            <w:hideMark/>
          </w:tcPr>
          <w:p w14:paraId="44F42206" w14:textId="77777777" w:rsidR="0093676D" w:rsidRPr="00CB4F2E" w:rsidRDefault="0093676D" w:rsidP="00D80992">
            <w:r w:rsidRPr="00CB4F2E">
              <w:t>0</w:t>
            </w:r>
          </w:p>
        </w:tc>
        <w:tc>
          <w:tcPr>
            <w:tcW w:w="200" w:type="pct"/>
            <w:noWrap/>
            <w:vAlign w:val="bottom"/>
            <w:hideMark/>
          </w:tcPr>
          <w:p w14:paraId="64CA0BB5" w14:textId="77777777" w:rsidR="0093676D" w:rsidRPr="00CB4F2E" w:rsidRDefault="0093676D" w:rsidP="00D80992">
            <w:r w:rsidRPr="00CB4F2E">
              <w:t>26</w:t>
            </w:r>
          </w:p>
        </w:tc>
        <w:tc>
          <w:tcPr>
            <w:tcW w:w="200" w:type="pct"/>
            <w:noWrap/>
            <w:vAlign w:val="bottom"/>
            <w:hideMark/>
          </w:tcPr>
          <w:p w14:paraId="362FFC31" w14:textId="77777777" w:rsidR="0093676D" w:rsidRPr="00CB4F2E" w:rsidRDefault="0093676D" w:rsidP="00D80992">
            <w:r w:rsidRPr="00CB4F2E">
              <w:t>2</w:t>
            </w:r>
          </w:p>
        </w:tc>
        <w:tc>
          <w:tcPr>
            <w:tcW w:w="171" w:type="pct"/>
            <w:noWrap/>
            <w:vAlign w:val="bottom"/>
            <w:hideMark/>
          </w:tcPr>
          <w:p w14:paraId="69EAAAAE" w14:textId="77777777" w:rsidR="0093676D" w:rsidRPr="00CB4F2E" w:rsidRDefault="0093676D" w:rsidP="00D80992">
            <w:r w:rsidRPr="00CB4F2E">
              <w:t>0</w:t>
            </w:r>
          </w:p>
        </w:tc>
        <w:tc>
          <w:tcPr>
            <w:tcW w:w="200" w:type="pct"/>
            <w:noWrap/>
            <w:vAlign w:val="bottom"/>
            <w:hideMark/>
          </w:tcPr>
          <w:p w14:paraId="6AA2CEF8" w14:textId="77777777" w:rsidR="0093676D" w:rsidRPr="00CB4F2E" w:rsidRDefault="0093676D" w:rsidP="00D80992">
            <w:r w:rsidRPr="00CB4F2E">
              <w:t>0</w:t>
            </w:r>
          </w:p>
        </w:tc>
        <w:tc>
          <w:tcPr>
            <w:tcW w:w="349" w:type="pct"/>
            <w:noWrap/>
            <w:vAlign w:val="bottom"/>
            <w:hideMark/>
          </w:tcPr>
          <w:p w14:paraId="02EAE04E" w14:textId="77777777" w:rsidR="0093676D" w:rsidRPr="00CB4F2E" w:rsidRDefault="0093676D" w:rsidP="00D80992">
            <w:r w:rsidRPr="00CB4F2E">
              <w:t>0</w:t>
            </w:r>
          </w:p>
        </w:tc>
        <w:tc>
          <w:tcPr>
            <w:tcW w:w="486" w:type="pct"/>
            <w:noWrap/>
            <w:vAlign w:val="bottom"/>
            <w:hideMark/>
          </w:tcPr>
          <w:p w14:paraId="07ABCC82" w14:textId="77777777" w:rsidR="0093676D" w:rsidRPr="00CB4F2E" w:rsidRDefault="0093676D" w:rsidP="00D80992">
            <w:r w:rsidRPr="00CB4F2E">
              <w:t>0</w:t>
            </w:r>
          </w:p>
        </w:tc>
        <w:tc>
          <w:tcPr>
            <w:tcW w:w="450" w:type="pct"/>
            <w:noWrap/>
            <w:vAlign w:val="bottom"/>
            <w:hideMark/>
          </w:tcPr>
          <w:p w14:paraId="64D1453C" w14:textId="77777777" w:rsidR="0093676D" w:rsidRPr="00CB4F2E" w:rsidRDefault="0093676D" w:rsidP="00D80992">
            <w:r w:rsidRPr="00CB4F2E">
              <w:t>0</w:t>
            </w:r>
          </w:p>
        </w:tc>
      </w:tr>
      <w:tr w:rsidR="0093676D" w:rsidRPr="00CB4F2E" w14:paraId="1CC12BE5" w14:textId="77777777" w:rsidTr="00D80992">
        <w:tc>
          <w:tcPr>
            <w:tcW w:w="962" w:type="pct"/>
            <w:noWrap/>
            <w:hideMark/>
          </w:tcPr>
          <w:p w14:paraId="53F90278" w14:textId="1A954750" w:rsidR="0093676D" w:rsidRPr="00CB4F2E" w:rsidRDefault="0093676D" w:rsidP="00D80992">
            <w:r w:rsidRPr="00CB4F2E">
              <w:t>Diffamation par</w:t>
            </w:r>
            <w:r w:rsidR="0027203C">
              <w:t xml:space="preserve"> </w:t>
            </w:r>
            <w:r w:rsidRPr="00CB4F2E">
              <w:t xml:space="preserve"> voie</w:t>
            </w:r>
            <w:r w:rsidR="0027203C">
              <w:t xml:space="preserve"> </w:t>
            </w:r>
            <w:r w:rsidRPr="00CB4F2E">
              <w:t>de</w:t>
            </w:r>
            <w:r w:rsidR="0027203C">
              <w:t xml:space="preserve"> </w:t>
            </w:r>
            <w:r w:rsidRPr="00CB4F2E">
              <w:t>presse</w:t>
            </w:r>
          </w:p>
        </w:tc>
        <w:tc>
          <w:tcPr>
            <w:tcW w:w="367" w:type="pct"/>
            <w:noWrap/>
            <w:vAlign w:val="bottom"/>
            <w:hideMark/>
          </w:tcPr>
          <w:p w14:paraId="12E08D90" w14:textId="77777777" w:rsidR="0093676D" w:rsidRPr="00CB4F2E" w:rsidRDefault="0093676D" w:rsidP="00D80992">
            <w:r w:rsidRPr="00CB4F2E">
              <w:t>2</w:t>
            </w:r>
          </w:p>
        </w:tc>
        <w:tc>
          <w:tcPr>
            <w:tcW w:w="424" w:type="pct"/>
            <w:noWrap/>
            <w:vAlign w:val="bottom"/>
            <w:hideMark/>
          </w:tcPr>
          <w:p w14:paraId="4BA38A3B" w14:textId="77777777" w:rsidR="0093676D" w:rsidRPr="00CB4F2E" w:rsidRDefault="0093676D" w:rsidP="00D80992">
            <w:r w:rsidRPr="00CB4F2E">
              <w:t>2</w:t>
            </w:r>
          </w:p>
        </w:tc>
        <w:tc>
          <w:tcPr>
            <w:tcW w:w="379" w:type="pct"/>
            <w:noWrap/>
            <w:vAlign w:val="bottom"/>
            <w:hideMark/>
          </w:tcPr>
          <w:p w14:paraId="5BFAC6C2" w14:textId="77777777" w:rsidR="0093676D" w:rsidRPr="00CB4F2E" w:rsidRDefault="0093676D" w:rsidP="00D80992">
            <w:r w:rsidRPr="00CB4F2E">
              <w:t>2</w:t>
            </w:r>
          </w:p>
        </w:tc>
        <w:tc>
          <w:tcPr>
            <w:tcW w:w="401" w:type="pct"/>
            <w:noWrap/>
            <w:vAlign w:val="bottom"/>
            <w:hideMark/>
          </w:tcPr>
          <w:p w14:paraId="3EA7EBB3" w14:textId="77777777" w:rsidR="0093676D" w:rsidRPr="00CB4F2E" w:rsidRDefault="0093676D" w:rsidP="00D80992">
            <w:r w:rsidRPr="00CB4F2E">
              <w:t>3</w:t>
            </w:r>
          </w:p>
        </w:tc>
        <w:tc>
          <w:tcPr>
            <w:tcW w:w="411" w:type="pct"/>
            <w:noWrap/>
            <w:vAlign w:val="bottom"/>
            <w:hideMark/>
          </w:tcPr>
          <w:p w14:paraId="4B0A0918" w14:textId="77777777" w:rsidR="0093676D" w:rsidRPr="00CB4F2E" w:rsidRDefault="0093676D" w:rsidP="00D80992">
            <w:r w:rsidRPr="00CB4F2E">
              <w:t>0</w:t>
            </w:r>
          </w:p>
        </w:tc>
        <w:tc>
          <w:tcPr>
            <w:tcW w:w="200" w:type="pct"/>
            <w:noWrap/>
            <w:vAlign w:val="bottom"/>
            <w:hideMark/>
          </w:tcPr>
          <w:p w14:paraId="5B0BBA1B" w14:textId="77777777" w:rsidR="0093676D" w:rsidRPr="00CB4F2E" w:rsidRDefault="0093676D" w:rsidP="00D80992">
            <w:r w:rsidRPr="00CB4F2E">
              <w:t>4</w:t>
            </w:r>
          </w:p>
        </w:tc>
        <w:tc>
          <w:tcPr>
            <w:tcW w:w="200" w:type="pct"/>
            <w:noWrap/>
            <w:vAlign w:val="bottom"/>
            <w:hideMark/>
          </w:tcPr>
          <w:p w14:paraId="6BEF7639" w14:textId="77777777" w:rsidR="0093676D" w:rsidRPr="00CB4F2E" w:rsidRDefault="0093676D" w:rsidP="00D80992">
            <w:r w:rsidRPr="00CB4F2E">
              <w:t>0</w:t>
            </w:r>
          </w:p>
        </w:tc>
        <w:tc>
          <w:tcPr>
            <w:tcW w:w="171" w:type="pct"/>
            <w:noWrap/>
            <w:vAlign w:val="bottom"/>
            <w:hideMark/>
          </w:tcPr>
          <w:p w14:paraId="5C974F6F" w14:textId="77777777" w:rsidR="0093676D" w:rsidRPr="00CB4F2E" w:rsidRDefault="0093676D" w:rsidP="00D80992">
            <w:r w:rsidRPr="00CB4F2E">
              <w:t>0</w:t>
            </w:r>
          </w:p>
        </w:tc>
        <w:tc>
          <w:tcPr>
            <w:tcW w:w="200" w:type="pct"/>
            <w:noWrap/>
            <w:vAlign w:val="bottom"/>
            <w:hideMark/>
          </w:tcPr>
          <w:p w14:paraId="33CF305D" w14:textId="77777777" w:rsidR="0093676D" w:rsidRPr="00CB4F2E" w:rsidRDefault="0093676D" w:rsidP="00D80992">
            <w:r w:rsidRPr="00CB4F2E">
              <w:t>0</w:t>
            </w:r>
          </w:p>
        </w:tc>
        <w:tc>
          <w:tcPr>
            <w:tcW w:w="349" w:type="pct"/>
            <w:noWrap/>
            <w:vAlign w:val="bottom"/>
            <w:hideMark/>
          </w:tcPr>
          <w:p w14:paraId="2E7F2DDD" w14:textId="77777777" w:rsidR="0093676D" w:rsidRPr="00CB4F2E" w:rsidRDefault="0093676D" w:rsidP="00D80992">
            <w:r w:rsidRPr="00CB4F2E">
              <w:t>0</w:t>
            </w:r>
          </w:p>
        </w:tc>
        <w:tc>
          <w:tcPr>
            <w:tcW w:w="486" w:type="pct"/>
            <w:noWrap/>
            <w:vAlign w:val="bottom"/>
            <w:hideMark/>
          </w:tcPr>
          <w:p w14:paraId="600F3519" w14:textId="77777777" w:rsidR="0093676D" w:rsidRPr="00CB4F2E" w:rsidRDefault="0093676D" w:rsidP="00D80992">
            <w:r w:rsidRPr="00CB4F2E">
              <w:t>0</w:t>
            </w:r>
          </w:p>
        </w:tc>
        <w:tc>
          <w:tcPr>
            <w:tcW w:w="450" w:type="pct"/>
            <w:noWrap/>
            <w:vAlign w:val="bottom"/>
            <w:hideMark/>
          </w:tcPr>
          <w:p w14:paraId="4274FAAA" w14:textId="77777777" w:rsidR="0093676D" w:rsidRPr="00CB4F2E" w:rsidRDefault="0093676D" w:rsidP="00D80992">
            <w:r w:rsidRPr="00CB4F2E">
              <w:t>0</w:t>
            </w:r>
          </w:p>
        </w:tc>
      </w:tr>
      <w:tr w:rsidR="0093676D" w:rsidRPr="00CB4F2E" w14:paraId="104B2216" w14:textId="77777777" w:rsidTr="00D80992">
        <w:tc>
          <w:tcPr>
            <w:tcW w:w="962" w:type="pct"/>
            <w:noWrap/>
            <w:hideMark/>
          </w:tcPr>
          <w:p w14:paraId="39BDA564" w14:textId="77777777" w:rsidR="0093676D" w:rsidRPr="00CB4F2E" w:rsidRDefault="0093676D" w:rsidP="00D80992">
            <w:r w:rsidRPr="00CB4F2E">
              <w:lastRenderedPageBreak/>
              <w:t>Abus de fonction</w:t>
            </w:r>
          </w:p>
        </w:tc>
        <w:tc>
          <w:tcPr>
            <w:tcW w:w="367" w:type="pct"/>
            <w:noWrap/>
            <w:vAlign w:val="bottom"/>
            <w:hideMark/>
          </w:tcPr>
          <w:p w14:paraId="3B7EC5D2" w14:textId="77777777" w:rsidR="0093676D" w:rsidRPr="00CB4F2E" w:rsidRDefault="0093676D" w:rsidP="00D80992">
            <w:r w:rsidRPr="00CB4F2E">
              <w:t>8</w:t>
            </w:r>
          </w:p>
        </w:tc>
        <w:tc>
          <w:tcPr>
            <w:tcW w:w="424" w:type="pct"/>
            <w:noWrap/>
            <w:vAlign w:val="bottom"/>
            <w:hideMark/>
          </w:tcPr>
          <w:p w14:paraId="0977D0A0" w14:textId="77777777" w:rsidR="0093676D" w:rsidRPr="00CB4F2E" w:rsidRDefault="0093676D" w:rsidP="00D80992">
            <w:r w:rsidRPr="00CB4F2E">
              <w:t>6</w:t>
            </w:r>
          </w:p>
        </w:tc>
        <w:tc>
          <w:tcPr>
            <w:tcW w:w="379" w:type="pct"/>
            <w:noWrap/>
            <w:vAlign w:val="bottom"/>
            <w:hideMark/>
          </w:tcPr>
          <w:p w14:paraId="548B3A9A" w14:textId="77777777" w:rsidR="0093676D" w:rsidRPr="00CB4F2E" w:rsidRDefault="0093676D" w:rsidP="00D80992">
            <w:r w:rsidRPr="00CB4F2E">
              <w:t>7</w:t>
            </w:r>
          </w:p>
        </w:tc>
        <w:tc>
          <w:tcPr>
            <w:tcW w:w="401" w:type="pct"/>
            <w:noWrap/>
            <w:vAlign w:val="bottom"/>
            <w:hideMark/>
          </w:tcPr>
          <w:p w14:paraId="7C5413C9" w14:textId="77777777" w:rsidR="0093676D" w:rsidRPr="00CB4F2E" w:rsidRDefault="0093676D" w:rsidP="00D80992">
            <w:r w:rsidRPr="00CB4F2E">
              <w:t>5</w:t>
            </w:r>
          </w:p>
        </w:tc>
        <w:tc>
          <w:tcPr>
            <w:tcW w:w="411" w:type="pct"/>
            <w:noWrap/>
            <w:vAlign w:val="bottom"/>
            <w:hideMark/>
          </w:tcPr>
          <w:p w14:paraId="40881129" w14:textId="77777777" w:rsidR="0093676D" w:rsidRPr="00CB4F2E" w:rsidRDefault="0093676D" w:rsidP="00D80992">
            <w:r w:rsidRPr="00CB4F2E">
              <w:t>1</w:t>
            </w:r>
          </w:p>
        </w:tc>
        <w:tc>
          <w:tcPr>
            <w:tcW w:w="200" w:type="pct"/>
            <w:noWrap/>
            <w:vAlign w:val="bottom"/>
            <w:hideMark/>
          </w:tcPr>
          <w:p w14:paraId="3F073793" w14:textId="77777777" w:rsidR="0093676D" w:rsidRPr="00CB4F2E" w:rsidRDefault="0093676D" w:rsidP="00D80992">
            <w:r w:rsidRPr="00CB4F2E">
              <w:t>5</w:t>
            </w:r>
          </w:p>
        </w:tc>
        <w:tc>
          <w:tcPr>
            <w:tcW w:w="200" w:type="pct"/>
            <w:noWrap/>
            <w:vAlign w:val="bottom"/>
            <w:hideMark/>
          </w:tcPr>
          <w:p w14:paraId="12EBC88A" w14:textId="77777777" w:rsidR="0093676D" w:rsidRPr="00CB4F2E" w:rsidRDefault="0093676D" w:rsidP="00D80992">
            <w:r w:rsidRPr="00CB4F2E">
              <w:t>1</w:t>
            </w:r>
          </w:p>
        </w:tc>
        <w:tc>
          <w:tcPr>
            <w:tcW w:w="171" w:type="pct"/>
            <w:noWrap/>
            <w:vAlign w:val="bottom"/>
            <w:hideMark/>
          </w:tcPr>
          <w:p w14:paraId="7A790A34" w14:textId="77777777" w:rsidR="0093676D" w:rsidRPr="00CB4F2E" w:rsidRDefault="0093676D" w:rsidP="00D80992">
            <w:r w:rsidRPr="00CB4F2E">
              <w:t>0</w:t>
            </w:r>
          </w:p>
        </w:tc>
        <w:tc>
          <w:tcPr>
            <w:tcW w:w="200" w:type="pct"/>
            <w:noWrap/>
            <w:vAlign w:val="bottom"/>
            <w:hideMark/>
          </w:tcPr>
          <w:p w14:paraId="10897650" w14:textId="77777777" w:rsidR="0093676D" w:rsidRPr="00CB4F2E" w:rsidRDefault="0093676D" w:rsidP="00D80992">
            <w:r w:rsidRPr="00CB4F2E">
              <w:t>0</w:t>
            </w:r>
          </w:p>
        </w:tc>
        <w:tc>
          <w:tcPr>
            <w:tcW w:w="349" w:type="pct"/>
            <w:noWrap/>
            <w:vAlign w:val="bottom"/>
            <w:hideMark/>
          </w:tcPr>
          <w:p w14:paraId="048C93A3" w14:textId="77777777" w:rsidR="0093676D" w:rsidRPr="00CB4F2E" w:rsidRDefault="0093676D" w:rsidP="00D80992">
            <w:r w:rsidRPr="00CB4F2E">
              <w:t>0</w:t>
            </w:r>
          </w:p>
        </w:tc>
        <w:tc>
          <w:tcPr>
            <w:tcW w:w="486" w:type="pct"/>
            <w:noWrap/>
            <w:vAlign w:val="bottom"/>
            <w:hideMark/>
          </w:tcPr>
          <w:p w14:paraId="20088D03" w14:textId="77777777" w:rsidR="0093676D" w:rsidRPr="00CB4F2E" w:rsidRDefault="0093676D" w:rsidP="00D80992">
            <w:r w:rsidRPr="00CB4F2E">
              <w:t>0</w:t>
            </w:r>
          </w:p>
        </w:tc>
        <w:tc>
          <w:tcPr>
            <w:tcW w:w="450" w:type="pct"/>
            <w:noWrap/>
            <w:vAlign w:val="bottom"/>
            <w:hideMark/>
          </w:tcPr>
          <w:p w14:paraId="031679CB" w14:textId="77777777" w:rsidR="0093676D" w:rsidRPr="00CB4F2E" w:rsidRDefault="0093676D" w:rsidP="00D80992">
            <w:r w:rsidRPr="00CB4F2E">
              <w:t>5</w:t>
            </w:r>
          </w:p>
        </w:tc>
      </w:tr>
      <w:tr w:rsidR="0093676D" w:rsidRPr="00CB4F2E" w14:paraId="4E3EA35B" w14:textId="77777777" w:rsidTr="00D80992">
        <w:tc>
          <w:tcPr>
            <w:tcW w:w="962" w:type="pct"/>
            <w:noWrap/>
            <w:hideMark/>
          </w:tcPr>
          <w:p w14:paraId="2D676875" w14:textId="77777777" w:rsidR="0093676D" w:rsidRPr="00CB4F2E" w:rsidRDefault="0093676D" w:rsidP="00D80992">
            <w:r w:rsidRPr="00CB4F2E">
              <w:t>Corruption</w:t>
            </w:r>
          </w:p>
        </w:tc>
        <w:tc>
          <w:tcPr>
            <w:tcW w:w="367" w:type="pct"/>
            <w:noWrap/>
            <w:vAlign w:val="bottom"/>
            <w:hideMark/>
          </w:tcPr>
          <w:p w14:paraId="731F1F67" w14:textId="77777777" w:rsidR="0093676D" w:rsidRPr="00CB4F2E" w:rsidRDefault="0093676D" w:rsidP="00D80992">
            <w:r w:rsidRPr="00CB4F2E">
              <w:t>4</w:t>
            </w:r>
          </w:p>
        </w:tc>
        <w:tc>
          <w:tcPr>
            <w:tcW w:w="424" w:type="pct"/>
            <w:noWrap/>
            <w:vAlign w:val="bottom"/>
            <w:hideMark/>
          </w:tcPr>
          <w:p w14:paraId="0C049687" w14:textId="77777777" w:rsidR="0093676D" w:rsidRPr="00CB4F2E" w:rsidRDefault="0093676D" w:rsidP="00D80992">
            <w:r w:rsidRPr="00CB4F2E">
              <w:t>1</w:t>
            </w:r>
          </w:p>
        </w:tc>
        <w:tc>
          <w:tcPr>
            <w:tcW w:w="379" w:type="pct"/>
            <w:noWrap/>
            <w:vAlign w:val="bottom"/>
            <w:hideMark/>
          </w:tcPr>
          <w:p w14:paraId="270F5FEF" w14:textId="77777777" w:rsidR="0093676D" w:rsidRPr="00CB4F2E" w:rsidRDefault="0093676D" w:rsidP="00D80992">
            <w:r w:rsidRPr="00CB4F2E">
              <w:t>3</w:t>
            </w:r>
          </w:p>
        </w:tc>
        <w:tc>
          <w:tcPr>
            <w:tcW w:w="401" w:type="pct"/>
            <w:noWrap/>
            <w:vAlign w:val="bottom"/>
            <w:hideMark/>
          </w:tcPr>
          <w:p w14:paraId="13E011B8" w14:textId="77777777" w:rsidR="0093676D" w:rsidRPr="00CB4F2E" w:rsidRDefault="0093676D" w:rsidP="00D80992">
            <w:r w:rsidRPr="00CB4F2E">
              <w:t>0</w:t>
            </w:r>
          </w:p>
        </w:tc>
        <w:tc>
          <w:tcPr>
            <w:tcW w:w="411" w:type="pct"/>
            <w:noWrap/>
            <w:vAlign w:val="bottom"/>
            <w:hideMark/>
          </w:tcPr>
          <w:p w14:paraId="161474AC" w14:textId="77777777" w:rsidR="0093676D" w:rsidRPr="00CB4F2E" w:rsidRDefault="0093676D" w:rsidP="00D80992">
            <w:r w:rsidRPr="00CB4F2E">
              <w:t>1</w:t>
            </w:r>
          </w:p>
        </w:tc>
        <w:tc>
          <w:tcPr>
            <w:tcW w:w="200" w:type="pct"/>
            <w:noWrap/>
            <w:vAlign w:val="bottom"/>
            <w:hideMark/>
          </w:tcPr>
          <w:p w14:paraId="29CCA022" w14:textId="77777777" w:rsidR="0093676D" w:rsidRPr="00CB4F2E" w:rsidRDefault="0093676D" w:rsidP="00D80992">
            <w:r w:rsidRPr="00CB4F2E">
              <w:t>1</w:t>
            </w:r>
          </w:p>
        </w:tc>
        <w:tc>
          <w:tcPr>
            <w:tcW w:w="200" w:type="pct"/>
            <w:noWrap/>
            <w:vAlign w:val="bottom"/>
            <w:hideMark/>
          </w:tcPr>
          <w:p w14:paraId="2A28144A" w14:textId="77777777" w:rsidR="0093676D" w:rsidRPr="00CB4F2E" w:rsidRDefault="0093676D" w:rsidP="00D80992">
            <w:r w:rsidRPr="00CB4F2E">
              <w:t>0</w:t>
            </w:r>
          </w:p>
        </w:tc>
        <w:tc>
          <w:tcPr>
            <w:tcW w:w="171" w:type="pct"/>
            <w:noWrap/>
            <w:vAlign w:val="bottom"/>
            <w:hideMark/>
          </w:tcPr>
          <w:p w14:paraId="5E9F2FDA" w14:textId="77777777" w:rsidR="0093676D" w:rsidRPr="00CB4F2E" w:rsidRDefault="0093676D" w:rsidP="00D80992">
            <w:r w:rsidRPr="00CB4F2E">
              <w:t>0</w:t>
            </w:r>
          </w:p>
        </w:tc>
        <w:tc>
          <w:tcPr>
            <w:tcW w:w="200" w:type="pct"/>
            <w:noWrap/>
            <w:vAlign w:val="bottom"/>
            <w:hideMark/>
          </w:tcPr>
          <w:p w14:paraId="1BFB974A" w14:textId="77777777" w:rsidR="0093676D" w:rsidRPr="00CB4F2E" w:rsidRDefault="0093676D" w:rsidP="00D80992">
            <w:r w:rsidRPr="00CB4F2E">
              <w:t>0</w:t>
            </w:r>
          </w:p>
        </w:tc>
        <w:tc>
          <w:tcPr>
            <w:tcW w:w="349" w:type="pct"/>
            <w:noWrap/>
            <w:vAlign w:val="bottom"/>
            <w:hideMark/>
          </w:tcPr>
          <w:p w14:paraId="1DE7A43D" w14:textId="77777777" w:rsidR="0093676D" w:rsidRPr="00CB4F2E" w:rsidRDefault="0093676D" w:rsidP="00D80992">
            <w:r w:rsidRPr="00CB4F2E">
              <w:t>0</w:t>
            </w:r>
          </w:p>
        </w:tc>
        <w:tc>
          <w:tcPr>
            <w:tcW w:w="486" w:type="pct"/>
            <w:noWrap/>
            <w:vAlign w:val="bottom"/>
            <w:hideMark/>
          </w:tcPr>
          <w:p w14:paraId="5A946E08" w14:textId="77777777" w:rsidR="0093676D" w:rsidRPr="00CB4F2E" w:rsidRDefault="0093676D" w:rsidP="00D80992">
            <w:r w:rsidRPr="00CB4F2E">
              <w:t>0</w:t>
            </w:r>
          </w:p>
        </w:tc>
        <w:tc>
          <w:tcPr>
            <w:tcW w:w="450" w:type="pct"/>
            <w:noWrap/>
            <w:vAlign w:val="bottom"/>
            <w:hideMark/>
          </w:tcPr>
          <w:p w14:paraId="0B4E19C0" w14:textId="77777777" w:rsidR="0093676D" w:rsidRPr="00CB4F2E" w:rsidRDefault="0093676D" w:rsidP="00D80992">
            <w:r w:rsidRPr="00CB4F2E">
              <w:t>0</w:t>
            </w:r>
          </w:p>
        </w:tc>
      </w:tr>
      <w:tr w:rsidR="0093676D" w:rsidRPr="00CB4F2E" w14:paraId="2CA6F0D3" w14:textId="77777777" w:rsidTr="00D80992">
        <w:tc>
          <w:tcPr>
            <w:tcW w:w="962" w:type="pct"/>
            <w:tcBorders>
              <w:bottom w:val="single" w:sz="12" w:space="0" w:color="auto"/>
            </w:tcBorders>
            <w:noWrap/>
            <w:hideMark/>
          </w:tcPr>
          <w:p w14:paraId="540DB445" w14:textId="77777777" w:rsidR="0093676D" w:rsidRPr="00CB4F2E" w:rsidRDefault="0093676D" w:rsidP="00D80992">
            <w:r w:rsidRPr="00CB4F2E">
              <w:t>Détournement de Deniers Publics</w:t>
            </w:r>
          </w:p>
        </w:tc>
        <w:tc>
          <w:tcPr>
            <w:tcW w:w="367" w:type="pct"/>
            <w:tcBorders>
              <w:bottom w:val="single" w:sz="12" w:space="0" w:color="auto"/>
            </w:tcBorders>
            <w:noWrap/>
            <w:vAlign w:val="bottom"/>
            <w:hideMark/>
          </w:tcPr>
          <w:p w14:paraId="2CC9AF95" w14:textId="77777777" w:rsidR="0093676D" w:rsidRPr="00CB4F2E" w:rsidRDefault="0093676D" w:rsidP="00D80992">
            <w:r w:rsidRPr="00CB4F2E">
              <w:t>77</w:t>
            </w:r>
          </w:p>
        </w:tc>
        <w:tc>
          <w:tcPr>
            <w:tcW w:w="424" w:type="pct"/>
            <w:tcBorders>
              <w:bottom w:val="single" w:sz="12" w:space="0" w:color="auto"/>
            </w:tcBorders>
            <w:noWrap/>
            <w:vAlign w:val="bottom"/>
            <w:hideMark/>
          </w:tcPr>
          <w:p w14:paraId="5061ABEA" w14:textId="77777777" w:rsidR="0093676D" w:rsidRPr="00CB4F2E" w:rsidRDefault="0093676D" w:rsidP="00D80992">
            <w:r w:rsidRPr="00CB4F2E">
              <w:t>79</w:t>
            </w:r>
          </w:p>
        </w:tc>
        <w:tc>
          <w:tcPr>
            <w:tcW w:w="379" w:type="pct"/>
            <w:tcBorders>
              <w:bottom w:val="single" w:sz="12" w:space="0" w:color="auto"/>
            </w:tcBorders>
            <w:noWrap/>
            <w:vAlign w:val="bottom"/>
            <w:hideMark/>
          </w:tcPr>
          <w:p w14:paraId="4E0D001B" w14:textId="77777777" w:rsidR="0093676D" w:rsidRPr="00CB4F2E" w:rsidRDefault="0093676D" w:rsidP="00D80992">
            <w:r w:rsidRPr="00CB4F2E">
              <w:t>69</w:t>
            </w:r>
          </w:p>
        </w:tc>
        <w:tc>
          <w:tcPr>
            <w:tcW w:w="401" w:type="pct"/>
            <w:tcBorders>
              <w:bottom w:val="single" w:sz="12" w:space="0" w:color="auto"/>
            </w:tcBorders>
            <w:noWrap/>
            <w:vAlign w:val="bottom"/>
            <w:hideMark/>
          </w:tcPr>
          <w:p w14:paraId="63C9EC50" w14:textId="77777777" w:rsidR="0093676D" w:rsidRPr="00CB4F2E" w:rsidRDefault="0093676D" w:rsidP="00D80992">
            <w:r w:rsidRPr="00CB4F2E">
              <w:t>19</w:t>
            </w:r>
          </w:p>
        </w:tc>
        <w:tc>
          <w:tcPr>
            <w:tcW w:w="411" w:type="pct"/>
            <w:tcBorders>
              <w:bottom w:val="single" w:sz="12" w:space="0" w:color="auto"/>
            </w:tcBorders>
            <w:noWrap/>
            <w:vAlign w:val="bottom"/>
            <w:hideMark/>
          </w:tcPr>
          <w:p w14:paraId="547BB777" w14:textId="77777777" w:rsidR="0093676D" w:rsidRPr="00CB4F2E" w:rsidRDefault="0093676D" w:rsidP="00D80992">
            <w:r w:rsidRPr="00CB4F2E">
              <w:t>21</w:t>
            </w:r>
          </w:p>
        </w:tc>
        <w:tc>
          <w:tcPr>
            <w:tcW w:w="200" w:type="pct"/>
            <w:tcBorders>
              <w:bottom w:val="single" w:sz="12" w:space="0" w:color="auto"/>
            </w:tcBorders>
            <w:noWrap/>
            <w:vAlign w:val="bottom"/>
            <w:hideMark/>
          </w:tcPr>
          <w:p w14:paraId="293A3A7B" w14:textId="77777777" w:rsidR="0093676D" w:rsidRPr="00CB4F2E" w:rsidRDefault="0093676D" w:rsidP="00D80992">
            <w:r w:rsidRPr="00CB4F2E">
              <w:t>0</w:t>
            </w:r>
          </w:p>
        </w:tc>
        <w:tc>
          <w:tcPr>
            <w:tcW w:w="200" w:type="pct"/>
            <w:tcBorders>
              <w:bottom w:val="single" w:sz="12" w:space="0" w:color="auto"/>
            </w:tcBorders>
            <w:noWrap/>
            <w:vAlign w:val="bottom"/>
            <w:hideMark/>
          </w:tcPr>
          <w:p w14:paraId="39E249E4" w14:textId="77777777" w:rsidR="0093676D" w:rsidRPr="00CB4F2E" w:rsidRDefault="0093676D" w:rsidP="00D80992">
            <w:r w:rsidRPr="00CB4F2E">
              <w:t>0</w:t>
            </w:r>
          </w:p>
        </w:tc>
        <w:tc>
          <w:tcPr>
            <w:tcW w:w="171" w:type="pct"/>
            <w:tcBorders>
              <w:bottom w:val="single" w:sz="12" w:space="0" w:color="auto"/>
            </w:tcBorders>
            <w:noWrap/>
            <w:vAlign w:val="bottom"/>
            <w:hideMark/>
          </w:tcPr>
          <w:p w14:paraId="39397510" w14:textId="77777777" w:rsidR="0093676D" w:rsidRPr="00CB4F2E" w:rsidRDefault="0093676D" w:rsidP="00D80992">
            <w:r w:rsidRPr="00CB4F2E">
              <w:t>0</w:t>
            </w:r>
          </w:p>
        </w:tc>
        <w:tc>
          <w:tcPr>
            <w:tcW w:w="200" w:type="pct"/>
            <w:tcBorders>
              <w:bottom w:val="single" w:sz="12" w:space="0" w:color="auto"/>
            </w:tcBorders>
            <w:noWrap/>
            <w:vAlign w:val="bottom"/>
            <w:hideMark/>
          </w:tcPr>
          <w:p w14:paraId="6C4CBA5B" w14:textId="77777777" w:rsidR="0093676D" w:rsidRPr="00CB4F2E" w:rsidRDefault="0093676D" w:rsidP="00D80992">
            <w:r w:rsidRPr="00CB4F2E">
              <w:t>0</w:t>
            </w:r>
          </w:p>
        </w:tc>
        <w:tc>
          <w:tcPr>
            <w:tcW w:w="349" w:type="pct"/>
            <w:tcBorders>
              <w:bottom w:val="single" w:sz="12" w:space="0" w:color="auto"/>
            </w:tcBorders>
            <w:noWrap/>
            <w:vAlign w:val="bottom"/>
            <w:hideMark/>
          </w:tcPr>
          <w:p w14:paraId="56962334" w14:textId="77777777" w:rsidR="0093676D" w:rsidRPr="00CB4F2E" w:rsidRDefault="0093676D" w:rsidP="00D80992">
            <w:r w:rsidRPr="00CB4F2E">
              <w:t>0</w:t>
            </w:r>
          </w:p>
        </w:tc>
        <w:tc>
          <w:tcPr>
            <w:tcW w:w="486" w:type="pct"/>
            <w:tcBorders>
              <w:bottom w:val="single" w:sz="12" w:space="0" w:color="auto"/>
            </w:tcBorders>
            <w:noWrap/>
            <w:vAlign w:val="bottom"/>
            <w:hideMark/>
          </w:tcPr>
          <w:p w14:paraId="58D15C54" w14:textId="77777777" w:rsidR="0093676D" w:rsidRPr="00CB4F2E" w:rsidRDefault="0093676D" w:rsidP="00D80992">
            <w:r w:rsidRPr="00CB4F2E">
              <w:t>0</w:t>
            </w:r>
          </w:p>
        </w:tc>
        <w:tc>
          <w:tcPr>
            <w:tcW w:w="450" w:type="pct"/>
            <w:tcBorders>
              <w:bottom w:val="single" w:sz="12" w:space="0" w:color="auto"/>
            </w:tcBorders>
            <w:noWrap/>
            <w:vAlign w:val="bottom"/>
            <w:hideMark/>
          </w:tcPr>
          <w:p w14:paraId="72CFE591" w14:textId="77777777" w:rsidR="0093676D" w:rsidRPr="00CB4F2E" w:rsidRDefault="0093676D" w:rsidP="00D80992">
            <w:r w:rsidRPr="00CB4F2E">
              <w:t>0</w:t>
            </w:r>
          </w:p>
        </w:tc>
      </w:tr>
    </w:tbl>
    <w:p w14:paraId="1B719FF4" w14:textId="77777777" w:rsidR="0093676D" w:rsidRPr="00CB4F2E" w:rsidRDefault="0093676D" w:rsidP="0093676D"/>
    <w:p w14:paraId="71120A30" w14:textId="77777777" w:rsidR="0093676D" w:rsidRPr="00CB4F2E" w:rsidRDefault="0093676D" w:rsidP="0093676D">
      <w:pPr>
        <w:rPr>
          <w:b/>
          <w:u w:val="single"/>
        </w:rPr>
      </w:pPr>
      <w:r w:rsidRPr="00CB4F2E">
        <w:rPr>
          <w:b/>
          <w:u w:val="single"/>
        </w:rPr>
        <w:t>Legend</w:t>
      </w:r>
    </w:p>
    <w:p w14:paraId="5C1DB644" w14:textId="77777777" w:rsidR="0093676D" w:rsidRPr="00CB4F2E" w:rsidRDefault="0093676D" w:rsidP="0093676D">
      <w:r w:rsidRPr="00CB4F2E">
        <w:t>H : Homme</w:t>
      </w:r>
    </w:p>
    <w:p w14:paraId="7AE63F04" w14:textId="77777777" w:rsidR="0093676D" w:rsidRPr="00CB4F2E" w:rsidRDefault="0093676D" w:rsidP="0093676D">
      <w:r w:rsidRPr="00CB4F2E">
        <w:t>F : Femme</w:t>
      </w:r>
    </w:p>
    <w:p w14:paraId="6E0C875E" w14:textId="77777777" w:rsidR="0093676D" w:rsidRPr="00CB4F2E" w:rsidRDefault="0093676D" w:rsidP="0093676D">
      <w:r w:rsidRPr="00CB4F2E">
        <w:t>F : Fille</w:t>
      </w:r>
    </w:p>
    <w:p w14:paraId="355640FC" w14:textId="77777777" w:rsidR="00ED20A7" w:rsidRDefault="0093676D" w:rsidP="0093676D">
      <w:r w:rsidRPr="00CB4F2E">
        <w:t>G: Garçon</w:t>
      </w:r>
    </w:p>
    <w:p w14:paraId="2ADE931D" w14:textId="104189D5" w:rsidR="00ED20A7" w:rsidRPr="00FE0B04" w:rsidRDefault="00FE0B04" w:rsidP="00FE0B04">
      <w:pPr>
        <w:spacing w:before="240"/>
        <w:jc w:val="center"/>
        <w:rPr>
          <w:u w:val="single"/>
        </w:rPr>
      </w:pPr>
      <w:r>
        <w:rPr>
          <w:u w:val="single"/>
        </w:rPr>
        <w:tab/>
      </w:r>
      <w:r>
        <w:rPr>
          <w:u w:val="single"/>
        </w:rPr>
        <w:tab/>
      </w:r>
      <w:r>
        <w:rPr>
          <w:u w:val="single"/>
        </w:rPr>
        <w:tab/>
      </w:r>
    </w:p>
    <w:p w14:paraId="2E4EAB6B" w14:textId="285DA062" w:rsidR="00C2044C" w:rsidRPr="00A0304E" w:rsidRDefault="00C2044C" w:rsidP="00A0304E">
      <w:pPr>
        <w:pStyle w:val="SingleTxtG"/>
      </w:pPr>
    </w:p>
    <w:sectPr w:rsidR="00C2044C" w:rsidRPr="00A0304E" w:rsidSect="00FE0B04">
      <w:footerReference w:type="even" r:id="rId59"/>
      <w:footerReference w:type="default" r:id="rId60"/>
      <w:footerReference w:type="first" r:id="rId61"/>
      <w:endnotePr>
        <w:numFmt w:val="decimal"/>
      </w:endnotePr>
      <w:pgSz w:w="11906" w:h="16838" w:code="9"/>
      <w:pgMar w:top="1417" w:right="1134" w:bottom="993"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2084" w14:textId="77777777" w:rsidR="00D4240C" w:rsidRDefault="00D4240C" w:rsidP="00F95C08">
      <w:pPr>
        <w:spacing w:line="240" w:lineRule="auto"/>
      </w:pPr>
    </w:p>
  </w:endnote>
  <w:endnote w:type="continuationSeparator" w:id="0">
    <w:p w14:paraId="621BA149" w14:textId="77777777" w:rsidR="00D4240C" w:rsidRPr="00AC3823" w:rsidRDefault="00D4240C" w:rsidP="00AC3823">
      <w:pPr>
        <w:pStyle w:val="Footer"/>
      </w:pPr>
    </w:p>
  </w:endnote>
  <w:endnote w:type="continuationNotice" w:id="1">
    <w:p w14:paraId="0C346D74" w14:textId="77777777" w:rsidR="00D4240C" w:rsidRDefault="00D424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FB51A" w14:textId="2D465AC8" w:rsidR="00A0304E" w:rsidRPr="00A0304E" w:rsidRDefault="00A0304E" w:rsidP="00A0304E">
    <w:pPr>
      <w:pStyle w:val="Footer"/>
      <w:tabs>
        <w:tab w:val="right" w:pos="9638"/>
      </w:tabs>
      <w:rPr>
        <w:sz w:val="18"/>
      </w:rPr>
    </w:pPr>
    <w:r w:rsidRPr="00A0304E">
      <w:rPr>
        <w:b/>
        <w:sz w:val="18"/>
      </w:rPr>
      <w:fldChar w:fldCharType="begin"/>
    </w:r>
    <w:r w:rsidRPr="00A0304E">
      <w:rPr>
        <w:b/>
        <w:sz w:val="18"/>
      </w:rPr>
      <w:instrText xml:space="preserve"> PAGE  \* MERGEFORMAT </w:instrText>
    </w:r>
    <w:r w:rsidRPr="00A0304E">
      <w:rPr>
        <w:b/>
        <w:sz w:val="18"/>
      </w:rPr>
      <w:fldChar w:fldCharType="separate"/>
    </w:r>
    <w:r w:rsidRPr="00A0304E">
      <w:rPr>
        <w:b/>
        <w:noProof/>
        <w:sz w:val="18"/>
      </w:rPr>
      <w:t>2</w:t>
    </w:r>
    <w:r w:rsidRPr="00A030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B6273" w14:textId="624ECB40" w:rsidR="00A0304E" w:rsidRPr="00A0304E" w:rsidRDefault="00A0304E" w:rsidP="00A0304E">
    <w:pPr>
      <w:pStyle w:val="Footer"/>
      <w:tabs>
        <w:tab w:val="right" w:pos="9638"/>
      </w:tabs>
      <w:rPr>
        <w:b/>
        <w:sz w:val="18"/>
      </w:rPr>
    </w:pPr>
    <w:r>
      <w:tab/>
    </w:r>
    <w:r w:rsidRPr="00A0304E">
      <w:rPr>
        <w:b/>
        <w:sz w:val="18"/>
      </w:rPr>
      <w:fldChar w:fldCharType="begin"/>
    </w:r>
    <w:r w:rsidRPr="00A0304E">
      <w:rPr>
        <w:b/>
        <w:sz w:val="18"/>
      </w:rPr>
      <w:instrText xml:space="preserve"> PAGE  \* MERGEFORMAT </w:instrText>
    </w:r>
    <w:r w:rsidRPr="00A0304E">
      <w:rPr>
        <w:b/>
        <w:sz w:val="18"/>
      </w:rPr>
      <w:fldChar w:fldCharType="separate"/>
    </w:r>
    <w:r w:rsidRPr="00A0304E">
      <w:rPr>
        <w:b/>
        <w:noProof/>
        <w:sz w:val="18"/>
      </w:rPr>
      <w:t>3</w:t>
    </w:r>
    <w:r w:rsidRPr="00A030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E46B1" w14:textId="760E711B" w:rsidR="001B379B" w:rsidRPr="00A0304E" w:rsidRDefault="001B379B">
    <w:pPr>
      <w:pStyle w:val="Footer"/>
      <w:rPr>
        <w:sz w:val="20"/>
      </w:rPr>
    </w:pPr>
    <w:r>
      <w:rPr>
        <w:noProof/>
        <w:lang w:eastAsia="fr-CH"/>
      </w:rPr>
      <w:drawing>
        <wp:anchor distT="0" distB="0" distL="114300" distR="114300" simplePos="0" relativeHeight="251659264" behindDoc="0" locked="0" layoutInCell="1" allowOverlap="0" wp14:anchorId="307F8BB5" wp14:editId="281F796B">
          <wp:simplePos x="0" y="0"/>
          <wp:positionH relativeFrom="margin">
            <wp:posOffset>5003800</wp:posOffset>
          </wp:positionH>
          <wp:positionV relativeFrom="margin">
            <wp:posOffset>9323705</wp:posOffset>
          </wp:positionV>
          <wp:extent cx="1105200" cy="234000"/>
          <wp:effectExtent l="0" t="0" r="0" b="0"/>
          <wp:wrapNone/>
          <wp:docPr id="464982388"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304E">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20DED" w14:textId="77777777" w:rsidR="00D4240C" w:rsidRPr="00AC3823" w:rsidRDefault="00D4240C" w:rsidP="00AC3823">
      <w:pPr>
        <w:pStyle w:val="Footer"/>
        <w:tabs>
          <w:tab w:val="right" w:pos="2155"/>
        </w:tabs>
        <w:spacing w:after="80" w:line="240" w:lineRule="atLeast"/>
        <w:ind w:left="680"/>
        <w:rPr>
          <w:u w:val="single"/>
        </w:rPr>
      </w:pPr>
      <w:r>
        <w:rPr>
          <w:u w:val="single"/>
        </w:rPr>
        <w:tab/>
      </w:r>
    </w:p>
  </w:footnote>
  <w:footnote w:type="continuationSeparator" w:id="0">
    <w:p w14:paraId="33CE6CA0" w14:textId="77777777" w:rsidR="00D4240C" w:rsidRPr="00AC3823" w:rsidRDefault="00D4240C" w:rsidP="00AC3823">
      <w:pPr>
        <w:pStyle w:val="Footer"/>
        <w:tabs>
          <w:tab w:val="right" w:pos="2155"/>
        </w:tabs>
        <w:spacing w:after="80" w:line="240" w:lineRule="atLeast"/>
        <w:ind w:left="680"/>
        <w:rPr>
          <w:u w:val="single"/>
        </w:rPr>
      </w:pPr>
      <w:r>
        <w:rPr>
          <w:u w:val="single"/>
        </w:rPr>
        <w:tab/>
      </w:r>
    </w:p>
  </w:footnote>
  <w:footnote w:type="continuationNotice" w:id="1">
    <w:p w14:paraId="11FEB315" w14:textId="77777777" w:rsidR="00D4240C" w:rsidRPr="00AC3823" w:rsidRDefault="00D4240C">
      <w:pPr>
        <w:spacing w:line="240" w:lineRule="auto"/>
        <w:rPr>
          <w:sz w:val="2"/>
          <w:szCs w:val="2"/>
        </w:rPr>
      </w:pPr>
    </w:p>
  </w:footnote>
  <w:footnote w:id="2">
    <w:p w14:paraId="1815ED31" w14:textId="77777777" w:rsidR="00A0304E" w:rsidRPr="00814A47" w:rsidRDefault="00A0304E" w:rsidP="00A0304E">
      <w:pPr>
        <w:pStyle w:val="FootnoteText"/>
      </w:pPr>
      <w:r>
        <w:rPr>
          <w:rStyle w:val="FootnoteReference"/>
        </w:rPr>
        <w:tab/>
      </w:r>
      <w:r w:rsidRPr="00AA3923">
        <w:rPr>
          <w:rStyle w:val="FootnoteReference"/>
          <w:sz w:val="20"/>
          <w:vertAlign w:val="baseline"/>
        </w:rPr>
        <w:t>*</w:t>
      </w:r>
      <w:r>
        <w:rPr>
          <w:rStyle w:val="FootnoteReference"/>
          <w:sz w:val="20"/>
          <w:vertAlign w:val="baseline"/>
        </w:rPr>
        <w:tab/>
      </w:r>
      <w:r>
        <w:t>Le présent document n’a pas été revu par les services d’édition.</w:t>
      </w:r>
    </w:p>
  </w:footnote>
  <w:footnote w:id="3">
    <w:p w14:paraId="5067E3C9" w14:textId="5E686184" w:rsidR="0093676D" w:rsidRDefault="00CF37A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1" w:history="1">
        <w:r w:rsidRPr="004B06E9">
          <w:rPr>
            <w:rStyle w:val="Hyperlink"/>
            <w:sz w:val="20"/>
          </w:rPr>
          <w:t>https://ins-cameroun.cm/wp-content/uploads/2024/05/Brochure-Ecam-5-En.pdf</w:t>
        </w:r>
      </w:hyperlink>
      <w:r w:rsidR="0093676D">
        <w:rPr>
          <w:color w:val="000000"/>
          <w:sz w:val="20"/>
        </w:rPr>
        <w:t>.</w:t>
      </w:r>
    </w:p>
  </w:footnote>
  <w:footnote w:id="4">
    <w:p w14:paraId="3C9A84FD" w14:textId="0588CAD1" w:rsidR="0093676D" w:rsidRDefault="00CF37AD" w:rsidP="00CF37AD">
      <w:pPr>
        <w:pStyle w:val="FootnoteText"/>
        <w:rPr>
          <w:color w:val="000000"/>
          <w:sz w:val="20"/>
          <w:lang w:val="fr-FR"/>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2" w:history="1">
        <w:r w:rsidRPr="004B06E9">
          <w:rPr>
            <w:rStyle w:val="Hyperlink"/>
            <w:sz w:val="20"/>
          </w:rPr>
          <w:t>https://ins-cameroun.cm/wp-content/uploads/2024/09/Rapport-sur-les-statistiques-de-letat-civil-au-Cameroun_version-finale-13-03-2024.pdf</w:t>
        </w:r>
      </w:hyperlink>
      <w:r w:rsidR="0093676D">
        <w:rPr>
          <w:color w:val="000000"/>
          <w:sz w:val="20"/>
        </w:rPr>
        <w:t xml:space="preserve"> .</w:t>
      </w:r>
    </w:p>
  </w:footnote>
  <w:footnote w:id="5">
    <w:p w14:paraId="0EECB821" w14:textId="3F057534" w:rsidR="0093676D" w:rsidRDefault="00CF37A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3" w:history="1">
        <w:r w:rsidRPr="004B06E9">
          <w:rPr>
            <w:rStyle w:val="Hyperlink"/>
            <w:sz w:val="20"/>
          </w:rPr>
          <w:t>https://ins-cameroun.cm/wp-content/uploads/2023/11/EESI3_Rapport-principal_Emploi_VF.pdf</w:t>
        </w:r>
      </w:hyperlink>
      <w:r w:rsidR="0093676D">
        <w:rPr>
          <w:color w:val="000000"/>
          <w:sz w:val="20"/>
        </w:rPr>
        <w:t>.</w:t>
      </w:r>
    </w:p>
  </w:footnote>
  <w:footnote w:id="6">
    <w:p w14:paraId="2A6071C7" w14:textId="33AE8C06" w:rsidR="0093676D" w:rsidRPr="001E4B1D" w:rsidRDefault="00CF37AD" w:rsidP="00CF37AD">
      <w:pPr>
        <w:pStyle w:val="FootnoteText"/>
        <w:rPr>
          <w:rStyle w:val="Hyperlink"/>
          <w:sz w:val="20"/>
          <w:vertAlign w:val="superscript"/>
        </w:rPr>
      </w:pPr>
      <w:r>
        <w:tab/>
      </w:r>
      <w:r w:rsidR="0093676D" w:rsidRPr="00CF37AD">
        <w:rPr>
          <w:rStyle w:val="FootnoteReference"/>
        </w:rPr>
        <w:footnoteRef/>
      </w:r>
      <w:r w:rsidR="001E4B1D">
        <w:tab/>
      </w:r>
      <w:hyperlink r:id="rId4" w:history="1">
        <w:r w:rsidR="001E4B1D" w:rsidRPr="004B06E9">
          <w:rPr>
            <w:rStyle w:val="Hyperlink"/>
          </w:rPr>
          <w:t>http://cdnss.minsante.cm/sites/default/files/Rapport%20analytique%20PF%20Cameroun%202023_Version%20Finale.pdf</w:t>
        </w:r>
      </w:hyperlink>
      <w:r w:rsidR="0093676D" w:rsidRPr="001E4B1D">
        <w:t>.</w:t>
      </w:r>
    </w:p>
  </w:footnote>
  <w:footnote w:id="7">
    <w:p w14:paraId="50F9A414" w14:textId="62AE4E14" w:rsidR="0093676D" w:rsidRDefault="001E4B1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5" w:history="1">
        <w:r w:rsidRPr="004B06E9">
          <w:rPr>
            <w:rStyle w:val="Hyperlink"/>
            <w:sz w:val="20"/>
          </w:rPr>
          <w:t>https://data.unwomen.org/sites/default/files/documents/Publications/2023/Cameroon_Gender-Equality-Profile.pdf</w:t>
        </w:r>
      </w:hyperlink>
    </w:p>
  </w:footnote>
  <w:footnote w:id="8">
    <w:p w14:paraId="1418635E" w14:textId="7E6595E8" w:rsidR="0093676D" w:rsidRDefault="001E4B1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6" w:history="1">
        <w:r w:rsidRPr="004B06E9">
          <w:rPr>
            <w:rStyle w:val="Hyperlink"/>
            <w:sz w:val="20"/>
          </w:rPr>
          <w:t>https://ins-cameroun.cm/document/rapport-danalyse-de-lannuaire-statistique-du-secteur-de-leducation-et-formation-au-cameroun-2022/</w:t>
        </w:r>
      </w:hyperlink>
      <w:r w:rsidR="0093676D">
        <w:rPr>
          <w:color w:val="000000"/>
          <w:sz w:val="20"/>
        </w:rPr>
        <w:t>.</w:t>
      </w:r>
    </w:p>
  </w:footnote>
  <w:footnote w:id="9">
    <w:p w14:paraId="06A8C74C" w14:textId="22AB7B32" w:rsidR="0093676D" w:rsidRDefault="001E4B1D" w:rsidP="00CF37AD">
      <w:pPr>
        <w:pStyle w:val="FootnoteText"/>
        <w:rPr>
          <w:color w:val="000000"/>
        </w:rPr>
      </w:pPr>
      <w:r>
        <w:rPr>
          <w:color w:val="000000"/>
        </w:rPr>
        <w:tab/>
      </w:r>
      <w:r w:rsidR="0093676D" w:rsidRPr="00CF37AD">
        <w:rPr>
          <w:rStyle w:val="FootnoteReference"/>
        </w:rPr>
        <w:footnoteRef/>
      </w:r>
      <w:r w:rsidR="0093676D">
        <w:rPr>
          <w:color w:val="000000"/>
        </w:rPr>
        <w:t xml:space="preserve"> </w:t>
      </w:r>
      <w:r>
        <w:rPr>
          <w:color w:val="000000"/>
        </w:rPr>
        <w:tab/>
      </w:r>
      <w:hyperlink r:id="rId7" w:history="1">
        <w:r w:rsidRPr="004B06E9">
          <w:rPr>
            <w:rStyle w:val="Hyperlink"/>
          </w:rPr>
          <w:t>https://www.minhdu.gov.cm/deuxieme-rapport-national-dexamen-volontaire-sur-la-mise-en-oeuvre-de-lodd-11-et-du-nouveau-programme-pour-les-villes-au-cameroun/</w:t>
        </w:r>
      </w:hyperlink>
      <w:r w:rsidR="0093676D">
        <w:rPr>
          <w:color w:val="000000"/>
        </w:rPr>
        <w:t>.</w:t>
      </w:r>
    </w:p>
  </w:footnote>
  <w:footnote w:id="10">
    <w:p w14:paraId="13F2604A" w14:textId="048E9032" w:rsidR="0093676D" w:rsidRDefault="001E4B1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8" w:history="1">
        <w:r w:rsidRPr="004B06E9">
          <w:rPr>
            <w:rStyle w:val="Hyperlink"/>
            <w:sz w:val="20"/>
          </w:rPr>
          <w:t>https://ins-cameroun.cm/document/projections-demographiques-et-estimations-des-cibles-prioritaires-des-differents-programmes-et-interventions-de-sante/</w:t>
        </w:r>
      </w:hyperlink>
      <w:r w:rsidR="0093676D">
        <w:rPr>
          <w:color w:val="000000"/>
          <w:sz w:val="20"/>
        </w:rPr>
        <w:t>.</w:t>
      </w:r>
    </w:p>
  </w:footnote>
  <w:footnote w:id="11">
    <w:p w14:paraId="5464BAC4" w14:textId="3D7E67D7" w:rsidR="0093676D" w:rsidRDefault="001E4B1D"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9" w:history="1">
        <w:r w:rsidRPr="004B06E9">
          <w:rPr>
            <w:rStyle w:val="Hyperlink"/>
            <w:sz w:val="20"/>
          </w:rPr>
          <w:t>https://ins-cameroun.cm/statistique/annuaire-statistique-du-cameroun-edition-2019-2/</w:t>
        </w:r>
      </w:hyperlink>
      <w:r w:rsidR="0093676D">
        <w:rPr>
          <w:color w:val="000000"/>
          <w:sz w:val="20"/>
        </w:rPr>
        <w:t>.</w:t>
      </w:r>
    </w:p>
  </w:footnote>
  <w:footnote w:id="12">
    <w:p w14:paraId="375DE0C6" w14:textId="28334960" w:rsidR="0093676D" w:rsidRDefault="001E4B1D" w:rsidP="00CF37AD">
      <w:pPr>
        <w:pStyle w:val="FootnoteText"/>
        <w:rPr>
          <w:color w:val="000000"/>
          <w:sz w:val="20"/>
          <w:lang w:val="fr-FR"/>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10" w:history="1">
        <w:r w:rsidRPr="004B06E9">
          <w:rPr>
            <w:rStyle w:val="Hyperlink"/>
            <w:sz w:val="20"/>
          </w:rPr>
          <w:t>https://www.minsante.cm/site/?q=en/node/4728</w:t>
        </w:r>
      </w:hyperlink>
      <w:r w:rsidR="0093676D">
        <w:rPr>
          <w:color w:val="000000"/>
          <w:sz w:val="20"/>
        </w:rPr>
        <w:t xml:space="preserve">. </w:t>
      </w:r>
    </w:p>
  </w:footnote>
  <w:footnote w:id="13">
    <w:p w14:paraId="2784D12A" w14:textId="2C76D7CD" w:rsidR="0093676D" w:rsidRPr="00B74D55" w:rsidRDefault="001E4B1D" w:rsidP="00CF37AD">
      <w:pPr>
        <w:pStyle w:val="FootnoteText"/>
      </w:pPr>
      <w:r>
        <w:tab/>
      </w:r>
      <w:r w:rsidR="0093676D" w:rsidRPr="00CF37AD">
        <w:rPr>
          <w:rStyle w:val="FootnoteReference"/>
        </w:rPr>
        <w:footnoteRef/>
      </w:r>
      <w:r w:rsidR="00B74D55">
        <w:tab/>
      </w:r>
      <w:hyperlink r:id="rId11" w:history="1">
        <w:r w:rsidR="00B74D55" w:rsidRPr="00B74D55">
          <w:t>http://cdnss.minsante.cm/sites/default/files/Rapport%20analytique%20PF%20Cameroun%202023_Version%20Finale.pdf</w:t>
        </w:r>
      </w:hyperlink>
      <w:r w:rsidR="0093676D" w:rsidRPr="00B74D55">
        <w:t>.</w:t>
      </w:r>
    </w:p>
  </w:footnote>
  <w:footnote w:id="14">
    <w:p w14:paraId="2D590BCE" w14:textId="291A687A" w:rsidR="0093676D" w:rsidRPr="00B74D55" w:rsidRDefault="00B74D55"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B74D55">
        <w:t>L’effectif était de 5 289 656 élèves, soit 2 514 152 filles et 2 775 504 garçons</w:t>
      </w:r>
      <w:r w:rsidR="0093676D" w:rsidRPr="00B74D55">
        <w:footnoteRef/>
      </w:r>
      <w:r w:rsidR="0093676D" w:rsidRPr="00B74D55">
        <w:t>. Dans le sous-système anglophone, 1 109 337 élèves ont été enregistrés dont 554 187 filles et 555 150 garçons et dans le sous-système francophone, on a compté 4 180 319 élèves dont 2 514 152 filles et 2 775 504 garçons.</w:t>
      </w:r>
    </w:p>
  </w:footnote>
  <w:footnote w:id="15">
    <w:p w14:paraId="4C26A59E" w14:textId="1F03F31F" w:rsidR="0093676D" w:rsidRDefault="00B74D55" w:rsidP="00CF37AD">
      <w:pPr>
        <w:pStyle w:val="FootnoteText"/>
        <w:rPr>
          <w:color w:val="000000"/>
          <w:sz w:val="20"/>
          <w:lang w:val="fr-FR"/>
        </w:rPr>
      </w:pPr>
      <w:r>
        <w:rPr>
          <w:color w:val="000000"/>
          <w:sz w:val="20"/>
        </w:rPr>
        <w:tab/>
      </w:r>
      <w:r w:rsidR="0093676D" w:rsidRPr="00CF37AD">
        <w:rPr>
          <w:rStyle w:val="FootnoteReference"/>
        </w:rPr>
        <w:footnoteRef/>
      </w:r>
      <w:r>
        <w:rPr>
          <w:color w:val="000000"/>
          <w:sz w:val="20"/>
        </w:rPr>
        <w:tab/>
      </w:r>
      <w:r w:rsidR="0093676D">
        <w:rPr>
          <w:color w:val="000000"/>
          <w:sz w:val="20"/>
        </w:rPr>
        <w:t>Contre 22 834 en 2022/2023 soit une augmentation de (5,4%). Plus de la moitié des écoles relèvent du public soit 55,6% pour un effectif de 13 386 établissements, de suivi du privé (41%) et le communautaire (3,4%). Selon le milieu d’implantation, 6 écoles sur 10 se situent en milieu rural soit un total de 14 359 établissements primaires. Selon le sous-système d’enseignement, 33,4% des établissements du primaire sont du sous-système anglophone.</w:t>
      </w:r>
    </w:p>
  </w:footnote>
  <w:footnote w:id="16">
    <w:p w14:paraId="01AC78B1" w14:textId="171D8F48" w:rsidR="0093676D" w:rsidRPr="00281542" w:rsidRDefault="00B74D55" w:rsidP="00CF37AD">
      <w:pPr>
        <w:pStyle w:val="FootnoteText"/>
      </w:pPr>
      <w:r>
        <w:rPr>
          <w:color w:val="000000"/>
          <w:sz w:val="20"/>
        </w:rPr>
        <w:tab/>
      </w:r>
      <w:r w:rsidR="0093676D" w:rsidRPr="00CF37AD">
        <w:rPr>
          <w:rStyle w:val="FootnoteReference"/>
        </w:rPr>
        <w:footnoteRef/>
      </w:r>
      <w:r>
        <w:rPr>
          <w:color w:val="000000"/>
          <w:sz w:val="20"/>
        </w:rPr>
        <w:tab/>
      </w:r>
      <w:r w:rsidR="0093676D" w:rsidRPr="00281542">
        <w:t xml:space="preserve">A l’instar de l’Institut de la Gouvernance Numérique Universitaire, de l’Institut pour la Promotion des Sciences, de la Créativité, de l’Innovation et des Technologies, de l’Institut de la Francophonie pour la Gouvernance Universitaire, de l’Institut Africaine de l’Informatique (IAI) et de l’African Institute for </w:t>
      </w:r>
      <w:proofErr w:type="spellStart"/>
      <w:r w:rsidR="0093676D" w:rsidRPr="00281542">
        <w:t>Mathematical</w:t>
      </w:r>
      <w:proofErr w:type="spellEnd"/>
      <w:r w:rsidR="0093676D" w:rsidRPr="00281542">
        <w:t xml:space="preserve"> Sciences (AIMS), deux universités virtuelles, une université panafricaine, l’université </w:t>
      </w:r>
      <w:proofErr w:type="spellStart"/>
      <w:r w:rsidR="0093676D" w:rsidRPr="00281542">
        <w:t>inter-Etat</w:t>
      </w:r>
      <w:proofErr w:type="spellEnd"/>
      <w:r w:rsidR="0093676D" w:rsidRPr="00281542">
        <w:t xml:space="preserve"> Cameroun-Congo située à Sangmélima, une zone franche universitaire.</w:t>
      </w:r>
    </w:p>
  </w:footnote>
  <w:footnote w:id="17">
    <w:p w14:paraId="509ECD0E" w14:textId="344B62AA" w:rsidR="0093676D" w:rsidRDefault="00B74D55"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ab/>
        <w:t>Estimation du Programme des Nations Unies pour le développement (PNUD), 2006.</w:t>
      </w:r>
    </w:p>
  </w:footnote>
  <w:footnote w:id="18">
    <w:p w14:paraId="772D791D" w14:textId="77FE2287" w:rsidR="0093676D" w:rsidRDefault="00B74D55"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Pr>
          <w:color w:val="000000"/>
          <w:sz w:val="20"/>
        </w:rPr>
        <w:t>Cette institution est composée de 85 membres nommés par le Président de la République pour un mandat de cinq ans. Ces membres sont répartis de la manière suivante : 14 représentants des salariés</w:t>
      </w:r>
      <w:r w:rsidR="0027203C">
        <w:rPr>
          <w:color w:val="000000"/>
          <w:sz w:val="20"/>
        </w:rPr>
        <w:t>;</w:t>
      </w:r>
      <w:r w:rsidR="0093676D">
        <w:rPr>
          <w:color w:val="000000"/>
          <w:sz w:val="20"/>
        </w:rPr>
        <w:t xml:space="preserve"> 12 membres pour les activités commerciales et industrielles</w:t>
      </w:r>
      <w:r w:rsidR="0027203C">
        <w:rPr>
          <w:color w:val="000000"/>
          <w:sz w:val="20"/>
        </w:rPr>
        <w:t>;</w:t>
      </w:r>
      <w:r w:rsidR="0093676D">
        <w:rPr>
          <w:color w:val="000000"/>
          <w:sz w:val="20"/>
        </w:rPr>
        <w:t xml:space="preserve"> 11 membres pour les activités coopératives, de l’artisanat, des associations familiales et des mouvements de jeunesse</w:t>
      </w:r>
      <w:r w:rsidR="0027203C">
        <w:rPr>
          <w:color w:val="000000"/>
          <w:sz w:val="20"/>
        </w:rPr>
        <w:t>;</w:t>
      </w:r>
      <w:r w:rsidR="0093676D">
        <w:rPr>
          <w:color w:val="000000"/>
          <w:sz w:val="20"/>
        </w:rPr>
        <w:t xml:space="preserve"> 4 membres du secteur bancaire et du crédit</w:t>
      </w:r>
      <w:r w:rsidR="0027203C">
        <w:rPr>
          <w:color w:val="000000"/>
          <w:sz w:val="20"/>
        </w:rPr>
        <w:t>;</w:t>
      </w:r>
      <w:r w:rsidR="0093676D">
        <w:rPr>
          <w:color w:val="000000"/>
          <w:sz w:val="20"/>
        </w:rPr>
        <w:t xml:space="preserve"> 14 membres pour les activités agricoles</w:t>
      </w:r>
      <w:r w:rsidR="0027203C">
        <w:rPr>
          <w:color w:val="000000"/>
          <w:sz w:val="20"/>
        </w:rPr>
        <w:t>;</w:t>
      </w:r>
      <w:r w:rsidR="0093676D">
        <w:rPr>
          <w:color w:val="000000"/>
          <w:sz w:val="20"/>
        </w:rPr>
        <w:t xml:space="preserve"> 30 membres choisis en raison de leur compétence dans le domaine économique, dans le domaine de la santé et celui des activités socioculturelles.</w:t>
      </w:r>
    </w:p>
  </w:footnote>
  <w:footnote w:id="19">
    <w:p w14:paraId="268C3503" w14:textId="4F32CE6E" w:rsidR="0093676D" w:rsidRPr="00F863B0" w:rsidRDefault="00B74D55" w:rsidP="00CF37AD">
      <w:pPr>
        <w:pStyle w:val="FootnoteText"/>
      </w:pPr>
      <w:r>
        <w:tab/>
      </w:r>
      <w:r w:rsidR="0093676D" w:rsidRPr="00CF37AD">
        <w:rPr>
          <w:rStyle w:val="FootnoteReference"/>
        </w:rPr>
        <w:footnoteRef/>
      </w:r>
      <w:r w:rsidR="0093676D" w:rsidRPr="00F863B0">
        <w:t xml:space="preserve"> </w:t>
      </w:r>
      <w:r>
        <w:tab/>
      </w:r>
      <w:r w:rsidR="0093676D" w:rsidRPr="00F863B0">
        <w:t xml:space="preserve">1 000 000 FCFA équivaut à 1 524,49 euros. </w:t>
      </w:r>
    </w:p>
  </w:footnote>
  <w:footnote w:id="20">
    <w:p w14:paraId="6BDA8815" w14:textId="0A2ED9C7" w:rsidR="0093676D" w:rsidRPr="008E1476" w:rsidRDefault="00B74D55" w:rsidP="00CF37AD">
      <w:pPr>
        <w:pStyle w:val="FootnoteText"/>
      </w:pPr>
      <w:r>
        <w:tab/>
      </w:r>
      <w:r w:rsidR="0093676D" w:rsidRPr="00CF37AD">
        <w:rPr>
          <w:rStyle w:val="FootnoteReference"/>
        </w:rPr>
        <w:footnoteRef/>
      </w:r>
      <w:r w:rsidR="0093676D" w:rsidRPr="00295513">
        <w:t xml:space="preserve"> </w:t>
      </w:r>
      <w:r>
        <w:tab/>
      </w:r>
      <w:hyperlink r:id="rId12" w:history="1">
        <w:r w:rsidRPr="004B06E9">
          <w:rPr>
            <w:rStyle w:val="Hyperlink"/>
          </w:rPr>
          <w:t>https://ins-cameroun.cm/statistique/eesi3-phase-1-enquete-sur-lemploi-rapport-principal/</w:t>
        </w:r>
      </w:hyperlink>
    </w:p>
  </w:footnote>
  <w:footnote w:id="21">
    <w:p w14:paraId="39A37F39" w14:textId="1B39ED00" w:rsidR="0093676D" w:rsidRPr="00975A35" w:rsidRDefault="00B74D55" w:rsidP="00CF37AD">
      <w:pPr>
        <w:pStyle w:val="FootnoteText"/>
      </w:pPr>
      <w:r>
        <w:rPr>
          <w:color w:val="000000"/>
          <w:sz w:val="20"/>
        </w:rPr>
        <w:tab/>
      </w:r>
      <w:r w:rsidR="0093676D" w:rsidRPr="00CF37AD">
        <w:rPr>
          <w:rStyle w:val="FootnoteReference"/>
        </w:rPr>
        <w:footnoteRef/>
      </w:r>
      <w:r w:rsidR="0093676D" w:rsidRPr="008E1476">
        <w:rPr>
          <w:color w:val="000000"/>
          <w:sz w:val="20"/>
        </w:rPr>
        <w:t xml:space="preserve"> </w:t>
      </w:r>
      <w:r>
        <w:rPr>
          <w:color w:val="000000"/>
          <w:sz w:val="20"/>
        </w:rPr>
        <w:tab/>
      </w:r>
      <w:r w:rsidR="0093676D" w:rsidRPr="00975A35">
        <w:t>Le Salaire Minimum Interprofessionnel Garanti au Cameroun est actuellement de 36 270 FCFA soit 55,37 euros.</w:t>
      </w:r>
    </w:p>
  </w:footnote>
  <w:footnote w:id="22">
    <w:p w14:paraId="50546F45" w14:textId="4D684073" w:rsidR="0093676D" w:rsidRPr="00DA7AB7" w:rsidRDefault="00B74D55" w:rsidP="00CF37AD">
      <w:pPr>
        <w:pStyle w:val="FootnoteText"/>
        <w:rPr>
          <w:color w:val="000000"/>
        </w:rPr>
      </w:pPr>
      <w:r>
        <w:rPr>
          <w:color w:val="000000"/>
        </w:rPr>
        <w:tab/>
      </w:r>
      <w:r w:rsidR="0093676D" w:rsidRPr="00CF37AD">
        <w:rPr>
          <w:rStyle w:val="FootnoteReference"/>
        </w:rPr>
        <w:footnoteRef/>
      </w:r>
      <w:r w:rsidR="0093676D" w:rsidRPr="00DA7AB7">
        <w:rPr>
          <w:color w:val="000000"/>
        </w:rPr>
        <w:t xml:space="preserve"> </w:t>
      </w:r>
      <w:r>
        <w:rPr>
          <w:color w:val="000000"/>
        </w:rPr>
        <w:tab/>
      </w:r>
      <w:r w:rsidR="0093676D" w:rsidRPr="00DA7AB7">
        <w:rPr>
          <w:color w:val="000000"/>
        </w:rPr>
        <w:t>Soit 5 065 152, 24 euros.</w:t>
      </w:r>
    </w:p>
  </w:footnote>
  <w:footnote w:id="23">
    <w:p w14:paraId="523D816F" w14:textId="6D413DED" w:rsidR="0093676D" w:rsidRPr="00DA7AB7" w:rsidRDefault="00B74D55" w:rsidP="00CF37AD">
      <w:pPr>
        <w:pStyle w:val="FootnoteText"/>
        <w:rPr>
          <w:color w:val="000000"/>
        </w:rPr>
      </w:pPr>
      <w:r>
        <w:rPr>
          <w:color w:val="000000"/>
        </w:rPr>
        <w:tab/>
      </w:r>
      <w:r w:rsidR="0093676D" w:rsidRPr="00CF37AD">
        <w:rPr>
          <w:rStyle w:val="FootnoteReference"/>
        </w:rPr>
        <w:footnoteRef/>
      </w:r>
      <w:r w:rsidR="0093676D" w:rsidRPr="00DA7AB7">
        <w:rPr>
          <w:color w:val="000000"/>
        </w:rPr>
        <w:t xml:space="preserve"> </w:t>
      </w:r>
      <w:r>
        <w:rPr>
          <w:color w:val="000000"/>
        </w:rPr>
        <w:tab/>
      </w:r>
      <w:r w:rsidR="0093676D" w:rsidRPr="00DA7AB7">
        <w:rPr>
          <w:color w:val="000000"/>
        </w:rPr>
        <w:t>Le FONIJ créé par décision n°010/2016/D/MINJEC/CAB du 23 février 2016 avait pour missions de promouvoir l’intégration des jeunes dans les circuits de production par le biais du financement de leurs projets productifs innovants et de la subvention des organisations qui les préparent et les accompagnent à l’auto-emploi et à l’entrepreneuriat.</w:t>
      </w:r>
    </w:p>
  </w:footnote>
  <w:footnote w:id="24">
    <w:p w14:paraId="1C9B5139" w14:textId="22700D4B" w:rsidR="0093676D" w:rsidRPr="00DA7AB7" w:rsidRDefault="00B74D55" w:rsidP="00CF37AD">
      <w:pPr>
        <w:pStyle w:val="FootnoteText"/>
        <w:rPr>
          <w:color w:val="000000"/>
        </w:rPr>
      </w:pPr>
      <w:r>
        <w:rPr>
          <w:color w:val="000000"/>
        </w:rPr>
        <w:tab/>
      </w:r>
      <w:r w:rsidR="0093676D" w:rsidRPr="00CF37AD">
        <w:rPr>
          <w:rStyle w:val="FootnoteReference"/>
        </w:rPr>
        <w:footnoteRef/>
      </w:r>
      <w:r w:rsidR="0093676D" w:rsidRPr="00DA7AB7">
        <w:rPr>
          <w:color w:val="000000"/>
        </w:rPr>
        <w:t xml:space="preserve"> </w:t>
      </w:r>
      <w:r>
        <w:rPr>
          <w:color w:val="000000"/>
        </w:rPr>
        <w:tab/>
      </w:r>
      <w:r w:rsidR="0093676D" w:rsidRPr="00DA7AB7">
        <w:rPr>
          <w:color w:val="000000"/>
        </w:rPr>
        <w:t>Ce guichet cible des jeunes entrepreneurs, constitués en projets individuels, en leur accordant des subventions, des crédits remboursables à un taux bonifiés, suivant le manuel des procédures à taux zéro.</w:t>
      </w:r>
    </w:p>
  </w:footnote>
  <w:footnote w:id="25">
    <w:p w14:paraId="0D87BFA4" w14:textId="7A668956" w:rsidR="0093676D" w:rsidRPr="00DA7AB7" w:rsidRDefault="00B74D55" w:rsidP="00CF37AD">
      <w:pPr>
        <w:pStyle w:val="FootnoteText"/>
        <w:rPr>
          <w:color w:val="000000"/>
        </w:rPr>
      </w:pPr>
      <w:r>
        <w:rPr>
          <w:color w:val="000000"/>
        </w:rPr>
        <w:tab/>
      </w:r>
      <w:r w:rsidR="0093676D" w:rsidRPr="00CF37AD">
        <w:rPr>
          <w:rStyle w:val="FootnoteReference"/>
        </w:rPr>
        <w:footnoteRef/>
      </w:r>
      <w:r w:rsidR="0093676D" w:rsidRPr="00DA7AB7">
        <w:rPr>
          <w:color w:val="000000"/>
        </w:rPr>
        <w:t xml:space="preserve"> </w:t>
      </w:r>
      <w:r>
        <w:rPr>
          <w:color w:val="000000"/>
        </w:rPr>
        <w:tab/>
      </w:r>
      <w:r w:rsidR="0093676D" w:rsidRPr="00DA7AB7">
        <w:rPr>
          <w:color w:val="000000"/>
        </w:rPr>
        <w:t>Ce guichet cible les jeunes entrepreneurs locaux ou de la diaspora et leurs associés, notamment ceux bénéficiant des financements de l’</w:t>
      </w:r>
      <w:proofErr w:type="spellStart"/>
      <w:r w:rsidR="0093676D" w:rsidRPr="00DA7AB7">
        <w:rPr>
          <w:color w:val="000000"/>
        </w:rPr>
        <w:t>Etat</w:t>
      </w:r>
      <w:proofErr w:type="spellEnd"/>
      <w:r w:rsidR="0093676D" w:rsidRPr="00DA7AB7">
        <w:rPr>
          <w:color w:val="000000"/>
        </w:rPr>
        <w:t xml:space="preserve"> du Cameroun et des autres programmes gouvernementaux d’insertion socio-économique des jeunes sollicitant des financements supplémentaires pour l’extension de leurs entreprises, en individuel ou en groupe, suivant un mécanisme de garantie arrêté.</w:t>
      </w:r>
    </w:p>
  </w:footnote>
  <w:footnote w:id="26">
    <w:p w14:paraId="2BCFB871" w14:textId="7BFB507B" w:rsidR="0093676D" w:rsidRDefault="00B74D55" w:rsidP="00CF37AD">
      <w:pPr>
        <w:pStyle w:val="FootnoteText"/>
        <w:rPr>
          <w:color w:val="000000"/>
          <w:sz w:val="20"/>
        </w:rPr>
      </w:pPr>
      <w:r>
        <w:rPr>
          <w:color w:val="000000"/>
          <w:sz w:val="20"/>
        </w:rPr>
        <w:tab/>
      </w:r>
      <w:r w:rsidR="0093676D" w:rsidRPr="00CF37AD">
        <w:rPr>
          <w:rStyle w:val="FootnoteReference"/>
        </w:rPr>
        <w:footnoteRef/>
      </w:r>
      <w:r>
        <w:rPr>
          <w:color w:val="000000"/>
          <w:sz w:val="20"/>
        </w:rPr>
        <w:tab/>
      </w:r>
      <w:r w:rsidR="0093676D">
        <w:rPr>
          <w:color w:val="000000"/>
          <w:sz w:val="20"/>
        </w:rPr>
        <w:t xml:space="preserve">Les Prisons principales de </w:t>
      </w:r>
      <w:proofErr w:type="spellStart"/>
      <w:r w:rsidR="0093676D">
        <w:rPr>
          <w:color w:val="000000"/>
          <w:sz w:val="20"/>
        </w:rPr>
        <w:t>Bandjoun</w:t>
      </w:r>
      <w:proofErr w:type="spellEnd"/>
      <w:r w:rsidR="0093676D">
        <w:rPr>
          <w:color w:val="000000"/>
          <w:sz w:val="20"/>
        </w:rPr>
        <w:t xml:space="preserve">, </w:t>
      </w:r>
      <w:proofErr w:type="spellStart"/>
      <w:r w:rsidR="0093676D">
        <w:rPr>
          <w:color w:val="000000"/>
          <w:sz w:val="20"/>
        </w:rPr>
        <w:t>Bonaberi</w:t>
      </w:r>
      <w:proofErr w:type="spellEnd"/>
      <w:r w:rsidR="0093676D">
        <w:rPr>
          <w:color w:val="000000"/>
          <w:sz w:val="20"/>
        </w:rPr>
        <w:t xml:space="preserve">, Limbe, </w:t>
      </w:r>
      <w:proofErr w:type="spellStart"/>
      <w:r w:rsidR="0093676D">
        <w:rPr>
          <w:color w:val="000000"/>
          <w:sz w:val="20"/>
        </w:rPr>
        <w:t>Mbankomo</w:t>
      </w:r>
      <w:proofErr w:type="spellEnd"/>
      <w:r w:rsidR="0093676D">
        <w:rPr>
          <w:color w:val="000000"/>
          <w:sz w:val="20"/>
        </w:rPr>
        <w:t xml:space="preserve">, </w:t>
      </w:r>
      <w:proofErr w:type="spellStart"/>
      <w:r w:rsidR="0093676D">
        <w:rPr>
          <w:color w:val="000000"/>
          <w:sz w:val="20"/>
        </w:rPr>
        <w:t>Mundemba</w:t>
      </w:r>
      <w:proofErr w:type="spellEnd"/>
      <w:r w:rsidR="0093676D">
        <w:rPr>
          <w:color w:val="000000"/>
          <w:sz w:val="20"/>
        </w:rPr>
        <w:t xml:space="preserve">, </w:t>
      </w:r>
      <w:proofErr w:type="spellStart"/>
      <w:r w:rsidR="0093676D">
        <w:rPr>
          <w:color w:val="000000"/>
          <w:sz w:val="20"/>
        </w:rPr>
        <w:t>Menji</w:t>
      </w:r>
      <w:proofErr w:type="spellEnd"/>
      <w:r w:rsidR="0093676D">
        <w:rPr>
          <w:color w:val="000000"/>
          <w:sz w:val="20"/>
        </w:rPr>
        <w:t xml:space="preserve">, </w:t>
      </w:r>
      <w:proofErr w:type="spellStart"/>
      <w:r w:rsidR="0093676D">
        <w:rPr>
          <w:color w:val="000000"/>
          <w:sz w:val="20"/>
        </w:rPr>
        <w:t>Bangem</w:t>
      </w:r>
      <w:proofErr w:type="spellEnd"/>
      <w:r w:rsidR="0093676D">
        <w:rPr>
          <w:color w:val="000000"/>
          <w:sz w:val="20"/>
        </w:rPr>
        <w:t xml:space="preserve"> et Prisons secondaire de </w:t>
      </w:r>
      <w:proofErr w:type="spellStart"/>
      <w:r w:rsidR="0093676D">
        <w:rPr>
          <w:color w:val="000000"/>
          <w:sz w:val="20"/>
        </w:rPr>
        <w:t>Touboro</w:t>
      </w:r>
      <w:proofErr w:type="spellEnd"/>
      <w:r w:rsidR="0093676D">
        <w:rPr>
          <w:color w:val="000000"/>
          <w:sz w:val="20"/>
        </w:rPr>
        <w:t xml:space="preserve">, </w:t>
      </w:r>
      <w:proofErr w:type="spellStart"/>
      <w:r w:rsidR="0093676D">
        <w:rPr>
          <w:color w:val="000000"/>
          <w:sz w:val="20"/>
        </w:rPr>
        <w:t>Batibo</w:t>
      </w:r>
      <w:proofErr w:type="spellEnd"/>
      <w:r w:rsidR="0093676D">
        <w:rPr>
          <w:color w:val="000000"/>
          <w:sz w:val="20"/>
        </w:rPr>
        <w:t xml:space="preserve"> et </w:t>
      </w:r>
      <w:proofErr w:type="spellStart"/>
      <w:r w:rsidR="0093676D">
        <w:rPr>
          <w:color w:val="000000"/>
          <w:sz w:val="20"/>
        </w:rPr>
        <w:t>Tombel</w:t>
      </w:r>
      <w:proofErr w:type="spellEnd"/>
      <w:r w:rsidR="0093676D">
        <w:rPr>
          <w:color w:val="000000"/>
          <w:sz w:val="20"/>
        </w:rPr>
        <w:t>.</w:t>
      </w:r>
    </w:p>
  </w:footnote>
  <w:footnote w:id="27">
    <w:p w14:paraId="5AE393ED" w14:textId="2F80FC8B" w:rsidR="0093676D" w:rsidRDefault="00B74D55" w:rsidP="00CF37AD">
      <w:pPr>
        <w:pStyle w:val="FootnoteText"/>
        <w:rPr>
          <w:color w:val="000000"/>
          <w:sz w:val="20"/>
        </w:rPr>
      </w:pPr>
      <w:r>
        <w:rPr>
          <w:color w:val="000000"/>
          <w:sz w:val="20"/>
        </w:rPr>
        <w:tab/>
      </w:r>
      <w:r w:rsidR="0093676D" w:rsidRPr="00CF37AD">
        <w:rPr>
          <w:rStyle w:val="FootnoteReference"/>
        </w:rPr>
        <w:footnoteRef/>
      </w:r>
      <w:r>
        <w:rPr>
          <w:color w:val="000000"/>
          <w:sz w:val="20"/>
        </w:rPr>
        <w:tab/>
      </w:r>
      <w:r w:rsidR="0093676D">
        <w:rPr>
          <w:color w:val="000000"/>
          <w:sz w:val="20"/>
        </w:rPr>
        <w:t xml:space="preserve">Prisons Principales de </w:t>
      </w:r>
      <w:proofErr w:type="spellStart"/>
      <w:r w:rsidR="0093676D">
        <w:rPr>
          <w:color w:val="000000"/>
          <w:sz w:val="20"/>
        </w:rPr>
        <w:t>Fundong</w:t>
      </w:r>
      <w:proofErr w:type="spellEnd"/>
      <w:r w:rsidR="0093676D">
        <w:rPr>
          <w:color w:val="000000"/>
          <w:sz w:val="20"/>
        </w:rPr>
        <w:t xml:space="preserve"> et de </w:t>
      </w:r>
      <w:proofErr w:type="spellStart"/>
      <w:r w:rsidR="0093676D">
        <w:rPr>
          <w:color w:val="000000"/>
          <w:sz w:val="20"/>
        </w:rPr>
        <w:t>Ndop</w:t>
      </w:r>
      <w:proofErr w:type="spellEnd"/>
      <w:r w:rsidR="0093676D">
        <w:rPr>
          <w:color w:val="000000"/>
          <w:sz w:val="20"/>
        </w:rPr>
        <w:t xml:space="preserve"> et Prisons Secondaire de Bali, </w:t>
      </w:r>
      <w:proofErr w:type="spellStart"/>
      <w:r w:rsidR="0093676D">
        <w:rPr>
          <w:color w:val="000000"/>
          <w:sz w:val="20"/>
        </w:rPr>
        <w:t>Bavenga</w:t>
      </w:r>
      <w:proofErr w:type="spellEnd"/>
      <w:r w:rsidR="0093676D">
        <w:rPr>
          <w:color w:val="000000"/>
          <w:sz w:val="20"/>
        </w:rPr>
        <w:t xml:space="preserve"> et Meri.</w:t>
      </w:r>
    </w:p>
  </w:footnote>
  <w:footnote w:id="28">
    <w:p w14:paraId="67AED2DF" w14:textId="42C9091E" w:rsidR="0093676D" w:rsidRDefault="00B74D55" w:rsidP="00CF37AD">
      <w:pPr>
        <w:pStyle w:val="FootnoteText"/>
        <w:rPr>
          <w:color w:val="000000"/>
          <w:sz w:val="20"/>
        </w:rPr>
      </w:pPr>
      <w:r>
        <w:rPr>
          <w:color w:val="000000"/>
          <w:sz w:val="20"/>
        </w:rPr>
        <w:tab/>
      </w:r>
      <w:r w:rsidR="0093676D" w:rsidRPr="00CF37AD">
        <w:rPr>
          <w:rStyle w:val="FootnoteReference"/>
        </w:rPr>
        <w:footnoteRef/>
      </w:r>
      <w:r>
        <w:rPr>
          <w:color w:val="000000"/>
          <w:sz w:val="20"/>
        </w:rPr>
        <w:tab/>
      </w:r>
      <w:r w:rsidR="0093676D">
        <w:rPr>
          <w:color w:val="000000"/>
          <w:sz w:val="20"/>
        </w:rPr>
        <w:t xml:space="preserve">1 000 000 FCFA équivalant 1 524,49 à euros. </w:t>
      </w:r>
    </w:p>
  </w:footnote>
  <w:footnote w:id="29">
    <w:p w14:paraId="38DCA4CE" w14:textId="13C8970B" w:rsidR="0093676D" w:rsidRPr="00B74D55" w:rsidRDefault="00B74D55"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B74D55">
        <w:t xml:space="preserve">Par ailleurs, en 2024, l’on dénombrait 27 femmes Sous-préfets contre 21 en 2020, 16 femmes colonel dans l’Armée de terre contre 2 en 2020, l’on enregistrait 2 femmes au grade de Colonel, 4 femmes Colonel dans la Gendarmerie Nationale contre 0 en 2020, 44 femmes Commissaires Divisionnaires contre 18 en 2018, etc. </w:t>
      </w:r>
    </w:p>
  </w:footnote>
  <w:footnote w:id="30">
    <w:p w14:paraId="03AB4CFB" w14:textId="6A604E0B" w:rsidR="0093676D" w:rsidRPr="00B74D55" w:rsidRDefault="00B74D55"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Pr>
          <w:color w:val="000000"/>
          <w:sz w:val="20"/>
        </w:rPr>
        <w:tab/>
      </w:r>
      <w:hyperlink r:id="rId13" w:history="1">
        <w:r w:rsidRPr="004B06E9">
          <w:rPr>
            <w:rStyle w:val="Hyperlink"/>
          </w:rPr>
          <w:t>https://medwinpublishers.com/ABCA/judicial-organization-and-institutions-in-cameroon-a-tripartite-classification.pdf</w:t>
        </w:r>
      </w:hyperlink>
    </w:p>
  </w:footnote>
  <w:footnote w:id="31">
    <w:p w14:paraId="5DB4DA00" w14:textId="0A5EE880" w:rsidR="0093676D" w:rsidRPr="00923791" w:rsidRDefault="00B74D55" w:rsidP="00CF37AD">
      <w:pPr>
        <w:pStyle w:val="FootnoteText"/>
        <w:rPr>
          <w:lang w:val="fr-FR"/>
        </w:rPr>
      </w:pPr>
      <w:r>
        <w:tab/>
      </w:r>
      <w:r w:rsidR="0093676D" w:rsidRPr="00CF37AD">
        <w:rPr>
          <w:rStyle w:val="FootnoteReference"/>
        </w:rPr>
        <w:footnoteRef/>
      </w:r>
      <w:r w:rsidR="0093676D">
        <w:t xml:space="preserve"> </w:t>
      </w:r>
      <w:r>
        <w:tab/>
      </w:r>
      <w:r w:rsidR="0093676D">
        <w:t>Soit 105,64 euros.</w:t>
      </w:r>
    </w:p>
  </w:footnote>
  <w:footnote w:id="32">
    <w:p w14:paraId="7E1C2144" w14:textId="0029DFCA" w:rsidR="0093676D" w:rsidRPr="00923791" w:rsidRDefault="00B74D55" w:rsidP="00CF37AD">
      <w:pPr>
        <w:pStyle w:val="FootnoteText"/>
        <w:rPr>
          <w:lang w:val="fr-FR"/>
        </w:rPr>
      </w:pPr>
      <w:r>
        <w:tab/>
      </w:r>
      <w:r w:rsidR="0093676D" w:rsidRPr="00CF37AD">
        <w:rPr>
          <w:rStyle w:val="FootnoteReference"/>
        </w:rPr>
        <w:footnoteRef/>
      </w:r>
      <w:r w:rsidR="0093676D">
        <w:t xml:space="preserve"> </w:t>
      </w:r>
      <w:r>
        <w:tab/>
      </w:r>
      <w:r w:rsidR="0093676D">
        <w:t>Soit 211,29 euros</w:t>
      </w:r>
    </w:p>
  </w:footnote>
  <w:footnote w:id="33">
    <w:p w14:paraId="183523CB" w14:textId="43D292FA" w:rsidR="0093676D" w:rsidRDefault="00B74D55" w:rsidP="00CF37AD">
      <w:pPr>
        <w:pStyle w:val="FootnoteText"/>
        <w:rPr>
          <w:color w:val="000000"/>
          <w:sz w:val="20"/>
          <w:lang w:val="fr-FR"/>
        </w:rPr>
      </w:pPr>
      <w:r>
        <w:rPr>
          <w:color w:val="000000"/>
          <w:sz w:val="20"/>
          <w:lang w:val="fr-FR"/>
        </w:rPr>
        <w:tab/>
      </w:r>
      <w:r w:rsidR="0093676D" w:rsidRPr="00CF37AD">
        <w:rPr>
          <w:rStyle w:val="FootnoteReference"/>
        </w:rPr>
        <w:footnoteRef/>
      </w:r>
      <w:r>
        <w:rPr>
          <w:color w:val="000000"/>
          <w:sz w:val="20"/>
          <w:lang w:val="fr-FR"/>
        </w:rPr>
        <w:tab/>
      </w:r>
      <w:r w:rsidR="0093676D">
        <w:rPr>
          <w:color w:val="000000"/>
          <w:sz w:val="20"/>
          <w:lang w:val="fr-FR"/>
        </w:rPr>
        <w:t>Environ 76 335, 88 euros.</w:t>
      </w:r>
    </w:p>
  </w:footnote>
  <w:footnote w:id="34">
    <w:p w14:paraId="49AAE069" w14:textId="5F7C0CA7" w:rsidR="0093676D" w:rsidRPr="001250CB" w:rsidRDefault="00640175"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sidRPr="001250CB">
        <w:tab/>
      </w:r>
      <w:r w:rsidR="0093676D" w:rsidRPr="001250CB">
        <w:t>L’espionnage et la trahison</w:t>
      </w:r>
      <w:r w:rsidR="0027203C">
        <w:t>;</w:t>
      </w:r>
      <w:r w:rsidR="0093676D" w:rsidRPr="001250CB">
        <w:t xml:space="preserve"> les actes autres que l’espionnage et la trahison accomplis en temps de paix de nature à nuire à la défense nationale et à la nation</w:t>
      </w:r>
      <w:r w:rsidR="0027203C">
        <w:t>;</w:t>
      </w:r>
      <w:r w:rsidR="0093676D" w:rsidRPr="001250CB">
        <w:t xml:space="preserve"> l’enrôlement ou le recrutement, sans autorisation, des individus sur le territoire national, pour le compte des forces armées étrangères</w:t>
      </w:r>
      <w:r w:rsidR="0027203C">
        <w:t>;</w:t>
      </w:r>
      <w:r w:rsidR="0093676D" w:rsidRPr="001250CB">
        <w:t xml:space="preserve"> l’imprudence, la négligence et l’inobservation des règlements préjudiciables à la défense nationale</w:t>
      </w:r>
      <w:r w:rsidR="0027203C">
        <w:t>;</w:t>
      </w:r>
      <w:r w:rsidR="0093676D" w:rsidRPr="001250CB">
        <w:t xml:space="preserve"> la non-dénonciation</w:t>
      </w:r>
      <w:r w:rsidR="0027203C">
        <w:t>;</w:t>
      </w:r>
      <w:r w:rsidR="0093676D" w:rsidRPr="001250CB">
        <w:t xml:space="preserve"> le commerce et la correspondance, en temps de guerre, avec les sujets ou agents d’une puissance ennemie</w:t>
      </w:r>
      <w:r w:rsidR="0027203C">
        <w:t>;</w:t>
      </w:r>
      <w:r w:rsidR="0093676D" w:rsidRPr="001250CB">
        <w:t xml:space="preserve"> la participation, en temps de guerre, à une entreprise de démoralisation de l’armée ou de la nation.</w:t>
      </w:r>
    </w:p>
  </w:footnote>
  <w:footnote w:id="35">
    <w:p w14:paraId="3B7008CB" w14:textId="77EA96B6" w:rsidR="0093676D" w:rsidRPr="001250CB" w:rsidRDefault="00640175"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1250CB">
        <w:t>La sécession, la guerre civile, la révolution, l’insurrection, la bande armée.</w:t>
      </w:r>
    </w:p>
  </w:footnote>
  <w:footnote w:id="36">
    <w:p w14:paraId="540E15C2" w14:textId="32BC6FD8" w:rsidR="0093676D" w:rsidRPr="001250CB" w:rsidRDefault="00640175"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1250CB">
        <w:t>La NASLA a hérité du patrimoine du Centre de Formation pour l’Administration Municipale (CEFAM), qui a été dissout.</w:t>
      </w:r>
    </w:p>
  </w:footnote>
  <w:footnote w:id="37">
    <w:p w14:paraId="3B658E4A" w14:textId="7DE34C5C" w:rsidR="0093676D" w:rsidRPr="001250CB" w:rsidRDefault="001250CB" w:rsidP="00CF37AD">
      <w:pPr>
        <w:pStyle w:val="FootnoteText"/>
      </w:pPr>
      <w:r>
        <w:rPr>
          <w:color w:val="000000"/>
          <w:sz w:val="20"/>
        </w:rPr>
        <w:tab/>
      </w:r>
      <w:r w:rsidR="0093676D" w:rsidRPr="00CF37AD">
        <w:rPr>
          <w:rStyle w:val="FootnoteReference"/>
        </w:rPr>
        <w:footnoteRef/>
      </w:r>
      <w:r>
        <w:rPr>
          <w:color w:val="000000"/>
          <w:sz w:val="20"/>
        </w:rPr>
        <w:tab/>
      </w:r>
      <w:r w:rsidR="0093676D" w:rsidRPr="001250CB">
        <w:t>Ils sont institués dans les régions du Nord-Ouest et du Sud-Ouest. Il s’agit des autorités indépendantes nommées pour un mandat de 6 ans non renouvelable, chargé, entre autres, de régler à l’amiable les litiges opposant les usagers et les administrations régionale et communale, de protéger les droits et libertés des citoyens dans le cadre de leurs relations avec la Région et la Commune, de prévenir et lutter contre les discriminations dont les usagers pourraient être victimes, de proposer des modifications législatives et réglementaires en vue de l’amélioration de la qualité des services régionaux et communaux.</w:t>
      </w:r>
    </w:p>
  </w:footnote>
  <w:footnote w:id="38">
    <w:p w14:paraId="42108C6B" w14:textId="2DE0D139" w:rsidR="0093676D" w:rsidRPr="001250CB" w:rsidRDefault="001250CB"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1250CB">
        <w:t>Au total, 900 conseillers régionaux ont été élus, à raison de 90 par région, soit 70 représentants des départements et 20 représentants du commandement traditionnel.</w:t>
      </w:r>
    </w:p>
  </w:footnote>
  <w:footnote w:id="39">
    <w:p w14:paraId="0FE7AF0E" w14:textId="26FE6B26" w:rsidR="0093676D" w:rsidRPr="001250CB" w:rsidRDefault="001250CB"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1250CB">
        <w:t>On en dénombre 14 au total (Yaoundé, Douala, Maroua, Garoua, Bamenda, Ngaoundéré, Limbe, Ebolowa, Bafoussam, Bertoua, Nkongsamba, Kumba, Kribi et Edéa).</w:t>
      </w:r>
    </w:p>
  </w:footnote>
  <w:footnote w:id="40">
    <w:p w14:paraId="463358D1" w14:textId="7DFB3229" w:rsidR="0093676D" w:rsidRPr="001250CB" w:rsidRDefault="001250CB" w:rsidP="00CF37AD">
      <w:pPr>
        <w:pStyle w:val="FootnoteText"/>
      </w:pPr>
      <w:r>
        <w:rPr>
          <w:color w:val="000000"/>
          <w:sz w:val="20"/>
        </w:rPr>
        <w:tab/>
      </w:r>
      <w:r>
        <w:rPr>
          <w:color w:val="000000"/>
          <w:sz w:val="20"/>
        </w:rPr>
        <w:tab/>
      </w:r>
      <w:r w:rsidR="0093676D" w:rsidRPr="00CF37AD">
        <w:rPr>
          <w:rStyle w:val="FootnoteReference"/>
        </w:rPr>
        <w:footnoteRef/>
      </w:r>
      <w:r w:rsidR="0093676D">
        <w:rPr>
          <w:color w:val="000000"/>
          <w:sz w:val="20"/>
        </w:rPr>
        <w:t xml:space="preserve"> </w:t>
      </w:r>
      <w:hyperlink r:id="rId14" w:history="1">
        <w:r w:rsidRPr="004B06E9">
          <w:rPr>
            <w:rStyle w:val="Hyperlink"/>
          </w:rPr>
          <w:t>https://normlex.ilo.org/dyn/nrmlx_en/f?p=NORMLEXPUB:11200:0::NO::P11200_COUNTRY_ID:103038</w:t>
        </w:r>
      </w:hyperlink>
      <w:r w:rsidR="0093676D" w:rsidRPr="001250CB">
        <w:t>.</w:t>
      </w:r>
    </w:p>
  </w:footnote>
  <w:footnote w:id="41">
    <w:p w14:paraId="3AE334A0" w14:textId="6C140DFF" w:rsidR="0093676D" w:rsidRPr="009542EE" w:rsidRDefault="009542EE" w:rsidP="00CF37AD">
      <w:pPr>
        <w:pStyle w:val="FootnoteText"/>
      </w:pPr>
      <w:r>
        <w:rPr>
          <w:color w:val="000000"/>
          <w:sz w:val="20"/>
          <w:lang w:val="fr-FR"/>
        </w:rPr>
        <w:tab/>
      </w:r>
      <w:r w:rsidR="0093676D" w:rsidRPr="00CF37AD">
        <w:rPr>
          <w:rStyle w:val="FootnoteReference"/>
        </w:rPr>
        <w:footnoteRef/>
      </w:r>
      <w:r>
        <w:rPr>
          <w:color w:val="000000"/>
          <w:sz w:val="20"/>
          <w:lang w:val="fr-FR"/>
        </w:rPr>
        <w:tab/>
      </w:r>
      <w:r w:rsidR="0093676D" w:rsidRPr="009542EE">
        <w:t xml:space="preserve">Voir les développements sur la CDHC (§176, §209-212, §217), ELECAM (§107 et </w:t>
      </w:r>
      <w:proofErr w:type="spellStart"/>
      <w:r w:rsidR="0093676D" w:rsidRPr="009542EE">
        <w:t>seq</w:t>
      </w:r>
      <w:proofErr w:type="spellEnd"/>
      <w:r w:rsidR="0093676D" w:rsidRPr="009542EE">
        <w:t>), CONAC (§243, §257), CNC (§218), etc.</w:t>
      </w:r>
    </w:p>
  </w:footnote>
  <w:footnote w:id="42">
    <w:p w14:paraId="3966AAC7" w14:textId="72A238D9"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Aux termes des articles 79 et 80 du CPP, il s’agit des officiers et sous-officiers de la gendarmerie, des gendarmes chargés même par intérim d’une brigade ou d’un poste de gendarmerie, des commissaires de police, des officiers de police, des inspecteurs de police ayant satisfait à un examen d’officier de police judiciaire et ayant prêté serment, des fonctionnaires exerçant même par intérim les fonctions de chef d’un service extérieur de la Sûreté nationale, des fonctionnaires et agents publics des administrations auxquels les textes spéciaux attribuent certaines compétences de police judiciaire.</w:t>
      </w:r>
    </w:p>
  </w:footnote>
  <w:footnote w:id="43">
    <w:p w14:paraId="32B2672A" w14:textId="557CDA78"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Article 135 CPP.</w:t>
      </w:r>
    </w:p>
  </w:footnote>
  <w:footnote w:id="44">
    <w:p w14:paraId="012C8C0E" w14:textId="7CB3EA4D"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Les différents rapports sont accessibles sur le site web : www.minjustice.gov.cm.</w:t>
      </w:r>
    </w:p>
  </w:footnote>
  <w:footnote w:id="45">
    <w:p w14:paraId="2505A7BD" w14:textId="69593949" w:rsidR="0093676D" w:rsidRDefault="009542EE"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Articles 584 et suivants du CPP</w:t>
      </w:r>
      <w:r w:rsidR="0093676D">
        <w:rPr>
          <w:color w:val="000000"/>
          <w:sz w:val="20"/>
        </w:rPr>
        <w:t>.</w:t>
      </w:r>
    </w:p>
  </w:footnote>
  <w:footnote w:id="46">
    <w:p w14:paraId="6500CF68" w14:textId="189895B1" w:rsidR="0093676D" w:rsidRDefault="009542EE"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Les instruments de ratification ont été déposés le 9 décembre 2014</w:t>
      </w:r>
      <w:r w:rsidR="0093676D">
        <w:rPr>
          <w:color w:val="000000"/>
          <w:sz w:val="20"/>
        </w:rPr>
        <w:t>.</w:t>
      </w:r>
    </w:p>
  </w:footnote>
  <w:footnote w:id="47">
    <w:p w14:paraId="6B21B4A3" w14:textId="6058BC7B"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 xml:space="preserve">Le nombre de membres est passé de 30 à 15, avec suppression de la représentation administrative et politique. Les compétences techniques, les connaissances en Droits de l’Homme et l’inclusion ont été privilégiées (en effet, en plus du Président et du Vice-président, la CDHC comprend 1 magistrat, 1 expert en administration pénitentiaire et en gestion des lieux de privation de libertés, 1 Avocat représentant le Barreau, 1 diplomate, 1 expert en questions religieuses, 1 médecin, 1 autorité traditionnelle, 1 journaliste, 1expert en travail social, 1 expert en Genre, 1 expert en questions syndicales et 2 membres relevant des organisations œuvrant dans le domaine des droits catégoriels dont 1 représentant les personnes vivant avec un handicap). Les membres exercent désormais à temps plein, leurs fonctions étant incompatibles avec l’exercice de tout emploi ou fonction publique ou privée. </w:t>
      </w:r>
    </w:p>
  </w:footnote>
  <w:footnote w:id="48">
    <w:p w14:paraId="071BD04C" w14:textId="072424AA"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 xml:space="preserve">La CDHC comprend 3 organes : l’Assemblée générale des membres, la Présidence et les Secrétariat permanent. 3 sous-commissions permanentes (chargées respectivement de la promotion des droits de l’homme, de la protection des droits de l’homme, et de la prévention de la torture dans les lieux de privation de liberté) ont été instituées, avec une possibilité pour la CDHC de créer des Groupes de travail et toute autre structure utile. </w:t>
      </w:r>
    </w:p>
  </w:footnote>
  <w:footnote w:id="49">
    <w:p w14:paraId="5112A97B" w14:textId="1454031F"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La CDHC peut intervenir devant les juridictions en qualité d’</w:t>
      </w:r>
      <w:proofErr w:type="spellStart"/>
      <w:r w:rsidR="0093676D" w:rsidRPr="009542EE">
        <w:t>amicus</w:t>
      </w:r>
      <w:proofErr w:type="spellEnd"/>
      <w:r w:rsidR="0093676D" w:rsidRPr="009542EE">
        <w:t xml:space="preserve"> </w:t>
      </w:r>
      <w:proofErr w:type="spellStart"/>
      <w:r w:rsidR="0093676D" w:rsidRPr="009542EE">
        <w:t>curiae</w:t>
      </w:r>
      <w:proofErr w:type="spellEnd"/>
      <w:r w:rsidR="0027203C">
        <w:t>;</w:t>
      </w:r>
      <w:r w:rsidR="0093676D" w:rsidRPr="009542EE">
        <w:t xml:space="preserve"> elle peut visiter les lieux de privation de liberté sans la présence du représentant du Ministère public</w:t>
      </w:r>
      <w:r w:rsidR="0027203C">
        <w:t>;</w:t>
      </w:r>
      <w:r w:rsidR="0093676D" w:rsidRPr="009542EE">
        <w:t xml:space="preserve"> ses locaux et ses archives sont inviolables, etc.</w:t>
      </w:r>
    </w:p>
  </w:footnote>
  <w:footnote w:id="50">
    <w:p w14:paraId="53FCC486" w14:textId="23487021" w:rsidR="0093676D" w:rsidRPr="009542EE" w:rsidRDefault="009542EE" w:rsidP="00CF37AD">
      <w:pPr>
        <w:pStyle w:val="FootnoteText"/>
      </w:pPr>
      <w:r>
        <w:rPr>
          <w:color w:val="000000"/>
          <w:sz w:val="20"/>
        </w:rPr>
        <w:tab/>
      </w:r>
      <w:r w:rsidR="0093676D" w:rsidRPr="00CF37AD">
        <w:rPr>
          <w:rStyle w:val="FootnoteReference"/>
        </w:rPr>
        <w:footnoteRef/>
      </w:r>
      <w:r>
        <w:rPr>
          <w:color w:val="000000"/>
          <w:sz w:val="20"/>
        </w:rPr>
        <w:t xml:space="preserve"> </w:t>
      </w:r>
      <w:r w:rsidRPr="009542EE">
        <w:tab/>
      </w:r>
      <w:r w:rsidR="0093676D" w:rsidRPr="009542EE">
        <w:t>Mélange d’anglais simplifié et de langues locales.</w:t>
      </w:r>
    </w:p>
  </w:footnote>
  <w:footnote w:id="51">
    <w:p w14:paraId="230C37A7" w14:textId="5169BBCD"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Région du Nord.</w:t>
      </w:r>
    </w:p>
  </w:footnote>
  <w:footnote w:id="52">
    <w:p w14:paraId="26BFB585" w14:textId="73B9B411" w:rsidR="0093676D" w:rsidRDefault="009542EE" w:rsidP="00CF37AD">
      <w:pPr>
        <w:pStyle w:val="FootnoteText"/>
        <w:rPr>
          <w:color w:val="000000"/>
          <w:sz w:val="20"/>
          <w:lang w:val="fr-FR"/>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Région du Sud.</w:t>
      </w:r>
    </w:p>
  </w:footnote>
  <w:footnote w:id="53">
    <w:p w14:paraId="23A37D78" w14:textId="7D619744"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Région de l’Ouest.</w:t>
      </w:r>
    </w:p>
  </w:footnote>
  <w:footnote w:id="54">
    <w:p w14:paraId="52112961" w14:textId="6044B823" w:rsidR="0093676D" w:rsidRPr="009542EE" w:rsidRDefault="009542EE"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9542EE">
        <w:t xml:space="preserve">Ce document et bien d’autres, relatifs aux droits de l’Homme, sont disponibles sur le site-web du MINJUSTICE à l’adresse </w:t>
      </w:r>
      <w:hyperlink r:id="rId15" w:history="1">
        <w:r w:rsidR="0093676D" w:rsidRPr="009542EE">
          <w:t>www.minjustice.gov.cm</w:t>
        </w:r>
      </w:hyperlink>
      <w:r w:rsidR="0093676D" w:rsidRPr="009542EE">
        <w:t xml:space="preserve"> et sur le site du Gouvernement à l’adresse</w:t>
      </w:r>
      <w:r w:rsidR="0027203C">
        <w:t xml:space="preserve"> </w:t>
      </w:r>
      <w:r w:rsidR="0093676D" w:rsidRPr="009542EE">
        <w:t>www.spm.gov.cm.</w:t>
      </w:r>
    </w:p>
  </w:footnote>
  <w:footnote w:id="55">
    <w:p w14:paraId="34FD49C0" w14:textId="7123BF3A" w:rsidR="0093676D" w:rsidRPr="000100A9" w:rsidRDefault="009542EE" w:rsidP="000100A9">
      <w:pPr>
        <w:pStyle w:val="FootnoteText"/>
      </w:pPr>
      <w:r>
        <w:rPr>
          <w:color w:val="000000"/>
        </w:rPr>
        <w:tab/>
      </w:r>
      <w:r w:rsidR="0093676D" w:rsidRPr="00CF37AD">
        <w:rPr>
          <w:rStyle w:val="FootnoteReference"/>
        </w:rPr>
        <w:footnoteRef/>
      </w:r>
      <w:r>
        <w:rPr>
          <w:color w:val="000000"/>
        </w:rPr>
        <w:t xml:space="preserve"> </w:t>
      </w:r>
      <w:r>
        <w:rPr>
          <w:color w:val="000000"/>
        </w:rPr>
        <w:tab/>
      </w:r>
      <w:proofErr w:type="spellStart"/>
      <w:r w:rsidR="0093676D" w:rsidRPr="009542EE">
        <w:t>A</w:t>
      </w:r>
      <w:proofErr w:type="spellEnd"/>
      <w:r w:rsidR="0093676D" w:rsidRPr="009542EE">
        <w:t xml:space="preserve"> titre d’illustration, en 2024 et en mars et avril 2025, le MINJUSTICE a organisé ou facilité l’organisation au profit de plusieurs centaines de participants, de plusieurs ateliers de formation sur des thématiques telles que les droits de l’homme en lien avec le VIH et la tuberculose (mars et avril 2025)</w:t>
      </w:r>
      <w:r w:rsidR="0027203C">
        <w:t>;</w:t>
      </w:r>
      <w:r w:rsidR="0093676D" w:rsidRPr="009542EE">
        <w:t xml:space="preserve"> l’amélioration de la qualité de la prise en charge des détenus mineurs (Ebolowa du 10 au 11 juin 2024,</w:t>
      </w:r>
      <w:r w:rsidR="0027203C">
        <w:t xml:space="preserve"> </w:t>
      </w:r>
      <w:r w:rsidR="0093676D" w:rsidRPr="009542EE">
        <w:t xml:space="preserve"> Garoua du 18 au 19 juin 2024 et Bafoussam du 24 au 25 juin 2024)</w:t>
      </w:r>
      <w:r w:rsidR="0027203C">
        <w:t>;</w:t>
      </w:r>
      <w:r w:rsidR="0093676D" w:rsidRPr="009542EE">
        <w:t xml:space="preserve"> les droits des personnes handicapées (Douala du 29 au 31 2024)</w:t>
      </w:r>
      <w:r w:rsidR="0027203C">
        <w:t>;</w:t>
      </w:r>
      <w:r w:rsidR="0093676D" w:rsidRPr="009542EE">
        <w:t> la réponse à la violence contre les enfants dans le système judiciaire (Yaoundé du 30 au 31 juillet 2024); les indicateurs d’accès à la justice pour les enfants en contact avec la loi (Ebolowa du</w:t>
      </w:r>
      <w:r w:rsidR="0027203C">
        <w:t xml:space="preserve"> </w:t>
      </w:r>
      <w:r w:rsidR="0093676D" w:rsidRPr="009542EE">
        <w:t>21 au 23 août 2024)</w:t>
      </w:r>
      <w:r w:rsidR="0027203C">
        <w:t>;</w:t>
      </w:r>
      <w:r w:rsidR="0093676D" w:rsidRPr="009542EE">
        <w:t xml:space="preserve"> les outils de collecte des données dans le cadre de la mise en place du système d’information statistique des enfants en contact avec la loi (Ebolowa du 16 au 18 septembre2024); les masques de saisie des données statistiques dans le cadre de la mise en place du système d’information statistique des enfants en contact avec la loi ( Ebolowa du 23 au 27 septembre 2024), etc. </w:t>
      </w:r>
    </w:p>
  </w:footnote>
  <w:footnote w:id="56">
    <w:p w14:paraId="740322CA" w14:textId="30647BE2"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Depuis 2017, plus de 3000 fonctionnaires de police en services dans les régions en crise ont été capacités sur « l’amélioration de la protection des femmes et des filles touchées par les conflits armés et non armés ».</w:t>
      </w:r>
    </w:p>
  </w:footnote>
  <w:footnote w:id="57">
    <w:p w14:paraId="375A89A2" w14:textId="5DDBB3A7"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Au total, 16 fonctionnaires de police ont participé à 5 sessions de formation organisée dans les villes de Yaoundé et de Maroua sur les techniques non coercitives.</w:t>
      </w:r>
    </w:p>
  </w:footnote>
  <w:footnote w:id="58">
    <w:p w14:paraId="275ED535" w14:textId="0902B551"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Dans le cadre de la seconde phase du projet de renforcement des capacités de la DGSN par le GIZ couvrant la période 2019-2022, plusieurs ateliers ont été organisés sur les droits du suspect en situation de privation de liberté et sur la protection des femmes suspectes en situation de privation de liberté.</w:t>
      </w:r>
    </w:p>
  </w:footnote>
  <w:footnote w:id="59">
    <w:p w14:paraId="7C26256C" w14:textId="1739F3C6"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Pr>
          <w:color w:val="000000"/>
          <w:sz w:val="20"/>
        </w:rPr>
        <w:tab/>
      </w:r>
      <w:hyperlink r:id="rId16" w:history="1">
        <w:r w:rsidRPr="004B06E9">
          <w:rPr>
            <w:rStyle w:val="Hyperlink"/>
          </w:rPr>
          <w:t>https://www.cdhc.cm/index.php?page=docs&amp;category=declarations</w:t>
        </w:r>
      </w:hyperlink>
    </w:p>
  </w:footnote>
  <w:footnote w:id="60">
    <w:p w14:paraId="5E7691E6" w14:textId="2D407D6D"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sidRPr="009542EE">
        <w:tab/>
      </w:r>
      <w:proofErr w:type="spellStart"/>
      <w:r w:rsidR="0093676D" w:rsidRPr="009542EE">
        <w:t>A</w:t>
      </w:r>
      <w:proofErr w:type="spellEnd"/>
      <w:r w:rsidR="0093676D" w:rsidRPr="009542EE">
        <w:t xml:space="preserve"> titre d’exemple, dans le cadre de la mise en œuvre du Projet d’amélioration des conditions d’exercice des libertés publiques au Cameroun (PACEL) conduit avec l’appui de l’Union européenne, la CDHC a organisé du 6 au 23 juillet 2021, dans toutes les régions du pays, 10 ateliers de renforcement des capacités organisationnelles des OSC membres de l’Observatoire des libertés publiques du Cameroun (OLPC)</w:t>
      </w:r>
      <w:r w:rsidR="0027203C">
        <w:t>;</w:t>
      </w:r>
      <w:r w:rsidR="0093676D" w:rsidRPr="009542EE">
        <w:t xml:space="preserve"> puis du 17 novembre au 17 décembre 2021, 10 ateliers de renforcement des capacités techniques des OSC en matière de promotion et de défense des Droits de l’Homme et des peuples.</w:t>
      </w:r>
    </w:p>
  </w:footnote>
  <w:footnote w:id="61">
    <w:p w14:paraId="05C81387" w14:textId="65A8DB91"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9542EE">
        <w:t>Pour le budget de la CDHC, voir § 214.</w:t>
      </w:r>
    </w:p>
  </w:footnote>
  <w:footnote w:id="62">
    <w:p w14:paraId="67A1D5E4" w14:textId="045B420C" w:rsidR="0093676D" w:rsidRDefault="009542EE" w:rsidP="00CF37AD">
      <w:pPr>
        <w:pStyle w:val="FootnoteText"/>
        <w:rPr>
          <w:color w:val="000000"/>
          <w:sz w:val="20"/>
          <w:lang w:val="fr-FR"/>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9542EE">
        <w:t>Le Comité Interministériel a été créé par Arrêté du Premier Ministre n° 2011/081/CAB/PM du 15 avril 2011, puis reconduit par Arrêté n° 093/CAB/PM du 24 septembre 2021</w:t>
      </w:r>
      <w:r w:rsidR="0093676D">
        <w:rPr>
          <w:color w:val="000000"/>
          <w:sz w:val="20"/>
        </w:rPr>
        <w:t>.</w:t>
      </w:r>
    </w:p>
  </w:footnote>
  <w:footnote w:id="63">
    <w:p w14:paraId="46978057" w14:textId="4BFF87A8" w:rsidR="0093676D" w:rsidRDefault="009542EE"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9542EE">
        <w:t>https://www.undp.org/fr/publications/rapport-2015-sur-les-objectifs-du-millenaire-pour-le-developpement.</w:t>
      </w:r>
    </w:p>
  </w:footnote>
  <w:footnote w:id="64">
    <w:p w14:paraId="3D2374C1" w14:textId="0DF7A68A" w:rsidR="0093676D" w:rsidRPr="009542EE" w:rsidRDefault="009542EE"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9542EE">
        <w:t>https://www.thecommonwealth.io/wp-content/uploads/2020/08/CAMEROON_VNR_2019.pdf.</w:t>
      </w:r>
    </w:p>
  </w:footnote>
  <w:footnote w:id="65">
    <w:p w14:paraId="1442E037" w14:textId="5DE23636" w:rsidR="0093676D" w:rsidRDefault="009542EE"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9542EE">
        <w:t>https://hlpf.un.org/sites/default/files/vnrs/2022/Rapport%20VNR%202022%20du%20Cameroun.pdf</w:t>
      </w:r>
      <w:r w:rsidR="0093676D">
        <w:rPr>
          <w:color w:val="000000"/>
          <w:sz w:val="20"/>
        </w:rPr>
        <w:t>.</w:t>
      </w:r>
    </w:p>
  </w:footnote>
  <w:footnote w:id="66">
    <w:p w14:paraId="64A0581F" w14:textId="3C2BCAF6" w:rsidR="0093676D" w:rsidRPr="009542EE" w:rsidRDefault="009542EE"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hyperlink r:id="rId17" w:history="1">
        <w:r w:rsidRPr="004B06E9">
          <w:rPr>
            <w:rStyle w:val="Hyperlink"/>
          </w:rPr>
          <w:t>https://cites.org/fra/parties/country-profiles/cm/reports</w:t>
        </w:r>
      </w:hyperlink>
      <w:r w:rsidR="0093676D" w:rsidRPr="009542EE">
        <w:t xml:space="preserve">. </w:t>
      </w:r>
    </w:p>
  </w:footnote>
  <w:footnote w:id="67">
    <w:p w14:paraId="76619BAA" w14:textId="3021AE34" w:rsidR="0093676D" w:rsidRPr="003E4BA4" w:rsidRDefault="003E4BA4"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3E4BA4">
        <w:t>Environ 7,63 euros.</w:t>
      </w:r>
    </w:p>
  </w:footnote>
  <w:footnote w:id="68">
    <w:p w14:paraId="199DB302" w14:textId="0C740500" w:rsidR="0093676D" w:rsidRPr="003E4BA4" w:rsidRDefault="003E4BA4" w:rsidP="00CF37AD">
      <w:pPr>
        <w:pStyle w:val="FootnoteText"/>
      </w:pPr>
      <w:r>
        <w:rPr>
          <w:color w:val="000000"/>
          <w:sz w:val="20"/>
          <w:lang w:val="fr-FR"/>
        </w:rPr>
        <w:tab/>
      </w:r>
      <w:r w:rsidR="0093676D" w:rsidRPr="00CF37AD">
        <w:rPr>
          <w:rStyle w:val="FootnoteReference"/>
        </w:rPr>
        <w:footnoteRef/>
      </w:r>
      <w:r>
        <w:rPr>
          <w:color w:val="000000"/>
          <w:sz w:val="20"/>
          <w:lang w:val="fr-FR"/>
        </w:rPr>
        <w:t xml:space="preserve"> </w:t>
      </w:r>
      <w:r>
        <w:rPr>
          <w:color w:val="000000"/>
          <w:sz w:val="20"/>
          <w:lang w:val="fr-FR"/>
        </w:rPr>
        <w:tab/>
      </w:r>
      <w:r w:rsidR="0093676D" w:rsidRPr="003E4BA4">
        <w:t>Environ 763,36 euros.</w:t>
      </w:r>
    </w:p>
  </w:footnote>
  <w:footnote w:id="69">
    <w:p w14:paraId="51E91D15" w14:textId="0ADD6D15" w:rsidR="0093676D" w:rsidRPr="003E4BA4" w:rsidRDefault="003E4BA4"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3E4BA4">
        <w:t>L’article 152 du Code pénal définit l’outrage comme «la diffamation, l’injure ou la menace faite soit par des gestes, paroles, ou cris proférés dans des lieux ouverts au public, soit par tout procédé destiné à atteindre le public ».</w:t>
      </w:r>
    </w:p>
  </w:footnote>
  <w:footnote w:id="70">
    <w:p w14:paraId="770D81CC" w14:textId="2F71DFD0" w:rsidR="0093676D" w:rsidRDefault="003E4BA4" w:rsidP="00CF37AD">
      <w:pPr>
        <w:pStyle w:val="FootnoteText"/>
        <w:rPr>
          <w:color w:val="000000"/>
        </w:rPr>
      </w:pPr>
      <w:r>
        <w:rPr>
          <w:color w:val="000000"/>
        </w:rPr>
        <w:tab/>
      </w:r>
      <w:r w:rsidR="0093676D" w:rsidRPr="00CF37AD">
        <w:rPr>
          <w:rStyle w:val="FootnoteReference"/>
        </w:rPr>
        <w:footnoteRef/>
      </w:r>
      <w:r>
        <w:rPr>
          <w:color w:val="000000"/>
        </w:rPr>
        <w:t xml:space="preserve"> </w:t>
      </w:r>
      <w:r>
        <w:rPr>
          <w:color w:val="000000"/>
        </w:rPr>
        <w:tab/>
      </w:r>
      <w:r w:rsidR="0093676D">
        <w:rPr>
          <w:color w:val="000000"/>
        </w:rPr>
        <w:t>Cette loi prévoit également, entre autres : une contribution de l’</w:t>
      </w:r>
      <w:proofErr w:type="spellStart"/>
      <w:r w:rsidR="0093676D">
        <w:rPr>
          <w:color w:val="000000"/>
        </w:rPr>
        <w:t>Etat</w:t>
      </w:r>
      <w:proofErr w:type="spellEnd"/>
      <w:r w:rsidR="0093676D">
        <w:rPr>
          <w:color w:val="000000"/>
        </w:rPr>
        <w:t xml:space="preserve"> à la couverture des dépenses d’éducation et de formation professionnelle initiale des élèves et étudiants vivant avec un handicap</w:t>
      </w:r>
      <w:r w:rsidR="0027203C">
        <w:rPr>
          <w:color w:val="000000"/>
        </w:rPr>
        <w:t>;</w:t>
      </w:r>
      <w:r w:rsidR="0093676D">
        <w:rPr>
          <w:color w:val="000000"/>
        </w:rPr>
        <w:t xml:space="preserve"> la dispense totale ou partielle des frais de scolarité ou de droits universitaires et l’octroi des bourses en faveur des personnes vivant avec un handicap ou d’enfants nés de ces personnes; la dispense de paiement d’impôts ou de droits de douanes; l’encouragement de la présence de personnes handicapées dans diverses instances de la vie politique et sociale.</w:t>
      </w:r>
    </w:p>
    <w:p w14:paraId="5C3960C6" w14:textId="3760C851" w:rsidR="0093676D" w:rsidRPr="002619E6" w:rsidRDefault="003E4BA4" w:rsidP="002619E6">
      <w:pPr>
        <w:pStyle w:val="FootnoteText"/>
      </w:pPr>
      <w:r>
        <w:rPr>
          <w:lang w:val="fr-FR"/>
        </w:rPr>
        <w:tab/>
      </w:r>
      <w:r w:rsidR="002619E6">
        <w:rPr>
          <w:lang w:val="fr-FR"/>
        </w:rPr>
        <w:tab/>
      </w:r>
      <w:r w:rsidR="0093676D" w:rsidRPr="002619E6">
        <w:t>Le Décret n°2018/6233/PM du 26 juillet 2018 portant modalités d’application de la Loi n°2010/22 est venu combler le vide juridique relatif aux questions d’intégration socio-économique des personnes handicapées notamment l’accès à l’éducation, à la formation professionnelle, à la santé, à l’emploi, aux infrastructures publiques et aux établissements recevant du public, aux transports, à la communication, et l’accès aux activités politiques, sportives, artistiques, culturelles et de loisirs.</w:t>
      </w:r>
    </w:p>
  </w:footnote>
  <w:footnote w:id="71">
    <w:p w14:paraId="20427AE7" w14:textId="506F0717" w:rsidR="0093676D" w:rsidRDefault="002619E6"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2619E6">
        <w:t>Par Décret n° 2024/333 du 24 juillet 2024.</w:t>
      </w:r>
      <w:r w:rsidR="0093676D">
        <w:rPr>
          <w:color w:val="000000"/>
          <w:sz w:val="20"/>
        </w:rPr>
        <w:t> </w:t>
      </w:r>
    </w:p>
  </w:footnote>
  <w:footnote w:id="72">
    <w:p w14:paraId="3171A3C5" w14:textId="5C2DAE4B" w:rsidR="0093676D" w:rsidRDefault="00E27EDA"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E27EDA">
        <w:t>De 13,38% pour les agents de l'</w:t>
      </w:r>
      <w:proofErr w:type="spellStart"/>
      <w:r w:rsidR="0093676D" w:rsidRPr="00E27EDA">
        <w:t>Etat</w:t>
      </w:r>
      <w:proofErr w:type="spellEnd"/>
      <w:r w:rsidR="0093676D" w:rsidRPr="00E27EDA">
        <w:t xml:space="preserve"> relevant du Code du Travail, 19,4% pour le secteur agricole et assimilé, 36% pour les autres secteurs d'activité.</w:t>
      </w:r>
    </w:p>
  </w:footnote>
  <w:footnote w:id="73">
    <w:p w14:paraId="6FA48AB7" w14:textId="140801B9" w:rsidR="0093676D" w:rsidRDefault="007F655F"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7F655F">
        <w:t>Art. 83 de la loi no 90/052 du 19 décembre 1990 relative à la liberté de communication sociale, modifiée et complétée par la loi no 96/052 du 4 janvier 1996.</w:t>
      </w:r>
    </w:p>
  </w:footnote>
  <w:footnote w:id="74">
    <w:p w14:paraId="166A79A1" w14:textId="25209C8A" w:rsidR="0093676D" w:rsidRPr="007F655F" w:rsidRDefault="007F655F" w:rsidP="00CF37AD">
      <w:pPr>
        <w:pStyle w:val="FootnoteText"/>
      </w:pPr>
      <w:r>
        <w:rPr>
          <w:color w:val="000000"/>
          <w:sz w:val="20"/>
          <w:lang w:val="fr-FR"/>
        </w:rPr>
        <w:tab/>
      </w:r>
      <w:r w:rsidR="0093676D" w:rsidRPr="00CF37AD">
        <w:rPr>
          <w:rStyle w:val="FootnoteReference"/>
        </w:rPr>
        <w:footnoteRef/>
      </w:r>
      <w:r>
        <w:rPr>
          <w:color w:val="000000"/>
          <w:sz w:val="20"/>
          <w:lang w:val="fr-FR"/>
        </w:rPr>
        <w:t xml:space="preserve"> </w:t>
      </w:r>
      <w:r>
        <w:rPr>
          <w:color w:val="000000"/>
          <w:sz w:val="20"/>
          <w:lang w:val="fr-FR"/>
        </w:rPr>
        <w:tab/>
      </w:r>
      <w:r w:rsidR="0093676D" w:rsidRPr="007F655F">
        <w:t>Le Code du travail peut être consulté à l’adresse suivante : http://tbinternet.ohchr.org/Treaties/All-Treaties/Shared%20Documents/CMR/INT_All-Treaties_ACR_CMR_7255_F.pdf.</w:t>
      </w:r>
    </w:p>
  </w:footnote>
  <w:footnote w:id="75">
    <w:p w14:paraId="0DC8E5BD" w14:textId="12A0FEAB" w:rsidR="0093676D" w:rsidRDefault="00FE0B04" w:rsidP="00CF37AD">
      <w:pPr>
        <w:pStyle w:val="FootnoteText"/>
        <w:rPr>
          <w:color w:val="000000"/>
          <w:lang w:val="fr-FR"/>
        </w:rPr>
      </w:pPr>
      <w:r>
        <w:rPr>
          <w:color w:val="000000"/>
          <w:lang w:val="fr-FR"/>
        </w:rPr>
        <w:tab/>
      </w:r>
      <w:r w:rsidR="0093676D" w:rsidRPr="00CF37AD">
        <w:rPr>
          <w:rStyle w:val="FootnoteReference"/>
        </w:rPr>
        <w:footnoteRef/>
      </w:r>
      <w:r>
        <w:rPr>
          <w:color w:val="000000"/>
          <w:lang w:val="fr-FR"/>
        </w:rPr>
        <w:t xml:space="preserve"> </w:t>
      </w:r>
      <w:r>
        <w:rPr>
          <w:color w:val="000000"/>
          <w:lang w:val="fr-FR"/>
        </w:rPr>
        <w:tab/>
      </w:r>
      <w:r w:rsidR="0093676D">
        <w:rPr>
          <w:color w:val="000000"/>
          <w:lang w:val="fr-FR"/>
        </w:rPr>
        <w:t>Ces compétences concernent l’alimentation en eau potable; la création et l’entretien des routes rurales, la gestion et la construction des ouvrages de franchissement; la gestion et l’entretien des centres de promotion de la femme et de la famille; la promotion des activités de production agricole et de développement rural; l’attribution des aides et secours aux indigents et aux nécessiteux; la promotion des activités de production pastorale et piscicole; l’organisation de journées culturelles</w:t>
      </w:r>
      <w:r w:rsidR="0027203C">
        <w:rPr>
          <w:color w:val="000000"/>
          <w:lang w:val="fr-FR"/>
        </w:rPr>
        <w:t>;</w:t>
      </w:r>
      <w:r w:rsidR="0093676D">
        <w:rPr>
          <w:color w:val="000000"/>
          <w:lang w:val="fr-FR"/>
        </w:rPr>
        <w:t xml:space="preserve"> l’appui aux associations culturelles; la construction, l’équipement et la gestion des centres de santé intégrés; la construction et l’entretien des écoles primaires et de leurs équipements; l’artisanat; la planification urbaine, la création et l’entretien des voiries en terre; la construction, l’équipement, l’entretien et la gestion des marchés périodiques; l’aménagement et l’exploitation des sites touristiques d’intérêt local; la gestion des centres de formation professionnelle</w:t>
      </w:r>
      <w:r w:rsidR="0027203C">
        <w:rPr>
          <w:color w:val="000000"/>
          <w:lang w:val="fr-FR"/>
        </w:rPr>
        <w:t>;</w:t>
      </w:r>
      <w:r w:rsidR="0093676D">
        <w:rPr>
          <w:color w:val="000000"/>
          <w:lang w:val="fr-FR"/>
        </w:rPr>
        <w:t xml:space="preserve"> la gestion des transports publics interurbains</w:t>
      </w:r>
      <w:r w:rsidR="0027203C">
        <w:rPr>
          <w:color w:val="000000"/>
          <w:lang w:val="fr-FR"/>
        </w:rPr>
        <w:t>;</w:t>
      </w:r>
      <w:r w:rsidR="0093676D">
        <w:rPr>
          <w:color w:val="000000"/>
          <w:lang w:val="fr-FR"/>
        </w:rPr>
        <w:t xml:space="preserve"> la protection de l’environnement, etc.</w:t>
      </w:r>
    </w:p>
  </w:footnote>
  <w:footnote w:id="76">
    <w:p w14:paraId="6F224BBD" w14:textId="275CEF25" w:rsidR="0093676D" w:rsidRDefault="00FE0B04"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FE0B04">
        <w:t>Soit 354 468 128,2 euros</w:t>
      </w:r>
      <w:r w:rsidR="0093676D">
        <w:rPr>
          <w:color w:val="000000"/>
          <w:sz w:val="20"/>
        </w:rPr>
        <w:t>.</w:t>
      </w:r>
    </w:p>
  </w:footnote>
  <w:footnote w:id="77">
    <w:p w14:paraId="11C087D3" w14:textId="2AB2F808" w:rsidR="0093676D" w:rsidRDefault="00FE0B04"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FE0B04">
        <w:t>Soit 76 183 206,1 euros</w:t>
      </w:r>
      <w:r w:rsidR="0093676D">
        <w:rPr>
          <w:color w:val="000000"/>
          <w:sz w:val="20"/>
        </w:rPr>
        <w:t>.</w:t>
      </w:r>
    </w:p>
  </w:footnote>
  <w:footnote w:id="78">
    <w:p w14:paraId="22276E5D" w14:textId="4C1AE60E" w:rsidR="0093676D" w:rsidRPr="00FE0B04" w:rsidRDefault="00FE0B04"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FE0B04">
        <w:t>Soit 192 019 091,60 euros.</w:t>
      </w:r>
    </w:p>
  </w:footnote>
  <w:footnote w:id="79">
    <w:p w14:paraId="5DC1AEEA" w14:textId="3228B782" w:rsidR="0093676D" w:rsidRPr="00FE0B04" w:rsidRDefault="00FE0B04" w:rsidP="00CF37AD">
      <w:pPr>
        <w:pStyle w:val="FootnoteText"/>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FE0B04">
        <w:t>Soit 162 449 036,64 euros.</w:t>
      </w:r>
    </w:p>
  </w:footnote>
  <w:footnote w:id="80">
    <w:p w14:paraId="6A602BA2" w14:textId="7C5A8889" w:rsidR="0093676D" w:rsidRDefault="00FE0B04" w:rsidP="00CF37AD">
      <w:pPr>
        <w:pStyle w:val="FootnoteText"/>
        <w:rPr>
          <w:color w:val="000000"/>
          <w:sz w:val="20"/>
        </w:rPr>
      </w:pPr>
      <w:r>
        <w:rPr>
          <w:color w:val="000000"/>
          <w:sz w:val="20"/>
        </w:rPr>
        <w:tab/>
      </w:r>
      <w:r w:rsidR="0093676D" w:rsidRPr="00CF37AD">
        <w:rPr>
          <w:rStyle w:val="FootnoteReference"/>
        </w:rPr>
        <w:footnoteRef/>
      </w:r>
      <w:r>
        <w:rPr>
          <w:color w:val="000000"/>
          <w:sz w:val="20"/>
        </w:rPr>
        <w:t xml:space="preserve"> </w:t>
      </w:r>
      <w:r>
        <w:rPr>
          <w:color w:val="000000"/>
          <w:sz w:val="20"/>
        </w:rPr>
        <w:tab/>
      </w:r>
      <w:r w:rsidR="0093676D" w:rsidRPr="00FE0B04">
        <w:t>Soit 278 284 922,13 euros.</w:t>
      </w:r>
    </w:p>
  </w:footnote>
  <w:footnote w:id="81">
    <w:p w14:paraId="0676E3E3" w14:textId="637F22D6" w:rsidR="0093676D" w:rsidRDefault="00FE0B04"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FE0B04">
        <w:t>Soit 385 038 860,18 euros</w:t>
      </w:r>
      <w:r w:rsidR="0093676D">
        <w:rPr>
          <w:color w:val="000000"/>
          <w:sz w:val="20"/>
        </w:rPr>
        <w:t xml:space="preserve">. </w:t>
      </w:r>
    </w:p>
  </w:footnote>
  <w:footnote w:id="82">
    <w:p w14:paraId="1A111C83" w14:textId="03865A27" w:rsidR="0093676D" w:rsidRPr="00FE0B04" w:rsidRDefault="00FE0B04"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FE0B04">
        <w:t xml:space="preserve">Soit 445 913 374,72 euros. </w:t>
      </w:r>
    </w:p>
  </w:footnote>
  <w:footnote w:id="83">
    <w:p w14:paraId="1D7F850A" w14:textId="4A30EE9C" w:rsidR="0093676D" w:rsidRPr="00FE0B04" w:rsidRDefault="00FE0B04"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FE0B04">
        <w:t>Soit 76 555 322,87 euros.</w:t>
      </w:r>
    </w:p>
  </w:footnote>
  <w:footnote w:id="84">
    <w:p w14:paraId="401F93FE" w14:textId="479C5F11" w:rsidR="0093676D" w:rsidRPr="00FE0B04" w:rsidRDefault="00FE0B04" w:rsidP="00CF37AD">
      <w:pPr>
        <w:pStyle w:val="FootnoteText"/>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sidRPr="00FE0B04">
        <w:t>Soit 152 528 290,49 euros.</w:t>
      </w:r>
    </w:p>
  </w:footnote>
  <w:footnote w:id="85">
    <w:p w14:paraId="167D5C6E" w14:textId="01B4D022" w:rsidR="0093676D" w:rsidRDefault="00FE0B04" w:rsidP="00CF37AD">
      <w:pPr>
        <w:pStyle w:val="FootnoteText"/>
        <w:rPr>
          <w:i/>
          <w:color w:val="000000"/>
        </w:rPr>
      </w:pPr>
      <w:r>
        <w:rPr>
          <w:color w:val="000000"/>
        </w:rPr>
        <w:tab/>
      </w:r>
      <w:r w:rsidR="0093676D" w:rsidRPr="00CF37AD">
        <w:rPr>
          <w:rStyle w:val="FootnoteReference"/>
        </w:rPr>
        <w:footnoteRef/>
      </w:r>
      <w:r w:rsidR="0093676D">
        <w:rPr>
          <w:color w:val="000000"/>
        </w:rPr>
        <w:t xml:space="preserve"> </w:t>
      </w:r>
      <w:r>
        <w:rPr>
          <w:color w:val="000000"/>
        </w:rPr>
        <w:tab/>
      </w:r>
      <w:r w:rsidR="0093676D">
        <w:rPr>
          <w:color w:val="000000"/>
        </w:rPr>
        <w:t xml:space="preserve">L’article 66 de la même loi précise clairement que </w:t>
      </w:r>
      <w:r w:rsidR="0093676D">
        <w:rPr>
          <w:i/>
          <w:color w:val="000000"/>
        </w:rPr>
        <w:t>« la grâce est la commutation ou la remise, partielle ou totale, conditionnelle ou non, des peines, des mesures de sûreté et des obligations de probation ».</w:t>
      </w:r>
    </w:p>
  </w:footnote>
  <w:footnote w:id="86">
    <w:p w14:paraId="624FA3AD" w14:textId="1672868B" w:rsidR="0093676D" w:rsidRPr="007B1D44" w:rsidRDefault="00FE0B04" w:rsidP="00CF37AD">
      <w:pPr>
        <w:pStyle w:val="FootnoteText"/>
      </w:pPr>
      <w:r>
        <w:tab/>
      </w:r>
      <w:r w:rsidR="0093676D" w:rsidRPr="00CF37AD">
        <w:rPr>
          <w:rStyle w:val="FootnoteReference"/>
        </w:rPr>
        <w:footnoteRef/>
      </w:r>
      <w:r w:rsidR="0093676D" w:rsidRPr="001D0CC1">
        <w:t xml:space="preserve"> </w:t>
      </w:r>
      <w:r>
        <w:tab/>
      </w:r>
      <w:r w:rsidR="0093676D" w:rsidRPr="001D0CC1">
        <w:t>39 271 595 Euros</w:t>
      </w:r>
    </w:p>
  </w:footnote>
  <w:footnote w:id="87">
    <w:p w14:paraId="24471B23" w14:textId="16888B8A" w:rsidR="0093676D" w:rsidRDefault="00FE0B04"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Pr>
          <w:color w:val="000000"/>
          <w:sz w:val="20"/>
        </w:rPr>
        <w:t xml:space="preserve">Les Prisons principales de </w:t>
      </w:r>
      <w:proofErr w:type="spellStart"/>
      <w:r w:rsidR="0093676D">
        <w:rPr>
          <w:color w:val="000000"/>
          <w:sz w:val="20"/>
        </w:rPr>
        <w:t>Bandjoun</w:t>
      </w:r>
      <w:proofErr w:type="spellEnd"/>
      <w:r w:rsidR="0093676D">
        <w:rPr>
          <w:color w:val="000000"/>
          <w:sz w:val="20"/>
        </w:rPr>
        <w:t xml:space="preserve">, </w:t>
      </w:r>
      <w:proofErr w:type="spellStart"/>
      <w:r w:rsidR="0093676D">
        <w:rPr>
          <w:color w:val="000000"/>
          <w:sz w:val="20"/>
        </w:rPr>
        <w:t>Bonaberi</w:t>
      </w:r>
      <w:proofErr w:type="spellEnd"/>
      <w:r w:rsidR="0093676D">
        <w:rPr>
          <w:color w:val="000000"/>
          <w:sz w:val="20"/>
        </w:rPr>
        <w:t xml:space="preserve">, Limbe, </w:t>
      </w:r>
      <w:proofErr w:type="spellStart"/>
      <w:r w:rsidR="0093676D">
        <w:rPr>
          <w:color w:val="000000"/>
          <w:sz w:val="20"/>
        </w:rPr>
        <w:t>Mbankomo</w:t>
      </w:r>
      <w:proofErr w:type="spellEnd"/>
      <w:r w:rsidR="0093676D">
        <w:rPr>
          <w:color w:val="000000"/>
          <w:sz w:val="20"/>
        </w:rPr>
        <w:t xml:space="preserve">, </w:t>
      </w:r>
      <w:proofErr w:type="spellStart"/>
      <w:r w:rsidR="0093676D">
        <w:rPr>
          <w:color w:val="000000"/>
          <w:sz w:val="20"/>
        </w:rPr>
        <w:t>Mundemba</w:t>
      </w:r>
      <w:proofErr w:type="spellEnd"/>
      <w:r w:rsidR="0093676D">
        <w:rPr>
          <w:color w:val="000000"/>
          <w:sz w:val="20"/>
        </w:rPr>
        <w:t xml:space="preserve">, </w:t>
      </w:r>
      <w:proofErr w:type="spellStart"/>
      <w:r w:rsidR="0093676D">
        <w:rPr>
          <w:color w:val="000000"/>
          <w:sz w:val="20"/>
        </w:rPr>
        <w:t>Menji</w:t>
      </w:r>
      <w:proofErr w:type="spellEnd"/>
      <w:r w:rsidR="0093676D">
        <w:rPr>
          <w:color w:val="000000"/>
          <w:sz w:val="20"/>
        </w:rPr>
        <w:t xml:space="preserve">, </w:t>
      </w:r>
      <w:proofErr w:type="spellStart"/>
      <w:r w:rsidR="0093676D">
        <w:rPr>
          <w:color w:val="000000"/>
          <w:sz w:val="20"/>
        </w:rPr>
        <w:t>Bangem</w:t>
      </w:r>
      <w:proofErr w:type="spellEnd"/>
      <w:r w:rsidR="0093676D">
        <w:rPr>
          <w:color w:val="000000"/>
          <w:sz w:val="20"/>
        </w:rPr>
        <w:t xml:space="preserve"> et Prisons secondaire de </w:t>
      </w:r>
      <w:proofErr w:type="spellStart"/>
      <w:r w:rsidR="0093676D">
        <w:rPr>
          <w:color w:val="000000"/>
          <w:sz w:val="20"/>
        </w:rPr>
        <w:t>Touboro</w:t>
      </w:r>
      <w:proofErr w:type="spellEnd"/>
      <w:r w:rsidR="0093676D">
        <w:rPr>
          <w:color w:val="000000"/>
          <w:sz w:val="20"/>
        </w:rPr>
        <w:t xml:space="preserve">, </w:t>
      </w:r>
      <w:proofErr w:type="spellStart"/>
      <w:r w:rsidR="0093676D">
        <w:rPr>
          <w:color w:val="000000"/>
          <w:sz w:val="20"/>
        </w:rPr>
        <w:t>Batibo</w:t>
      </w:r>
      <w:proofErr w:type="spellEnd"/>
      <w:r w:rsidR="0093676D">
        <w:rPr>
          <w:color w:val="000000"/>
          <w:sz w:val="20"/>
        </w:rPr>
        <w:t xml:space="preserve"> et </w:t>
      </w:r>
      <w:proofErr w:type="spellStart"/>
      <w:r w:rsidR="0093676D">
        <w:rPr>
          <w:color w:val="000000"/>
          <w:sz w:val="20"/>
        </w:rPr>
        <w:t>Tombel</w:t>
      </w:r>
      <w:proofErr w:type="spellEnd"/>
      <w:r w:rsidR="0093676D">
        <w:rPr>
          <w:color w:val="000000"/>
          <w:sz w:val="20"/>
        </w:rPr>
        <w:t>.</w:t>
      </w:r>
    </w:p>
  </w:footnote>
  <w:footnote w:id="88">
    <w:p w14:paraId="56E8C7C8" w14:textId="1F537449" w:rsidR="0093676D" w:rsidRDefault="00FE0B04" w:rsidP="00CF37AD">
      <w:pPr>
        <w:pStyle w:val="FootnoteText"/>
        <w:rPr>
          <w:color w:val="000000"/>
          <w:sz w:val="20"/>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Pr>
          <w:color w:val="000000"/>
          <w:sz w:val="20"/>
        </w:rPr>
        <w:t xml:space="preserve">Prisons Principales de </w:t>
      </w:r>
      <w:proofErr w:type="spellStart"/>
      <w:r w:rsidR="0093676D">
        <w:rPr>
          <w:color w:val="000000"/>
          <w:sz w:val="20"/>
        </w:rPr>
        <w:t>Fundong</w:t>
      </w:r>
      <w:proofErr w:type="spellEnd"/>
      <w:r w:rsidR="0093676D">
        <w:rPr>
          <w:color w:val="000000"/>
          <w:sz w:val="20"/>
        </w:rPr>
        <w:t xml:space="preserve"> et de </w:t>
      </w:r>
      <w:proofErr w:type="spellStart"/>
      <w:r w:rsidR="0093676D">
        <w:rPr>
          <w:color w:val="000000"/>
          <w:sz w:val="20"/>
        </w:rPr>
        <w:t>Ndop</w:t>
      </w:r>
      <w:proofErr w:type="spellEnd"/>
      <w:r w:rsidR="0093676D">
        <w:rPr>
          <w:color w:val="000000"/>
          <w:sz w:val="20"/>
        </w:rPr>
        <w:t xml:space="preserve"> et Prisons Secondaire de Bali, </w:t>
      </w:r>
      <w:proofErr w:type="spellStart"/>
      <w:r w:rsidR="0093676D">
        <w:rPr>
          <w:color w:val="000000"/>
          <w:sz w:val="20"/>
        </w:rPr>
        <w:t>Bavenga</w:t>
      </w:r>
      <w:proofErr w:type="spellEnd"/>
      <w:r w:rsidR="0093676D">
        <w:rPr>
          <w:color w:val="000000"/>
          <w:sz w:val="20"/>
        </w:rPr>
        <w:t xml:space="preserve"> et Meri.</w:t>
      </w:r>
    </w:p>
  </w:footnote>
  <w:footnote w:id="89">
    <w:p w14:paraId="3B453B18" w14:textId="0D4FF9EA" w:rsidR="0093676D" w:rsidRDefault="00FE0B04" w:rsidP="00CF37AD">
      <w:pPr>
        <w:pStyle w:val="FootnoteText"/>
        <w:rPr>
          <w:color w:val="000000"/>
          <w:sz w:val="20"/>
          <w:lang w:val="fr-FR"/>
        </w:rPr>
      </w:pPr>
      <w:r>
        <w:rPr>
          <w:color w:val="000000"/>
          <w:sz w:val="20"/>
        </w:rPr>
        <w:tab/>
      </w:r>
      <w:r w:rsidR="0093676D" w:rsidRPr="00CF37AD">
        <w:rPr>
          <w:rStyle w:val="FootnoteReference"/>
        </w:rPr>
        <w:footnoteRef/>
      </w:r>
      <w:r w:rsidR="0093676D">
        <w:rPr>
          <w:color w:val="000000"/>
          <w:sz w:val="20"/>
        </w:rPr>
        <w:t xml:space="preserve"> </w:t>
      </w:r>
      <w:r>
        <w:rPr>
          <w:color w:val="000000"/>
          <w:sz w:val="20"/>
        </w:rPr>
        <w:tab/>
      </w:r>
      <w:r w:rsidR="0093676D">
        <w:rPr>
          <w:color w:val="000000"/>
          <w:sz w:val="20"/>
        </w:rPr>
        <w:t>Elle a ainsi visité les prisons centrales de Yaoundé, New-Bell, Bafoussam, Bamenda, Maroua, Garoua, Ebolowa, Bertoua et Buea</w:t>
      </w:r>
      <w:r w:rsidR="0027203C">
        <w:rPr>
          <w:color w:val="000000"/>
          <w:sz w:val="20"/>
        </w:rPr>
        <w:t>;</w:t>
      </w:r>
      <w:r w:rsidR="0093676D">
        <w:rPr>
          <w:color w:val="000000"/>
          <w:sz w:val="20"/>
        </w:rPr>
        <w:t xml:space="preserve"> les prisons principales d’</w:t>
      </w:r>
      <w:proofErr w:type="spellStart"/>
      <w:r w:rsidR="0093676D">
        <w:rPr>
          <w:color w:val="000000"/>
          <w:sz w:val="20"/>
        </w:rPr>
        <w:t>Akonolinga</w:t>
      </w:r>
      <w:proofErr w:type="spellEnd"/>
      <w:r w:rsidR="0093676D">
        <w:rPr>
          <w:color w:val="000000"/>
          <w:sz w:val="20"/>
        </w:rPr>
        <w:t xml:space="preserve">, de Mfou, Yaoundé, </w:t>
      </w:r>
      <w:proofErr w:type="spellStart"/>
      <w:r w:rsidR="0093676D">
        <w:rPr>
          <w:color w:val="000000"/>
          <w:sz w:val="20"/>
        </w:rPr>
        <w:t>Nanga-Eboko</w:t>
      </w:r>
      <w:proofErr w:type="spellEnd"/>
      <w:r w:rsidR="0093676D">
        <w:rPr>
          <w:color w:val="000000"/>
          <w:sz w:val="20"/>
        </w:rPr>
        <w:t xml:space="preserve">, Edéa, </w:t>
      </w:r>
      <w:proofErr w:type="spellStart"/>
      <w:r w:rsidR="0093676D">
        <w:rPr>
          <w:color w:val="000000"/>
          <w:sz w:val="20"/>
        </w:rPr>
        <w:t>Foumbot</w:t>
      </w:r>
      <w:proofErr w:type="spellEnd"/>
      <w:r w:rsidR="0093676D">
        <w:rPr>
          <w:color w:val="000000"/>
          <w:sz w:val="20"/>
        </w:rPr>
        <w:t xml:space="preserve">, Kumba, </w:t>
      </w:r>
      <w:proofErr w:type="spellStart"/>
      <w:r w:rsidR="0093676D">
        <w:rPr>
          <w:color w:val="000000"/>
          <w:sz w:val="20"/>
        </w:rPr>
        <w:t>Mokolo</w:t>
      </w:r>
      <w:proofErr w:type="spellEnd"/>
      <w:r w:rsidR="0093676D">
        <w:rPr>
          <w:color w:val="000000"/>
          <w:sz w:val="20"/>
        </w:rPr>
        <w:t>, Guider et Kribi</w:t>
      </w:r>
      <w:r w:rsidR="0027203C">
        <w:rPr>
          <w:color w:val="000000"/>
          <w:sz w:val="20"/>
        </w:rPr>
        <w:t>;</w:t>
      </w:r>
      <w:r w:rsidR="0093676D">
        <w:rPr>
          <w:color w:val="000000"/>
          <w:sz w:val="20"/>
        </w:rPr>
        <w:t xml:space="preserve"> et les prisons secondaires de Bali et </w:t>
      </w:r>
      <w:proofErr w:type="spellStart"/>
      <w:r w:rsidR="0093676D">
        <w:rPr>
          <w:color w:val="000000"/>
          <w:sz w:val="20"/>
        </w:rPr>
        <w:t>Bengbis</w:t>
      </w:r>
      <w:proofErr w:type="spellEnd"/>
      <w:r w:rsidR="0093676D">
        <w:rPr>
          <w:color w:val="000000"/>
          <w:sz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134BB"/>
    <w:multiLevelType w:val="hybridMultilevel"/>
    <w:tmpl w:val="7FB25B92"/>
    <w:lvl w:ilvl="0" w:tplc="6812E25C">
      <w:start w:val="1"/>
      <w:numFmt w:val="upperLetter"/>
      <w:pStyle w:val="DDHCI3"/>
      <w:lvlText w:val="%1)"/>
      <w:lvlJc w:val="left"/>
      <w:pPr>
        <w:ind w:left="2145" w:hanging="360"/>
      </w:pPr>
      <w:rPr>
        <w:rFonts w:hint="default"/>
      </w:rPr>
    </w:lvl>
    <w:lvl w:ilvl="1" w:tplc="040C0019" w:tentative="1">
      <w:start w:val="1"/>
      <w:numFmt w:val="lowerLetter"/>
      <w:lvlText w:val="%2."/>
      <w:lvlJc w:val="left"/>
      <w:pPr>
        <w:ind w:left="2865" w:hanging="360"/>
      </w:pPr>
    </w:lvl>
    <w:lvl w:ilvl="2" w:tplc="040C001B" w:tentative="1">
      <w:start w:val="1"/>
      <w:numFmt w:val="lowerRoman"/>
      <w:lvlText w:val="%3."/>
      <w:lvlJc w:val="right"/>
      <w:pPr>
        <w:ind w:left="3585" w:hanging="180"/>
      </w:pPr>
    </w:lvl>
    <w:lvl w:ilvl="3" w:tplc="040C000F" w:tentative="1">
      <w:start w:val="1"/>
      <w:numFmt w:val="decimal"/>
      <w:lvlText w:val="%4."/>
      <w:lvlJc w:val="left"/>
      <w:pPr>
        <w:ind w:left="4305" w:hanging="360"/>
      </w:pPr>
    </w:lvl>
    <w:lvl w:ilvl="4" w:tplc="040C0019" w:tentative="1">
      <w:start w:val="1"/>
      <w:numFmt w:val="lowerLetter"/>
      <w:lvlText w:val="%5."/>
      <w:lvlJc w:val="left"/>
      <w:pPr>
        <w:ind w:left="5025" w:hanging="360"/>
      </w:pPr>
    </w:lvl>
    <w:lvl w:ilvl="5" w:tplc="040C001B" w:tentative="1">
      <w:start w:val="1"/>
      <w:numFmt w:val="lowerRoman"/>
      <w:lvlText w:val="%6."/>
      <w:lvlJc w:val="right"/>
      <w:pPr>
        <w:ind w:left="5745" w:hanging="180"/>
      </w:pPr>
    </w:lvl>
    <w:lvl w:ilvl="6" w:tplc="040C000F" w:tentative="1">
      <w:start w:val="1"/>
      <w:numFmt w:val="decimal"/>
      <w:lvlText w:val="%7."/>
      <w:lvlJc w:val="left"/>
      <w:pPr>
        <w:ind w:left="6465" w:hanging="360"/>
      </w:pPr>
    </w:lvl>
    <w:lvl w:ilvl="7" w:tplc="040C0019" w:tentative="1">
      <w:start w:val="1"/>
      <w:numFmt w:val="lowerLetter"/>
      <w:lvlText w:val="%8."/>
      <w:lvlJc w:val="left"/>
      <w:pPr>
        <w:ind w:left="7185" w:hanging="360"/>
      </w:pPr>
    </w:lvl>
    <w:lvl w:ilvl="8" w:tplc="040C001B" w:tentative="1">
      <w:start w:val="1"/>
      <w:numFmt w:val="lowerRoman"/>
      <w:lvlText w:val="%9."/>
      <w:lvlJc w:val="right"/>
      <w:pPr>
        <w:ind w:left="7905"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0B44D76"/>
    <w:multiLevelType w:val="hybridMultilevel"/>
    <w:tmpl w:val="4AD09532"/>
    <w:lvl w:ilvl="0" w:tplc="2E34CA2A">
      <w:start w:val="132"/>
      <w:numFmt w:val="decimal"/>
      <w:lvlText w:val="%1."/>
      <w:lvlJc w:val="left"/>
      <w:pPr>
        <w:ind w:left="2344" w:hanging="850"/>
      </w:pPr>
      <w:rPr>
        <w:rFonts w:hint="default"/>
        <w:b w:val="0"/>
        <w:bCs w:val="0"/>
        <w:i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AE7011B"/>
    <w:multiLevelType w:val="hybridMultilevel"/>
    <w:tmpl w:val="D8BC5C60"/>
    <w:lvl w:ilvl="0" w:tplc="21CC0E82">
      <w:start w:val="1"/>
      <w:numFmt w:val="decimal"/>
      <w:pStyle w:val="DDHCI4"/>
      <w:lvlText w:val="%1)"/>
      <w:lvlJc w:val="left"/>
      <w:pPr>
        <w:ind w:left="2865" w:hanging="360"/>
      </w:pPr>
    </w:lvl>
    <w:lvl w:ilvl="1" w:tplc="040C0019" w:tentative="1">
      <w:start w:val="1"/>
      <w:numFmt w:val="lowerLetter"/>
      <w:lvlText w:val="%2."/>
      <w:lvlJc w:val="left"/>
      <w:pPr>
        <w:ind w:left="3585" w:hanging="360"/>
      </w:pPr>
    </w:lvl>
    <w:lvl w:ilvl="2" w:tplc="040C001B" w:tentative="1">
      <w:start w:val="1"/>
      <w:numFmt w:val="lowerRoman"/>
      <w:lvlText w:val="%3."/>
      <w:lvlJc w:val="right"/>
      <w:pPr>
        <w:ind w:left="4305" w:hanging="180"/>
      </w:pPr>
    </w:lvl>
    <w:lvl w:ilvl="3" w:tplc="040C000F" w:tentative="1">
      <w:start w:val="1"/>
      <w:numFmt w:val="decimal"/>
      <w:lvlText w:val="%4."/>
      <w:lvlJc w:val="left"/>
      <w:pPr>
        <w:ind w:left="5025" w:hanging="360"/>
      </w:pPr>
    </w:lvl>
    <w:lvl w:ilvl="4" w:tplc="040C0019" w:tentative="1">
      <w:start w:val="1"/>
      <w:numFmt w:val="lowerLetter"/>
      <w:lvlText w:val="%5."/>
      <w:lvlJc w:val="left"/>
      <w:pPr>
        <w:ind w:left="5745" w:hanging="360"/>
      </w:pPr>
    </w:lvl>
    <w:lvl w:ilvl="5" w:tplc="040C001B" w:tentative="1">
      <w:start w:val="1"/>
      <w:numFmt w:val="lowerRoman"/>
      <w:lvlText w:val="%6."/>
      <w:lvlJc w:val="right"/>
      <w:pPr>
        <w:ind w:left="6465" w:hanging="180"/>
      </w:pPr>
    </w:lvl>
    <w:lvl w:ilvl="6" w:tplc="040C000F" w:tentative="1">
      <w:start w:val="1"/>
      <w:numFmt w:val="decimal"/>
      <w:lvlText w:val="%7."/>
      <w:lvlJc w:val="left"/>
      <w:pPr>
        <w:ind w:left="7185" w:hanging="360"/>
      </w:pPr>
    </w:lvl>
    <w:lvl w:ilvl="7" w:tplc="040C0019" w:tentative="1">
      <w:start w:val="1"/>
      <w:numFmt w:val="lowerLetter"/>
      <w:lvlText w:val="%8."/>
      <w:lvlJc w:val="left"/>
      <w:pPr>
        <w:ind w:left="7905" w:hanging="360"/>
      </w:pPr>
    </w:lvl>
    <w:lvl w:ilvl="8" w:tplc="040C001B" w:tentative="1">
      <w:start w:val="1"/>
      <w:numFmt w:val="lowerRoman"/>
      <w:lvlText w:val="%9."/>
      <w:lvlJc w:val="right"/>
      <w:pPr>
        <w:ind w:left="8625" w:hanging="180"/>
      </w:pPr>
    </w:lvl>
  </w:abstractNum>
  <w:num w:numId="1" w16cid:durableId="1305967306">
    <w:abstractNumId w:val="4"/>
  </w:num>
  <w:num w:numId="2" w16cid:durableId="439186853">
    <w:abstractNumId w:val="2"/>
  </w:num>
  <w:num w:numId="3" w16cid:durableId="1284536568">
    <w:abstractNumId w:val="1"/>
  </w:num>
  <w:num w:numId="4" w16cid:durableId="819735359">
    <w:abstractNumId w:val="5"/>
  </w:num>
  <w:num w:numId="5" w16cid:durableId="951859860">
    <w:abstractNumId w:val="0"/>
  </w:num>
  <w:num w:numId="6" w16cid:durableId="126965816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4E"/>
    <w:rsid w:val="00007622"/>
    <w:rsid w:val="000100A9"/>
    <w:rsid w:val="00017F94"/>
    <w:rsid w:val="00023408"/>
    <w:rsid w:val="00023842"/>
    <w:rsid w:val="00027F08"/>
    <w:rsid w:val="000334F9"/>
    <w:rsid w:val="00046E89"/>
    <w:rsid w:val="00070C07"/>
    <w:rsid w:val="0007796D"/>
    <w:rsid w:val="000919AD"/>
    <w:rsid w:val="000A7D77"/>
    <w:rsid w:val="000B7790"/>
    <w:rsid w:val="000C2225"/>
    <w:rsid w:val="000E184D"/>
    <w:rsid w:val="000F5729"/>
    <w:rsid w:val="00111F2F"/>
    <w:rsid w:val="00111F87"/>
    <w:rsid w:val="001250CB"/>
    <w:rsid w:val="0014365E"/>
    <w:rsid w:val="001479D4"/>
    <w:rsid w:val="00173AF5"/>
    <w:rsid w:val="00176178"/>
    <w:rsid w:val="00183447"/>
    <w:rsid w:val="001A3EB3"/>
    <w:rsid w:val="001B379B"/>
    <w:rsid w:val="001E4B1D"/>
    <w:rsid w:val="001F525A"/>
    <w:rsid w:val="0020773C"/>
    <w:rsid w:val="00223272"/>
    <w:rsid w:val="00234FC6"/>
    <w:rsid w:val="0024779E"/>
    <w:rsid w:val="002543F2"/>
    <w:rsid w:val="002619E6"/>
    <w:rsid w:val="0027203C"/>
    <w:rsid w:val="00281542"/>
    <w:rsid w:val="002B7BC7"/>
    <w:rsid w:val="002D1699"/>
    <w:rsid w:val="002E0803"/>
    <w:rsid w:val="002E2D46"/>
    <w:rsid w:val="0032225A"/>
    <w:rsid w:val="00324640"/>
    <w:rsid w:val="003265B7"/>
    <w:rsid w:val="003313E1"/>
    <w:rsid w:val="00336C6D"/>
    <w:rsid w:val="003402F1"/>
    <w:rsid w:val="00340B5B"/>
    <w:rsid w:val="00346245"/>
    <w:rsid w:val="00351332"/>
    <w:rsid w:val="00362B48"/>
    <w:rsid w:val="003A57F6"/>
    <w:rsid w:val="003A6E96"/>
    <w:rsid w:val="003B060D"/>
    <w:rsid w:val="003C7FAD"/>
    <w:rsid w:val="003E4BA4"/>
    <w:rsid w:val="003F0CC3"/>
    <w:rsid w:val="004121FC"/>
    <w:rsid w:val="00414FE7"/>
    <w:rsid w:val="00423320"/>
    <w:rsid w:val="00446FE5"/>
    <w:rsid w:val="00452396"/>
    <w:rsid w:val="004D1400"/>
    <w:rsid w:val="00507771"/>
    <w:rsid w:val="005505B7"/>
    <w:rsid w:val="00550767"/>
    <w:rsid w:val="00560519"/>
    <w:rsid w:val="0056058E"/>
    <w:rsid w:val="00573BE5"/>
    <w:rsid w:val="00586ED3"/>
    <w:rsid w:val="00596AA9"/>
    <w:rsid w:val="005E3C61"/>
    <w:rsid w:val="005F1C99"/>
    <w:rsid w:val="005F1D8A"/>
    <w:rsid w:val="0062017E"/>
    <w:rsid w:val="006341A7"/>
    <w:rsid w:val="00640175"/>
    <w:rsid w:val="0066145F"/>
    <w:rsid w:val="006D1448"/>
    <w:rsid w:val="006F5E45"/>
    <w:rsid w:val="006F7144"/>
    <w:rsid w:val="006F71EA"/>
    <w:rsid w:val="00712132"/>
    <w:rsid w:val="0071601D"/>
    <w:rsid w:val="00737B59"/>
    <w:rsid w:val="00746AEA"/>
    <w:rsid w:val="00746D93"/>
    <w:rsid w:val="00793E85"/>
    <w:rsid w:val="007A4FC0"/>
    <w:rsid w:val="007A611C"/>
    <w:rsid w:val="007A62E6"/>
    <w:rsid w:val="007B7924"/>
    <w:rsid w:val="007E2032"/>
    <w:rsid w:val="007F655F"/>
    <w:rsid w:val="0080684C"/>
    <w:rsid w:val="00845CD6"/>
    <w:rsid w:val="008560DB"/>
    <w:rsid w:val="00871C75"/>
    <w:rsid w:val="008776DC"/>
    <w:rsid w:val="00891816"/>
    <w:rsid w:val="008A6363"/>
    <w:rsid w:val="0093676D"/>
    <w:rsid w:val="009542EE"/>
    <w:rsid w:val="0095476B"/>
    <w:rsid w:val="00960C19"/>
    <w:rsid w:val="009705C8"/>
    <w:rsid w:val="00975A35"/>
    <w:rsid w:val="00980BBC"/>
    <w:rsid w:val="009B1E6C"/>
    <w:rsid w:val="009B7A94"/>
    <w:rsid w:val="009E2C6A"/>
    <w:rsid w:val="009F5719"/>
    <w:rsid w:val="00A0304E"/>
    <w:rsid w:val="00A26DB4"/>
    <w:rsid w:val="00A432E0"/>
    <w:rsid w:val="00A47E95"/>
    <w:rsid w:val="00A57411"/>
    <w:rsid w:val="00A9151D"/>
    <w:rsid w:val="00A92823"/>
    <w:rsid w:val="00AA6A35"/>
    <w:rsid w:val="00AC3823"/>
    <w:rsid w:val="00AE323C"/>
    <w:rsid w:val="00AE5719"/>
    <w:rsid w:val="00B00181"/>
    <w:rsid w:val="00B16F06"/>
    <w:rsid w:val="00B25820"/>
    <w:rsid w:val="00B601E4"/>
    <w:rsid w:val="00B726C5"/>
    <w:rsid w:val="00B74D55"/>
    <w:rsid w:val="00B765F7"/>
    <w:rsid w:val="00BA0CA9"/>
    <w:rsid w:val="00BA6335"/>
    <w:rsid w:val="00BF2C7C"/>
    <w:rsid w:val="00C00176"/>
    <w:rsid w:val="00C01ACF"/>
    <w:rsid w:val="00C02897"/>
    <w:rsid w:val="00C2044C"/>
    <w:rsid w:val="00C315DC"/>
    <w:rsid w:val="00C4382C"/>
    <w:rsid w:val="00C959F9"/>
    <w:rsid w:val="00CA7BC4"/>
    <w:rsid w:val="00CB61F7"/>
    <w:rsid w:val="00CF37AD"/>
    <w:rsid w:val="00CF6178"/>
    <w:rsid w:val="00D023D1"/>
    <w:rsid w:val="00D05667"/>
    <w:rsid w:val="00D22C9C"/>
    <w:rsid w:val="00D3260A"/>
    <w:rsid w:val="00D3439C"/>
    <w:rsid w:val="00D4240C"/>
    <w:rsid w:val="00D47608"/>
    <w:rsid w:val="00D744E5"/>
    <w:rsid w:val="00D83177"/>
    <w:rsid w:val="00DA01A7"/>
    <w:rsid w:val="00DB1831"/>
    <w:rsid w:val="00DB4F8E"/>
    <w:rsid w:val="00DD231F"/>
    <w:rsid w:val="00DD3BFD"/>
    <w:rsid w:val="00DE0A93"/>
    <w:rsid w:val="00DE6CF3"/>
    <w:rsid w:val="00DF6678"/>
    <w:rsid w:val="00E23E36"/>
    <w:rsid w:val="00E27EDA"/>
    <w:rsid w:val="00E30FAC"/>
    <w:rsid w:val="00E50FB9"/>
    <w:rsid w:val="00E85C42"/>
    <w:rsid w:val="00E96366"/>
    <w:rsid w:val="00EA62A5"/>
    <w:rsid w:val="00EB5916"/>
    <w:rsid w:val="00EC30D5"/>
    <w:rsid w:val="00ED20A7"/>
    <w:rsid w:val="00ED2FAA"/>
    <w:rsid w:val="00EE1BD4"/>
    <w:rsid w:val="00EE4AE4"/>
    <w:rsid w:val="00EE7250"/>
    <w:rsid w:val="00F12152"/>
    <w:rsid w:val="00F205CD"/>
    <w:rsid w:val="00F65A9F"/>
    <w:rsid w:val="00F660DF"/>
    <w:rsid w:val="00F82103"/>
    <w:rsid w:val="00F8500C"/>
    <w:rsid w:val="00F9015A"/>
    <w:rsid w:val="00F95C08"/>
    <w:rsid w:val="00F971C2"/>
    <w:rsid w:val="00FC750F"/>
    <w:rsid w:val="00FD57A3"/>
    <w:rsid w:val="00FD58BC"/>
    <w:rsid w:val="00FE0B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10104"/>
  <w15:docId w15:val="{C93908D8-0E9D-4976-92A1-F580EBED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AE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D744E5"/>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A9151D"/>
    <w:pPr>
      <w:outlineLvl w:val="1"/>
    </w:pPr>
  </w:style>
  <w:style w:type="paragraph" w:styleId="Heading3">
    <w:name w:val="heading 3"/>
    <w:basedOn w:val="Normal"/>
    <w:next w:val="Normal"/>
    <w:link w:val="Heading3Char"/>
    <w:uiPriority w:val="9"/>
    <w:qFormat/>
    <w:rsid w:val="00793E85"/>
    <w:pPr>
      <w:outlineLvl w:val="2"/>
    </w:pPr>
  </w:style>
  <w:style w:type="paragraph" w:styleId="Heading4">
    <w:name w:val="heading 4"/>
    <w:basedOn w:val="Normal"/>
    <w:next w:val="Normal"/>
    <w:link w:val="Heading4Char"/>
    <w:uiPriority w:val="9"/>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uiPriority w:val="99"/>
    <w:qFormat/>
    <w:rsid w:val="00D744E5"/>
    <w:pPr>
      <w:spacing w:line="240" w:lineRule="auto"/>
    </w:pPr>
    <w:rPr>
      <w:sz w:val="16"/>
    </w:rPr>
  </w:style>
  <w:style w:type="character" w:customStyle="1" w:styleId="FooterChar">
    <w:name w:val="Footer Char"/>
    <w:aliases w:val="3_G Char"/>
    <w:basedOn w:val="DefaultParagraphFont"/>
    <w:link w:val="Footer"/>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basedOn w:val="DefaultParagraphFont"/>
    <w:uiPriority w:val="99"/>
    <w:qFormat/>
    <w:rsid w:val="00EE4AE4"/>
    <w:rPr>
      <w:rFonts w:ascii="Times New Roman" w:hAnsi="Times New Roman"/>
      <w:sz w:val="18"/>
      <w:vertAlign w:val="superscript"/>
      <w:lang w:val="fr-CH"/>
    </w:rPr>
  </w:style>
  <w:style w:type="character" w:styleId="EndnoteReference">
    <w:name w:val="endnote reference"/>
    <w:aliases w:val="1_G"/>
    <w:basedOn w:val="DefaultParagraphFont"/>
    <w:qFormat/>
    <w:rsid w:val="00EE4AE4"/>
    <w:rPr>
      <w:rFonts w:ascii="Times New Roman" w:hAnsi="Times New Roman"/>
      <w:sz w:val="18"/>
      <w:vertAlign w:val="superscript"/>
      <w:lang w:val="fr-CH"/>
    </w:rPr>
  </w:style>
  <w:style w:type="table" w:styleId="TableGrid">
    <w:name w:val="Table Grid"/>
    <w:basedOn w:val="Table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D744E5"/>
    <w:rPr>
      <w:color w:val="0000FF"/>
      <w:u w:val="none"/>
    </w:rPr>
  </w:style>
  <w:style w:type="character" w:styleId="FollowedHyperlink">
    <w:name w:val="FollowedHyperlink"/>
    <w:basedOn w:val="DefaultParagraphFont"/>
    <w:uiPriority w:val="99"/>
    <w:unhideWhenUsed/>
    <w:rsid w:val="00D744E5"/>
    <w:rPr>
      <w:color w:val="0000FF"/>
      <w:u w:val="none"/>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rsid w:val="00EE4AE4"/>
    <w:pPr>
      <w:tabs>
        <w:tab w:val="right" w:pos="1021"/>
      </w:tabs>
      <w:suppressAutoHyphens w:val="0"/>
      <w:kinsoku/>
      <w:overflowPunct/>
      <w:autoSpaceDE/>
      <w:autoSpaceDN/>
      <w:adjustRightInd/>
      <w:snapToGrid/>
      <w:spacing w:line="220" w:lineRule="exact"/>
      <w:ind w:left="1134" w:right="1134" w:hanging="1134"/>
    </w:pPr>
    <w:rPr>
      <w:rFonts w:eastAsiaTheme="minorEastAsia"/>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sid w:val="00EE4AE4"/>
    <w:rPr>
      <w:rFonts w:ascii="Times New Roman" w:eastAsiaTheme="minorEastAsia" w:hAnsi="Times New Roman" w:cs="Times New Roman"/>
      <w:sz w:val="18"/>
      <w:szCs w:val="20"/>
    </w:rPr>
  </w:style>
  <w:style w:type="paragraph" w:styleId="EndnoteText">
    <w:name w:val="endnote text"/>
    <w:aliases w:val="2_G"/>
    <w:basedOn w:val="Normal"/>
    <w:link w:val="EndnoteTextChar"/>
    <w:qFormat/>
    <w:rsid w:val="00EE4AE4"/>
    <w:pPr>
      <w:tabs>
        <w:tab w:val="right" w:pos="1021"/>
      </w:tabs>
      <w:spacing w:line="220" w:lineRule="exact"/>
      <w:ind w:left="1134" w:right="1134" w:hanging="1134"/>
    </w:pPr>
    <w:rPr>
      <w:sz w:val="18"/>
    </w:rPr>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uiPriority w:val="99"/>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uiPriority w:val="9"/>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0304E"/>
    <w:rPr>
      <w:rFonts w:ascii="Times New Roman" w:eastAsiaTheme="minorHAnsi" w:hAnsi="Times New Roman" w:cs="Times New Roman"/>
      <w:sz w:val="20"/>
      <w:szCs w:val="20"/>
      <w:lang w:eastAsia="en-US"/>
    </w:rPr>
  </w:style>
  <w:style w:type="table" w:customStyle="1" w:styleId="Grilledutableau1">
    <w:name w:val="Grille du tableau1"/>
    <w:basedOn w:val="TableNormal"/>
    <w:next w:val="TableGrid"/>
    <w:uiPriority w:val="39"/>
    <w:rsid w:val="00A0304E"/>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HCI4">
    <w:name w:val="DDHCI4"/>
    <w:basedOn w:val="Normal"/>
    <w:qFormat/>
    <w:rsid w:val="00C2044C"/>
    <w:pPr>
      <w:keepNext/>
      <w:keepLines/>
      <w:numPr>
        <w:numId w:val="4"/>
      </w:numPr>
      <w:tabs>
        <w:tab w:val="left" w:pos="1560"/>
      </w:tabs>
      <w:kinsoku/>
      <w:overflowPunct/>
      <w:autoSpaceDE/>
      <w:autoSpaceDN/>
      <w:adjustRightInd/>
      <w:snapToGrid/>
      <w:spacing w:before="240" w:after="120" w:line="240" w:lineRule="auto"/>
      <w:jc w:val="both"/>
      <w:outlineLvl w:val="0"/>
    </w:pPr>
    <w:rPr>
      <w:rFonts w:eastAsia="Times New Roman"/>
      <w:b/>
      <w:sz w:val="24"/>
      <w:szCs w:val="24"/>
      <w:lang w:eastAsia="fr-FR"/>
    </w:rPr>
  </w:style>
  <w:style w:type="paragraph" w:customStyle="1" w:styleId="DDHCI3">
    <w:name w:val="DDHCI3"/>
    <w:basedOn w:val="Normal"/>
    <w:qFormat/>
    <w:rsid w:val="00C2044C"/>
    <w:pPr>
      <w:keepNext/>
      <w:keepLines/>
      <w:numPr>
        <w:numId w:val="5"/>
      </w:numPr>
      <w:tabs>
        <w:tab w:val="left" w:pos="1560"/>
      </w:tabs>
      <w:kinsoku/>
      <w:overflowPunct/>
      <w:autoSpaceDE/>
      <w:autoSpaceDN/>
      <w:adjustRightInd/>
      <w:snapToGrid/>
      <w:spacing w:before="240" w:after="120" w:line="240" w:lineRule="auto"/>
      <w:jc w:val="both"/>
      <w:outlineLvl w:val="0"/>
    </w:pPr>
    <w:rPr>
      <w:rFonts w:eastAsia="Times New Roman"/>
      <w:b/>
      <w:sz w:val="26"/>
      <w:szCs w:val="24"/>
      <w:lang w:eastAsia="fr-FR"/>
    </w:rPr>
  </w:style>
  <w:style w:type="paragraph" w:styleId="ListParagraph">
    <w:name w:val="List Paragraph"/>
    <w:basedOn w:val="Normal"/>
    <w:link w:val="ListParagraphChar"/>
    <w:uiPriority w:val="34"/>
    <w:qFormat/>
    <w:rsid w:val="00C2044C"/>
    <w:pPr>
      <w:suppressAutoHyphens w:val="0"/>
      <w:kinsoku/>
      <w:overflowPunct/>
      <w:autoSpaceDE/>
      <w:autoSpaceDN/>
      <w:adjustRightInd/>
      <w:snapToGrid/>
      <w:spacing w:line="240" w:lineRule="auto"/>
      <w:ind w:left="720"/>
      <w:contextualSpacing/>
    </w:pPr>
    <w:rPr>
      <w:rFonts w:eastAsia="Times New Roman"/>
      <w:sz w:val="24"/>
      <w:szCs w:val="24"/>
      <w:lang w:val="x-none" w:eastAsia="x-none"/>
    </w:rPr>
  </w:style>
  <w:style w:type="character" w:customStyle="1" w:styleId="ListParagraphChar">
    <w:name w:val="List Paragraph Char"/>
    <w:link w:val="ListParagraph"/>
    <w:uiPriority w:val="34"/>
    <w:locked/>
    <w:rsid w:val="00C2044C"/>
    <w:rPr>
      <w:rFonts w:ascii="Times New Roman" w:hAnsi="Times New Roman" w:cs="Times New Roman"/>
      <w:sz w:val="24"/>
      <w:szCs w:val="24"/>
      <w:lang w:val="x-none" w:eastAsia="x-none"/>
    </w:rPr>
  </w:style>
  <w:style w:type="paragraph" w:customStyle="1" w:styleId="DDHCI1">
    <w:name w:val="DDHCI1"/>
    <w:basedOn w:val="Normal"/>
    <w:qFormat/>
    <w:rsid w:val="00C2044C"/>
    <w:pPr>
      <w:keepNext/>
      <w:keepLines/>
      <w:tabs>
        <w:tab w:val="right" w:pos="851"/>
      </w:tabs>
      <w:kinsoku/>
      <w:overflowPunct/>
      <w:autoSpaceDE/>
      <w:autoSpaceDN/>
      <w:adjustRightInd/>
      <w:snapToGrid/>
      <w:spacing w:before="360" w:after="240" w:line="300" w:lineRule="exact"/>
      <w:ind w:left="1134" w:right="1134" w:hanging="1134"/>
      <w:outlineLvl w:val="0"/>
    </w:pPr>
    <w:rPr>
      <w:rFonts w:eastAsia="Times New Roman"/>
      <w:b/>
      <w:sz w:val="30"/>
      <w:lang w:val="fr-FR" w:eastAsia="fr-FR"/>
    </w:rPr>
  </w:style>
  <w:style w:type="character" w:styleId="Emphasis">
    <w:name w:val="Emphasis"/>
    <w:uiPriority w:val="20"/>
    <w:qFormat/>
    <w:rsid w:val="00C2044C"/>
    <w:rPr>
      <w:i/>
      <w:iCs/>
    </w:rPr>
  </w:style>
  <w:style w:type="paragraph" w:customStyle="1" w:styleId="style">
    <w:name w:val="style"/>
    <w:basedOn w:val="Normal"/>
    <w:rsid w:val="00C20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CM" w:eastAsia="fr-FR"/>
    </w:rPr>
  </w:style>
  <w:style w:type="character" w:styleId="Strong">
    <w:name w:val="Strong"/>
    <w:uiPriority w:val="22"/>
    <w:qFormat/>
    <w:rsid w:val="00C2044C"/>
    <w:rPr>
      <w:b/>
      <w:bCs/>
    </w:rPr>
  </w:style>
  <w:style w:type="paragraph" w:styleId="NoSpacing">
    <w:name w:val="No Spacing"/>
    <w:link w:val="NoSpacingChar"/>
    <w:uiPriority w:val="99"/>
    <w:qFormat/>
    <w:rsid w:val="00C2044C"/>
    <w:pPr>
      <w:spacing w:after="0" w:line="240" w:lineRule="auto"/>
    </w:pPr>
    <w:rPr>
      <w:rFonts w:ascii="Calibri" w:eastAsia="Calibri" w:hAnsi="Calibri" w:cs="Times New Roman"/>
      <w:lang w:val="fr-FR" w:eastAsia="en-US"/>
    </w:rPr>
  </w:style>
  <w:style w:type="character" w:customStyle="1" w:styleId="NoSpacingChar">
    <w:name w:val="No Spacing Char"/>
    <w:link w:val="NoSpacing"/>
    <w:uiPriority w:val="99"/>
    <w:qFormat/>
    <w:rsid w:val="00C2044C"/>
    <w:rPr>
      <w:rFonts w:ascii="Calibri" w:eastAsia="Calibri" w:hAnsi="Calibri" w:cs="Times New Roman"/>
      <w:lang w:val="fr-FR" w:eastAsia="en-US"/>
    </w:rPr>
  </w:style>
  <w:style w:type="paragraph" w:styleId="NormalWeb">
    <w:name w:val="Normal (Web)"/>
    <w:basedOn w:val="Normal"/>
    <w:uiPriority w:val="99"/>
    <w:unhideWhenUsed/>
    <w:rsid w:val="00C20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Mentionnonrsolue">
    <w:name w:val="Mention non résolue"/>
    <w:uiPriority w:val="99"/>
    <w:semiHidden/>
    <w:unhideWhenUsed/>
    <w:rsid w:val="00C2044C"/>
    <w:rPr>
      <w:color w:val="605E5C"/>
      <w:shd w:val="clear" w:color="auto" w:fill="E1DFDD"/>
    </w:rPr>
  </w:style>
  <w:style w:type="character" w:customStyle="1" w:styleId="yrbpuc">
    <w:name w:val="yrbpuc"/>
    <w:basedOn w:val="DefaultParagraphFont"/>
    <w:rsid w:val="00C2044C"/>
  </w:style>
  <w:style w:type="paragraph" w:customStyle="1" w:styleId="sqsrte-small">
    <w:name w:val="sqsrte-small"/>
    <w:basedOn w:val="Normal"/>
    <w:rsid w:val="00C20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yiv2554164152msonormal">
    <w:name w:val="yiv2554164152msonormal"/>
    <w:basedOn w:val="Normal"/>
    <w:rsid w:val="00C20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text-primary">
    <w:name w:val="text-primary"/>
    <w:basedOn w:val="DefaultParagraphFont"/>
    <w:rsid w:val="00C2044C"/>
  </w:style>
  <w:style w:type="paragraph" w:customStyle="1" w:styleId="Vide">
    <w:name w:val="Vide"/>
    <w:basedOn w:val="Normal"/>
    <w:link w:val="VideChar"/>
    <w:rsid w:val="00C2044C"/>
    <w:pPr>
      <w:suppressAutoHyphens w:val="0"/>
      <w:kinsoku/>
      <w:overflowPunct/>
      <w:autoSpaceDE/>
      <w:autoSpaceDN/>
      <w:adjustRightInd/>
      <w:snapToGrid/>
      <w:spacing w:before="20" w:after="20" w:line="240" w:lineRule="auto"/>
      <w:jc w:val="both"/>
    </w:pPr>
    <w:rPr>
      <w:rFonts w:ascii="Arial" w:eastAsia="Times New Roman" w:hAnsi="Arial"/>
      <w:sz w:val="18"/>
      <w:szCs w:val="24"/>
      <w:lang w:val="en-GB"/>
    </w:rPr>
  </w:style>
  <w:style w:type="character" w:customStyle="1" w:styleId="VideChar">
    <w:name w:val="Vide Char"/>
    <w:link w:val="Vide"/>
    <w:rsid w:val="00C2044C"/>
    <w:rPr>
      <w:rFonts w:ascii="Arial" w:hAnsi="Arial" w:cs="Times New Roman"/>
      <w:sz w:val="18"/>
      <w:szCs w:val="24"/>
      <w:lang w:val="en-GB" w:eastAsia="en-US"/>
    </w:rPr>
  </w:style>
  <w:style w:type="paragraph" w:customStyle="1" w:styleId="Section">
    <w:name w:val="Section"/>
    <w:basedOn w:val="Normal"/>
    <w:rsid w:val="00C2044C"/>
    <w:pPr>
      <w:shd w:val="clear" w:color="auto" w:fill="D9D9D9"/>
      <w:suppressAutoHyphens w:val="0"/>
      <w:kinsoku/>
      <w:overflowPunct/>
      <w:autoSpaceDE/>
      <w:autoSpaceDN/>
      <w:adjustRightInd/>
      <w:snapToGrid/>
      <w:spacing w:before="120" w:after="120" w:line="240" w:lineRule="auto"/>
      <w:jc w:val="center"/>
    </w:pPr>
    <w:rPr>
      <w:rFonts w:ascii="Arial" w:eastAsia="Times New Roman" w:hAnsi="Arial"/>
      <w:b/>
      <w:bCs/>
      <w:lang w:val="en-GB"/>
    </w:rPr>
  </w:style>
  <w:style w:type="character" w:customStyle="1" w:styleId="v9tjod">
    <w:name w:val="v9tjod"/>
    <w:basedOn w:val="DefaultParagraphFont"/>
    <w:rsid w:val="00C2044C"/>
  </w:style>
  <w:style w:type="character" w:customStyle="1" w:styleId="vuuxrf">
    <w:name w:val="vuuxrf"/>
    <w:basedOn w:val="DefaultParagraphFont"/>
    <w:rsid w:val="00C2044C"/>
  </w:style>
  <w:style w:type="character" w:styleId="HTMLCite">
    <w:name w:val="HTML Cite"/>
    <w:uiPriority w:val="99"/>
    <w:semiHidden/>
    <w:unhideWhenUsed/>
    <w:rsid w:val="00C2044C"/>
    <w:rPr>
      <w:i/>
      <w:iCs/>
    </w:rPr>
  </w:style>
  <w:style w:type="character" w:customStyle="1" w:styleId="ylgvce">
    <w:name w:val="ylgvce"/>
    <w:basedOn w:val="DefaultParagraphFont"/>
    <w:rsid w:val="00C2044C"/>
  </w:style>
  <w:style w:type="character" w:customStyle="1" w:styleId="html-span">
    <w:name w:val="html-span"/>
    <w:basedOn w:val="DefaultParagraphFont"/>
    <w:rsid w:val="00C2044C"/>
  </w:style>
  <w:style w:type="character" w:customStyle="1" w:styleId="xjp7ctv">
    <w:name w:val="xjp7ctv"/>
    <w:basedOn w:val="DefaultParagraphFont"/>
    <w:rsid w:val="00C2044C"/>
  </w:style>
  <w:style w:type="paragraph" w:customStyle="1" w:styleId="al">
    <w:name w:val="al"/>
    <w:basedOn w:val="Normal"/>
    <w:rsid w:val="00C204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Car1">
    <w:name w:val="Car1"/>
    <w:basedOn w:val="Normal"/>
    <w:next w:val="FootnoteText"/>
    <w:uiPriority w:val="99"/>
    <w:unhideWhenUsed/>
    <w:rsid w:val="00C2044C"/>
    <w:pPr>
      <w:suppressAutoHyphens w:val="0"/>
      <w:kinsoku/>
      <w:overflowPunct/>
      <w:autoSpaceDE/>
      <w:autoSpaceDN/>
      <w:adjustRightInd/>
      <w:snapToGrid/>
      <w:spacing w:line="240" w:lineRule="auto"/>
    </w:pPr>
    <w:rPr>
      <w:rFonts w:ascii="Calibri" w:eastAsia="Calibri" w:hAnsi="Calibri"/>
      <w:kern w:val="2"/>
      <w:lang w:val="fr-CM"/>
    </w:rPr>
  </w:style>
  <w:style w:type="character" w:styleId="CommentReference">
    <w:name w:val="annotation reference"/>
    <w:uiPriority w:val="99"/>
    <w:semiHidden/>
    <w:unhideWhenUsed/>
    <w:rsid w:val="00C2044C"/>
    <w:rPr>
      <w:sz w:val="16"/>
      <w:szCs w:val="16"/>
    </w:rPr>
  </w:style>
  <w:style w:type="paragraph" w:styleId="CommentText">
    <w:name w:val="annotation text"/>
    <w:basedOn w:val="Normal"/>
    <w:link w:val="CommentTextChar"/>
    <w:uiPriority w:val="99"/>
    <w:semiHidden/>
    <w:unhideWhenUsed/>
    <w:rsid w:val="00C2044C"/>
    <w:pPr>
      <w:suppressAutoHyphens w:val="0"/>
      <w:kinsoku/>
      <w:overflowPunct/>
      <w:autoSpaceDE/>
      <w:autoSpaceDN/>
      <w:adjustRightInd/>
      <w:snapToGrid/>
      <w:spacing w:line="240" w:lineRule="auto"/>
    </w:pPr>
    <w:rPr>
      <w:rFonts w:eastAsia="Times New Roman"/>
      <w:lang w:val="fr-FR" w:eastAsia="fr-FR"/>
    </w:rPr>
  </w:style>
  <w:style w:type="character" w:customStyle="1" w:styleId="CommentTextChar">
    <w:name w:val="Comment Text Char"/>
    <w:basedOn w:val="DefaultParagraphFont"/>
    <w:link w:val="CommentText"/>
    <w:uiPriority w:val="99"/>
    <w:semiHidden/>
    <w:rsid w:val="00C2044C"/>
    <w:rPr>
      <w:rFonts w:ascii="Times New Roman" w:hAnsi="Times New Roman" w:cs="Times New Roman"/>
      <w:sz w:val="20"/>
      <w:szCs w:val="20"/>
      <w:lang w:val="fr-FR" w:eastAsia="fr-FR"/>
    </w:rPr>
  </w:style>
  <w:style w:type="paragraph" w:styleId="CommentSubject">
    <w:name w:val="annotation subject"/>
    <w:basedOn w:val="CommentText"/>
    <w:next w:val="CommentText"/>
    <w:link w:val="CommentSubjectChar"/>
    <w:uiPriority w:val="99"/>
    <w:semiHidden/>
    <w:unhideWhenUsed/>
    <w:rsid w:val="00C2044C"/>
    <w:rPr>
      <w:b/>
      <w:bCs/>
    </w:rPr>
  </w:style>
  <w:style w:type="character" w:customStyle="1" w:styleId="CommentSubjectChar">
    <w:name w:val="Comment Subject Char"/>
    <w:basedOn w:val="CommentTextChar"/>
    <w:link w:val="CommentSubject"/>
    <w:uiPriority w:val="99"/>
    <w:semiHidden/>
    <w:rsid w:val="00C2044C"/>
    <w:rPr>
      <w:rFonts w:ascii="Times New Roman" w:hAnsi="Times New Roman" w:cs="Times New Roman"/>
      <w:b/>
      <w:bCs/>
      <w:sz w:val="20"/>
      <w:szCs w:val="20"/>
      <w:lang w:val="fr-FR" w:eastAsia="fr-FR"/>
    </w:rPr>
  </w:style>
  <w:style w:type="paragraph" w:styleId="Revision">
    <w:name w:val="Revision"/>
    <w:hidden/>
    <w:uiPriority w:val="99"/>
    <w:semiHidden/>
    <w:rsid w:val="00C2044C"/>
    <w:pPr>
      <w:spacing w:after="0" w:line="240" w:lineRule="auto"/>
    </w:pPr>
    <w:rPr>
      <w:rFonts w:ascii="Times New Roman" w:hAnsi="Times New Roman" w:cs="Times New Roman"/>
      <w:sz w:val="24"/>
      <w:szCs w:val="24"/>
      <w:lang w:val="fr-FR" w:eastAsia="fr-FR"/>
    </w:rPr>
  </w:style>
  <w:style w:type="character" w:customStyle="1" w:styleId="rynqvb">
    <w:name w:val="rynqvb"/>
    <w:rsid w:val="00C2044C"/>
  </w:style>
  <w:style w:type="paragraph" w:styleId="TOCHeading">
    <w:name w:val="TOC Heading"/>
    <w:basedOn w:val="Heading1"/>
    <w:next w:val="Normal"/>
    <w:uiPriority w:val="39"/>
    <w:unhideWhenUsed/>
    <w:qFormat/>
    <w:rsid w:val="00C2044C"/>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fr-FR" w:eastAsia="fr-FR"/>
    </w:rPr>
  </w:style>
  <w:style w:type="paragraph" w:styleId="TOC1">
    <w:name w:val="toc 1"/>
    <w:basedOn w:val="Normal"/>
    <w:next w:val="Normal"/>
    <w:autoRedefine/>
    <w:uiPriority w:val="39"/>
    <w:unhideWhenUsed/>
    <w:rsid w:val="00C2044C"/>
    <w:pPr>
      <w:tabs>
        <w:tab w:val="right" w:leader="dot" w:pos="9628"/>
      </w:tabs>
      <w:suppressAutoHyphens w:val="0"/>
      <w:kinsoku/>
      <w:overflowPunct/>
      <w:autoSpaceDE/>
      <w:autoSpaceDN/>
      <w:adjustRightInd/>
      <w:snapToGrid/>
      <w:spacing w:line="240" w:lineRule="auto"/>
    </w:pPr>
    <w:rPr>
      <w:rFonts w:eastAsia="Times New Roman"/>
      <w:b/>
      <w:noProof/>
      <w:sz w:val="24"/>
      <w:szCs w:val="24"/>
      <w:lang w:val="fr-FR" w:eastAsia="fr-FR"/>
    </w:rPr>
  </w:style>
  <w:style w:type="paragraph" w:styleId="TOC2">
    <w:name w:val="toc 2"/>
    <w:basedOn w:val="Normal"/>
    <w:next w:val="Normal"/>
    <w:autoRedefine/>
    <w:uiPriority w:val="39"/>
    <w:unhideWhenUsed/>
    <w:rsid w:val="00C2044C"/>
    <w:pPr>
      <w:suppressAutoHyphens w:val="0"/>
      <w:kinsoku/>
      <w:overflowPunct/>
      <w:autoSpaceDE/>
      <w:autoSpaceDN/>
      <w:adjustRightInd/>
      <w:snapToGrid/>
      <w:spacing w:line="240" w:lineRule="auto"/>
      <w:ind w:left="240"/>
    </w:pPr>
    <w:rPr>
      <w:rFonts w:eastAsia="Times New Roman"/>
      <w:sz w:val="24"/>
      <w:szCs w:val="24"/>
      <w:lang w:val="fr-FR" w:eastAsia="fr-FR"/>
    </w:rPr>
  </w:style>
  <w:style w:type="paragraph" w:styleId="TOC3">
    <w:name w:val="toc 3"/>
    <w:basedOn w:val="Normal"/>
    <w:next w:val="Normal"/>
    <w:autoRedefine/>
    <w:uiPriority w:val="39"/>
    <w:unhideWhenUsed/>
    <w:rsid w:val="00C2044C"/>
    <w:pPr>
      <w:suppressAutoHyphens w:val="0"/>
      <w:kinsoku/>
      <w:overflowPunct/>
      <w:autoSpaceDE/>
      <w:autoSpaceDN/>
      <w:adjustRightInd/>
      <w:snapToGrid/>
      <w:spacing w:line="240" w:lineRule="auto"/>
      <w:ind w:left="480"/>
    </w:pPr>
    <w:rPr>
      <w:rFonts w:eastAsia="Times New Roman"/>
      <w:sz w:val="24"/>
      <w:szCs w:val="24"/>
      <w:lang w:val="fr-FR" w:eastAsia="fr-FR"/>
    </w:rPr>
  </w:style>
  <w:style w:type="paragraph" w:styleId="TOC4">
    <w:name w:val="toc 4"/>
    <w:basedOn w:val="Normal"/>
    <w:next w:val="Normal"/>
    <w:autoRedefine/>
    <w:uiPriority w:val="39"/>
    <w:unhideWhenUsed/>
    <w:rsid w:val="00C2044C"/>
    <w:pPr>
      <w:suppressAutoHyphens w:val="0"/>
      <w:kinsoku/>
      <w:overflowPunct/>
      <w:autoSpaceDE/>
      <w:autoSpaceDN/>
      <w:adjustRightInd/>
      <w:snapToGrid/>
      <w:spacing w:after="100" w:line="259" w:lineRule="auto"/>
      <w:ind w:left="660"/>
    </w:pPr>
    <w:rPr>
      <w:rFonts w:asciiTheme="minorHAnsi" w:eastAsiaTheme="minorEastAsia" w:hAnsiTheme="minorHAnsi" w:cstheme="minorBidi"/>
      <w:sz w:val="22"/>
      <w:szCs w:val="22"/>
      <w:lang w:val="fr-FR" w:eastAsia="fr-FR"/>
    </w:rPr>
  </w:style>
  <w:style w:type="paragraph" w:styleId="TOC5">
    <w:name w:val="toc 5"/>
    <w:basedOn w:val="Normal"/>
    <w:next w:val="Normal"/>
    <w:autoRedefine/>
    <w:uiPriority w:val="39"/>
    <w:unhideWhenUsed/>
    <w:rsid w:val="00C2044C"/>
    <w:pPr>
      <w:suppressAutoHyphens w:val="0"/>
      <w:kinsoku/>
      <w:overflowPunct/>
      <w:autoSpaceDE/>
      <w:autoSpaceDN/>
      <w:adjustRightInd/>
      <w:snapToGrid/>
      <w:spacing w:after="100" w:line="259" w:lineRule="auto"/>
      <w:ind w:left="880"/>
    </w:pPr>
    <w:rPr>
      <w:rFonts w:asciiTheme="minorHAnsi" w:eastAsiaTheme="minorEastAsia" w:hAnsiTheme="minorHAnsi" w:cstheme="minorBidi"/>
      <w:sz w:val="22"/>
      <w:szCs w:val="22"/>
      <w:lang w:val="fr-FR" w:eastAsia="fr-FR"/>
    </w:rPr>
  </w:style>
  <w:style w:type="paragraph" w:styleId="TOC6">
    <w:name w:val="toc 6"/>
    <w:basedOn w:val="Normal"/>
    <w:next w:val="Normal"/>
    <w:autoRedefine/>
    <w:uiPriority w:val="39"/>
    <w:unhideWhenUsed/>
    <w:rsid w:val="00C2044C"/>
    <w:pPr>
      <w:suppressAutoHyphens w:val="0"/>
      <w:kinsoku/>
      <w:overflowPunct/>
      <w:autoSpaceDE/>
      <w:autoSpaceDN/>
      <w:adjustRightInd/>
      <w:snapToGrid/>
      <w:spacing w:after="100" w:line="259" w:lineRule="auto"/>
      <w:ind w:left="1100"/>
    </w:pPr>
    <w:rPr>
      <w:rFonts w:asciiTheme="minorHAnsi" w:eastAsiaTheme="minorEastAsia" w:hAnsiTheme="minorHAnsi" w:cstheme="minorBidi"/>
      <w:sz w:val="22"/>
      <w:szCs w:val="22"/>
      <w:lang w:val="fr-FR" w:eastAsia="fr-FR"/>
    </w:rPr>
  </w:style>
  <w:style w:type="paragraph" w:styleId="TOC7">
    <w:name w:val="toc 7"/>
    <w:basedOn w:val="Normal"/>
    <w:next w:val="Normal"/>
    <w:autoRedefine/>
    <w:uiPriority w:val="39"/>
    <w:unhideWhenUsed/>
    <w:rsid w:val="00C2044C"/>
    <w:pPr>
      <w:suppressAutoHyphens w:val="0"/>
      <w:kinsoku/>
      <w:overflowPunct/>
      <w:autoSpaceDE/>
      <w:autoSpaceDN/>
      <w:adjustRightInd/>
      <w:snapToGrid/>
      <w:spacing w:after="100" w:line="259" w:lineRule="auto"/>
      <w:ind w:left="1320"/>
    </w:pPr>
    <w:rPr>
      <w:rFonts w:asciiTheme="minorHAnsi" w:eastAsiaTheme="minorEastAsia" w:hAnsiTheme="minorHAnsi" w:cstheme="minorBidi"/>
      <w:sz w:val="22"/>
      <w:szCs w:val="22"/>
      <w:lang w:val="fr-FR" w:eastAsia="fr-FR"/>
    </w:rPr>
  </w:style>
  <w:style w:type="paragraph" w:styleId="TOC8">
    <w:name w:val="toc 8"/>
    <w:basedOn w:val="Normal"/>
    <w:next w:val="Normal"/>
    <w:autoRedefine/>
    <w:uiPriority w:val="39"/>
    <w:unhideWhenUsed/>
    <w:rsid w:val="00C2044C"/>
    <w:pPr>
      <w:suppressAutoHyphens w:val="0"/>
      <w:kinsoku/>
      <w:overflowPunct/>
      <w:autoSpaceDE/>
      <w:autoSpaceDN/>
      <w:adjustRightInd/>
      <w:snapToGrid/>
      <w:spacing w:after="100" w:line="259" w:lineRule="auto"/>
      <w:ind w:left="1540"/>
    </w:pPr>
    <w:rPr>
      <w:rFonts w:asciiTheme="minorHAnsi" w:eastAsiaTheme="minorEastAsia" w:hAnsiTheme="minorHAnsi" w:cstheme="minorBidi"/>
      <w:sz w:val="22"/>
      <w:szCs w:val="22"/>
      <w:lang w:val="fr-FR" w:eastAsia="fr-FR"/>
    </w:rPr>
  </w:style>
  <w:style w:type="paragraph" w:styleId="TOC9">
    <w:name w:val="toc 9"/>
    <w:basedOn w:val="Normal"/>
    <w:next w:val="Normal"/>
    <w:autoRedefine/>
    <w:uiPriority w:val="39"/>
    <w:unhideWhenUsed/>
    <w:rsid w:val="00C2044C"/>
    <w:pPr>
      <w:suppressAutoHyphens w:val="0"/>
      <w:kinsoku/>
      <w:overflowPunct/>
      <w:autoSpaceDE/>
      <w:autoSpaceDN/>
      <w:adjustRightInd/>
      <w:snapToGrid/>
      <w:spacing w:after="100" w:line="259" w:lineRule="auto"/>
      <w:ind w:left="1760"/>
    </w:pPr>
    <w:rPr>
      <w:rFonts w:asciiTheme="minorHAnsi" w:eastAsiaTheme="minorEastAsia" w:hAnsiTheme="minorHAnsi" w:cstheme="minorBidi"/>
      <w:sz w:val="22"/>
      <w:szCs w:val="22"/>
      <w:lang w:val="fr-FR" w:eastAsia="fr-FR"/>
    </w:rPr>
  </w:style>
  <w:style w:type="character" w:styleId="UnresolvedMention">
    <w:name w:val="Unresolved Mention"/>
    <w:basedOn w:val="DefaultParagraphFont"/>
    <w:uiPriority w:val="99"/>
    <w:semiHidden/>
    <w:unhideWhenUsed/>
    <w:rsid w:val="0093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inesec.gov.cm" TargetMode="External"/><Relationship Id="rId18" Type="http://schemas.openxmlformats.org/officeDocument/2006/relationships/hyperlink" Target="https://minfi.gov.cm/" TargetMode="External"/><Relationship Id="rId26" Type="http://schemas.openxmlformats.org/officeDocument/2006/relationships/hyperlink" Target="http://www.mintss.cm/" TargetMode="External"/><Relationship Id="rId39" Type="http://schemas.openxmlformats.org/officeDocument/2006/relationships/hyperlink" Target="https://www.spm.gov.cm/" TargetMode="External"/><Relationship Id="rId21" Type="http://schemas.openxmlformats.org/officeDocument/2006/relationships/hyperlink" Target="https://mindcaf.gov.cm" TargetMode="External"/><Relationship Id="rId34" Type="http://schemas.openxmlformats.org/officeDocument/2006/relationships/hyperlink" Target="https://coursupreme.cm/" TargetMode="External"/><Relationship Id="rId42" Type="http://schemas.openxmlformats.org/officeDocument/2006/relationships/hyperlink" Target="https://opicswr.cm/" TargetMode="External"/><Relationship Id="rId47" Type="http://schemas.openxmlformats.org/officeDocument/2006/relationships/hyperlink" Target="https://minepded.gov.cm/" TargetMode="External"/><Relationship Id="rId50" Type="http://schemas.openxmlformats.org/officeDocument/2006/relationships/hyperlink" Target="http://www.cdhc.cm" TargetMode="External"/><Relationship Id="rId55" Type="http://schemas.openxmlformats.org/officeDocument/2006/relationships/hyperlink" Target="https://conac.cm/"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minepat.gov.cm/fr/snd30/" TargetMode="External"/><Relationship Id="rId29" Type="http://schemas.openxmlformats.org/officeDocument/2006/relationships/hyperlink" Target="http://www.minjustice.gov.cm" TargetMode="External"/><Relationship Id="rId11" Type="http://schemas.openxmlformats.org/officeDocument/2006/relationships/hyperlink" Target="https://www.minsante.cm/" TargetMode="External"/><Relationship Id="rId24" Type="http://schemas.openxmlformats.org/officeDocument/2006/relationships/hyperlink" Target="https://sic.cm/" TargetMode="External"/><Relationship Id="rId32" Type="http://schemas.openxmlformats.org/officeDocument/2006/relationships/hyperlink" Target="https://www.assnat.cm/" TargetMode="External"/><Relationship Id="rId37" Type="http://schemas.openxmlformats.org/officeDocument/2006/relationships/hyperlink" Target="https://chambredescomptes.cm/" TargetMode="External"/><Relationship Id="rId40" Type="http://schemas.openxmlformats.org/officeDocument/2006/relationships/hyperlink" Target="https://web.nasla.cm/" TargetMode="External"/><Relationship Id="rId45" Type="http://schemas.openxmlformats.org/officeDocument/2006/relationships/hyperlink" Target="http://www.mintss.cm/" TargetMode="External"/><Relationship Id="rId53" Type="http://schemas.openxmlformats.org/officeDocument/2006/relationships/hyperlink" Target="https://www.art.cm/" TargetMode="External"/><Relationship Id="rId58" Type="http://schemas.openxmlformats.org/officeDocument/2006/relationships/hyperlink" Target="https://www.minfopra.gov.cm/index.php/fr/" TargetMode="External"/><Relationship Id="rId5" Type="http://schemas.openxmlformats.org/officeDocument/2006/relationships/styles" Target="styles.xml"/><Relationship Id="rId61" Type="http://schemas.openxmlformats.org/officeDocument/2006/relationships/footer" Target="footer3.xml"/><Relationship Id="rId19" Type="http://schemas.openxmlformats.org/officeDocument/2006/relationships/hyperlink" Target="https://caa.cm/" TargetMode="External"/><Relationship Id="rId14" Type="http://schemas.openxmlformats.org/officeDocument/2006/relationships/hyperlink" Target="https://www.minesup.gov.cm/" TargetMode="External"/><Relationship Id="rId22" Type="http://schemas.openxmlformats.org/officeDocument/2006/relationships/hyperlink" Target="https://maetur-cameroun.com/" TargetMode="External"/><Relationship Id="rId27" Type="http://schemas.openxmlformats.org/officeDocument/2006/relationships/hyperlink" Target="http://www.cnps.cm" TargetMode="External"/><Relationship Id="rId30" Type="http://schemas.openxmlformats.org/officeDocument/2006/relationships/hyperlink" Target="http://www.elecam.cm" TargetMode="External"/><Relationship Id="rId35" Type="http://schemas.openxmlformats.org/officeDocument/2006/relationships/hyperlink" Target="https://constitutional-council.com/" TargetMode="External"/><Relationship Id="rId43" Type="http://schemas.openxmlformats.org/officeDocument/2006/relationships/hyperlink" Target="http://www.minproff.cm" TargetMode="External"/><Relationship Id="rId48" Type="http://schemas.openxmlformats.org/officeDocument/2006/relationships/hyperlink" Target="https://diplocam.cm/" TargetMode="External"/><Relationship Id="rId56" Type="http://schemas.openxmlformats.org/officeDocument/2006/relationships/hyperlink" Target="https://www.cnpbm.cm/fr/" TargetMode="External"/><Relationship Id="rId8" Type="http://schemas.openxmlformats.org/officeDocument/2006/relationships/footnotes" Target="footnotes.xml"/><Relationship Id="rId51" Type="http://schemas.openxmlformats.org/officeDocument/2006/relationships/hyperlink" Target="http://www.cdhc.cm" TargetMode="External"/><Relationship Id="rId3" Type="http://schemas.openxmlformats.org/officeDocument/2006/relationships/customXml" Target="../customXml/item3.xml"/><Relationship Id="rId12" Type="http://schemas.openxmlformats.org/officeDocument/2006/relationships/hyperlink" Target="https://www.minedub.cm/" TargetMode="External"/><Relationship Id="rId17" Type="http://schemas.openxmlformats.org/officeDocument/2006/relationships/hyperlink" Target="https://minepat.gov.cm" TargetMode="External"/><Relationship Id="rId25" Type="http://schemas.openxmlformats.org/officeDocument/2006/relationships/hyperlink" Target="http://mipromalo.cm/index.php/fr/" TargetMode="External"/><Relationship Id="rId33" Type="http://schemas.openxmlformats.org/officeDocument/2006/relationships/hyperlink" Target="https://senat.cm/" TargetMode="External"/><Relationship Id="rId38" Type="http://schemas.openxmlformats.org/officeDocument/2006/relationships/hyperlink" Target="https://www.prc.cm/fr/" TargetMode="External"/><Relationship Id="rId46" Type="http://schemas.openxmlformats.org/officeDocument/2006/relationships/hyperlink" Target="http://www.minculture-cameroun-gov.com" TargetMode="External"/><Relationship Id="rId59" Type="http://schemas.openxmlformats.org/officeDocument/2006/relationships/footer" Target="footer1.xml"/><Relationship Id="rId20" Type="http://schemas.openxmlformats.org/officeDocument/2006/relationships/hyperlink" Target="https://www.camwater.cm/fr/" TargetMode="External"/><Relationship Id="rId41" Type="http://schemas.openxmlformats.org/officeDocument/2006/relationships/hyperlink" Target="https://opic-cam.org/" TargetMode="External"/><Relationship Id="rId54" Type="http://schemas.openxmlformats.org/officeDocument/2006/relationships/hyperlink" Target="http://www.armp.c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minefop.cm" TargetMode="External"/><Relationship Id="rId23" Type="http://schemas.openxmlformats.org/officeDocument/2006/relationships/hyperlink" Target="https://creditfoncier.cm/fr/" TargetMode="External"/><Relationship Id="rId28" Type="http://schemas.openxmlformats.org/officeDocument/2006/relationships/hyperlink" Target="http://www.fnecm.org" TargetMode="External"/><Relationship Id="rId36" Type="http://schemas.openxmlformats.org/officeDocument/2006/relationships/hyperlink" Target="https://mindef.gov.cm/" TargetMode="External"/><Relationship Id="rId49" Type="http://schemas.openxmlformats.org/officeDocument/2006/relationships/hyperlink" Target="https://www.dgsn.cm/" TargetMode="External"/><Relationship Id="rId57" Type="http://schemas.openxmlformats.org/officeDocument/2006/relationships/hyperlink" Target="https://www.minddevel.gov.cm/" TargetMode="External"/><Relationship Id="rId10" Type="http://schemas.openxmlformats.org/officeDocument/2006/relationships/hyperlink" Target="https://ins-cameroun.cm/fr/" TargetMode="External"/><Relationship Id="rId31" Type="http://schemas.openxmlformats.org/officeDocument/2006/relationships/hyperlink" Target="https://minat.gov.cm/" TargetMode="External"/><Relationship Id="rId44" Type="http://schemas.openxmlformats.org/officeDocument/2006/relationships/hyperlink" Target="http://www.minesec.gov.cm" TargetMode="External"/><Relationship Id="rId52" Type="http://schemas.openxmlformats.org/officeDocument/2006/relationships/hyperlink" Target="https://cnc.gov.cm/" TargetMode="External"/><Relationship Id="rId6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ins-cameroun.cm/document/projections-demographiques-et-estimations-des-cibles-prioritaires-des-differents-programmes-et-interventions-de-sante/" TargetMode="External"/><Relationship Id="rId13" Type="http://schemas.openxmlformats.org/officeDocument/2006/relationships/hyperlink" Target="https://medwinpublishers.com/ABCA/judicial-organization-and-institutions-in-cameroon-a-tripartite-classification.pdf" TargetMode="External"/><Relationship Id="rId3" Type="http://schemas.openxmlformats.org/officeDocument/2006/relationships/hyperlink" Target="https://ins-cameroun.cm/wp-content/uploads/2023/11/EESI3_Rapport-principal_Emploi_VF.pdf" TargetMode="External"/><Relationship Id="rId7" Type="http://schemas.openxmlformats.org/officeDocument/2006/relationships/hyperlink" Target="https://www.minhdu.gov.cm/deuxieme-rapport-national-dexamen-volontaire-sur-la-mise-en-oeuvre-de-lodd-11-et-du-nouveau-programme-pour-les-villes-au-cameroun/" TargetMode="External"/><Relationship Id="rId12" Type="http://schemas.openxmlformats.org/officeDocument/2006/relationships/hyperlink" Target="https://ins-cameroun.cm/statistique/eesi3-phase-1-enquete-sur-lemploi-rapport-principal/" TargetMode="External"/><Relationship Id="rId17" Type="http://schemas.openxmlformats.org/officeDocument/2006/relationships/hyperlink" Target="https://cites.org/fra/parties/country-profiles/cm/reports" TargetMode="External"/><Relationship Id="rId2" Type="http://schemas.openxmlformats.org/officeDocument/2006/relationships/hyperlink" Target="https://ins-cameroun.cm/wp-content/uploads/2024/09/Rapport-sur-les-statistiques-de-letat-civil-au-Cameroun_version-finale-13-03-2024.pdf" TargetMode="External"/><Relationship Id="rId16" Type="http://schemas.openxmlformats.org/officeDocument/2006/relationships/hyperlink" Target="https://www.cdhc.cm/index.php?page=docs&amp;category=declarations" TargetMode="External"/><Relationship Id="rId1" Type="http://schemas.openxmlformats.org/officeDocument/2006/relationships/hyperlink" Target="https://ins-cameroun.cm/wp-content/uploads/2024/05/Brochure-Ecam-5-En.pdf" TargetMode="External"/><Relationship Id="rId6" Type="http://schemas.openxmlformats.org/officeDocument/2006/relationships/hyperlink" Target="https://ins-cameroun.cm/document/rapport-danalyse-de-lannuaire-statistique-du-secteur-de-leducation-et-formation-au-cameroun-2022/" TargetMode="External"/><Relationship Id="rId11" Type="http://schemas.openxmlformats.org/officeDocument/2006/relationships/hyperlink" Target="http://cdnss.minsante.cm/sites/default/files/Rapport%20analytique%20PF%20Cameroun%202023_Version%20Finale.pdf" TargetMode="External"/><Relationship Id="rId5" Type="http://schemas.openxmlformats.org/officeDocument/2006/relationships/hyperlink" Target="https://data.unwomen.org/sites/default/files/documents/Publications/2023/Cameroon_Gender-Equality-Profile.pdf" TargetMode="External"/><Relationship Id="rId15" Type="http://schemas.openxmlformats.org/officeDocument/2006/relationships/hyperlink" Target="http://www.minjustice.gov.cm" TargetMode="External"/><Relationship Id="rId10" Type="http://schemas.openxmlformats.org/officeDocument/2006/relationships/hyperlink" Target="https://www.minsante.cm/site/?q=en/node/4728" TargetMode="External"/><Relationship Id="rId4" Type="http://schemas.openxmlformats.org/officeDocument/2006/relationships/hyperlink" Target="http://cdnss.minsante.cm/sites/default/files/Rapport%20analytique%20PF%20Cameroun%202023_Version%20Finale.pdf" TargetMode="External"/><Relationship Id="rId9" Type="http://schemas.openxmlformats.org/officeDocument/2006/relationships/hyperlink" Target="https://ins-cameroun.cm/statistique/annuaire-statistique-du-cameroun-edition-2019-2/" TargetMode="External"/><Relationship Id="rId14" Type="http://schemas.openxmlformats.org/officeDocument/2006/relationships/hyperlink" Target="https://normlex.ilo.org/dyn/nrmlx_en/f?p=NORMLEXPUB:11200:0::NO::P11200_COUNTRY_ID:1030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ODIYI\United%20Nations\UNOG_DCM-Macros%20-%20OHCHR\Templates\HRI\HRI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1ee297-b8e6-463f-9f56-0d6df88b9330">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5" ma:contentTypeDescription="Create a new document." ma:contentTypeScope="" ma:versionID="4fe3048994165de8efa7b4e5bfc4025b">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55fd4cc18070b21450e39de293717676"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EDEF0A-4027-405C-B373-13E693A96C74}">
  <ds:schemaRefs>
    <ds:schemaRef ds:uri="http://schemas.microsoft.com/office/2006/metadata/properties"/>
    <ds:schemaRef ds:uri="http://schemas.microsoft.com/office/infopath/2007/PartnerControls"/>
    <ds:schemaRef ds:uri="7c1ee297-b8e6-463f-9f56-0d6df88b9330"/>
    <ds:schemaRef ds:uri="985ec44e-1bab-4c0b-9df0-6ba128686fc9"/>
  </ds:schemaRefs>
</ds:datastoreItem>
</file>

<file path=customXml/itemProps2.xml><?xml version="1.0" encoding="utf-8"?>
<ds:datastoreItem xmlns:ds="http://schemas.openxmlformats.org/officeDocument/2006/customXml" ds:itemID="{85131736-873E-4C84-A6E1-14F617A4B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1ee297-b8e6-463f-9f56-0d6df88b933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620A74-9CAA-4C3B-9381-B24A996D9D50}">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HRI_F</Template>
  <TotalTime>1</TotalTime>
  <Pages>61</Pages>
  <Words>30681</Words>
  <Characters>174885</Characters>
  <Application>Microsoft Office Word</Application>
  <DocSecurity>0</DocSecurity>
  <Lines>1457</Lines>
  <Paragraphs>410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HRI/CORE/CMR/2025</vt:lpstr>
      <vt:lpstr/>
    </vt:vector>
  </TitlesOfParts>
  <Company>DCM</Company>
  <LinksUpToDate>false</LinksUpToDate>
  <CharactersWithSpaces>205156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HRI/CORE/CMR/2025</dc:title>
  <dc:creator>Sindu Thodiyil Manoj</dc:creator>
  <cp:lastModifiedBy>Sindu Thodiyil Manoj</cp:lastModifiedBy>
  <cp:revision>4</cp:revision>
  <cp:lastPrinted>2014-05-14T10:59:00Z</cp:lastPrinted>
  <dcterms:created xsi:type="dcterms:W3CDTF">2026-03-03T15:06:00Z</dcterms:created>
  <dcterms:modified xsi:type="dcterms:W3CDTF">2026-03-03T15:07:00Z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0x010100FE8BEF84114AE44EAFA52585B7FCC44C</vt:lpwstr>
  </property>
  <property fmtid="{D5CDD505-2E9C-101B-9397-08002B2CF9AE}" pid="3" name="MediaServiceImageTags">
    <vt:lpwstr/>
  </property>
</Properties>
</file>