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EF8CA" w14:textId="4EA4B0BB" w:rsidR="00164DA7" w:rsidRPr="00164DA7" w:rsidRDefault="0081482D" w:rsidP="0081482D">
      <w:pPr>
        <w:bidi/>
        <w:jc w:val="center"/>
        <w:rPr>
          <w:rFonts w:ascii="Sakkal Majalla" w:hAnsi="Sakkal Majalla" w:cs="Sakkal Majalla"/>
          <w:b/>
          <w:bCs/>
          <w:sz w:val="28"/>
          <w:szCs w:val="28"/>
        </w:rPr>
      </w:pPr>
      <w:r w:rsidRPr="00164DA7">
        <w:rPr>
          <w:rFonts w:ascii="Sakkal Majalla" w:hAnsi="Sakkal Majalla" w:cs="Sakkal Majalla"/>
          <w:b/>
          <w:bCs/>
          <w:noProof/>
          <w:sz w:val="28"/>
          <w:szCs w:val="28"/>
          <w:rtl/>
        </w:rPr>
        <w:drawing>
          <wp:inline distT="0" distB="0" distL="0" distR="0" wp14:anchorId="1F1CD804" wp14:editId="3097E260">
            <wp:extent cx="2705100" cy="2164080"/>
            <wp:effectExtent l="0" t="0" r="0" b="7620"/>
            <wp:docPr id="1" name="Picture 1" descr="C:\Users\mbarghouthi\AppData\Local\Microsoft\Windows\Temporary Internet Files\Content.Outlook\ZDMATLAR\ICHR_Updating-6 - Copy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arghouthi\AppData\Local\Microsoft\Windows\Temporary Internet Files\Content.Outlook\ZDMATLAR\ICHR_Updating-6 - Copy (0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6755" cy="2165404"/>
                    </a:xfrm>
                    <a:prstGeom prst="rect">
                      <a:avLst/>
                    </a:prstGeom>
                    <a:noFill/>
                    <a:ln>
                      <a:noFill/>
                    </a:ln>
                  </pic:spPr>
                </pic:pic>
              </a:graphicData>
            </a:graphic>
          </wp:inline>
        </w:drawing>
      </w:r>
    </w:p>
    <w:p w14:paraId="6D097FA3" w14:textId="0A9B13B0" w:rsidR="001A1366" w:rsidRDefault="001A1366" w:rsidP="00164DA7">
      <w:pPr>
        <w:bidi/>
        <w:jc w:val="center"/>
        <w:rPr>
          <w:rFonts w:ascii="Sakkal Majalla" w:hAnsi="Sakkal Majalla" w:cs="Sakkal Majalla"/>
          <w:b/>
          <w:bCs/>
          <w:sz w:val="28"/>
          <w:szCs w:val="28"/>
          <w:rtl/>
        </w:rPr>
      </w:pPr>
    </w:p>
    <w:p w14:paraId="7A4EF1CB" w14:textId="419EF50D" w:rsidR="00C40032" w:rsidRDefault="00C40032" w:rsidP="00C40032">
      <w:pPr>
        <w:bidi/>
        <w:jc w:val="center"/>
        <w:rPr>
          <w:rFonts w:ascii="Sakkal Majalla" w:hAnsi="Sakkal Majalla" w:cs="Sakkal Majalla"/>
          <w:b/>
          <w:bCs/>
          <w:sz w:val="28"/>
          <w:szCs w:val="28"/>
          <w:rtl/>
        </w:rPr>
      </w:pPr>
    </w:p>
    <w:p w14:paraId="0A2BDAC1" w14:textId="4F73C839" w:rsidR="00C40032" w:rsidRDefault="00C40032" w:rsidP="00C40032">
      <w:pPr>
        <w:bidi/>
        <w:jc w:val="center"/>
        <w:rPr>
          <w:rFonts w:ascii="Sakkal Majalla" w:hAnsi="Sakkal Majalla" w:cs="Sakkal Majalla"/>
          <w:b/>
          <w:bCs/>
          <w:sz w:val="28"/>
          <w:szCs w:val="28"/>
          <w:rtl/>
        </w:rPr>
      </w:pPr>
    </w:p>
    <w:p w14:paraId="27D50FB2" w14:textId="33C7E31A" w:rsidR="00C40032" w:rsidRDefault="00C40032" w:rsidP="00C40032">
      <w:pPr>
        <w:bidi/>
        <w:jc w:val="center"/>
        <w:rPr>
          <w:rFonts w:ascii="Sakkal Majalla" w:hAnsi="Sakkal Majalla" w:cs="Sakkal Majalla"/>
          <w:b/>
          <w:bCs/>
          <w:sz w:val="28"/>
          <w:szCs w:val="28"/>
          <w:rtl/>
        </w:rPr>
      </w:pPr>
    </w:p>
    <w:p w14:paraId="16602235" w14:textId="77777777" w:rsidR="00C40032" w:rsidRDefault="00C40032" w:rsidP="00C40032">
      <w:pPr>
        <w:bidi/>
        <w:jc w:val="center"/>
        <w:rPr>
          <w:rFonts w:ascii="Sakkal Majalla" w:hAnsi="Sakkal Majalla" w:cs="Sakkal Majalla"/>
          <w:b/>
          <w:bCs/>
          <w:sz w:val="28"/>
          <w:szCs w:val="28"/>
          <w:rtl/>
        </w:rPr>
      </w:pPr>
    </w:p>
    <w:p w14:paraId="7838CA57" w14:textId="35B76CB5" w:rsidR="00B23EB6" w:rsidRDefault="00B23EB6" w:rsidP="00B23EB6">
      <w:pPr>
        <w:bidi/>
        <w:jc w:val="center"/>
        <w:rPr>
          <w:rFonts w:ascii="Sakkal Majalla" w:hAnsi="Sakkal Majalla" w:cs="Sakkal Majalla"/>
          <w:b/>
          <w:bCs/>
          <w:sz w:val="28"/>
          <w:szCs w:val="28"/>
          <w:rtl/>
        </w:rPr>
      </w:pPr>
    </w:p>
    <w:p w14:paraId="71F5D5BC" w14:textId="16E92E1F" w:rsidR="00C40032" w:rsidRPr="00C40032" w:rsidRDefault="00C40032" w:rsidP="00C40032">
      <w:pPr>
        <w:bidi/>
        <w:ind w:right="90"/>
        <w:jc w:val="both"/>
        <w:rPr>
          <w:rFonts w:ascii="Sakkal Majalla" w:hAnsi="Sakkal Majalla" w:cs="Sakkal Majalla"/>
          <w:b/>
          <w:bCs/>
          <w:sz w:val="32"/>
          <w:szCs w:val="32"/>
        </w:rPr>
      </w:pPr>
      <w:r>
        <w:rPr>
          <w:rFonts w:ascii="Sakkal Majalla" w:hAnsi="Sakkal Majalla" w:cs="Sakkal Majalla" w:hint="cs"/>
          <w:b/>
          <w:bCs/>
          <w:sz w:val="32"/>
          <w:szCs w:val="32"/>
          <w:rtl/>
          <w:lang w:bidi="ar-JO"/>
        </w:rPr>
        <w:t>مداخلة مقدم من الهيئة</w:t>
      </w:r>
      <w:r w:rsidRPr="00C40032">
        <w:rPr>
          <w:rFonts w:ascii="Sakkal Majalla" w:hAnsi="Sakkal Majalla" w:cs="Sakkal Majalla"/>
          <w:b/>
          <w:bCs/>
          <w:sz w:val="32"/>
          <w:szCs w:val="32"/>
          <w:rtl/>
        </w:rPr>
        <w:t xml:space="preserve"> المستقلة لحقوق الإنسان "ديوان المظالم" إلى لجنة القضاء على جميع أشكال التمييز العنصري في الأمم المتحدة حول التقريران الدوريان الأولي والثاني لدولة فلسطين المتعلقان </w:t>
      </w:r>
      <w:r w:rsidRPr="00C40032">
        <w:rPr>
          <w:rFonts w:ascii="Sakkal Majalla" w:hAnsi="Sakkal Majalla" w:cs="Sakkal Majalla" w:hint="cs"/>
          <w:b/>
          <w:bCs/>
          <w:sz w:val="32"/>
          <w:szCs w:val="32"/>
          <w:rtl/>
        </w:rPr>
        <w:t>ب</w:t>
      </w:r>
      <w:r>
        <w:rPr>
          <w:rFonts w:ascii="Sakkal Majalla" w:hAnsi="Sakkal Majalla" w:cs="Sakkal Majalla" w:hint="cs"/>
          <w:b/>
          <w:bCs/>
          <w:sz w:val="32"/>
          <w:szCs w:val="32"/>
          <w:rtl/>
        </w:rPr>
        <w:t>ا</w:t>
      </w:r>
      <w:r w:rsidRPr="00C40032">
        <w:rPr>
          <w:rFonts w:ascii="Sakkal Majalla" w:hAnsi="Sakkal Majalla" w:cs="Sakkal Majalla" w:hint="cs"/>
          <w:b/>
          <w:bCs/>
          <w:sz w:val="32"/>
          <w:szCs w:val="32"/>
          <w:rtl/>
        </w:rPr>
        <w:t>تفاقية</w:t>
      </w:r>
      <w:r w:rsidRPr="00C40032">
        <w:rPr>
          <w:rFonts w:ascii="Sakkal Majalla" w:hAnsi="Sakkal Majalla" w:cs="Sakkal Majalla"/>
          <w:b/>
          <w:bCs/>
          <w:sz w:val="32"/>
          <w:szCs w:val="32"/>
          <w:rtl/>
        </w:rPr>
        <w:t xml:space="preserve"> القضاء على جميع أشكال التمييز العنصري</w:t>
      </w:r>
      <w:r>
        <w:rPr>
          <w:rFonts w:ascii="Sakkal Majalla" w:hAnsi="Sakkal Majalla" w:cs="Sakkal Majalla" w:hint="cs"/>
          <w:b/>
          <w:bCs/>
          <w:sz w:val="32"/>
          <w:szCs w:val="32"/>
          <w:rtl/>
        </w:rPr>
        <w:t>.</w:t>
      </w:r>
    </w:p>
    <w:p w14:paraId="58D23465" w14:textId="1330DBF6" w:rsidR="00B23EB6" w:rsidRPr="00C40032" w:rsidRDefault="00B23EB6" w:rsidP="00C40032">
      <w:pPr>
        <w:bidi/>
        <w:ind w:right="90"/>
        <w:jc w:val="both"/>
        <w:rPr>
          <w:rFonts w:ascii="Sakkal Majalla" w:hAnsi="Sakkal Majalla" w:cs="Sakkal Majalla"/>
          <w:b/>
          <w:bCs/>
          <w:sz w:val="32"/>
          <w:szCs w:val="32"/>
          <w:rtl/>
        </w:rPr>
      </w:pPr>
    </w:p>
    <w:p w14:paraId="54733AF7" w14:textId="77777777" w:rsidR="00B23EB6" w:rsidRPr="00B23EB6" w:rsidRDefault="00B23EB6" w:rsidP="00B23EB6">
      <w:pPr>
        <w:bidi/>
        <w:jc w:val="center"/>
        <w:rPr>
          <w:rFonts w:ascii="Sakkal Majalla" w:hAnsi="Sakkal Majalla" w:cs="Sakkal Majalla"/>
          <w:b/>
          <w:bCs/>
          <w:sz w:val="28"/>
          <w:szCs w:val="28"/>
          <w:rtl/>
        </w:rPr>
      </w:pPr>
    </w:p>
    <w:p w14:paraId="058D9193" w14:textId="5B2760D2" w:rsidR="00B23EB6" w:rsidRDefault="00C40032" w:rsidP="00B23EB6">
      <w:pPr>
        <w:bidi/>
        <w:ind w:right="90"/>
        <w:jc w:val="center"/>
        <w:rPr>
          <w:rFonts w:ascii="Sakkal Majalla" w:hAnsi="Sakkal Majalla" w:cs="Sakkal Majalla"/>
          <w:b/>
          <w:bCs/>
          <w:sz w:val="32"/>
          <w:szCs w:val="32"/>
          <w:rtl/>
        </w:rPr>
      </w:pPr>
      <w:r>
        <w:rPr>
          <w:rFonts w:ascii="Sakkal Majalla" w:hAnsi="Sakkal Majalla" w:cs="Sakkal Majalla" w:hint="cs"/>
          <w:b/>
          <w:bCs/>
          <w:sz w:val="32"/>
          <w:szCs w:val="32"/>
          <w:rtl/>
        </w:rPr>
        <w:t>أيــــــــــــــــــــــــــــــــــــــار</w:t>
      </w:r>
      <w:r w:rsidR="00B23EB6">
        <w:rPr>
          <w:rFonts w:ascii="Sakkal Majalla" w:hAnsi="Sakkal Majalla" w:cs="Sakkal Majalla" w:hint="cs"/>
          <w:b/>
          <w:bCs/>
          <w:sz w:val="32"/>
          <w:szCs w:val="32"/>
          <w:rtl/>
        </w:rPr>
        <w:t xml:space="preserve"> 2019</w:t>
      </w:r>
    </w:p>
    <w:p w14:paraId="523EAC5E" w14:textId="77777777" w:rsidR="00C40032" w:rsidRDefault="00C40032" w:rsidP="00B23EB6">
      <w:pPr>
        <w:bidi/>
        <w:ind w:right="90"/>
        <w:jc w:val="center"/>
        <w:rPr>
          <w:rFonts w:ascii="Sakkal Majalla" w:hAnsi="Sakkal Majalla" w:cs="Sakkal Majalla"/>
          <w:b/>
          <w:bCs/>
          <w:sz w:val="32"/>
          <w:szCs w:val="32"/>
          <w:rtl/>
        </w:rPr>
      </w:pPr>
    </w:p>
    <w:p w14:paraId="4E374C25" w14:textId="10BA32E1" w:rsidR="00B23EB6" w:rsidRPr="00164DA7" w:rsidRDefault="00B23EB6" w:rsidP="00C40032">
      <w:pPr>
        <w:bidi/>
        <w:ind w:right="90"/>
        <w:jc w:val="center"/>
        <w:rPr>
          <w:rFonts w:ascii="Sakkal Majalla" w:hAnsi="Sakkal Majalla" w:cs="Sakkal Majalla"/>
          <w:b/>
          <w:bCs/>
          <w:sz w:val="32"/>
          <w:szCs w:val="32"/>
          <w:rtl/>
        </w:rPr>
      </w:pPr>
      <w:r>
        <w:rPr>
          <w:rFonts w:ascii="Sakkal Majalla" w:hAnsi="Sakkal Majalla" w:cs="Sakkal Majalla" w:hint="cs"/>
          <w:b/>
          <w:bCs/>
          <w:sz w:val="32"/>
          <w:szCs w:val="32"/>
          <w:rtl/>
        </w:rPr>
        <w:t>فلسطين</w:t>
      </w:r>
    </w:p>
    <w:tbl>
      <w:tblPr>
        <w:tblStyle w:val="TableGrid"/>
        <w:tblW w:w="9108" w:type="dxa"/>
        <w:shd w:val="clear" w:color="auto" w:fill="F2F2F2" w:themeFill="background1" w:themeFillShade="F2"/>
        <w:tblLook w:val="04A0" w:firstRow="1" w:lastRow="0" w:firstColumn="1" w:lastColumn="0" w:noHBand="0" w:noVBand="1"/>
      </w:tblPr>
      <w:tblGrid>
        <w:gridCol w:w="9108"/>
      </w:tblGrid>
      <w:tr w:rsidR="001B34B6" w14:paraId="0A309A8B" w14:textId="77777777" w:rsidTr="001B34B6">
        <w:tc>
          <w:tcPr>
            <w:tcW w:w="9108" w:type="dxa"/>
            <w:shd w:val="clear" w:color="auto" w:fill="F2F2F2" w:themeFill="background1" w:themeFillShade="F2"/>
          </w:tcPr>
          <w:p w14:paraId="021C4458" w14:textId="39C9E0DF" w:rsidR="001B34B6" w:rsidRDefault="001B34B6" w:rsidP="001B34B6">
            <w:pPr>
              <w:bidi/>
              <w:jc w:val="center"/>
              <w:rPr>
                <w:rFonts w:ascii="Sakkal Majalla" w:hAnsi="Sakkal Majalla" w:cs="Sakkal Majalla"/>
                <w:b/>
                <w:bCs/>
                <w:sz w:val="28"/>
                <w:szCs w:val="28"/>
              </w:rPr>
            </w:pPr>
            <w:r w:rsidRPr="00164DA7">
              <w:rPr>
                <w:rFonts w:ascii="Sakkal Majalla" w:hAnsi="Sakkal Majalla" w:cs="Sakkal Majalla"/>
                <w:b/>
                <w:bCs/>
                <w:noProof/>
                <w:sz w:val="28"/>
                <w:szCs w:val="28"/>
                <w:rtl/>
              </w:rPr>
              <w:lastRenderedPageBreak/>
              <w:drawing>
                <wp:inline distT="0" distB="0" distL="0" distR="0" wp14:anchorId="10C49DBC" wp14:editId="61E3FD27">
                  <wp:extent cx="1162050" cy="929640"/>
                  <wp:effectExtent l="0" t="0" r="0" b="3810"/>
                  <wp:docPr id="3" name="Picture 3" descr="C:\Users\mbarghouthi\AppData\Local\Microsoft\Windows\Temporary Internet Files\Content.Outlook\ZDMATLAR\ICHR_Updating-6 - Copy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arghouthi\AppData\Local\Microsoft\Windows\Temporary Internet Files\Content.Outlook\ZDMATLAR\ICHR_Updating-6 - Copy (00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2768" cy="930214"/>
                          </a:xfrm>
                          <a:prstGeom prst="rect">
                            <a:avLst/>
                          </a:prstGeom>
                          <a:noFill/>
                          <a:ln>
                            <a:noFill/>
                          </a:ln>
                        </pic:spPr>
                      </pic:pic>
                    </a:graphicData>
                  </a:graphic>
                </wp:inline>
              </w:drawing>
            </w:r>
          </w:p>
          <w:p w14:paraId="35001E80" w14:textId="77777777" w:rsidR="001B34B6" w:rsidRDefault="001B34B6" w:rsidP="001B34B6">
            <w:pPr>
              <w:bidi/>
              <w:jc w:val="center"/>
              <w:rPr>
                <w:rFonts w:ascii="Sakkal Majalla" w:hAnsi="Sakkal Majalla" w:cs="Sakkal Majalla"/>
                <w:b/>
                <w:bCs/>
                <w:sz w:val="28"/>
                <w:szCs w:val="28"/>
              </w:rPr>
            </w:pPr>
          </w:p>
          <w:p w14:paraId="2C97F674" w14:textId="7FA12091" w:rsidR="001B34B6" w:rsidRDefault="001B34B6" w:rsidP="001B34B6">
            <w:pPr>
              <w:bidi/>
              <w:jc w:val="center"/>
              <w:rPr>
                <w:rFonts w:ascii="Sakkal Majalla" w:hAnsi="Sakkal Majalla" w:cs="Sakkal Majalla"/>
                <w:b/>
                <w:bCs/>
                <w:sz w:val="28"/>
                <w:szCs w:val="28"/>
              </w:rPr>
            </w:pPr>
            <w:r w:rsidRPr="00164DA7">
              <w:rPr>
                <w:rFonts w:ascii="Sakkal Majalla" w:hAnsi="Sakkal Majalla" w:cs="Sakkal Majalla"/>
                <w:b/>
                <w:bCs/>
                <w:sz w:val="28"/>
                <w:szCs w:val="28"/>
                <w:rtl/>
              </w:rPr>
              <w:t xml:space="preserve">نبذة تعريفية عن الهيئة المستقلة لحقوق الانسان </w:t>
            </w:r>
            <w:r>
              <w:rPr>
                <w:rFonts w:ascii="Sakkal Majalla" w:hAnsi="Sakkal Majalla" w:cs="Sakkal Majalla"/>
                <w:b/>
                <w:bCs/>
                <w:sz w:val="28"/>
                <w:szCs w:val="28"/>
              </w:rPr>
              <w:t>“</w:t>
            </w:r>
            <w:r w:rsidRPr="00164DA7">
              <w:rPr>
                <w:rFonts w:ascii="Sakkal Majalla" w:hAnsi="Sakkal Majalla" w:cs="Sakkal Majalla"/>
                <w:b/>
                <w:bCs/>
                <w:sz w:val="28"/>
                <w:szCs w:val="28"/>
                <w:rtl/>
              </w:rPr>
              <w:t>ديوان المظالم</w:t>
            </w:r>
            <w:r>
              <w:rPr>
                <w:rFonts w:ascii="Sakkal Majalla" w:hAnsi="Sakkal Majalla" w:cs="Sakkal Majalla"/>
                <w:b/>
                <w:bCs/>
                <w:sz w:val="28"/>
                <w:szCs w:val="28"/>
              </w:rPr>
              <w:t>”</w:t>
            </w:r>
          </w:p>
          <w:p w14:paraId="61F17790" w14:textId="77777777" w:rsidR="001B34B6" w:rsidRPr="001B34B6" w:rsidRDefault="001B34B6" w:rsidP="001B34B6">
            <w:pPr>
              <w:bidi/>
              <w:jc w:val="center"/>
              <w:rPr>
                <w:rFonts w:ascii="Sakkal Majalla" w:hAnsi="Sakkal Majalla" w:cs="Sakkal Majalla"/>
                <w:b/>
                <w:bCs/>
                <w:sz w:val="28"/>
                <w:szCs w:val="28"/>
                <w:rtl/>
              </w:rPr>
            </w:pPr>
          </w:p>
          <w:p w14:paraId="5CD69508" w14:textId="24F88305" w:rsidR="001B34B6" w:rsidRPr="00164DA7" w:rsidRDefault="001B34B6" w:rsidP="001B34B6">
            <w:pPr>
              <w:bidi/>
              <w:ind w:left="166" w:right="180"/>
              <w:jc w:val="both"/>
              <w:rPr>
                <w:rFonts w:ascii="Sakkal Majalla" w:hAnsi="Sakkal Majalla" w:cs="Sakkal Majalla"/>
                <w:sz w:val="28"/>
                <w:szCs w:val="28"/>
                <w:rtl/>
              </w:rPr>
            </w:pPr>
            <w:r w:rsidRPr="00164DA7">
              <w:rPr>
                <w:rFonts w:ascii="Sakkal Majalla" w:hAnsi="Sakkal Majalla" w:cs="Sakkal Majalla"/>
                <w:b/>
                <w:bCs/>
                <w:sz w:val="28"/>
                <w:szCs w:val="28"/>
                <w:rtl/>
              </w:rPr>
              <w:t>الهيئة المستقلة لحقوق الإنسان هي الهيئة الوطنية الفلسطينية</w:t>
            </w:r>
            <w:r w:rsidRPr="00164DA7">
              <w:rPr>
                <w:rFonts w:ascii="Sakkal Majalla" w:hAnsi="Sakkal Majalla" w:cs="Sakkal Majalla"/>
                <w:sz w:val="28"/>
                <w:szCs w:val="28"/>
                <w:rtl/>
              </w:rPr>
              <w:t xml:space="preserve"> التي تعنى بحقوق المواطن الفلسطيني، وهي تتمتع بالعضوية الكاملة في التحالف العالمي للهيئات الوطنية لحقوق الإنسان التابعة للأمم المتحدة (</w:t>
            </w:r>
            <w:r w:rsidRPr="00164DA7">
              <w:rPr>
                <w:rFonts w:ascii="Sakkal Majalla" w:hAnsi="Sakkal Majalla" w:cs="Sakkal Majalla"/>
                <w:sz w:val="28"/>
                <w:szCs w:val="28"/>
              </w:rPr>
              <w:t>GANRI</w:t>
            </w:r>
            <w:r w:rsidRPr="00164DA7">
              <w:rPr>
                <w:rFonts w:ascii="Sakkal Majalla" w:hAnsi="Sakkal Majalla" w:cs="Sakkal Majalla"/>
                <w:sz w:val="28"/>
                <w:szCs w:val="28"/>
                <w:rtl/>
              </w:rPr>
              <w:t xml:space="preserve">) أنشئت </w:t>
            </w:r>
            <w:r w:rsidRPr="00164DA7">
              <w:rPr>
                <w:rFonts w:ascii="Sakkal Majalla" w:hAnsi="Sakkal Majalla" w:cs="Sakkal Majalla"/>
                <w:b/>
                <w:bCs/>
                <w:sz w:val="28"/>
                <w:szCs w:val="28"/>
                <w:rtl/>
              </w:rPr>
              <w:t>الهيئة</w:t>
            </w:r>
            <w:r w:rsidRPr="00164DA7">
              <w:rPr>
                <w:rFonts w:ascii="Sakkal Majalla" w:hAnsi="Sakkal Majalla" w:cs="Sakkal Majalla"/>
                <w:sz w:val="28"/>
                <w:szCs w:val="28"/>
                <w:rtl/>
              </w:rPr>
              <w:t xml:space="preserve"> </w:t>
            </w:r>
            <w:r w:rsidRPr="00164DA7">
              <w:rPr>
                <w:rFonts w:ascii="Sakkal Majalla" w:hAnsi="Sakkal Majalla" w:cs="Sakkal Majalla"/>
                <w:b/>
                <w:bCs/>
                <w:sz w:val="28"/>
                <w:szCs w:val="28"/>
                <w:rtl/>
              </w:rPr>
              <w:t>المستقلة لحقوق الإنسان</w:t>
            </w:r>
            <w:r w:rsidRPr="00164DA7">
              <w:rPr>
                <w:rFonts w:ascii="Sakkal Majalla" w:hAnsi="Sakkal Majalla" w:cs="Sakkal Majalla"/>
                <w:sz w:val="28"/>
                <w:szCs w:val="28"/>
                <w:rtl/>
              </w:rPr>
              <w:t xml:space="preserve"> بقرارٍ/ مرسوم صادر عن الرئيس الراحل ياسر عرفات رحمه الله، بتاريخ 30/9/1993. وقد نشر قرار الإنشاء لاحقاً في الوقائع الفلسطينية (الجريدة الرسمية للسلطة الوطنية الفلسطينية)، تحت رقم (59) لعام 1995. بموجب القرار تحددت مهام ومسؤوليات </w:t>
            </w:r>
            <w:r w:rsidRPr="00164DA7">
              <w:rPr>
                <w:rFonts w:ascii="Sakkal Majalla" w:hAnsi="Sakkal Majalla" w:cs="Sakkal Majalla"/>
                <w:b/>
                <w:bCs/>
                <w:sz w:val="28"/>
                <w:szCs w:val="28"/>
                <w:rtl/>
              </w:rPr>
              <w:t>الهيئة</w:t>
            </w:r>
            <w:r w:rsidRPr="00164DA7">
              <w:rPr>
                <w:rFonts w:ascii="Sakkal Majalla" w:hAnsi="Sakkal Majalla" w:cs="Sakkal Majalla"/>
                <w:sz w:val="28"/>
                <w:szCs w:val="28"/>
                <w:rtl/>
              </w:rPr>
              <w:t xml:space="preserve"> على النحو التالي: "متابعة وضمان توافر متطلبات صيانة حقوق الإنسان في مختلف القوانين والتشريعات والأنظمة الفلسطينية، وفي عمل مختلف الدوائر والأجهزة والمؤسسات في دولة فلسطين ومنظمة التحرير الفلسطينية ". </w:t>
            </w:r>
          </w:p>
          <w:p w14:paraId="2F204C64" w14:textId="77777777" w:rsidR="001B34B6" w:rsidRPr="00164DA7" w:rsidRDefault="001B34B6" w:rsidP="001B34B6">
            <w:pPr>
              <w:bidi/>
              <w:ind w:left="166" w:right="180"/>
              <w:jc w:val="both"/>
              <w:rPr>
                <w:rFonts w:ascii="Sakkal Majalla" w:hAnsi="Sakkal Majalla" w:cs="Sakkal Majalla"/>
                <w:sz w:val="28"/>
                <w:szCs w:val="28"/>
                <w:rtl/>
              </w:rPr>
            </w:pPr>
            <w:r w:rsidRPr="00164DA7">
              <w:rPr>
                <w:rFonts w:ascii="Sakkal Majalla" w:hAnsi="Sakkal Majalla" w:cs="Sakkal Majalla"/>
                <w:sz w:val="28"/>
                <w:szCs w:val="28"/>
                <w:rtl/>
              </w:rPr>
              <w:t xml:space="preserve">ترك المرسوم </w:t>
            </w:r>
            <w:r w:rsidRPr="00164DA7">
              <w:rPr>
                <w:rFonts w:ascii="Sakkal Majalla" w:hAnsi="Sakkal Majalla" w:cs="Sakkal Majalla"/>
                <w:b/>
                <w:bCs/>
                <w:sz w:val="28"/>
                <w:szCs w:val="28"/>
                <w:rtl/>
              </w:rPr>
              <w:t>للهيئة</w:t>
            </w:r>
            <w:r w:rsidRPr="00164DA7">
              <w:rPr>
                <w:rFonts w:ascii="Sakkal Majalla" w:hAnsi="Sakkal Majalla" w:cs="Sakkal Majalla"/>
                <w:sz w:val="28"/>
                <w:szCs w:val="28"/>
                <w:rtl/>
              </w:rPr>
              <w:t xml:space="preserve"> مهمة وضع نظامها الأساسي بما يضمن استقلاليتها وفعاليتها، وقد بدأت </w:t>
            </w:r>
            <w:r w:rsidRPr="00164DA7">
              <w:rPr>
                <w:rFonts w:ascii="Sakkal Majalla" w:hAnsi="Sakkal Majalla" w:cs="Sakkal Majalla"/>
                <w:b/>
                <w:bCs/>
                <w:sz w:val="28"/>
                <w:szCs w:val="28"/>
                <w:rtl/>
              </w:rPr>
              <w:t>الهيئة</w:t>
            </w:r>
            <w:r w:rsidRPr="00164DA7">
              <w:rPr>
                <w:rFonts w:ascii="Sakkal Majalla" w:hAnsi="Sakkal Majalla" w:cs="Sakkal Majalla"/>
                <w:sz w:val="28"/>
                <w:szCs w:val="28"/>
                <w:rtl/>
              </w:rPr>
              <w:t xml:space="preserve"> تمارس نشاطاتها في بداية عام 1994، وكان مفوضها العام الأول الدكتورة حنان عشراوي، صاحبة الفكرة والمحرك الأول لتأسيسها. فيما بعد، نصت المادة (31) من القانون الأساسي الفلسطيني، الذي أقره المجلس التشريعي عام 1997، وصدر ونشر في الوقائع الفلسطينية عام 2002، على أن: "تنشأ بقانون هيئة مستقلة لحقوق الإنسان، ويحدد القانون تشكيلها ومهامها واختصاصها، وتقدم تقاريرها لكل من رئيس السلطة الوطنية، والمجلس التشريعي الفلسطيني." وبالرغم من عدم إقرار وإصدار القانون المذكور حتى اللحظة، لكن </w:t>
            </w:r>
            <w:r w:rsidRPr="00164DA7">
              <w:rPr>
                <w:rFonts w:ascii="Sakkal Majalla" w:hAnsi="Sakkal Majalla" w:cs="Sakkal Majalla"/>
                <w:b/>
                <w:bCs/>
                <w:sz w:val="28"/>
                <w:szCs w:val="28"/>
                <w:rtl/>
              </w:rPr>
              <w:t>الهيئة</w:t>
            </w:r>
            <w:r w:rsidRPr="00164DA7">
              <w:rPr>
                <w:rFonts w:ascii="Sakkal Majalla" w:hAnsi="Sakkal Majalla" w:cs="Sakkal Majalla"/>
                <w:sz w:val="28"/>
                <w:szCs w:val="28"/>
                <w:rtl/>
              </w:rPr>
              <w:t xml:space="preserve"> تعمل، وبشكل واضح، استناداً إلى المرسوم المذكور أعلاه لحين إقرار قانون </w:t>
            </w:r>
            <w:r w:rsidRPr="00164DA7">
              <w:rPr>
                <w:rFonts w:ascii="Sakkal Majalla" w:hAnsi="Sakkal Majalla" w:cs="Sakkal Majalla"/>
                <w:b/>
                <w:bCs/>
                <w:sz w:val="28"/>
                <w:szCs w:val="28"/>
                <w:rtl/>
              </w:rPr>
              <w:t>الهيئة</w:t>
            </w:r>
            <w:r w:rsidRPr="00164DA7">
              <w:rPr>
                <w:rFonts w:ascii="Sakkal Majalla" w:hAnsi="Sakkal Majalla" w:cs="Sakkal Majalla"/>
                <w:sz w:val="28"/>
                <w:szCs w:val="28"/>
                <w:rtl/>
              </w:rPr>
              <w:t>.</w:t>
            </w:r>
          </w:p>
          <w:p w14:paraId="051F752B" w14:textId="77777777" w:rsidR="001B34B6" w:rsidRDefault="001B34B6" w:rsidP="001B34B6">
            <w:pPr>
              <w:bidi/>
              <w:ind w:left="166" w:right="180"/>
              <w:jc w:val="both"/>
              <w:rPr>
                <w:rFonts w:ascii="Sakkal Majalla" w:hAnsi="Sakkal Majalla" w:cs="Sakkal Majalla"/>
                <w:sz w:val="28"/>
                <w:szCs w:val="28"/>
                <w:rtl/>
              </w:rPr>
            </w:pPr>
            <w:r w:rsidRPr="00164DA7">
              <w:rPr>
                <w:rFonts w:ascii="Sakkal Majalla" w:hAnsi="Sakkal Majalla" w:cs="Sakkal Majalla"/>
                <w:sz w:val="28"/>
                <w:szCs w:val="28"/>
                <w:rtl/>
              </w:rPr>
              <w:t xml:space="preserve">علاوة على ذلك تقوم </w:t>
            </w:r>
            <w:r w:rsidRPr="00164DA7">
              <w:rPr>
                <w:rFonts w:ascii="Sakkal Majalla" w:hAnsi="Sakkal Majalla" w:cs="Sakkal Majalla"/>
                <w:b/>
                <w:bCs/>
                <w:sz w:val="28"/>
                <w:szCs w:val="28"/>
                <w:rtl/>
              </w:rPr>
              <w:t>الهيئة</w:t>
            </w:r>
            <w:r w:rsidRPr="00164DA7">
              <w:rPr>
                <w:rFonts w:ascii="Sakkal Majalla" w:hAnsi="Sakkal Majalla" w:cs="Sakkal Majalla"/>
                <w:sz w:val="28"/>
                <w:szCs w:val="28"/>
                <w:rtl/>
              </w:rPr>
              <w:t xml:space="preserve"> بصفتها، </w:t>
            </w:r>
            <w:r w:rsidRPr="0081482D">
              <w:rPr>
                <w:rFonts w:ascii="Sakkal Majalla" w:hAnsi="Sakkal Majalla" w:cs="Sakkal Majalla"/>
                <w:b/>
                <w:bCs/>
                <w:sz w:val="28"/>
                <w:szCs w:val="28"/>
                <w:rtl/>
              </w:rPr>
              <w:t>الهيئة</w:t>
            </w:r>
            <w:r w:rsidRPr="00164DA7">
              <w:rPr>
                <w:rFonts w:ascii="Sakkal Majalla" w:hAnsi="Sakkal Majalla" w:cs="Sakkal Majalla"/>
                <w:sz w:val="28"/>
                <w:szCs w:val="28"/>
                <w:rtl/>
              </w:rPr>
              <w:t xml:space="preserve"> الوطنية لحقوق الإنسان وديوانٍ للمظالم، بمتابعة وضمان توافر متطلبات صيانة حقوق الإنسان في مختلف القوانين والتشريعات الفلسطينية، وفي عمل مختلف الدوائر والأجهزة والمؤسسات في السلطة الوطنية الفلسطينية، ويتسع نطاق عمل </w:t>
            </w:r>
            <w:r w:rsidRPr="00164DA7">
              <w:rPr>
                <w:rFonts w:ascii="Sakkal Majalla" w:hAnsi="Sakkal Majalla" w:cs="Sakkal Majalla"/>
                <w:b/>
                <w:bCs/>
                <w:sz w:val="28"/>
                <w:szCs w:val="28"/>
                <w:rtl/>
              </w:rPr>
              <w:t>الهيئة</w:t>
            </w:r>
            <w:r w:rsidRPr="00164DA7">
              <w:rPr>
                <w:rFonts w:ascii="Sakkal Majalla" w:hAnsi="Sakkal Majalla" w:cs="Sakkal Majalla"/>
                <w:sz w:val="28"/>
                <w:szCs w:val="28"/>
                <w:rtl/>
              </w:rPr>
              <w:t xml:space="preserve"> ليشمل التعامل مع قضايا انتهاكات حقوق الإنسان، والشكاوى التي يقدمها المواطنون بشأن الانتهاكات المتمثلة بحقوق الإنسان، والتي تقع على المواطن من قبل السلطة التنفيذية، ونشر الوعي القانوني والرقابة على التشريعات والسياسات الوطنية، ومدى مواءمتها للمعايير الدولية الخاصة بحقوق الإنسان.</w:t>
            </w:r>
          </w:p>
          <w:p w14:paraId="536CA631" w14:textId="77777777" w:rsidR="001B34B6" w:rsidRDefault="001B34B6">
            <w:pPr>
              <w:rPr>
                <w:rFonts w:ascii="Sakkal Majalla" w:hAnsi="Sakkal Majalla" w:cs="Sakkal Majalla"/>
                <w:b/>
                <w:bCs/>
                <w:sz w:val="24"/>
                <w:szCs w:val="24"/>
              </w:rPr>
            </w:pPr>
          </w:p>
        </w:tc>
      </w:tr>
    </w:tbl>
    <w:p w14:paraId="6C7F3572" w14:textId="77777777" w:rsidR="001B34B6" w:rsidRDefault="001B34B6"/>
    <w:tbl>
      <w:tblPr>
        <w:tblStyle w:val="TableGrid"/>
        <w:tblW w:w="9108" w:type="dxa"/>
        <w:shd w:val="clear" w:color="auto" w:fill="F2F2F2" w:themeFill="background1" w:themeFillShade="F2"/>
        <w:tblLook w:val="04A0" w:firstRow="1" w:lastRow="0" w:firstColumn="1" w:lastColumn="0" w:noHBand="0" w:noVBand="1"/>
      </w:tblPr>
      <w:tblGrid>
        <w:gridCol w:w="9108"/>
      </w:tblGrid>
      <w:tr w:rsidR="001B34B6" w14:paraId="2FDD00A8" w14:textId="77777777" w:rsidTr="001B34B6">
        <w:tc>
          <w:tcPr>
            <w:tcW w:w="9108" w:type="dxa"/>
            <w:shd w:val="clear" w:color="auto" w:fill="F2F2F2" w:themeFill="background1" w:themeFillShade="F2"/>
          </w:tcPr>
          <w:p w14:paraId="3C0FB2AC" w14:textId="2232BA35" w:rsidR="001B34B6" w:rsidRDefault="001B34B6" w:rsidP="001B34B6">
            <w:pPr>
              <w:bidi/>
              <w:jc w:val="center"/>
            </w:pPr>
            <w:r>
              <w:br w:type="page"/>
            </w:r>
          </w:p>
          <w:p w14:paraId="0F1E5561" w14:textId="13FD482F" w:rsidR="001B34B6" w:rsidRPr="001B34B6" w:rsidRDefault="001B34B6" w:rsidP="001B34B6">
            <w:pPr>
              <w:bidi/>
              <w:jc w:val="center"/>
              <w:rPr>
                <w:rFonts w:ascii="Sakkal Majalla" w:hAnsi="Sakkal Majalla" w:cs="Sakkal Majalla"/>
                <w:b/>
                <w:bCs/>
                <w:sz w:val="28"/>
                <w:szCs w:val="28"/>
                <w:rtl/>
                <w:lang w:bidi="ar-JO"/>
              </w:rPr>
            </w:pPr>
            <w:r w:rsidRPr="001B34B6">
              <w:rPr>
                <w:rFonts w:ascii="Sakkal Majalla" w:hAnsi="Sakkal Majalla" w:cs="Sakkal Majalla"/>
                <w:b/>
                <w:bCs/>
                <w:sz w:val="28"/>
                <w:szCs w:val="28"/>
                <w:rtl/>
                <w:lang w:bidi="ar-JO"/>
              </w:rPr>
              <w:t>جهات الاتصال: الأستاذة خديجة زهران، مديرة دائرة الرقابة على السياسات والتشريعات الوطنية</w:t>
            </w:r>
          </w:p>
          <w:p w14:paraId="76C6E16A" w14:textId="7B5411DB" w:rsidR="001B34B6" w:rsidRPr="001B34B6" w:rsidRDefault="001B34B6" w:rsidP="001B34B6">
            <w:pPr>
              <w:bidi/>
              <w:jc w:val="center"/>
              <w:rPr>
                <w:rFonts w:ascii="Sakkal Majalla" w:hAnsi="Sakkal Majalla" w:cs="Sakkal Majalla"/>
                <w:b/>
                <w:bCs/>
                <w:sz w:val="28"/>
                <w:szCs w:val="28"/>
                <w:lang w:bidi="ar-JO"/>
              </w:rPr>
            </w:pPr>
            <w:r w:rsidRPr="001B34B6">
              <w:rPr>
                <w:rFonts w:ascii="Sakkal Majalla" w:hAnsi="Sakkal Majalla" w:cs="Sakkal Majalla"/>
                <w:b/>
                <w:bCs/>
                <w:sz w:val="28"/>
                <w:szCs w:val="28"/>
                <w:lang w:bidi="ar-JO"/>
              </w:rPr>
              <w:t>e-mail: khadeja@ichr.ps</w:t>
            </w:r>
          </w:p>
          <w:p w14:paraId="0CDDB107" w14:textId="5AC7BFA3" w:rsidR="001B34B6" w:rsidRPr="00164DA7" w:rsidRDefault="001B34B6" w:rsidP="001B34B6">
            <w:pPr>
              <w:bidi/>
              <w:rPr>
                <w:rFonts w:ascii="Sakkal Majalla" w:hAnsi="Sakkal Majalla" w:cs="Sakkal Majalla"/>
                <w:b/>
                <w:bCs/>
                <w:noProof/>
                <w:sz w:val="28"/>
                <w:szCs w:val="28"/>
                <w:rtl/>
              </w:rPr>
            </w:pPr>
            <w:r>
              <w:br w:type="page"/>
            </w:r>
          </w:p>
        </w:tc>
      </w:tr>
    </w:tbl>
    <w:p w14:paraId="6337A7A2" w14:textId="7B201577" w:rsidR="00164DA7" w:rsidRDefault="00164DA7">
      <w:pPr>
        <w:rPr>
          <w:rFonts w:ascii="Sakkal Majalla" w:hAnsi="Sakkal Majalla" w:cs="Sakkal Majalla"/>
          <w:b/>
          <w:bCs/>
          <w:sz w:val="24"/>
          <w:szCs w:val="24"/>
          <w:rtl/>
        </w:rPr>
      </w:pPr>
    </w:p>
    <w:p w14:paraId="5CBDDC8C" w14:textId="77777777" w:rsidR="00C40032" w:rsidRPr="00C40032" w:rsidRDefault="00C40032" w:rsidP="00C40032">
      <w:pPr>
        <w:bidi/>
        <w:ind w:left="-540" w:right="-360"/>
        <w:jc w:val="both"/>
        <w:rPr>
          <w:rFonts w:ascii="Sakkal Majalla" w:hAnsi="Sakkal Majalla" w:cs="Sakkal Majalla"/>
          <w:w w:val="110"/>
          <w:sz w:val="28"/>
          <w:szCs w:val="28"/>
          <w:u w:val="single"/>
        </w:rPr>
      </w:pPr>
      <w:r w:rsidRPr="00C40032">
        <w:rPr>
          <w:rFonts w:ascii="Sakkal Majalla" w:hAnsi="Sakkal Majalla" w:cs="Sakkal Majalla"/>
          <w:b/>
          <w:bCs/>
          <w:w w:val="110"/>
          <w:sz w:val="28"/>
          <w:szCs w:val="28"/>
          <w:u w:val="single"/>
          <w:rtl/>
        </w:rPr>
        <w:lastRenderedPageBreak/>
        <w:t xml:space="preserve">القيمة القانونية للاتفاقية في النظام القانوني </w:t>
      </w:r>
    </w:p>
    <w:p w14:paraId="7AC2BBAD" w14:textId="77777777" w:rsidR="00C40032" w:rsidRPr="00C40032" w:rsidRDefault="00C40032" w:rsidP="00C40032">
      <w:pPr>
        <w:bidi/>
        <w:ind w:left="-54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 xml:space="preserve">أشار التقرير في الفقرة (20) منه إلى القرار التفسيري الصادر عن المحكمة الدستورية العليا في القضية رقم (4) لسنة 2017 بتاريخ 12/3/2018 والمتعلق بالمرتبة القانونية للمعاهدات الدولية داخل النظام القانوني الفلسطيني، والذي خلص إلى اكتساب قواعد المعاهدات التي انضمت إليها دولة فلسطين قوة أعلى من التشريعات العادية الداخلية، بما </w:t>
      </w:r>
      <w:proofErr w:type="spellStart"/>
      <w:r w:rsidRPr="00C40032">
        <w:rPr>
          <w:rFonts w:ascii="Sakkal Majalla" w:hAnsi="Sakkal Majalla" w:cs="Sakkal Majalla"/>
          <w:w w:val="110"/>
          <w:sz w:val="28"/>
          <w:szCs w:val="28"/>
          <w:rtl/>
        </w:rPr>
        <w:t>يتواءم</w:t>
      </w:r>
      <w:proofErr w:type="spellEnd"/>
      <w:r w:rsidRPr="00C40032">
        <w:rPr>
          <w:rFonts w:ascii="Sakkal Majalla" w:hAnsi="Sakkal Majalla" w:cs="Sakkal Majalla"/>
          <w:w w:val="110"/>
          <w:sz w:val="28"/>
          <w:szCs w:val="28"/>
          <w:rtl/>
        </w:rPr>
        <w:t xml:space="preserve"> مع الهوية الوطنية والدينية والثقافية للشعب الفلسطيني. وجاء هذا القرار في ظل عدم وجود نص دستوري أو قانوني صريح يوضح القيمة القانونية للاتفاقيات الدولية في فلسطين. وهنا، يمكن إثارة العديد من التساؤلات والمخاوف مما خلص إليه قرار المحكمة المشار إليه، هل يعني القرار أن علو المعاهدات الدولية في النظام القانوني الفلسطيني على التشريعات الداخلية وما يستتبع ذلك من آثار تتعلق بإنفاذ المعاهدة، مرهون بمدى توافق ومواءمة المعاهدة مع الهوية الوطنية والدينية والثقافية للشعب الفلسطيني؟ ثم ما المقصود بالهوية الوطنية والدينية والثقافية؟ هي يمكن الاستدلال عليها بوضوح؟ وهل هي محط اتفاق كافة شرائح المجتمع الفلسطيني؟ هل المقصود من هذا القرار التحفظ على أحكام المعاهدات الدولية، ومن ضمنها اتفاقية القضاء على أشكال التمييز العنصري؟ علما أن التقرير كان قد أشار في الفقرة الأولى منه إلى انضمام فلسطين إلى المعاهدات الرئيسية لحقوق الإنسان ومن ضمنها هذه الاتفاقية دون تحفظات. كيف يمكن أن يؤثر مثل هذا القيد على تنفيذ أحكام الاتفاقية وإمكانية الاحتجاج بها أمام السلطات القضائية؟</w:t>
      </w:r>
    </w:p>
    <w:p w14:paraId="6C93C230" w14:textId="77777777" w:rsidR="00C40032" w:rsidRPr="00C40032" w:rsidRDefault="00C40032" w:rsidP="00C40032">
      <w:pPr>
        <w:bidi/>
        <w:ind w:left="-540" w:right="-360"/>
        <w:jc w:val="both"/>
        <w:rPr>
          <w:rFonts w:ascii="Sakkal Majalla" w:hAnsi="Sakkal Majalla" w:cs="Sakkal Majalla"/>
          <w:b/>
          <w:bCs/>
          <w:w w:val="110"/>
          <w:sz w:val="32"/>
          <w:szCs w:val="32"/>
          <w:rtl/>
        </w:rPr>
      </w:pPr>
      <w:r w:rsidRPr="00C40032">
        <w:rPr>
          <w:rFonts w:ascii="Sakkal Majalla" w:hAnsi="Sakkal Majalla" w:cs="Sakkal Majalla"/>
          <w:b/>
          <w:bCs/>
          <w:w w:val="110"/>
          <w:sz w:val="32"/>
          <w:szCs w:val="32"/>
          <w:rtl/>
        </w:rPr>
        <w:t>تطبيق الاتفاقية في قطاع غزة والمناطق المصنفة "ج"</w:t>
      </w:r>
    </w:p>
    <w:p w14:paraId="7B8D95AF" w14:textId="77777777" w:rsidR="00C40032" w:rsidRPr="00C40032" w:rsidRDefault="00C40032" w:rsidP="00C40032">
      <w:pPr>
        <w:bidi/>
        <w:ind w:left="-540" w:right="-360"/>
        <w:jc w:val="both"/>
        <w:rPr>
          <w:rFonts w:ascii="Sakkal Majalla" w:hAnsi="Sakkal Majalla" w:cs="Sakkal Majalla"/>
          <w:w w:val="110"/>
          <w:sz w:val="28"/>
          <w:szCs w:val="28"/>
          <w:rtl/>
        </w:rPr>
      </w:pPr>
      <w:r w:rsidRPr="00C40032">
        <w:rPr>
          <w:rFonts w:ascii="Sakkal Majalla" w:hAnsi="Sakkal Majalla" w:cs="Sakkal Majalla"/>
          <w:w w:val="110"/>
          <w:sz w:val="28"/>
          <w:szCs w:val="28"/>
          <w:rtl/>
        </w:rPr>
        <w:t>لم يشر التقرير إلى وضعية إنفاذ أحكام الاتفاقية على كافة التراب الفلسطيني، الذي يعتبر واجب أساسي على الحكومة الفلسطينية، حيث ما زال قطاع غزة تحت سيطرة سلطات الأمر الواقع التابعة لحركة حماس، بينما تسيطر إسرائيل أمنياً وإدارياً على المناطق المصنفة "ج". مما يعني عدم إمكانية تطبيق أحكام القوانين المحلية وأحكام هذه الاتفاقية في المناطق المشار إليها. وبالرغم من ذلك، فإن التقرير لم يكشف عن أي إجراءات أو نوايا تضمن تطبيق أحكام الاتفاقية في كافة أنحاء الدولة.</w:t>
      </w:r>
    </w:p>
    <w:p w14:paraId="7C92F27D" w14:textId="77777777" w:rsidR="00C40032" w:rsidRPr="00C40032" w:rsidRDefault="00C40032" w:rsidP="00C40032">
      <w:pPr>
        <w:bidi/>
        <w:ind w:left="-540" w:right="-360"/>
        <w:jc w:val="both"/>
        <w:rPr>
          <w:rFonts w:ascii="Sakkal Majalla" w:hAnsi="Sakkal Majalla" w:cs="Sakkal Majalla"/>
          <w:w w:val="110"/>
          <w:sz w:val="32"/>
          <w:szCs w:val="32"/>
          <w:rtl/>
        </w:rPr>
      </w:pPr>
      <w:r w:rsidRPr="00C40032">
        <w:rPr>
          <w:rFonts w:ascii="Sakkal Majalla" w:hAnsi="Sakkal Majalla" w:cs="Sakkal Majalla"/>
          <w:b/>
          <w:bCs/>
          <w:w w:val="110"/>
          <w:sz w:val="32"/>
          <w:szCs w:val="32"/>
          <w:rtl/>
        </w:rPr>
        <w:t>معلومات الفئات المحمية بالاتفاقية ضمن حدود دولة فلسطين</w:t>
      </w:r>
    </w:p>
    <w:p w14:paraId="2C6D9E0C" w14:textId="77777777" w:rsidR="00C40032" w:rsidRPr="00C40032" w:rsidRDefault="00C40032" w:rsidP="00C40032">
      <w:pPr>
        <w:pStyle w:val="ListParagraph"/>
        <w:numPr>
          <w:ilvl w:val="0"/>
          <w:numId w:val="15"/>
        </w:numPr>
        <w:bidi/>
        <w:spacing w:line="256" w:lineRule="auto"/>
        <w:ind w:left="-9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 xml:space="preserve">أشار التقرير في الفقرة (23) منه إلى عدم وجود إحصائيات دقيقة وشاملة حول الجماعات المحمية بالاتفاقية على الصعيد الوطني، مبيناً أسباب غياب هذه الاحصائيات، وبالرغم من أهمية وجود مثل هذه الاحصائيات في مجال الاعتراف بالجماعات المحمية بموجب الاتفاقية ضمن حدود الدولة، واعتراف التقرير بذلك، إلا أن هذا الأخير لا يشير إلى أي تدابير عملية تسعى إليها الدولة لتوفير الاحصائيات والمعلومات المتعلقة بالفئات المحمية. مثل تكليف الجهاز المركزي للإحصاء الفلسطيني بإجراء مسوح تتضمن احصائيات ومعلومات عن </w:t>
      </w:r>
      <w:r w:rsidRPr="00C40032">
        <w:rPr>
          <w:rFonts w:ascii="Sakkal Majalla" w:hAnsi="Sakkal Majalla" w:cs="Sakkal Majalla"/>
          <w:w w:val="110"/>
          <w:sz w:val="28"/>
          <w:szCs w:val="28"/>
          <w:rtl/>
        </w:rPr>
        <w:lastRenderedPageBreak/>
        <w:t>الفئات المحمية بشكل خاص، أو على الأقل جمع معلومات عن هذه الفئات في سياق اعداد احصائيات عامة؟</w:t>
      </w:r>
    </w:p>
    <w:p w14:paraId="04550DDA" w14:textId="73259E21" w:rsidR="00C40032" w:rsidRPr="00C40032" w:rsidRDefault="00C40032" w:rsidP="00C40032">
      <w:pPr>
        <w:pStyle w:val="ListParagraph"/>
        <w:numPr>
          <w:ilvl w:val="0"/>
          <w:numId w:val="15"/>
        </w:numPr>
        <w:bidi/>
        <w:spacing w:line="256" w:lineRule="auto"/>
        <w:ind w:left="-9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 xml:space="preserve">أصدر الجهاز المركزي </w:t>
      </w:r>
      <w:r w:rsidRPr="00C40032">
        <w:rPr>
          <w:rFonts w:ascii="Sakkal Majalla" w:hAnsi="Sakkal Majalla" w:cs="Sakkal Majalla" w:hint="cs"/>
          <w:w w:val="110"/>
          <w:sz w:val="28"/>
          <w:szCs w:val="28"/>
          <w:rtl/>
        </w:rPr>
        <w:t>للإحصاء</w:t>
      </w:r>
      <w:r w:rsidRPr="00C40032">
        <w:rPr>
          <w:rFonts w:ascii="Sakkal Majalla" w:hAnsi="Sakkal Majalla" w:cs="Sakkal Majalla"/>
          <w:w w:val="110"/>
          <w:sz w:val="28"/>
          <w:szCs w:val="28"/>
          <w:rtl/>
        </w:rPr>
        <w:t xml:space="preserve"> الفلسطيني في العام 2018، التعداد العام للسكان والمنشآت، وتضمن التقرير عديد المؤشرات والاحصائيات عن السكان الفلسطينيين في كل من الضفة الغربية وقطاع غزة، إلا أنه لم يقدم أي احصائيات أو مؤشرات عن الفئات المحمية بموجب الاتفاقية، ولا عن وضعية تمتع هذه الفئات بالحقوق والحريات العامة، وعدم تعرضها لأي تمييز في تمتعها وممارستها للحقوق والحريات.</w:t>
      </w:r>
    </w:p>
    <w:p w14:paraId="4E010F5A" w14:textId="77777777" w:rsidR="00C40032" w:rsidRPr="00C40032" w:rsidRDefault="00C40032" w:rsidP="00C40032">
      <w:pPr>
        <w:pStyle w:val="ListParagraph"/>
        <w:numPr>
          <w:ilvl w:val="0"/>
          <w:numId w:val="15"/>
        </w:numPr>
        <w:bidi/>
        <w:spacing w:line="256" w:lineRule="auto"/>
        <w:ind w:left="-9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 xml:space="preserve">يشير التقرير في الفقرة (25) منه في البنود من (أ -ز) إلى الفئات المحمية بموجب الاتفاقية، وفي الوقت ذاته، يشير في الفقرة (162/ب) إلى فئات أخرى محمية بموجب الاتفاقية، لم تذكر في الفقرة (25) ضمن القسم المخصص لبيان المؤشرات الديموغرافية للجماعات المحمية ضمن حدود دولة فلسطين، وهذه الفئات هي: البهائيون، التركمان، الدروز، السريان، البشناق، الشركس، والأكراد. كما لم يشر التقرير إلى فئات أخرى محمية بموجب أحكام الاتفاقية، وهو </w:t>
      </w:r>
      <w:proofErr w:type="spellStart"/>
      <w:r w:rsidRPr="00C40032">
        <w:rPr>
          <w:rFonts w:ascii="Sakkal Majalla" w:hAnsi="Sakkal Majalla" w:cs="Sakkal Majalla"/>
          <w:w w:val="110"/>
          <w:sz w:val="28"/>
          <w:szCs w:val="28"/>
          <w:rtl/>
        </w:rPr>
        <w:t>الجباليون</w:t>
      </w:r>
      <w:proofErr w:type="spellEnd"/>
      <w:r w:rsidRPr="00C40032">
        <w:rPr>
          <w:rFonts w:ascii="Sakkal Majalla" w:hAnsi="Sakkal Majalla" w:cs="Sakkal Majalla"/>
          <w:w w:val="110"/>
          <w:sz w:val="28"/>
          <w:szCs w:val="28"/>
          <w:rtl/>
        </w:rPr>
        <w:t>، وأصحاب البشرة السوداء بخلاف الأفريقيون. فما هو سبب اغفال التقرير لهذه الفئات إلى جانب الفئات التي تم الإشارة إليها في الفقرة (25)؟ وبخاصة أنهم جميعاً يمتعون بالحماية بموجب أحكام الاتفاقية.</w:t>
      </w:r>
    </w:p>
    <w:p w14:paraId="19B6E184" w14:textId="77777777" w:rsidR="00C40032" w:rsidRPr="00C40032" w:rsidRDefault="00C40032" w:rsidP="00C40032">
      <w:pPr>
        <w:pStyle w:val="ListParagraph"/>
        <w:numPr>
          <w:ilvl w:val="0"/>
          <w:numId w:val="15"/>
        </w:numPr>
        <w:bidi/>
        <w:spacing w:line="256" w:lineRule="auto"/>
        <w:ind w:left="-9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 xml:space="preserve">بالرغم من إشارة التقرير في الفقرة (25) من البند (أ -ز) إلى الفئات المحمية بموجب الاتفاقية، وتقديمه عرض وصفي عن طائفة من الحقوق المنصوص عليها في المادة (5) من الاتفاقية، إلا أن التقرير لا يقدم أي معلومات </w:t>
      </w:r>
      <w:proofErr w:type="spellStart"/>
      <w:r w:rsidRPr="00C40032">
        <w:rPr>
          <w:rFonts w:ascii="Sakkal Majalla" w:hAnsi="Sakkal Majalla" w:cs="Sakkal Majalla"/>
          <w:w w:val="110"/>
          <w:sz w:val="28"/>
          <w:szCs w:val="28"/>
          <w:rtl/>
        </w:rPr>
        <w:t>تقيمية</w:t>
      </w:r>
      <w:proofErr w:type="spellEnd"/>
      <w:r w:rsidRPr="00C40032">
        <w:rPr>
          <w:rFonts w:ascii="Sakkal Majalla" w:hAnsi="Sakkal Majalla" w:cs="Sakkal Majalla"/>
          <w:w w:val="110"/>
          <w:sz w:val="28"/>
          <w:szCs w:val="28"/>
          <w:rtl/>
        </w:rPr>
        <w:t xml:space="preserve"> عن أوضاع الحقوق الاقتصادية والاجتماعية والثقافية، والحقوق المدنية والسياسية لهذه الفئات، فهل تتمتع هذه الفئات بحقوقها وحرياته المكفولة في الدستور والقانون دون أن يكون لانتمائها أي دور في الانتقاص منها أو حجبها؟  وما هو واقع الخدمات الذي تتلقاه هذه المجموعات؟ ومدى قدرتها على الوصول الى هذه الخدمات والمعيقات التي تواجهها والتدابير التفضيلية التي من الممكن ان تتبناه الحكومة لتعزيز وصول هذه الفئات الى كافة الحقوق؟</w:t>
      </w:r>
    </w:p>
    <w:p w14:paraId="4B817429" w14:textId="77777777" w:rsidR="00C40032" w:rsidRPr="00C40032" w:rsidRDefault="00C40032" w:rsidP="00C40032">
      <w:pPr>
        <w:bidi/>
        <w:ind w:left="-540" w:right="-360"/>
        <w:jc w:val="both"/>
        <w:rPr>
          <w:rFonts w:ascii="Sakkal Majalla" w:hAnsi="Sakkal Majalla" w:cs="Sakkal Majalla"/>
          <w:b/>
          <w:bCs/>
          <w:w w:val="110"/>
          <w:sz w:val="32"/>
          <w:szCs w:val="32"/>
          <w:rtl/>
        </w:rPr>
      </w:pPr>
      <w:r w:rsidRPr="00C40032">
        <w:rPr>
          <w:rFonts w:ascii="Sakkal Majalla" w:hAnsi="Sakkal Majalla" w:cs="Sakkal Majalla"/>
          <w:b/>
          <w:bCs/>
          <w:w w:val="110"/>
          <w:sz w:val="32"/>
          <w:szCs w:val="32"/>
          <w:rtl/>
        </w:rPr>
        <w:t>تعريف التمييز العنصري</w:t>
      </w:r>
    </w:p>
    <w:p w14:paraId="40522CA0" w14:textId="77777777" w:rsidR="00C40032" w:rsidRPr="00C40032" w:rsidRDefault="00C40032" w:rsidP="00C40032">
      <w:pPr>
        <w:bidi/>
        <w:ind w:left="-54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 xml:space="preserve">يشير التقرير في الفقرة (27) منه إلى تعريفات عدة للتمييز العنصري في القوانين المحلية سارية المفعول داخل حدود دولة فلسطين، وأهمها تعريفه في القانون الأساسي، ووثيقة إعلان الاستقلال. علما أن هذا التعريفات قاصرة ولا تنسجم مع المادة الأولى من الاتفاقية، حيث إن القانون الأساسي لم يحظر التمييز القائم على أساس النسب أو الأصل القومي أو الإثني. وكذا بالنسبة لوثيقة إعلان الاستقلال. وهنا يمكن السؤال عن التدابير التشريعية التي اتخذتها الدولة في سبيل الوصول إلى تعريف شامل للتمييز العنصري في التشريعات الفلسطينية وينسجم مع التعريف الوارد في المادة (1) من الاتفاقية؟ </w:t>
      </w:r>
    </w:p>
    <w:p w14:paraId="2B86C6E6" w14:textId="77777777" w:rsidR="00C40032" w:rsidRPr="00C40032" w:rsidRDefault="00C40032" w:rsidP="00C40032">
      <w:pPr>
        <w:bidi/>
        <w:ind w:left="-540" w:right="-360"/>
        <w:jc w:val="both"/>
        <w:rPr>
          <w:rFonts w:ascii="Sakkal Majalla" w:hAnsi="Sakkal Majalla" w:cs="Sakkal Majalla"/>
          <w:w w:val="110"/>
          <w:sz w:val="28"/>
          <w:szCs w:val="28"/>
          <w:rtl/>
        </w:rPr>
      </w:pPr>
    </w:p>
    <w:p w14:paraId="6C89380C" w14:textId="77777777" w:rsidR="00C40032" w:rsidRPr="00C40032" w:rsidRDefault="00C40032" w:rsidP="00C40032">
      <w:pPr>
        <w:bidi/>
        <w:ind w:left="-540" w:right="-360"/>
        <w:jc w:val="both"/>
        <w:rPr>
          <w:rFonts w:ascii="Sakkal Majalla" w:hAnsi="Sakkal Majalla" w:cs="Sakkal Majalla"/>
          <w:b/>
          <w:bCs/>
          <w:w w:val="110"/>
          <w:sz w:val="32"/>
          <w:szCs w:val="32"/>
          <w:rtl/>
        </w:rPr>
      </w:pPr>
      <w:r w:rsidRPr="00C40032">
        <w:rPr>
          <w:rFonts w:ascii="Sakkal Majalla" w:hAnsi="Sakkal Majalla" w:cs="Sakkal Majalla"/>
          <w:b/>
          <w:bCs/>
          <w:w w:val="110"/>
          <w:sz w:val="32"/>
          <w:szCs w:val="32"/>
          <w:rtl/>
        </w:rPr>
        <w:lastRenderedPageBreak/>
        <w:t>التنفيذ الأمين للاتفاقية</w:t>
      </w:r>
    </w:p>
    <w:p w14:paraId="67382409" w14:textId="77777777" w:rsidR="00C40032" w:rsidRPr="00C40032" w:rsidRDefault="00C40032" w:rsidP="00C40032">
      <w:pPr>
        <w:bidi/>
        <w:ind w:left="-54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أشار التقرير في الفقرة رقم (33/أ) إلى حظر المرسوم الرئاسي رقم (3) لسنة 1998 بشأن تكريس الوحدة الوطنية ومنع التحريض بما يشمل التمييز العنصري الممارس من قبل الدولة ومؤسساتها، كما أشار التقرير في الفقرة (49) إلى مجموعة من النصوص التشريعية الهادفة إلى القضاء على خطاب التحريض على الكراهية العنصرية والعنف وعلى المنظمات التي تدعو للتمييز العنصري. وبالرغم من كون هذه النصوص تشكل تنفيذاً للمادة (2) من الاتفاقية، إلا أن الواقع يشير -وهو ما يتوفر لدى الهيئة من معلومات كبيرة حوله-إلى استخدام هذه النصوص في التضيق ومحاكمة المعارضين السياسيين. وهنا يمكن سؤال الدولة عن تقديمها عرض لواقع استخدام هذه النصوص بشكل غير أمين؟ وما هي إجراءاتها وتدابيرها من أجل تحقيق التنفيذ الأمين للاتفاقية على أرض الواقع.</w:t>
      </w:r>
    </w:p>
    <w:p w14:paraId="6FCB5AE3" w14:textId="77777777" w:rsidR="00C40032" w:rsidRPr="00C40032" w:rsidRDefault="00C40032" w:rsidP="00C40032">
      <w:pPr>
        <w:bidi/>
        <w:ind w:left="-540" w:right="-360"/>
        <w:jc w:val="both"/>
        <w:rPr>
          <w:rFonts w:ascii="Sakkal Majalla" w:hAnsi="Sakkal Majalla" w:cs="Sakkal Majalla"/>
          <w:w w:val="110"/>
          <w:sz w:val="28"/>
          <w:szCs w:val="28"/>
          <w:rtl/>
        </w:rPr>
      </w:pPr>
      <w:r w:rsidRPr="00C40032">
        <w:rPr>
          <w:rFonts w:ascii="Sakkal Majalla" w:hAnsi="Sakkal Majalla" w:cs="Sakkal Majalla"/>
          <w:b/>
          <w:bCs/>
          <w:w w:val="110"/>
          <w:sz w:val="28"/>
          <w:szCs w:val="28"/>
          <w:rtl/>
        </w:rPr>
        <w:t xml:space="preserve">الانتهاكات الإسرائيلية </w:t>
      </w:r>
    </w:p>
    <w:p w14:paraId="676AACB3" w14:textId="77777777" w:rsidR="00C40032" w:rsidRPr="00C40032" w:rsidRDefault="00C40032" w:rsidP="00C40032">
      <w:pPr>
        <w:bidi/>
        <w:ind w:left="-540" w:right="-360"/>
        <w:jc w:val="both"/>
        <w:rPr>
          <w:rFonts w:ascii="Sakkal Majalla" w:hAnsi="Sakkal Majalla" w:cs="Sakkal Majalla"/>
          <w:w w:val="110"/>
          <w:sz w:val="28"/>
          <w:szCs w:val="28"/>
        </w:rPr>
      </w:pPr>
      <w:r w:rsidRPr="00C40032">
        <w:rPr>
          <w:rFonts w:ascii="Sakkal Majalla" w:hAnsi="Sakkal Majalla" w:cs="Sakkal Majalla"/>
          <w:w w:val="110"/>
          <w:sz w:val="28"/>
          <w:szCs w:val="28"/>
          <w:rtl/>
        </w:rPr>
        <w:t xml:space="preserve">يشير التقرير في أكثر من مناسبة إلى إجراءات الاحتلال الإسرائيلي العنصرية تجاه المواطنين الفلسطينيين، ومن ضمنهم الفئات المحمية بموجب أحكام الاتفاقية، وما يترتب على ذلك من مساس بفئات الحقوق المختلفة لهذه الجماعات، إلا أن التقرير لم يشر إلى الإجراءات التي تتخذها دولة فلسطين في سبيل تخفيف وقع آثار هذه الإجراءات العنصرية على الفئات المحمية. </w:t>
      </w:r>
    </w:p>
    <w:p w14:paraId="277FF46C" w14:textId="77777777" w:rsidR="00C40032" w:rsidRPr="00C40032" w:rsidRDefault="00C40032" w:rsidP="00C40032">
      <w:pPr>
        <w:bidi/>
        <w:ind w:left="-540" w:right="-360"/>
        <w:jc w:val="both"/>
        <w:rPr>
          <w:rFonts w:ascii="Sakkal Majalla" w:hAnsi="Sakkal Majalla" w:cs="Sakkal Majalla"/>
          <w:w w:val="110"/>
          <w:sz w:val="28"/>
          <w:szCs w:val="28"/>
          <w:rtl/>
        </w:rPr>
      </w:pPr>
      <w:r w:rsidRPr="00C40032">
        <w:rPr>
          <w:rFonts w:ascii="Sakkal Majalla" w:hAnsi="Sakkal Majalla" w:cs="Sakkal Majalla"/>
          <w:b/>
          <w:bCs/>
          <w:w w:val="110"/>
          <w:sz w:val="28"/>
          <w:szCs w:val="28"/>
          <w:rtl/>
        </w:rPr>
        <w:t>التمييز المركب</w:t>
      </w:r>
    </w:p>
    <w:p w14:paraId="72D08DC1" w14:textId="77777777" w:rsidR="00C40032" w:rsidRPr="00C40032" w:rsidRDefault="00C40032" w:rsidP="00C40032">
      <w:pPr>
        <w:bidi/>
        <w:ind w:left="-540" w:right="-360"/>
        <w:jc w:val="both"/>
        <w:rPr>
          <w:rFonts w:ascii="Sakkal Majalla" w:hAnsi="Sakkal Majalla" w:cs="Sakkal Majalla"/>
          <w:w w:val="110"/>
          <w:sz w:val="28"/>
          <w:szCs w:val="28"/>
          <w:rtl/>
        </w:rPr>
      </w:pPr>
      <w:r w:rsidRPr="00C40032">
        <w:rPr>
          <w:rFonts w:ascii="Sakkal Majalla" w:hAnsi="Sakkal Majalla" w:cs="Sakkal Majalla"/>
          <w:w w:val="110"/>
          <w:sz w:val="28"/>
          <w:szCs w:val="28"/>
          <w:rtl/>
        </w:rPr>
        <w:t>لم يشر التقرير إلى أي من مظاهر التمييز المركب" التمييز المضاعف" التي قد تكون نشأت أو مورست داخل حدود دولة فلسطين، فلم يتطرق إلى وضعية المرأة في الفئات المحمية، وإذا ما كان ثمة انتقاص أو حجب لحقوقها لكونها امرأة وتنتمي لفئة محمية بموجب أحكام الاتفاقية، وذات الأمر ينسحب على ذوو الإعاقة.</w:t>
      </w:r>
    </w:p>
    <w:p w14:paraId="001A09DF" w14:textId="77777777" w:rsidR="00C40032" w:rsidRPr="00C40032" w:rsidRDefault="00C40032" w:rsidP="00C40032">
      <w:pPr>
        <w:bidi/>
        <w:ind w:left="-540" w:right="-360"/>
        <w:jc w:val="both"/>
        <w:rPr>
          <w:rFonts w:ascii="Sakkal Majalla" w:hAnsi="Sakkal Majalla" w:cs="Sakkal Majalla"/>
          <w:b/>
          <w:bCs/>
          <w:w w:val="110"/>
          <w:sz w:val="28"/>
          <w:szCs w:val="28"/>
          <w:rtl/>
        </w:rPr>
      </w:pPr>
      <w:r w:rsidRPr="00C40032">
        <w:rPr>
          <w:rFonts w:ascii="Sakkal Majalla" w:hAnsi="Sakkal Majalla" w:cs="Sakkal Majalla"/>
          <w:b/>
          <w:bCs/>
          <w:w w:val="110"/>
          <w:sz w:val="28"/>
          <w:szCs w:val="28"/>
          <w:rtl/>
        </w:rPr>
        <w:t>التدابير الخاصة المؤقتة</w:t>
      </w:r>
    </w:p>
    <w:p w14:paraId="2687D4BC" w14:textId="47123B1B" w:rsidR="008576D8" w:rsidRPr="00164DA7" w:rsidRDefault="00C40032" w:rsidP="00C40032">
      <w:pPr>
        <w:bidi/>
        <w:ind w:left="-540" w:right="-360"/>
        <w:jc w:val="both"/>
        <w:rPr>
          <w:rFonts w:ascii="Sakkal Majalla" w:hAnsi="Sakkal Majalla" w:cs="Sakkal Majalla"/>
          <w:sz w:val="28"/>
          <w:szCs w:val="28"/>
        </w:rPr>
      </w:pPr>
      <w:r w:rsidRPr="00C40032">
        <w:rPr>
          <w:rFonts w:ascii="Sakkal Majalla" w:hAnsi="Sakkal Majalla" w:cs="Sakkal Majalla"/>
          <w:w w:val="110"/>
          <w:sz w:val="28"/>
          <w:szCs w:val="28"/>
          <w:rtl/>
        </w:rPr>
        <w:t xml:space="preserve">بخلاف إشارة التقرير في الفقرة (79) منه إلى تخصيص مقعد للطائفة السامرية في المجلس التشريعي الأول سنة 1996 "ألغيت فيما بعد بموجب قانون بشأن الانتخابات العامة لسنة 2005، ولاحقاً القرار بقانون بشأن الانتخابات العامة لسنة 2007"، لم يشر التقرير إلى أي تدابير خاصة مؤقتة اتخذتها الدولة بهدف تأمين التقدم الكافي لبعض الفئات المحمية بموجب الاتفاقية والمحتاجين فعلاً إلى الحماية التي قد تكون لازمة بشكل مؤقت لتلك الفئات لتضمن لها المساواة في التمتع بحقوق الإنسان والحريات الأساسية أو ممارساتها. وهنا يمكن إثارة تساؤلات حول سبب إلغاء التدبير الخاص المؤقت الذي حصلت عليه الطائفة السامرية عام 1996؟ ولماذا لم تمنح الفئات المحمية بموجب هذه الاتفاقية مثل هذا التدبير المؤقت؟ ثم ما الذي يمنع من اعادة منح الفئات المحمية بموجب الاتفاقية مثل هذا التدبير وغيره من التدابير الخاصة المؤقتة. </w:t>
      </w:r>
      <w:bookmarkStart w:id="0" w:name="_GoBack"/>
      <w:bookmarkEnd w:id="0"/>
    </w:p>
    <w:sectPr w:rsidR="008576D8" w:rsidRPr="00164DA7" w:rsidSect="001B34B6">
      <w:pgSz w:w="12240" w:h="15840"/>
      <w:pgMar w:top="1440" w:right="1800" w:bottom="126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13EAA" w14:textId="77777777" w:rsidR="00824B91" w:rsidRDefault="00824B91" w:rsidP="008F2802">
      <w:pPr>
        <w:spacing w:after="0" w:line="240" w:lineRule="auto"/>
      </w:pPr>
      <w:r>
        <w:separator/>
      </w:r>
    </w:p>
  </w:endnote>
  <w:endnote w:type="continuationSeparator" w:id="0">
    <w:p w14:paraId="043BB37C" w14:textId="77777777" w:rsidR="00824B91" w:rsidRDefault="00824B91" w:rsidP="008F2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altName w:val="Times New Roman"/>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2FF" w:usb1="400004FF" w:usb2="00000000" w:usb3="00000000" w:csb0="0000019F" w:csb1="00000000"/>
  </w:font>
  <w:font w:name="Segoe UI">
    <w:charset w:val="00"/>
    <w:family w:val="swiss"/>
    <w:pitch w:val="variable"/>
    <w:sig w:usb0="E10022FF" w:usb1="C000E47F" w:usb2="00000029" w:usb3="00000000" w:csb0="000001DF" w:csb1="00000000"/>
  </w:font>
  <w:font w:name="Sakkal Majalla">
    <w:charset w:val="00"/>
    <w:family w:val="auto"/>
    <w:pitch w:val="variable"/>
    <w:sig w:usb0="A000207F" w:usb1="C000204B"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A6D64" w14:textId="77777777" w:rsidR="00824B91" w:rsidRDefault="00824B91" w:rsidP="008F2802">
      <w:pPr>
        <w:spacing w:after="0" w:line="240" w:lineRule="auto"/>
      </w:pPr>
      <w:r>
        <w:separator/>
      </w:r>
    </w:p>
  </w:footnote>
  <w:footnote w:type="continuationSeparator" w:id="0">
    <w:p w14:paraId="35D74261" w14:textId="77777777" w:rsidR="00824B91" w:rsidRDefault="00824B91" w:rsidP="008F28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029B"/>
    <w:multiLevelType w:val="hybridMultilevel"/>
    <w:tmpl w:val="FD80B35E"/>
    <w:lvl w:ilvl="0" w:tplc="9214B2A6">
      <w:start w:val="9"/>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AA5DA1"/>
    <w:multiLevelType w:val="hybridMultilevel"/>
    <w:tmpl w:val="C2FCE7A2"/>
    <w:lvl w:ilvl="0" w:tplc="8BEC63DE">
      <w:start w:val="1"/>
      <w:numFmt w:val="arabicAlpha"/>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EA1BDB"/>
    <w:multiLevelType w:val="hybridMultilevel"/>
    <w:tmpl w:val="9E70C4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9F38FE"/>
    <w:multiLevelType w:val="hybridMultilevel"/>
    <w:tmpl w:val="AE2445E8"/>
    <w:lvl w:ilvl="0" w:tplc="52EA2CE4">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A255F2"/>
    <w:multiLevelType w:val="hybridMultilevel"/>
    <w:tmpl w:val="80388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A49C6"/>
    <w:multiLevelType w:val="hybridMultilevel"/>
    <w:tmpl w:val="4F32A0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6521D"/>
    <w:multiLevelType w:val="hybridMultilevel"/>
    <w:tmpl w:val="EEEEB8D0"/>
    <w:lvl w:ilvl="0" w:tplc="09FC5838">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44369B"/>
    <w:multiLevelType w:val="hybridMultilevel"/>
    <w:tmpl w:val="35BCD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F40A2F"/>
    <w:multiLevelType w:val="hybridMultilevel"/>
    <w:tmpl w:val="AC92F672"/>
    <w:lvl w:ilvl="0" w:tplc="50AE9C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BC0E23"/>
    <w:multiLevelType w:val="hybridMultilevel"/>
    <w:tmpl w:val="7ECA765E"/>
    <w:lvl w:ilvl="0" w:tplc="A148E74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54E63A94"/>
    <w:multiLevelType w:val="hybridMultilevel"/>
    <w:tmpl w:val="0DBA0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BF3DB5"/>
    <w:multiLevelType w:val="multilevel"/>
    <w:tmpl w:val="C05E5BC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lang w:bidi="ar-SA"/>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15:restartNumberingAfterBreak="0">
    <w:nsid w:val="70000472"/>
    <w:multiLevelType w:val="hybridMultilevel"/>
    <w:tmpl w:val="012EA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8B64EB"/>
    <w:multiLevelType w:val="hybridMultilevel"/>
    <w:tmpl w:val="1E6C7920"/>
    <w:lvl w:ilvl="0" w:tplc="205021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8B1A51"/>
    <w:multiLevelType w:val="hybridMultilevel"/>
    <w:tmpl w:val="7B92ED2E"/>
    <w:lvl w:ilvl="0" w:tplc="A148E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7"/>
  </w:num>
  <w:num w:numId="4">
    <w:abstractNumId w:val="10"/>
  </w:num>
  <w:num w:numId="5">
    <w:abstractNumId w:val="2"/>
  </w:num>
  <w:num w:numId="6">
    <w:abstractNumId w:val="8"/>
  </w:num>
  <w:num w:numId="7">
    <w:abstractNumId w:val="0"/>
  </w:num>
  <w:num w:numId="8">
    <w:abstractNumId w:val="13"/>
  </w:num>
  <w:num w:numId="9">
    <w:abstractNumId w:val="4"/>
  </w:num>
  <w:num w:numId="10">
    <w:abstractNumId w:val="14"/>
  </w:num>
  <w:num w:numId="11">
    <w:abstractNumId w:val="9"/>
  </w:num>
  <w:num w:numId="12">
    <w:abstractNumId w:val="3"/>
  </w:num>
  <w:num w:numId="13">
    <w:abstractNumId w:val="5"/>
  </w:num>
  <w:num w:numId="14">
    <w:abstractNumId w:val="6"/>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0A9"/>
    <w:rsid w:val="00007EEF"/>
    <w:rsid w:val="00012F0F"/>
    <w:rsid w:val="0002507E"/>
    <w:rsid w:val="0002750C"/>
    <w:rsid w:val="000433FD"/>
    <w:rsid w:val="00043AAB"/>
    <w:rsid w:val="000721D5"/>
    <w:rsid w:val="000B28F3"/>
    <w:rsid w:val="000B5788"/>
    <w:rsid w:val="000E76B9"/>
    <w:rsid w:val="001276DD"/>
    <w:rsid w:val="0013177F"/>
    <w:rsid w:val="00145854"/>
    <w:rsid w:val="00150600"/>
    <w:rsid w:val="00164DA7"/>
    <w:rsid w:val="0017428C"/>
    <w:rsid w:val="0017630E"/>
    <w:rsid w:val="001A1366"/>
    <w:rsid w:val="001B34B6"/>
    <w:rsid w:val="001E7761"/>
    <w:rsid w:val="00222F96"/>
    <w:rsid w:val="002356DC"/>
    <w:rsid w:val="0025634A"/>
    <w:rsid w:val="00295F72"/>
    <w:rsid w:val="0030785C"/>
    <w:rsid w:val="00320ADD"/>
    <w:rsid w:val="00331375"/>
    <w:rsid w:val="00337076"/>
    <w:rsid w:val="00363DE6"/>
    <w:rsid w:val="00366C62"/>
    <w:rsid w:val="00366C66"/>
    <w:rsid w:val="003716E4"/>
    <w:rsid w:val="003972E9"/>
    <w:rsid w:val="003A32D2"/>
    <w:rsid w:val="003B015D"/>
    <w:rsid w:val="003F5BB3"/>
    <w:rsid w:val="00416BD9"/>
    <w:rsid w:val="0046460D"/>
    <w:rsid w:val="004649C2"/>
    <w:rsid w:val="004676DD"/>
    <w:rsid w:val="00490DF6"/>
    <w:rsid w:val="0049636E"/>
    <w:rsid w:val="004A091D"/>
    <w:rsid w:val="004B0BC2"/>
    <w:rsid w:val="004B51BB"/>
    <w:rsid w:val="004D04C1"/>
    <w:rsid w:val="004D1808"/>
    <w:rsid w:val="004D373F"/>
    <w:rsid w:val="005064A7"/>
    <w:rsid w:val="00532544"/>
    <w:rsid w:val="00536666"/>
    <w:rsid w:val="005622E9"/>
    <w:rsid w:val="00582CB6"/>
    <w:rsid w:val="005A39E0"/>
    <w:rsid w:val="005A4332"/>
    <w:rsid w:val="005A5971"/>
    <w:rsid w:val="005B1140"/>
    <w:rsid w:val="005B2FC6"/>
    <w:rsid w:val="005D2E1B"/>
    <w:rsid w:val="00645E5A"/>
    <w:rsid w:val="00647EA6"/>
    <w:rsid w:val="00650D92"/>
    <w:rsid w:val="00653C6C"/>
    <w:rsid w:val="00654CB4"/>
    <w:rsid w:val="006831D3"/>
    <w:rsid w:val="006D2BB7"/>
    <w:rsid w:val="006E2CCB"/>
    <w:rsid w:val="007441AA"/>
    <w:rsid w:val="0075475B"/>
    <w:rsid w:val="0076253A"/>
    <w:rsid w:val="0076580F"/>
    <w:rsid w:val="007A3155"/>
    <w:rsid w:val="007A7CB8"/>
    <w:rsid w:val="007D01B7"/>
    <w:rsid w:val="007D6BA6"/>
    <w:rsid w:val="007E468F"/>
    <w:rsid w:val="007F6367"/>
    <w:rsid w:val="0080399B"/>
    <w:rsid w:val="0081482D"/>
    <w:rsid w:val="00824B91"/>
    <w:rsid w:val="00825247"/>
    <w:rsid w:val="0082709F"/>
    <w:rsid w:val="00843091"/>
    <w:rsid w:val="008576D8"/>
    <w:rsid w:val="00861909"/>
    <w:rsid w:val="008817B0"/>
    <w:rsid w:val="008F2802"/>
    <w:rsid w:val="009020F2"/>
    <w:rsid w:val="00906039"/>
    <w:rsid w:val="00926D6C"/>
    <w:rsid w:val="009413D3"/>
    <w:rsid w:val="00941B51"/>
    <w:rsid w:val="00963AD7"/>
    <w:rsid w:val="00965F00"/>
    <w:rsid w:val="009C583E"/>
    <w:rsid w:val="009D3542"/>
    <w:rsid w:val="009D3719"/>
    <w:rsid w:val="009D7555"/>
    <w:rsid w:val="00A00F30"/>
    <w:rsid w:val="00A20469"/>
    <w:rsid w:val="00A27B98"/>
    <w:rsid w:val="00A4582B"/>
    <w:rsid w:val="00A70EEC"/>
    <w:rsid w:val="00A9440B"/>
    <w:rsid w:val="00AC6969"/>
    <w:rsid w:val="00AE094E"/>
    <w:rsid w:val="00B1700F"/>
    <w:rsid w:val="00B23EB6"/>
    <w:rsid w:val="00B366C7"/>
    <w:rsid w:val="00B46231"/>
    <w:rsid w:val="00B619B9"/>
    <w:rsid w:val="00BE79CA"/>
    <w:rsid w:val="00BF50A9"/>
    <w:rsid w:val="00C02BDD"/>
    <w:rsid w:val="00C0431C"/>
    <w:rsid w:val="00C075C3"/>
    <w:rsid w:val="00C12BA2"/>
    <w:rsid w:val="00C2294E"/>
    <w:rsid w:val="00C40032"/>
    <w:rsid w:val="00C522C2"/>
    <w:rsid w:val="00C86420"/>
    <w:rsid w:val="00C942FF"/>
    <w:rsid w:val="00CD2D00"/>
    <w:rsid w:val="00CE11AD"/>
    <w:rsid w:val="00CE4776"/>
    <w:rsid w:val="00CF75E8"/>
    <w:rsid w:val="00D07CFA"/>
    <w:rsid w:val="00D242FF"/>
    <w:rsid w:val="00D27E62"/>
    <w:rsid w:val="00D62566"/>
    <w:rsid w:val="00D9285C"/>
    <w:rsid w:val="00DA52F8"/>
    <w:rsid w:val="00E05C01"/>
    <w:rsid w:val="00E438D9"/>
    <w:rsid w:val="00E82072"/>
    <w:rsid w:val="00E84542"/>
    <w:rsid w:val="00E94F3A"/>
    <w:rsid w:val="00E96561"/>
    <w:rsid w:val="00EA268F"/>
    <w:rsid w:val="00ED4C10"/>
    <w:rsid w:val="00EF3B06"/>
    <w:rsid w:val="00F00A5A"/>
    <w:rsid w:val="00F027B1"/>
    <w:rsid w:val="00F07F20"/>
    <w:rsid w:val="00F405D1"/>
    <w:rsid w:val="00F41579"/>
    <w:rsid w:val="00F67FFA"/>
    <w:rsid w:val="00F70493"/>
    <w:rsid w:val="00FC606D"/>
    <w:rsid w:val="00FD34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7BAA0"/>
  <w15:docId w15:val="{E03A149E-11E4-4A45-92D8-77E60F99C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064A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80F"/>
    <w:pPr>
      <w:spacing w:after="160" w:line="259" w:lineRule="auto"/>
      <w:ind w:left="720"/>
      <w:contextualSpacing/>
    </w:pPr>
  </w:style>
  <w:style w:type="paragraph" w:styleId="FootnoteText">
    <w:name w:val="footnote text"/>
    <w:aliases w:val="Char Char Char,Char Char Char Char Char Char,Char Char Char Char Char Char Char,Char Char Char Char Char,Char,Sharp - Footnote Text, Char Char Char, Char Char Char Char Char Char, Char Char Char Char Char Char Char, Char,5_G,single space"/>
    <w:basedOn w:val="Normal"/>
    <w:link w:val="FootnoteTextChar"/>
    <w:unhideWhenUsed/>
    <w:rsid w:val="008F2802"/>
    <w:pPr>
      <w:spacing w:after="0" w:line="240" w:lineRule="auto"/>
      <w:jc w:val="right"/>
    </w:pPr>
    <w:rPr>
      <w:sz w:val="20"/>
      <w:szCs w:val="20"/>
    </w:rPr>
  </w:style>
  <w:style w:type="character" w:customStyle="1" w:styleId="FootnoteTextChar">
    <w:name w:val="Footnote Text Char"/>
    <w:aliases w:val="Char Char Char Char,Char Char Char Char Char Char Char1,Char Char Char Char Char Char Char Char,Char Char Char Char Char Char1,Char Char,Sharp - Footnote Text Char, Char Char Char Char, Char Char Char Char Char Char Char1, Char Char"/>
    <w:basedOn w:val="DefaultParagraphFont"/>
    <w:link w:val="FootnoteText"/>
    <w:rsid w:val="008F2802"/>
    <w:rPr>
      <w:sz w:val="20"/>
      <w:szCs w:val="20"/>
    </w:rPr>
  </w:style>
  <w:style w:type="character" w:styleId="FootnoteReference">
    <w:name w:val="footnote reference"/>
    <w:aliases w:val="ftref,4_GA,Footnote,FR,4_G,مرجع حاشية سفلية1,Footnote number,BVI fnr,Footnote Reference Char,BVI fnr Char Char,BVI fnr Car Car,BVI fnr Car,BVI fnr Car Car Car Car,BVI fnr Car Car Car Car Char,BVI fnr Char,BVI fnr Car Car Char"/>
    <w:basedOn w:val="DefaultParagraphFont"/>
    <w:uiPriority w:val="99"/>
    <w:unhideWhenUsed/>
    <w:qFormat/>
    <w:rsid w:val="008F2802"/>
    <w:rPr>
      <w:vertAlign w:val="superscript"/>
    </w:rPr>
  </w:style>
  <w:style w:type="character" w:styleId="CommentReference">
    <w:name w:val="annotation reference"/>
    <w:basedOn w:val="DefaultParagraphFont"/>
    <w:uiPriority w:val="99"/>
    <w:semiHidden/>
    <w:unhideWhenUsed/>
    <w:rsid w:val="002356DC"/>
    <w:rPr>
      <w:sz w:val="16"/>
      <w:szCs w:val="16"/>
    </w:rPr>
  </w:style>
  <w:style w:type="paragraph" w:styleId="CommentText">
    <w:name w:val="annotation text"/>
    <w:basedOn w:val="Normal"/>
    <w:link w:val="CommentTextChar"/>
    <w:uiPriority w:val="99"/>
    <w:semiHidden/>
    <w:unhideWhenUsed/>
    <w:rsid w:val="002356DC"/>
    <w:pPr>
      <w:spacing w:line="240" w:lineRule="auto"/>
    </w:pPr>
    <w:rPr>
      <w:sz w:val="20"/>
      <w:szCs w:val="20"/>
    </w:rPr>
  </w:style>
  <w:style w:type="character" w:customStyle="1" w:styleId="CommentTextChar">
    <w:name w:val="Comment Text Char"/>
    <w:basedOn w:val="DefaultParagraphFont"/>
    <w:link w:val="CommentText"/>
    <w:uiPriority w:val="99"/>
    <w:semiHidden/>
    <w:rsid w:val="002356DC"/>
    <w:rPr>
      <w:sz w:val="20"/>
      <w:szCs w:val="20"/>
    </w:rPr>
  </w:style>
  <w:style w:type="paragraph" w:styleId="CommentSubject">
    <w:name w:val="annotation subject"/>
    <w:basedOn w:val="CommentText"/>
    <w:next w:val="CommentText"/>
    <w:link w:val="CommentSubjectChar"/>
    <w:uiPriority w:val="99"/>
    <w:semiHidden/>
    <w:unhideWhenUsed/>
    <w:rsid w:val="002356DC"/>
    <w:rPr>
      <w:b/>
      <w:bCs/>
    </w:rPr>
  </w:style>
  <w:style w:type="character" w:customStyle="1" w:styleId="CommentSubjectChar">
    <w:name w:val="Comment Subject Char"/>
    <w:basedOn w:val="CommentTextChar"/>
    <w:link w:val="CommentSubject"/>
    <w:uiPriority w:val="99"/>
    <w:semiHidden/>
    <w:rsid w:val="002356DC"/>
    <w:rPr>
      <w:b/>
      <w:bCs/>
      <w:sz w:val="20"/>
      <w:szCs w:val="20"/>
    </w:rPr>
  </w:style>
  <w:style w:type="paragraph" w:styleId="BalloonText">
    <w:name w:val="Balloon Text"/>
    <w:basedOn w:val="Normal"/>
    <w:link w:val="BalloonTextChar"/>
    <w:uiPriority w:val="99"/>
    <w:semiHidden/>
    <w:unhideWhenUsed/>
    <w:rsid w:val="00235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6DC"/>
    <w:rPr>
      <w:rFonts w:ascii="Segoe UI" w:hAnsi="Segoe UI" w:cs="Segoe UI"/>
      <w:sz w:val="18"/>
      <w:szCs w:val="18"/>
    </w:rPr>
  </w:style>
  <w:style w:type="paragraph" w:styleId="BodyText3">
    <w:name w:val="Body Text 3"/>
    <w:basedOn w:val="Normal"/>
    <w:link w:val="BodyText3Char"/>
    <w:uiPriority w:val="99"/>
    <w:semiHidden/>
    <w:unhideWhenUsed/>
    <w:rsid w:val="005064A7"/>
    <w:pPr>
      <w:spacing w:after="120"/>
    </w:pPr>
    <w:rPr>
      <w:sz w:val="16"/>
      <w:szCs w:val="16"/>
    </w:rPr>
  </w:style>
  <w:style w:type="character" w:customStyle="1" w:styleId="BodyText3Char">
    <w:name w:val="Body Text 3 Char"/>
    <w:basedOn w:val="DefaultParagraphFont"/>
    <w:link w:val="BodyText3"/>
    <w:uiPriority w:val="99"/>
    <w:semiHidden/>
    <w:rsid w:val="005064A7"/>
    <w:rPr>
      <w:sz w:val="16"/>
      <w:szCs w:val="16"/>
    </w:rPr>
  </w:style>
  <w:style w:type="character" w:customStyle="1" w:styleId="Heading2Char">
    <w:name w:val="Heading 2 Char"/>
    <w:basedOn w:val="DefaultParagraphFont"/>
    <w:link w:val="Heading2"/>
    <w:uiPriority w:val="9"/>
    <w:rsid w:val="005064A7"/>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164D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4DA7"/>
  </w:style>
  <w:style w:type="paragraph" w:styleId="Footer">
    <w:name w:val="footer"/>
    <w:basedOn w:val="Normal"/>
    <w:link w:val="FooterChar"/>
    <w:uiPriority w:val="99"/>
    <w:unhideWhenUsed/>
    <w:rsid w:val="00164D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4DA7"/>
  </w:style>
  <w:style w:type="paragraph" w:styleId="HTMLPreformatted">
    <w:name w:val="HTML Preformatted"/>
    <w:basedOn w:val="Normal"/>
    <w:link w:val="HTMLPreformattedChar"/>
    <w:uiPriority w:val="99"/>
    <w:semiHidden/>
    <w:unhideWhenUsed/>
    <w:rsid w:val="00B23E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3EB6"/>
    <w:rPr>
      <w:rFonts w:ascii="Courier New" w:eastAsia="Times New Roman" w:hAnsi="Courier New" w:cs="Courier New"/>
      <w:sz w:val="20"/>
      <w:szCs w:val="20"/>
    </w:rPr>
  </w:style>
  <w:style w:type="table" w:styleId="TableGrid">
    <w:name w:val="Table Grid"/>
    <w:basedOn w:val="TableNormal"/>
    <w:uiPriority w:val="39"/>
    <w:unhideWhenUsed/>
    <w:rsid w:val="001B3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672641">
      <w:bodyDiv w:val="1"/>
      <w:marLeft w:val="0"/>
      <w:marRight w:val="0"/>
      <w:marTop w:val="0"/>
      <w:marBottom w:val="0"/>
      <w:divBdr>
        <w:top w:val="none" w:sz="0" w:space="0" w:color="auto"/>
        <w:left w:val="none" w:sz="0" w:space="0" w:color="auto"/>
        <w:bottom w:val="none" w:sz="0" w:space="0" w:color="auto"/>
        <w:right w:val="none" w:sz="0" w:space="0" w:color="auto"/>
      </w:divBdr>
    </w:div>
    <w:div w:id="461535626">
      <w:bodyDiv w:val="1"/>
      <w:marLeft w:val="0"/>
      <w:marRight w:val="0"/>
      <w:marTop w:val="0"/>
      <w:marBottom w:val="0"/>
      <w:divBdr>
        <w:top w:val="none" w:sz="0" w:space="0" w:color="auto"/>
        <w:left w:val="none" w:sz="0" w:space="0" w:color="auto"/>
        <w:bottom w:val="none" w:sz="0" w:space="0" w:color="auto"/>
        <w:right w:val="none" w:sz="0" w:space="0" w:color="auto"/>
      </w:divBdr>
    </w:div>
    <w:div w:id="775177444">
      <w:bodyDiv w:val="1"/>
      <w:marLeft w:val="0"/>
      <w:marRight w:val="0"/>
      <w:marTop w:val="0"/>
      <w:marBottom w:val="0"/>
      <w:divBdr>
        <w:top w:val="none" w:sz="0" w:space="0" w:color="auto"/>
        <w:left w:val="none" w:sz="0" w:space="0" w:color="auto"/>
        <w:bottom w:val="none" w:sz="0" w:space="0" w:color="auto"/>
        <w:right w:val="none" w:sz="0" w:space="0" w:color="auto"/>
      </w:divBdr>
    </w:div>
    <w:div w:id="958608914">
      <w:bodyDiv w:val="1"/>
      <w:marLeft w:val="0"/>
      <w:marRight w:val="0"/>
      <w:marTop w:val="0"/>
      <w:marBottom w:val="0"/>
      <w:divBdr>
        <w:top w:val="none" w:sz="0" w:space="0" w:color="auto"/>
        <w:left w:val="none" w:sz="0" w:space="0" w:color="auto"/>
        <w:bottom w:val="none" w:sz="0" w:space="0" w:color="auto"/>
        <w:right w:val="none" w:sz="0" w:space="0" w:color="auto"/>
      </w:divBdr>
    </w:div>
    <w:div w:id="968709906">
      <w:bodyDiv w:val="1"/>
      <w:marLeft w:val="0"/>
      <w:marRight w:val="0"/>
      <w:marTop w:val="0"/>
      <w:marBottom w:val="0"/>
      <w:divBdr>
        <w:top w:val="none" w:sz="0" w:space="0" w:color="auto"/>
        <w:left w:val="none" w:sz="0" w:space="0" w:color="auto"/>
        <w:bottom w:val="none" w:sz="0" w:space="0" w:color="auto"/>
        <w:right w:val="none" w:sz="0" w:space="0" w:color="auto"/>
      </w:divBdr>
    </w:div>
    <w:div w:id="209415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390822-F942-478F-A8FC-A8C22D09C058}">
  <ds:schemaRefs>
    <ds:schemaRef ds:uri="http://schemas.openxmlformats.org/officeDocument/2006/bibliography"/>
  </ds:schemaRefs>
</ds:datastoreItem>
</file>

<file path=customXml/itemProps2.xml><?xml version="1.0" encoding="utf-8"?>
<ds:datastoreItem xmlns:ds="http://schemas.openxmlformats.org/officeDocument/2006/customXml" ds:itemID="{DD21EEEC-3A62-4A1D-B3BE-D6503113407C}"/>
</file>

<file path=customXml/itemProps3.xml><?xml version="1.0" encoding="utf-8"?>
<ds:datastoreItem xmlns:ds="http://schemas.openxmlformats.org/officeDocument/2006/customXml" ds:itemID="{58B336C8-3E24-4CFF-946F-CCD35346384F}"/>
</file>

<file path=customXml/itemProps4.xml><?xml version="1.0" encoding="utf-8"?>
<ds:datastoreItem xmlns:ds="http://schemas.openxmlformats.org/officeDocument/2006/customXml" ds:itemID="{E99F7FCF-92DF-4B29-8B05-DE0523153A46}"/>
</file>

<file path=docProps/app.xml><?xml version="1.0" encoding="utf-8"?>
<Properties xmlns="http://schemas.openxmlformats.org/officeDocument/2006/extended-properties" xmlns:vt="http://schemas.openxmlformats.org/officeDocument/2006/docPropsVTypes">
  <Template>Normal</Template>
  <TotalTime>10</TotalTime>
  <Pages>5</Pages>
  <Words>1369</Words>
  <Characters>7806</Characters>
  <Application>Microsoft Office Word</Application>
  <DocSecurity>0</DocSecurity>
  <Lines>65</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Hazem Haneyeh</dc:creator>
  <cp:lastModifiedBy>Maisa Barghouthi</cp:lastModifiedBy>
  <cp:revision>3</cp:revision>
  <dcterms:created xsi:type="dcterms:W3CDTF">2019-06-10T05:50:00Z</dcterms:created>
  <dcterms:modified xsi:type="dcterms:W3CDTF">2019-06-10T05:58:00Z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