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6F2" w14:paraId="7CFC86EC" w14:textId="77777777">
        <w:trPr>
          <w:cantSplit/>
          <w:trHeight w:hRule="exact" w:val="851"/>
        </w:trPr>
        <w:tc>
          <w:tcPr>
            <w:tcW w:w="1276" w:type="dxa"/>
            <w:tcBorders>
              <w:bottom w:val="single" w:sz="4" w:space="0" w:color="auto"/>
            </w:tcBorders>
            <w:vAlign w:val="bottom"/>
          </w:tcPr>
          <w:p w14:paraId="7CFC86E9" w14:textId="5E138AF4" w:rsidR="005446F2" w:rsidRDefault="005446F2">
            <w:pPr>
              <w:spacing w:after="80"/>
            </w:pPr>
          </w:p>
        </w:tc>
        <w:tc>
          <w:tcPr>
            <w:tcW w:w="2268" w:type="dxa"/>
            <w:tcBorders>
              <w:bottom w:val="single" w:sz="4" w:space="0" w:color="auto"/>
            </w:tcBorders>
            <w:vAlign w:val="bottom"/>
          </w:tcPr>
          <w:p w14:paraId="7CFC86EA" w14:textId="6A15D8A8" w:rsidR="005446F2" w:rsidRDefault="005446F2">
            <w:pPr>
              <w:spacing w:after="80" w:line="300" w:lineRule="exact"/>
              <w:rPr>
                <w:b/>
                <w:sz w:val="24"/>
                <w:szCs w:val="24"/>
              </w:rPr>
            </w:pPr>
          </w:p>
        </w:tc>
        <w:tc>
          <w:tcPr>
            <w:tcW w:w="6095" w:type="dxa"/>
            <w:gridSpan w:val="2"/>
            <w:tcBorders>
              <w:bottom w:val="single" w:sz="4" w:space="0" w:color="auto"/>
            </w:tcBorders>
            <w:vAlign w:val="bottom"/>
          </w:tcPr>
          <w:p w14:paraId="7CFC86EB" w14:textId="2293C0E3" w:rsidR="005446F2" w:rsidRDefault="0044331C">
            <w:pPr>
              <w:suppressAutoHyphens w:val="0"/>
              <w:spacing w:after="20"/>
              <w:jc w:val="right"/>
            </w:pPr>
            <w:r>
              <w:rPr>
                <w:sz w:val="40"/>
              </w:rPr>
              <w:t>CERD</w:t>
            </w:r>
            <w:r>
              <w:t>/</w:t>
            </w:r>
            <w:fldSimple w:instr=" DOCPROPERTY  sym1  \* MERGEFORMAT ">
              <w:r>
                <w:t>C/C</w:t>
              </w:r>
              <w:r w:rsidR="00FF6C6D">
                <w:t>AN</w:t>
              </w:r>
              <w:r>
                <w:t>/2</w:t>
              </w:r>
            </w:fldSimple>
            <w:r w:rsidR="005F54EC">
              <w:t>4-2</w:t>
            </w:r>
            <w:r w:rsidR="00FF6C6D">
              <w:t>5</w:t>
            </w:r>
          </w:p>
        </w:tc>
      </w:tr>
      <w:tr w:rsidR="005446F2" w14:paraId="7CFC86F4" w14:textId="77777777">
        <w:trPr>
          <w:cantSplit/>
          <w:trHeight w:hRule="exact" w:val="2835"/>
        </w:trPr>
        <w:tc>
          <w:tcPr>
            <w:tcW w:w="1276" w:type="dxa"/>
            <w:tcBorders>
              <w:top w:val="single" w:sz="4" w:space="0" w:color="auto"/>
              <w:bottom w:val="single" w:sz="12" w:space="0" w:color="auto"/>
            </w:tcBorders>
          </w:tcPr>
          <w:p w14:paraId="7CFC86ED" w14:textId="7B7C4952" w:rsidR="005446F2" w:rsidRDefault="005446F2">
            <w:pPr>
              <w:spacing w:before="120"/>
              <w:jc w:val="center"/>
            </w:pPr>
          </w:p>
        </w:tc>
        <w:tc>
          <w:tcPr>
            <w:tcW w:w="5528" w:type="dxa"/>
            <w:gridSpan w:val="2"/>
            <w:tcBorders>
              <w:top w:val="single" w:sz="4" w:space="0" w:color="auto"/>
              <w:bottom w:val="single" w:sz="12" w:space="0" w:color="auto"/>
            </w:tcBorders>
          </w:tcPr>
          <w:p w14:paraId="7CFC86EE" w14:textId="65A7B9E3" w:rsidR="005446F2" w:rsidRPr="009D00F9" w:rsidRDefault="009D00F9">
            <w:pPr>
              <w:spacing w:before="120" w:line="380" w:lineRule="exact"/>
              <w:rPr>
                <w:b/>
                <w:bCs/>
                <w:sz w:val="28"/>
                <w:szCs w:val="28"/>
              </w:rPr>
            </w:pPr>
            <w:r w:rsidRPr="009D00F9">
              <w:rPr>
                <w:b/>
                <w:bCs/>
                <w:sz w:val="28"/>
                <w:szCs w:val="28"/>
              </w:rPr>
              <w:t>VERSION PRÉLIMINAIRE</w:t>
            </w:r>
            <w:r>
              <w:rPr>
                <w:b/>
                <w:bCs/>
                <w:sz w:val="28"/>
                <w:szCs w:val="28"/>
              </w:rPr>
              <w:br/>
            </w:r>
            <w:r w:rsidRPr="009D00F9">
              <w:rPr>
                <w:b/>
                <w:bCs/>
                <w:sz w:val="28"/>
                <w:szCs w:val="28"/>
              </w:rPr>
              <w:t>NON RÉVISÉE</w:t>
            </w:r>
          </w:p>
        </w:tc>
        <w:tc>
          <w:tcPr>
            <w:tcW w:w="2835" w:type="dxa"/>
            <w:tcBorders>
              <w:top w:val="single" w:sz="4" w:space="0" w:color="auto"/>
              <w:bottom w:val="single" w:sz="12" w:space="0" w:color="auto"/>
            </w:tcBorders>
          </w:tcPr>
          <w:p w14:paraId="7CFC86EF" w14:textId="77777777" w:rsidR="005446F2" w:rsidRDefault="0044331C">
            <w:pPr>
              <w:suppressAutoHyphens w:val="0"/>
              <w:spacing w:before="240" w:line="240" w:lineRule="exact"/>
            </w:pPr>
            <w:r>
              <w:t xml:space="preserve">Distr. </w:t>
            </w:r>
            <w:r w:rsidR="00BD51DF">
              <w:fldChar w:fldCharType="begin"/>
            </w:r>
            <w:r w:rsidR="00BD51DF">
              <w:instrText xml:space="preserve"> DOCPROPERTY  dist  \* MERGEFORMAT </w:instrText>
            </w:r>
            <w:r w:rsidR="00BD51DF">
              <w:fldChar w:fldCharType="separate"/>
            </w:r>
            <w:proofErr w:type="gramStart"/>
            <w:r>
              <w:t>générale</w:t>
            </w:r>
            <w:proofErr w:type="gramEnd"/>
            <w:r w:rsidR="00BD51DF">
              <w:fldChar w:fldCharType="end"/>
            </w:r>
          </w:p>
          <w:p w14:paraId="7CFC86F0" w14:textId="29978A61" w:rsidR="005446F2" w:rsidRDefault="00FF6C6D">
            <w:pPr>
              <w:suppressAutoHyphens w:val="0"/>
            </w:pPr>
            <w:r>
              <w:t>3 mars</w:t>
            </w:r>
            <w:r w:rsidR="005F54EC">
              <w:t xml:space="preserve"> 2026</w:t>
            </w:r>
          </w:p>
          <w:p w14:paraId="7CFC86F1" w14:textId="77777777" w:rsidR="00BA195E" w:rsidRDefault="00BA195E">
            <w:pPr>
              <w:suppressAutoHyphens w:val="0"/>
            </w:pPr>
          </w:p>
          <w:p w14:paraId="7CFC86F2" w14:textId="76B9E0D2" w:rsidR="005446F2" w:rsidRDefault="00674820">
            <w:pPr>
              <w:suppressAutoHyphens w:val="0"/>
            </w:pPr>
            <w:r>
              <w:t>Originale :</w:t>
            </w:r>
            <w:r w:rsidR="00BA195E">
              <w:t xml:space="preserve"> Anglais et français</w:t>
            </w:r>
            <w:fldSimple w:instr=" DOCPROPERTY  tlang  \* MERGEFORMAT "/>
          </w:p>
          <w:p w14:paraId="7CFC86F3" w14:textId="77777777" w:rsidR="005446F2" w:rsidRDefault="0044331C">
            <w:pPr>
              <w:suppressAutoHyphens w:val="0"/>
            </w:pPr>
            <w:fldSimple w:instr=" DOCPROPERTY  virs  \* MERGEFORMAT ">
              <w:r>
                <w:t>Anglais, espagnol et français seulement</w:t>
              </w:r>
            </w:fldSimple>
          </w:p>
        </w:tc>
      </w:tr>
    </w:tbl>
    <w:p w14:paraId="7CFC86F5" w14:textId="77777777"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7CFC86F6" w14:textId="497823E8" w:rsidR="005446F2" w:rsidRPr="00C54F2D" w:rsidRDefault="0044331C">
      <w:pPr>
        <w:pStyle w:val="HMG"/>
      </w:pPr>
      <w:r>
        <w:tab/>
      </w:r>
      <w:r>
        <w:tab/>
      </w:r>
      <w:fldSimple w:instr=" DOCPROPERTY  prepwc  \* MERGEFORMAT ">
        <w:r>
          <w:t>Rapport valant vingt-</w:t>
        </w:r>
        <w:r w:rsidR="005F54EC">
          <w:t>quatr</w:t>
        </w:r>
        <w:r>
          <w:t xml:space="preserve">ième </w:t>
        </w:r>
        <w:r w:rsidR="001B11AB">
          <w:t>a</w:t>
        </w:r>
        <w:r>
          <w:t xml:space="preserve"> </w:t>
        </w:r>
        <w:r w:rsidR="006A0095">
          <w:t>vingt-cinquième</w:t>
        </w:r>
        <w:r>
          <w:t xml:space="preserve"> rapports périodiques</w:t>
        </w:r>
      </w:fldSimple>
      <w:r>
        <w:t xml:space="preserve"> soumis par </w:t>
      </w:r>
      <w:fldSimple w:instr=" DOCPROPERTY  countwd  \* MERGEFORMAT ">
        <w:r>
          <w:t>le Ca</w:t>
        </w:r>
        <w:r w:rsidR="006A0095">
          <w:t>nada</w:t>
        </w:r>
        <w:r>
          <w:t xml:space="preserve"> </w:t>
        </w:r>
      </w:fldSimple>
      <w:r>
        <w:t xml:space="preserve">en application de l’article 9 de la Convention, attendu en </w:t>
      </w:r>
      <w:r w:rsidR="00BA195E">
        <w:t>20</w:t>
      </w:r>
      <w:r w:rsidR="00C2010F">
        <w:t>2</w:t>
      </w:r>
      <w:r w:rsidR="006A0095">
        <w:t>1</w:t>
      </w:r>
      <w:r>
        <w:rPr>
          <w:rStyle w:val="FootnoteReference"/>
          <w:b w:val="0"/>
          <w:sz w:val="20"/>
          <w:vertAlign w:val="baseline"/>
        </w:rPr>
        <w:footnoteReference w:customMarkFollows="1" w:id="2"/>
        <w:t>*</w:t>
      </w:r>
      <w:r w:rsidR="00EA722F">
        <w:rPr>
          <w:b w:val="0"/>
          <w:sz w:val="20"/>
        </w:rPr>
        <w:t xml:space="preserve"> </w:t>
      </w:r>
      <w:r w:rsidR="00EA722F" w:rsidRPr="00EA722F">
        <w:rPr>
          <w:rStyle w:val="FootnoteReference"/>
          <w:b w:val="0"/>
          <w:sz w:val="20"/>
          <w:vertAlign w:val="baseline"/>
        </w:rPr>
        <w:footnoteReference w:customMarkFollows="1" w:id="3"/>
        <w:t>**</w:t>
      </w:r>
    </w:p>
    <w:p w14:paraId="7CFC86F7" w14:textId="0A2B977E" w:rsidR="005446F2" w:rsidRDefault="0044331C">
      <w:pPr>
        <w:pStyle w:val="SingleTxtG"/>
        <w:jc w:val="right"/>
      </w:pPr>
      <w:r>
        <w:t>[Date de réception </w:t>
      </w:r>
      <w:r w:rsidRPr="006A0095">
        <w:rPr>
          <w:color w:val="000000" w:themeColor="text1"/>
        </w:rPr>
        <w:t xml:space="preserve">: </w:t>
      </w:r>
      <w:r w:rsidR="006A0095" w:rsidRPr="006A0095">
        <w:rPr>
          <w:color w:val="000000" w:themeColor="text1"/>
        </w:rPr>
        <w:t>25 février</w:t>
      </w:r>
      <w:r w:rsidR="00C2010F" w:rsidRPr="006A0095">
        <w:rPr>
          <w:color w:val="000000" w:themeColor="text1"/>
        </w:rPr>
        <w:t xml:space="preserve"> </w:t>
      </w:r>
      <w:r w:rsidR="00C2010F" w:rsidRPr="00C2010F">
        <w:t>202</w:t>
      </w:r>
      <w:r w:rsidR="00EC4C87">
        <w:t>6</w:t>
      </w:r>
      <w:r w:rsidRPr="00BA195E">
        <w:t>]</w:t>
      </w:r>
    </w:p>
    <w:p w14:paraId="7CFC86F8" w14:textId="77777777" w:rsidR="005446F2" w:rsidRDefault="005446F2">
      <w:pPr>
        <w:pStyle w:val="SingleTxtG"/>
        <w:jc w:val="right"/>
      </w:pPr>
    </w:p>
    <w:p w14:paraId="67A6C832" w14:textId="3EFCFC42" w:rsidR="00C83F56" w:rsidRPr="00E7089D" w:rsidRDefault="00C54F2D" w:rsidP="002D460A">
      <w:pPr>
        <w:pStyle w:val="HChG"/>
        <w:ind w:hanging="594"/>
        <w:rPr>
          <w:rFonts w:eastAsiaTheme="majorEastAsia"/>
          <w:lang w:val="fr-CA"/>
        </w:rPr>
      </w:pPr>
      <w:r>
        <w:br w:type="page"/>
      </w:r>
      <w:bookmarkStart w:id="0" w:name="lt_pId004"/>
      <w:r w:rsidR="00C83F56" w:rsidRPr="000E1D26">
        <w:rPr>
          <w:lang w:val="fr-CA"/>
        </w:rPr>
        <w:lastRenderedPageBreak/>
        <w:t>I.</w:t>
      </w:r>
      <w:bookmarkEnd w:id="0"/>
      <w:r w:rsidR="002D460A">
        <w:rPr>
          <w:lang w:val="fr-CA"/>
        </w:rPr>
        <w:tab/>
      </w:r>
      <w:r w:rsidR="002D460A">
        <w:rPr>
          <w:lang w:val="fr-CA"/>
        </w:rPr>
        <w:tab/>
      </w:r>
      <w:bookmarkStart w:id="1" w:name="lt_pId005"/>
      <w:r w:rsidR="00C83F56" w:rsidRPr="000E1D26">
        <w:rPr>
          <w:lang w:val="fr-CA"/>
        </w:rPr>
        <w:t>I</w:t>
      </w:r>
      <w:r w:rsidR="002D460A" w:rsidRPr="000E1D26">
        <w:rPr>
          <w:lang w:val="fr-CA"/>
        </w:rPr>
        <w:t>ntroduction</w:t>
      </w:r>
      <w:bookmarkEnd w:id="1"/>
      <w:r w:rsidR="002D460A" w:rsidRPr="000E1D26">
        <w:rPr>
          <w:lang w:val="fr-CA"/>
        </w:rPr>
        <w:t xml:space="preserve"> </w:t>
      </w:r>
    </w:p>
    <w:p w14:paraId="045B2300" w14:textId="77777777" w:rsidR="00C83F56" w:rsidRPr="00D11EC1" w:rsidRDefault="00C83F56" w:rsidP="004F23C1">
      <w:pPr>
        <w:pStyle w:val="SingleTxtG"/>
        <w:numPr>
          <w:ilvl w:val="0"/>
          <w:numId w:val="4"/>
        </w:numPr>
        <w:ind w:left="1134" w:firstLine="0"/>
        <w:rPr>
          <w:lang w:val="fr-CA"/>
        </w:rPr>
      </w:pPr>
      <w:bookmarkStart w:id="2" w:name="lt_pId006"/>
      <w:r w:rsidRPr="5B270C7B">
        <w:rPr>
          <w:lang w:val="fr-CA"/>
        </w:rPr>
        <w:t xml:space="preserve">Le présent rapport fait état des principales mesures adoptées au Canada d’août 2017 à mars 2024 en vue d’améliorer la mise en œuvre de la </w:t>
      </w:r>
      <w:r w:rsidRPr="5B270C7B">
        <w:rPr>
          <w:i/>
          <w:iCs/>
          <w:lang w:val="fr-CA"/>
        </w:rPr>
        <w:t>Convention internationale sur l’élimination de toutes les formes de discrimination raciale</w:t>
      </w:r>
      <w:r w:rsidRPr="5B270C7B">
        <w:rPr>
          <w:lang w:val="fr-CA"/>
        </w:rPr>
        <w:t> (CIEDR), depuis sa présentation au Comité pour l’élimination de la discrimination raciale (CEDR) des Nations Unies (ONU).</w:t>
      </w:r>
      <w:bookmarkEnd w:id="2"/>
      <w:r w:rsidRPr="5B270C7B">
        <w:rPr>
          <w:lang w:val="fr-CA"/>
        </w:rPr>
        <w:t xml:space="preserve"> </w:t>
      </w:r>
      <w:bookmarkStart w:id="3" w:name="lt_pId007"/>
      <w:r w:rsidRPr="5B270C7B">
        <w:rPr>
          <w:lang w:val="fr-CA"/>
        </w:rPr>
        <w:t>Le rapport a été préparé conjointement par les gouvernements fédéral, provinciaux et territoriaux (FPT) dans le cadre des 24e et 25e cycle de présentation de rapports.</w:t>
      </w:r>
      <w:bookmarkEnd w:id="3"/>
      <w:r>
        <w:rPr>
          <w:lang w:val="fr-CA"/>
        </w:rPr>
        <w:t xml:space="preserve"> </w:t>
      </w:r>
      <w:r w:rsidRPr="00D11EC1">
        <w:rPr>
          <w:lang w:val="fr-CA"/>
        </w:rPr>
        <w:t>Il n'a pas été possible de détailler tous les efforts déployés par l'ensemble des ordres de gouvernement au Canada pour donner suite aux observations finales du CE</w:t>
      </w:r>
      <w:r>
        <w:rPr>
          <w:lang w:val="fr-CA"/>
        </w:rPr>
        <w:t>DR</w:t>
      </w:r>
      <w:r w:rsidRPr="00D11EC1">
        <w:rPr>
          <w:lang w:val="fr-CA"/>
        </w:rPr>
        <w:t xml:space="preserve"> de 2017, en raison de la demande du Comité aux États de respecter les limites imposées en matière de nombre de mots, mais tout a été mis en œuvre pour fournir un aperçu</w:t>
      </w:r>
      <w:r>
        <w:rPr>
          <w:lang w:val="fr-CA"/>
        </w:rPr>
        <w:t xml:space="preserve"> </w:t>
      </w:r>
      <w:r w:rsidRPr="00DD7003">
        <w:rPr>
          <w:lang w:val="fr-CA"/>
        </w:rPr>
        <w:t>complet et détaillé</w:t>
      </w:r>
      <w:r w:rsidRPr="00D11EC1">
        <w:rPr>
          <w:lang w:val="fr-CA"/>
        </w:rPr>
        <w:t xml:space="preserve"> mettant en évidence certains des exemples les plus représentatifs des gouvernements FPT au Canada.</w:t>
      </w:r>
    </w:p>
    <w:p w14:paraId="375A5BA4" w14:textId="77777777" w:rsidR="00C83F56" w:rsidRPr="00D11EC1" w:rsidRDefault="00C83F56" w:rsidP="004F23C1">
      <w:pPr>
        <w:pStyle w:val="SingleTxtG"/>
        <w:numPr>
          <w:ilvl w:val="0"/>
          <w:numId w:val="4"/>
        </w:numPr>
        <w:ind w:left="1134" w:firstLine="0"/>
        <w:rPr>
          <w:lang w:val="fr-CA"/>
        </w:rPr>
      </w:pPr>
      <w:bookmarkStart w:id="4" w:name="lt_pId010"/>
      <w:r w:rsidRPr="00D11EC1">
        <w:rPr>
          <w:lang w:val="fr-CA"/>
        </w:rPr>
        <w:t xml:space="preserve">Toute référence au « Gouvernement du Canada » (GC) dans le présent rapport </w:t>
      </w:r>
      <w:r>
        <w:rPr>
          <w:lang w:val="fr-CA"/>
        </w:rPr>
        <w:t>désigne</w:t>
      </w:r>
      <w:r w:rsidRPr="00D11EC1">
        <w:rPr>
          <w:lang w:val="fr-CA"/>
        </w:rPr>
        <w:t xml:space="preserve"> une référence au gouvernement fédéral canadien, tandis que toute référence au « Canada » </w:t>
      </w:r>
      <w:r>
        <w:rPr>
          <w:lang w:val="fr-CA"/>
        </w:rPr>
        <w:t>désigne</w:t>
      </w:r>
      <w:r w:rsidRPr="00D11EC1">
        <w:rPr>
          <w:lang w:val="fr-CA"/>
        </w:rPr>
        <w:t xml:space="preserve"> généralement une référence aux gouvernements fédéraux, provinciaux et territoriaux combinés.</w:t>
      </w:r>
      <w:bookmarkEnd w:id="4"/>
      <w:r w:rsidRPr="00D11EC1">
        <w:rPr>
          <w:lang w:val="fr-CA"/>
        </w:rPr>
        <w:t xml:space="preserve"> </w:t>
      </w:r>
      <w:bookmarkStart w:id="5" w:name="lt_pId011"/>
      <w:r w:rsidRPr="00D11EC1">
        <w:rPr>
          <w:lang w:val="fr-CA"/>
        </w:rPr>
        <w:t xml:space="preserve">En outre, toute référence </w:t>
      </w:r>
      <w:r>
        <w:rPr>
          <w:lang w:val="fr-CA"/>
        </w:rPr>
        <w:t xml:space="preserve">aux </w:t>
      </w:r>
      <w:r w:rsidRPr="00D11EC1">
        <w:rPr>
          <w:lang w:val="fr-CA"/>
        </w:rPr>
        <w:t>province</w:t>
      </w:r>
      <w:r>
        <w:rPr>
          <w:lang w:val="fr-CA"/>
        </w:rPr>
        <w:t>s</w:t>
      </w:r>
      <w:r w:rsidRPr="00D11EC1">
        <w:rPr>
          <w:lang w:val="fr-CA"/>
        </w:rPr>
        <w:t xml:space="preserve"> ou territoire</w:t>
      </w:r>
      <w:r>
        <w:rPr>
          <w:lang w:val="fr-CA"/>
        </w:rPr>
        <w:t>s,</w:t>
      </w:r>
      <w:r w:rsidRPr="00D11EC1">
        <w:rPr>
          <w:lang w:val="fr-CA"/>
        </w:rPr>
        <w:t xml:space="preserve"> par exemple le Québec, le Manitoba ou le Yukon</w:t>
      </w:r>
      <w:r>
        <w:rPr>
          <w:lang w:val="fr-CA"/>
        </w:rPr>
        <w:t>, désigne</w:t>
      </w:r>
      <w:r w:rsidRPr="00D11EC1">
        <w:rPr>
          <w:lang w:val="fr-CA"/>
        </w:rPr>
        <w:t xml:space="preserve"> généralement </w:t>
      </w:r>
      <w:r>
        <w:rPr>
          <w:lang w:val="fr-CA"/>
        </w:rPr>
        <w:t>leur</w:t>
      </w:r>
      <w:r w:rsidRPr="00D11EC1">
        <w:rPr>
          <w:lang w:val="fr-CA"/>
        </w:rPr>
        <w:t xml:space="preserve"> gouvernement.</w:t>
      </w:r>
      <w:bookmarkEnd w:id="5"/>
    </w:p>
    <w:p w14:paraId="207A759A" w14:textId="31BF17DB" w:rsidR="00C83F56" w:rsidRPr="00A7517B" w:rsidRDefault="003F011A" w:rsidP="003F011A">
      <w:pPr>
        <w:pStyle w:val="HChG"/>
        <w:rPr>
          <w:lang w:val="fr-CA"/>
        </w:rPr>
      </w:pPr>
      <w:bookmarkStart w:id="6" w:name="lt_pId012"/>
      <w:bookmarkStart w:id="7" w:name="_Toc177633094"/>
      <w:r>
        <w:rPr>
          <w:bCs/>
          <w:lang w:val="fr-CA"/>
        </w:rPr>
        <w:tab/>
      </w:r>
      <w:r w:rsidR="00C83F56" w:rsidRPr="00653B39">
        <w:rPr>
          <w:bCs/>
          <w:lang w:val="fr-CA"/>
        </w:rPr>
        <w:t>II.</w:t>
      </w:r>
      <w:bookmarkStart w:id="8" w:name="lt_pId013"/>
      <w:bookmarkEnd w:id="6"/>
      <w:bookmarkEnd w:id="7"/>
      <w:r>
        <w:rPr>
          <w:bCs/>
          <w:lang w:val="fr-CA"/>
        </w:rPr>
        <w:tab/>
      </w:r>
      <w:r w:rsidR="00C83F56" w:rsidRPr="00653B39">
        <w:rPr>
          <w:lang w:val="fr-CA"/>
        </w:rPr>
        <w:t>Considérations générales relatives à la mise en œuvre</w:t>
      </w:r>
      <w:bookmarkEnd w:id="8"/>
    </w:p>
    <w:p w14:paraId="14FE5251" w14:textId="77777777" w:rsidR="00C83F56" w:rsidRPr="00A7517B" w:rsidRDefault="00C83F56" w:rsidP="004F23C1">
      <w:pPr>
        <w:pStyle w:val="SingleTxtG"/>
        <w:numPr>
          <w:ilvl w:val="0"/>
          <w:numId w:val="4"/>
        </w:numPr>
        <w:ind w:left="1134" w:firstLine="0"/>
        <w:rPr>
          <w:lang w:val="fr-CA"/>
        </w:rPr>
      </w:pPr>
      <w:bookmarkStart w:id="9" w:name="lt_pId014"/>
      <w:r w:rsidRPr="5B270C7B">
        <w:rPr>
          <w:lang w:val="fr-CA"/>
        </w:rPr>
        <w:t>Cette section du rapport porte sur les observations finales 8, 35, 10, 38, 36, 42 et 37 et contient des renseignements relatifs aux mesures prises par le Canada pour mettre en œuvre la CEDR, incluant son approche globale pour lutter contre la discrimination raciale et promouvoir l’équité pour les Canadiens de toute race et ethnicité.</w:t>
      </w:r>
      <w:bookmarkEnd w:id="9"/>
      <w:r w:rsidRPr="5B270C7B">
        <w:rPr>
          <w:lang w:val="fr-CA"/>
        </w:rPr>
        <w:t xml:space="preserve"> </w:t>
      </w:r>
    </w:p>
    <w:p w14:paraId="7BA897D5" w14:textId="3A55B112" w:rsidR="00C83F56" w:rsidRPr="00A7517B" w:rsidRDefault="003F011A" w:rsidP="003F011A">
      <w:pPr>
        <w:pStyle w:val="H1G"/>
        <w:rPr>
          <w:lang w:val="fr-CA"/>
        </w:rPr>
      </w:pPr>
      <w:bookmarkStart w:id="10" w:name="lt_pId015"/>
      <w:r>
        <w:rPr>
          <w:lang w:val="fr-CA"/>
        </w:rPr>
        <w:tab/>
      </w:r>
      <w:r>
        <w:rPr>
          <w:lang w:val="fr-CA"/>
        </w:rPr>
        <w:tab/>
      </w:r>
      <w:r w:rsidR="00C83F56" w:rsidRPr="00BC092C">
        <w:rPr>
          <w:lang w:val="fr-CA"/>
        </w:rPr>
        <w:t>Application nationale de la Convention</w:t>
      </w:r>
      <w:bookmarkEnd w:id="10"/>
    </w:p>
    <w:p w14:paraId="0DD5BF3E" w14:textId="77777777" w:rsidR="00C83F56" w:rsidRPr="009F5944" w:rsidRDefault="00C83F56" w:rsidP="004F23C1">
      <w:pPr>
        <w:pStyle w:val="SingleTxtG"/>
        <w:numPr>
          <w:ilvl w:val="0"/>
          <w:numId w:val="4"/>
        </w:numPr>
        <w:ind w:left="1134" w:firstLine="0"/>
        <w:rPr>
          <w:lang w:val="fr-CA"/>
        </w:rPr>
      </w:pPr>
      <w:bookmarkStart w:id="11" w:name="lt_pId017"/>
      <w:r w:rsidRPr="5B270C7B">
        <w:rPr>
          <w:lang w:val="fr-CA"/>
        </w:rPr>
        <w:t>La Constitution canadienne répartit les pouvoirs législatifs et exécutifs entre les 14 gouvernements fédéral, provinciaux et territoriaux. Chaque ordre légifère dans ses domaines, malgré certains chevauchements.  Ainsi, certaines dispositions de la Convention relèvent de la compétence fédérale, d'autres</w:t>
      </w:r>
      <w:r>
        <w:rPr>
          <w:lang w:val="fr-CA"/>
        </w:rPr>
        <w:t xml:space="preserve"> </w:t>
      </w:r>
      <w:r w:rsidRPr="5B270C7B">
        <w:rPr>
          <w:lang w:val="fr-CA"/>
        </w:rPr>
        <w:t>des provinces et territoires (PT), et</w:t>
      </w:r>
      <w:r>
        <w:rPr>
          <w:lang w:val="fr-CA"/>
        </w:rPr>
        <w:t xml:space="preserve"> certaines sont</w:t>
      </w:r>
      <w:r w:rsidRPr="5B270C7B">
        <w:rPr>
          <w:lang w:val="fr-CA"/>
        </w:rPr>
        <w:t xml:space="preserve"> partagées.  </w:t>
      </w:r>
    </w:p>
    <w:p w14:paraId="5C16608C" w14:textId="77777777" w:rsidR="00C83F56" w:rsidRPr="009F5944" w:rsidRDefault="00C83F56" w:rsidP="004F23C1">
      <w:pPr>
        <w:pStyle w:val="SingleTxtG"/>
        <w:numPr>
          <w:ilvl w:val="0"/>
          <w:numId w:val="4"/>
        </w:numPr>
        <w:ind w:left="1134" w:firstLine="0"/>
        <w:rPr>
          <w:lang w:val="fr-CA"/>
        </w:rPr>
      </w:pPr>
      <w:r w:rsidRPr="5B270C7B">
        <w:rPr>
          <w:lang w:val="fr-CA"/>
        </w:rPr>
        <w:t xml:space="preserve">La protection des droits de la personne au Canada repose sur un système de gouvernement représentatif et responsable, sur des garanties constitutionnelles, le droit législatif, incluant la législation spécialisée en matière de droits de la personne, la </w:t>
      </w:r>
      <w:proofErr w:type="spellStart"/>
      <w:r w:rsidRPr="5B270C7B">
        <w:rPr>
          <w:lang w:val="fr-CA"/>
        </w:rPr>
        <w:t>common</w:t>
      </w:r>
      <w:proofErr w:type="spellEnd"/>
      <w:r w:rsidRPr="5B270C7B">
        <w:rPr>
          <w:lang w:val="fr-CA"/>
        </w:rPr>
        <w:t xml:space="preserve"> </w:t>
      </w:r>
      <w:proofErr w:type="spellStart"/>
      <w:r w:rsidRPr="5B270C7B">
        <w:rPr>
          <w:lang w:val="fr-CA"/>
        </w:rPr>
        <w:t>law</w:t>
      </w:r>
      <w:proofErr w:type="spellEnd"/>
      <w:r w:rsidRPr="5B270C7B">
        <w:rPr>
          <w:lang w:val="fr-CA"/>
        </w:rPr>
        <w:t xml:space="preserve"> et un pouvoir judiciaire indépendant. Les pouvoirs législatif, exécutif et judiciaire, à tous les ordres de gouvernement au Canada, partagent la responsabilité de la protection et de la mise en œuvre des obligations internationales en matière de droits de la personne. Les lois sont adoptées par le Parlement fédéral et les assemblées législatives provinciales et territoriales, et de nombreux ministères et agences intègrent ces obligations dans leurs politiques et programmes.</w:t>
      </w:r>
    </w:p>
    <w:p w14:paraId="6182CF72" w14:textId="77777777" w:rsidR="00C83F56" w:rsidRPr="003119DA" w:rsidRDefault="00C83F56" w:rsidP="004F23C1">
      <w:pPr>
        <w:pStyle w:val="SingleTxtG"/>
        <w:numPr>
          <w:ilvl w:val="0"/>
          <w:numId w:val="4"/>
        </w:numPr>
        <w:ind w:left="1134" w:firstLine="0"/>
        <w:rPr>
          <w:lang w:val="fr-CA"/>
        </w:rPr>
      </w:pPr>
      <w:r w:rsidRPr="5B270C7B">
        <w:rPr>
          <w:lang w:val="fr-CA"/>
        </w:rPr>
        <w:t xml:space="preserve">Pour favoriser la coopération </w:t>
      </w:r>
      <w:proofErr w:type="spellStart"/>
      <w:r w:rsidRPr="5B270C7B">
        <w:rPr>
          <w:lang w:val="fr-CA"/>
        </w:rPr>
        <w:t>intergouvernementale</w:t>
      </w:r>
      <w:proofErr w:type="spellEnd"/>
      <w:r w:rsidRPr="5B270C7B">
        <w:rPr>
          <w:lang w:val="fr-CA"/>
        </w:rPr>
        <w:t xml:space="preserve"> FPT, le Canada a mis en place des mécanismes permanents au sein des différents niveaux de gouvernement et entre eux, par le biais de son Mécanisme national de mise en œuvre, d’établissement de rapport et de suivi en matière de droits de la personne, qui couvre les sept traités internationaux relatifs aux droits de la personne auxquels le Canada fait partie et sur l'Examen périodique universel (EPU). Ce mécanisme est composé d'un secrétariat hébergé au sein du ministère fédéral du Patrimoine canadien, d'une table </w:t>
      </w:r>
      <w:proofErr w:type="spellStart"/>
      <w:r w:rsidRPr="5B270C7B">
        <w:rPr>
          <w:lang w:val="fr-CA"/>
        </w:rPr>
        <w:t>intergouvernementale</w:t>
      </w:r>
      <w:proofErr w:type="spellEnd"/>
      <w:r w:rsidRPr="5B270C7B">
        <w:rPr>
          <w:lang w:val="fr-CA"/>
        </w:rPr>
        <w:t xml:space="preserve"> permanente FPT sur les droits de la personne et de ses trois comités au niveau des fonctionnaires (depuis 1975), des hauts fonctionnaires (depuis 2018) et des ministres (depuis 2023), de mécanismes de coordination interministériels fédéraux et de mécanismes interministériels PT. </w:t>
      </w:r>
      <w:bookmarkEnd w:id="11"/>
      <w:r w:rsidRPr="5B270C7B">
        <w:rPr>
          <w:lang w:val="fr-CA"/>
        </w:rPr>
        <w:t>Il coordonne la préparation des rapports et des examens devant les instances des droits de la personne, mène un dialogue continu avec la société civile, les représentants autochtones et les commissions des droits de la personne, et veille au suivi des recommandations reçues.</w:t>
      </w:r>
    </w:p>
    <w:p w14:paraId="725D3A87" w14:textId="77777777" w:rsidR="00C83F56" w:rsidRDefault="00C83F56" w:rsidP="004F23C1">
      <w:pPr>
        <w:pStyle w:val="SingleTxtG"/>
        <w:numPr>
          <w:ilvl w:val="0"/>
          <w:numId w:val="4"/>
        </w:numPr>
        <w:ind w:left="1134" w:firstLine="0"/>
        <w:rPr>
          <w:lang w:val="fr-CA"/>
        </w:rPr>
      </w:pPr>
      <w:r w:rsidRPr="5B270C7B">
        <w:rPr>
          <w:lang w:val="fr-CA"/>
        </w:rPr>
        <w:t>Un exemple de mécanisme de coordination PT est le Comité interministériel sur les droits de la personne du Québec, créé en 2018 pour assurer la mise en œuvre et le suivi des instruments internationaux, dont la CIEDR. Il réunit des représentants de 18 ministères ou organismes québécois et constitue le principal mécanisme de concertation pour le respect et le suivi des engagements internationaux en matière de droits de la personne, ainsi que pour la protection et la promotion de ces droits sur la scène internationale.</w:t>
      </w:r>
    </w:p>
    <w:p w14:paraId="7D9B3F61" w14:textId="048AAC09" w:rsidR="00C83F56" w:rsidRPr="003119DA" w:rsidRDefault="003F011A" w:rsidP="003F011A">
      <w:pPr>
        <w:pStyle w:val="H23G"/>
        <w:rPr>
          <w:lang w:val="fr-CA"/>
        </w:rPr>
      </w:pPr>
      <w:bookmarkStart w:id="12" w:name="lt_pId027"/>
      <w:r>
        <w:rPr>
          <w:lang w:val="fr-CA"/>
        </w:rPr>
        <w:tab/>
      </w:r>
      <w:r>
        <w:rPr>
          <w:lang w:val="fr-CA"/>
        </w:rPr>
        <w:tab/>
      </w:r>
      <w:r w:rsidR="00C83F56" w:rsidRPr="51A13573">
        <w:rPr>
          <w:lang w:val="fr-CA"/>
        </w:rPr>
        <w:t>Autres instruments à l’étude</w:t>
      </w:r>
      <w:bookmarkEnd w:id="12"/>
    </w:p>
    <w:p w14:paraId="47DB73A2" w14:textId="77777777" w:rsidR="00C83F56" w:rsidRDefault="00C83F56" w:rsidP="004F23C1">
      <w:pPr>
        <w:pStyle w:val="SingleTxtG"/>
        <w:numPr>
          <w:ilvl w:val="0"/>
          <w:numId w:val="4"/>
        </w:numPr>
        <w:ind w:left="1134" w:firstLine="0"/>
        <w:rPr>
          <w:lang w:val="fr-CA"/>
        </w:rPr>
      </w:pPr>
      <w:r w:rsidRPr="5B270C7B">
        <w:rPr>
          <w:color w:val="000000" w:themeColor="text1"/>
          <w:lang w:val="fr-CA"/>
        </w:rPr>
        <w:t xml:space="preserve">En 2018, le Canada adhérait au Protocole facultatif à la Convention relative aux droits des personnes handicapées (CDPH) avec le soutien officiel de tous les provinces et territoires. </w:t>
      </w:r>
      <w:r>
        <w:rPr>
          <w:color w:val="000000" w:themeColor="text1"/>
          <w:lang w:val="fr-CA"/>
        </w:rPr>
        <w:t>Le Canada a</w:t>
      </w:r>
      <w:r w:rsidRPr="5B270C7B">
        <w:rPr>
          <w:color w:val="000000" w:themeColor="text1"/>
          <w:lang w:val="fr-CA"/>
        </w:rPr>
        <w:t xml:space="preserve"> ratif</w:t>
      </w:r>
      <w:r>
        <w:rPr>
          <w:color w:val="000000" w:themeColor="text1"/>
          <w:lang w:val="fr-CA"/>
        </w:rPr>
        <w:t>ié</w:t>
      </w:r>
      <w:r w:rsidRPr="5B270C7B">
        <w:rPr>
          <w:color w:val="000000" w:themeColor="text1"/>
          <w:lang w:val="fr-CA"/>
        </w:rPr>
        <w:t xml:space="preserve"> la CDPH en 2010. </w:t>
      </w:r>
    </w:p>
    <w:p w14:paraId="48EFF062" w14:textId="77777777" w:rsidR="00C83F56" w:rsidRDefault="00C83F56" w:rsidP="004F23C1">
      <w:pPr>
        <w:pStyle w:val="SingleTxtG"/>
        <w:numPr>
          <w:ilvl w:val="0"/>
          <w:numId w:val="4"/>
        </w:numPr>
        <w:ind w:left="1134" w:firstLine="0"/>
        <w:rPr>
          <w:lang w:val="fr-CA"/>
        </w:rPr>
      </w:pPr>
      <w:r w:rsidRPr="51A13573">
        <w:rPr>
          <w:color w:val="000000" w:themeColor="text1"/>
          <w:lang w:val="fr-CA"/>
        </w:rPr>
        <w:t xml:space="preserve">Le </w:t>
      </w:r>
      <w:r>
        <w:rPr>
          <w:color w:val="000000" w:themeColor="text1"/>
          <w:lang w:val="fr-CA"/>
        </w:rPr>
        <w:t>Canada</w:t>
      </w:r>
      <w:r w:rsidRPr="51A13573">
        <w:rPr>
          <w:color w:val="000000" w:themeColor="text1"/>
          <w:lang w:val="fr-CA"/>
        </w:rPr>
        <w:t xml:space="preserve"> n’envisage pas actuellement de ratifier la </w:t>
      </w:r>
      <w:r w:rsidRPr="00E7089D">
        <w:rPr>
          <w:i/>
          <w:iCs/>
          <w:color w:val="000000" w:themeColor="text1"/>
          <w:lang w:val="fr-CA"/>
        </w:rPr>
        <w:t>Convention relative aux peuples indigènes et tribaux, 1989 (no 169),</w:t>
      </w:r>
      <w:r w:rsidRPr="51A13573">
        <w:rPr>
          <w:color w:val="000000" w:themeColor="text1"/>
          <w:lang w:val="fr-CA"/>
        </w:rPr>
        <w:t xml:space="preserve"> de l’Organisation internationale du Travail (OIT). Cependant, le </w:t>
      </w:r>
      <w:r>
        <w:rPr>
          <w:color w:val="000000" w:themeColor="text1"/>
          <w:lang w:val="fr-CA"/>
        </w:rPr>
        <w:t>GC</w:t>
      </w:r>
      <w:r w:rsidRPr="51A13573">
        <w:rPr>
          <w:color w:val="000000" w:themeColor="text1"/>
          <w:lang w:val="fr-CA"/>
        </w:rPr>
        <w:t xml:space="preserve"> est pleinement engagé à faire progresser les droits des peuples autochtones</w:t>
      </w:r>
      <w:r>
        <w:rPr>
          <w:color w:val="000000" w:themeColor="text1"/>
          <w:lang w:val="fr-CA"/>
        </w:rPr>
        <w:t>, tant au Canada</w:t>
      </w:r>
      <w:r w:rsidRPr="51A13573">
        <w:rPr>
          <w:color w:val="000000" w:themeColor="text1"/>
          <w:lang w:val="fr-CA"/>
        </w:rPr>
        <w:t xml:space="preserve"> </w:t>
      </w:r>
      <w:r>
        <w:rPr>
          <w:color w:val="000000" w:themeColor="text1"/>
          <w:lang w:val="fr-CA"/>
        </w:rPr>
        <w:t>qu’</w:t>
      </w:r>
      <w:r w:rsidRPr="51A13573">
        <w:rPr>
          <w:color w:val="000000" w:themeColor="text1"/>
          <w:lang w:val="fr-CA"/>
        </w:rPr>
        <w:t xml:space="preserve">à l’étranger, et se concentre actuellement sur la mise en œuvre de la Déclaration des Nations Unies sur les droits des peuples autochtones au Canada </w:t>
      </w:r>
      <w:r>
        <w:rPr>
          <w:color w:val="000000" w:themeColor="text1"/>
          <w:lang w:val="fr-CA"/>
        </w:rPr>
        <w:t xml:space="preserve">(Déclaration des Nations Unies) </w:t>
      </w:r>
      <w:r w:rsidRPr="51A13573">
        <w:rPr>
          <w:color w:val="000000" w:themeColor="text1"/>
          <w:lang w:val="fr-CA"/>
        </w:rPr>
        <w:t xml:space="preserve">par le biais de la </w:t>
      </w:r>
      <w:r w:rsidRPr="51A13573">
        <w:rPr>
          <w:i/>
          <w:iCs/>
          <w:color w:val="000000" w:themeColor="text1"/>
          <w:lang w:val="fr-CA"/>
        </w:rPr>
        <w:t>Loi sur la Déclaration des Nations Unies sur les droits des peuples autochtones (2021)</w:t>
      </w:r>
      <w:r w:rsidRPr="51A13573">
        <w:rPr>
          <w:color w:val="000000" w:themeColor="text1"/>
          <w:lang w:val="fr-CA"/>
        </w:rPr>
        <w:t xml:space="preserve">. </w:t>
      </w:r>
      <w:r>
        <w:rPr>
          <w:color w:val="000000" w:themeColor="text1"/>
          <w:lang w:val="fr-CA"/>
        </w:rPr>
        <w:t>Cette</w:t>
      </w:r>
      <w:r w:rsidRPr="51A13573">
        <w:rPr>
          <w:color w:val="000000" w:themeColor="text1"/>
          <w:lang w:val="fr-CA"/>
        </w:rPr>
        <w:t xml:space="preserve"> </w:t>
      </w:r>
      <w:r>
        <w:rPr>
          <w:color w:val="000000" w:themeColor="text1"/>
          <w:lang w:val="fr-CA"/>
        </w:rPr>
        <w:t>L</w:t>
      </w:r>
      <w:r w:rsidRPr="51A13573">
        <w:rPr>
          <w:color w:val="000000" w:themeColor="text1"/>
          <w:lang w:val="fr-CA"/>
        </w:rPr>
        <w:t xml:space="preserve">oi reflète les principes généraux d’égalité, de consultation, de participation et de coopération exprimés dans la Convention (no 169). </w:t>
      </w:r>
      <w:r w:rsidRPr="51A13573">
        <w:rPr>
          <w:lang w:val="fr-CA"/>
        </w:rPr>
        <w:t xml:space="preserve"> </w:t>
      </w:r>
    </w:p>
    <w:p w14:paraId="37E5B3F9" w14:textId="77777777" w:rsidR="00C83F56" w:rsidRPr="00A7517B" w:rsidRDefault="00C83F56" w:rsidP="004F23C1">
      <w:pPr>
        <w:pStyle w:val="SingleTxtG"/>
        <w:numPr>
          <w:ilvl w:val="0"/>
          <w:numId w:val="4"/>
        </w:numPr>
        <w:ind w:left="1134" w:firstLine="0"/>
        <w:rPr>
          <w:lang w:val="fr-CA"/>
        </w:rPr>
      </w:pPr>
      <w:bookmarkStart w:id="13" w:name="lt_pId032"/>
      <w:r>
        <w:rPr>
          <w:lang w:val="fr-CA"/>
        </w:rPr>
        <w:t>En 2023</w:t>
      </w:r>
      <w:r w:rsidRPr="00FE2509">
        <w:rPr>
          <w:lang w:val="fr-CA"/>
        </w:rPr>
        <w:t xml:space="preserve">, le Canada a </w:t>
      </w:r>
      <w:r w:rsidRPr="00490B2F">
        <w:rPr>
          <w:lang w:val="fr-CA"/>
        </w:rPr>
        <w:t xml:space="preserve">ratifié la </w:t>
      </w:r>
      <w:r w:rsidRPr="00391194">
        <w:rPr>
          <w:lang w:val="fr-CA"/>
        </w:rPr>
        <w:t>Convention</w:t>
      </w:r>
      <w:r w:rsidRPr="00612FE7">
        <w:rPr>
          <w:iCs/>
          <w:lang w:val="fr-CA"/>
        </w:rPr>
        <w:t xml:space="preserve"> (n</w:t>
      </w:r>
      <w:r w:rsidRPr="00612FE7">
        <w:rPr>
          <w:iCs/>
          <w:vertAlign w:val="superscript"/>
          <w:lang w:val="fr-CA"/>
        </w:rPr>
        <w:t>o</w:t>
      </w:r>
      <w:r w:rsidRPr="00612FE7">
        <w:rPr>
          <w:iCs/>
          <w:lang w:val="fr-CA"/>
        </w:rPr>
        <w:t> 190) de l’OIT, 2019, sur la violence et le harcèlement,</w:t>
      </w:r>
      <w:r w:rsidRPr="00490B2F">
        <w:rPr>
          <w:lang w:val="fr-CA"/>
        </w:rPr>
        <w:t xml:space="preserve"> concernant l</w:t>
      </w:r>
      <w:r>
        <w:rPr>
          <w:lang w:val="fr-CA"/>
        </w:rPr>
        <w:t>’</w:t>
      </w:r>
      <w:r w:rsidRPr="00490B2F">
        <w:rPr>
          <w:lang w:val="fr-CA"/>
        </w:rPr>
        <w:t xml:space="preserve">élimination de la violence et du harcèlement dans le monde du </w:t>
      </w:r>
      <w:bookmarkEnd w:id="13"/>
      <w:r w:rsidRPr="00490B2F">
        <w:rPr>
          <w:lang w:val="fr-CA"/>
        </w:rPr>
        <w:t>travail.</w:t>
      </w:r>
    </w:p>
    <w:p w14:paraId="02361F2B" w14:textId="7161EAA1" w:rsidR="00C83F56" w:rsidRPr="00ED0353" w:rsidRDefault="003F011A" w:rsidP="003F011A">
      <w:pPr>
        <w:pStyle w:val="H1G"/>
        <w:rPr>
          <w:lang w:val="fr-CA"/>
        </w:rPr>
      </w:pPr>
      <w:bookmarkStart w:id="14" w:name="lt_pId034"/>
      <w:bookmarkStart w:id="15" w:name="_Toc177633097"/>
      <w:r>
        <w:rPr>
          <w:lang w:val="fr-CA"/>
        </w:rPr>
        <w:tab/>
      </w:r>
      <w:r>
        <w:rPr>
          <w:lang w:val="fr-CA"/>
        </w:rPr>
        <w:tab/>
      </w:r>
      <w:r w:rsidR="00C83F56">
        <w:rPr>
          <w:lang w:val="fr-CA"/>
        </w:rPr>
        <w:t>Mécanismes f</w:t>
      </w:r>
      <w:r w:rsidR="00C83F56" w:rsidRPr="00612FE7">
        <w:rPr>
          <w:lang w:val="fr-CA"/>
        </w:rPr>
        <w:t>édéraux, provinciaux et territoriaux</w:t>
      </w:r>
      <w:r w:rsidR="00C83F56">
        <w:rPr>
          <w:lang w:val="fr-CA"/>
        </w:rPr>
        <w:t xml:space="preserve"> de lutte contre la discrimination raciale</w:t>
      </w:r>
      <w:bookmarkEnd w:id="14"/>
    </w:p>
    <w:p w14:paraId="71566193" w14:textId="77777777" w:rsidR="00C83F56" w:rsidRPr="00A7517B" w:rsidRDefault="00C83F56" w:rsidP="004F23C1">
      <w:pPr>
        <w:pStyle w:val="SingleTxtG"/>
        <w:numPr>
          <w:ilvl w:val="0"/>
          <w:numId w:val="4"/>
        </w:numPr>
        <w:ind w:left="1134" w:firstLine="0"/>
        <w:rPr>
          <w:lang w:val="fr-CA"/>
        </w:rPr>
      </w:pPr>
      <w:bookmarkStart w:id="16" w:name="lt_pId035"/>
      <w:bookmarkEnd w:id="15"/>
      <w:r w:rsidRPr="5B270C7B">
        <w:rPr>
          <w:lang w:val="fr-CA"/>
        </w:rPr>
        <w:t>Le Canada dispose d’un cadre juridique et politique robuste pour prévenir la discrimination raciale et favoriser l’égalité réelle, basé sur</w:t>
      </w:r>
      <w:bookmarkStart w:id="17" w:name="lt_pId036"/>
      <w:bookmarkEnd w:id="16"/>
      <w:r w:rsidRPr="5B270C7B">
        <w:rPr>
          <w:lang w:val="fr-CA"/>
        </w:rPr>
        <w:t xml:space="preserve"> la Charte canadienne des droits et libertés, le Code pénal et les lois FPT relatives aux droits de la personne.</w:t>
      </w:r>
      <w:bookmarkStart w:id="18" w:name="lt_pId037"/>
      <w:bookmarkEnd w:id="17"/>
      <w:r w:rsidRPr="5B270C7B">
        <w:rPr>
          <w:lang w:val="fr-CA"/>
        </w:rPr>
        <w:t xml:space="preserve"> La </w:t>
      </w:r>
      <w:r w:rsidRPr="5B270C7B">
        <w:rPr>
          <w:i/>
          <w:iCs/>
          <w:lang w:val="fr-CA"/>
        </w:rPr>
        <w:t>Loi sur le multiculturalisme canadien</w:t>
      </w:r>
      <w:r w:rsidRPr="5B270C7B">
        <w:rPr>
          <w:lang w:val="fr-CA"/>
        </w:rPr>
        <w:t xml:space="preserve"> du GC reconnaît la diversité comme une valeur essentielle de la société canadienne,</w:t>
      </w:r>
      <w:bookmarkEnd w:id="18"/>
      <w:r w:rsidRPr="5B270C7B">
        <w:rPr>
          <w:lang w:val="fr-CA"/>
        </w:rPr>
        <w:t xml:space="preserve"> </w:t>
      </w:r>
      <w:bookmarkStart w:id="19" w:name="lt_pId038"/>
      <w:r w:rsidRPr="5B270C7B">
        <w:rPr>
          <w:lang w:val="fr-CA"/>
        </w:rPr>
        <w:t xml:space="preserve">encourage les institutions à refléter ce caractère multiculturel et promeut </w:t>
      </w:r>
      <w:bookmarkStart w:id="20" w:name="lt_pId039"/>
      <w:bookmarkEnd w:id="19"/>
      <w:r w:rsidRPr="5B270C7B">
        <w:rPr>
          <w:lang w:val="fr-CA"/>
        </w:rPr>
        <w:t>la participation entière et équitable de toutes les personnes en éliminant les obstacles à leur inclusion.</w:t>
      </w:r>
      <w:bookmarkEnd w:id="20"/>
      <w:r w:rsidRPr="5B270C7B">
        <w:rPr>
          <w:lang w:val="fr-CA"/>
        </w:rPr>
        <w:t xml:space="preserve"> </w:t>
      </w:r>
      <w:bookmarkStart w:id="21" w:name="lt_pId040"/>
      <w:r w:rsidRPr="5B270C7B">
        <w:rPr>
          <w:lang w:val="fr-CA"/>
        </w:rPr>
        <w:t>Selon le rapport annuel 2023-2024 sur l’application de cette loi, 84 % des institutions fédérales ont mené des initiatives liées au multiculturalisme et 77 % ont entrepris des mesures de lutte contre le racisme, incluant la collecte de données, d’éducation, de sensibilisation, de commémoration et des investissements communautaires.</w:t>
      </w:r>
      <w:bookmarkEnd w:id="21"/>
    </w:p>
    <w:p w14:paraId="19EA4403" w14:textId="77777777" w:rsidR="00C83F56" w:rsidRPr="003119DA" w:rsidRDefault="00C83F56" w:rsidP="004F23C1">
      <w:pPr>
        <w:pStyle w:val="SingleTxtG"/>
        <w:numPr>
          <w:ilvl w:val="0"/>
          <w:numId w:val="4"/>
        </w:numPr>
        <w:ind w:left="1134" w:firstLine="0"/>
        <w:rPr>
          <w:lang w:val="fr-CA"/>
        </w:rPr>
      </w:pPr>
      <w:bookmarkStart w:id="22" w:name="lt_pId041"/>
      <w:r w:rsidRPr="5B270C7B">
        <w:rPr>
          <w:lang w:val="fr-CA"/>
        </w:rPr>
        <w:t>Il existe un large éventail de mesures en place au Canada pour promouvoir la diversité et l’inclusion, telles que la législation sur l’équité, les politiques, les programmes et les services aux niveaux FPT en matière d’emploi.</w:t>
      </w:r>
      <w:bookmarkEnd w:id="22"/>
      <w:r w:rsidRPr="5B270C7B">
        <w:rPr>
          <w:lang w:val="fr-CA"/>
        </w:rPr>
        <w:t xml:space="preserve"> </w:t>
      </w:r>
      <w:bookmarkStart w:id="23" w:name="lt_pId042"/>
      <w:r w:rsidRPr="5B270C7B">
        <w:rPr>
          <w:lang w:val="fr-CA"/>
        </w:rPr>
        <w:t>Le Canada adopte, lorsque nécessaire, des mesures particulières, pour favoriser la progression vers l’égalité réelle pour certains groupes, notamment les peuples autochtones qui ont subi des désavantages ciblés.</w:t>
      </w:r>
      <w:bookmarkEnd w:id="23"/>
    </w:p>
    <w:p w14:paraId="4B3FD805" w14:textId="77777777" w:rsidR="00C83F56" w:rsidRPr="0064324F" w:rsidRDefault="00C83F56" w:rsidP="004F23C1">
      <w:pPr>
        <w:pStyle w:val="SingleTxtG"/>
        <w:numPr>
          <w:ilvl w:val="0"/>
          <w:numId w:val="4"/>
        </w:numPr>
        <w:ind w:left="1134" w:firstLine="0"/>
        <w:rPr>
          <w:lang w:val="fr-CA"/>
        </w:rPr>
      </w:pPr>
      <w:r w:rsidRPr="0064324F">
        <w:rPr>
          <w:lang w:val="fr-CA"/>
        </w:rPr>
        <w:t xml:space="preserve">Après </w:t>
      </w:r>
      <w:r>
        <w:rPr>
          <w:lang w:val="fr-CA"/>
        </w:rPr>
        <w:t>plus</w:t>
      </w:r>
      <w:r w:rsidRPr="0064324F">
        <w:rPr>
          <w:lang w:val="fr-CA"/>
        </w:rPr>
        <w:t xml:space="preserve"> de deux ans de consultations avec les partenaires autochtones</w:t>
      </w:r>
      <w:r>
        <w:rPr>
          <w:lang w:val="fr-CA"/>
        </w:rPr>
        <w:t xml:space="preserve"> et</w:t>
      </w:r>
      <w:r w:rsidRPr="0064324F">
        <w:rPr>
          <w:lang w:val="fr-CA"/>
        </w:rPr>
        <w:t xml:space="preserve"> les </w:t>
      </w:r>
      <w:r>
        <w:rPr>
          <w:lang w:val="fr-CA"/>
        </w:rPr>
        <w:t>gouvernements PT</w:t>
      </w:r>
      <w:r w:rsidRPr="0064324F">
        <w:rPr>
          <w:lang w:val="fr-CA"/>
        </w:rPr>
        <w:t xml:space="preserve"> </w:t>
      </w:r>
      <w:r>
        <w:rPr>
          <w:lang w:val="fr-CA"/>
        </w:rPr>
        <w:t xml:space="preserve">pour </w:t>
      </w:r>
      <w:r w:rsidRPr="0064324F">
        <w:rPr>
          <w:lang w:val="fr-CA"/>
        </w:rPr>
        <w:t>élabor</w:t>
      </w:r>
      <w:r>
        <w:rPr>
          <w:lang w:val="fr-CA"/>
        </w:rPr>
        <w:t>er</w:t>
      </w:r>
      <w:r w:rsidRPr="0064324F">
        <w:rPr>
          <w:lang w:val="fr-CA"/>
        </w:rPr>
        <w:t xml:space="preserve"> </w:t>
      </w:r>
      <w:r>
        <w:rPr>
          <w:lang w:val="fr-CA"/>
        </w:rPr>
        <w:t>la</w:t>
      </w:r>
      <w:r w:rsidRPr="0064324F">
        <w:rPr>
          <w:lang w:val="fr-CA"/>
        </w:rPr>
        <w:t xml:space="preserve"> </w:t>
      </w:r>
      <w:r>
        <w:rPr>
          <w:lang w:val="fr-CA"/>
        </w:rPr>
        <w:t>S</w:t>
      </w:r>
      <w:r w:rsidRPr="0064324F">
        <w:rPr>
          <w:lang w:val="fr-CA"/>
        </w:rPr>
        <w:t>tratégie</w:t>
      </w:r>
      <w:r>
        <w:rPr>
          <w:lang w:val="fr-CA"/>
        </w:rPr>
        <w:t xml:space="preserve"> fédérale</w:t>
      </w:r>
      <w:r w:rsidRPr="0064324F">
        <w:rPr>
          <w:lang w:val="fr-CA"/>
        </w:rPr>
        <w:t xml:space="preserve"> </w:t>
      </w:r>
      <w:r>
        <w:rPr>
          <w:lang w:val="fr-CA"/>
        </w:rPr>
        <w:t xml:space="preserve">en matière </w:t>
      </w:r>
      <w:r w:rsidRPr="0064324F">
        <w:rPr>
          <w:lang w:val="fr-CA"/>
        </w:rPr>
        <w:t>de justice autochtone (SJA) visant à lutter contre la discrimination systémique et la sur-représentation des Autochtones dans le système de justice canadien, le ministère de la Justice a publié</w:t>
      </w:r>
      <w:r>
        <w:rPr>
          <w:lang w:val="fr-CA"/>
        </w:rPr>
        <w:t xml:space="preserve"> en 2024</w:t>
      </w:r>
      <w:r w:rsidRPr="0064324F">
        <w:rPr>
          <w:lang w:val="fr-CA"/>
        </w:rPr>
        <w:t xml:space="preserve"> l'ébauche de consultation sur les éléments clés de la SJA aux fins de validation et de rétroaction. </w:t>
      </w:r>
      <w:r>
        <w:rPr>
          <w:lang w:val="fr-CA"/>
        </w:rPr>
        <w:t>La SJA constitue</w:t>
      </w:r>
      <w:r w:rsidRPr="0064324F">
        <w:rPr>
          <w:lang w:val="fr-CA"/>
        </w:rPr>
        <w:t xml:space="preserve"> un moyen </w:t>
      </w:r>
      <w:r>
        <w:rPr>
          <w:lang w:val="fr-CA"/>
        </w:rPr>
        <w:t xml:space="preserve">d’avancer vers </w:t>
      </w:r>
      <w:r w:rsidRPr="0064324F">
        <w:rPr>
          <w:lang w:val="fr-CA"/>
        </w:rPr>
        <w:t>l’</w:t>
      </w:r>
      <w:proofErr w:type="spellStart"/>
      <w:r w:rsidRPr="0064324F">
        <w:rPr>
          <w:lang w:val="fr-CA"/>
        </w:rPr>
        <w:t>autodétermination</w:t>
      </w:r>
      <w:proofErr w:type="spellEnd"/>
      <w:r w:rsidRPr="0064324F">
        <w:rPr>
          <w:lang w:val="fr-CA"/>
        </w:rPr>
        <w:t xml:space="preserve"> des Premières Nations, des Inuits et des Métis</w:t>
      </w:r>
      <w:r>
        <w:rPr>
          <w:lang w:val="fr-CA"/>
        </w:rPr>
        <w:t>, ainsi que vers</w:t>
      </w:r>
      <w:r w:rsidRPr="0064324F">
        <w:rPr>
          <w:lang w:val="fr-CA"/>
        </w:rPr>
        <w:t xml:space="preserve"> </w:t>
      </w:r>
      <w:r>
        <w:rPr>
          <w:lang w:val="fr-CA"/>
        </w:rPr>
        <w:t xml:space="preserve">la </w:t>
      </w:r>
      <w:r w:rsidRPr="0064324F">
        <w:rPr>
          <w:lang w:val="fr-CA"/>
        </w:rPr>
        <w:t>revitalisation</w:t>
      </w:r>
      <w:r>
        <w:rPr>
          <w:lang w:val="fr-CA"/>
        </w:rPr>
        <w:t xml:space="preserve"> de leurs </w:t>
      </w:r>
      <w:r w:rsidRPr="0064324F">
        <w:rPr>
          <w:lang w:val="fr-CA"/>
        </w:rPr>
        <w:t xml:space="preserve">systèmes juridiques, </w:t>
      </w:r>
      <w:r w:rsidRPr="00D62339">
        <w:rPr>
          <w:lang w:val="fr-CA"/>
        </w:rPr>
        <w:t xml:space="preserve">tout en faisant ressortir les aspects à traiter en priorité afin de résoudre leur surreprésentation dans le système de justice pénale du Canada. La publication de la </w:t>
      </w:r>
      <w:r>
        <w:rPr>
          <w:lang w:val="fr-CA"/>
        </w:rPr>
        <w:t xml:space="preserve">version </w:t>
      </w:r>
      <w:r w:rsidRPr="0064324F">
        <w:rPr>
          <w:lang w:val="fr-CA"/>
        </w:rPr>
        <w:t xml:space="preserve">finale </w:t>
      </w:r>
      <w:r>
        <w:rPr>
          <w:lang w:val="fr-CA"/>
        </w:rPr>
        <w:t xml:space="preserve">est attendue </w:t>
      </w:r>
      <w:r w:rsidRPr="0064324F">
        <w:rPr>
          <w:lang w:val="fr-CA"/>
        </w:rPr>
        <w:t>en</w:t>
      </w:r>
      <w:r>
        <w:rPr>
          <w:lang w:val="fr-CA"/>
        </w:rPr>
        <w:t xml:space="preserve"> </w:t>
      </w:r>
      <w:r w:rsidRPr="0064324F">
        <w:rPr>
          <w:lang w:val="fr-CA"/>
        </w:rPr>
        <w:t>2025.</w:t>
      </w:r>
    </w:p>
    <w:p w14:paraId="6B4F02BE" w14:textId="77777777" w:rsidR="00C83F56" w:rsidRPr="002B4784" w:rsidRDefault="00C83F56" w:rsidP="004F23C1">
      <w:pPr>
        <w:pStyle w:val="SingleTxtG"/>
        <w:numPr>
          <w:ilvl w:val="0"/>
          <w:numId w:val="4"/>
        </w:numPr>
        <w:ind w:left="1134" w:firstLine="0"/>
        <w:rPr>
          <w:lang w:val="fr-CA"/>
        </w:rPr>
      </w:pPr>
      <w:r>
        <w:rPr>
          <w:lang w:val="fr-CA"/>
        </w:rPr>
        <w:t xml:space="preserve">La </w:t>
      </w:r>
      <w:r w:rsidRPr="003119DA">
        <w:rPr>
          <w:i/>
          <w:iCs/>
          <w:lang w:val="fr-CA"/>
        </w:rPr>
        <w:t>Loi ARDA sur la collecte et l’utilisation de données aux fins de la lutte contre le racisme (2022</w:t>
      </w:r>
      <w:r>
        <w:rPr>
          <w:i/>
          <w:iCs/>
          <w:lang w:val="fr-CA"/>
        </w:rPr>
        <w:t xml:space="preserve">) </w:t>
      </w:r>
      <w:r w:rsidRPr="003119DA">
        <w:rPr>
          <w:lang w:val="fr-CA"/>
        </w:rPr>
        <w:t>de la Colombie Britannique</w:t>
      </w:r>
      <w:r>
        <w:rPr>
          <w:lang w:val="fr-CA"/>
        </w:rPr>
        <w:t xml:space="preserve"> autorise la collecte, l’utilisation et la divulgation de</w:t>
      </w:r>
      <w:r w:rsidRPr="00E7089D">
        <w:rPr>
          <w:lang w:val="fr-CA"/>
        </w:rPr>
        <w:t xml:space="preserve"> renseignements personnels </w:t>
      </w:r>
      <w:r>
        <w:rPr>
          <w:lang w:val="fr-CA"/>
        </w:rPr>
        <w:t>afin</w:t>
      </w:r>
      <w:r w:rsidRPr="00E7089D">
        <w:rPr>
          <w:lang w:val="fr-CA"/>
        </w:rPr>
        <w:t xml:space="preserve"> d’identifier et d’éliminer le racisme systémique et de</w:t>
      </w:r>
      <w:r>
        <w:rPr>
          <w:lang w:val="fr-CA"/>
        </w:rPr>
        <w:t xml:space="preserve"> promouvoir</w:t>
      </w:r>
      <w:r w:rsidRPr="00E7089D">
        <w:rPr>
          <w:lang w:val="fr-CA"/>
        </w:rPr>
        <w:t xml:space="preserve"> l’équité raciale dans les programmes et services gouvernementaux.</w:t>
      </w:r>
      <w:r>
        <w:rPr>
          <w:lang w:val="fr-CA"/>
        </w:rPr>
        <w:t xml:space="preserve"> Élaborée</w:t>
      </w:r>
      <w:r w:rsidRPr="003119DA">
        <w:rPr>
          <w:lang w:val="fr-CA"/>
        </w:rPr>
        <w:t xml:space="preserve"> conjointement avec les p</w:t>
      </w:r>
      <w:r>
        <w:rPr>
          <w:lang w:val="fr-CA"/>
        </w:rPr>
        <w:t>euples</w:t>
      </w:r>
      <w:r w:rsidRPr="003119DA">
        <w:rPr>
          <w:lang w:val="fr-CA"/>
        </w:rPr>
        <w:t xml:space="preserve"> autochtones</w:t>
      </w:r>
      <w:r>
        <w:rPr>
          <w:lang w:val="fr-CA"/>
        </w:rPr>
        <w:t xml:space="preserve"> et les communautés racisées, la Loi prévoit q</w:t>
      </w:r>
      <w:r w:rsidRPr="003119DA">
        <w:rPr>
          <w:lang w:val="fr-CA"/>
        </w:rPr>
        <w:t xml:space="preserve">uatre </w:t>
      </w:r>
      <w:r>
        <w:rPr>
          <w:lang w:val="fr-CA"/>
        </w:rPr>
        <w:t xml:space="preserve">principales </w:t>
      </w:r>
      <w:r w:rsidRPr="003119DA">
        <w:rPr>
          <w:lang w:val="fr-CA"/>
        </w:rPr>
        <w:t xml:space="preserve">initiatives : la publication </w:t>
      </w:r>
      <w:r>
        <w:rPr>
          <w:lang w:val="fr-CA"/>
        </w:rPr>
        <w:t>biennale des priorités de recherche sur le racisme, la publication annuelle de statistiques et d’autres renseignements sur le racisme systémique et l’égalité, ainsi que l’élaboration de normes et de directives en matière de données antiracistes. En 2024, des recherches portant sur trois des priorités de recherche ont été publiées.</w:t>
      </w:r>
      <w:r w:rsidRPr="003119DA">
        <w:rPr>
          <w:lang w:val="fr-CA"/>
        </w:rPr>
        <w:t xml:space="preserve"> </w:t>
      </w:r>
      <w:r>
        <w:rPr>
          <w:lang w:val="fr-CA"/>
        </w:rPr>
        <w:t>Ces</w:t>
      </w:r>
      <w:r w:rsidRPr="003119DA">
        <w:rPr>
          <w:lang w:val="fr-CA"/>
        </w:rPr>
        <w:t xml:space="preserve"> initiatives</w:t>
      </w:r>
      <w:r>
        <w:rPr>
          <w:lang w:val="fr-CA"/>
        </w:rPr>
        <w:t xml:space="preserve"> sont </w:t>
      </w:r>
      <w:r w:rsidRPr="003119DA">
        <w:rPr>
          <w:lang w:val="fr-CA"/>
        </w:rPr>
        <w:t>élaborées en collaboration avec</w:t>
      </w:r>
      <w:r>
        <w:rPr>
          <w:lang w:val="fr-CA"/>
        </w:rPr>
        <w:t xml:space="preserve"> le Comité de données sur la lutte contre le racisme, établi en vertu de la Loi, et en consultation et collaboration avec</w:t>
      </w:r>
      <w:r w:rsidRPr="003119DA">
        <w:rPr>
          <w:lang w:val="fr-CA"/>
        </w:rPr>
        <w:t xml:space="preserve"> les p</w:t>
      </w:r>
      <w:r>
        <w:rPr>
          <w:lang w:val="fr-CA"/>
        </w:rPr>
        <w:t>euples</w:t>
      </w:r>
      <w:r w:rsidRPr="003119DA">
        <w:rPr>
          <w:lang w:val="fr-CA"/>
        </w:rPr>
        <w:t xml:space="preserve"> autochtones</w:t>
      </w:r>
      <w:r>
        <w:rPr>
          <w:lang w:val="fr-CA"/>
        </w:rPr>
        <w:t>.</w:t>
      </w:r>
      <w:r w:rsidRPr="003119DA">
        <w:rPr>
          <w:lang w:val="fr-CA"/>
        </w:rPr>
        <w:t xml:space="preserve"> </w:t>
      </w:r>
      <w:r>
        <w:rPr>
          <w:lang w:val="fr-CA"/>
        </w:rPr>
        <w:t>De plus, l</w:t>
      </w:r>
      <w:r w:rsidRPr="00E7089D">
        <w:rPr>
          <w:lang w:val="fr-CA"/>
        </w:rPr>
        <w:t>’enquête démographique de la Colombie-Britannique</w:t>
      </w:r>
      <w:r>
        <w:rPr>
          <w:lang w:val="fr-CA"/>
        </w:rPr>
        <w:t>,</w:t>
      </w:r>
      <w:r w:rsidRPr="00E7089D">
        <w:rPr>
          <w:lang w:val="fr-CA"/>
        </w:rPr>
        <w:t xml:space="preserve"> lancée en 2023</w:t>
      </w:r>
      <w:r>
        <w:rPr>
          <w:lang w:val="fr-CA"/>
        </w:rPr>
        <w:t xml:space="preserve">, </w:t>
      </w:r>
      <w:r w:rsidRPr="00E7089D">
        <w:rPr>
          <w:lang w:val="fr-CA"/>
        </w:rPr>
        <w:t>recueill</w:t>
      </w:r>
      <w:r>
        <w:rPr>
          <w:lang w:val="fr-CA"/>
        </w:rPr>
        <w:t>e</w:t>
      </w:r>
      <w:r w:rsidRPr="00E7089D">
        <w:rPr>
          <w:lang w:val="fr-CA"/>
        </w:rPr>
        <w:t xml:space="preserve"> des</w:t>
      </w:r>
      <w:r>
        <w:rPr>
          <w:lang w:val="fr-CA"/>
        </w:rPr>
        <w:t xml:space="preserve"> données</w:t>
      </w:r>
      <w:r w:rsidRPr="00E7089D">
        <w:rPr>
          <w:lang w:val="fr-CA"/>
        </w:rPr>
        <w:t xml:space="preserve"> sur la race, l’</w:t>
      </w:r>
      <w:r>
        <w:rPr>
          <w:lang w:val="fr-CA"/>
        </w:rPr>
        <w:t>origine ethnique</w:t>
      </w:r>
      <w:r w:rsidRPr="00E7089D">
        <w:rPr>
          <w:lang w:val="fr-CA"/>
        </w:rPr>
        <w:t>, l’ascendance et d’autres</w:t>
      </w:r>
      <w:r>
        <w:rPr>
          <w:lang w:val="fr-CA"/>
        </w:rPr>
        <w:t xml:space="preserve"> aspects de l</w:t>
      </w:r>
      <w:r w:rsidRPr="00E7089D">
        <w:rPr>
          <w:lang w:val="fr-CA"/>
        </w:rPr>
        <w:t xml:space="preserve">’identité </w:t>
      </w:r>
      <w:r>
        <w:rPr>
          <w:lang w:val="fr-CA"/>
        </w:rPr>
        <w:t>pour</w:t>
      </w:r>
      <w:r w:rsidRPr="00E7089D">
        <w:rPr>
          <w:lang w:val="fr-CA"/>
        </w:rPr>
        <w:t xml:space="preserve"> mieux les obstacles </w:t>
      </w:r>
      <w:r>
        <w:rPr>
          <w:lang w:val="fr-CA"/>
        </w:rPr>
        <w:t xml:space="preserve">à l’accès </w:t>
      </w:r>
      <w:r w:rsidRPr="00E7089D">
        <w:rPr>
          <w:lang w:val="fr-CA"/>
        </w:rPr>
        <w:t xml:space="preserve">aux services </w:t>
      </w:r>
      <w:r>
        <w:rPr>
          <w:lang w:val="fr-CA"/>
        </w:rPr>
        <w:t>publics</w:t>
      </w:r>
      <w:r w:rsidRPr="00E7089D">
        <w:rPr>
          <w:lang w:val="fr-CA"/>
        </w:rPr>
        <w:t>. En 2024, la</w:t>
      </w:r>
      <w:r>
        <w:rPr>
          <w:lang w:val="fr-CA"/>
        </w:rPr>
        <w:t xml:space="preserve"> province a également adopté la</w:t>
      </w:r>
      <w:r w:rsidRPr="00E7089D">
        <w:rPr>
          <w:lang w:val="fr-CA"/>
        </w:rPr>
        <w:t xml:space="preserve"> </w:t>
      </w:r>
      <w:r w:rsidRPr="00E7089D">
        <w:rPr>
          <w:i/>
          <w:iCs/>
          <w:lang w:val="fr-CA"/>
        </w:rPr>
        <w:t>Loi contre le racisme</w:t>
      </w:r>
      <w:r>
        <w:rPr>
          <w:lang w:val="fr-CA"/>
        </w:rPr>
        <w:t>, qui obligeant</w:t>
      </w:r>
      <w:r w:rsidRPr="00E7089D">
        <w:rPr>
          <w:lang w:val="fr-CA"/>
        </w:rPr>
        <w:t xml:space="preserve"> le gouvernement à</w:t>
      </w:r>
      <w:r>
        <w:rPr>
          <w:lang w:val="fr-CA"/>
        </w:rPr>
        <w:t xml:space="preserve"> agir sur les inégalités mises en évidence par la </w:t>
      </w:r>
      <w:r w:rsidRPr="002B4784">
        <w:rPr>
          <w:i/>
          <w:iCs/>
          <w:lang w:val="fr-CA"/>
        </w:rPr>
        <w:t>Loi ARDA</w:t>
      </w:r>
      <w:r>
        <w:rPr>
          <w:i/>
          <w:iCs/>
          <w:lang w:val="fr-CA"/>
        </w:rPr>
        <w:t>.</w:t>
      </w:r>
    </w:p>
    <w:p w14:paraId="51292570" w14:textId="77777777" w:rsidR="00C83F56" w:rsidRDefault="00C83F56" w:rsidP="004F23C1">
      <w:pPr>
        <w:pStyle w:val="SingleTxtG"/>
        <w:numPr>
          <w:ilvl w:val="0"/>
          <w:numId w:val="4"/>
        </w:numPr>
        <w:ind w:left="1134" w:firstLine="0"/>
        <w:rPr>
          <w:lang w:val="fr-CA"/>
        </w:rPr>
      </w:pPr>
      <w:r w:rsidRPr="008242E7">
        <w:rPr>
          <w:lang w:val="fr-CA"/>
        </w:rPr>
        <w:t xml:space="preserve">La Nouvelle-Écosse a adopté la </w:t>
      </w:r>
      <w:r w:rsidRPr="00E7089D">
        <w:rPr>
          <w:i/>
          <w:iCs/>
          <w:lang w:val="fr-CA"/>
        </w:rPr>
        <w:t>Loi sur le démantèlement du racisme et de la haine</w:t>
      </w:r>
      <w:r w:rsidRPr="008242E7">
        <w:rPr>
          <w:lang w:val="fr-CA"/>
        </w:rPr>
        <w:t xml:space="preserve"> en 2022 et a publié la </w:t>
      </w:r>
      <w:r w:rsidRPr="00E7089D">
        <w:rPr>
          <w:lang w:val="fr-CA"/>
        </w:rPr>
        <w:t>Stratégie sur l'équité et la lutte contre le racisme</w:t>
      </w:r>
      <w:r w:rsidRPr="008242E7">
        <w:rPr>
          <w:lang w:val="fr-CA"/>
        </w:rPr>
        <w:t xml:space="preserve"> en 2023 pour lutter contre la haine systémique, le racisme systémique et l'inégalité à l'échelle de la province.</w:t>
      </w:r>
    </w:p>
    <w:p w14:paraId="328E219D" w14:textId="77777777" w:rsidR="00C83F56" w:rsidRDefault="00C83F56" w:rsidP="004F23C1">
      <w:pPr>
        <w:pStyle w:val="SingleTxtG"/>
        <w:numPr>
          <w:ilvl w:val="0"/>
          <w:numId w:val="4"/>
        </w:numPr>
        <w:ind w:left="1134" w:firstLine="0"/>
        <w:rPr>
          <w:lang w:val="fr-CA"/>
        </w:rPr>
      </w:pPr>
      <w:r w:rsidRPr="009F5944">
        <w:rPr>
          <w:lang w:val="fr-CA"/>
        </w:rPr>
        <w:t>En 2021, l'Île-du-Prince-Édouard a créé une nouvelle table de lutte contre le racisme et a nommé un conseiller provincial en matière de politique de lutte contre le racisme chargé de conseiller le Cabinet et de recommander des lois, de nouveaux postes et des programmes pour lutter contre le racisme dans l'Île-du-Prince-Édouard. Le</w:t>
      </w:r>
      <w:r>
        <w:rPr>
          <w:lang w:val="fr-CA"/>
        </w:rPr>
        <w:t xml:space="preserve"> poste de</w:t>
      </w:r>
      <w:r w:rsidRPr="009F5944">
        <w:rPr>
          <w:lang w:val="fr-CA"/>
        </w:rPr>
        <w:t xml:space="preserve"> conseiller </w:t>
      </w:r>
      <w:r w:rsidRPr="00244792">
        <w:rPr>
          <w:lang w:val="fr-CA"/>
        </w:rPr>
        <w:t>a été reclassé en tant que gestionnaire des initiatives de lutte contre le racisme et ce dernier a travaillé</w:t>
      </w:r>
      <w:r>
        <w:rPr>
          <w:lang w:val="fr-CA"/>
        </w:rPr>
        <w:t xml:space="preserve"> avec le gouvernement pour</w:t>
      </w:r>
      <w:r w:rsidRPr="00244792">
        <w:rPr>
          <w:lang w:val="fr-CA"/>
        </w:rPr>
        <w:t xml:space="preserve"> élabor</w:t>
      </w:r>
      <w:r>
        <w:rPr>
          <w:lang w:val="fr-CA"/>
        </w:rPr>
        <w:t>er</w:t>
      </w:r>
      <w:r w:rsidRPr="00244792">
        <w:rPr>
          <w:lang w:val="fr-CA"/>
        </w:rPr>
        <w:t xml:space="preserve"> </w:t>
      </w:r>
      <w:r>
        <w:rPr>
          <w:lang w:val="fr-CA"/>
        </w:rPr>
        <w:t>le P</w:t>
      </w:r>
      <w:r w:rsidRPr="00244792">
        <w:rPr>
          <w:lang w:val="fr-CA"/>
        </w:rPr>
        <w:t>lan d'action</w:t>
      </w:r>
      <w:r>
        <w:rPr>
          <w:lang w:val="fr-CA"/>
        </w:rPr>
        <w:t xml:space="preserve"> en matière</w:t>
      </w:r>
      <w:r w:rsidRPr="00244792">
        <w:rPr>
          <w:lang w:val="fr-CA"/>
        </w:rPr>
        <w:t xml:space="preserve"> de lutte contre le racisme.</w:t>
      </w:r>
      <w:r>
        <w:rPr>
          <w:lang w:val="fr-CA"/>
        </w:rPr>
        <w:t xml:space="preserve"> Il</w:t>
      </w:r>
      <w:r w:rsidRPr="009F5944">
        <w:rPr>
          <w:lang w:val="fr-CA"/>
        </w:rPr>
        <w:t xml:space="preserve"> travaille actuellement à la mise en œuvre d'un cadre de responsabilité qui comprendra un mécanisme de suivi et de rapport et l'évaluation de l'impact de la lutte contre le racisme, une ressource</w:t>
      </w:r>
      <w:r>
        <w:rPr>
          <w:lang w:val="fr-CA"/>
        </w:rPr>
        <w:t xml:space="preserve"> créée</w:t>
      </w:r>
      <w:r w:rsidRPr="009F5944">
        <w:rPr>
          <w:lang w:val="fr-CA"/>
        </w:rPr>
        <w:t xml:space="preserve"> permettant aux ministères d'évaluer les impacts potentiels de la législation, de la politique, des budgets, etc. sur les communautés </w:t>
      </w:r>
      <w:r>
        <w:rPr>
          <w:lang w:val="fr-CA"/>
        </w:rPr>
        <w:t xml:space="preserve">racialement </w:t>
      </w:r>
      <w:r w:rsidRPr="009F5944">
        <w:rPr>
          <w:lang w:val="fr-CA"/>
        </w:rPr>
        <w:t>marginalisées.</w:t>
      </w:r>
    </w:p>
    <w:p w14:paraId="11AC5B68" w14:textId="77777777" w:rsidR="00C83F56" w:rsidRPr="00C6290A" w:rsidRDefault="00C83F56" w:rsidP="004F23C1">
      <w:pPr>
        <w:pStyle w:val="SingleTxtG"/>
        <w:numPr>
          <w:ilvl w:val="0"/>
          <w:numId w:val="4"/>
        </w:numPr>
        <w:ind w:left="1134" w:firstLine="0"/>
        <w:rPr>
          <w:lang w:val="fr-CA"/>
        </w:rPr>
      </w:pPr>
      <w:r w:rsidRPr="00A355A6">
        <w:rPr>
          <w:lang w:val="fr-CA"/>
        </w:rPr>
        <w:t>En</w:t>
      </w:r>
      <w:r>
        <w:rPr>
          <w:lang w:val="fr-CA"/>
        </w:rPr>
        <w:t> </w:t>
      </w:r>
      <w:r w:rsidRPr="00A355A6">
        <w:rPr>
          <w:lang w:val="fr-CA"/>
        </w:rPr>
        <w:t>2021, la Commission des droits de la personne de l</w:t>
      </w:r>
      <w:r>
        <w:rPr>
          <w:lang w:val="fr-CA"/>
        </w:rPr>
        <w:t>’</w:t>
      </w:r>
      <w:r w:rsidRPr="00A355A6">
        <w:rPr>
          <w:lang w:val="fr-CA"/>
        </w:rPr>
        <w:t xml:space="preserve">Alberta a lancé </w:t>
      </w:r>
      <w:r>
        <w:rPr>
          <w:lang w:val="fr-CA"/>
        </w:rPr>
        <w:t>sa</w:t>
      </w:r>
      <w:r w:rsidRPr="00A355A6">
        <w:rPr>
          <w:lang w:val="fr-CA"/>
        </w:rPr>
        <w:t xml:space="preserve"> </w:t>
      </w:r>
      <w:r>
        <w:rPr>
          <w:lang w:val="fr-CA"/>
        </w:rPr>
        <w:t>S</w:t>
      </w:r>
      <w:r w:rsidRPr="00A355A6">
        <w:rPr>
          <w:lang w:val="fr-CA"/>
        </w:rPr>
        <w:t xml:space="preserve">tratégie en matière de droits de la personne </w:t>
      </w:r>
      <w:r>
        <w:rPr>
          <w:lang w:val="fr-CA"/>
        </w:rPr>
        <w:t>a</w:t>
      </w:r>
      <w:r w:rsidRPr="00A355A6">
        <w:rPr>
          <w:lang w:val="fr-CA"/>
        </w:rPr>
        <w:t>utochtones</w:t>
      </w:r>
      <w:r>
        <w:rPr>
          <w:lang w:val="fr-CA"/>
        </w:rPr>
        <w:t>, avec collaboration avec</w:t>
      </w:r>
      <w:r w:rsidRPr="00A355A6">
        <w:rPr>
          <w:lang w:val="fr-CA"/>
        </w:rPr>
        <w:t xml:space="preserve"> </w:t>
      </w:r>
      <w:r>
        <w:rPr>
          <w:lang w:val="fr-CA"/>
        </w:rPr>
        <w:t>la</w:t>
      </w:r>
      <w:r w:rsidRPr="00A355A6">
        <w:rPr>
          <w:lang w:val="fr-CA"/>
        </w:rPr>
        <w:t xml:space="preserve"> communauté autochtone de l</w:t>
      </w:r>
      <w:r>
        <w:rPr>
          <w:lang w:val="fr-CA"/>
        </w:rPr>
        <w:t>’</w:t>
      </w:r>
      <w:r w:rsidRPr="00A355A6">
        <w:rPr>
          <w:lang w:val="fr-CA"/>
        </w:rPr>
        <w:t>Alberta.</w:t>
      </w:r>
      <w:r w:rsidRPr="00A7517B">
        <w:rPr>
          <w:lang w:val="fr-CA"/>
        </w:rPr>
        <w:t xml:space="preserve"> </w:t>
      </w:r>
      <w:r>
        <w:rPr>
          <w:lang w:val="fr-CA"/>
        </w:rPr>
        <w:t>Cette stratégie oriente les pratiques et les initiatives de la Commission dans le but de réduire les obstacles auxquels les personnes et les communautés autochtones peuvent être confrontées lorsqu’elles accèdent au système des droits de la personne.</w:t>
      </w:r>
      <w:r w:rsidRPr="00A7517B">
        <w:rPr>
          <w:lang w:val="fr-CA"/>
        </w:rPr>
        <w:t xml:space="preserve"> </w:t>
      </w:r>
      <w:r>
        <w:rPr>
          <w:lang w:val="fr-CA"/>
        </w:rPr>
        <w:t>Elle vise également à améliorer les interactions de la Commission avec les populations et les communautés autochtones en général.</w:t>
      </w:r>
    </w:p>
    <w:p w14:paraId="1C3B5051" w14:textId="0B0DDA51" w:rsidR="00C83F56" w:rsidRPr="00A7517B" w:rsidRDefault="003F011A" w:rsidP="003F011A">
      <w:pPr>
        <w:pStyle w:val="H23G"/>
        <w:rPr>
          <w:lang w:val="fr-CA"/>
        </w:rPr>
      </w:pPr>
      <w:bookmarkStart w:id="24" w:name="lt_pId056"/>
      <w:r>
        <w:rPr>
          <w:lang w:val="fr-CA"/>
        </w:rPr>
        <w:tab/>
      </w:r>
      <w:r>
        <w:rPr>
          <w:lang w:val="fr-CA"/>
        </w:rPr>
        <w:tab/>
      </w:r>
      <w:r w:rsidR="00C83F56" w:rsidRPr="00EE46FD">
        <w:rPr>
          <w:lang w:val="fr-CA"/>
        </w:rPr>
        <w:t>Stratégie canadienne de lutte contre le racisme</w:t>
      </w:r>
      <w:bookmarkEnd w:id="24"/>
    </w:p>
    <w:p w14:paraId="2A84FB5C" w14:textId="77777777" w:rsidR="00C83F56" w:rsidRPr="00D04252" w:rsidRDefault="00C83F56" w:rsidP="004F23C1">
      <w:pPr>
        <w:pStyle w:val="SingleTxtG"/>
        <w:numPr>
          <w:ilvl w:val="0"/>
          <w:numId w:val="4"/>
        </w:numPr>
        <w:ind w:left="1134" w:firstLine="0"/>
        <w:rPr>
          <w:lang w:val="fr-CA"/>
        </w:rPr>
      </w:pPr>
      <w:r>
        <w:rPr>
          <w:lang w:val="fr-CA"/>
        </w:rPr>
        <w:t xml:space="preserve">La Stratégie canadienne de lutte contre le racisme (2019-2022), </w:t>
      </w:r>
      <w:r w:rsidRPr="073904A5">
        <w:rPr>
          <w:lang w:val="fr-CA"/>
        </w:rPr>
        <w:t>Construire une fondation pour le changement</w:t>
      </w:r>
      <w:r w:rsidRPr="5B270C7B">
        <w:rPr>
          <w:lang w:val="fr-CA"/>
        </w:rPr>
        <w:t xml:space="preserve">, a été une initiative historique </w:t>
      </w:r>
      <w:r>
        <w:rPr>
          <w:lang w:val="fr-CA"/>
        </w:rPr>
        <w:t>fondée sur</w:t>
      </w:r>
      <w:r w:rsidRPr="5B270C7B">
        <w:rPr>
          <w:lang w:val="fr-CA"/>
        </w:rPr>
        <w:t xml:space="preserve"> la vision d’un pays où tous les Canadiens et Canadiennes bénéficient d’un accès et d’une participation équitables. Elle </w:t>
      </w:r>
      <w:r w:rsidRPr="073904A5">
        <w:rPr>
          <w:lang w:val="fr-CA"/>
        </w:rPr>
        <w:t>appuie les communautés</w:t>
      </w:r>
      <w:r w:rsidRPr="5B270C7B">
        <w:rPr>
          <w:lang w:val="fr-CA"/>
        </w:rPr>
        <w:t xml:space="preserve"> touchées par </w:t>
      </w:r>
      <w:r w:rsidRPr="073904A5">
        <w:rPr>
          <w:lang w:val="fr-CA"/>
        </w:rPr>
        <w:t xml:space="preserve">le racisme et expertes dans la lutte contre la discrimination, tout en renforçant l’utilisation de données probantes au sein du </w:t>
      </w:r>
      <w:r>
        <w:rPr>
          <w:lang w:val="fr-CA"/>
        </w:rPr>
        <w:t>GC</w:t>
      </w:r>
      <w:r w:rsidRPr="073904A5">
        <w:rPr>
          <w:lang w:val="fr-CA"/>
        </w:rPr>
        <w:t>. Renouvelée en 2024</w:t>
      </w:r>
      <w:r>
        <w:rPr>
          <w:lang w:val="fr-CA"/>
        </w:rPr>
        <w:t xml:space="preserve"> sous le nom de </w:t>
      </w:r>
      <w:r w:rsidRPr="00D04252">
        <w:rPr>
          <w:lang w:val="fr-CA"/>
        </w:rPr>
        <w:t>Changer les systèmes pour transformer des vies</w:t>
      </w:r>
      <w:r>
        <w:rPr>
          <w:lang w:val="fr-CA"/>
        </w:rPr>
        <w:t xml:space="preserve"> (2024-2028),</w:t>
      </w:r>
      <w:r w:rsidRPr="5B270C7B">
        <w:rPr>
          <w:lang w:val="fr-CA"/>
        </w:rPr>
        <w:t xml:space="preserve"> la stratégie oriente l’action fédérale concertée dans les domaines de </w:t>
      </w:r>
      <w:r w:rsidRPr="073904A5">
        <w:rPr>
          <w:lang w:val="fr-CA"/>
        </w:rPr>
        <w:t>l’emploi, la justice, le</w:t>
      </w:r>
      <w:r w:rsidRPr="5B270C7B">
        <w:rPr>
          <w:lang w:val="fr-CA"/>
        </w:rPr>
        <w:t xml:space="preserve"> </w:t>
      </w:r>
      <w:r w:rsidRPr="073904A5">
        <w:rPr>
          <w:lang w:val="fr-CA"/>
        </w:rPr>
        <w:t>logement, la</w:t>
      </w:r>
      <w:r w:rsidRPr="5B270C7B">
        <w:rPr>
          <w:lang w:val="fr-CA"/>
        </w:rPr>
        <w:t xml:space="preserve"> santé </w:t>
      </w:r>
      <w:r w:rsidRPr="073904A5">
        <w:rPr>
          <w:lang w:val="fr-CA"/>
        </w:rPr>
        <w:t xml:space="preserve">et l’immigration. Elle regroupe plus de 70 initiatives </w:t>
      </w:r>
      <w:r>
        <w:rPr>
          <w:lang w:val="fr-CA"/>
        </w:rPr>
        <w:t xml:space="preserve">fédérales </w:t>
      </w:r>
      <w:r w:rsidRPr="073904A5">
        <w:rPr>
          <w:lang w:val="fr-CA"/>
        </w:rPr>
        <w:t>élaborées à la suite d’un vaste processus de consultation avec les communautés, les chercheurs et les organisations, et vise à faire en sorte que les politiques et les services reflètent la diversité du Canada.</w:t>
      </w:r>
    </w:p>
    <w:p w14:paraId="4AABBA49" w14:textId="77777777" w:rsidR="00C83F56" w:rsidRDefault="00C83F56" w:rsidP="004F23C1">
      <w:pPr>
        <w:pStyle w:val="SingleTxtG"/>
        <w:numPr>
          <w:ilvl w:val="0"/>
          <w:numId w:val="4"/>
        </w:numPr>
        <w:ind w:left="1134" w:firstLine="0"/>
        <w:rPr>
          <w:lang w:val="fr-CA"/>
        </w:rPr>
      </w:pPr>
      <w:bookmarkStart w:id="25" w:name="lt_pId062"/>
      <w:r w:rsidRPr="5B270C7B">
        <w:rPr>
          <w:lang w:val="fr-CA"/>
        </w:rPr>
        <w:t>En 2017, l’Ontario a publié son Plan stratégique contre le racisme (la Stratégie), Une meilleure façon d’avancer, affirmant son engagement à lutter contre les principales formes de racisme systémique, notamment en adoptant une loi (</w:t>
      </w:r>
      <w:r w:rsidRPr="5B270C7B">
        <w:rPr>
          <w:i/>
          <w:iCs/>
          <w:lang w:val="fr-CA"/>
        </w:rPr>
        <w:t>Loi de 2017 contre le racisme</w:t>
      </w:r>
      <w:r w:rsidRPr="5B270C7B">
        <w:rPr>
          <w:lang w:val="fr-CA"/>
        </w:rPr>
        <w:t>) afin d’assurer la pérennité des efforts, ainsi que la reddition de comptes publiques.</w:t>
      </w:r>
      <w:bookmarkStart w:id="26" w:name="lt_pId063"/>
      <w:bookmarkEnd w:id="25"/>
      <w:r w:rsidRPr="5B270C7B">
        <w:rPr>
          <w:lang w:val="fr-CA"/>
        </w:rPr>
        <w:t xml:space="preserve"> Cette loi oblige la province à maintenir une stratégie de lutte contre le racisme, révisée au moins tous les cinq ans, avec cibles et indicateurs clairs, et à publier un rapport annuel détaillant les progrès, la mise en œuvre et les résultats. En 2023, une version actualisée de la Stratégie, intitulée</w:t>
      </w:r>
      <w:r w:rsidRPr="5B270C7B">
        <w:rPr>
          <w:i/>
          <w:iCs/>
          <w:lang w:val="fr-CA"/>
        </w:rPr>
        <w:t xml:space="preserve"> </w:t>
      </w:r>
      <w:r w:rsidRPr="5B270C7B">
        <w:rPr>
          <w:lang w:val="fr-CA"/>
        </w:rPr>
        <w:t xml:space="preserve">Bâtir </w:t>
      </w:r>
      <w:proofErr w:type="gramStart"/>
      <w:r w:rsidRPr="5B270C7B">
        <w:rPr>
          <w:lang w:val="fr-CA"/>
        </w:rPr>
        <w:t>un Ontario</w:t>
      </w:r>
      <w:proofErr w:type="gramEnd"/>
      <w:r w:rsidRPr="5B270C7B">
        <w:rPr>
          <w:lang w:val="fr-CA"/>
        </w:rPr>
        <w:t xml:space="preserve"> plus fort et plus inclusif : Plan stratégique de l’Ontario contre le racisme, est rendue </w:t>
      </w:r>
      <w:bookmarkEnd w:id="26"/>
      <w:r w:rsidRPr="5B270C7B">
        <w:rPr>
          <w:lang w:val="fr-CA"/>
        </w:rPr>
        <w:t xml:space="preserve">publique. Cette stratégie renforce les efforts contre le racisme systémique et pour l’inclusion raciale, en misant sur l’autonomisation économique, des politiques et responsabilisation des enfants et jeunes racisés, et des initiatives spécifiques à la population, incluant la lutte contre la haine raciale. Elle prévoit aussi des soutiens pour lutter contre les impacts négatifs de la haine, notamment le racisme anti-autochtones, </w:t>
      </w:r>
      <w:proofErr w:type="spellStart"/>
      <w:r w:rsidRPr="5B270C7B">
        <w:rPr>
          <w:lang w:val="fr-CA"/>
        </w:rPr>
        <w:t>antinoir</w:t>
      </w:r>
      <w:proofErr w:type="spellEnd"/>
      <w:r w:rsidRPr="5B270C7B">
        <w:rPr>
          <w:lang w:val="fr-CA"/>
        </w:rPr>
        <w:t xml:space="preserve">, l’antisémitisme et l’islamophobie. </w:t>
      </w:r>
    </w:p>
    <w:p w14:paraId="39164F66" w14:textId="77777777" w:rsidR="00C83F56" w:rsidRPr="009F5BC3" w:rsidRDefault="00C83F56" w:rsidP="004F23C1">
      <w:pPr>
        <w:pStyle w:val="SingleTxtG"/>
        <w:numPr>
          <w:ilvl w:val="0"/>
          <w:numId w:val="4"/>
        </w:numPr>
        <w:ind w:left="1134" w:firstLine="0"/>
        <w:rPr>
          <w:lang w:val="fr-CA"/>
        </w:rPr>
      </w:pPr>
      <w:r w:rsidRPr="5B270C7B">
        <w:rPr>
          <w:lang w:val="fr-CA"/>
        </w:rPr>
        <w:t>En 2021, le Nouveau-Brunswick a nommé un commissaire indépendant sur le racisme systémique qui do</w:t>
      </w:r>
      <w:r>
        <w:rPr>
          <w:lang w:val="fr-CA"/>
        </w:rPr>
        <w:t xml:space="preserve">nt le mandat est de </w:t>
      </w:r>
      <w:r w:rsidRPr="5B270C7B">
        <w:rPr>
          <w:lang w:val="fr-CA"/>
        </w:rPr>
        <w:t xml:space="preserve">consulter </w:t>
      </w:r>
      <w:r>
        <w:rPr>
          <w:lang w:val="fr-CA"/>
        </w:rPr>
        <w:t xml:space="preserve">le gouvernement </w:t>
      </w:r>
      <w:r w:rsidRPr="5B270C7B">
        <w:rPr>
          <w:lang w:val="fr-CA"/>
        </w:rPr>
        <w:t xml:space="preserve">et de </w:t>
      </w:r>
      <w:r>
        <w:rPr>
          <w:lang w:val="fr-CA"/>
        </w:rPr>
        <w:t>lui faire des recommandations en vue de l’élaboration d’</w:t>
      </w:r>
      <w:r w:rsidRPr="5B270C7B">
        <w:rPr>
          <w:lang w:val="fr-CA"/>
        </w:rPr>
        <w:t xml:space="preserve">une stratégie provinciale </w:t>
      </w:r>
      <w:r>
        <w:rPr>
          <w:lang w:val="fr-CA"/>
        </w:rPr>
        <w:t>de lutte contre le racisme</w:t>
      </w:r>
      <w:r w:rsidRPr="5B270C7B">
        <w:rPr>
          <w:lang w:val="fr-CA"/>
        </w:rPr>
        <w:t>.</w:t>
      </w:r>
    </w:p>
    <w:p w14:paraId="27F0BD78" w14:textId="180BCE95" w:rsidR="00C83F56" w:rsidRPr="00A7517B" w:rsidRDefault="007B658E" w:rsidP="007B658E">
      <w:pPr>
        <w:pStyle w:val="H23G"/>
        <w:rPr>
          <w:lang w:val="fr-CA"/>
        </w:rPr>
      </w:pPr>
      <w:r>
        <w:rPr>
          <w:lang w:val="fr-CA"/>
        </w:rPr>
        <w:tab/>
      </w:r>
      <w:r>
        <w:rPr>
          <w:lang w:val="fr-CA"/>
        </w:rPr>
        <w:tab/>
      </w:r>
      <w:r w:rsidR="00C83F56" w:rsidRPr="5B270C7B">
        <w:rPr>
          <w:lang w:val="fr-CA"/>
        </w:rPr>
        <w:t>L’envoyée spéciale du Canada pour la préservation de la mémoire de l’Holocauste et la lutte contre l’antisémitisme (L’envoyée spéciale) et la représentante spéciale du Canada chargée de la lutte contre l’islamophobie (la représentante spéciale)</w:t>
      </w:r>
    </w:p>
    <w:p w14:paraId="59A16E06" w14:textId="77777777" w:rsidR="00C83F56" w:rsidRPr="00A7517B" w:rsidRDefault="00C83F56" w:rsidP="004F23C1">
      <w:pPr>
        <w:pStyle w:val="SingleTxtG"/>
        <w:numPr>
          <w:ilvl w:val="0"/>
          <w:numId w:val="4"/>
        </w:numPr>
        <w:ind w:left="1134" w:firstLine="0"/>
        <w:rPr>
          <w:lang w:val="fr-CA"/>
        </w:rPr>
      </w:pPr>
      <w:r w:rsidRPr="5B270C7B">
        <w:rPr>
          <w:lang w:val="fr-CA"/>
        </w:rPr>
        <w:t xml:space="preserve">Le Canada continue de soutenir l’Envoyée spéciale dans la promotion de l’éducation, de la commémoration, de la recherche sur l’Holocauste; et encourage l’adoption de la définition de l’antisémitisme de l’Alliance internationale pour la mémoire de l’Holocauste (AIMH). Nommée en 2023, la Représentante spéciale collabore avec les communautés et sensibilise la population à l’islamophobie à travers le Canada. En 2025, le </w:t>
      </w:r>
      <w:r>
        <w:rPr>
          <w:lang w:val="fr-CA"/>
        </w:rPr>
        <w:t>GC</w:t>
      </w:r>
      <w:r w:rsidRPr="5B270C7B">
        <w:rPr>
          <w:lang w:val="fr-CA"/>
        </w:rPr>
        <w:t xml:space="preserve"> a publié le Guide canadien pour comprendre et combattre l’islamophobie afin de soutenir l’éducation, l’inclusion et l’élaboration de politiques.</w:t>
      </w:r>
    </w:p>
    <w:p w14:paraId="2106B652" w14:textId="1B2EEAF6" w:rsidR="00C83F56" w:rsidRPr="00A7517B" w:rsidRDefault="007B658E" w:rsidP="007B658E">
      <w:pPr>
        <w:pStyle w:val="H23G"/>
        <w:rPr>
          <w:lang w:val="fr-CA"/>
        </w:rPr>
      </w:pPr>
      <w:bookmarkStart w:id="27" w:name="lt_pId067"/>
      <w:r>
        <w:rPr>
          <w:lang w:val="fr-CA"/>
        </w:rPr>
        <w:tab/>
      </w:r>
      <w:r>
        <w:rPr>
          <w:lang w:val="fr-CA"/>
        </w:rPr>
        <w:tab/>
      </w:r>
      <w:r w:rsidR="00C83F56" w:rsidRPr="463BAFC0">
        <w:rPr>
          <w:lang w:val="fr-CA"/>
        </w:rPr>
        <w:t xml:space="preserve">Plan d’action canadien de lutte contre la haine </w:t>
      </w:r>
      <w:bookmarkEnd w:id="27"/>
      <w:r w:rsidR="00C83F56">
        <w:rPr>
          <w:lang w:val="fr-CA"/>
        </w:rPr>
        <w:t>(PACLCH)</w:t>
      </w:r>
    </w:p>
    <w:p w14:paraId="198D2EF9" w14:textId="77777777" w:rsidR="00C83F56" w:rsidRDefault="00C83F56" w:rsidP="004F23C1">
      <w:pPr>
        <w:pStyle w:val="SingleTxtG"/>
        <w:numPr>
          <w:ilvl w:val="0"/>
          <w:numId w:val="4"/>
        </w:numPr>
        <w:ind w:left="1134" w:firstLine="0"/>
        <w:rPr>
          <w:lang w:val="fr-FR"/>
        </w:rPr>
      </w:pPr>
      <w:r w:rsidRPr="5B270C7B">
        <w:rPr>
          <w:lang w:val="fr-FR"/>
        </w:rPr>
        <w:t xml:space="preserve">Lancé en 2024, le PACLCH constitue la première initiative interministérielle du </w:t>
      </w:r>
      <w:r>
        <w:rPr>
          <w:lang w:val="fr-FR"/>
        </w:rPr>
        <w:t>GC</w:t>
      </w:r>
      <w:r w:rsidRPr="5B270C7B">
        <w:rPr>
          <w:lang w:val="fr-FR"/>
        </w:rPr>
        <w:t xml:space="preserve"> visant à lutter contre toutes formes de haine. Il regroupe 20 mesures coordonnées, menés par six ministères et organismes fédéraux, </w:t>
      </w:r>
      <w:proofErr w:type="spellStart"/>
      <w:r>
        <w:rPr>
          <w:lang w:val="fr-FR"/>
        </w:rPr>
        <w:t>ax</w:t>
      </w:r>
      <w:r>
        <w:rPr>
          <w:lang w:val="fr-CA"/>
        </w:rPr>
        <w:t>ées</w:t>
      </w:r>
      <w:proofErr w:type="spellEnd"/>
      <w:r w:rsidRPr="5B270C7B">
        <w:rPr>
          <w:lang w:val="fr-FR"/>
        </w:rPr>
        <w:t xml:space="preserve"> sur la prévention, la protection, la responsabilisation et le soutien aux communautés. Le PA</w:t>
      </w:r>
      <w:r>
        <w:rPr>
          <w:lang w:val="fr-FR"/>
        </w:rPr>
        <w:t>C</w:t>
      </w:r>
      <w:r w:rsidRPr="5B270C7B">
        <w:rPr>
          <w:lang w:val="fr-FR"/>
        </w:rPr>
        <w:t xml:space="preserve">LCH, conçu à partir de la Stratégie de lutte contre le racisme, reflète un engagement profond avec les communautés et les experts. Il renforce la capacité du Canada à répondre aux incidents haineux, à soutenir les victimes et à promouvoir des politiques publiques inclusives. Le </w:t>
      </w:r>
      <w:r>
        <w:rPr>
          <w:lang w:val="fr-FR"/>
        </w:rPr>
        <w:t>PACLCH</w:t>
      </w:r>
      <w:r w:rsidRPr="5B270C7B">
        <w:rPr>
          <w:lang w:val="fr-FR"/>
        </w:rPr>
        <w:t xml:space="preserve"> couvre un large éventail de formes de haine, notamment le racisme </w:t>
      </w:r>
      <w:r>
        <w:rPr>
          <w:lang w:val="fr-FR"/>
        </w:rPr>
        <w:t xml:space="preserve">envers les </w:t>
      </w:r>
      <w:r w:rsidRPr="5B270C7B">
        <w:rPr>
          <w:lang w:val="fr-FR"/>
        </w:rPr>
        <w:t>Autochtone</w:t>
      </w:r>
      <w:r>
        <w:rPr>
          <w:lang w:val="fr-FR"/>
        </w:rPr>
        <w:t>s</w:t>
      </w:r>
      <w:r w:rsidRPr="5B270C7B">
        <w:rPr>
          <w:lang w:val="fr-FR"/>
        </w:rPr>
        <w:t xml:space="preserve">, </w:t>
      </w:r>
      <w:r>
        <w:rPr>
          <w:lang w:val="fr-FR"/>
        </w:rPr>
        <w:t xml:space="preserve">les </w:t>
      </w:r>
      <w:r w:rsidRPr="5B270C7B">
        <w:rPr>
          <w:lang w:val="fr-FR"/>
        </w:rPr>
        <w:t>Noir</w:t>
      </w:r>
      <w:r>
        <w:rPr>
          <w:lang w:val="fr-FR"/>
        </w:rPr>
        <w:t>s et les</w:t>
      </w:r>
      <w:r w:rsidRPr="5B270C7B">
        <w:rPr>
          <w:lang w:val="fr-FR"/>
        </w:rPr>
        <w:t xml:space="preserve"> Asiatique</w:t>
      </w:r>
      <w:r>
        <w:rPr>
          <w:lang w:val="fr-FR"/>
        </w:rPr>
        <w:t>s</w:t>
      </w:r>
      <w:r w:rsidRPr="5B270C7B">
        <w:rPr>
          <w:lang w:val="fr-FR"/>
        </w:rPr>
        <w:t xml:space="preserve">, </w:t>
      </w:r>
      <w:r>
        <w:rPr>
          <w:lang w:val="fr-FR"/>
        </w:rPr>
        <w:t xml:space="preserve">ainsi que </w:t>
      </w:r>
      <w:r w:rsidRPr="5B270C7B">
        <w:rPr>
          <w:lang w:val="fr-FR"/>
        </w:rPr>
        <w:t>l’antisémitisme, l’islamophobie et d’autres formes de discrimination.</w:t>
      </w:r>
    </w:p>
    <w:p w14:paraId="584FCF5C" w14:textId="12F15F53" w:rsidR="00C83F56" w:rsidRPr="00A7517B" w:rsidRDefault="007B658E" w:rsidP="007B658E">
      <w:pPr>
        <w:pStyle w:val="H1G"/>
        <w:rPr>
          <w:lang w:val="fr-CA"/>
        </w:rPr>
      </w:pPr>
      <w:bookmarkStart w:id="28" w:name="lt_pId073"/>
      <w:r>
        <w:rPr>
          <w:lang w:val="fr-CA"/>
        </w:rPr>
        <w:tab/>
      </w:r>
      <w:r>
        <w:rPr>
          <w:lang w:val="fr-CA"/>
        </w:rPr>
        <w:tab/>
      </w:r>
      <w:r w:rsidR="00C83F56" w:rsidRPr="00831557">
        <w:rPr>
          <w:lang w:val="fr-CA"/>
        </w:rPr>
        <w:t>Consultations avec la société civile</w:t>
      </w:r>
      <w:r w:rsidR="00C83F56">
        <w:rPr>
          <w:lang w:val="fr-CA"/>
        </w:rPr>
        <w:t>,</w:t>
      </w:r>
      <w:r w:rsidR="00C83F56" w:rsidRPr="00831557">
        <w:rPr>
          <w:lang w:val="fr-CA"/>
        </w:rPr>
        <w:t xml:space="preserve"> les </w:t>
      </w:r>
      <w:bookmarkEnd w:id="28"/>
      <w:r w:rsidR="00C83F56">
        <w:rPr>
          <w:lang w:val="fr-CA"/>
        </w:rPr>
        <w:t xml:space="preserve">représentants </w:t>
      </w:r>
      <w:r w:rsidR="00C83F56" w:rsidRPr="00831557">
        <w:rPr>
          <w:lang w:val="fr-CA"/>
        </w:rPr>
        <w:t>autochtones</w:t>
      </w:r>
      <w:r w:rsidR="00C83F56">
        <w:rPr>
          <w:lang w:val="fr-CA"/>
        </w:rPr>
        <w:t xml:space="preserve"> et les commissions des droits de la personne</w:t>
      </w:r>
    </w:p>
    <w:p w14:paraId="08D2F283" w14:textId="77777777" w:rsidR="00C83F56" w:rsidRPr="00F67234" w:rsidRDefault="00C83F56" w:rsidP="004F23C1">
      <w:pPr>
        <w:pStyle w:val="SingleTxtG"/>
        <w:numPr>
          <w:ilvl w:val="0"/>
          <w:numId w:val="4"/>
        </w:numPr>
        <w:ind w:left="1134" w:firstLine="0"/>
        <w:rPr>
          <w:lang w:val="fr-CA"/>
        </w:rPr>
      </w:pPr>
      <w:bookmarkStart w:id="29" w:name="lt_pId074"/>
      <w:r w:rsidRPr="00F67234">
        <w:rPr>
          <w:lang w:val="fr-CA"/>
        </w:rPr>
        <w:t xml:space="preserve">La Table FPT sur les droits de la personne fait partie intégrante du </w:t>
      </w:r>
      <w:r w:rsidRPr="009F5944">
        <w:rPr>
          <w:lang w:val="fr-CA"/>
        </w:rPr>
        <w:t>Mécanisme national de mise en œuvre, d'établissement de rapports</w:t>
      </w:r>
      <w:r>
        <w:rPr>
          <w:lang w:val="fr-CA"/>
        </w:rPr>
        <w:t xml:space="preserve"> et</w:t>
      </w:r>
      <w:r w:rsidRPr="009F5944">
        <w:rPr>
          <w:lang w:val="fr-CA"/>
        </w:rPr>
        <w:t xml:space="preserve"> de suivi du Canada </w:t>
      </w:r>
      <w:r w:rsidRPr="00F67234">
        <w:rPr>
          <w:lang w:val="fr-CA"/>
        </w:rPr>
        <w:t>en matière de droits de la personne</w:t>
      </w:r>
      <w:r>
        <w:rPr>
          <w:lang w:val="fr-CA"/>
        </w:rPr>
        <w:t>. Elle e</w:t>
      </w:r>
      <w:r w:rsidRPr="00F67234">
        <w:rPr>
          <w:lang w:val="fr-CA"/>
        </w:rPr>
        <w:t xml:space="preserve">ntretient un dialogue avec des centaines d’intervenants de la société civile, de représentants autochtones et de commissions des droits de la personne à </w:t>
      </w:r>
      <w:r w:rsidRPr="00E64C20">
        <w:rPr>
          <w:lang w:val="fr-CA"/>
        </w:rPr>
        <w:t>l’échelle du</w:t>
      </w:r>
      <w:r w:rsidRPr="00F67234">
        <w:rPr>
          <w:lang w:val="fr-CA"/>
        </w:rPr>
        <w:t xml:space="preserve"> pays</w:t>
      </w:r>
      <w:r>
        <w:rPr>
          <w:lang w:val="fr-CA"/>
        </w:rPr>
        <w:t xml:space="preserve">, </w:t>
      </w:r>
      <w:r w:rsidRPr="00E64C20">
        <w:rPr>
          <w:lang w:val="fr-CA"/>
        </w:rPr>
        <w:t>regroupant plus de 486 organisations</w:t>
      </w:r>
      <w:r>
        <w:rPr>
          <w:lang w:val="fr-CA"/>
        </w:rPr>
        <w:t>.</w:t>
      </w:r>
      <w:r w:rsidRPr="00F67234">
        <w:rPr>
          <w:lang w:val="fr-CA"/>
        </w:rPr>
        <w:t xml:space="preserve"> Cet engagement se concrétise par des réunions officielles, des consultations bilatérales et un partage continu d’information concernant les sept traités internationaux relatifs aux droits de la personne auxquels le Canada est parti, </w:t>
      </w:r>
      <w:r>
        <w:rPr>
          <w:lang w:val="fr-CA"/>
        </w:rPr>
        <w:t>et</w:t>
      </w:r>
      <w:r w:rsidRPr="00F67234">
        <w:rPr>
          <w:lang w:val="fr-CA"/>
        </w:rPr>
        <w:t xml:space="preserve"> l’EPU.</w:t>
      </w:r>
      <w:r>
        <w:rPr>
          <w:lang w:val="fr-CA"/>
        </w:rPr>
        <w:t xml:space="preserve"> Dans le cadre de la réunion ministérielle de</w:t>
      </w:r>
      <w:r w:rsidRPr="00F67234">
        <w:rPr>
          <w:lang w:val="fr-CA"/>
        </w:rPr>
        <w:t xml:space="preserve"> 2020, les </w:t>
      </w:r>
      <w:r>
        <w:rPr>
          <w:lang w:val="fr-CA"/>
        </w:rPr>
        <w:t xml:space="preserve">représentants des gouvernements </w:t>
      </w:r>
      <w:r w:rsidRPr="00F67234">
        <w:rPr>
          <w:lang w:val="fr-CA"/>
        </w:rPr>
        <w:t>FPT</w:t>
      </w:r>
      <w:r>
        <w:rPr>
          <w:lang w:val="fr-CA"/>
        </w:rPr>
        <w:t xml:space="preserve"> présents</w:t>
      </w:r>
      <w:r w:rsidRPr="00F67234">
        <w:rPr>
          <w:lang w:val="fr-CA"/>
        </w:rPr>
        <w:t xml:space="preserve"> ont approuvé la Stratégie d’engagement sur le processus de rapports du Canada sur les droits internationaux de la personne à l’échelle internationale, accessible au public, ainsi que le Protocole relatif au suivi des recommandations des organes internationaux des droits de la personne, qui fournissent des lignes directrices sur l’engagement auprès des organisations non gouvernementales.</w:t>
      </w:r>
      <w:bookmarkEnd w:id="29"/>
      <w:r w:rsidRPr="00F67234">
        <w:rPr>
          <w:lang w:val="fr-CA"/>
        </w:rPr>
        <w:t xml:space="preserve"> </w:t>
      </w:r>
    </w:p>
    <w:p w14:paraId="1FAE4942" w14:textId="77777777" w:rsidR="00C83F56" w:rsidRPr="00A7517B" w:rsidRDefault="00C83F56" w:rsidP="004F23C1">
      <w:pPr>
        <w:pStyle w:val="SingleTxtG"/>
        <w:numPr>
          <w:ilvl w:val="0"/>
          <w:numId w:val="4"/>
        </w:numPr>
        <w:ind w:left="1134" w:firstLine="0"/>
        <w:rPr>
          <w:lang w:val="fr-CA"/>
        </w:rPr>
      </w:pPr>
      <w:r w:rsidRPr="00F67234">
        <w:rPr>
          <w:lang w:val="fr-CA"/>
        </w:rPr>
        <w:t>À la suite d’un projet pilote mené en 2022</w:t>
      </w:r>
      <w:r>
        <w:rPr>
          <w:lang w:val="fr-CA"/>
        </w:rPr>
        <w:t>-</w:t>
      </w:r>
      <w:r w:rsidRPr="00F67234">
        <w:rPr>
          <w:lang w:val="fr-CA"/>
        </w:rPr>
        <w:t>2023 sur l’engagement dans le cadre de la présentation de rapports aux organes de traités</w:t>
      </w:r>
      <w:r>
        <w:rPr>
          <w:lang w:val="fr-CA"/>
        </w:rPr>
        <w:t xml:space="preserve">, </w:t>
      </w:r>
      <w:r w:rsidRPr="00F67234">
        <w:rPr>
          <w:lang w:val="fr-CA"/>
        </w:rPr>
        <w:t>dirigé par la Table FPT sur les droits de la personne en réponse aux commentaires de la société civile</w:t>
      </w:r>
      <w:r>
        <w:rPr>
          <w:lang w:val="fr-CA"/>
        </w:rPr>
        <w:t xml:space="preserve">, </w:t>
      </w:r>
      <w:r w:rsidRPr="00F67234">
        <w:rPr>
          <w:lang w:val="fr-CA"/>
        </w:rPr>
        <w:t xml:space="preserve">une </w:t>
      </w:r>
      <w:r>
        <w:rPr>
          <w:lang w:val="fr-CA"/>
        </w:rPr>
        <w:t>A</w:t>
      </w:r>
      <w:r w:rsidRPr="00F67234">
        <w:rPr>
          <w:lang w:val="fr-CA"/>
        </w:rPr>
        <w:t>pproche révisée en matière d’engagement pour la présentation de rapports aux organes de traités (2024) a été élaborée</w:t>
      </w:r>
      <w:r>
        <w:rPr>
          <w:lang w:val="fr-CA"/>
        </w:rPr>
        <w:t xml:space="preserve"> </w:t>
      </w:r>
      <w:r w:rsidRPr="00E64C20">
        <w:rPr>
          <w:lang w:val="fr-CA"/>
        </w:rPr>
        <w:t>et diffusée auprès d’organisations partout au Canada.</w:t>
      </w:r>
      <w:r w:rsidRPr="00F67234">
        <w:rPr>
          <w:lang w:val="fr-CA"/>
        </w:rPr>
        <w:t xml:space="preserve"> Cette</w:t>
      </w:r>
      <w:r w:rsidRPr="00E64C20">
        <w:rPr>
          <w:lang w:val="fr-CA"/>
        </w:rPr>
        <w:t xml:space="preserve"> approche actualisée définit les activités de mobilisation de la Table FPT tout au long du cycle de présentation de rapports, assurant un processus plus structuré et inclusif. Elle prévoit des rencontres régulières entre partenaires, parties prenantes et divers comités de la Table FPT, offrant l’occasion de répondre aux questions, de partager des perspectives sur la mise en œuvre et d’échanger directement avec les représentants gouvernementaux FPT sur les priorités et mesures concrètes à adopter pour donner suite aux observations finales. Le processus culmine par un espace dédié, en amont du Forum biennal des ministres responsables des droits de la personne, où sont </w:t>
      </w:r>
      <w:r>
        <w:rPr>
          <w:lang w:val="fr-CA"/>
        </w:rPr>
        <w:t>discut</w:t>
      </w:r>
      <w:r w:rsidRPr="00E64C20">
        <w:rPr>
          <w:lang w:val="fr-CA"/>
        </w:rPr>
        <w:t>és avec les ministres FPT les rapports et examens</w:t>
      </w:r>
      <w:r>
        <w:rPr>
          <w:lang w:val="fr-CA"/>
        </w:rPr>
        <w:t>,</w:t>
      </w:r>
      <w:r w:rsidRPr="00E64C20">
        <w:rPr>
          <w:lang w:val="fr-CA"/>
        </w:rPr>
        <w:t xml:space="preserve"> y compris ceux liés à la CIEDR. </w:t>
      </w:r>
    </w:p>
    <w:p w14:paraId="7C3D2F42" w14:textId="77777777" w:rsidR="00C83F56" w:rsidRPr="001F59FA" w:rsidRDefault="00C83F56" w:rsidP="004F23C1">
      <w:pPr>
        <w:pStyle w:val="SingleTxtG"/>
        <w:numPr>
          <w:ilvl w:val="0"/>
          <w:numId w:val="4"/>
        </w:numPr>
        <w:ind w:left="1134" w:firstLine="0"/>
        <w:rPr>
          <w:lang w:val="fr-CA"/>
        </w:rPr>
      </w:pPr>
      <w:r w:rsidRPr="00775B5E">
        <w:rPr>
          <w:lang w:val="fr-CA"/>
        </w:rPr>
        <w:t xml:space="preserve">Des séances d’engagement distinctes sont organisées avec la société civile, les partenaires autochtones et les commissions des droits de la personne, à la demande de ces deux derniers groupes. Depuis le lancement </w:t>
      </w:r>
      <w:r w:rsidRPr="00E64C20">
        <w:rPr>
          <w:lang w:val="fr-CA"/>
        </w:rPr>
        <w:t>de la Stratégie</w:t>
      </w:r>
      <w:r>
        <w:rPr>
          <w:lang w:val="fr-CA"/>
        </w:rPr>
        <w:t xml:space="preserve"> </w:t>
      </w:r>
      <w:r w:rsidRPr="00775B5E">
        <w:rPr>
          <w:lang w:val="fr-CA"/>
        </w:rPr>
        <w:t>d’engagement</w:t>
      </w:r>
      <w:r>
        <w:rPr>
          <w:lang w:val="fr-CA"/>
        </w:rPr>
        <w:t>,</w:t>
      </w:r>
      <w:r w:rsidRPr="00775B5E">
        <w:rPr>
          <w:lang w:val="fr-CA"/>
        </w:rPr>
        <w:t xml:space="preserve"> le Canada a tenu plus de 12 séances afin de discuter de la présentation de rapports du Canada aux organes internationaux des droits de la personne et de l’</w:t>
      </w:r>
      <w:r>
        <w:rPr>
          <w:lang w:val="fr-CA"/>
        </w:rPr>
        <w:t xml:space="preserve">EPU, </w:t>
      </w:r>
      <w:r w:rsidRPr="00A940C6">
        <w:rPr>
          <w:lang w:val="fr-CA"/>
        </w:rPr>
        <w:t>en plus de discussions informelles avec des organisations de la société civile, des représentants autochtones et des commissions canadiennes des droits de la personne.</w:t>
      </w:r>
    </w:p>
    <w:p w14:paraId="524ADF5A" w14:textId="77777777" w:rsidR="00C83F56" w:rsidRPr="00FE7D5C" w:rsidRDefault="00C83F56" w:rsidP="004F23C1">
      <w:pPr>
        <w:pStyle w:val="SingleTxtG"/>
        <w:numPr>
          <w:ilvl w:val="0"/>
          <w:numId w:val="4"/>
        </w:numPr>
        <w:ind w:left="1134" w:firstLine="0"/>
        <w:rPr>
          <w:b/>
          <w:bCs/>
          <w:lang w:val="fr-CA"/>
        </w:rPr>
      </w:pPr>
      <w:bookmarkStart w:id="30" w:name="lt_pId082"/>
      <w:r w:rsidRPr="00A075CC">
        <w:rPr>
          <w:lang w:val="fr-CA"/>
        </w:rPr>
        <w:t xml:space="preserve">L’engagement sur les questions relatives aux droits de la personne est également </w:t>
      </w:r>
      <w:r>
        <w:rPr>
          <w:lang w:val="fr-CA"/>
        </w:rPr>
        <w:t>men</w:t>
      </w:r>
      <w:r w:rsidRPr="00A075CC">
        <w:rPr>
          <w:lang w:val="fr-CA"/>
        </w:rPr>
        <w:t xml:space="preserve">é par les gouvernements </w:t>
      </w:r>
      <w:r>
        <w:rPr>
          <w:lang w:val="fr-CA"/>
        </w:rPr>
        <w:t xml:space="preserve">PT </w:t>
      </w:r>
      <w:r w:rsidRPr="00A075CC">
        <w:rPr>
          <w:lang w:val="fr-CA"/>
        </w:rPr>
        <w:t xml:space="preserve">ainsi que par des organismes indépendants, </w:t>
      </w:r>
      <w:r>
        <w:rPr>
          <w:lang w:val="fr-CA"/>
        </w:rPr>
        <w:t xml:space="preserve">tels que </w:t>
      </w:r>
      <w:r w:rsidRPr="00A075CC">
        <w:rPr>
          <w:lang w:val="fr-CA"/>
        </w:rPr>
        <w:t xml:space="preserve">les commissions des droits de la personne à travers le Canada. En 2017, par exemple, la Commission des droits de la personne de l’Alberta a tenu des consultations avec cinq communautés de la province </w:t>
      </w:r>
      <w:r>
        <w:rPr>
          <w:lang w:val="fr-CA"/>
        </w:rPr>
        <w:t>concernant</w:t>
      </w:r>
      <w:r w:rsidRPr="00A075CC">
        <w:rPr>
          <w:lang w:val="fr-CA"/>
        </w:rPr>
        <w:t xml:space="preserve"> l’état des enjeux et </w:t>
      </w:r>
      <w:r>
        <w:rPr>
          <w:lang w:val="fr-CA"/>
        </w:rPr>
        <w:t xml:space="preserve">des </w:t>
      </w:r>
      <w:r w:rsidRPr="00A075CC">
        <w:rPr>
          <w:lang w:val="fr-CA"/>
        </w:rPr>
        <w:t>priorités en matière de droits de la personne</w:t>
      </w:r>
      <w:r>
        <w:rPr>
          <w:lang w:val="fr-CA"/>
        </w:rPr>
        <w:t xml:space="preserve"> dans la province</w:t>
      </w:r>
      <w:r w:rsidRPr="00A075CC">
        <w:rPr>
          <w:lang w:val="fr-CA"/>
        </w:rPr>
        <w:t xml:space="preserve">. Ces consultations ont mené à la publication du rapport Votre voix : Faire progresser les droits de la personne en Alberta, qui résume les commentaires d’un large éventail d’Albertains — notamment des Autochtones, immigrants et réfugiés. </w:t>
      </w:r>
      <w:bookmarkStart w:id="31" w:name="lt_pId085"/>
      <w:bookmarkEnd w:id="30"/>
    </w:p>
    <w:p w14:paraId="1D675A96" w14:textId="5CE040CF" w:rsidR="00C83F56" w:rsidRPr="00A075CC" w:rsidRDefault="007B658E" w:rsidP="007B658E">
      <w:pPr>
        <w:pStyle w:val="H1G"/>
        <w:rPr>
          <w:lang w:val="fr-CA"/>
        </w:rPr>
      </w:pPr>
      <w:r>
        <w:rPr>
          <w:lang w:val="fr-CA"/>
        </w:rPr>
        <w:tab/>
      </w:r>
      <w:r>
        <w:rPr>
          <w:lang w:val="fr-CA"/>
        </w:rPr>
        <w:tab/>
      </w:r>
      <w:r w:rsidR="00C83F56" w:rsidRPr="00A075CC">
        <w:rPr>
          <w:lang w:val="fr-CA"/>
        </w:rPr>
        <w:t>Disponibilité des rapports et des observations finales</w:t>
      </w:r>
      <w:bookmarkEnd w:id="31"/>
    </w:p>
    <w:p w14:paraId="210AECA2" w14:textId="77777777" w:rsidR="00C83F56" w:rsidRPr="00A7517B" w:rsidRDefault="00C83F56" w:rsidP="004F23C1">
      <w:pPr>
        <w:pStyle w:val="SingleTxtG"/>
        <w:numPr>
          <w:ilvl w:val="0"/>
          <w:numId w:val="4"/>
        </w:numPr>
        <w:ind w:left="1134" w:firstLine="0"/>
        <w:rPr>
          <w:lang w:val="fr-CA"/>
        </w:rPr>
      </w:pPr>
      <w:r w:rsidRPr="5B270C7B">
        <w:rPr>
          <w:lang w:val="fr-CA"/>
        </w:rPr>
        <w:t>Les rapports du Canada aux organes conventionnels de l’ONU en matière de droits de la personne, ainsi que pour l’EPU, et les observations finales émises sur le Canada, sont accessibles au public sur le site Web du GC. Ils sont également communiqués proactivement aux partenaires et intervenants actifs dans le domaine d’établissement de rapports en matière de droits de la personne, et sont déposés au Parlement fédéral.</w:t>
      </w:r>
    </w:p>
    <w:p w14:paraId="3B24C8E9" w14:textId="62EC7968" w:rsidR="00C83F56" w:rsidRPr="00A7517B" w:rsidRDefault="007B658E" w:rsidP="007B658E">
      <w:pPr>
        <w:pStyle w:val="H1G"/>
        <w:rPr>
          <w:lang w:val="fr-CA"/>
        </w:rPr>
      </w:pPr>
      <w:bookmarkStart w:id="32" w:name="lt_pId088"/>
      <w:r>
        <w:rPr>
          <w:lang w:val="fr-CA"/>
        </w:rPr>
        <w:tab/>
      </w:r>
      <w:r>
        <w:rPr>
          <w:lang w:val="fr-CA"/>
        </w:rPr>
        <w:tab/>
      </w:r>
      <w:r w:rsidR="00C83F56" w:rsidRPr="00E858AD">
        <w:rPr>
          <w:lang w:val="fr-CA"/>
        </w:rPr>
        <w:t>Suivi de la Décennie internationale des personnes d</w:t>
      </w:r>
      <w:r w:rsidR="00C83F56">
        <w:rPr>
          <w:lang w:val="fr-CA"/>
        </w:rPr>
        <w:t>’</w:t>
      </w:r>
      <w:r w:rsidR="00C83F56" w:rsidRPr="00E858AD">
        <w:rPr>
          <w:lang w:val="fr-CA"/>
        </w:rPr>
        <w:t>ascendance africaine</w:t>
      </w:r>
      <w:bookmarkEnd w:id="32"/>
    </w:p>
    <w:p w14:paraId="0D3C661E" w14:textId="77777777" w:rsidR="00C83F56" w:rsidRPr="0052711E" w:rsidRDefault="00C83F56" w:rsidP="004F23C1">
      <w:pPr>
        <w:pStyle w:val="SingleTxtG"/>
        <w:numPr>
          <w:ilvl w:val="0"/>
          <w:numId w:val="4"/>
        </w:numPr>
        <w:ind w:left="1134" w:firstLine="0"/>
        <w:rPr>
          <w:lang w:val="fr-CA"/>
        </w:rPr>
      </w:pPr>
      <w:bookmarkStart w:id="33" w:name="lt_pId089"/>
      <w:r w:rsidRPr="51A13573">
        <w:rPr>
          <w:lang w:val="fr-CA"/>
        </w:rPr>
        <w:t xml:space="preserve">Le </w:t>
      </w:r>
      <w:r>
        <w:rPr>
          <w:lang w:val="fr-CA"/>
        </w:rPr>
        <w:t>GC</w:t>
      </w:r>
      <w:r w:rsidRPr="51A13573">
        <w:rPr>
          <w:lang w:val="fr-CA"/>
        </w:rPr>
        <w:t xml:space="preserve"> a offici</w:t>
      </w:r>
      <w:r>
        <w:rPr>
          <w:lang w:val="fr-CA"/>
        </w:rPr>
        <w:t xml:space="preserve">alisé la </w:t>
      </w:r>
      <w:r w:rsidRPr="51A13573">
        <w:rPr>
          <w:lang w:val="fr-CA"/>
        </w:rPr>
        <w:t>Décennie internationale des personnes d’ascendance africaine en 2018 (la Décennie)</w:t>
      </w:r>
      <w:bookmarkStart w:id="34" w:name="lt_pId090"/>
      <w:bookmarkEnd w:id="33"/>
      <w:r w:rsidRPr="51A13573">
        <w:rPr>
          <w:lang w:val="fr-CA"/>
        </w:rPr>
        <w:t>.</w:t>
      </w:r>
      <w:bookmarkEnd w:id="34"/>
      <w:r w:rsidRPr="51A13573">
        <w:rPr>
          <w:lang w:val="fr-CA"/>
        </w:rPr>
        <w:t xml:space="preserve"> </w:t>
      </w:r>
      <w:bookmarkStart w:id="35" w:name="lt_pId091"/>
      <w:r>
        <w:rPr>
          <w:lang w:val="fr-CA"/>
        </w:rPr>
        <w:t xml:space="preserve">En </w:t>
      </w:r>
      <w:r w:rsidRPr="51A13573">
        <w:rPr>
          <w:lang w:val="fr-CA"/>
        </w:rPr>
        <w:t>2024, le premier ministre a annoncé la poursuite de ces efforts jusqu’en 2028.</w:t>
      </w:r>
      <w:bookmarkEnd w:id="35"/>
    </w:p>
    <w:p w14:paraId="61264DB6" w14:textId="77777777" w:rsidR="00C83F56" w:rsidRPr="0096749B" w:rsidRDefault="00C83F56" w:rsidP="004F23C1">
      <w:pPr>
        <w:pStyle w:val="SingleTxtG"/>
        <w:numPr>
          <w:ilvl w:val="0"/>
          <w:numId w:val="4"/>
        </w:numPr>
        <w:ind w:left="1134" w:firstLine="0"/>
        <w:rPr>
          <w:lang w:val="fr-CA"/>
        </w:rPr>
      </w:pPr>
      <w:r w:rsidRPr="0096749B">
        <w:rPr>
          <w:color w:val="000000" w:themeColor="text1"/>
          <w:lang w:val="fr-CA"/>
        </w:rPr>
        <w:t xml:space="preserve">Au niveau international, le Canada a soutenu la résolution de l’Assemblée générale de l'ONU qui a créé l'Instance permanente des personnes d’ascendance africaine (l’Instance permanente) en 2021 et coparrainé la Journée internationale des personnes d'ascendance </w:t>
      </w:r>
      <w:r w:rsidRPr="00391194">
        <w:rPr>
          <w:lang w:val="fr-CA"/>
        </w:rPr>
        <w:t>africaine</w:t>
      </w:r>
      <w:r w:rsidRPr="0096749B">
        <w:rPr>
          <w:color w:val="000000" w:themeColor="text1"/>
          <w:lang w:val="fr-CA"/>
        </w:rPr>
        <w:t>, adoptée en 2020. L’Instance permanent</w:t>
      </w:r>
      <w:r>
        <w:rPr>
          <w:color w:val="000000" w:themeColor="text1"/>
          <w:lang w:val="fr-CA"/>
        </w:rPr>
        <w:t>e</w:t>
      </w:r>
      <w:r w:rsidRPr="0096749B">
        <w:rPr>
          <w:color w:val="000000" w:themeColor="text1"/>
          <w:lang w:val="fr-CA"/>
        </w:rPr>
        <w:t xml:space="preserve"> sert en tant que mécanisme qui œuvre à l’amélioration de la sécurité, de la qualité de vie et des moyens de subsistance des personnes d’ascendance africaine. Le GC a participé à toutes les sessions </w:t>
      </w:r>
      <w:r>
        <w:rPr>
          <w:color w:val="000000" w:themeColor="text1"/>
          <w:lang w:val="fr-CA"/>
        </w:rPr>
        <w:t xml:space="preserve">annuelles </w:t>
      </w:r>
      <w:r w:rsidRPr="0096749B">
        <w:rPr>
          <w:color w:val="000000" w:themeColor="text1"/>
          <w:lang w:val="fr-CA"/>
        </w:rPr>
        <w:t>de l’Instance permanente.</w:t>
      </w:r>
    </w:p>
    <w:p w14:paraId="15801D88" w14:textId="77777777" w:rsidR="00C83F56" w:rsidRPr="00D04252" w:rsidRDefault="00C83F56" w:rsidP="004F23C1">
      <w:pPr>
        <w:pStyle w:val="SingleTxtG"/>
        <w:numPr>
          <w:ilvl w:val="0"/>
          <w:numId w:val="4"/>
        </w:numPr>
        <w:ind w:left="1134" w:firstLine="0"/>
        <w:rPr>
          <w:lang w:val="fr-CA"/>
        </w:rPr>
      </w:pPr>
      <w:r w:rsidRPr="00D04252">
        <w:rPr>
          <w:color w:val="000000" w:themeColor="text1"/>
          <w:lang w:val="fr-CA"/>
        </w:rPr>
        <w:t xml:space="preserve">L’initiative Appuyer les communautés noires du Canada (IACNC) du GC vise à renforcer la capacité des organisations communautaires dirigées par des Noirs, axés sur les Noirs et au service des personnes noires (B3), ainsi qu’à répondre aux priorités émergentes des collectivités et organisations noires au pays. Les subventions sont distribuées par l’entremise de quatre organisations intermédiaires dirigées par des Noirs, et complétées par un financement pour l’aide à l’immobilisation, la création d’un Institut national pour les personnes d’ascendance africaine et la mise en place d’un groupe de référence externe composé de leaders des communautés noires. Ce groupe sur la mise en œuvre de l’IACNC et de la Décennie. </w:t>
      </w:r>
      <w:r w:rsidRPr="00D04252">
        <w:rPr>
          <w:lang w:val="fr-CA"/>
        </w:rPr>
        <w:t xml:space="preserve"> </w:t>
      </w:r>
    </w:p>
    <w:p w14:paraId="6EF998C9" w14:textId="77777777" w:rsidR="00C83F56" w:rsidRPr="00AC7DB1" w:rsidRDefault="00C83F56" w:rsidP="004F23C1">
      <w:pPr>
        <w:pStyle w:val="SingleTxtG"/>
        <w:numPr>
          <w:ilvl w:val="0"/>
          <w:numId w:val="4"/>
        </w:numPr>
        <w:ind w:left="1134" w:firstLine="0"/>
        <w:rPr>
          <w:color w:val="000000" w:themeColor="text1"/>
          <w:lang w:val="fr-CA"/>
        </w:rPr>
      </w:pPr>
      <w:r w:rsidRPr="00AC7DB1">
        <w:rPr>
          <w:color w:val="000000" w:themeColor="text1"/>
          <w:lang w:val="fr-CA"/>
        </w:rPr>
        <w:t>Le GC a investi 200 millions de dollars dans le Fonds de dotation philanthropique dirigé par les Noirs</w:t>
      </w:r>
      <w:r>
        <w:rPr>
          <w:color w:val="000000" w:themeColor="text1"/>
          <w:lang w:val="fr-CA"/>
        </w:rPr>
        <w:t xml:space="preserve"> (le Fonds)</w:t>
      </w:r>
      <w:r w:rsidRPr="00AC7DB1">
        <w:rPr>
          <w:color w:val="000000" w:themeColor="text1"/>
          <w:lang w:val="fr-CA"/>
        </w:rPr>
        <w:t xml:space="preserve">, une source de financement à long terme destinée aux organismes de bienfaisance et aux organisations à but non lucratif au Canada qui sont dirigés par </w:t>
      </w:r>
      <w:r>
        <w:rPr>
          <w:color w:val="000000" w:themeColor="text1"/>
          <w:lang w:val="fr-CA"/>
        </w:rPr>
        <w:t>des Noirs, axés sur les Noirs et au service des Noirs (B3)</w:t>
      </w:r>
      <w:r w:rsidRPr="00AC7DB1">
        <w:rPr>
          <w:color w:val="000000" w:themeColor="text1"/>
          <w:lang w:val="fr-CA"/>
        </w:rPr>
        <w:t>. Ce</w:t>
      </w:r>
      <w:r>
        <w:rPr>
          <w:color w:val="000000" w:themeColor="text1"/>
          <w:lang w:val="fr-CA"/>
        </w:rPr>
        <w:t xml:space="preserve"> travail s’inscrit dans le cadre des efforts visant à réduire le</w:t>
      </w:r>
      <w:r w:rsidRPr="00AC7DB1">
        <w:rPr>
          <w:color w:val="000000" w:themeColor="text1"/>
          <w:lang w:val="fr-CA"/>
        </w:rPr>
        <w:t xml:space="preserve"> racisme </w:t>
      </w:r>
      <w:proofErr w:type="spellStart"/>
      <w:r w:rsidRPr="00AC7DB1">
        <w:rPr>
          <w:color w:val="000000" w:themeColor="text1"/>
          <w:lang w:val="fr-CA"/>
        </w:rPr>
        <w:t>ant</w:t>
      </w:r>
      <w:r>
        <w:rPr>
          <w:color w:val="000000" w:themeColor="text1"/>
          <w:lang w:val="fr-CA"/>
        </w:rPr>
        <w:t>inoirs</w:t>
      </w:r>
      <w:proofErr w:type="spellEnd"/>
      <w:r w:rsidRPr="00AC7DB1">
        <w:rPr>
          <w:color w:val="000000" w:themeColor="text1"/>
          <w:lang w:val="fr-CA"/>
        </w:rPr>
        <w:t xml:space="preserve"> et à améliorer les résultats sociaux et économiques au sein des communautés noires.</w:t>
      </w:r>
      <w:r>
        <w:rPr>
          <w:color w:val="000000" w:themeColor="text1"/>
          <w:lang w:val="fr-CA"/>
        </w:rPr>
        <w:t xml:space="preserve"> </w:t>
      </w:r>
      <w:r w:rsidRPr="00AC7DB1">
        <w:rPr>
          <w:color w:val="000000" w:themeColor="text1"/>
          <w:lang w:val="fr-CA"/>
        </w:rPr>
        <w:t xml:space="preserve">En 2023, le GC a conclu un accord avec la Fondation pour les communautés noires </w:t>
      </w:r>
      <w:r>
        <w:rPr>
          <w:color w:val="000000" w:themeColor="text1"/>
          <w:lang w:val="fr-CA"/>
        </w:rPr>
        <w:t xml:space="preserve">(FPCN) </w:t>
      </w:r>
      <w:r w:rsidRPr="00AC7DB1">
        <w:rPr>
          <w:color w:val="000000" w:themeColor="text1"/>
          <w:lang w:val="fr-CA"/>
        </w:rPr>
        <w:t xml:space="preserve">pour administrer le </w:t>
      </w:r>
      <w:r>
        <w:rPr>
          <w:color w:val="000000" w:themeColor="text1"/>
          <w:lang w:val="fr-CA"/>
        </w:rPr>
        <w:t>F</w:t>
      </w:r>
      <w:r w:rsidRPr="00AC7DB1">
        <w:rPr>
          <w:color w:val="000000" w:themeColor="text1"/>
          <w:lang w:val="fr-CA"/>
        </w:rPr>
        <w:t xml:space="preserve">onds. Au cours de la prochaine décennie, cette fondation lancera chaque année </w:t>
      </w:r>
      <w:r>
        <w:rPr>
          <w:color w:val="000000" w:themeColor="text1"/>
          <w:lang w:val="fr-CA"/>
        </w:rPr>
        <w:t>des</w:t>
      </w:r>
      <w:r w:rsidRPr="00AC7DB1">
        <w:rPr>
          <w:color w:val="000000" w:themeColor="text1"/>
          <w:lang w:val="fr-CA"/>
        </w:rPr>
        <w:t xml:space="preserve"> appels de propositions invitant les organismes</w:t>
      </w:r>
      <w:r>
        <w:rPr>
          <w:color w:val="000000" w:themeColor="text1"/>
          <w:lang w:val="fr-CA"/>
        </w:rPr>
        <w:t xml:space="preserve"> de bienfaisance B3</w:t>
      </w:r>
      <w:r w:rsidRPr="00AC7DB1">
        <w:rPr>
          <w:color w:val="000000" w:themeColor="text1"/>
          <w:lang w:val="fr-CA"/>
        </w:rPr>
        <w:t xml:space="preserve"> à présenter une demande de financement.</w:t>
      </w:r>
    </w:p>
    <w:p w14:paraId="78674191" w14:textId="77777777" w:rsidR="00C83F56" w:rsidRPr="001A5127" w:rsidRDefault="00C83F56" w:rsidP="004F23C1">
      <w:pPr>
        <w:pStyle w:val="SingleTxtG"/>
        <w:numPr>
          <w:ilvl w:val="0"/>
          <w:numId w:val="4"/>
        </w:numPr>
        <w:ind w:left="1134" w:firstLine="0"/>
        <w:rPr>
          <w:lang w:val="fr-CA"/>
        </w:rPr>
      </w:pPr>
      <w:bookmarkStart w:id="36" w:name="lt_pId097"/>
      <w:r w:rsidRPr="51A13573">
        <w:rPr>
          <w:lang w:val="fr-CA"/>
        </w:rPr>
        <w:t xml:space="preserve">L’Ontario a mis en place le Plan d’action pour les jeunes noirs </w:t>
      </w:r>
      <w:r>
        <w:rPr>
          <w:lang w:val="fr-CA"/>
        </w:rPr>
        <w:t xml:space="preserve">(PAJN) </w:t>
      </w:r>
      <w:r w:rsidRPr="51A13573">
        <w:rPr>
          <w:lang w:val="fr-CA"/>
        </w:rPr>
        <w:t>afin d’éliminer les disparités systémiques fondées sur la race en augmentant les possibilités pour les familles, les enfants et les jeunes Noirs de la province.</w:t>
      </w:r>
      <w:bookmarkEnd w:id="36"/>
      <w:r w:rsidRPr="51A13573">
        <w:rPr>
          <w:rFonts w:eastAsia="Times New Roman"/>
          <w:lang w:val="fr-CA"/>
        </w:rPr>
        <w:t xml:space="preserve"> </w:t>
      </w:r>
      <w:bookmarkStart w:id="37" w:name="lt_pId098"/>
      <w:r w:rsidRPr="0096749B">
        <w:rPr>
          <w:rFonts w:eastAsia="Times New Roman"/>
          <w:lang w:val="fr-CA"/>
        </w:rPr>
        <w:t xml:space="preserve">Depuis 2018, les partenaires du </w:t>
      </w:r>
      <w:r w:rsidRPr="00391194">
        <w:rPr>
          <w:lang w:val="fr-CA"/>
        </w:rPr>
        <w:t>PAJN</w:t>
      </w:r>
      <w:r w:rsidRPr="0096749B">
        <w:rPr>
          <w:rFonts w:eastAsia="Times New Roman"/>
          <w:lang w:val="fr-CA"/>
        </w:rPr>
        <w:t xml:space="preserve"> ont soutenu de meilleurs résultats pour plus de 90 000 enfants, jeunes et </w:t>
      </w:r>
      <w:r w:rsidRPr="00FB4375">
        <w:rPr>
          <w:rFonts w:eastAsia="Times New Roman"/>
          <w:lang w:val="fr-CA"/>
        </w:rPr>
        <w:t>familles noires</w:t>
      </w:r>
      <w:r w:rsidRPr="0096749B">
        <w:rPr>
          <w:rFonts w:eastAsia="Times New Roman"/>
          <w:lang w:val="fr-CA"/>
        </w:rPr>
        <w:t xml:space="preserve"> dans les domaines de l’éducation, de l’emploi et en conflit avec la loi.</w:t>
      </w:r>
      <w:r w:rsidRPr="00A075CC" w:rsidDel="00A075CC">
        <w:rPr>
          <w:rFonts w:eastAsia="Times New Roman"/>
          <w:lang w:val="fr-CA"/>
        </w:rPr>
        <w:t xml:space="preserve"> </w:t>
      </w:r>
      <w:bookmarkEnd w:id="37"/>
    </w:p>
    <w:p w14:paraId="2C4B3CE8" w14:textId="01B6D677" w:rsidR="00C83F56" w:rsidRPr="00190950" w:rsidRDefault="007B658E" w:rsidP="007B658E">
      <w:pPr>
        <w:pStyle w:val="HChG"/>
        <w:rPr>
          <w:lang w:val="fr-CA"/>
        </w:rPr>
      </w:pPr>
      <w:bookmarkStart w:id="38" w:name="lt_pId099"/>
      <w:bookmarkStart w:id="39" w:name="_Toc177633104"/>
      <w:r>
        <w:rPr>
          <w:bCs/>
          <w:lang w:val="fr-CA"/>
        </w:rPr>
        <w:tab/>
      </w:r>
      <w:r w:rsidR="00C83F56" w:rsidRPr="001A5127">
        <w:rPr>
          <w:bCs/>
          <w:lang w:val="fr-CA"/>
        </w:rPr>
        <w:t>III.</w:t>
      </w:r>
      <w:bookmarkStart w:id="40" w:name="lt_pId100"/>
      <w:bookmarkEnd w:id="38"/>
      <w:bookmarkEnd w:id="39"/>
      <w:r>
        <w:rPr>
          <w:bCs/>
          <w:lang w:val="fr-CA"/>
        </w:rPr>
        <w:tab/>
      </w:r>
      <w:r w:rsidR="00C83F56" w:rsidRPr="001A5127">
        <w:rPr>
          <w:lang w:val="fr-CA"/>
        </w:rPr>
        <w:t>Groupes ethnoculturels</w:t>
      </w:r>
      <w:bookmarkEnd w:id="40"/>
    </w:p>
    <w:p w14:paraId="5D6C530A" w14:textId="77777777" w:rsidR="00C83F56" w:rsidRPr="00A7517B" w:rsidRDefault="00C83F56" w:rsidP="004F23C1">
      <w:pPr>
        <w:pStyle w:val="SingleTxtG"/>
        <w:numPr>
          <w:ilvl w:val="0"/>
          <w:numId w:val="4"/>
        </w:numPr>
        <w:ind w:left="1134" w:firstLine="0"/>
        <w:rPr>
          <w:lang w:val="fr-CA"/>
        </w:rPr>
      </w:pPr>
      <w:bookmarkStart w:id="41" w:name="lt_pId101"/>
      <w:r>
        <w:rPr>
          <w:lang w:val="fr-CA"/>
        </w:rPr>
        <w:t>Cette section contient des renseignements concernant les droits sociaux, économiques et culturels des groupes ethnoculturels, y compris l’éducation, l’équité en matière d’emploi, les crimes haineux fondés sur la race et le statut des migrants et des demandeurs d’asile.</w:t>
      </w:r>
      <w:bookmarkEnd w:id="41"/>
      <w:r w:rsidRPr="00A7517B">
        <w:rPr>
          <w:lang w:val="fr-CA"/>
        </w:rPr>
        <w:t xml:space="preserve"> </w:t>
      </w:r>
      <w:bookmarkStart w:id="42" w:name="lt_pId102"/>
      <w:r>
        <w:rPr>
          <w:lang w:val="fr-CA"/>
        </w:rPr>
        <w:t>Les sections suivantes se concentrent sur les observations finales 6, 30, 32, 14 et 34.</w:t>
      </w:r>
      <w:bookmarkEnd w:id="42"/>
    </w:p>
    <w:p w14:paraId="1FBAA0C5" w14:textId="236234AA" w:rsidR="00C83F56" w:rsidRPr="00A7517B" w:rsidRDefault="007B658E" w:rsidP="007B658E">
      <w:pPr>
        <w:pStyle w:val="H1G"/>
        <w:rPr>
          <w:lang w:val="fr-CA"/>
        </w:rPr>
      </w:pPr>
      <w:bookmarkStart w:id="43" w:name="lt_pId103"/>
      <w:r>
        <w:rPr>
          <w:lang w:val="fr-CA"/>
        </w:rPr>
        <w:tab/>
      </w:r>
      <w:r>
        <w:rPr>
          <w:lang w:val="fr-CA"/>
        </w:rPr>
        <w:tab/>
      </w:r>
      <w:r w:rsidR="00C83F56" w:rsidRPr="001D5CFA">
        <w:rPr>
          <w:lang w:val="fr-CA"/>
        </w:rPr>
        <w:t>Contexte démographique</w:t>
      </w:r>
      <w:bookmarkEnd w:id="43"/>
    </w:p>
    <w:p w14:paraId="55B65BE3" w14:textId="77777777" w:rsidR="00C83F56" w:rsidRPr="00A7517B" w:rsidRDefault="00C83F56" w:rsidP="004F23C1">
      <w:pPr>
        <w:pStyle w:val="SingleTxtG"/>
        <w:numPr>
          <w:ilvl w:val="0"/>
          <w:numId w:val="4"/>
        </w:numPr>
        <w:ind w:left="1134" w:firstLine="0"/>
        <w:rPr>
          <w:lang w:val="fr-CA"/>
        </w:rPr>
      </w:pPr>
      <w:bookmarkStart w:id="44" w:name="lt_pId104"/>
      <w:r w:rsidRPr="5B270C7B">
        <w:rPr>
          <w:lang w:val="fr-CA"/>
        </w:rPr>
        <w:t xml:space="preserve">Depuis le dernier cycle d’établissement de rapports, le recensement canadien a révélé des changements </w:t>
      </w:r>
      <w:r>
        <w:rPr>
          <w:lang w:val="fr-CA"/>
        </w:rPr>
        <w:t xml:space="preserve">démographiques qui </w:t>
      </w:r>
      <w:r w:rsidRPr="5B270C7B">
        <w:rPr>
          <w:lang w:val="fr-CA"/>
        </w:rPr>
        <w:t>influenc</w:t>
      </w:r>
      <w:r>
        <w:rPr>
          <w:lang w:val="fr-CA"/>
        </w:rPr>
        <w:t>ent</w:t>
      </w:r>
      <w:r w:rsidRPr="5B270C7B">
        <w:rPr>
          <w:lang w:val="fr-CA"/>
        </w:rPr>
        <w:t xml:space="preserve"> l’approche du GC en matière de lutte contre la discrimination raciale.</w:t>
      </w:r>
      <w:bookmarkEnd w:id="44"/>
      <w:r w:rsidRPr="5B270C7B">
        <w:rPr>
          <w:lang w:val="fr-CA"/>
        </w:rPr>
        <w:t xml:space="preserve"> </w:t>
      </w:r>
      <w:bookmarkStart w:id="45" w:name="lt_pId105"/>
      <w:r w:rsidRPr="5B270C7B">
        <w:rPr>
          <w:lang w:val="fr-CA"/>
        </w:rPr>
        <w:t xml:space="preserve">Selon le </w:t>
      </w:r>
      <w:r>
        <w:rPr>
          <w:lang w:val="fr-CA"/>
        </w:rPr>
        <w:t>r</w:t>
      </w:r>
      <w:r w:rsidRPr="5B270C7B">
        <w:rPr>
          <w:lang w:val="fr-CA"/>
        </w:rPr>
        <w:t>ecensement de la population de 2021, le Canada comptait 1,8 million d’Autochtones</w:t>
      </w:r>
      <w:r>
        <w:rPr>
          <w:lang w:val="fr-CA"/>
        </w:rPr>
        <w:t>, dont</w:t>
      </w:r>
      <w:bookmarkStart w:id="46" w:name="lt_pId106"/>
      <w:bookmarkEnd w:id="45"/>
      <w:r w:rsidRPr="5B270C7B">
        <w:rPr>
          <w:lang w:val="fr-CA"/>
        </w:rPr>
        <w:t xml:space="preserve"> 1 048 405 membres des Premières Nations, 624 220 Métis et 70 545 Inuits.</w:t>
      </w:r>
      <w:bookmarkEnd w:id="46"/>
      <w:r w:rsidRPr="5B270C7B">
        <w:rPr>
          <w:lang w:val="fr-CA"/>
        </w:rPr>
        <w:t xml:space="preserve"> </w:t>
      </w:r>
      <w:bookmarkStart w:id="47" w:name="lt_pId107"/>
      <w:r w:rsidRPr="5B270C7B">
        <w:rPr>
          <w:lang w:val="fr-CA"/>
        </w:rPr>
        <w:t>La population autochtone a augmenté de 9,4 % entre 2016 et 2021</w:t>
      </w:r>
      <w:bookmarkStart w:id="48" w:name="lt_pId108"/>
      <w:bookmarkEnd w:id="47"/>
      <w:r w:rsidRPr="5B270C7B">
        <w:rPr>
          <w:lang w:val="fr-CA"/>
        </w:rPr>
        <w:t>, une croissance supérieure à celle de la population non autochtone au cours de la même période (5,3 %).</w:t>
      </w:r>
      <w:bookmarkEnd w:id="48"/>
      <w:r w:rsidRPr="5B270C7B">
        <w:rPr>
          <w:lang w:val="fr-CA"/>
        </w:rPr>
        <w:t xml:space="preserve"> </w:t>
      </w:r>
      <w:bookmarkStart w:id="49" w:name="lt_pId109"/>
      <w:r w:rsidRPr="5B270C7B">
        <w:rPr>
          <w:lang w:val="fr-CA"/>
        </w:rPr>
        <w:t>Dans l’ensemble, les Autochtones représentaient 5,0 % de la population totale, contre 4,9 % en 2016.</w:t>
      </w:r>
      <w:bookmarkEnd w:id="49"/>
    </w:p>
    <w:p w14:paraId="4FF007C1" w14:textId="77777777" w:rsidR="00C83F56" w:rsidRPr="00A7517B" w:rsidRDefault="00C83F56" w:rsidP="004F23C1">
      <w:pPr>
        <w:pStyle w:val="SingleTxtG"/>
        <w:numPr>
          <w:ilvl w:val="0"/>
          <w:numId w:val="4"/>
        </w:numPr>
        <w:ind w:left="1134" w:firstLine="0"/>
        <w:rPr>
          <w:lang w:val="fr-CA"/>
        </w:rPr>
      </w:pPr>
      <w:bookmarkStart w:id="50" w:name="lt_pId110"/>
      <w:r w:rsidRPr="51A13573">
        <w:rPr>
          <w:lang w:val="fr-CA"/>
        </w:rPr>
        <w:t>En 2021, le Canada comptait 8,3 millions d’immigrants admis et de résidents permanents, soit 23 % de la population totale.</w:t>
      </w:r>
      <w:bookmarkEnd w:id="50"/>
      <w:r w:rsidRPr="51A13573">
        <w:rPr>
          <w:lang w:val="fr-CA"/>
        </w:rPr>
        <w:t xml:space="preserve"> </w:t>
      </w:r>
      <w:bookmarkStart w:id="51" w:name="lt_pId111"/>
      <w:r w:rsidRPr="51A13573">
        <w:rPr>
          <w:lang w:val="fr-CA"/>
        </w:rPr>
        <w:t>Plus de 1,3 million d’immigrants se sont installés de façon permanente au Canada entre 2016 et 2021.</w:t>
      </w:r>
      <w:bookmarkEnd w:id="51"/>
      <w:r w:rsidRPr="51A13573">
        <w:rPr>
          <w:lang w:val="fr-CA"/>
        </w:rPr>
        <w:t xml:space="preserve"> </w:t>
      </w:r>
      <w:bookmarkStart w:id="52" w:name="lt_pId112"/>
      <w:r w:rsidRPr="51A13573">
        <w:rPr>
          <w:lang w:val="fr-CA"/>
        </w:rPr>
        <w:t>Les lieux de naissance les plus courants des immigrants de 2016 à 2021 sont l’Inde (18,6 %), les Philippines (11,4 %), la Chine (8,9 %), la Syrie (4,8 %) et le Nigéria (3,0 %).</w:t>
      </w:r>
      <w:bookmarkEnd w:id="52"/>
      <w:r w:rsidRPr="51A13573">
        <w:rPr>
          <w:lang w:val="fr-CA"/>
        </w:rPr>
        <w:t xml:space="preserve"> </w:t>
      </w:r>
      <w:bookmarkStart w:id="53" w:name="lt_pId113"/>
      <w:r>
        <w:rPr>
          <w:lang w:val="fr-CA"/>
        </w:rPr>
        <w:t>Cela comprenait</w:t>
      </w:r>
      <w:r w:rsidRPr="51A13573">
        <w:rPr>
          <w:lang w:val="fr-CA"/>
        </w:rPr>
        <w:t xml:space="preserve"> 218 430 réfugiés qui ont été admis en tant que résidents permanents.</w:t>
      </w:r>
      <w:bookmarkEnd w:id="53"/>
      <w:r w:rsidRPr="51A13573">
        <w:rPr>
          <w:lang w:val="fr-CA"/>
        </w:rPr>
        <w:t xml:space="preserve"> </w:t>
      </w:r>
      <w:bookmarkStart w:id="54" w:name="lt_pId114"/>
      <w:r w:rsidRPr="51A13573">
        <w:rPr>
          <w:lang w:val="fr-CA"/>
        </w:rPr>
        <w:t>Le lieu de naissance le plus courant des réfugiés était la Syrie (60 795), suivie de l’Irak (15 505), de l’Érythrée (13 965), de l’Afghanistan (9 490) et du Pakistan (7 810).</w:t>
      </w:r>
      <w:bookmarkEnd w:id="54"/>
    </w:p>
    <w:p w14:paraId="46664D5B" w14:textId="77777777" w:rsidR="00C83F56" w:rsidRPr="0064324F" w:rsidRDefault="00C83F56" w:rsidP="004F23C1">
      <w:pPr>
        <w:pStyle w:val="SingleTxtG"/>
        <w:numPr>
          <w:ilvl w:val="0"/>
          <w:numId w:val="4"/>
        </w:numPr>
        <w:ind w:left="1134" w:firstLine="0"/>
        <w:rPr>
          <w:lang w:val="fr-CA"/>
        </w:rPr>
      </w:pPr>
      <w:r w:rsidRPr="0064324F">
        <w:rPr>
          <w:lang w:val="fr-CA"/>
        </w:rPr>
        <w:t>Plus de 450 origines ethniques et culturelles ont été</w:t>
      </w:r>
      <w:r>
        <w:rPr>
          <w:lang w:val="fr-CA"/>
        </w:rPr>
        <w:t xml:space="preserve"> recensées</w:t>
      </w:r>
      <w:r w:rsidRPr="0064324F">
        <w:rPr>
          <w:lang w:val="fr-CA"/>
        </w:rPr>
        <w:t xml:space="preserve"> dans le Recensement de 2021, </w:t>
      </w:r>
      <w:r>
        <w:rPr>
          <w:lang w:val="fr-CA"/>
        </w:rPr>
        <w:t>35</w:t>
      </w:r>
      <w:r w:rsidRPr="0064324F">
        <w:rPr>
          <w:lang w:val="fr-CA"/>
        </w:rPr>
        <w:t>,</w:t>
      </w:r>
      <w:r>
        <w:rPr>
          <w:lang w:val="fr-CA"/>
        </w:rPr>
        <w:t>5</w:t>
      </w:r>
      <w:r w:rsidRPr="0064324F">
        <w:rPr>
          <w:lang w:val="fr-CA"/>
        </w:rPr>
        <w:t> % des personnes ont déclaré plus d’une origine ethnique. Une personne sur quatre au Canada (26,5 %)</w:t>
      </w:r>
      <w:r>
        <w:rPr>
          <w:lang w:val="fr-CA"/>
        </w:rPr>
        <w:t xml:space="preserve">, </w:t>
      </w:r>
      <w:r w:rsidRPr="00557F4D">
        <w:rPr>
          <w:lang w:val="fr-CA"/>
        </w:rPr>
        <w:t xml:space="preserve">représentant 9 639 200 personnes, </w:t>
      </w:r>
      <w:r>
        <w:rPr>
          <w:lang w:val="fr-CA"/>
        </w:rPr>
        <w:t>appartenait à</w:t>
      </w:r>
      <w:r w:rsidRPr="0064324F">
        <w:rPr>
          <w:lang w:val="fr-CA"/>
        </w:rPr>
        <w:t xml:space="preserve"> la population racisée en 2021, soit plus du double de la proportion observée 20 ans auparavant (1</w:t>
      </w:r>
      <w:r>
        <w:rPr>
          <w:lang w:val="fr-CA"/>
        </w:rPr>
        <w:t>3</w:t>
      </w:r>
      <w:r w:rsidRPr="0064324F">
        <w:rPr>
          <w:lang w:val="fr-CA"/>
        </w:rPr>
        <w:t>,</w:t>
      </w:r>
      <w:r>
        <w:rPr>
          <w:lang w:val="fr-CA"/>
        </w:rPr>
        <w:t>4</w:t>
      </w:r>
      <w:r w:rsidRPr="0064324F">
        <w:rPr>
          <w:lang w:val="fr-CA"/>
        </w:rPr>
        <w:t xml:space="preserve">%). Les groupes racisés représentaient 69,3 % de la population immigrante en 2021, une proportion encore plus élevée </w:t>
      </w:r>
      <w:r>
        <w:rPr>
          <w:lang w:val="fr-CA"/>
        </w:rPr>
        <w:t>parmi les immigrants récents</w:t>
      </w:r>
      <w:r w:rsidRPr="0064324F">
        <w:rPr>
          <w:lang w:val="fr-CA"/>
        </w:rPr>
        <w:t xml:space="preserve">, entre 2016 et 2021, soit 83,0 %.  </w:t>
      </w:r>
    </w:p>
    <w:p w14:paraId="5DB27885" w14:textId="77777777" w:rsidR="00C83F56" w:rsidRPr="00E7089D" w:rsidRDefault="00C83F56" w:rsidP="004F23C1">
      <w:pPr>
        <w:pStyle w:val="SingleTxtG"/>
        <w:numPr>
          <w:ilvl w:val="0"/>
          <w:numId w:val="4"/>
        </w:numPr>
        <w:ind w:left="1134" w:firstLine="0"/>
        <w:rPr>
          <w:lang w:val="fr-CA"/>
        </w:rPr>
      </w:pPr>
      <w:r w:rsidRPr="00E7089D">
        <w:rPr>
          <w:lang w:val="fr-CA"/>
        </w:rPr>
        <w:t xml:space="preserve">Les trois </w:t>
      </w:r>
      <w:r>
        <w:rPr>
          <w:lang w:val="fr-CA"/>
        </w:rPr>
        <w:t xml:space="preserve">principaux </w:t>
      </w:r>
      <w:r w:rsidRPr="00E7089D">
        <w:rPr>
          <w:lang w:val="fr-CA"/>
        </w:rPr>
        <w:t>groupes racisés en 2021 étaient les Sud-Asiatiques, les Chinois et les Noirs, qui</w:t>
      </w:r>
      <w:r>
        <w:rPr>
          <w:lang w:val="fr-CA"/>
        </w:rPr>
        <w:t xml:space="preserve">, ensemble, </w:t>
      </w:r>
      <w:r w:rsidRPr="00E7089D">
        <w:rPr>
          <w:lang w:val="fr-CA"/>
        </w:rPr>
        <w:t xml:space="preserve">représentaient ensemble 60,5 % de la population racisée. </w:t>
      </w:r>
      <w:r>
        <w:rPr>
          <w:lang w:val="fr-CA"/>
        </w:rPr>
        <w:t>Suivent</w:t>
      </w:r>
      <w:r w:rsidRPr="00E7089D">
        <w:rPr>
          <w:lang w:val="fr-CA"/>
        </w:rPr>
        <w:t xml:space="preserve"> les Philippins, les Arabes, les Latino-Américains, les Asiatiques du Sud-Est, les Asiatiques de l’Ouest, les Coréens et les Japonais. </w:t>
      </w:r>
      <w:r w:rsidRPr="00E7089D">
        <w:rPr>
          <w:lang w:val="fr-CA"/>
        </w:rPr>
        <w:br/>
        <w:t>Ces 10 groupes ensemble représentaient 94,8 % de la population racisée.</w:t>
      </w:r>
    </w:p>
    <w:p w14:paraId="22C665B4" w14:textId="18098CAC" w:rsidR="00C83F56" w:rsidRPr="00A7517B" w:rsidRDefault="007B658E" w:rsidP="007B658E">
      <w:pPr>
        <w:pStyle w:val="H23G"/>
        <w:rPr>
          <w:lang w:val="fr-CA"/>
        </w:rPr>
      </w:pPr>
      <w:bookmarkStart w:id="55" w:name="lt_pId123"/>
      <w:r>
        <w:rPr>
          <w:lang w:val="fr-CA"/>
        </w:rPr>
        <w:tab/>
      </w:r>
      <w:r>
        <w:rPr>
          <w:lang w:val="fr-CA"/>
        </w:rPr>
        <w:tab/>
      </w:r>
      <w:r w:rsidR="00C83F56" w:rsidRPr="51A13573">
        <w:rPr>
          <w:lang w:val="fr-CA"/>
        </w:rPr>
        <w:t>Utilisation de l’expression « minorité visible »</w:t>
      </w:r>
      <w:bookmarkEnd w:id="55"/>
    </w:p>
    <w:p w14:paraId="303866A2" w14:textId="77777777" w:rsidR="00C83F56" w:rsidRDefault="00C83F56" w:rsidP="004F23C1">
      <w:pPr>
        <w:pStyle w:val="SingleTxtG"/>
        <w:numPr>
          <w:ilvl w:val="0"/>
          <w:numId w:val="4"/>
        </w:numPr>
        <w:ind w:left="1134" w:firstLine="0"/>
        <w:rPr>
          <w:lang w:val="fr-CA"/>
        </w:rPr>
      </w:pPr>
      <w:r w:rsidRPr="0096749B">
        <w:rPr>
          <w:lang w:val="fr-CA"/>
        </w:rPr>
        <w:t xml:space="preserve">En 2021, le </w:t>
      </w:r>
      <w:r>
        <w:rPr>
          <w:lang w:val="fr-CA"/>
        </w:rPr>
        <w:t>GC</w:t>
      </w:r>
      <w:r w:rsidRPr="0096749B">
        <w:rPr>
          <w:lang w:val="fr-CA"/>
        </w:rPr>
        <w:t xml:space="preserve"> a établi un groupe de travail indépendant sur la révision de la </w:t>
      </w:r>
      <w:r w:rsidRPr="0096749B">
        <w:rPr>
          <w:i/>
          <w:iCs/>
          <w:lang w:val="fr-CA"/>
        </w:rPr>
        <w:t>Loi sur l’équité en matière d’emploi</w:t>
      </w:r>
      <w:r w:rsidRPr="0096749B">
        <w:rPr>
          <w:lang w:val="fr-CA"/>
        </w:rPr>
        <w:t xml:space="preserve"> afin de conseiller le ministre du Travail sur la modernisation et le renforcement du cadre fédéral d’équité en emploi. L’examen portait sur la pertinence des groupes désignés et sur la façon de mieux refléter les réalités vécues et les conditions du marché du travail, notamment pour les personnes noires et les peuples autochtones. En 2023, le </w:t>
      </w:r>
      <w:r>
        <w:rPr>
          <w:lang w:val="fr-CA"/>
        </w:rPr>
        <w:t>GC</w:t>
      </w:r>
      <w:r w:rsidRPr="0096749B">
        <w:rPr>
          <w:lang w:val="fr-CA"/>
        </w:rPr>
        <w:t xml:space="preserve"> a annoncé plusieurs mesures, dont le remplacement des termes « membres des minorités visibles » par « personnes racisées » et « </w:t>
      </w:r>
      <w:proofErr w:type="spellStart"/>
      <w:r w:rsidRPr="0096749B">
        <w:rPr>
          <w:lang w:val="fr-CA"/>
        </w:rPr>
        <w:t>Aboriginal</w:t>
      </w:r>
      <w:proofErr w:type="spellEnd"/>
      <w:r w:rsidRPr="0096749B">
        <w:rPr>
          <w:lang w:val="fr-CA"/>
        </w:rPr>
        <w:t xml:space="preserve"> </w:t>
      </w:r>
      <w:proofErr w:type="spellStart"/>
      <w:r w:rsidRPr="0096749B">
        <w:rPr>
          <w:lang w:val="fr-CA"/>
        </w:rPr>
        <w:t>peoples</w:t>
      </w:r>
      <w:proofErr w:type="spellEnd"/>
      <w:r w:rsidRPr="0096749B">
        <w:rPr>
          <w:lang w:val="fr-CA"/>
        </w:rPr>
        <w:t xml:space="preserve"> » par « </w:t>
      </w:r>
      <w:proofErr w:type="spellStart"/>
      <w:r w:rsidRPr="0096749B">
        <w:rPr>
          <w:lang w:val="fr-CA"/>
        </w:rPr>
        <w:t>Indigenous</w:t>
      </w:r>
      <w:proofErr w:type="spellEnd"/>
      <w:r w:rsidRPr="0096749B">
        <w:rPr>
          <w:lang w:val="fr-CA"/>
        </w:rPr>
        <w:t xml:space="preserve"> Peoples » dans la version anglaise de la Loi, ainsi que l’ajout des personnes noires comme nouveau groupe désigné. En 2024, des consultations ont été menées auprès des communautés, syndicats, organisations et employeurs pour guider la mise en œuvre de ces changements.</w:t>
      </w:r>
    </w:p>
    <w:p w14:paraId="7EC63030" w14:textId="5334846C" w:rsidR="00C83F56" w:rsidRPr="00A7517B" w:rsidRDefault="007B658E" w:rsidP="007B658E">
      <w:pPr>
        <w:pStyle w:val="H1G"/>
        <w:rPr>
          <w:lang w:val="fr-CA"/>
        </w:rPr>
      </w:pPr>
      <w:bookmarkStart w:id="56" w:name="lt_pId133"/>
      <w:bookmarkStart w:id="57" w:name="_Toc177633106"/>
      <w:r>
        <w:rPr>
          <w:lang w:val="fr-CA"/>
        </w:rPr>
        <w:tab/>
      </w:r>
      <w:r>
        <w:rPr>
          <w:lang w:val="fr-CA"/>
        </w:rPr>
        <w:tab/>
      </w:r>
      <w:r w:rsidR="00C83F56" w:rsidRPr="00575EF0">
        <w:rPr>
          <w:lang w:val="fr-CA"/>
        </w:rPr>
        <w:t>Éducation</w:t>
      </w:r>
      <w:bookmarkEnd w:id="56"/>
    </w:p>
    <w:p w14:paraId="14338B64" w14:textId="77777777" w:rsidR="00C83F56" w:rsidRDefault="00C83F56" w:rsidP="004F23C1">
      <w:pPr>
        <w:pStyle w:val="SingleTxtG"/>
        <w:numPr>
          <w:ilvl w:val="0"/>
          <w:numId w:val="4"/>
        </w:numPr>
        <w:ind w:left="1134" w:firstLine="0"/>
        <w:rPr>
          <w:rFonts w:eastAsia="Times New Roman"/>
          <w:lang w:val="fr-CA"/>
        </w:rPr>
      </w:pPr>
      <w:bookmarkStart w:id="58" w:name="lt_pId134"/>
      <w:r w:rsidRPr="0096349E">
        <w:rPr>
          <w:rFonts w:eastAsia="Times New Roman"/>
          <w:lang w:val="fr-CA"/>
        </w:rPr>
        <w:t>L’éducation au Canada relève de la compétence des</w:t>
      </w:r>
      <w:r>
        <w:rPr>
          <w:rFonts w:eastAsia="Times New Roman"/>
          <w:lang w:val="fr-CA"/>
        </w:rPr>
        <w:t xml:space="preserve"> gouvernements PT</w:t>
      </w:r>
      <w:r w:rsidRPr="0096349E">
        <w:rPr>
          <w:rFonts w:eastAsia="Times New Roman"/>
          <w:lang w:val="fr-CA"/>
        </w:rPr>
        <w:t>, chacun gérant son propre système de manière autonome</w:t>
      </w:r>
      <w:r>
        <w:rPr>
          <w:rFonts w:eastAsia="Times New Roman"/>
          <w:lang w:val="fr-CA"/>
        </w:rPr>
        <w:t>,</w:t>
      </w:r>
      <w:r w:rsidRPr="0096349E">
        <w:rPr>
          <w:rFonts w:eastAsia="Times New Roman"/>
          <w:lang w:val="fr-CA"/>
        </w:rPr>
        <w:t xml:space="preserve"> </w:t>
      </w:r>
      <w:r w:rsidRPr="008A3347">
        <w:rPr>
          <w:rFonts w:eastAsia="Times New Roman"/>
          <w:lang w:val="fr-CA"/>
        </w:rPr>
        <w:t xml:space="preserve">bien que des </w:t>
      </w:r>
      <w:r w:rsidRPr="00391194">
        <w:rPr>
          <w:lang w:val="fr-CA"/>
        </w:rPr>
        <w:t>mécanismes</w:t>
      </w:r>
      <w:r w:rsidRPr="008A3347">
        <w:rPr>
          <w:rFonts w:eastAsia="Times New Roman"/>
          <w:lang w:val="fr-CA"/>
        </w:rPr>
        <w:t xml:space="preserve"> </w:t>
      </w:r>
      <w:proofErr w:type="spellStart"/>
      <w:r w:rsidRPr="008A3347">
        <w:rPr>
          <w:rFonts w:eastAsia="Times New Roman"/>
          <w:lang w:val="fr-CA"/>
        </w:rPr>
        <w:t>intergouvernementaux</w:t>
      </w:r>
      <w:proofErr w:type="spellEnd"/>
      <w:r w:rsidRPr="008A3347">
        <w:rPr>
          <w:rFonts w:eastAsia="Times New Roman"/>
          <w:lang w:val="fr-CA"/>
        </w:rPr>
        <w:t xml:space="preserve"> de collaboration existent, notamment par l’entremise du Conseil des ministres de l’Éducation, Canada. Des renseignements précis sur l’éducation des enfants autochtones vivant dans les réserves sont présentés plus loin dans le présent rapport.</w:t>
      </w:r>
    </w:p>
    <w:p w14:paraId="2E6570DB" w14:textId="77777777" w:rsidR="00C83F56" w:rsidRPr="00FE7D5C" w:rsidRDefault="00C83F56" w:rsidP="004F23C1">
      <w:pPr>
        <w:pStyle w:val="SingleTxtG"/>
        <w:numPr>
          <w:ilvl w:val="0"/>
          <w:numId w:val="4"/>
        </w:numPr>
        <w:ind w:left="1134" w:firstLine="0"/>
        <w:rPr>
          <w:rFonts w:eastAsia="Times New Roman"/>
          <w:lang w:val="fr-CA"/>
        </w:rPr>
      </w:pPr>
      <w:r w:rsidRPr="0096349E">
        <w:rPr>
          <w:rFonts w:eastAsia="Times New Roman"/>
          <w:lang w:val="fr-CA"/>
        </w:rPr>
        <w:t xml:space="preserve">L’Alberta travaille en collaboration avec le GC pour soutenir l’égalité d’accès à une éducation de qualité pour tous les enfants </w:t>
      </w:r>
      <w:r>
        <w:rPr>
          <w:rFonts w:eastAsia="Times New Roman"/>
          <w:lang w:val="fr-CA"/>
        </w:rPr>
        <w:t xml:space="preserve">qu’ils </w:t>
      </w:r>
      <w:r w:rsidRPr="0096349E">
        <w:rPr>
          <w:rFonts w:eastAsia="Times New Roman"/>
          <w:lang w:val="fr-CA"/>
        </w:rPr>
        <w:t>viv</w:t>
      </w:r>
      <w:r>
        <w:rPr>
          <w:rFonts w:eastAsia="Times New Roman"/>
          <w:lang w:val="fr-CA"/>
        </w:rPr>
        <w:t>ent</w:t>
      </w:r>
      <w:r w:rsidRPr="0096349E">
        <w:rPr>
          <w:rFonts w:eastAsia="Times New Roman"/>
          <w:lang w:val="fr-CA"/>
        </w:rPr>
        <w:t xml:space="preserve"> dans </w:t>
      </w:r>
      <w:r>
        <w:rPr>
          <w:rFonts w:eastAsia="Times New Roman"/>
          <w:lang w:val="fr-CA"/>
        </w:rPr>
        <w:t>une</w:t>
      </w:r>
      <w:r w:rsidRPr="0096349E">
        <w:rPr>
          <w:rFonts w:eastAsia="Times New Roman"/>
          <w:lang w:val="fr-CA"/>
        </w:rPr>
        <w:t xml:space="preserve"> réserve ou à l’extérieur, et ce, sans discrimination raciale.</w:t>
      </w:r>
      <w:bookmarkEnd w:id="58"/>
      <w:r w:rsidRPr="0096349E">
        <w:rPr>
          <w:rFonts w:eastAsia="Times New Roman"/>
          <w:lang w:val="fr-CA"/>
        </w:rPr>
        <w:t xml:space="preserve"> </w:t>
      </w:r>
      <w:r w:rsidRPr="00FE7D5C">
        <w:rPr>
          <w:rFonts w:eastAsia="Times New Roman"/>
          <w:lang w:val="fr-CA"/>
        </w:rPr>
        <w:t xml:space="preserve">En 2023, la Commission des droits de la personne de l'Alberta a lancé un nouveau site Web accessible, </w:t>
      </w:r>
      <w:r>
        <w:rPr>
          <w:rFonts w:eastAsia="Times New Roman"/>
          <w:lang w:val="fr-CA"/>
        </w:rPr>
        <w:t>offrant</w:t>
      </w:r>
      <w:r w:rsidRPr="00FE7D5C">
        <w:rPr>
          <w:rFonts w:eastAsia="Times New Roman"/>
          <w:lang w:val="fr-CA"/>
        </w:rPr>
        <w:t xml:space="preserve"> un contenu </w:t>
      </w:r>
      <w:r>
        <w:rPr>
          <w:rFonts w:eastAsia="Times New Roman"/>
          <w:lang w:val="fr-CA"/>
        </w:rPr>
        <w:t>rédigé en</w:t>
      </w:r>
      <w:r w:rsidRPr="00FE7D5C">
        <w:rPr>
          <w:rFonts w:eastAsia="Times New Roman"/>
          <w:lang w:val="fr-CA"/>
        </w:rPr>
        <w:t xml:space="preserve"> langage clair, des outils </w:t>
      </w:r>
      <w:r w:rsidRPr="00391194">
        <w:rPr>
          <w:lang w:val="fr-CA"/>
        </w:rPr>
        <w:t>éducatifs</w:t>
      </w:r>
      <w:r w:rsidRPr="00FE7D5C">
        <w:rPr>
          <w:rFonts w:eastAsia="Times New Roman"/>
          <w:lang w:val="fr-CA"/>
        </w:rPr>
        <w:t xml:space="preserve"> et un outil de collecte de données démographiques désagrégées</w:t>
      </w:r>
      <w:r>
        <w:rPr>
          <w:rFonts w:eastAsia="Times New Roman"/>
          <w:lang w:val="fr-CA"/>
        </w:rPr>
        <w:t xml:space="preserve"> sur la diversité</w:t>
      </w:r>
      <w:r w:rsidRPr="00FE7D5C">
        <w:rPr>
          <w:rFonts w:eastAsia="Times New Roman"/>
          <w:lang w:val="fr-CA"/>
        </w:rPr>
        <w:t>. Le site web contient des informations sur la prévention et la lutte contre le racisme, y compris une page consacrée aux peuples autochtones.</w:t>
      </w:r>
    </w:p>
    <w:p w14:paraId="04A74B5E" w14:textId="77777777" w:rsidR="00C83F56" w:rsidRPr="00787470" w:rsidRDefault="00C83F56" w:rsidP="004F23C1">
      <w:pPr>
        <w:pStyle w:val="SingleTxtG"/>
        <w:numPr>
          <w:ilvl w:val="0"/>
          <w:numId w:val="4"/>
        </w:numPr>
        <w:ind w:left="1134" w:firstLine="0"/>
        <w:rPr>
          <w:lang w:val="fr-CA"/>
        </w:rPr>
      </w:pPr>
      <w:r w:rsidRPr="00EF799D">
        <w:rPr>
          <w:lang w:val="fr-CA"/>
        </w:rPr>
        <w:t xml:space="preserve">La Colombie-Britannique s'est engagée à mettre en œuvre 13 actions spécifiques en matière d'éducation et de garde d'enfants dans le </w:t>
      </w:r>
      <w:r w:rsidRPr="00E7089D">
        <w:rPr>
          <w:i/>
          <w:iCs/>
          <w:lang w:val="fr-CA"/>
        </w:rPr>
        <w:t>Plan d'action de la Loi sur la déclaration</w:t>
      </w:r>
      <w:r w:rsidRPr="00EF799D">
        <w:rPr>
          <w:lang w:val="fr-CA"/>
        </w:rPr>
        <w:t xml:space="preserve">, un cadre provincial pour la réconciliation, comme l'a demandé la Commission de vérité et réconciliation du Canada. </w:t>
      </w:r>
      <w:r w:rsidRPr="00787470">
        <w:rPr>
          <w:lang w:val="fr-CA"/>
        </w:rPr>
        <w:t xml:space="preserve">Cela comprend des stratégies visant à lutter contre le racisme ciblant spécifiquement les Autochtones dans les secteurs de l’éducation publique de la maternelle à la 12e année (M-12) et de l’enseignement </w:t>
      </w:r>
      <w:proofErr w:type="spellStart"/>
      <w:r w:rsidRPr="00787470">
        <w:rPr>
          <w:lang w:val="fr-CA"/>
        </w:rPr>
        <w:t>postsecondaire</w:t>
      </w:r>
      <w:proofErr w:type="spellEnd"/>
      <w:r w:rsidRPr="00787470">
        <w:rPr>
          <w:lang w:val="fr-CA"/>
        </w:rPr>
        <w:t>, ainsi qu’à améliorer davantage les résultats scolaires des élèves autochtones.</w:t>
      </w:r>
      <w:r>
        <w:rPr>
          <w:lang w:val="fr-CA"/>
        </w:rPr>
        <w:t xml:space="preserve"> </w:t>
      </w:r>
      <w:r w:rsidRPr="00787470">
        <w:rPr>
          <w:lang w:val="fr-CA"/>
        </w:rPr>
        <w:t xml:space="preserve">La Colombie-Britannique s’engage également à soutenir la réussite des élèves des Premières Nations en collaborant avec le First Nations </w:t>
      </w:r>
      <w:proofErr w:type="spellStart"/>
      <w:r w:rsidRPr="00787470">
        <w:rPr>
          <w:lang w:val="fr-CA"/>
        </w:rPr>
        <w:t>Education</w:t>
      </w:r>
      <w:proofErr w:type="spellEnd"/>
      <w:r w:rsidRPr="00787470">
        <w:rPr>
          <w:lang w:val="fr-CA"/>
        </w:rPr>
        <w:t xml:space="preserve"> </w:t>
      </w:r>
      <w:proofErr w:type="spellStart"/>
      <w:r w:rsidRPr="00787470">
        <w:rPr>
          <w:lang w:val="fr-CA"/>
        </w:rPr>
        <w:t>Steering</w:t>
      </w:r>
      <w:proofErr w:type="spellEnd"/>
      <w:r w:rsidRPr="00787470">
        <w:rPr>
          <w:lang w:val="fr-CA"/>
        </w:rPr>
        <w:t xml:space="preserve"> Committee et le GC dans le cadre de la mise en œuvre de l’Accord tripartite en matière d’éducation de la </w:t>
      </w:r>
      <w:r w:rsidRPr="00EF799D">
        <w:rPr>
          <w:lang w:val="fr-CA"/>
        </w:rPr>
        <w:t>Colombie-Britannique</w:t>
      </w:r>
      <w:r w:rsidRPr="00787470">
        <w:rPr>
          <w:lang w:val="fr-CA"/>
        </w:rPr>
        <w:t xml:space="preserve"> (</w:t>
      </w:r>
      <w:r w:rsidRPr="00787470">
        <w:rPr>
          <w:i/>
          <w:iCs/>
          <w:lang w:val="fr-CA"/>
        </w:rPr>
        <w:t xml:space="preserve">B.C. Tripartite </w:t>
      </w:r>
      <w:proofErr w:type="spellStart"/>
      <w:r w:rsidRPr="00787470">
        <w:rPr>
          <w:i/>
          <w:iCs/>
          <w:lang w:val="fr-CA"/>
        </w:rPr>
        <w:t>Education</w:t>
      </w:r>
      <w:proofErr w:type="spellEnd"/>
      <w:r w:rsidRPr="00787470">
        <w:rPr>
          <w:i/>
          <w:iCs/>
          <w:lang w:val="fr-CA"/>
        </w:rPr>
        <w:t xml:space="preserve"> Agreement – BCTEA</w:t>
      </w:r>
      <w:r w:rsidRPr="00787470">
        <w:rPr>
          <w:lang w:val="fr-CA"/>
        </w:rPr>
        <w:t xml:space="preserve">). La province a également lancé le </w:t>
      </w:r>
      <w:r>
        <w:rPr>
          <w:lang w:val="fr-CA"/>
        </w:rPr>
        <w:t>P</w:t>
      </w:r>
      <w:r w:rsidRPr="00787470">
        <w:rPr>
          <w:lang w:val="fr-CA"/>
        </w:rPr>
        <w:t>lan d’action contre le racisme pour les élèves de la maternelle à la 12e année, une stratégie pluriannuelle visant à lutter contre le racisme et la discrimination dans les écoles de la Colombie-Britannique.</w:t>
      </w:r>
    </w:p>
    <w:p w14:paraId="21030568" w14:textId="77777777" w:rsidR="00C83F56" w:rsidRPr="00A7517B" w:rsidRDefault="00C83F56" w:rsidP="004F23C1">
      <w:pPr>
        <w:pStyle w:val="SingleTxtG"/>
        <w:numPr>
          <w:ilvl w:val="0"/>
          <w:numId w:val="4"/>
        </w:numPr>
        <w:ind w:left="1134" w:firstLine="0"/>
        <w:rPr>
          <w:lang w:val="fr-CA"/>
        </w:rPr>
      </w:pPr>
      <w:bookmarkStart w:id="59" w:name="lt_pId137"/>
      <w:r>
        <w:rPr>
          <w:lang w:val="fr-CA"/>
        </w:rPr>
        <w:t xml:space="preserve">Le Manitoba fournit plusieurs ressources pour la </w:t>
      </w:r>
      <w:r w:rsidRPr="00397C5F">
        <w:rPr>
          <w:lang w:val="fr-CA"/>
        </w:rPr>
        <w:t>mise en œuvre des programmes d'études afin de promouvoir l'équité et d'assurer une éducation inclusive et adaptée à la culture dans l'ensemble de la province.</w:t>
      </w:r>
      <w:bookmarkStart w:id="60" w:name="lt_pId138"/>
      <w:bookmarkEnd w:id="59"/>
      <w:r>
        <w:rPr>
          <w:lang w:val="fr-CA"/>
        </w:rPr>
        <w:t xml:space="preserve"> En </w:t>
      </w:r>
      <w:r w:rsidRPr="002721BF">
        <w:rPr>
          <w:lang w:val="fr-CA"/>
        </w:rPr>
        <w:t xml:space="preserve">2017, </w:t>
      </w:r>
      <w:r w:rsidRPr="00E01A22">
        <w:rPr>
          <w:lang w:val="fr-CA"/>
        </w:rPr>
        <w:t>Créer des écoles sans racisme à l’aide de conversations critiques et courageuses sur la race</w:t>
      </w:r>
      <w:r w:rsidRPr="002721BF">
        <w:rPr>
          <w:lang w:val="fr-CA"/>
        </w:rPr>
        <w:t xml:space="preserve"> a été publié pour soutenir les divisions scolaires, les écoles, les enseignants, les parents et les élèves dans leurs conversations sur le racisme afin de créer des classes et des écoles inclusives et équitables pour les élèves des Premières Nations, les élèves métis et inuits</w:t>
      </w:r>
      <w:r>
        <w:rPr>
          <w:lang w:val="fr-CA"/>
        </w:rPr>
        <w:t>,</w:t>
      </w:r>
      <w:r w:rsidRPr="002721BF">
        <w:rPr>
          <w:lang w:val="fr-CA"/>
        </w:rPr>
        <w:t xml:space="preserve"> et tous les élèves.</w:t>
      </w:r>
      <w:bookmarkEnd w:id="60"/>
      <w:r w:rsidRPr="00A7517B">
        <w:rPr>
          <w:lang w:val="fr-CA"/>
        </w:rPr>
        <w:t xml:space="preserve"> </w:t>
      </w:r>
    </w:p>
    <w:p w14:paraId="0BF3195D" w14:textId="77777777" w:rsidR="00C83F56" w:rsidRPr="00897EC0" w:rsidRDefault="00C83F56" w:rsidP="004F23C1">
      <w:pPr>
        <w:pStyle w:val="SingleTxtG"/>
        <w:numPr>
          <w:ilvl w:val="0"/>
          <w:numId w:val="4"/>
        </w:numPr>
        <w:ind w:left="1134" w:firstLine="0"/>
        <w:rPr>
          <w:rFonts w:eastAsia="Times New Roman"/>
          <w:lang w:val="fr-CA"/>
        </w:rPr>
      </w:pPr>
      <w:r w:rsidRPr="00AC7DB1">
        <w:rPr>
          <w:rFonts w:eastAsia="Times New Roman"/>
          <w:lang w:val="fr-CA"/>
        </w:rPr>
        <w:t xml:space="preserve">En 2022, le Manitoba a lancé </w:t>
      </w:r>
      <w:proofErr w:type="spellStart"/>
      <w:r w:rsidRPr="00AC7DB1">
        <w:rPr>
          <w:rFonts w:eastAsia="Times New Roman"/>
          <w:lang w:val="fr-CA"/>
        </w:rPr>
        <w:t>Mamàhtawisiwin</w:t>
      </w:r>
      <w:proofErr w:type="spellEnd"/>
      <w:r w:rsidRPr="00AC7DB1">
        <w:rPr>
          <w:rFonts w:eastAsia="Times New Roman"/>
          <w:lang w:val="fr-CA"/>
        </w:rPr>
        <w:t xml:space="preserve"> : Les merveilles de notre héritage – Un cadre politique en matière d’éducation autochtone</w:t>
      </w:r>
      <w:r>
        <w:rPr>
          <w:rFonts w:eastAsia="Times New Roman"/>
          <w:lang w:val="fr-CA"/>
        </w:rPr>
        <w:t xml:space="preserve">. </w:t>
      </w:r>
      <w:r w:rsidRPr="00897EC0">
        <w:rPr>
          <w:rFonts w:eastAsia="Times New Roman"/>
          <w:lang w:val="fr-CA"/>
        </w:rPr>
        <w:t>Ce cadre vise à soutenir la réussite globale des apprenants des Premières Nations, des Métis et des Inuits en aidant les éducateurs du Manitoba à intégrer les langues, les cultures et les identités autochtones dans leur enseignement et leurs pratiques, afin de favoriser la réussite des élèves autochtones à l’école et au-delà.</w:t>
      </w:r>
      <w:r>
        <w:rPr>
          <w:rFonts w:eastAsia="Times New Roman"/>
          <w:lang w:val="fr-CA"/>
        </w:rPr>
        <w:t xml:space="preserve"> </w:t>
      </w:r>
      <w:r w:rsidRPr="00897EC0">
        <w:rPr>
          <w:rFonts w:eastAsia="Times New Roman"/>
          <w:lang w:val="fr-CA"/>
        </w:rPr>
        <w:t xml:space="preserve">Il comprend notamment l’Initiative des aînés et des gardiens du savoir dans les écoles, qui encourage une mobilisation respectueuse et relationnelle afin d’intégrer les visions du monde autochtones dans les programmes scolaires, l’enseignement, l’évaluation, ainsi que dans les initiatives de santé mentale et de bien-être. Elle permet aux élèves, éducateurs et familles de mieux connaître l’histoire, les langues, les cultures, les valeurs traditionnelles, les savoirs et les modes de vie contemporains autochtones. En 2023, le Manitoba a publié </w:t>
      </w:r>
      <w:proofErr w:type="spellStart"/>
      <w:r w:rsidRPr="00897EC0">
        <w:rPr>
          <w:rFonts w:eastAsia="Times New Roman"/>
          <w:lang w:val="fr-CA"/>
        </w:rPr>
        <w:t>Mamàhtawisiwin</w:t>
      </w:r>
      <w:proofErr w:type="spellEnd"/>
      <w:r w:rsidRPr="00897EC0">
        <w:rPr>
          <w:rFonts w:eastAsia="Times New Roman"/>
          <w:lang w:val="fr-CA"/>
        </w:rPr>
        <w:t xml:space="preserve"> – Outils de réflexion, de planification et d’établissement de rapport, offrant aux éducateurs et au personnel scolaire des occasions de réflexion, de perfectionnement professionnel et un cadre pour rendre compte des progrès réalisés vers la création d’une communauté scolaire inclusive des réalités autochtones.</w:t>
      </w:r>
    </w:p>
    <w:p w14:paraId="0820A934" w14:textId="77777777" w:rsidR="00C83F56" w:rsidRPr="00FB4375" w:rsidRDefault="00C83F56" w:rsidP="004F23C1">
      <w:pPr>
        <w:pStyle w:val="SingleTxtG"/>
        <w:numPr>
          <w:ilvl w:val="0"/>
          <w:numId w:val="4"/>
        </w:numPr>
        <w:ind w:left="1134" w:firstLine="0"/>
        <w:rPr>
          <w:lang w:val="fr-CA"/>
        </w:rPr>
      </w:pPr>
      <w:bookmarkStart w:id="61" w:name="lt_pId143"/>
      <w:r w:rsidRPr="0096749B">
        <w:rPr>
          <w:lang w:val="fr-CA"/>
        </w:rPr>
        <w:t xml:space="preserve">En 2018, l’Ontario a lancé le Programme d’encadrement des diplômés autochtones afin de réduire l’écart de rendement entre les élèves autochtones et l’ensemble des élèves de la province, notamment en matière de diplomation. Le programme offre à certains conseils scolaires des fonds pour embaucher des accompagnateurs autochtones à la diplomation, qui soutiennent le bien-être et la réussite des élèves des Premières Nations, métis et inuits de </w:t>
      </w:r>
      <w:r w:rsidRPr="00FE7D5C">
        <w:rPr>
          <w:lang w:val="fr-CA"/>
        </w:rPr>
        <w:t>la septième à la 12e année tout au</w:t>
      </w:r>
      <w:r w:rsidRPr="0096749B">
        <w:rPr>
          <w:lang w:val="fr-CA"/>
        </w:rPr>
        <w:t xml:space="preserve"> long de leur parcours scolaire. Il vise à favoriser l’obtention du diplôme d’études secondaires de l’Ontario et la transition vers l’enseignement </w:t>
      </w:r>
      <w:proofErr w:type="spellStart"/>
      <w:r w:rsidRPr="0096749B">
        <w:rPr>
          <w:lang w:val="fr-CA"/>
        </w:rPr>
        <w:t>postsecondaire</w:t>
      </w:r>
      <w:proofErr w:type="spellEnd"/>
      <w:r w:rsidRPr="0096749B">
        <w:rPr>
          <w:lang w:val="fr-CA"/>
        </w:rPr>
        <w:t>, la formation ou le marché du travail. Le programme appuie également les élèves des Premières Nations lors de leur transition des écoles financées par le gouvernement fédéral vers le système d’éducation provincial.</w:t>
      </w:r>
    </w:p>
    <w:p w14:paraId="6807EE01" w14:textId="77777777" w:rsidR="00C83F56" w:rsidRPr="00E7089D" w:rsidRDefault="00C83F56" w:rsidP="004F23C1">
      <w:pPr>
        <w:pStyle w:val="SingleTxtG"/>
        <w:numPr>
          <w:ilvl w:val="0"/>
          <w:numId w:val="4"/>
        </w:numPr>
        <w:ind w:left="1134" w:firstLine="0"/>
        <w:rPr>
          <w:b/>
          <w:bCs/>
          <w:lang w:val="fr-CA"/>
        </w:rPr>
      </w:pPr>
      <w:r w:rsidRPr="00F91668">
        <w:rPr>
          <w:lang w:val="fr-CA"/>
        </w:rPr>
        <w:t>Pour aider à lutter contre le racisme à l</w:t>
      </w:r>
      <w:r>
        <w:rPr>
          <w:lang w:val="fr-CA"/>
        </w:rPr>
        <w:t>’</w:t>
      </w:r>
      <w:r w:rsidRPr="00F91668">
        <w:rPr>
          <w:lang w:val="fr-CA"/>
        </w:rPr>
        <w:t>égard des Noirs dans le système éducatif, l</w:t>
      </w:r>
      <w:r>
        <w:rPr>
          <w:lang w:val="fr-CA"/>
        </w:rPr>
        <w:t>’Ontario a lancé en </w:t>
      </w:r>
      <w:r w:rsidRPr="00F91668">
        <w:rPr>
          <w:lang w:val="fr-CA"/>
        </w:rPr>
        <w:t xml:space="preserve">2019 </w:t>
      </w:r>
      <w:r w:rsidRPr="00263C5E">
        <w:rPr>
          <w:lang w:val="fr-CA"/>
        </w:rPr>
        <w:t>le Programme des accompagnateurs des élèves noirs</w:t>
      </w:r>
      <w:r w:rsidRPr="00F91668">
        <w:rPr>
          <w:lang w:val="fr-CA"/>
        </w:rPr>
        <w:t>.</w:t>
      </w:r>
      <w:bookmarkEnd w:id="61"/>
      <w:r w:rsidRPr="00A7517B">
        <w:rPr>
          <w:lang w:val="fr-CA"/>
        </w:rPr>
        <w:t xml:space="preserve"> </w:t>
      </w:r>
      <w:bookmarkStart w:id="62" w:name="lt_pId144"/>
      <w:r>
        <w:rPr>
          <w:lang w:val="fr-CA"/>
        </w:rPr>
        <w:t>Ce programme fournit aux conseils scolaires sélectionnés un financement pour embaucher des accompagnateurs de fin d’études, lesquels offrent un soutien intensif et adapté à la culture pour favoriser le bien-être et la réussite scolaire des élèves noirs.</w:t>
      </w:r>
      <w:bookmarkEnd w:id="62"/>
      <w:r w:rsidRPr="00A7517B">
        <w:rPr>
          <w:lang w:val="fr-CA"/>
        </w:rPr>
        <w:t xml:space="preserve"> </w:t>
      </w:r>
      <w:r w:rsidRPr="00E03F50">
        <w:rPr>
          <w:lang w:val="fr-CA"/>
        </w:rPr>
        <w:t xml:space="preserve">Le ministère de l'Éducation de l'Ontario examine le rapport de la Commission ontarienne des droits de la personne intitulé </w:t>
      </w:r>
      <w:r w:rsidRPr="00E01A22">
        <w:rPr>
          <w:lang w:val="fr-CA"/>
        </w:rPr>
        <w:t>Rêves repoussés : faire face au racisme et à la discrimination envers les Noirs dans le système d’éducation publique en Ontario</w:t>
      </w:r>
      <w:r w:rsidRPr="00E03F50">
        <w:rPr>
          <w:lang w:val="fr-CA"/>
        </w:rPr>
        <w:t xml:space="preserve"> et examinera attentivement les recommandations proposées.</w:t>
      </w:r>
      <w:r>
        <w:rPr>
          <w:lang w:val="fr-CA"/>
        </w:rPr>
        <w:t xml:space="preserve"> </w:t>
      </w:r>
    </w:p>
    <w:p w14:paraId="13428C76" w14:textId="77777777" w:rsidR="00C83F56" w:rsidRDefault="00C83F56" w:rsidP="004F23C1">
      <w:pPr>
        <w:pStyle w:val="SingleTxtG"/>
        <w:numPr>
          <w:ilvl w:val="0"/>
          <w:numId w:val="4"/>
        </w:numPr>
        <w:ind w:left="1134" w:firstLine="0"/>
        <w:rPr>
          <w:lang w:val="fr-CA"/>
        </w:rPr>
      </w:pPr>
      <w:bookmarkStart w:id="63" w:name="lt_pId145"/>
      <w:r>
        <w:rPr>
          <w:lang w:val="fr-CA"/>
        </w:rPr>
        <w:t>Le système éducatif de l’Île-du-Prince-Édouard veille à ce que les élèves à risque bénéficient d’une aide pour obtenir leur diplôme d’études secondaires.</w:t>
      </w:r>
      <w:bookmarkEnd w:id="63"/>
      <w:r w:rsidRPr="00A7517B">
        <w:rPr>
          <w:lang w:val="fr-CA"/>
        </w:rPr>
        <w:t xml:space="preserve"> </w:t>
      </w:r>
      <w:bookmarkStart w:id="64" w:name="lt_pId146"/>
      <w:r>
        <w:rPr>
          <w:lang w:val="fr-CA"/>
        </w:rPr>
        <w:t xml:space="preserve">Un nouveau programme tel que l’initiative pour la transition des jeunes a été mis en place dans les écoles secondaires de la province afin </w:t>
      </w:r>
      <w:r w:rsidRPr="00AA2D6B">
        <w:rPr>
          <w:lang w:val="fr-CA"/>
        </w:rPr>
        <w:t>de s</w:t>
      </w:r>
      <w:r>
        <w:rPr>
          <w:lang w:val="fr-CA"/>
        </w:rPr>
        <w:t>’</w:t>
      </w:r>
      <w:r w:rsidRPr="00AA2D6B">
        <w:rPr>
          <w:lang w:val="fr-CA"/>
        </w:rPr>
        <w:t>assurer que les élèves sont engagés et qu</w:t>
      </w:r>
      <w:r>
        <w:rPr>
          <w:lang w:val="fr-CA"/>
        </w:rPr>
        <w:t>’</w:t>
      </w:r>
      <w:r w:rsidRPr="00AA2D6B">
        <w:rPr>
          <w:lang w:val="fr-CA"/>
        </w:rPr>
        <w:t>ils disposent d</w:t>
      </w:r>
      <w:r>
        <w:rPr>
          <w:lang w:val="fr-CA"/>
        </w:rPr>
        <w:t>’</w:t>
      </w:r>
      <w:r w:rsidRPr="00AA2D6B">
        <w:rPr>
          <w:lang w:val="fr-CA"/>
        </w:rPr>
        <w:t>a</w:t>
      </w:r>
      <w:r>
        <w:rPr>
          <w:lang w:val="fr-CA"/>
        </w:rPr>
        <w:t>lternatives</w:t>
      </w:r>
      <w:r w:rsidRPr="00AA2D6B">
        <w:rPr>
          <w:lang w:val="fr-CA"/>
        </w:rPr>
        <w:t xml:space="preserve"> pour obtenir leur diplôme.</w:t>
      </w:r>
      <w:bookmarkEnd w:id="64"/>
    </w:p>
    <w:p w14:paraId="7B133426" w14:textId="480A7777" w:rsidR="00C83F56" w:rsidRPr="00A7517B" w:rsidRDefault="007B658E" w:rsidP="007B658E">
      <w:pPr>
        <w:pStyle w:val="H1G"/>
        <w:rPr>
          <w:lang w:val="fr-CA"/>
        </w:rPr>
      </w:pPr>
      <w:bookmarkStart w:id="65" w:name="lt_pId147"/>
      <w:bookmarkEnd w:id="57"/>
      <w:r>
        <w:rPr>
          <w:lang w:val="fr-CA"/>
        </w:rPr>
        <w:tab/>
      </w:r>
      <w:r>
        <w:rPr>
          <w:lang w:val="fr-CA"/>
        </w:rPr>
        <w:tab/>
      </w:r>
      <w:r w:rsidR="00C83F56" w:rsidRPr="00AA2D6B">
        <w:rPr>
          <w:lang w:val="fr-CA"/>
        </w:rPr>
        <w:t>Équité en matière d</w:t>
      </w:r>
      <w:r w:rsidR="00C83F56">
        <w:rPr>
          <w:lang w:val="fr-CA"/>
        </w:rPr>
        <w:t>’</w:t>
      </w:r>
      <w:r w:rsidR="00C83F56" w:rsidRPr="00AA2D6B">
        <w:rPr>
          <w:lang w:val="fr-CA"/>
        </w:rPr>
        <w:t>emploi</w:t>
      </w:r>
      <w:bookmarkEnd w:id="65"/>
    </w:p>
    <w:p w14:paraId="2AC4993B" w14:textId="77777777" w:rsidR="00C83F56" w:rsidRPr="00A7517B" w:rsidRDefault="00C83F56" w:rsidP="004F23C1">
      <w:pPr>
        <w:pStyle w:val="SingleTxtG"/>
        <w:numPr>
          <w:ilvl w:val="0"/>
          <w:numId w:val="4"/>
        </w:numPr>
        <w:ind w:left="1134" w:firstLine="0"/>
        <w:rPr>
          <w:lang w:val="fr-CA"/>
        </w:rPr>
      </w:pPr>
      <w:bookmarkStart w:id="66" w:name="lt_pId148"/>
      <w:r w:rsidRPr="007D1D3F">
        <w:rPr>
          <w:lang w:val="fr-CA"/>
        </w:rPr>
        <w:t>En vertu de la</w:t>
      </w:r>
      <w:r>
        <w:rPr>
          <w:lang w:val="fr-CA"/>
        </w:rPr>
        <w:t xml:space="preserve"> </w:t>
      </w:r>
      <w:r w:rsidRPr="51A13573">
        <w:rPr>
          <w:i/>
          <w:iCs/>
          <w:color w:val="000000" w:themeColor="text1"/>
          <w:lang w:val="fr-CA"/>
        </w:rPr>
        <w:t>Loi sur l’équité en matière d’emploi</w:t>
      </w:r>
      <w:r>
        <w:rPr>
          <w:i/>
          <w:iCs/>
          <w:color w:val="000000" w:themeColor="text1"/>
          <w:lang w:val="fr-CA"/>
        </w:rPr>
        <w:t xml:space="preserve"> </w:t>
      </w:r>
      <w:r w:rsidRPr="00AC0826">
        <w:rPr>
          <w:color w:val="000000" w:themeColor="text1"/>
          <w:lang w:val="fr-CA"/>
        </w:rPr>
        <w:t>(La Loi),</w:t>
      </w:r>
      <w:r w:rsidRPr="0099456D">
        <w:rPr>
          <w:lang w:val="fr-CA"/>
        </w:rPr>
        <w:t xml:space="preserve"> </w:t>
      </w:r>
      <w:r w:rsidRPr="007D1D3F">
        <w:rPr>
          <w:lang w:val="fr-CA"/>
        </w:rPr>
        <w:t xml:space="preserve">le </w:t>
      </w:r>
      <w:r>
        <w:rPr>
          <w:lang w:val="fr-CA"/>
        </w:rPr>
        <w:t>GC</w:t>
      </w:r>
      <w:r w:rsidRPr="007D1D3F">
        <w:rPr>
          <w:lang w:val="fr-CA"/>
        </w:rPr>
        <w:t xml:space="preserve"> a la responsabilité de soutenir les employeurs du secteur privé sous réglementation fédérale assujetti à la </w:t>
      </w:r>
      <w:r>
        <w:rPr>
          <w:lang w:val="fr-CA"/>
        </w:rPr>
        <w:t xml:space="preserve">Loi </w:t>
      </w:r>
      <w:r w:rsidRPr="007D1D3F">
        <w:rPr>
          <w:lang w:val="fr-CA"/>
        </w:rPr>
        <w:t>dans leurs efforts pour mettre en œuvre l</w:t>
      </w:r>
      <w:r>
        <w:rPr>
          <w:lang w:val="fr-CA"/>
        </w:rPr>
        <w:t>’</w:t>
      </w:r>
      <w:r w:rsidRPr="007D1D3F">
        <w:rPr>
          <w:lang w:val="fr-CA"/>
        </w:rPr>
        <w:t>équité en matière d</w:t>
      </w:r>
      <w:r>
        <w:rPr>
          <w:lang w:val="fr-CA"/>
        </w:rPr>
        <w:t>’</w:t>
      </w:r>
      <w:r w:rsidRPr="007D1D3F">
        <w:rPr>
          <w:lang w:val="fr-CA"/>
        </w:rPr>
        <w:t xml:space="preserve">emploi dans leurs organisations pour quatre groupes désignés : les femmes, les Autochtones, les personnes </w:t>
      </w:r>
      <w:r w:rsidRPr="007D1D3F" w:rsidDel="00FB35AE">
        <w:rPr>
          <w:lang w:val="fr-CA"/>
        </w:rPr>
        <w:t xml:space="preserve">en situation </w:t>
      </w:r>
      <w:r w:rsidRPr="007D1D3F">
        <w:rPr>
          <w:lang w:val="fr-CA"/>
        </w:rPr>
        <w:t>d</w:t>
      </w:r>
      <w:r>
        <w:rPr>
          <w:lang w:val="fr-CA"/>
        </w:rPr>
        <w:t>’handicapées</w:t>
      </w:r>
      <w:r w:rsidRPr="007D1D3F">
        <w:rPr>
          <w:lang w:val="fr-CA"/>
        </w:rPr>
        <w:t xml:space="preserve"> et les personnes </w:t>
      </w:r>
      <w:r w:rsidRPr="00C87179">
        <w:rPr>
          <w:color w:val="000000" w:themeColor="text1"/>
          <w:lang w:val="fr-CA"/>
        </w:rPr>
        <w:t xml:space="preserve">qui font partie des </w:t>
      </w:r>
      <w:r>
        <w:rPr>
          <w:color w:val="000000" w:themeColor="text1"/>
          <w:lang w:val="fr-CA"/>
        </w:rPr>
        <w:t xml:space="preserve">groupes </w:t>
      </w:r>
      <w:r w:rsidRPr="51A13573" w:rsidDel="00C87179">
        <w:rPr>
          <w:color w:val="000000" w:themeColor="text1"/>
          <w:lang w:val="fr-CA"/>
        </w:rPr>
        <w:t>racisées</w:t>
      </w:r>
      <w:r>
        <w:rPr>
          <w:color w:val="000000" w:themeColor="text1"/>
          <w:lang w:val="fr-CA"/>
        </w:rPr>
        <w:t xml:space="preserve">. </w:t>
      </w:r>
      <w:bookmarkEnd w:id="66"/>
    </w:p>
    <w:p w14:paraId="533736FD" w14:textId="77777777" w:rsidR="00C83F56" w:rsidRPr="007F06C2" w:rsidRDefault="00C83F56" w:rsidP="004F23C1">
      <w:pPr>
        <w:pStyle w:val="SingleTxtG"/>
        <w:numPr>
          <w:ilvl w:val="0"/>
          <w:numId w:val="4"/>
        </w:numPr>
        <w:ind w:left="1134" w:firstLine="0"/>
        <w:rPr>
          <w:lang w:val="fr-CA"/>
        </w:rPr>
      </w:pPr>
      <w:bookmarkStart w:id="67" w:name="lt_pId149"/>
      <w:r>
        <w:rPr>
          <w:lang w:val="fr-CA"/>
        </w:rPr>
        <w:t xml:space="preserve">Le GC a la responsabilité de fournir des conseils et un soutien aux employeurs sur l’équité en matière </w:t>
      </w:r>
      <w:r w:rsidRPr="007F06C2">
        <w:rPr>
          <w:lang w:val="fr-CA"/>
        </w:rPr>
        <w:t>d</w:t>
      </w:r>
      <w:r>
        <w:rPr>
          <w:lang w:val="fr-CA"/>
        </w:rPr>
        <w:t>’</w:t>
      </w:r>
      <w:r w:rsidRPr="007F06C2">
        <w:rPr>
          <w:lang w:val="fr-CA"/>
        </w:rPr>
        <w:t>emploi</w:t>
      </w:r>
      <w:bookmarkEnd w:id="67"/>
      <w:r>
        <w:rPr>
          <w:lang w:val="fr-CA"/>
        </w:rPr>
        <w:t>,</w:t>
      </w:r>
      <w:r w:rsidRPr="007F06C2">
        <w:rPr>
          <w:lang w:val="fr-CA"/>
        </w:rPr>
        <w:t xml:space="preserve"> </w:t>
      </w:r>
      <w:bookmarkStart w:id="68" w:name="lt_pId150"/>
      <w:r>
        <w:rPr>
          <w:lang w:val="fr-CA"/>
        </w:rPr>
        <w:t>incluant</w:t>
      </w:r>
      <w:r w:rsidRPr="007F06C2">
        <w:rPr>
          <w:lang w:val="fr-CA"/>
        </w:rPr>
        <w:t xml:space="preserve"> la transmission de communications régulières par courriel concernant leurs obligations liées à l</w:t>
      </w:r>
      <w:r>
        <w:rPr>
          <w:lang w:val="fr-CA"/>
        </w:rPr>
        <w:t>’</w:t>
      </w:r>
      <w:r w:rsidRPr="007F06C2">
        <w:rPr>
          <w:lang w:val="fr-CA"/>
        </w:rPr>
        <w:t>équité en matière d</w:t>
      </w:r>
      <w:r>
        <w:rPr>
          <w:lang w:val="fr-CA"/>
        </w:rPr>
        <w:t>’</w:t>
      </w:r>
      <w:r w:rsidRPr="007F06C2">
        <w:rPr>
          <w:lang w:val="fr-CA"/>
        </w:rPr>
        <w:t xml:space="preserve">emploi, la réponse aux demandes des employeurs par téléphone et par courriel, </w:t>
      </w:r>
      <w:r>
        <w:rPr>
          <w:lang w:val="fr-CA"/>
        </w:rPr>
        <w:t>et</w:t>
      </w:r>
      <w:r w:rsidRPr="007F06C2">
        <w:rPr>
          <w:lang w:val="fr-CA"/>
        </w:rPr>
        <w:t xml:space="preserve"> la publication en ligne d</w:t>
      </w:r>
      <w:r>
        <w:rPr>
          <w:lang w:val="fr-CA"/>
        </w:rPr>
        <w:t>’</w:t>
      </w:r>
      <w:r w:rsidRPr="007F06C2">
        <w:rPr>
          <w:lang w:val="fr-CA"/>
        </w:rPr>
        <w:t>orientations et d</w:t>
      </w:r>
      <w:r>
        <w:rPr>
          <w:lang w:val="fr-CA"/>
        </w:rPr>
        <w:t>’</w:t>
      </w:r>
      <w:r w:rsidRPr="007F06C2">
        <w:rPr>
          <w:lang w:val="fr-CA"/>
        </w:rPr>
        <w:t>outils détaillés.</w:t>
      </w:r>
      <w:bookmarkEnd w:id="68"/>
    </w:p>
    <w:p w14:paraId="0845577D" w14:textId="77777777" w:rsidR="00C83F56" w:rsidRPr="00A7517B" w:rsidRDefault="00C83F56" w:rsidP="004F23C1">
      <w:pPr>
        <w:pStyle w:val="SingleTxtG"/>
        <w:numPr>
          <w:ilvl w:val="0"/>
          <w:numId w:val="4"/>
        </w:numPr>
        <w:ind w:left="1134" w:firstLine="0"/>
        <w:rPr>
          <w:lang w:val="fr-CA"/>
        </w:rPr>
      </w:pPr>
      <w:bookmarkStart w:id="69" w:name="lt_pId151"/>
      <w:r>
        <w:rPr>
          <w:lang w:val="fr-CA"/>
        </w:rPr>
        <w:t xml:space="preserve">Le GC est également responsable de l’administration </w:t>
      </w:r>
      <w:r w:rsidRPr="00067760">
        <w:rPr>
          <w:lang w:val="fr-CA"/>
        </w:rPr>
        <w:t>du Programme de contrats fédéraux</w:t>
      </w:r>
      <w:r>
        <w:rPr>
          <w:lang w:val="fr-CA"/>
        </w:rPr>
        <w:t xml:space="preserve"> (PCF)</w:t>
      </w:r>
      <w:r w:rsidRPr="00067760">
        <w:rPr>
          <w:lang w:val="fr-CA"/>
        </w:rPr>
        <w:t xml:space="preserve">, qui </w:t>
      </w:r>
      <w:bookmarkStart w:id="70" w:name="lt_pId152"/>
      <w:bookmarkEnd w:id="69"/>
      <w:r>
        <w:rPr>
          <w:lang w:val="fr-CA"/>
        </w:rPr>
        <w:t>vise à s’assurer que les entrepreneurs admissibles faisant affaires avec le GC ont une main-d’œuvre représentative de la population canadienne.</w:t>
      </w:r>
      <w:bookmarkEnd w:id="70"/>
    </w:p>
    <w:p w14:paraId="673A0623" w14:textId="77777777" w:rsidR="00C83F56" w:rsidRPr="00A7517B" w:rsidRDefault="00C83F56" w:rsidP="004F23C1">
      <w:pPr>
        <w:pStyle w:val="SingleTxtG"/>
        <w:numPr>
          <w:ilvl w:val="0"/>
          <w:numId w:val="4"/>
        </w:numPr>
        <w:ind w:left="1134" w:firstLine="0"/>
        <w:rPr>
          <w:lang w:val="fr-CA"/>
        </w:rPr>
      </w:pPr>
      <w:bookmarkStart w:id="71" w:name="lt_pId153"/>
      <w:r w:rsidRPr="004144C1">
        <w:rPr>
          <w:lang w:val="fr-CA"/>
        </w:rPr>
        <w:t>Le Système de gestion de l</w:t>
      </w:r>
      <w:r>
        <w:rPr>
          <w:lang w:val="fr-CA"/>
        </w:rPr>
        <w:t>’</w:t>
      </w:r>
      <w:r w:rsidRPr="004144C1">
        <w:rPr>
          <w:lang w:val="fr-CA"/>
        </w:rPr>
        <w:t>information sur l</w:t>
      </w:r>
      <w:r>
        <w:rPr>
          <w:lang w:val="fr-CA"/>
        </w:rPr>
        <w:t>’équité en milieu de travail </w:t>
      </w:r>
      <w:r w:rsidRPr="004144C1">
        <w:rPr>
          <w:lang w:val="fr-CA"/>
        </w:rPr>
        <w:t>(SGIEMT) est une application en ligne conçue pour aider les employeurs</w:t>
      </w:r>
      <w:r>
        <w:rPr>
          <w:lang w:val="fr-CA"/>
        </w:rPr>
        <w:t xml:space="preserve"> sous réglementation fédérale</w:t>
      </w:r>
      <w:r w:rsidRPr="004144C1">
        <w:rPr>
          <w:lang w:val="fr-CA"/>
        </w:rPr>
        <w:t xml:space="preserve"> à s</w:t>
      </w:r>
      <w:r>
        <w:rPr>
          <w:lang w:val="fr-CA"/>
        </w:rPr>
        <w:t>’</w:t>
      </w:r>
      <w:r w:rsidRPr="004144C1">
        <w:rPr>
          <w:lang w:val="fr-CA"/>
        </w:rPr>
        <w:t xml:space="preserve">acquitter de leurs responsabilités </w:t>
      </w:r>
      <w:r>
        <w:rPr>
          <w:lang w:val="fr-CA"/>
        </w:rPr>
        <w:t>d’</w:t>
      </w:r>
      <w:r w:rsidRPr="004144C1">
        <w:rPr>
          <w:lang w:val="fr-CA"/>
        </w:rPr>
        <w:t>équité en matière d</w:t>
      </w:r>
      <w:r>
        <w:rPr>
          <w:lang w:val="fr-CA"/>
        </w:rPr>
        <w:t>’</w:t>
      </w:r>
      <w:r w:rsidRPr="004144C1">
        <w:rPr>
          <w:lang w:val="fr-CA"/>
        </w:rPr>
        <w:t>emploi.</w:t>
      </w:r>
      <w:bookmarkEnd w:id="71"/>
      <w:r w:rsidRPr="00A7517B">
        <w:rPr>
          <w:lang w:val="fr-CA"/>
        </w:rPr>
        <w:t xml:space="preserve"> </w:t>
      </w:r>
      <w:bookmarkStart w:id="72" w:name="lt_pId154"/>
      <w:r w:rsidRPr="004144C1">
        <w:rPr>
          <w:lang w:val="fr-CA"/>
        </w:rPr>
        <w:t>Le SGIEMT fournit des outils d</w:t>
      </w:r>
      <w:r>
        <w:rPr>
          <w:lang w:val="fr-CA"/>
        </w:rPr>
        <w:t>’</w:t>
      </w:r>
      <w:r w:rsidRPr="004144C1">
        <w:rPr>
          <w:lang w:val="fr-CA"/>
        </w:rPr>
        <w:t>analyse et contribue à la transmission des données nécessaires pour veiller à ce que les rapports sur l</w:t>
      </w:r>
      <w:r>
        <w:rPr>
          <w:lang w:val="fr-CA"/>
        </w:rPr>
        <w:t>’</w:t>
      </w:r>
      <w:r w:rsidRPr="004144C1">
        <w:rPr>
          <w:lang w:val="fr-CA"/>
        </w:rPr>
        <w:t>équité en matière d</w:t>
      </w:r>
      <w:r>
        <w:rPr>
          <w:lang w:val="fr-CA"/>
        </w:rPr>
        <w:t>’</w:t>
      </w:r>
      <w:r w:rsidRPr="004144C1">
        <w:rPr>
          <w:lang w:val="fr-CA"/>
        </w:rPr>
        <w:t xml:space="preserve">emploi soient conformes aux exigences de la </w:t>
      </w:r>
      <w:r>
        <w:rPr>
          <w:lang w:val="fr-CA"/>
        </w:rPr>
        <w:t>Loi</w:t>
      </w:r>
      <w:r w:rsidRPr="004144C1">
        <w:rPr>
          <w:lang w:val="fr-CA"/>
        </w:rPr>
        <w:t xml:space="preserve"> et du Programme des contrats fédéraux.</w:t>
      </w:r>
      <w:bookmarkEnd w:id="72"/>
      <w:r w:rsidRPr="00A7517B">
        <w:rPr>
          <w:lang w:val="fr-CA"/>
        </w:rPr>
        <w:t xml:space="preserve"> </w:t>
      </w:r>
      <w:bookmarkStart w:id="73" w:name="lt_pId155"/>
      <w:r>
        <w:rPr>
          <w:lang w:val="fr-CA"/>
        </w:rPr>
        <w:t>La Loi exige que les rapports annuels soumis par les employeurs du secteur privé sous réglementation fédérale soient mis à la disposition du public aux fins d’inspection.</w:t>
      </w:r>
      <w:bookmarkEnd w:id="73"/>
    </w:p>
    <w:p w14:paraId="380A619B" w14:textId="77777777" w:rsidR="00C83F56" w:rsidRPr="005635D8" w:rsidRDefault="00C83F56" w:rsidP="004F23C1">
      <w:pPr>
        <w:pStyle w:val="SingleTxtG"/>
        <w:numPr>
          <w:ilvl w:val="0"/>
          <w:numId w:val="4"/>
        </w:numPr>
        <w:ind w:left="1134" w:firstLine="0"/>
        <w:rPr>
          <w:lang w:val="fr-CA"/>
        </w:rPr>
      </w:pPr>
      <w:bookmarkStart w:id="74" w:name="lt_pId156"/>
      <w:r w:rsidRPr="51A13573">
        <w:rPr>
          <w:lang w:val="fr-CA"/>
        </w:rPr>
        <w:t>Dans le budget </w:t>
      </w:r>
      <w:r>
        <w:rPr>
          <w:lang w:val="fr-CA"/>
        </w:rPr>
        <w:t xml:space="preserve">fédéral de </w:t>
      </w:r>
      <w:r w:rsidRPr="51A13573">
        <w:rPr>
          <w:lang w:val="fr-CA"/>
        </w:rPr>
        <w:t xml:space="preserve">2018, le </w:t>
      </w:r>
      <w:r>
        <w:rPr>
          <w:lang w:val="fr-CA"/>
        </w:rPr>
        <w:t>GC</w:t>
      </w:r>
      <w:r w:rsidRPr="51A13573">
        <w:rPr>
          <w:lang w:val="fr-CA"/>
        </w:rPr>
        <w:t xml:space="preserve"> s’est engagé à mettre en œuvre des mesures de déclaration des écarts de rémunération pour les employeurs du secteur privé assujettis à la </w:t>
      </w:r>
      <w:r>
        <w:rPr>
          <w:lang w:val="fr-CA"/>
        </w:rPr>
        <w:t>Loi</w:t>
      </w:r>
      <w:r w:rsidRPr="51A13573">
        <w:rPr>
          <w:lang w:val="fr-CA"/>
        </w:rPr>
        <w:t>.</w:t>
      </w:r>
      <w:bookmarkEnd w:id="74"/>
      <w:r w:rsidRPr="51A13573">
        <w:rPr>
          <w:lang w:val="fr-CA"/>
        </w:rPr>
        <w:t xml:space="preserve"> </w:t>
      </w:r>
      <w:bookmarkStart w:id="75" w:name="lt_pId157"/>
      <w:r w:rsidRPr="51A13573">
        <w:rPr>
          <w:lang w:val="fr-CA"/>
        </w:rPr>
        <w:t xml:space="preserve">Depuis 2021, les employeurs </w:t>
      </w:r>
      <w:r>
        <w:rPr>
          <w:lang w:val="fr-CA"/>
        </w:rPr>
        <w:t xml:space="preserve">sous réglementation fédérale </w:t>
      </w:r>
      <w:r w:rsidRPr="51A13573">
        <w:rPr>
          <w:lang w:val="fr-CA"/>
        </w:rPr>
        <w:t>sont tenus d’enregistrer les nouvelles données salariales et de les utiliser pour produire leurs rapports annuels sur l’équité en matière d’emploi.</w:t>
      </w:r>
      <w:bookmarkEnd w:id="75"/>
      <w:r w:rsidRPr="51A13573">
        <w:rPr>
          <w:lang w:val="fr-CA"/>
        </w:rPr>
        <w:t xml:space="preserve"> </w:t>
      </w:r>
      <w:bookmarkStart w:id="76" w:name="lt_pId158"/>
      <w:r w:rsidRPr="51A13573">
        <w:rPr>
          <w:lang w:val="fr-CA"/>
        </w:rPr>
        <w:t>En 2022, les employeurs ont déclaré pour la première fois les écarts de rémunération qui touchent les femmes, les Autochtones, les personnes handicapées et les personnes</w:t>
      </w:r>
      <w:r w:rsidRPr="51A13573">
        <w:rPr>
          <w:color w:val="000000" w:themeColor="text1"/>
          <w:lang w:val="fr-CA"/>
        </w:rPr>
        <w:t xml:space="preserve"> </w:t>
      </w:r>
      <w:r w:rsidRPr="00876F8B">
        <w:rPr>
          <w:color w:val="000000" w:themeColor="text1"/>
          <w:lang w:val="fr-CA"/>
        </w:rPr>
        <w:t>qui font partie des minorités visibles</w:t>
      </w:r>
      <w:r>
        <w:rPr>
          <w:color w:val="000000" w:themeColor="text1"/>
          <w:lang w:val="fr-CA"/>
        </w:rPr>
        <w:t xml:space="preserve">. </w:t>
      </w:r>
      <w:bookmarkEnd w:id="76"/>
    </w:p>
    <w:p w14:paraId="014F3893" w14:textId="77777777" w:rsidR="00C83F56" w:rsidRPr="00D04252" w:rsidRDefault="00C83F56" w:rsidP="004F23C1">
      <w:pPr>
        <w:pStyle w:val="SingleTxtG"/>
        <w:numPr>
          <w:ilvl w:val="0"/>
          <w:numId w:val="4"/>
        </w:numPr>
        <w:ind w:left="1134" w:firstLine="0"/>
        <w:rPr>
          <w:lang w:val="fr-CA"/>
        </w:rPr>
      </w:pPr>
      <w:r w:rsidRPr="00D04252">
        <w:rPr>
          <w:color w:val="000000" w:themeColor="text1"/>
          <w:lang w:val="fr-CA"/>
        </w:rPr>
        <w:t xml:space="preserve">En 2024, le GC a lancé </w:t>
      </w:r>
      <w:proofErr w:type="spellStart"/>
      <w:r w:rsidRPr="00391194">
        <w:rPr>
          <w:lang w:val="fr-CA"/>
        </w:rPr>
        <w:t>Equi’Vision</w:t>
      </w:r>
      <w:proofErr w:type="spellEnd"/>
      <w:r w:rsidRPr="00D04252">
        <w:rPr>
          <w:color w:val="000000" w:themeColor="text1"/>
          <w:lang w:val="fr-CA"/>
        </w:rPr>
        <w:t xml:space="preserve">, un outil en ligne unique en son genre qui rend publiques les données sur la main-d’œuvre des employeurs. Ce site fournit des informations claires et comparables sur les taux de représentation et les écarts de rémunération pour chaque employeur du secteur privé assujetti à la Loi. </w:t>
      </w:r>
      <w:r w:rsidRPr="00D04252">
        <w:rPr>
          <w:lang w:val="fr-CA"/>
        </w:rPr>
        <w:t xml:space="preserve"> </w:t>
      </w:r>
    </w:p>
    <w:p w14:paraId="573A1AE5" w14:textId="77777777" w:rsidR="00C83F56" w:rsidRPr="00A7517B" w:rsidRDefault="00C83F56" w:rsidP="004F23C1">
      <w:pPr>
        <w:pStyle w:val="SingleTxtG"/>
        <w:numPr>
          <w:ilvl w:val="0"/>
          <w:numId w:val="4"/>
        </w:numPr>
        <w:ind w:left="1134" w:firstLine="0"/>
        <w:rPr>
          <w:lang w:val="fr-CA"/>
        </w:rPr>
      </w:pPr>
      <w:bookmarkStart w:id="77" w:name="lt_pId161"/>
      <w:r w:rsidRPr="002F19A5">
        <w:rPr>
          <w:lang w:val="fr-CA"/>
        </w:rPr>
        <w:t>La Commission canadienne des droits de la personne est tenue d</w:t>
      </w:r>
      <w:r>
        <w:rPr>
          <w:lang w:val="fr-CA"/>
        </w:rPr>
        <w:t>’assurer le respect des exigences non liées à la déclaration des employeurs du secteur public et du secteur privé.</w:t>
      </w:r>
      <w:bookmarkEnd w:id="77"/>
      <w:r w:rsidRPr="00A7517B">
        <w:rPr>
          <w:lang w:val="fr-CA"/>
        </w:rPr>
        <w:t xml:space="preserve"> </w:t>
      </w:r>
      <w:bookmarkStart w:id="78" w:name="lt_pId162"/>
      <w:r>
        <w:rPr>
          <w:lang w:val="fr-CA"/>
        </w:rPr>
        <w:t>Elle effectue des vérifications de la conformité auprès des employeurs afin d’évaluer les progrès réalisés dans la mise en œuvre des exigences de la Loi et</w:t>
      </w:r>
      <w:bookmarkStart w:id="79" w:name="lt_pId163"/>
      <w:bookmarkEnd w:id="78"/>
      <w:r>
        <w:rPr>
          <w:lang w:val="fr-CA"/>
        </w:rPr>
        <w:t xml:space="preserve"> aide les employeurs à atteindre leurs objectifs.</w:t>
      </w:r>
      <w:bookmarkEnd w:id="79"/>
    </w:p>
    <w:p w14:paraId="6B26A592" w14:textId="77777777" w:rsidR="00C83F56" w:rsidRPr="00AC7DB1" w:rsidRDefault="00C83F56" w:rsidP="004F23C1">
      <w:pPr>
        <w:pStyle w:val="SingleTxtG"/>
        <w:numPr>
          <w:ilvl w:val="0"/>
          <w:numId w:val="4"/>
        </w:numPr>
        <w:ind w:left="1134" w:firstLine="0"/>
        <w:rPr>
          <w:color w:val="000000" w:themeColor="text1"/>
          <w:lang w:val="fr-CA"/>
        </w:rPr>
      </w:pPr>
      <w:r w:rsidRPr="00AC7DB1">
        <w:rPr>
          <w:color w:val="000000" w:themeColor="text1"/>
          <w:lang w:val="fr-CA"/>
        </w:rPr>
        <w:t xml:space="preserve">En 2018, la </w:t>
      </w:r>
      <w:r w:rsidRPr="00AC7DB1">
        <w:rPr>
          <w:i/>
          <w:iCs/>
          <w:color w:val="000000" w:themeColor="text1"/>
          <w:lang w:val="fr-CA"/>
        </w:rPr>
        <w:t>Loi sur les droits de la personne de l’Alberta</w:t>
      </w:r>
      <w:r w:rsidRPr="00AC7DB1">
        <w:rPr>
          <w:color w:val="000000" w:themeColor="text1"/>
          <w:lang w:val="fr-CA"/>
        </w:rPr>
        <w:t xml:space="preserve"> a été modifiée pour protéger les programmes et activités visant à améliorer la </w:t>
      </w:r>
      <w:r w:rsidRPr="00391194">
        <w:rPr>
          <w:lang w:val="fr-CA"/>
        </w:rPr>
        <w:t>situation</w:t>
      </w:r>
      <w:r w:rsidRPr="00AC7DB1">
        <w:rPr>
          <w:color w:val="000000" w:themeColor="text1"/>
          <w:lang w:val="fr-CA"/>
        </w:rPr>
        <w:t xml:space="preserve"> de personnes défavorisées, notamment en raison de la race, des croyances religieuses, de la couleur, de l’identité ou de l’expression de genre, d’un handicap physique ou mental, de l’âge, de l’ascendance, du lieu d’origine, de l’état matrimonial, de la source de revenu, de la situation familiale ou de l’orientation sexuelle.</w:t>
      </w:r>
      <w:r>
        <w:rPr>
          <w:color w:val="000000" w:themeColor="text1"/>
          <w:lang w:val="fr-CA"/>
        </w:rPr>
        <w:t xml:space="preserve"> </w:t>
      </w:r>
    </w:p>
    <w:p w14:paraId="44AACA4D" w14:textId="77777777" w:rsidR="00C83F56" w:rsidRPr="00A7517B" w:rsidRDefault="00C83F56" w:rsidP="004F23C1">
      <w:pPr>
        <w:pStyle w:val="SingleTxtG"/>
        <w:numPr>
          <w:ilvl w:val="0"/>
          <w:numId w:val="4"/>
        </w:numPr>
        <w:ind w:left="1134" w:firstLine="0"/>
        <w:rPr>
          <w:rFonts w:eastAsia="Times New Roman"/>
          <w:lang w:val="fr-CA"/>
        </w:rPr>
      </w:pPr>
      <w:bookmarkStart w:id="80" w:name="lt_pId167"/>
      <w:r>
        <w:rPr>
          <w:rFonts w:eastAsia="Times New Roman"/>
          <w:lang w:val="fr-CA"/>
        </w:rPr>
        <w:t>En 2021, la Commission des droits de la personne de l’Alberta a mis à jour son guide des droits de la personne « </w:t>
      </w:r>
      <w:r w:rsidRPr="00A06818">
        <w:rPr>
          <w:rFonts w:eastAsia="Times New Roman"/>
          <w:lang w:val="fr-CA"/>
        </w:rPr>
        <w:t xml:space="preserve">Duty to </w:t>
      </w:r>
      <w:proofErr w:type="spellStart"/>
      <w:r w:rsidRPr="00A06818">
        <w:rPr>
          <w:rFonts w:eastAsia="Times New Roman"/>
          <w:lang w:val="fr-CA"/>
        </w:rPr>
        <w:t>Accommodate</w:t>
      </w:r>
      <w:proofErr w:type="spellEnd"/>
      <w:r>
        <w:rPr>
          <w:rFonts w:eastAsia="Times New Roman"/>
          <w:lang w:val="fr-CA"/>
        </w:rPr>
        <w:t xml:space="preserve"> », qui fournit des lignes directrices sur la manière d’accommoder une personne sur la base d’un ou de plusieurs motifs protégés, notamment </w:t>
      </w:r>
      <w:bookmarkStart w:id="81" w:name="lt_pId168"/>
      <w:bookmarkEnd w:id="80"/>
      <w:r>
        <w:rPr>
          <w:rFonts w:eastAsia="Times New Roman"/>
          <w:lang w:val="fr-CA"/>
        </w:rPr>
        <w:t xml:space="preserve">l’obligation d’accommoder les </w:t>
      </w:r>
      <w:r w:rsidRPr="00305F76">
        <w:rPr>
          <w:rFonts w:eastAsia="Times New Roman"/>
          <w:lang w:val="fr-CA"/>
        </w:rPr>
        <w:t xml:space="preserve">personnes racisées </w:t>
      </w:r>
      <w:r>
        <w:rPr>
          <w:rFonts w:eastAsia="Times New Roman"/>
          <w:lang w:val="fr-CA"/>
        </w:rPr>
        <w:t xml:space="preserve">ainsi que les minorités </w:t>
      </w:r>
      <w:r w:rsidRPr="00391194">
        <w:rPr>
          <w:lang w:val="fr-CA"/>
        </w:rPr>
        <w:t>religieuses</w:t>
      </w:r>
      <w:r>
        <w:rPr>
          <w:rFonts w:eastAsia="Times New Roman"/>
          <w:lang w:val="fr-CA"/>
        </w:rPr>
        <w:t>.</w:t>
      </w:r>
      <w:bookmarkEnd w:id="81"/>
    </w:p>
    <w:p w14:paraId="671FB3FA" w14:textId="77777777" w:rsidR="00C83F56" w:rsidRDefault="00C83F56" w:rsidP="004F23C1">
      <w:pPr>
        <w:pStyle w:val="SingleTxtG"/>
        <w:numPr>
          <w:ilvl w:val="0"/>
          <w:numId w:val="4"/>
        </w:numPr>
        <w:ind w:left="1134" w:firstLine="0"/>
        <w:rPr>
          <w:lang w:val="fr-CA"/>
        </w:rPr>
      </w:pPr>
      <w:bookmarkStart w:id="82" w:name="lt_pId169"/>
      <w:r>
        <w:rPr>
          <w:lang w:val="fr-CA"/>
        </w:rPr>
        <w:t>Le Québec offre une aide financière aux entreprises au moyen de diverses mesures, dont l’accompagnement afin de faire appel à un spécialiste pour réaliser une intervention de structuration visant à répondre aux enjeux liés à la gestion des ressources humaines, et plus particulièrement à la gestion de la diversité.</w:t>
      </w:r>
      <w:bookmarkEnd w:id="82"/>
      <w:r w:rsidRPr="00A7517B">
        <w:rPr>
          <w:lang w:val="fr-CA"/>
        </w:rPr>
        <w:t xml:space="preserve"> </w:t>
      </w:r>
    </w:p>
    <w:p w14:paraId="46486D04" w14:textId="77777777" w:rsidR="00C83F56" w:rsidRPr="00A7517B" w:rsidRDefault="00C83F56" w:rsidP="004F23C1">
      <w:pPr>
        <w:pStyle w:val="SingleTxtG"/>
        <w:numPr>
          <w:ilvl w:val="0"/>
          <w:numId w:val="4"/>
        </w:numPr>
        <w:ind w:left="1134" w:firstLine="0"/>
        <w:rPr>
          <w:lang w:val="fr-CA"/>
        </w:rPr>
      </w:pPr>
      <w:r w:rsidRPr="00305F76">
        <w:rPr>
          <w:lang w:val="fr-CA"/>
        </w:rPr>
        <w:t xml:space="preserve">La </w:t>
      </w:r>
      <w:r w:rsidRPr="00E7089D">
        <w:rPr>
          <w:i/>
          <w:iCs/>
          <w:lang w:val="fr-CA"/>
        </w:rPr>
        <w:t>Loi sur la transparence des salaires</w:t>
      </w:r>
      <w:r w:rsidRPr="00305F76">
        <w:rPr>
          <w:lang w:val="fr-CA"/>
        </w:rPr>
        <w:t xml:space="preserve"> de la Colombie-Britannique est entrée en vigueur </w:t>
      </w:r>
      <w:r>
        <w:rPr>
          <w:lang w:val="fr-CA"/>
        </w:rPr>
        <w:t>en</w:t>
      </w:r>
      <w:r w:rsidRPr="00305F76">
        <w:rPr>
          <w:lang w:val="fr-CA"/>
        </w:rPr>
        <w:t xml:space="preserve"> 2023. Elle vise à lutter contre la discrimination systémique sur le lieu de travail en exigeant des employeurs qu'ils améliorent la transparence de leurs pratiques salariales et en interdisant les comportements de l'employeur qui contribuent à l'écart de rémunération entre les femmes et les hommes. L'écart de rémunération entre les femmes et les hommes à un impact disproportionné sur les femmes racisées, les nouvelles arrivantes, les femmes autochtones et les personnes issues de la diversité des genres.  </w:t>
      </w:r>
    </w:p>
    <w:p w14:paraId="638AFB35" w14:textId="4A0413BA" w:rsidR="00C83F56" w:rsidRPr="00A7517B" w:rsidRDefault="0010497F" w:rsidP="0010497F">
      <w:pPr>
        <w:pStyle w:val="H1G"/>
        <w:rPr>
          <w:lang w:val="fr-CA"/>
        </w:rPr>
      </w:pPr>
      <w:bookmarkStart w:id="83" w:name="lt_pId170"/>
      <w:r>
        <w:rPr>
          <w:lang w:val="fr-CA"/>
        </w:rPr>
        <w:tab/>
      </w:r>
      <w:r>
        <w:rPr>
          <w:lang w:val="fr-CA"/>
        </w:rPr>
        <w:tab/>
      </w:r>
      <w:r w:rsidR="00C83F56">
        <w:rPr>
          <w:lang w:val="fr-CA"/>
        </w:rPr>
        <w:t>Crimes haineux fondés sur la race</w:t>
      </w:r>
      <w:bookmarkEnd w:id="83"/>
    </w:p>
    <w:p w14:paraId="65D40867" w14:textId="77777777" w:rsidR="00C83F56" w:rsidRPr="00A5312E" w:rsidRDefault="00C83F56" w:rsidP="004F23C1">
      <w:pPr>
        <w:pStyle w:val="SingleTxtG"/>
        <w:numPr>
          <w:ilvl w:val="0"/>
          <w:numId w:val="4"/>
        </w:numPr>
        <w:ind w:left="1134" w:firstLine="0"/>
        <w:rPr>
          <w:lang w:val="fr-CA"/>
        </w:rPr>
      </w:pPr>
      <w:bookmarkStart w:id="84" w:name="lt_pId171"/>
      <w:r w:rsidRPr="00E57C6A">
        <w:rPr>
          <w:lang w:val="fr-CA"/>
        </w:rPr>
        <w:t>Le code pénal comporte actuellement quatre infractions précises relatives à la propagande haineuse (paragraphe</w:t>
      </w:r>
      <w:r>
        <w:rPr>
          <w:lang w:val="fr-CA"/>
        </w:rPr>
        <w:t> </w:t>
      </w:r>
      <w:r w:rsidRPr="00E57C6A">
        <w:rPr>
          <w:lang w:val="fr-CA"/>
        </w:rPr>
        <w:t>318</w:t>
      </w:r>
      <w:r>
        <w:rPr>
          <w:lang w:val="fr-CA"/>
        </w:rPr>
        <w:t>(</w:t>
      </w:r>
      <w:r w:rsidRPr="00E57C6A">
        <w:rPr>
          <w:lang w:val="fr-CA"/>
        </w:rPr>
        <w:t>1</w:t>
      </w:r>
      <w:r>
        <w:rPr>
          <w:lang w:val="fr-CA"/>
        </w:rPr>
        <w:t>)</w:t>
      </w:r>
      <w:r w:rsidRPr="00E57C6A">
        <w:rPr>
          <w:lang w:val="fr-CA"/>
        </w:rPr>
        <w:t xml:space="preserve"> </w:t>
      </w:r>
      <w:r>
        <w:rPr>
          <w:lang w:val="fr-CA"/>
        </w:rPr>
        <w:t xml:space="preserve">– </w:t>
      </w:r>
      <w:r w:rsidRPr="00E57C6A">
        <w:rPr>
          <w:lang w:val="fr-CA"/>
        </w:rPr>
        <w:t>Encouragement au génocide, paragraphe</w:t>
      </w:r>
      <w:r>
        <w:rPr>
          <w:lang w:val="fr-CA"/>
        </w:rPr>
        <w:t> </w:t>
      </w:r>
      <w:r w:rsidRPr="00E57C6A">
        <w:rPr>
          <w:lang w:val="fr-CA"/>
        </w:rPr>
        <w:t>319</w:t>
      </w:r>
      <w:r>
        <w:rPr>
          <w:lang w:val="fr-CA"/>
        </w:rPr>
        <w:t>(</w:t>
      </w:r>
      <w:r w:rsidRPr="00E57C6A">
        <w:rPr>
          <w:lang w:val="fr-CA"/>
        </w:rPr>
        <w:t>1</w:t>
      </w:r>
      <w:r>
        <w:rPr>
          <w:lang w:val="fr-CA"/>
        </w:rPr>
        <w:t>)</w:t>
      </w:r>
      <w:r w:rsidRPr="00E57C6A">
        <w:rPr>
          <w:lang w:val="fr-CA"/>
        </w:rPr>
        <w:t xml:space="preserve"> </w:t>
      </w:r>
      <w:r>
        <w:rPr>
          <w:lang w:val="fr-CA"/>
        </w:rPr>
        <w:t xml:space="preserve">– </w:t>
      </w:r>
      <w:r w:rsidRPr="00E57C6A">
        <w:rPr>
          <w:lang w:val="fr-CA"/>
        </w:rPr>
        <w:t>Incitation publique à la haine, paragraphe</w:t>
      </w:r>
      <w:r>
        <w:rPr>
          <w:lang w:val="fr-CA"/>
        </w:rPr>
        <w:t> </w:t>
      </w:r>
      <w:r w:rsidRPr="00E57C6A">
        <w:rPr>
          <w:lang w:val="fr-CA"/>
        </w:rPr>
        <w:t>319</w:t>
      </w:r>
      <w:r>
        <w:rPr>
          <w:lang w:val="fr-CA"/>
        </w:rPr>
        <w:t>[</w:t>
      </w:r>
      <w:r w:rsidRPr="00E57C6A">
        <w:rPr>
          <w:lang w:val="fr-CA"/>
        </w:rPr>
        <w:t>2</w:t>
      </w:r>
      <w:r>
        <w:rPr>
          <w:lang w:val="fr-CA"/>
        </w:rPr>
        <w:t>]</w:t>
      </w:r>
      <w:r w:rsidRPr="00E57C6A">
        <w:rPr>
          <w:lang w:val="fr-CA"/>
        </w:rPr>
        <w:t xml:space="preserve"> </w:t>
      </w:r>
      <w:r>
        <w:rPr>
          <w:lang w:val="fr-CA"/>
        </w:rPr>
        <w:t xml:space="preserve">– </w:t>
      </w:r>
      <w:r w:rsidRPr="00E57C6A">
        <w:rPr>
          <w:lang w:val="fr-CA"/>
        </w:rPr>
        <w:t>Fomenter volontairement la haine, et paragraphe</w:t>
      </w:r>
      <w:r>
        <w:rPr>
          <w:lang w:val="fr-CA"/>
        </w:rPr>
        <w:t> </w:t>
      </w:r>
      <w:r w:rsidRPr="00E57C6A">
        <w:rPr>
          <w:lang w:val="fr-CA"/>
        </w:rPr>
        <w:t>319</w:t>
      </w:r>
      <w:r>
        <w:rPr>
          <w:lang w:val="fr-CA"/>
        </w:rPr>
        <w:t>(</w:t>
      </w:r>
      <w:r w:rsidRPr="00E57C6A">
        <w:rPr>
          <w:lang w:val="fr-CA"/>
        </w:rPr>
        <w:t>2.1</w:t>
      </w:r>
      <w:r>
        <w:rPr>
          <w:lang w:val="fr-CA"/>
        </w:rPr>
        <w:t>)</w:t>
      </w:r>
      <w:r w:rsidRPr="00E57C6A">
        <w:rPr>
          <w:lang w:val="fr-CA"/>
        </w:rPr>
        <w:t xml:space="preserve"> </w:t>
      </w:r>
      <w:r>
        <w:rPr>
          <w:lang w:val="fr-CA"/>
        </w:rPr>
        <w:t xml:space="preserve">– </w:t>
      </w:r>
      <w:r w:rsidRPr="00E57C6A">
        <w:rPr>
          <w:lang w:val="fr-CA"/>
        </w:rPr>
        <w:t xml:space="preserve">Fomenter volontairement </w:t>
      </w:r>
      <w:r w:rsidRPr="00A5312E">
        <w:rPr>
          <w:lang w:val="fr-CA"/>
        </w:rPr>
        <w:t>l</w:t>
      </w:r>
      <w:r>
        <w:rPr>
          <w:lang w:val="fr-CA"/>
        </w:rPr>
        <w:t>’</w:t>
      </w:r>
      <w:r w:rsidRPr="00A5312E">
        <w:rPr>
          <w:lang w:val="fr-CA"/>
        </w:rPr>
        <w:t>antisémitisme).</w:t>
      </w:r>
      <w:bookmarkEnd w:id="84"/>
      <w:r w:rsidRPr="00A5312E">
        <w:rPr>
          <w:lang w:val="fr-CA"/>
        </w:rPr>
        <w:t xml:space="preserve"> </w:t>
      </w:r>
      <w:bookmarkStart w:id="85" w:name="lt_pId172"/>
      <w:r w:rsidRPr="00A5312E">
        <w:rPr>
          <w:lang w:val="fr-CA"/>
        </w:rPr>
        <w:t xml:space="preserve">Le paragraphe 319(2.1) du </w:t>
      </w:r>
      <w:r w:rsidRPr="00C37790">
        <w:rPr>
          <w:i/>
          <w:lang w:val="fr-CA"/>
        </w:rPr>
        <w:t>Code criminel</w:t>
      </w:r>
      <w:r w:rsidRPr="00A5312E">
        <w:rPr>
          <w:lang w:val="fr-CA"/>
        </w:rPr>
        <w:t xml:space="preserve">, entré en vigueur en 2022, </w:t>
      </w:r>
      <w:r w:rsidRPr="00AB62DE">
        <w:rPr>
          <w:lang w:val="fr-CA"/>
        </w:rPr>
        <w:t>érige en infraction le fait de fomenter volontairement l’antisémitisme en cautionnant, en niant ou en minimisant</w:t>
      </w:r>
      <w:r w:rsidRPr="00A5312E">
        <w:rPr>
          <w:lang w:val="fr-CA"/>
        </w:rPr>
        <w:t xml:space="preserve"> l</w:t>
      </w:r>
      <w:r>
        <w:rPr>
          <w:lang w:val="fr-CA"/>
        </w:rPr>
        <w:t>’</w:t>
      </w:r>
      <w:r w:rsidRPr="00A5312E">
        <w:rPr>
          <w:lang w:val="fr-CA"/>
        </w:rPr>
        <w:t>Holocauste.</w:t>
      </w:r>
      <w:bookmarkEnd w:id="85"/>
      <w:r w:rsidRPr="0096749B">
        <w:rPr>
          <w:lang w:val="fr-CA"/>
        </w:rPr>
        <w:t xml:space="preserve"> </w:t>
      </w:r>
      <w:r w:rsidRPr="0081141C">
        <w:rPr>
          <w:lang w:val="fr-CA"/>
        </w:rPr>
        <w:t>Il y a aussi une disposition sur la détermination de la peine, qui oblige le juge à considérer la motivation haineuse comme une circonstance aggravante, quelle que soit l’infraction (sous-alinéa 718.2</w:t>
      </w:r>
      <w:r>
        <w:rPr>
          <w:lang w:val="fr-CA"/>
        </w:rPr>
        <w:t>(</w:t>
      </w:r>
      <w:r w:rsidRPr="0081141C">
        <w:rPr>
          <w:lang w:val="fr-CA"/>
        </w:rPr>
        <w:t>a)(i)).</w:t>
      </w:r>
    </w:p>
    <w:p w14:paraId="125343B1" w14:textId="77777777" w:rsidR="00C83F56" w:rsidRPr="00E01A22" w:rsidRDefault="00C83F56" w:rsidP="004F23C1">
      <w:pPr>
        <w:pStyle w:val="SingleTxtG"/>
        <w:numPr>
          <w:ilvl w:val="0"/>
          <w:numId w:val="4"/>
        </w:numPr>
        <w:ind w:left="1134" w:firstLine="0"/>
        <w:rPr>
          <w:lang w:val="fr-CA"/>
        </w:rPr>
      </w:pPr>
      <w:r w:rsidRPr="001B565A">
        <w:rPr>
          <w:lang w:val="fr-CA"/>
        </w:rPr>
        <w:t xml:space="preserve">Le manuel de mise en application de la loi de l’Agence des services frontaliers du Canada (ASFC) fournit aux agents des directives détaillées sur la propagande haineuse, précisant les rôles et responsabilités des agents des services frontaliers, du renseignement et des analystes. Les agents examinent toutes les marchandises interceptées à la frontière et soupçonnées de constituer une obscénité ou une propagande haineuse visant un groupe de personnes, puis statuent sur leur admissibilité. Les personnes en possession de tels contenus peuvent également être déclarées interdites de territoire pour motifs de criminalité en vertu de la </w:t>
      </w:r>
      <w:r w:rsidRPr="0096749B">
        <w:rPr>
          <w:i/>
          <w:iCs/>
          <w:lang w:val="fr-CA"/>
        </w:rPr>
        <w:t>Loi sur l’immigration et la protection des réfugiés</w:t>
      </w:r>
      <w:r w:rsidRPr="001B565A">
        <w:rPr>
          <w:lang w:val="fr-CA"/>
        </w:rPr>
        <w:t>.</w:t>
      </w:r>
    </w:p>
    <w:p w14:paraId="1F58A2D6" w14:textId="77777777" w:rsidR="00C83F56" w:rsidRPr="00A7517B" w:rsidRDefault="00C83F56" w:rsidP="004F23C1">
      <w:pPr>
        <w:pStyle w:val="SingleTxtG"/>
        <w:numPr>
          <w:ilvl w:val="0"/>
          <w:numId w:val="4"/>
        </w:numPr>
        <w:ind w:left="1134" w:firstLine="0"/>
        <w:rPr>
          <w:lang w:val="fr-CA"/>
        </w:rPr>
      </w:pPr>
      <w:bookmarkStart w:id="86" w:name="lt_pId178"/>
      <w:r w:rsidRPr="004E68D0">
        <w:rPr>
          <w:lang w:val="fr-CA"/>
        </w:rPr>
        <w:t xml:space="preserve">Le </w:t>
      </w:r>
      <w:r w:rsidRPr="009A7D90">
        <w:rPr>
          <w:lang w:val="fr-CA"/>
        </w:rPr>
        <w:t xml:space="preserve">Programme pour la sécurité communautaire du Canada </w:t>
      </w:r>
      <w:r>
        <w:rPr>
          <w:lang w:val="fr-CA"/>
        </w:rPr>
        <w:t>est conçu pour aider les collectivités à risque d’être la cible de crimes motivés par la haine en leur fournissant du financement pour améliorer la sécurité de leurs espaces de rassemblement, y compris les lieux de culte, les centres communautaires, les établissements d’enseignement reconnus par la province ou le territoire et les refuges pour victimes de violence fondée sur le genre, afin de les protéger et de prévenir de tels crimes.</w:t>
      </w:r>
      <w:bookmarkEnd w:id="86"/>
      <w:r w:rsidRPr="00A7517B">
        <w:rPr>
          <w:lang w:val="fr-CA"/>
        </w:rPr>
        <w:t xml:space="preserve"> </w:t>
      </w:r>
    </w:p>
    <w:p w14:paraId="266BB4CD" w14:textId="77777777" w:rsidR="00C83F56" w:rsidRPr="00A7517B" w:rsidRDefault="00C83F56" w:rsidP="004F23C1">
      <w:pPr>
        <w:pStyle w:val="SingleTxtG"/>
        <w:numPr>
          <w:ilvl w:val="0"/>
          <w:numId w:val="4"/>
        </w:numPr>
        <w:ind w:left="1134" w:firstLine="0"/>
        <w:rPr>
          <w:lang w:val="fr-CA"/>
        </w:rPr>
      </w:pPr>
      <w:bookmarkStart w:id="87" w:name="lt_pId183"/>
      <w:r w:rsidRPr="00555CCC">
        <w:rPr>
          <w:lang w:val="fr-CA"/>
        </w:rPr>
        <w:t>La Colombie-Britannique est la seule province au Canada à disposer d’une équipe intégrée de la Gendarmerie royale du Canada (GRC) spécialisée dans les crimes haineux au niveau provincial. Cette équipe offre une expertise et des conseils aux services de police de la province pour les enquêtes sur les crimes haineux, afin de s’assurer que les accusations soumises au procureur de la Couronne respectent la norme d’évaluation du Service des poursuites de la Colombie-Britannique et puissent être portées devant les tribunaux</w:t>
      </w:r>
      <w:r w:rsidRPr="00305F76">
        <w:rPr>
          <w:lang w:val="fr-CA"/>
        </w:rPr>
        <w:t>.</w:t>
      </w:r>
      <w:r>
        <w:rPr>
          <w:lang w:val="fr-CA"/>
        </w:rPr>
        <w:t xml:space="preserve"> </w:t>
      </w:r>
      <w:bookmarkStart w:id="88" w:name="lt_pId184"/>
      <w:bookmarkEnd w:id="87"/>
      <w:r>
        <w:rPr>
          <w:lang w:val="fr-CA"/>
        </w:rPr>
        <w:t>Il existe également un groupe de travail interministériel sur la lutte contre la haine et le racisme, qui est chargé d’établir de nouveaux moyens de coordonner les réponses aux incidents racistes dans les collectivités et de s’attaquer aux problèmes plus vastes et complexes du racisme systémique et institutionnel.</w:t>
      </w:r>
      <w:bookmarkEnd w:id="88"/>
    </w:p>
    <w:p w14:paraId="0D03D3C6" w14:textId="77777777" w:rsidR="00C83F56" w:rsidRPr="00123B6D" w:rsidRDefault="00C83F56" w:rsidP="004F23C1">
      <w:pPr>
        <w:pStyle w:val="SingleTxtG"/>
        <w:numPr>
          <w:ilvl w:val="0"/>
          <w:numId w:val="4"/>
        </w:numPr>
        <w:ind w:left="1134" w:firstLine="0"/>
        <w:rPr>
          <w:lang w:val="fr-CA"/>
        </w:rPr>
      </w:pPr>
      <w:r w:rsidRPr="001B565A">
        <w:rPr>
          <w:lang w:val="fr-CA"/>
        </w:rPr>
        <w:t xml:space="preserve">En réponse à la montée des crimes haineux, l’Ontario a créé en 2019 le Groupe de travail sur les crimes haineux afin de veiller à ce que ces infractions soient correctement identifiées et poursuivies. Ce groupe est composé de procureurs de la Couronne spécialement formés et désignés à travers la province. Ils intentent des poursuites, conseillent les services de police sur les enquêtes en cours, offrent une formation continue </w:t>
      </w:r>
      <w:r>
        <w:rPr>
          <w:lang w:val="fr-CA"/>
        </w:rPr>
        <w:t>-</w:t>
      </w:r>
      <w:r w:rsidRPr="001B565A">
        <w:rPr>
          <w:lang w:val="fr-CA"/>
        </w:rPr>
        <w:t xml:space="preserve"> notamment par l’entremise du Collège de police de l’Ontario </w:t>
      </w:r>
      <w:r>
        <w:rPr>
          <w:lang w:val="fr-CA"/>
        </w:rPr>
        <w:t>-</w:t>
      </w:r>
      <w:r w:rsidRPr="001B565A">
        <w:rPr>
          <w:lang w:val="fr-CA"/>
        </w:rPr>
        <w:t xml:space="preserve"> et participent à des activités de sensibilisation et d’éducation communautaire.</w:t>
      </w:r>
    </w:p>
    <w:p w14:paraId="66E0085A" w14:textId="58CC5EF9" w:rsidR="00C83F56" w:rsidRPr="00A7517B" w:rsidRDefault="0010497F" w:rsidP="0010497F">
      <w:pPr>
        <w:pStyle w:val="H1G"/>
        <w:rPr>
          <w:lang w:val="fr-CA"/>
        </w:rPr>
      </w:pPr>
      <w:bookmarkStart w:id="89" w:name="lt_pId190"/>
      <w:r>
        <w:rPr>
          <w:lang w:val="fr-CA"/>
        </w:rPr>
        <w:tab/>
      </w:r>
      <w:r>
        <w:rPr>
          <w:lang w:val="fr-CA"/>
        </w:rPr>
        <w:tab/>
      </w:r>
      <w:r w:rsidR="00C83F56">
        <w:rPr>
          <w:lang w:val="fr-CA"/>
        </w:rPr>
        <w:t>Détention liée à l’immigration</w:t>
      </w:r>
      <w:bookmarkEnd w:id="89"/>
    </w:p>
    <w:p w14:paraId="3BAD5217" w14:textId="77777777" w:rsidR="00C83F56" w:rsidRPr="00A7517B" w:rsidRDefault="00C83F56" w:rsidP="004F23C1">
      <w:pPr>
        <w:pStyle w:val="SingleTxtG"/>
        <w:numPr>
          <w:ilvl w:val="0"/>
          <w:numId w:val="4"/>
        </w:numPr>
        <w:ind w:left="1134" w:firstLine="0"/>
        <w:rPr>
          <w:lang w:val="fr-CA"/>
        </w:rPr>
      </w:pPr>
      <w:bookmarkStart w:id="90" w:name="lt_pId191"/>
      <w:r>
        <w:rPr>
          <w:lang w:val="fr-CA"/>
        </w:rPr>
        <w:t xml:space="preserve">En application </w:t>
      </w:r>
      <w:r w:rsidRPr="003A2040">
        <w:rPr>
          <w:lang w:val="fr-CA"/>
        </w:rPr>
        <w:t>du Cadre national en matière de détention liée à l</w:t>
      </w:r>
      <w:r>
        <w:rPr>
          <w:lang w:val="fr-CA"/>
        </w:rPr>
        <w:t>’</w:t>
      </w:r>
      <w:r w:rsidRPr="003A2040">
        <w:rPr>
          <w:lang w:val="fr-CA"/>
        </w:rPr>
        <w:t>immigration</w:t>
      </w:r>
      <w:r>
        <w:rPr>
          <w:lang w:val="fr-CA"/>
        </w:rPr>
        <w:t>, le GC a lancé en 2018 un programme de solutions de rechange à la détention (SRD) qui fournit aux agents un ensemble élargi d’outils et de programmes leur permettant de gérer plus efficacement les besoins des personnes libérées dans la collectivité, tout en obtenant des résultats équilibrés en matière d’application de la loi.</w:t>
      </w:r>
      <w:bookmarkEnd w:id="90"/>
      <w:r w:rsidRPr="00A7517B">
        <w:rPr>
          <w:lang w:val="fr-CA"/>
        </w:rPr>
        <w:t xml:space="preserve"> </w:t>
      </w:r>
    </w:p>
    <w:p w14:paraId="03331DB1" w14:textId="77777777" w:rsidR="00C83F56" w:rsidRPr="00A7517B" w:rsidRDefault="00C83F56" w:rsidP="004F23C1">
      <w:pPr>
        <w:pStyle w:val="SingleTxtG"/>
        <w:numPr>
          <w:ilvl w:val="0"/>
          <w:numId w:val="4"/>
        </w:numPr>
        <w:ind w:left="1134" w:firstLine="0"/>
        <w:rPr>
          <w:lang w:val="fr-CA"/>
        </w:rPr>
      </w:pPr>
      <w:bookmarkStart w:id="91" w:name="lt_pId193"/>
      <w:r>
        <w:rPr>
          <w:lang w:val="fr-CA"/>
        </w:rPr>
        <w:t xml:space="preserve">En 2021, le GC a mis à jour et publié de nouvelles normes nationales de détention qui orientent l’administration des centres de surveillance de l’immigration (CSI) de l’ASFC et </w:t>
      </w:r>
      <w:r w:rsidRPr="003C226F">
        <w:rPr>
          <w:lang w:val="fr-CA"/>
        </w:rPr>
        <w:t>le traitement des détenus de l</w:t>
      </w:r>
      <w:r>
        <w:rPr>
          <w:lang w:val="fr-CA"/>
        </w:rPr>
        <w:t>’</w:t>
      </w:r>
      <w:r w:rsidRPr="003C226F">
        <w:rPr>
          <w:lang w:val="fr-CA"/>
        </w:rPr>
        <w:t>immigration</w:t>
      </w:r>
      <w:r>
        <w:rPr>
          <w:lang w:val="fr-CA"/>
        </w:rPr>
        <w:t xml:space="preserve"> pour</w:t>
      </w:r>
      <w:bookmarkEnd w:id="91"/>
      <w:r>
        <w:rPr>
          <w:lang w:val="fr-CA"/>
        </w:rPr>
        <w:t xml:space="preserve"> </w:t>
      </w:r>
      <w:r w:rsidRPr="003C226F">
        <w:rPr>
          <w:lang w:val="fr-CA"/>
        </w:rPr>
        <w:t>dicte</w:t>
      </w:r>
      <w:r>
        <w:rPr>
          <w:lang w:val="fr-CA"/>
        </w:rPr>
        <w:t>r</w:t>
      </w:r>
      <w:r w:rsidRPr="003C226F">
        <w:rPr>
          <w:lang w:val="fr-CA"/>
        </w:rPr>
        <w:t xml:space="preserve"> les pratiques atte</w:t>
      </w:r>
      <w:r w:rsidRPr="00A7517B">
        <w:rPr>
          <w:lang w:val="fr-CA"/>
        </w:rPr>
        <w:t>ndues et assure</w:t>
      </w:r>
      <w:r>
        <w:rPr>
          <w:lang w:val="fr-CA"/>
        </w:rPr>
        <w:t>r</w:t>
      </w:r>
      <w:r w:rsidRPr="00A7517B">
        <w:rPr>
          <w:lang w:val="fr-CA"/>
        </w:rPr>
        <w:t xml:space="preserve"> une cohérence nationale dans l</w:t>
      </w:r>
      <w:r>
        <w:rPr>
          <w:lang w:val="fr-CA"/>
        </w:rPr>
        <w:t>’</w:t>
      </w:r>
      <w:r w:rsidRPr="00A7517B">
        <w:rPr>
          <w:lang w:val="fr-CA"/>
        </w:rPr>
        <w:t xml:space="preserve">administration du programme de détention, en particulier dans les domaines liés à la sûreté, à la sécurité et aux soins aux détenus. </w:t>
      </w:r>
      <w:bookmarkStart w:id="92" w:name="lt_pId195"/>
      <w:r>
        <w:rPr>
          <w:lang w:val="fr-CA"/>
        </w:rPr>
        <w:t>Les processus associés sont soutenus par des changements réglementaires qui visent à réduire le recours à la détention, comme la mise à jour des orientations sur l’hébergement, la détention et la séparation des mineurs, qui vise à éliminer la détention et l’hébergement des mineurs et la séparation des familles, sauf dans certaines circonstances particulières.</w:t>
      </w:r>
      <w:bookmarkEnd w:id="92"/>
    </w:p>
    <w:p w14:paraId="5B06C0E7" w14:textId="77777777" w:rsidR="00C83F56" w:rsidRPr="00A7517B" w:rsidRDefault="00C83F56" w:rsidP="004F23C1">
      <w:pPr>
        <w:pStyle w:val="SingleTxtG"/>
        <w:numPr>
          <w:ilvl w:val="0"/>
          <w:numId w:val="4"/>
        </w:numPr>
        <w:ind w:left="1134" w:firstLine="0"/>
        <w:rPr>
          <w:lang w:val="fr-CA"/>
        </w:rPr>
      </w:pPr>
      <w:bookmarkStart w:id="93" w:name="lt_pId196"/>
      <w:r w:rsidRPr="00E070AA">
        <w:rPr>
          <w:lang w:val="fr-CA"/>
        </w:rPr>
        <w:t xml:space="preserve">En date </w:t>
      </w:r>
      <w:r>
        <w:rPr>
          <w:lang w:val="fr-CA"/>
        </w:rPr>
        <w:t xml:space="preserve">de </w:t>
      </w:r>
      <w:r w:rsidRPr="00E070AA">
        <w:rPr>
          <w:lang w:val="fr-CA"/>
        </w:rPr>
        <w:t>2023, il y avait 325</w:t>
      </w:r>
      <w:r>
        <w:rPr>
          <w:lang w:val="fr-CA"/>
        </w:rPr>
        <w:t> </w:t>
      </w:r>
      <w:r w:rsidRPr="00684E13">
        <w:rPr>
          <w:lang w:val="fr-CA"/>
        </w:rPr>
        <w:t>personnes en détention liée à l</w:t>
      </w:r>
      <w:r>
        <w:rPr>
          <w:lang w:val="fr-CA"/>
        </w:rPr>
        <w:t>’</w:t>
      </w:r>
      <w:r w:rsidRPr="00684E13">
        <w:rPr>
          <w:lang w:val="fr-CA"/>
        </w:rPr>
        <w:t>immigration</w:t>
      </w:r>
      <w:r w:rsidRPr="00E070AA">
        <w:rPr>
          <w:lang w:val="fr-CA"/>
        </w:rPr>
        <w:t>.</w:t>
      </w:r>
      <w:bookmarkEnd w:id="93"/>
      <w:r w:rsidRPr="00A7517B">
        <w:rPr>
          <w:lang w:val="fr-CA"/>
        </w:rPr>
        <w:t xml:space="preserve"> </w:t>
      </w:r>
      <w:bookmarkStart w:id="94" w:name="lt_pId197"/>
      <w:r>
        <w:rPr>
          <w:lang w:val="fr-CA"/>
        </w:rPr>
        <w:t>Le GC conserve des renseignements sur les motifs législatifs de la détention et la durée de la détention, ainsi que l’âge, le genre et la nationalité de la personne détenue.</w:t>
      </w:r>
      <w:bookmarkEnd w:id="94"/>
    </w:p>
    <w:p w14:paraId="2D234134" w14:textId="77777777" w:rsidR="00C83F56" w:rsidRPr="00A7517B" w:rsidRDefault="00C83F56" w:rsidP="004F23C1">
      <w:pPr>
        <w:pStyle w:val="SingleTxtG"/>
        <w:numPr>
          <w:ilvl w:val="0"/>
          <w:numId w:val="4"/>
        </w:numPr>
        <w:ind w:left="1134" w:firstLine="0"/>
        <w:rPr>
          <w:lang w:val="fr-CA"/>
        </w:rPr>
      </w:pPr>
      <w:bookmarkStart w:id="95" w:name="lt_pId198"/>
      <w:r w:rsidRPr="00684E13">
        <w:rPr>
          <w:lang w:val="fr-CA"/>
        </w:rPr>
        <w:t>La</w:t>
      </w:r>
      <w:r>
        <w:rPr>
          <w:lang w:val="fr-CA"/>
        </w:rPr>
        <w:t xml:space="preserve"> </w:t>
      </w:r>
      <w:r w:rsidRPr="00684E13">
        <w:rPr>
          <w:i/>
          <w:lang w:val="fr-CA"/>
        </w:rPr>
        <w:t>Loi sur l</w:t>
      </w:r>
      <w:r>
        <w:rPr>
          <w:i/>
          <w:lang w:val="fr-CA"/>
        </w:rPr>
        <w:t>’</w:t>
      </w:r>
      <w:r w:rsidRPr="00684E13">
        <w:rPr>
          <w:i/>
          <w:lang w:val="fr-CA"/>
        </w:rPr>
        <w:t>immigration et la protection des réfugiés</w:t>
      </w:r>
      <w:r w:rsidRPr="009F564B">
        <w:rPr>
          <w:lang w:val="fr-CA"/>
        </w:rPr>
        <w:t xml:space="preserve"> </w:t>
      </w:r>
      <w:r>
        <w:rPr>
          <w:lang w:val="fr-CA"/>
        </w:rPr>
        <w:t xml:space="preserve">du GC </w:t>
      </w:r>
      <w:r w:rsidRPr="009F564B">
        <w:rPr>
          <w:lang w:val="fr-CA"/>
        </w:rPr>
        <w:t>ne prévoit pas de délais prescrits pour la détention liée à l</w:t>
      </w:r>
      <w:r>
        <w:rPr>
          <w:lang w:val="fr-CA"/>
        </w:rPr>
        <w:t>’</w:t>
      </w:r>
      <w:r w:rsidRPr="009F564B">
        <w:rPr>
          <w:lang w:val="fr-CA"/>
        </w:rPr>
        <w:t>immigration.</w:t>
      </w:r>
      <w:bookmarkEnd w:id="95"/>
      <w:r w:rsidRPr="00A7517B">
        <w:rPr>
          <w:lang w:val="fr-CA"/>
        </w:rPr>
        <w:t xml:space="preserve"> </w:t>
      </w:r>
      <w:bookmarkStart w:id="96" w:name="lt_pId199"/>
      <w:r>
        <w:rPr>
          <w:lang w:val="fr-CA"/>
        </w:rPr>
        <w:t>La Cour suprême du Canada a toutefois conclu que l’absence de délais ne constituait pas une « détention indéfinie », en raison de l’existence d’un processus efficace d’examen continu des détentions, qui considère les circonstances de chaque cas individuel.</w:t>
      </w:r>
      <w:bookmarkEnd w:id="96"/>
      <w:r w:rsidRPr="00A7517B">
        <w:rPr>
          <w:lang w:val="fr-CA"/>
        </w:rPr>
        <w:t xml:space="preserve"> </w:t>
      </w:r>
      <w:bookmarkStart w:id="97" w:name="lt_pId200"/>
      <w:r>
        <w:rPr>
          <w:lang w:val="fr-CA"/>
        </w:rPr>
        <w:t>Les obligations internationales du Canada sont respectées grâce à son solide régime législatif, lequel prévoit des contrôles réguliers et significatifs de la détention par un décideur indépendant, ainsi qu’à la possibilité de contrôles judiciaires des décisions de détention et aux garanties constitutionnelles contenues dans la Charte canadienne des droits et libertés.</w:t>
      </w:r>
      <w:bookmarkEnd w:id="97"/>
      <w:r w:rsidRPr="00A7517B">
        <w:rPr>
          <w:lang w:val="fr-CA"/>
        </w:rPr>
        <w:t xml:space="preserve"> </w:t>
      </w:r>
      <w:bookmarkStart w:id="98" w:name="lt_pId201"/>
      <w:r>
        <w:rPr>
          <w:lang w:val="fr-CA"/>
        </w:rPr>
        <w:t>La détention liée à l’immigration protège à la fois la sécurité des Canadiens et l’intégrité du système d’immigration.</w:t>
      </w:r>
      <w:bookmarkEnd w:id="98"/>
      <w:r w:rsidRPr="00A7517B">
        <w:rPr>
          <w:lang w:val="fr-CA"/>
        </w:rPr>
        <w:t xml:space="preserve"> </w:t>
      </w:r>
      <w:bookmarkStart w:id="99" w:name="lt_pId202"/>
      <w:r>
        <w:rPr>
          <w:lang w:val="fr-CA"/>
        </w:rPr>
        <w:t>Les personnes détenues à des fins d’immigration sont protégées contre l’arrestation et la détention arbitraires et ont accès à des voies de recours efficaces.</w:t>
      </w:r>
      <w:bookmarkEnd w:id="99"/>
    </w:p>
    <w:p w14:paraId="3C8925DB" w14:textId="1A210CC4" w:rsidR="00C83F56" w:rsidRPr="00A7517B" w:rsidRDefault="0010497F" w:rsidP="0010497F">
      <w:pPr>
        <w:pStyle w:val="H23G"/>
        <w:rPr>
          <w:lang w:val="fr-CA"/>
        </w:rPr>
      </w:pPr>
      <w:bookmarkStart w:id="100" w:name="lt_pId203"/>
      <w:r>
        <w:rPr>
          <w:lang w:val="fr-CA"/>
        </w:rPr>
        <w:tab/>
      </w:r>
      <w:r>
        <w:rPr>
          <w:lang w:val="fr-CA"/>
        </w:rPr>
        <w:tab/>
      </w:r>
      <w:r w:rsidR="00C83F56" w:rsidRPr="51A13573">
        <w:rPr>
          <w:lang w:val="fr-CA"/>
        </w:rPr>
        <w:t>Statut des travailleurs étrangers temporaires</w:t>
      </w:r>
      <w:bookmarkEnd w:id="100"/>
    </w:p>
    <w:p w14:paraId="747E24B6" w14:textId="77777777" w:rsidR="00C83F56" w:rsidRPr="0096749B" w:rsidRDefault="00C83F56" w:rsidP="004F23C1">
      <w:pPr>
        <w:pStyle w:val="SingleTxtG"/>
        <w:numPr>
          <w:ilvl w:val="0"/>
          <w:numId w:val="4"/>
        </w:numPr>
        <w:ind w:left="1134" w:firstLine="0"/>
        <w:rPr>
          <w:lang w:val="fr-CA"/>
        </w:rPr>
      </w:pPr>
      <w:r w:rsidRPr="51A13573">
        <w:rPr>
          <w:color w:val="000000" w:themeColor="text1"/>
          <w:lang w:val="fr-CA"/>
        </w:rPr>
        <w:t xml:space="preserve">Le </w:t>
      </w:r>
      <w:r>
        <w:rPr>
          <w:color w:val="000000" w:themeColor="text1"/>
          <w:lang w:val="fr-CA"/>
        </w:rPr>
        <w:t>GC</w:t>
      </w:r>
      <w:r w:rsidRPr="51A13573">
        <w:rPr>
          <w:color w:val="000000" w:themeColor="text1"/>
          <w:lang w:val="fr-CA"/>
        </w:rPr>
        <w:t xml:space="preserve"> </w:t>
      </w:r>
      <w:r w:rsidRPr="00966F86">
        <w:rPr>
          <w:color w:val="000000" w:themeColor="text1"/>
          <w:lang w:val="fr-CA"/>
        </w:rPr>
        <w:t xml:space="preserve">est déterminé à assurer la santé et la sécurité des travailleurs étrangers temporaires, ainsi que l’intégrité du Programme des travailleurs étrangers temporaires (PTET) et du Programme de mobilité internationale (PMI). </w:t>
      </w:r>
      <w:r w:rsidRPr="51A13573">
        <w:rPr>
          <w:color w:val="000000" w:themeColor="text1"/>
          <w:lang w:val="fr-CA"/>
        </w:rPr>
        <w:t xml:space="preserve">Les mauvais </w:t>
      </w:r>
      <w:r w:rsidRPr="00391194">
        <w:rPr>
          <w:lang w:val="fr-CA"/>
        </w:rPr>
        <w:t>traitements</w:t>
      </w:r>
      <w:r w:rsidRPr="51A13573">
        <w:rPr>
          <w:color w:val="000000" w:themeColor="text1"/>
          <w:lang w:val="fr-CA"/>
        </w:rPr>
        <w:t xml:space="preserve"> envers tout travailleur ne sont jamais acceptables.</w:t>
      </w:r>
    </w:p>
    <w:p w14:paraId="26535860" w14:textId="77777777" w:rsidR="00C83F56" w:rsidRPr="007610C6" w:rsidRDefault="00C83F56" w:rsidP="004F23C1">
      <w:pPr>
        <w:pStyle w:val="SingleTxtG"/>
        <w:numPr>
          <w:ilvl w:val="0"/>
          <w:numId w:val="4"/>
        </w:numPr>
        <w:ind w:left="1134" w:firstLine="0"/>
        <w:rPr>
          <w:lang w:val="fr-CA"/>
        </w:rPr>
      </w:pPr>
      <w:r>
        <w:rPr>
          <w:lang w:val="fr-CA"/>
        </w:rPr>
        <w:t>L</w:t>
      </w:r>
      <w:r w:rsidRPr="0096749B">
        <w:rPr>
          <w:lang w:val="fr-CA"/>
        </w:rPr>
        <w:t xml:space="preserve">es travailleurs étrangers temporaires bénéficient des mêmes normes, droits et protections en matière d’emploi </w:t>
      </w:r>
      <w:r w:rsidRPr="00DE599F">
        <w:rPr>
          <w:lang w:val="fr-CA"/>
        </w:rPr>
        <w:t xml:space="preserve">au titre des lois fédérales, provinciales et territoriales que les citoyens canadiens et les résidents </w:t>
      </w:r>
      <w:r w:rsidRPr="007610C6">
        <w:rPr>
          <w:lang w:val="fr-CA"/>
        </w:rPr>
        <w:t>temporaires. Les employeurs qui participent au PTET et au PMI du Canada doivent s’assurer qu’ils respectent les droits des travailleurs étrangers et sont tenus de demeurer conformes aux exigences et conditions du programme tout au long de la période d’emploi du travailleur étranger.</w:t>
      </w:r>
    </w:p>
    <w:p w14:paraId="667210E5" w14:textId="77777777" w:rsidR="00C83F56" w:rsidRDefault="00C83F56" w:rsidP="004F23C1">
      <w:pPr>
        <w:pStyle w:val="SingleTxtG"/>
        <w:numPr>
          <w:ilvl w:val="0"/>
          <w:numId w:val="4"/>
        </w:numPr>
        <w:ind w:left="1134" w:firstLine="0"/>
        <w:rPr>
          <w:lang w:val="fr-CA"/>
        </w:rPr>
      </w:pPr>
      <w:r w:rsidRPr="005A5381">
        <w:rPr>
          <w:color w:val="000000" w:themeColor="text1"/>
          <w:lang w:val="fr-CA"/>
        </w:rPr>
        <w:t xml:space="preserve">Les employeurs </w:t>
      </w:r>
      <w:r>
        <w:rPr>
          <w:color w:val="000000" w:themeColor="text1"/>
          <w:lang w:val="fr-CA"/>
        </w:rPr>
        <w:t xml:space="preserve">ayant </w:t>
      </w:r>
      <w:r w:rsidRPr="005A5381">
        <w:rPr>
          <w:color w:val="000000" w:themeColor="text1"/>
          <w:lang w:val="fr-CA"/>
        </w:rPr>
        <w:t>recours au PTET et au PMI peuvent faire l’objet d’inspections visant à vérifier leur respect des exigences du programme et des conditions réglementaires. Les inspections peuvent être initiées pour plusieurs facteurs, y compris un motif de soupçonner une non-conformité (p. ex. une dénonciation ou une allégation reçue par l’intermédiaire de la ligne de dénonciation ou du formulaire en ligne), une non-conformité antérieure ou une sélection aléatoire. Les employeurs non conformes s’exposent à une gamme de conséquences, dont des sanctions pécuniaires pouvant aller de 500 à 100 000 $ par infraction, jusqu’à un montant maximum combiné de 1 million de dollars par année; ils peuvent aussi être exclus de façon temporaire ou permanente du programme</w:t>
      </w:r>
      <w:r w:rsidRPr="51A13573">
        <w:rPr>
          <w:color w:val="000000" w:themeColor="text1"/>
          <w:lang w:val="fr-CA"/>
        </w:rPr>
        <w:t xml:space="preserve">. </w:t>
      </w:r>
      <w:r>
        <w:rPr>
          <w:color w:val="000000" w:themeColor="text1"/>
          <w:lang w:val="fr-CA"/>
        </w:rPr>
        <w:t>Lorsque des</w:t>
      </w:r>
      <w:r w:rsidRPr="51A13573">
        <w:rPr>
          <w:color w:val="000000" w:themeColor="text1"/>
          <w:lang w:val="fr-CA"/>
        </w:rPr>
        <w:t xml:space="preserve"> activité</w:t>
      </w:r>
      <w:r>
        <w:rPr>
          <w:color w:val="000000" w:themeColor="text1"/>
          <w:lang w:val="fr-CA"/>
        </w:rPr>
        <w:t>s</w:t>
      </w:r>
      <w:r w:rsidRPr="51A13573">
        <w:rPr>
          <w:color w:val="000000" w:themeColor="text1"/>
          <w:lang w:val="fr-CA"/>
        </w:rPr>
        <w:t xml:space="preserve"> criminelle</w:t>
      </w:r>
      <w:r>
        <w:rPr>
          <w:color w:val="000000" w:themeColor="text1"/>
          <w:lang w:val="fr-CA"/>
        </w:rPr>
        <w:t>s</w:t>
      </w:r>
      <w:r w:rsidRPr="51A13573">
        <w:rPr>
          <w:color w:val="000000" w:themeColor="text1"/>
          <w:lang w:val="fr-CA"/>
        </w:rPr>
        <w:t xml:space="preserve"> </w:t>
      </w:r>
      <w:r>
        <w:rPr>
          <w:color w:val="000000" w:themeColor="text1"/>
          <w:lang w:val="fr-CA"/>
        </w:rPr>
        <w:t>son</w:t>
      </w:r>
      <w:r w:rsidRPr="51A13573">
        <w:rPr>
          <w:color w:val="000000" w:themeColor="text1"/>
          <w:lang w:val="fr-CA"/>
        </w:rPr>
        <w:t>t découverte</w:t>
      </w:r>
      <w:r>
        <w:rPr>
          <w:color w:val="000000" w:themeColor="text1"/>
          <w:lang w:val="fr-CA"/>
        </w:rPr>
        <w:t>s lors</w:t>
      </w:r>
      <w:r w:rsidRPr="51A13573">
        <w:rPr>
          <w:color w:val="000000" w:themeColor="text1"/>
          <w:lang w:val="fr-CA"/>
        </w:rPr>
        <w:t xml:space="preserve"> d'une inspection, ces employeurs sont immédiatement signalés aux autorités compétentes. </w:t>
      </w:r>
    </w:p>
    <w:p w14:paraId="40FF1FF8" w14:textId="77777777" w:rsidR="00C83F56" w:rsidRDefault="00C83F56" w:rsidP="004F23C1">
      <w:pPr>
        <w:pStyle w:val="SingleTxtG"/>
        <w:numPr>
          <w:ilvl w:val="0"/>
          <w:numId w:val="4"/>
        </w:numPr>
        <w:ind w:left="1134" w:firstLine="0"/>
        <w:rPr>
          <w:lang w:val="fr-CA"/>
        </w:rPr>
      </w:pPr>
      <w:r w:rsidRPr="51A13573">
        <w:rPr>
          <w:color w:val="000000" w:themeColor="text1"/>
          <w:lang w:val="fr-CA"/>
        </w:rPr>
        <w:t xml:space="preserve">En 2022, le </w:t>
      </w:r>
      <w:r>
        <w:rPr>
          <w:color w:val="000000" w:themeColor="text1"/>
          <w:lang w:val="fr-CA"/>
        </w:rPr>
        <w:t>GC</w:t>
      </w:r>
      <w:r w:rsidRPr="51A13573">
        <w:rPr>
          <w:color w:val="000000" w:themeColor="text1"/>
          <w:lang w:val="fr-CA"/>
        </w:rPr>
        <w:t xml:space="preserve"> a renforcé davantage les protections pour les </w:t>
      </w:r>
      <w:r w:rsidRPr="00913D98">
        <w:rPr>
          <w:color w:val="000000" w:themeColor="text1"/>
          <w:lang w:val="fr-CA"/>
        </w:rPr>
        <w:t>travailleurs étrangers temporaires</w:t>
      </w:r>
      <w:r w:rsidRPr="51A13573">
        <w:rPr>
          <w:color w:val="000000" w:themeColor="text1"/>
          <w:lang w:val="fr-CA"/>
        </w:rPr>
        <w:t xml:space="preserve"> au moyen de modifications réglementaires qui </w:t>
      </w:r>
      <w:r>
        <w:rPr>
          <w:color w:val="000000" w:themeColor="text1"/>
          <w:lang w:val="fr-CA"/>
        </w:rPr>
        <w:t>exigen</w:t>
      </w:r>
      <w:r w:rsidRPr="51A13573">
        <w:rPr>
          <w:color w:val="000000" w:themeColor="text1"/>
          <w:lang w:val="fr-CA"/>
        </w:rPr>
        <w:t xml:space="preserve">t </w:t>
      </w:r>
      <w:r>
        <w:rPr>
          <w:color w:val="000000" w:themeColor="text1"/>
          <w:lang w:val="fr-CA"/>
        </w:rPr>
        <w:t xml:space="preserve">que </w:t>
      </w:r>
      <w:r w:rsidRPr="51A13573">
        <w:rPr>
          <w:color w:val="000000" w:themeColor="text1"/>
          <w:lang w:val="fr-CA"/>
        </w:rPr>
        <w:t>les employeurs fourni</w:t>
      </w:r>
      <w:r>
        <w:rPr>
          <w:color w:val="000000" w:themeColor="text1"/>
          <w:lang w:val="fr-CA"/>
        </w:rPr>
        <w:t>ssent</w:t>
      </w:r>
      <w:r w:rsidRPr="51A13573">
        <w:rPr>
          <w:color w:val="000000" w:themeColor="text1"/>
          <w:lang w:val="fr-CA"/>
        </w:rPr>
        <w:t xml:space="preserve"> aux </w:t>
      </w:r>
      <w:r w:rsidRPr="00913D98">
        <w:rPr>
          <w:color w:val="000000" w:themeColor="text1"/>
          <w:lang w:val="fr-CA"/>
        </w:rPr>
        <w:t>travailleurs étrangers temporaires</w:t>
      </w:r>
      <w:r w:rsidRPr="51A13573">
        <w:rPr>
          <w:color w:val="000000" w:themeColor="text1"/>
          <w:lang w:val="fr-CA"/>
        </w:rPr>
        <w:t xml:space="preserve"> </w:t>
      </w:r>
      <w:r>
        <w:rPr>
          <w:color w:val="000000" w:themeColor="text1"/>
          <w:lang w:val="fr-CA"/>
        </w:rPr>
        <w:t>de l’information</w:t>
      </w:r>
      <w:r w:rsidRPr="51A13573">
        <w:rPr>
          <w:color w:val="000000" w:themeColor="text1"/>
          <w:lang w:val="fr-CA"/>
        </w:rPr>
        <w:t xml:space="preserve"> sur leurs droits, interdisent les représailles de</w:t>
      </w:r>
      <w:r>
        <w:rPr>
          <w:color w:val="000000" w:themeColor="text1"/>
          <w:lang w:val="fr-CA"/>
        </w:rPr>
        <w:t xml:space="preserve"> la part des</w:t>
      </w:r>
      <w:r w:rsidRPr="51A13573">
        <w:rPr>
          <w:color w:val="000000" w:themeColor="text1"/>
          <w:lang w:val="fr-CA"/>
        </w:rPr>
        <w:t xml:space="preserve"> employeurs contre les </w:t>
      </w:r>
      <w:r w:rsidRPr="00913D98">
        <w:rPr>
          <w:color w:val="000000" w:themeColor="text1"/>
          <w:lang w:val="fr-CA"/>
        </w:rPr>
        <w:t>travailleurs étrangers temporaires</w:t>
      </w:r>
      <w:r w:rsidRPr="51A13573">
        <w:rPr>
          <w:color w:val="000000" w:themeColor="text1"/>
          <w:lang w:val="fr-CA"/>
        </w:rPr>
        <w:t xml:space="preserve">, </w:t>
      </w:r>
      <w:r w:rsidRPr="00391194">
        <w:rPr>
          <w:lang w:val="fr-CA"/>
        </w:rPr>
        <w:t>empêchent</w:t>
      </w:r>
      <w:r>
        <w:rPr>
          <w:color w:val="000000" w:themeColor="text1"/>
          <w:lang w:val="fr-CA"/>
        </w:rPr>
        <w:t xml:space="preserve"> les</w:t>
      </w:r>
      <w:r w:rsidRPr="51A13573">
        <w:rPr>
          <w:color w:val="000000" w:themeColor="text1"/>
          <w:lang w:val="fr-CA"/>
        </w:rPr>
        <w:t xml:space="preserve"> employeurs d’imposer des frais de recrutement et exigent des employeurs qu’ils </w:t>
      </w:r>
      <w:r>
        <w:rPr>
          <w:color w:val="000000" w:themeColor="text1"/>
          <w:lang w:val="fr-CA"/>
        </w:rPr>
        <w:t>offrent</w:t>
      </w:r>
      <w:r w:rsidRPr="51A13573">
        <w:rPr>
          <w:color w:val="000000" w:themeColor="text1"/>
          <w:lang w:val="fr-CA"/>
        </w:rPr>
        <w:t xml:space="preserve"> un accès raisonnable aux services de soins de santé.</w:t>
      </w:r>
    </w:p>
    <w:p w14:paraId="167A53D3" w14:textId="77777777" w:rsidR="00C83F56" w:rsidRPr="00A7517B" w:rsidRDefault="00C83F56" w:rsidP="004F23C1">
      <w:pPr>
        <w:pStyle w:val="SingleTxtG"/>
        <w:numPr>
          <w:ilvl w:val="0"/>
          <w:numId w:val="4"/>
        </w:numPr>
        <w:ind w:left="1134" w:firstLine="0"/>
        <w:rPr>
          <w:lang w:val="fr-CA"/>
        </w:rPr>
      </w:pPr>
      <w:r w:rsidRPr="00EC7EBC">
        <w:rPr>
          <w:lang w:val="fr-CA"/>
        </w:rPr>
        <w:t xml:space="preserve">La </w:t>
      </w:r>
      <w:r>
        <w:rPr>
          <w:lang w:val="fr-CA"/>
        </w:rPr>
        <w:t>p</w:t>
      </w:r>
      <w:r w:rsidRPr="00EC7EBC">
        <w:rPr>
          <w:lang w:val="fr-CA"/>
        </w:rPr>
        <w:t>olitique d’intérêt public concernant le changement d'employeur</w:t>
      </w:r>
      <w:r>
        <w:rPr>
          <w:lang w:val="fr-CA"/>
        </w:rPr>
        <w:t xml:space="preserve"> </w:t>
      </w:r>
      <w:r w:rsidRPr="00EC7EBC">
        <w:rPr>
          <w:lang w:val="fr-CA"/>
        </w:rPr>
        <w:t xml:space="preserve">et le </w:t>
      </w:r>
      <w:r>
        <w:rPr>
          <w:lang w:val="fr-CA"/>
        </w:rPr>
        <w:t>p</w:t>
      </w:r>
      <w:r w:rsidRPr="00EC7EBC">
        <w:rPr>
          <w:lang w:val="fr-CA"/>
        </w:rPr>
        <w:t>ermis de travail ouvert pour les travailleurs vulnérables sont également disponibles pour faciliter les travailleurs étrangers temporaires cherchant à changer d’emploi au Canada</w:t>
      </w:r>
      <w:r>
        <w:rPr>
          <w:lang w:val="fr-CA"/>
        </w:rPr>
        <w:t>.</w:t>
      </w:r>
    </w:p>
    <w:p w14:paraId="6DEE7A40" w14:textId="77777777" w:rsidR="00C83F56" w:rsidRPr="00E7089D" w:rsidRDefault="00C83F56" w:rsidP="004F23C1">
      <w:pPr>
        <w:pStyle w:val="SingleTxtG"/>
        <w:numPr>
          <w:ilvl w:val="0"/>
          <w:numId w:val="4"/>
        </w:numPr>
        <w:ind w:left="1134" w:firstLine="0"/>
        <w:rPr>
          <w:lang w:val="fr-CA"/>
        </w:rPr>
      </w:pPr>
      <w:r w:rsidRPr="51A13573">
        <w:rPr>
          <w:color w:val="000000" w:themeColor="text1"/>
          <w:lang w:val="fr-CA"/>
        </w:rPr>
        <w:t xml:space="preserve">Dans le cadre </w:t>
      </w:r>
      <w:r w:rsidRPr="009E3F47">
        <w:rPr>
          <w:color w:val="000000" w:themeColor="text1"/>
          <w:lang w:val="fr-CA"/>
        </w:rPr>
        <w:t xml:space="preserve">de l’engagement plus vaste du </w:t>
      </w:r>
      <w:r>
        <w:rPr>
          <w:color w:val="000000" w:themeColor="text1"/>
          <w:lang w:val="fr-CA"/>
        </w:rPr>
        <w:t>GC</w:t>
      </w:r>
      <w:r w:rsidRPr="009E3F47">
        <w:rPr>
          <w:color w:val="000000" w:themeColor="text1"/>
          <w:lang w:val="fr-CA"/>
        </w:rPr>
        <w:t xml:space="preserve"> des</w:t>
      </w:r>
      <w:r w:rsidRPr="51A13573">
        <w:rPr>
          <w:color w:val="000000" w:themeColor="text1"/>
          <w:lang w:val="fr-CA"/>
        </w:rPr>
        <w:t xml:space="preserve"> droits des </w:t>
      </w:r>
      <w:r w:rsidRPr="00C10E74">
        <w:rPr>
          <w:color w:val="000000" w:themeColor="text1"/>
          <w:lang w:val="fr-CA"/>
        </w:rPr>
        <w:t>travailleurs étrangers temporaires</w:t>
      </w:r>
      <w:r w:rsidRPr="51A13573">
        <w:rPr>
          <w:color w:val="000000" w:themeColor="text1"/>
          <w:lang w:val="fr-CA"/>
        </w:rPr>
        <w:t xml:space="preserve">, </w:t>
      </w:r>
      <w:r>
        <w:rPr>
          <w:color w:val="000000" w:themeColor="text1"/>
          <w:lang w:val="fr-CA"/>
        </w:rPr>
        <w:t>le</w:t>
      </w:r>
      <w:r w:rsidRPr="51A13573">
        <w:rPr>
          <w:color w:val="000000" w:themeColor="text1"/>
          <w:lang w:val="fr-CA"/>
        </w:rPr>
        <w:t xml:space="preserve"> Programme de soutien aux travailleurs migrants (PSTM)</w:t>
      </w:r>
      <w:r w:rsidRPr="0096749B">
        <w:rPr>
          <w:lang w:val="fr-CA"/>
        </w:rPr>
        <w:t xml:space="preserve"> </w:t>
      </w:r>
      <w:r w:rsidRPr="009E4549">
        <w:rPr>
          <w:color w:val="000000" w:themeColor="text1"/>
          <w:lang w:val="fr-CA"/>
        </w:rPr>
        <w:t>a lancé en 2022</w:t>
      </w:r>
      <w:r w:rsidRPr="51A13573">
        <w:rPr>
          <w:color w:val="000000" w:themeColor="text1"/>
          <w:lang w:val="fr-CA"/>
        </w:rPr>
        <w:t xml:space="preserve">. Le PSTM </w:t>
      </w:r>
      <w:r>
        <w:rPr>
          <w:color w:val="000000" w:themeColor="text1"/>
          <w:lang w:val="fr-CA"/>
        </w:rPr>
        <w:t>fournit du financement à plus</w:t>
      </w:r>
      <w:r w:rsidRPr="51A13573">
        <w:rPr>
          <w:color w:val="000000" w:themeColor="text1"/>
          <w:lang w:val="fr-CA"/>
        </w:rPr>
        <w:t xml:space="preserve"> de 110 organismes communautaires </w:t>
      </w:r>
      <w:r>
        <w:rPr>
          <w:color w:val="000000" w:themeColor="text1"/>
          <w:lang w:val="fr-CA"/>
        </w:rPr>
        <w:t xml:space="preserve">au </w:t>
      </w:r>
      <w:r w:rsidRPr="51A13573">
        <w:rPr>
          <w:color w:val="000000" w:themeColor="text1"/>
          <w:lang w:val="fr-CA"/>
        </w:rPr>
        <w:t xml:space="preserve">Canada </w:t>
      </w:r>
      <w:r>
        <w:rPr>
          <w:color w:val="000000" w:themeColor="text1"/>
          <w:lang w:val="fr-CA"/>
        </w:rPr>
        <w:t xml:space="preserve">afin qu’ils offrent </w:t>
      </w:r>
      <w:r w:rsidRPr="51A13573">
        <w:rPr>
          <w:color w:val="000000" w:themeColor="text1"/>
          <w:lang w:val="fr-CA"/>
        </w:rPr>
        <w:t xml:space="preserve">des services </w:t>
      </w:r>
      <w:r>
        <w:rPr>
          <w:color w:val="000000" w:themeColor="text1"/>
          <w:lang w:val="fr-CA"/>
        </w:rPr>
        <w:t xml:space="preserve">au sein de la communauté et </w:t>
      </w:r>
      <w:r w:rsidRPr="51A13573">
        <w:rPr>
          <w:color w:val="000000" w:themeColor="text1"/>
          <w:lang w:val="fr-CA"/>
        </w:rPr>
        <w:t>à l’arrivée</w:t>
      </w:r>
      <w:r>
        <w:rPr>
          <w:color w:val="000000" w:themeColor="text1"/>
          <w:lang w:val="fr-CA"/>
        </w:rPr>
        <w:t xml:space="preserve">, et ce, </w:t>
      </w:r>
      <w:r w:rsidRPr="00391194">
        <w:rPr>
          <w:lang w:val="fr-CA"/>
        </w:rPr>
        <w:t>pour</w:t>
      </w:r>
      <w:r>
        <w:rPr>
          <w:color w:val="000000" w:themeColor="text1"/>
          <w:lang w:val="fr-CA"/>
        </w:rPr>
        <w:t xml:space="preserve"> </w:t>
      </w:r>
      <w:r w:rsidRPr="51A13573">
        <w:rPr>
          <w:color w:val="000000" w:themeColor="text1"/>
          <w:lang w:val="fr-CA"/>
        </w:rPr>
        <w:t xml:space="preserve">aider les </w:t>
      </w:r>
      <w:r w:rsidRPr="00C10E74">
        <w:rPr>
          <w:color w:val="000000" w:themeColor="text1"/>
          <w:lang w:val="fr-CA"/>
        </w:rPr>
        <w:t xml:space="preserve">travailleurs étrangers temporaires </w:t>
      </w:r>
      <w:r w:rsidRPr="51A13573">
        <w:rPr>
          <w:color w:val="000000" w:themeColor="text1"/>
          <w:lang w:val="fr-CA"/>
        </w:rPr>
        <w:t xml:space="preserve">à </w:t>
      </w:r>
      <w:r>
        <w:rPr>
          <w:color w:val="000000" w:themeColor="text1"/>
          <w:lang w:val="fr-CA"/>
        </w:rPr>
        <w:t xml:space="preserve">se renseigner au sujet de </w:t>
      </w:r>
      <w:r w:rsidRPr="51A13573">
        <w:rPr>
          <w:color w:val="000000" w:themeColor="text1"/>
          <w:lang w:val="fr-CA"/>
        </w:rPr>
        <w:t>leurs droits</w:t>
      </w:r>
      <w:r>
        <w:rPr>
          <w:color w:val="000000" w:themeColor="text1"/>
          <w:lang w:val="fr-CA"/>
        </w:rPr>
        <w:t xml:space="preserve"> et à les exercer</w:t>
      </w:r>
      <w:r w:rsidRPr="51A13573">
        <w:rPr>
          <w:color w:val="000000" w:themeColor="text1"/>
          <w:lang w:val="fr-CA"/>
        </w:rPr>
        <w:t xml:space="preserve">. </w:t>
      </w:r>
      <w:r>
        <w:rPr>
          <w:color w:val="000000" w:themeColor="text1"/>
          <w:lang w:val="fr-CA"/>
        </w:rPr>
        <w:t>L</w:t>
      </w:r>
      <w:r w:rsidRPr="51A13573">
        <w:rPr>
          <w:color w:val="000000" w:themeColor="text1"/>
          <w:lang w:val="fr-CA"/>
        </w:rPr>
        <w:t xml:space="preserve">es organismes financés </w:t>
      </w:r>
      <w:r>
        <w:rPr>
          <w:color w:val="000000" w:themeColor="text1"/>
          <w:lang w:val="fr-CA"/>
        </w:rPr>
        <w:t xml:space="preserve">le font en </w:t>
      </w:r>
      <w:r w:rsidRPr="51A13573">
        <w:rPr>
          <w:color w:val="000000" w:themeColor="text1"/>
          <w:lang w:val="fr-CA"/>
        </w:rPr>
        <w:t>offr</w:t>
      </w:r>
      <w:r>
        <w:rPr>
          <w:color w:val="000000" w:themeColor="text1"/>
          <w:lang w:val="fr-CA"/>
        </w:rPr>
        <w:t>a</w:t>
      </w:r>
      <w:r w:rsidRPr="51A13573">
        <w:rPr>
          <w:color w:val="000000" w:themeColor="text1"/>
          <w:lang w:val="fr-CA"/>
        </w:rPr>
        <w:t>nt</w:t>
      </w:r>
      <w:r>
        <w:rPr>
          <w:color w:val="000000" w:themeColor="text1"/>
          <w:lang w:val="fr-CA"/>
        </w:rPr>
        <w:t xml:space="preserve"> des programmes et des services de soutien axés sur les </w:t>
      </w:r>
      <w:r w:rsidRPr="00C10E74">
        <w:rPr>
          <w:color w:val="000000" w:themeColor="text1"/>
          <w:lang w:val="fr-CA"/>
        </w:rPr>
        <w:t>travailleurs étrangers temporaires</w:t>
      </w:r>
      <w:r w:rsidRPr="51A13573">
        <w:rPr>
          <w:color w:val="000000" w:themeColor="text1"/>
          <w:lang w:val="fr-CA"/>
        </w:rPr>
        <w:t xml:space="preserve">, </w:t>
      </w:r>
      <w:r>
        <w:rPr>
          <w:color w:val="000000" w:themeColor="text1"/>
          <w:lang w:val="fr-CA"/>
        </w:rPr>
        <w:t>comme des services</w:t>
      </w:r>
      <w:r w:rsidRPr="51A13573">
        <w:rPr>
          <w:color w:val="000000" w:themeColor="text1"/>
          <w:lang w:val="fr-CA"/>
        </w:rPr>
        <w:t xml:space="preserve"> d’orientation à l’arrivée, des ateliers d’information, </w:t>
      </w:r>
      <w:r>
        <w:rPr>
          <w:color w:val="000000" w:themeColor="text1"/>
          <w:lang w:val="fr-CA"/>
        </w:rPr>
        <w:t>un soutien j</w:t>
      </w:r>
      <w:r w:rsidRPr="51A13573">
        <w:rPr>
          <w:color w:val="000000" w:themeColor="text1"/>
          <w:lang w:val="fr-CA"/>
        </w:rPr>
        <w:t xml:space="preserve">uridique et de l’aide </w:t>
      </w:r>
      <w:r>
        <w:rPr>
          <w:color w:val="000000" w:themeColor="text1"/>
          <w:lang w:val="fr-CA"/>
        </w:rPr>
        <w:t>dans les situations</w:t>
      </w:r>
      <w:r w:rsidRPr="51A13573">
        <w:rPr>
          <w:color w:val="000000" w:themeColor="text1"/>
          <w:lang w:val="fr-CA"/>
        </w:rPr>
        <w:t xml:space="preserve"> </w:t>
      </w:r>
      <w:r>
        <w:rPr>
          <w:color w:val="000000" w:themeColor="text1"/>
          <w:lang w:val="fr-CA"/>
        </w:rPr>
        <w:t>urgentes et</w:t>
      </w:r>
      <w:r w:rsidRPr="51A13573">
        <w:rPr>
          <w:color w:val="000000" w:themeColor="text1"/>
          <w:lang w:val="fr-CA"/>
        </w:rPr>
        <w:t xml:space="preserve"> à risque.</w:t>
      </w:r>
    </w:p>
    <w:p w14:paraId="70D4D6B8" w14:textId="77777777" w:rsidR="00C83F56" w:rsidRDefault="00C83F56" w:rsidP="004F23C1">
      <w:pPr>
        <w:pStyle w:val="SingleTxtG"/>
        <w:numPr>
          <w:ilvl w:val="0"/>
          <w:numId w:val="4"/>
        </w:numPr>
        <w:ind w:left="1134" w:firstLine="0"/>
        <w:rPr>
          <w:lang w:val="fr-CA"/>
        </w:rPr>
      </w:pPr>
      <w:r w:rsidRPr="00E7089D">
        <w:rPr>
          <w:lang w:val="fr-CA"/>
        </w:rPr>
        <w:t>L'Île-du-Prince-Édouard adopte une loi sur la protection des travailleurs étrangers temporaires qui comble certaines lacunes entre les règles des programmes fédéraux sur les travailleurs étrangers temporaires et les règles provinciales sur les normes d'emploi. L'intention est d'ajouter un niveau de protection contre les abus spécifique aux travailleurs étrangers temporaires, y compris l'obligation pour les recruteurs de travailleurs étrangers d'être agréés. La législation interdit aux employeurs et aux recruteurs de facturer les services de recrutement aux travailleurs étrangers et prévoit des protections contre certaines actions de représailles.</w:t>
      </w:r>
    </w:p>
    <w:p w14:paraId="303E3938" w14:textId="77777777" w:rsidR="00C83F56" w:rsidRPr="00E7089D" w:rsidRDefault="00C83F56" w:rsidP="004F23C1">
      <w:pPr>
        <w:pStyle w:val="SingleTxtG"/>
        <w:numPr>
          <w:ilvl w:val="0"/>
          <w:numId w:val="4"/>
        </w:numPr>
        <w:ind w:left="1134" w:firstLine="0"/>
        <w:rPr>
          <w:lang w:val="fr-CA"/>
        </w:rPr>
      </w:pPr>
      <w:bookmarkStart w:id="101" w:name="lt_pId224"/>
      <w:r>
        <w:rPr>
          <w:lang w:val="fr-CA"/>
        </w:rPr>
        <w:t>Au Québec, les TET ont les mêmes droits et obligations en matière de travail que tous les travailleurs québécois.</w:t>
      </w:r>
      <w:bookmarkEnd w:id="101"/>
      <w:r w:rsidRPr="00A7517B">
        <w:rPr>
          <w:lang w:val="fr-CA"/>
        </w:rPr>
        <w:t xml:space="preserve"> </w:t>
      </w:r>
      <w:bookmarkStart w:id="102" w:name="lt_pId225"/>
      <w:r w:rsidRPr="00B71D95">
        <w:rPr>
          <w:lang w:val="fr-CA"/>
        </w:rPr>
        <w:t xml:space="preserve">Le Règlement sur les agences de placement de personnel et les agences de recrutement de </w:t>
      </w:r>
      <w:r>
        <w:rPr>
          <w:lang w:val="fr-CA"/>
        </w:rPr>
        <w:t>TET</w:t>
      </w:r>
      <w:r w:rsidRPr="0091250C">
        <w:rPr>
          <w:lang w:val="fr-CA"/>
        </w:rPr>
        <w:t xml:space="preserve"> et certaines </w:t>
      </w:r>
      <w:r w:rsidRPr="00FA4898">
        <w:rPr>
          <w:lang w:val="fr-CA"/>
        </w:rPr>
        <w:t xml:space="preserve">dispositions de la </w:t>
      </w:r>
      <w:r w:rsidRPr="00FA4898">
        <w:rPr>
          <w:i/>
          <w:lang w:val="fr-CA"/>
        </w:rPr>
        <w:t xml:space="preserve">Loi sur les </w:t>
      </w:r>
      <w:r w:rsidRPr="00391194">
        <w:rPr>
          <w:lang w:val="fr-CA"/>
        </w:rPr>
        <w:t>normes</w:t>
      </w:r>
      <w:r w:rsidRPr="00FA4898">
        <w:rPr>
          <w:i/>
          <w:lang w:val="fr-CA"/>
        </w:rPr>
        <w:t xml:space="preserve"> du travail</w:t>
      </w:r>
      <w:r w:rsidRPr="0091250C">
        <w:rPr>
          <w:lang w:val="fr-CA"/>
        </w:rPr>
        <w:t xml:space="preserve"> sont entrés en vigueur </w:t>
      </w:r>
      <w:r>
        <w:rPr>
          <w:lang w:val="fr-CA"/>
        </w:rPr>
        <w:t>en </w:t>
      </w:r>
      <w:r w:rsidRPr="0091250C">
        <w:rPr>
          <w:lang w:val="fr-CA"/>
        </w:rPr>
        <w:t>2020.</w:t>
      </w:r>
      <w:bookmarkEnd w:id="102"/>
      <w:r w:rsidRPr="00A7517B">
        <w:rPr>
          <w:lang w:val="fr-CA"/>
        </w:rPr>
        <w:t xml:space="preserve"> </w:t>
      </w:r>
      <w:bookmarkStart w:id="103" w:name="lt_pId226"/>
      <w:r>
        <w:rPr>
          <w:lang w:val="fr-CA"/>
        </w:rPr>
        <w:t>Ils obligent notamment les agences de placement de personnel et les agences de recrutement de travailleurs étrangers temporaires à détenir un permis délivré par la Commission des normes, de l’</w:t>
      </w:r>
      <w:r w:rsidRPr="00B738C0">
        <w:rPr>
          <w:lang w:val="fr-CA"/>
        </w:rPr>
        <w:t>équité, de la santé et de la sécurité du travail</w:t>
      </w:r>
      <w:r>
        <w:rPr>
          <w:lang w:val="fr-CA"/>
        </w:rPr>
        <w:t xml:space="preserve"> du Québec.</w:t>
      </w:r>
      <w:bookmarkEnd w:id="103"/>
    </w:p>
    <w:p w14:paraId="5E25F43B" w14:textId="44EF4AD5" w:rsidR="00C83F56" w:rsidRPr="00A7517B" w:rsidRDefault="0010497F" w:rsidP="0010497F">
      <w:pPr>
        <w:pStyle w:val="H1G"/>
        <w:rPr>
          <w:lang w:val="fr-CA"/>
        </w:rPr>
      </w:pPr>
      <w:bookmarkStart w:id="104" w:name="lt_pId227"/>
      <w:r>
        <w:rPr>
          <w:lang w:val="fr-CA"/>
        </w:rPr>
        <w:tab/>
      </w:r>
      <w:r>
        <w:rPr>
          <w:lang w:val="fr-CA"/>
        </w:rPr>
        <w:tab/>
      </w:r>
      <w:r w:rsidR="00C83F56">
        <w:rPr>
          <w:lang w:val="fr-CA"/>
        </w:rPr>
        <w:t>Demandes d’asile</w:t>
      </w:r>
      <w:bookmarkEnd w:id="104"/>
    </w:p>
    <w:p w14:paraId="711761EF" w14:textId="77777777" w:rsidR="00C83F56" w:rsidRPr="00A7517B" w:rsidRDefault="00C83F56" w:rsidP="004F23C1">
      <w:pPr>
        <w:pStyle w:val="SingleTxtG"/>
        <w:numPr>
          <w:ilvl w:val="0"/>
          <w:numId w:val="4"/>
        </w:numPr>
        <w:ind w:left="1134" w:firstLine="0"/>
        <w:rPr>
          <w:lang w:val="fr-CA"/>
        </w:rPr>
      </w:pPr>
      <w:bookmarkStart w:id="105" w:name="lt_pId228"/>
      <w:r w:rsidRPr="00217E23">
        <w:rPr>
          <w:lang w:val="fr-CA"/>
        </w:rPr>
        <w:t>L</w:t>
      </w:r>
      <w:r>
        <w:rPr>
          <w:lang w:val="fr-CA"/>
        </w:rPr>
        <w:t>’</w:t>
      </w:r>
      <w:r w:rsidRPr="00217E23">
        <w:rPr>
          <w:lang w:val="fr-CA"/>
        </w:rPr>
        <w:t>Entente sur les tiers pays sûrs</w:t>
      </w:r>
      <w:r>
        <w:rPr>
          <w:lang w:val="fr-CA"/>
        </w:rPr>
        <w:t xml:space="preserve"> (ETPS)</w:t>
      </w:r>
      <w:r w:rsidRPr="00217E23">
        <w:rPr>
          <w:lang w:val="fr-CA"/>
        </w:rPr>
        <w:t xml:space="preserve"> </w:t>
      </w:r>
      <w:r w:rsidRPr="00EB562E">
        <w:rPr>
          <w:lang w:val="fr-CA"/>
        </w:rPr>
        <w:t xml:space="preserve">sert de cadre </w:t>
      </w:r>
      <w:r>
        <w:rPr>
          <w:lang w:val="fr-CA"/>
        </w:rPr>
        <w:t xml:space="preserve">de travail </w:t>
      </w:r>
      <w:r w:rsidRPr="00EB562E">
        <w:rPr>
          <w:lang w:val="fr-CA"/>
        </w:rPr>
        <w:t xml:space="preserve">mutuellement avantageux qui permet au Canada et aux États-Unis de collaborer </w:t>
      </w:r>
      <w:r>
        <w:rPr>
          <w:lang w:val="fr-CA"/>
        </w:rPr>
        <w:t>sur</w:t>
      </w:r>
      <w:r w:rsidRPr="00EB562E">
        <w:rPr>
          <w:lang w:val="fr-CA"/>
        </w:rPr>
        <w:t xml:space="preserve"> la gestion ordonnée et efficace des demandes d'asile</w:t>
      </w:r>
      <w:r w:rsidRPr="00A72232">
        <w:rPr>
          <w:lang w:val="fr-CA"/>
        </w:rPr>
        <w:t>.</w:t>
      </w:r>
      <w:bookmarkEnd w:id="105"/>
      <w:r w:rsidRPr="00A7517B">
        <w:rPr>
          <w:lang w:val="fr-CA"/>
        </w:rPr>
        <w:t xml:space="preserve"> </w:t>
      </w:r>
      <w:bookmarkStart w:id="106" w:name="lt_pId229"/>
      <w:r>
        <w:rPr>
          <w:lang w:val="fr-CA"/>
        </w:rPr>
        <w:t xml:space="preserve">L’ETPS </w:t>
      </w:r>
      <w:proofErr w:type="spellStart"/>
      <w:r>
        <w:rPr>
          <w:lang w:val="fr-CA"/>
        </w:rPr>
        <w:t>reconnait</w:t>
      </w:r>
      <w:proofErr w:type="spellEnd"/>
      <w:r>
        <w:rPr>
          <w:lang w:val="fr-CA"/>
        </w:rPr>
        <w:t xml:space="preserve"> que les deux pays partagent une responsabilité mutuelle de protéger les droits de la personne et les libertés fondamentales.</w:t>
      </w:r>
      <w:bookmarkEnd w:id="106"/>
      <w:r w:rsidRPr="00A7517B">
        <w:rPr>
          <w:lang w:val="fr-CA"/>
        </w:rPr>
        <w:t xml:space="preserve"> </w:t>
      </w:r>
      <w:bookmarkStart w:id="107" w:name="lt_pId230"/>
      <w:r w:rsidRPr="001C683C">
        <w:rPr>
          <w:lang w:val="fr-CA"/>
        </w:rPr>
        <w:t>L</w:t>
      </w:r>
      <w:r>
        <w:rPr>
          <w:lang w:val="fr-CA"/>
        </w:rPr>
        <w:t>’</w:t>
      </w:r>
      <w:r w:rsidRPr="001C683C">
        <w:rPr>
          <w:lang w:val="fr-CA"/>
        </w:rPr>
        <w:t>E</w:t>
      </w:r>
      <w:r>
        <w:rPr>
          <w:lang w:val="fr-CA"/>
        </w:rPr>
        <w:t>TPS</w:t>
      </w:r>
      <w:r w:rsidRPr="001C683C">
        <w:rPr>
          <w:lang w:val="fr-CA"/>
        </w:rPr>
        <w:t xml:space="preserve"> </w:t>
      </w:r>
      <w:r>
        <w:rPr>
          <w:lang w:val="fr-CA"/>
        </w:rPr>
        <w:t xml:space="preserve">est basée </w:t>
      </w:r>
      <w:r w:rsidRPr="001C683C">
        <w:rPr>
          <w:lang w:val="fr-CA"/>
        </w:rPr>
        <w:t>sur le principe du premier pays sûr, selon lequel les demandeurs d</w:t>
      </w:r>
      <w:r>
        <w:rPr>
          <w:lang w:val="fr-CA"/>
        </w:rPr>
        <w:t>’</w:t>
      </w:r>
      <w:r w:rsidRPr="001C683C">
        <w:rPr>
          <w:lang w:val="fr-CA"/>
        </w:rPr>
        <w:t xml:space="preserve">asile </w:t>
      </w:r>
      <w:r>
        <w:rPr>
          <w:lang w:val="fr-CA"/>
        </w:rPr>
        <w:t xml:space="preserve">qui </w:t>
      </w:r>
      <w:r w:rsidRPr="001C683C">
        <w:rPr>
          <w:lang w:val="fr-CA"/>
        </w:rPr>
        <w:t>fu</w:t>
      </w:r>
      <w:r>
        <w:rPr>
          <w:lang w:val="fr-CA"/>
        </w:rPr>
        <w:t>ie</w:t>
      </w:r>
      <w:r w:rsidRPr="001C683C">
        <w:rPr>
          <w:lang w:val="fr-CA"/>
        </w:rPr>
        <w:t xml:space="preserve">nt la persécution doivent demander </w:t>
      </w:r>
      <w:r>
        <w:rPr>
          <w:lang w:val="fr-CA"/>
        </w:rPr>
        <w:t>l’</w:t>
      </w:r>
      <w:r w:rsidRPr="001C683C">
        <w:rPr>
          <w:lang w:val="fr-CA"/>
        </w:rPr>
        <w:t xml:space="preserve">asile dans le premier pays </w:t>
      </w:r>
      <w:r w:rsidRPr="005F2104">
        <w:rPr>
          <w:lang w:val="fr-CA"/>
        </w:rPr>
        <w:t>où il est sûr de le faire pour eux</w:t>
      </w:r>
      <w:r>
        <w:rPr>
          <w:lang w:val="fr-CA"/>
        </w:rPr>
        <w:t xml:space="preserve">; </w:t>
      </w:r>
      <w:r w:rsidRPr="001C683C">
        <w:rPr>
          <w:lang w:val="fr-CA"/>
        </w:rPr>
        <w:t>il</w:t>
      </w:r>
      <w:r>
        <w:rPr>
          <w:lang w:val="fr-CA"/>
        </w:rPr>
        <w:t xml:space="preserve"> s’agit d’un </w:t>
      </w:r>
      <w:r w:rsidRPr="001C683C">
        <w:rPr>
          <w:lang w:val="fr-CA"/>
        </w:rPr>
        <w:t>principe reconnu à l</w:t>
      </w:r>
      <w:r>
        <w:rPr>
          <w:lang w:val="fr-CA"/>
        </w:rPr>
        <w:t>’</w:t>
      </w:r>
      <w:r w:rsidRPr="001C683C">
        <w:rPr>
          <w:lang w:val="fr-CA"/>
        </w:rPr>
        <w:t xml:space="preserve">échelle internationale et </w:t>
      </w:r>
      <w:r>
        <w:rPr>
          <w:lang w:val="fr-CA"/>
        </w:rPr>
        <w:t>appuyé</w:t>
      </w:r>
      <w:r w:rsidRPr="001C683C">
        <w:rPr>
          <w:lang w:val="fr-CA"/>
        </w:rPr>
        <w:t xml:space="preserve"> par l</w:t>
      </w:r>
      <w:r>
        <w:rPr>
          <w:lang w:val="fr-CA"/>
        </w:rPr>
        <w:t>’</w:t>
      </w:r>
      <w:r w:rsidRPr="001C683C">
        <w:rPr>
          <w:lang w:val="fr-CA"/>
        </w:rPr>
        <w:t xml:space="preserve">Agence </w:t>
      </w:r>
      <w:r>
        <w:rPr>
          <w:lang w:val="fr-CA"/>
        </w:rPr>
        <w:t>de l’ONU</w:t>
      </w:r>
      <w:r w:rsidRPr="001C683C">
        <w:rPr>
          <w:lang w:val="fr-CA"/>
        </w:rPr>
        <w:t xml:space="preserve"> pour les réfugiés.</w:t>
      </w:r>
      <w:bookmarkEnd w:id="107"/>
    </w:p>
    <w:p w14:paraId="2914FA3F" w14:textId="77777777" w:rsidR="00C83F56" w:rsidRDefault="00C83F56" w:rsidP="004F23C1">
      <w:pPr>
        <w:pStyle w:val="SingleTxtG"/>
        <w:numPr>
          <w:ilvl w:val="0"/>
          <w:numId w:val="4"/>
        </w:numPr>
        <w:ind w:left="1134" w:firstLine="0"/>
        <w:rPr>
          <w:lang w:val="fr-CA"/>
        </w:rPr>
      </w:pPr>
      <w:bookmarkStart w:id="108" w:name="lt_pId231"/>
      <w:r>
        <w:rPr>
          <w:lang w:val="fr-CA"/>
        </w:rPr>
        <w:t>En </w:t>
      </w:r>
      <w:r w:rsidRPr="00101757">
        <w:rPr>
          <w:lang w:val="fr-CA"/>
        </w:rPr>
        <w:t xml:space="preserve">2023, </w:t>
      </w:r>
      <w:bookmarkStart w:id="109" w:name="lt_pId232"/>
      <w:bookmarkStart w:id="110" w:name="_Toc177633111"/>
      <w:bookmarkEnd w:id="108"/>
      <w:r>
        <w:rPr>
          <w:lang w:val="fr-CA"/>
        </w:rPr>
        <w:t xml:space="preserve">l’application </w:t>
      </w:r>
      <w:r w:rsidRPr="009B7224">
        <w:rPr>
          <w:lang w:val="fr-CA"/>
        </w:rPr>
        <w:t xml:space="preserve">de l’ETPS a été étendue (y compris les dispositions </w:t>
      </w:r>
      <w:r>
        <w:rPr>
          <w:lang w:val="fr-CA"/>
        </w:rPr>
        <w:t>d’</w:t>
      </w:r>
      <w:r w:rsidRPr="009B7224">
        <w:rPr>
          <w:lang w:val="fr-CA"/>
        </w:rPr>
        <w:t xml:space="preserve">exception et </w:t>
      </w:r>
      <w:r>
        <w:rPr>
          <w:lang w:val="fr-CA"/>
        </w:rPr>
        <w:t>d’</w:t>
      </w:r>
      <w:r w:rsidRPr="009B7224">
        <w:rPr>
          <w:lang w:val="fr-CA"/>
        </w:rPr>
        <w:t xml:space="preserve">exemptions) </w:t>
      </w:r>
      <w:r>
        <w:rPr>
          <w:lang w:val="fr-CA"/>
        </w:rPr>
        <w:t>aux personnes</w:t>
      </w:r>
      <w:r w:rsidRPr="009B7224">
        <w:rPr>
          <w:lang w:val="fr-CA"/>
        </w:rPr>
        <w:t xml:space="preserve"> qui demandent l'asile dans les 14 jours suivant leur </w:t>
      </w:r>
      <w:r>
        <w:rPr>
          <w:lang w:val="fr-CA"/>
        </w:rPr>
        <w:t>traversée</w:t>
      </w:r>
      <w:r w:rsidRPr="009B7224">
        <w:rPr>
          <w:lang w:val="fr-CA"/>
        </w:rPr>
        <w:t xml:space="preserve"> de la frontière entre </w:t>
      </w:r>
      <w:r>
        <w:rPr>
          <w:lang w:val="fr-CA"/>
        </w:rPr>
        <w:t>d</w:t>
      </w:r>
      <w:r w:rsidRPr="009B7224">
        <w:rPr>
          <w:lang w:val="fr-CA"/>
        </w:rPr>
        <w:t xml:space="preserve">es points d'entrée, y compris par </w:t>
      </w:r>
      <w:r>
        <w:rPr>
          <w:lang w:val="fr-CA"/>
        </w:rPr>
        <w:t>la plupart d</w:t>
      </w:r>
      <w:r w:rsidRPr="009B7224">
        <w:rPr>
          <w:lang w:val="fr-CA"/>
        </w:rPr>
        <w:t>es voies navigables intérieures.</w:t>
      </w:r>
      <w:bookmarkEnd w:id="109"/>
      <w:r w:rsidRPr="00A7517B">
        <w:rPr>
          <w:lang w:val="fr-CA"/>
        </w:rPr>
        <w:t xml:space="preserve"> </w:t>
      </w:r>
    </w:p>
    <w:p w14:paraId="24D1166F" w14:textId="75CCF87F" w:rsidR="00C83F56" w:rsidRPr="00A7517B" w:rsidRDefault="0010497F" w:rsidP="0010497F">
      <w:pPr>
        <w:pStyle w:val="HChG"/>
        <w:rPr>
          <w:lang w:val="fr-CA"/>
        </w:rPr>
      </w:pPr>
      <w:bookmarkStart w:id="111" w:name="lt_pId233"/>
      <w:bookmarkEnd w:id="110"/>
      <w:r>
        <w:rPr>
          <w:lang w:val="fr-CA"/>
        </w:rPr>
        <w:tab/>
      </w:r>
      <w:r w:rsidR="00C83F56">
        <w:rPr>
          <w:lang w:val="fr-CA"/>
        </w:rPr>
        <w:t>IV.</w:t>
      </w:r>
      <w:r>
        <w:rPr>
          <w:lang w:val="fr-CA"/>
        </w:rPr>
        <w:tab/>
      </w:r>
      <w:r w:rsidR="00C83F56" w:rsidRPr="001F34A1">
        <w:rPr>
          <w:lang w:val="fr-CA"/>
        </w:rPr>
        <w:t>Peuples autochtones</w:t>
      </w:r>
      <w:bookmarkEnd w:id="111"/>
    </w:p>
    <w:p w14:paraId="0456681C" w14:textId="77777777" w:rsidR="00C83F56" w:rsidRDefault="00C83F56" w:rsidP="004F23C1">
      <w:pPr>
        <w:pStyle w:val="SingleTxtG"/>
        <w:numPr>
          <w:ilvl w:val="0"/>
          <w:numId w:val="4"/>
        </w:numPr>
        <w:ind w:left="1134" w:firstLine="0"/>
        <w:rPr>
          <w:lang w:val="fr-CA"/>
        </w:rPr>
      </w:pPr>
      <w:bookmarkStart w:id="112" w:name="lt_pId234"/>
      <w:r w:rsidRPr="003119DA">
        <w:rPr>
          <w:lang w:val="fr-CA"/>
        </w:rPr>
        <w:t xml:space="preserve">La présente section comprend des renseignements sur les initiatives entreprises pour améliorer les conditions </w:t>
      </w:r>
      <w:proofErr w:type="spellStart"/>
      <w:r w:rsidRPr="003119DA">
        <w:rPr>
          <w:lang w:val="fr-CA"/>
        </w:rPr>
        <w:t>socioéconomiques</w:t>
      </w:r>
      <w:proofErr w:type="spellEnd"/>
      <w:r w:rsidRPr="003119DA">
        <w:rPr>
          <w:lang w:val="fr-CA"/>
        </w:rPr>
        <w:t xml:space="preserve"> des Autochtones, les initiatives axées sur les femmes et les filles autochtones, et les consultations avec les peuples autochtones.</w:t>
      </w:r>
      <w:r>
        <w:rPr>
          <w:lang w:val="fr-CA"/>
        </w:rPr>
        <w:t xml:space="preserve"> Il porte sur les </w:t>
      </w:r>
      <w:r w:rsidRPr="003119DA">
        <w:rPr>
          <w:lang w:val="fr-CA"/>
        </w:rPr>
        <w:t>observations finales 24, 20 et 14</w:t>
      </w:r>
      <w:r>
        <w:rPr>
          <w:lang w:val="fr-CA"/>
        </w:rPr>
        <w:t xml:space="preserve"> du Comité de 2017</w:t>
      </w:r>
      <w:r w:rsidRPr="003119DA">
        <w:rPr>
          <w:lang w:val="fr-CA"/>
        </w:rPr>
        <w:t>.</w:t>
      </w:r>
      <w:bookmarkEnd w:id="112"/>
      <w:r w:rsidRPr="003119DA">
        <w:rPr>
          <w:lang w:val="fr-CA"/>
        </w:rPr>
        <w:t xml:space="preserve"> </w:t>
      </w:r>
    </w:p>
    <w:p w14:paraId="01E4AE1A" w14:textId="2A132F07" w:rsidR="00C83F56" w:rsidRPr="001F34A1" w:rsidRDefault="00647AF1" w:rsidP="00647AF1">
      <w:pPr>
        <w:pStyle w:val="H1G"/>
        <w:rPr>
          <w:lang w:val="fr-CA"/>
        </w:rPr>
      </w:pPr>
      <w:bookmarkStart w:id="113" w:name="lt_pId235"/>
      <w:r>
        <w:rPr>
          <w:lang w:val="fr-CA"/>
        </w:rPr>
        <w:tab/>
      </w:r>
      <w:r>
        <w:rPr>
          <w:lang w:val="fr-CA"/>
        </w:rPr>
        <w:tab/>
      </w:r>
      <w:r w:rsidR="00C83F56" w:rsidRPr="001F34A1">
        <w:rPr>
          <w:lang w:val="fr-CA"/>
        </w:rPr>
        <w:t>Stratégies fédérales</w:t>
      </w:r>
      <w:bookmarkEnd w:id="113"/>
    </w:p>
    <w:p w14:paraId="3CF7CA33" w14:textId="77777777" w:rsidR="00C83F56" w:rsidRPr="00B20F8E" w:rsidRDefault="00C83F56" w:rsidP="004F23C1">
      <w:pPr>
        <w:pStyle w:val="SingleTxtG"/>
        <w:numPr>
          <w:ilvl w:val="0"/>
          <w:numId w:val="4"/>
        </w:numPr>
        <w:ind w:left="1134" w:firstLine="0"/>
        <w:rPr>
          <w:lang w:val="fr-CA"/>
        </w:rPr>
      </w:pPr>
      <w:bookmarkStart w:id="114" w:name="lt_pId236"/>
      <w:r w:rsidRPr="51A13573">
        <w:rPr>
          <w:lang w:val="fr-CA"/>
        </w:rPr>
        <w:t>En 2007, l’Assemblée générale de</w:t>
      </w:r>
      <w:r>
        <w:rPr>
          <w:lang w:val="fr-CA"/>
        </w:rPr>
        <w:t xml:space="preserve"> l’ONU</w:t>
      </w:r>
      <w:r w:rsidRPr="51A13573">
        <w:rPr>
          <w:lang w:val="fr-CA"/>
        </w:rPr>
        <w:t xml:space="preserve"> a adopté la Déclaration de</w:t>
      </w:r>
      <w:r>
        <w:rPr>
          <w:lang w:val="fr-CA"/>
        </w:rPr>
        <w:t>s Nations Unies</w:t>
      </w:r>
      <w:r w:rsidRPr="51A13573">
        <w:rPr>
          <w:lang w:val="fr-CA"/>
        </w:rPr>
        <w:t>.</w:t>
      </w:r>
      <w:bookmarkEnd w:id="114"/>
      <w:r w:rsidRPr="51A13573">
        <w:rPr>
          <w:lang w:val="fr-CA"/>
        </w:rPr>
        <w:t xml:space="preserve"> </w:t>
      </w:r>
      <w:bookmarkStart w:id="115" w:name="lt_pId237"/>
      <w:r w:rsidRPr="51A13573">
        <w:rPr>
          <w:lang w:val="fr-CA"/>
        </w:rPr>
        <w:t xml:space="preserve">En 2016, le </w:t>
      </w:r>
      <w:r>
        <w:rPr>
          <w:lang w:val="fr-CA"/>
        </w:rPr>
        <w:t>GC</w:t>
      </w:r>
      <w:r w:rsidRPr="51A13573">
        <w:rPr>
          <w:lang w:val="fr-CA"/>
        </w:rPr>
        <w:t xml:space="preserve"> </w:t>
      </w:r>
      <w:r>
        <w:rPr>
          <w:lang w:val="fr-CA"/>
        </w:rPr>
        <w:t xml:space="preserve">a approuvé cette </w:t>
      </w:r>
      <w:r w:rsidRPr="51A13573">
        <w:rPr>
          <w:lang w:val="fr-CA"/>
        </w:rPr>
        <w:t>Déclaration sans réserve et s’est engagé à une mise en œuvre intégrale et efficace.</w:t>
      </w:r>
      <w:bookmarkEnd w:id="115"/>
      <w:r w:rsidRPr="51A13573">
        <w:rPr>
          <w:lang w:val="fr-CA"/>
        </w:rPr>
        <w:t xml:space="preserve"> </w:t>
      </w:r>
      <w:bookmarkStart w:id="116" w:name="lt_pId238"/>
      <w:r>
        <w:rPr>
          <w:lang w:val="fr-CA"/>
        </w:rPr>
        <w:t xml:space="preserve">En </w:t>
      </w:r>
      <w:r w:rsidRPr="51A13573">
        <w:rPr>
          <w:lang w:val="fr-CA"/>
        </w:rPr>
        <w:t xml:space="preserve">2021, la </w:t>
      </w:r>
      <w:r w:rsidRPr="005C0682">
        <w:rPr>
          <w:i/>
          <w:iCs/>
          <w:lang w:val="fr-CA"/>
        </w:rPr>
        <w:t xml:space="preserve">Loi sur la Déclaration des Nations Unies sur les </w:t>
      </w:r>
      <w:r w:rsidRPr="00391194">
        <w:rPr>
          <w:lang w:val="fr-CA"/>
        </w:rPr>
        <w:t>droits</w:t>
      </w:r>
      <w:r w:rsidRPr="005C0682">
        <w:rPr>
          <w:i/>
          <w:iCs/>
          <w:lang w:val="fr-CA"/>
        </w:rPr>
        <w:t xml:space="preserve"> des peuples autochtones</w:t>
      </w:r>
      <w:r w:rsidRPr="005C0682">
        <w:rPr>
          <w:lang w:val="fr-CA"/>
        </w:rPr>
        <w:t xml:space="preserve"> (LDNUDPA</w:t>
      </w:r>
      <w:r>
        <w:rPr>
          <w:lang w:val="fr-CA"/>
        </w:rPr>
        <w:t xml:space="preserve">) </w:t>
      </w:r>
      <w:r w:rsidRPr="51A13573">
        <w:rPr>
          <w:lang w:val="fr-CA"/>
        </w:rPr>
        <w:t>a reçu la sanction royale et est immédiatement entrée en vigueur.</w:t>
      </w:r>
      <w:bookmarkEnd w:id="116"/>
    </w:p>
    <w:p w14:paraId="0914ED8F" w14:textId="77777777" w:rsidR="00C83F56" w:rsidRPr="0096749B" w:rsidRDefault="00C83F56" w:rsidP="004F23C1">
      <w:pPr>
        <w:pStyle w:val="SingleTxtG"/>
        <w:numPr>
          <w:ilvl w:val="0"/>
          <w:numId w:val="4"/>
        </w:numPr>
        <w:ind w:left="1134" w:firstLine="0"/>
        <w:rPr>
          <w:lang w:val="fr-CA"/>
        </w:rPr>
      </w:pPr>
      <w:r>
        <w:rPr>
          <w:lang w:val="fr-CA"/>
        </w:rPr>
        <w:t xml:space="preserve">La LDNUDPA constitue </w:t>
      </w:r>
      <w:r w:rsidRPr="005F1762">
        <w:rPr>
          <w:lang w:val="fr-CA"/>
        </w:rPr>
        <w:t xml:space="preserve">un cadre permettant au </w:t>
      </w:r>
      <w:r>
        <w:rPr>
          <w:lang w:val="fr-CA"/>
        </w:rPr>
        <w:t>GC d’atteindre les objectifs de la Déclaration</w:t>
      </w:r>
      <w:r w:rsidRPr="005F1762">
        <w:rPr>
          <w:lang w:val="fr-CA"/>
        </w:rPr>
        <w:t xml:space="preserve"> </w:t>
      </w:r>
      <w:r>
        <w:rPr>
          <w:lang w:val="fr-CA"/>
        </w:rPr>
        <w:t xml:space="preserve">des Nations Unies </w:t>
      </w:r>
      <w:r w:rsidRPr="005F1762">
        <w:rPr>
          <w:lang w:val="fr-CA"/>
        </w:rPr>
        <w:t>dans les domaines de responsabilité fédérale</w:t>
      </w:r>
      <w:r>
        <w:rPr>
          <w:lang w:val="fr-CA"/>
        </w:rPr>
        <w:t xml:space="preserve">. Elle représente </w:t>
      </w:r>
      <w:r w:rsidRPr="005F1762">
        <w:rPr>
          <w:lang w:val="fr-CA"/>
        </w:rPr>
        <w:t>une étape clé dans le renouvellement de</w:t>
      </w:r>
      <w:r>
        <w:rPr>
          <w:lang w:val="fr-CA"/>
        </w:rPr>
        <w:t>s</w:t>
      </w:r>
      <w:r w:rsidRPr="005F1762">
        <w:rPr>
          <w:lang w:val="fr-CA"/>
        </w:rPr>
        <w:t xml:space="preserve"> relations </w:t>
      </w:r>
      <w:r>
        <w:rPr>
          <w:lang w:val="fr-CA"/>
        </w:rPr>
        <w:t xml:space="preserve">entre </w:t>
      </w:r>
      <w:r w:rsidRPr="005F1762">
        <w:rPr>
          <w:lang w:val="fr-CA"/>
        </w:rPr>
        <w:t>le</w:t>
      </w:r>
      <w:r>
        <w:rPr>
          <w:lang w:val="fr-CA"/>
        </w:rPr>
        <w:t xml:space="preserve"> </w:t>
      </w:r>
      <w:r w:rsidRPr="005F1762">
        <w:rPr>
          <w:lang w:val="fr-CA"/>
        </w:rPr>
        <w:t xml:space="preserve">Canada </w:t>
      </w:r>
      <w:r>
        <w:rPr>
          <w:lang w:val="fr-CA"/>
        </w:rPr>
        <w:t xml:space="preserve">et </w:t>
      </w:r>
      <w:r w:rsidRPr="005F1762">
        <w:rPr>
          <w:lang w:val="fr-CA"/>
        </w:rPr>
        <w:t xml:space="preserve">les peuples autochtones. L’objectif est </w:t>
      </w:r>
      <w:r>
        <w:rPr>
          <w:lang w:val="fr-CA"/>
        </w:rPr>
        <w:t xml:space="preserve">de reconnaître </w:t>
      </w:r>
      <w:r w:rsidRPr="005F1762">
        <w:rPr>
          <w:lang w:val="fr-CA"/>
        </w:rPr>
        <w:t xml:space="preserve">la Déclaration </w:t>
      </w:r>
      <w:r>
        <w:rPr>
          <w:lang w:val="fr-CA"/>
        </w:rPr>
        <w:t xml:space="preserve">comme </w:t>
      </w:r>
      <w:r w:rsidRPr="005F1762">
        <w:rPr>
          <w:lang w:val="fr-CA"/>
        </w:rPr>
        <w:t xml:space="preserve">un instrument international des droits de la personne </w:t>
      </w:r>
      <w:r>
        <w:rPr>
          <w:lang w:val="fr-CA"/>
        </w:rPr>
        <w:t xml:space="preserve">ayant une application en </w:t>
      </w:r>
      <w:r w:rsidRPr="005F1762">
        <w:rPr>
          <w:lang w:val="fr-CA"/>
        </w:rPr>
        <w:t>droit canadien</w:t>
      </w:r>
      <w:r>
        <w:rPr>
          <w:lang w:val="fr-CA"/>
        </w:rPr>
        <w:t>,</w:t>
      </w:r>
      <w:r w:rsidRPr="005F1762">
        <w:rPr>
          <w:lang w:val="fr-CA"/>
        </w:rPr>
        <w:t xml:space="preserve"> et de fournir un cadre pour </w:t>
      </w:r>
      <w:r>
        <w:rPr>
          <w:lang w:val="fr-CA"/>
        </w:rPr>
        <w:t>s</w:t>
      </w:r>
      <w:r w:rsidRPr="005F1762">
        <w:rPr>
          <w:lang w:val="fr-CA"/>
        </w:rPr>
        <w:t>a mise en œuvre</w:t>
      </w:r>
      <w:r>
        <w:rPr>
          <w:lang w:val="fr-CA"/>
        </w:rPr>
        <w:t xml:space="preserve"> </w:t>
      </w:r>
      <w:r w:rsidRPr="005F1762">
        <w:rPr>
          <w:lang w:val="fr-CA"/>
        </w:rPr>
        <w:t xml:space="preserve">par le </w:t>
      </w:r>
      <w:r>
        <w:rPr>
          <w:lang w:val="fr-CA"/>
        </w:rPr>
        <w:t>GC</w:t>
      </w:r>
      <w:r w:rsidRPr="005F1762">
        <w:rPr>
          <w:lang w:val="fr-CA"/>
        </w:rPr>
        <w:t>. La L</w:t>
      </w:r>
      <w:r>
        <w:rPr>
          <w:lang w:val="fr-CA"/>
        </w:rPr>
        <w:t>DNUDPA</w:t>
      </w:r>
      <w:r w:rsidRPr="005F1762">
        <w:rPr>
          <w:lang w:val="fr-CA"/>
        </w:rPr>
        <w:t xml:space="preserve"> offre une vision claire de l'avenir, en veillant à ce que les lois fédérales soient conformes aux principes et aux droits énoncés dans la Déclaration </w:t>
      </w:r>
      <w:r>
        <w:rPr>
          <w:lang w:val="fr-CA"/>
        </w:rPr>
        <w:t>des Nations Unies</w:t>
      </w:r>
      <w:r w:rsidRPr="005F1762">
        <w:rPr>
          <w:lang w:val="fr-CA"/>
        </w:rPr>
        <w:t xml:space="preserve">, tout en respectant les droits ancestraux et issus de traités reconnus et confirmés par la </w:t>
      </w:r>
      <w:r w:rsidRPr="00B71D95">
        <w:rPr>
          <w:i/>
          <w:iCs/>
          <w:lang w:val="fr-CA"/>
        </w:rPr>
        <w:t>Loi constitutionnelle de 1982.</w:t>
      </w:r>
      <w:r w:rsidRPr="0096749B">
        <w:rPr>
          <w:lang w:val="fr-CA"/>
        </w:rPr>
        <w:t xml:space="preserve"> La </w:t>
      </w:r>
      <w:r w:rsidRPr="005F1762">
        <w:rPr>
          <w:lang w:val="fr-CA"/>
        </w:rPr>
        <w:t>L</w:t>
      </w:r>
      <w:r>
        <w:rPr>
          <w:lang w:val="fr-CA"/>
        </w:rPr>
        <w:t>DNUDPA</w:t>
      </w:r>
      <w:r w:rsidRPr="0096749B">
        <w:rPr>
          <w:lang w:val="fr-CA"/>
        </w:rPr>
        <w:t xml:space="preserve"> exige que le Canada prenne toutes les mesures nécessaires pour s'assurer que les lois du Canada sont conformes à la Déclaration, en consultation et en coopération avec les peuples autochtones.</w:t>
      </w:r>
    </w:p>
    <w:p w14:paraId="02EA4811" w14:textId="77777777" w:rsidR="00C83F56" w:rsidRDefault="00C83F56" w:rsidP="004F23C1">
      <w:pPr>
        <w:pStyle w:val="SingleTxtG"/>
        <w:numPr>
          <w:ilvl w:val="0"/>
          <w:numId w:val="4"/>
        </w:numPr>
        <w:ind w:left="1134" w:firstLine="0"/>
        <w:rPr>
          <w:lang w:val="fr-CA"/>
        </w:rPr>
      </w:pPr>
      <w:r w:rsidRPr="004E1D95">
        <w:rPr>
          <w:lang w:val="fr-CA"/>
        </w:rPr>
        <w:t xml:space="preserve">Dans le cadre de l'élaboration du Plan d'action de la </w:t>
      </w:r>
      <w:r w:rsidRPr="005F1762">
        <w:rPr>
          <w:lang w:val="fr-CA"/>
        </w:rPr>
        <w:t>L</w:t>
      </w:r>
      <w:r>
        <w:rPr>
          <w:lang w:val="fr-CA"/>
        </w:rPr>
        <w:t>DNUDPA</w:t>
      </w:r>
      <w:r w:rsidRPr="004E1D95">
        <w:rPr>
          <w:lang w:val="fr-CA"/>
        </w:rPr>
        <w:t xml:space="preserve">, </w:t>
      </w:r>
      <w:r>
        <w:rPr>
          <w:lang w:val="fr-CA"/>
        </w:rPr>
        <w:t>l</w:t>
      </w:r>
      <w:r w:rsidRPr="005F1762">
        <w:rPr>
          <w:lang w:val="fr-CA"/>
        </w:rPr>
        <w:t xml:space="preserve">e </w:t>
      </w:r>
      <w:r>
        <w:rPr>
          <w:lang w:val="fr-CA"/>
        </w:rPr>
        <w:t>GC</w:t>
      </w:r>
      <w:r w:rsidRPr="005F1762">
        <w:rPr>
          <w:lang w:val="fr-CA"/>
        </w:rPr>
        <w:t xml:space="preserve"> travaille en consultation et en collaboration avec les peuples autochtones </w:t>
      </w:r>
      <w:r w:rsidRPr="00BE2031">
        <w:rPr>
          <w:lang w:val="fr-CA"/>
        </w:rPr>
        <w:t>afin de déterminer les mesures à prendre pour atteindre les objectifs de la Déclaration des Nations Unies</w:t>
      </w:r>
      <w:r w:rsidRPr="005F1762">
        <w:rPr>
          <w:lang w:val="fr-CA"/>
        </w:rPr>
        <w:t>. Le Plan d’action</w:t>
      </w:r>
      <w:bookmarkStart w:id="117" w:name="_Hlk210228110"/>
      <w:r>
        <w:rPr>
          <w:lang w:val="fr-CA"/>
        </w:rPr>
        <w:t xml:space="preserve"> </w:t>
      </w:r>
      <w:bookmarkEnd w:id="117"/>
      <w:r>
        <w:rPr>
          <w:lang w:val="fr-CA"/>
        </w:rPr>
        <w:t xml:space="preserve">pour </w:t>
      </w:r>
      <w:r w:rsidRPr="005F1762">
        <w:rPr>
          <w:lang w:val="fr-CA"/>
        </w:rPr>
        <w:t xml:space="preserve">2023-2028 </w:t>
      </w:r>
      <w:r>
        <w:rPr>
          <w:lang w:val="fr-CA"/>
        </w:rPr>
        <w:t xml:space="preserve">constitue </w:t>
      </w:r>
      <w:r w:rsidRPr="005F1762">
        <w:rPr>
          <w:lang w:val="fr-CA"/>
        </w:rPr>
        <w:t xml:space="preserve">une feuille de route des mesures </w:t>
      </w:r>
      <w:r>
        <w:rPr>
          <w:lang w:val="fr-CA"/>
        </w:rPr>
        <w:t xml:space="preserve">à prendre </w:t>
      </w:r>
      <w:r w:rsidRPr="005F1762">
        <w:rPr>
          <w:lang w:val="fr-CA"/>
        </w:rPr>
        <w:t>en partenariat avec les peuples autochtones</w:t>
      </w:r>
      <w:r>
        <w:rPr>
          <w:lang w:val="fr-CA"/>
        </w:rPr>
        <w:t>,</w:t>
      </w:r>
      <w:r w:rsidRPr="005F1762">
        <w:rPr>
          <w:lang w:val="fr-CA"/>
        </w:rPr>
        <w:t xml:space="preserve"> pour mettre en œuvre les principes et les droits énoncés dans la Déclaration de</w:t>
      </w:r>
      <w:r>
        <w:rPr>
          <w:lang w:val="fr-CA"/>
        </w:rPr>
        <w:t>s Nations Unies</w:t>
      </w:r>
      <w:r w:rsidRPr="005F1762">
        <w:rPr>
          <w:lang w:val="fr-CA"/>
        </w:rPr>
        <w:t xml:space="preserve"> et pour faire progresser </w:t>
      </w:r>
      <w:r>
        <w:rPr>
          <w:lang w:val="fr-CA"/>
        </w:rPr>
        <w:t xml:space="preserve">concrètement </w:t>
      </w:r>
      <w:r w:rsidRPr="005F1762">
        <w:rPr>
          <w:lang w:val="fr-CA"/>
        </w:rPr>
        <w:t xml:space="preserve">la réconciliation. Le Plan d’action comprend 181 mesures </w:t>
      </w:r>
      <w:r>
        <w:rPr>
          <w:lang w:val="fr-CA"/>
        </w:rPr>
        <w:t>fondées sur</w:t>
      </w:r>
      <w:r w:rsidRPr="005F1762">
        <w:rPr>
          <w:lang w:val="fr-CA"/>
        </w:rPr>
        <w:t xml:space="preserve"> les priorités identifiées par les Premières Nations, les Inuits, les Métis, les partenaires autochtones des traités modernes et d’autres organisations autochtones</w:t>
      </w:r>
      <w:r w:rsidRPr="0096749B">
        <w:rPr>
          <w:lang w:val="fr-CA"/>
        </w:rPr>
        <w:t xml:space="preserve"> </w:t>
      </w:r>
      <w:r w:rsidRPr="00E52B3A">
        <w:rPr>
          <w:lang w:val="fr-CA"/>
        </w:rPr>
        <w:t xml:space="preserve">et comprend des engagements à lutter contre le racisme anti-autochtone, y compris dans les systèmes de santé et juridiques. Le Canada présente un rapport d'étape annuel au Parlement pour démontrer comment il respecte les engagements pris dans le cadre de la </w:t>
      </w:r>
      <w:r w:rsidRPr="005F1762">
        <w:rPr>
          <w:lang w:val="fr-CA"/>
        </w:rPr>
        <w:t>L</w:t>
      </w:r>
      <w:r>
        <w:rPr>
          <w:lang w:val="fr-CA"/>
        </w:rPr>
        <w:t>DNUDPA</w:t>
      </w:r>
      <w:r w:rsidRPr="00E52B3A">
        <w:rPr>
          <w:lang w:val="fr-CA"/>
        </w:rPr>
        <w:t xml:space="preserve"> et du </w:t>
      </w:r>
      <w:r>
        <w:rPr>
          <w:lang w:val="fr-CA"/>
        </w:rPr>
        <w:t>P</w:t>
      </w:r>
      <w:r w:rsidRPr="00E52B3A">
        <w:rPr>
          <w:lang w:val="fr-CA"/>
        </w:rPr>
        <w:t>lan d'action</w:t>
      </w:r>
      <w:r w:rsidRPr="005F1762">
        <w:rPr>
          <w:lang w:val="fr-CA"/>
        </w:rPr>
        <w:t xml:space="preserve">. </w:t>
      </w:r>
    </w:p>
    <w:p w14:paraId="70DB61BB" w14:textId="77777777" w:rsidR="00C83F56" w:rsidRPr="005F1762" w:rsidRDefault="00C83F56" w:rsidP="004F23C1">
      <w:pPr>
        <w:pStyle w:val="SingleTxtG"/>
        <w:numPr>
          <w:ilvl w:val="0"/>
          <w:numId w:val="4"/>
        </w:numPr>
        <w:ind w:left="1134" w:firstLine="0"/>
        <w:rPr>
          <w:lang w:val="fr-CA"/>
        </w:rPr>
      </w:pPr>
      <w:r w:rsidRPr="00BE5AE4">
        <w:rPr>
          <w:lang w:val="fr-CA"/>
        </w:rPr>
        <w:t xml:space="preserve">En appui à ces travaux, le GC a commencé à financer des organisations autochtones admissibles dans le cadre du Fonds pour les partenariats avec les Autochtones (FPA), à partir de l’exercice 2023-2024. Le FPA sert à soutenir la consultation continue des peuples autochtones et la coopération avec eux pour la mise en œuvre de la Déclaration des Nations Unies, de </w:t>
      </w:r>
      <w:r w:rsidRPr="005F1762">
        <w:rPr>
          <w:lang w:val="fr-CA"/>
        </w:rPr>
        <w:t>L</w:t>
      </w:r>
      <w:r>
        <w:rPr>
          <w:lang w:val="fr-CA"/>
        </w:rPr>
        <w:t>DNUDPA</w:t>
      </w:r>
      <w:r w:rsidRPr="00BE5AE4">
        <w:rPr>
          <w:lang w:val="fr-CA"/>
        </w:rPr>
        <w:t xml:space="preserve"> et des mesures incluses dans le </w:t>
      </w:r>
      <w:r>
        <w:rPr>
          <w:lang w:val="fr-CA"/>
        </w:rPr>
        <w:t>P</w:t>
      </w:r>
      <w:r w:rsidRPr="00BE5AE4">
        <w:rPr>
          <w:lang w:val="fr-CA"/>
        </w:rPr>
        <w:t xml:space="preserve">lan d’action relatif à cette dernière. </w:t>
      </w:r>
      <w:r w:rsidRPr="00A94CE2">
        <w:rPr>
          <w:lang w:val="fr-CA"/>
        </w:rPr>
        <w:t>Ce genre de consultation vise à apporter un soutien aux groupes marginalisés, en particulier les peuples autochtones, et à remédier aux obstacles systémiques auxquels ils doivent faire face.</w:t>
      </w:r>
    </w:p>
    <w:p w14:paraId="2B412D8F" w14:textId="77777777" w:rsidR="00C83F56" w:rsidRPr="005F1762" w:rsidRDefault="00C83F56" w:rsidP="004F23C1">
      <w:pPr>
        <w:pStyle w:val="SingleTxtG"/>
        <w:numPr>
          <w:ilvl w:val="0"/>
          <w:numId w:val="4"/>
        </w:numPr>
        <w:ind w:left="1134" w:firstLine="0"/>
        <w:rPr>
          <w:lang w:val="fr-CA"/>
        </w:rPr>
      </w:pPr>
      <w:r w:rsidRPr="005F1762">
        <w:rPr>
          <w:lang w:val="fr-CA"/>
        </w:rPr>
        <w:t xml:space="preserve">Le </w:t>
      </w:r>
      <w:r>
        <w:rPr>
          <w:lang w:val="fr-CA"/>
        </w:rPr>
        <w:t>GC</w:t>
      </w:r>
      <w:r w:rsidRPr="005F1762">
        <w:rPr>
          <w:lang w:val="fr-CA"/>
        </w:rPr>
        <w:t xml:space="preserve"> a également travaillé en consultation et en collaboration avec les peuples autochtones afin d'élaborer conjointement des politiques et des stratégies fédérales conformes à la Déclaration des Nations Unies. Le Cadre stratégique pour l'Arctique et le Nord, par exemple, comprend l'objectif « La réconciliation favorise l'</w:t>
      </w:r>
      <w:proofErr w:type="spellStart"/>
      <w:r w:rsidRPr="005F1762">
        <w:rPr>
          <w:lang w:val="fr-CA"/>
        </w:rPr>
        <w:t>autodétermination</w:t>
      </w:r>
      <w:proofErr w:type="spellEnd"/>
      <w:r w:rsidRPr="005F1762">
        <w:rPr>
          <w:lang w:val="fr-CA"/>
        </w:rPr>
        <w:t xml:space="preserve"> et favorise des relations mutuellement respectueuses entre les peuples autochtones et non autochtones</w:t>
      </w:r>
      <w:r>
        <w:rPr>
          <w:lang w:val="fr-CA"/>
        </w:rPr>
        <w:t>.</w:t>
      </w:r>
      <w:r w:rsidRPr="005F1762">
        <w:rPr>
          <w:lang w:val="fr-CA"/>
        </w:rPr>
        <w:t xml:space="preserve"> » D'autres objectifs du Cadre portent sur des domaines tels que </w:t>
      </w:r>
      <w:r>
        <w:rPr>
          <w:lang w:val="fr-CA"/>
        </w:rPr>
        <w:t xml:space="preserve">les systèmes de langues et se savoirs, </w:t>
      </w:r>
      <w:r w:rsidRPr="005F1762">
        <w:rPr>
          <w:lang w:val="fr-CA"/>
        </w:rPr>
        <w:t xml:space="preserve">le logement, l'éducation et la sécurité communautaire (y compris un objectif précis visant à « </w:t>
      </w:r>
      <w:r>
        <w:rPr>
          <w:lang w:val="fr-CA"/>
        </w:rPr>
        <w:t>lutter contre les</w:t>
      </w:r>
      <w:r w:rsidRPr="005F1762">
        <w:rPr>
          <w:lang w:val="fr-CA"/>
        </w:rPr>
        <w:t xml:space="preserve"> causes systémiques de toutes les formes de violence faite aux femmes et aux filles autochtones »).</w:t>
      </w:r>
    </w:p>
    <w:p w14:paraId="7E7DA3A2" w14:textId="77777777" w:rsidR="00C83F56" w:rsidRDefault="00C83F56" w:rsidP="004F23C1">
      <w:pPr>
        <w:pStyle w:val="SingleTxtG"/>
        <w:numPr>
          <w:ilvl w:val="0"/>
          <w:numId w:val="4"/>
        </w:numPr>
        <w:ind w:left="1134" w:firstLine="0"/>
        <w:rPr>
          <w:lang w:val="fr-CA"/>
        </w:rPr>
      </w:pPr>
      <w:bookmarkStart w:id="118" w:name="lt_pId245"/>
      <w:r w:rsidRPr="00091211">
        <w:rPr>
          <w:lang w:val="fr-CA"/>
        </w:rPr>
        <w:t>Ces efforts s</w:t>
      </w:r>
      <w:r>
        <w:rPr>
          <w:lang w:val="fr-CA"/>
        </w:rPr>
        <w:t>’</w:t>
      </w:r>
      <w:r w:rsidRPr="00091211">
        <w:rPr>
          <w:lang w:val="fr-CA"/>
        </w:rPr>
        <w:t>inscrivent dans le cadre du programme global de réconciliation au Canada et s</w:t>
      </w:r>
      <w:r>
        <w:rPr>
          <w:lang w:val="fr-CA"/>
        </w:rPr>
        <w:t>’</w:t>
      </w:r>
      <w:r w:rsidRPr="00091211">
        <w:rPr>
          <w:lang w:val="fr-CA"/>
        </w:rPr>
        <w:t>alignent sur d</w:t>
      </w:r>
      <w:r>
        <w:rPr>
          <w:lang w:val="fr-CA"/>
        </w:rPr>
        <w:t>’</w:t>
      </w:r>
      <w:r w:rsidRPr="00091211">
        <w:rPr>
          <w:lang w:val="fr-CA"/>
        </w:rPr>
        <w:t xml:space="preserve">autres stratégies et plans fédéraux, </w:t>
      </w:r>
      <w:r w:rsidRPr="00687F5A">
        <w:rPr>
          <w:lang w:val="fr-CA"/>
        </w:rPr>
        <w:t>notamment la Stratégie contre la violence fondée sur le sexe,</w:t>
      </w:r>
      <w:r w:rsidRPr="00091211">
        <w:rPr>
          <w:lang w:val="fr-CA"/>
        </w:rPr>
        <w:t xml:space="preserve"> le Plan d</w:t>
      </w:r>
      <w:r>
        <w:rPr>
          <w:lang w:val="fr-CA"/>
        </w:rPr>
        <w:t>’</w:t>
      </w:r>
      <w:r w:rsidRPr="00091211">
        <w:rPr>
          <w:lang w:val="fr-CA"/>
        </w:rPr>
        <w:t xml:space="preserve">action fédéral </w:t>
      </w:r>
      <w:r w:rsidRPr="00FF0C4E">
        <w:rPr>
          <w:lang w:val="fr-CA"/>
        </w:rPr>
        <w:t xml:space="preserve">relatif aux personnes aux deux esprits, lesbiennes, gaies, bisexuelles, transgenres, queers, </w:t>
      </w:r>
      <w:proofErr w:type="spellStart"/>
      <w:r w:rsidRPr="00FF0C4E">
        <w:rPr>
          <w:lang w:val="fr-CA"/>
        </w:rPr>
        <w:t>intersexes</w:t>
      </w:r>
      <w:proofErr w:type="spellEnd"/>
      <w:r w:rsidRPr="00FF0C4E">
        <w:rPr>
          <w:lang w:val="fr-CA"/>
        </w:rPr>
        <w:t xml:space="preserve"> et autres individus de la diversité sexuelle et de genre </w:t>
      </w:r>
      <w:r>
        <w:rPr>
          <w:lang w:val="fr-CA"/>
        </w:rPr>
        <w:t>(</w:t>
      </w:r>
      <w:r w:rsidRPr="00091211">
        <w:rPr>
          <w:lang w:val="fr-CA"/>
        </w:rPr>
        <w:t>2ELGBTQI+</w:t>
      </w:r>
      <w:r>
        <w:rPr>
          <w:lang w:val="fr-CA"/>
        </w:rPr>
        <w:t>)</w:t>
      </w:r>
      <w:r w:rsidRPr="00091211">
        <w:rPr>
          <w:lang w:val="fr-CA"/>
        </w:rPr>
        <w:t xml:space="preserve">, la Stratégie canadienne de lutte contre le racisme, la Stratégie en matière de justice autochtone, </w:t>
      </w:r>
      <w:r w:rsidRPr="00B503AC">
        <w:rPr>
          <w:lang w:val="fr-CA"/>
        </w:rPr>
        <w:t>le Plan national d</w:t>
      </w:r>
      <w:r>
        <w:rPr>
          <w:lang w:val="fr-CA"/>
        </w:rPr>
        <w:t>’</w:t>
      </w:r>
      <w:r w:rsidRPr="00B503AC">
        <w:rPr>
          <w:lang w:val="fr-CA"/>
        </w:rPr>
        <w:t>action consacré aux femmes, à la paix et à la sécurité, et</w:t>
      </w:r>
      <w:r w:rsidRPr="00091211">
        <w:rPr>
          <w:lang w:val="fr-CA"/>
        </w:rPr>
        <w:t xml:space="preserve"> la mise en œuvre globale de la Déclaration des Nations Unies.</w:t>
      </w:r>
      <w:bookmarkEnd w:id="118"/>
    </w:p>
    <w:p w14:paraId="34FB7224" w14:textId="77777777" w:rsidR="00C83F56" w:rsidRPr="00A7517B" w:rsidRDefault="00C83F56" w:rsidP="004F23C1">
      <w:pPr>
        <w:pStyle w:val="SingleTxtG"/>
        <w:numPr>
          <w:ilvl w:val="0"/>
          <w:numId w:val="4"/>
        </w:numPr>
        <w:ind w:left="1134" w:firstLine="0"/>
        <w:rPr>
          <w:lang w:val="fr-CA"/>
        </w:rPr>
      </w:pPr>
      <w:r w:rsidRPr="00A075CC">
        <w:rPr>
          <w:lang w:val="fr-CA"/>
        </w:rPr>
        <w:t>Services</w:t>
      </w:r>
      <w:r>
        <w:rPr>
          <w:lang w:val="fr-CA"/>
        </w:rPr>
        <w:t xml:space="preserve"> aux</w:t>
      </w:r>
      <w:r w:rsidRPr="00A075CC">
        <w:rPr>
          <w:lang w:val="fr-CA"/>
        </w:rPr>
        <w:t xml:space="preserve"> </w:t>
      </w:r>
      <w:r>
        <w:rPr>
          <w:lang w:val="fr-CA"/>
        </w:rPr>
        <w:t>A</w:t>
      </w:r>
      <w:r w:rsidRPr="00A075CC">
        <w:rPr>
          <w:lang w:val="fr-CA"/>
        </w:rPr>
        <w:t xml:space="preserve">utochtones Canada </w:t>
      </w:r>
      <w:r>
        <w:rPr>
          <w:lang w:val="fr-CA"/>
        </w:rPr>
        <w:t xml:space="preserve">(SAC) </w:t>
      </w:r>
      <w:r w:rsidRPr="00A075CC">
        <w:rPr>
          <w:lang w:val="fr-CA"/>
        </w:rPr>
        <w:t xml:space="preserve">collabore avec les communautés, groupes, instances dirigeantes autochtones et leurs représentants pour soutenir et </w:t>
      </w:r>
      <w:r>
        <w:rPr>
          <w:lang w:val="fr-CA"/>
        </w:rPr>
        <w:t>renforcer l’</w:t>
      </w:r>
      <w:r w:rsidRPr="00A075CC">
        <w:rPr>
          <w:lang w:val="fr-CA"/>
        </w:rPr>
        <w:t>autonomi</w:t>
      </w:r>
      <w:r>
        <w:rPr>
          <w:lang w:val="fr-CA"/>
        </w:rPr>
        <w:t>e</w:t>
      </w:r>
      <w:r w:rsidRPr="00A075CC">
        <w:rPr>
          <w:lang w:val="fr-CA"/>
        </w:rPr>
        <w:t xml:space="preserve"> des Premières Nations, </w:t>
      </w:r>
      <w:r>
        <w:rPr>
          <w:lang w:val="fr-CA"/>
        </w:rPr>
        <w:t>des I</w:t>
      </w:r>
      <w:r w:rsidRPr="00A075CC">
        <w:rPr>
          <w:lang w:val="fr-CA"/>
        </w:rPr>
        <w:t xml:space="preserve">nuits et </w:t>
      </w:r>
      <w:r>
        <w:rPr>
          <w:lang w:val="fr-CA"/>
        </w:rPr>
        <w:t>des M</w:t>
      </w:r>
      <w:r w:rsidRPr="00A075CC">
        <w:rPr>
          <w:lang w:val="fr-CA"/>
        </w:rPr>
        <w:t xml:space="preserve">étis </w:t>
      </w:r>
      <w:r>
        <w:rPr>
          <w:lang w:val="fr-CA"/>
        </w:rPr>
        <w:t xml:space="preserve">dans la conception et la prestation de </w:t>
      </w:r>
      <w:r w:rsidRPr="00A075CC">
        <w:rPr>
          <w:lang w:val="fr-CA"/>
        </w:rPr>
        <w:t xml:space="preserve">services </w:t>
      </w:r>
      <w:r>
        <w:rPr>
          <w:lang w:val="fr-CA"/>
        </w:rPr>
        <w:t xml:space="preserve">adaptés à leurs réalités </w:t>
      </w:r>
      <w:r w:rsidRPr="00A075CC">
        <w:rPr>
          <w:lang w:val="fr-CA"/>
        </w:rPr>
        <w:t xml:space="preserve">socio-économiques. Par exemple, </w:t>
      </w:r>
      <w:r w:rsidRPr="005C0682">
        <w:rPr>
          <w:lang w:val="fr-CA"/>
        </w:rPr>
        <w:t>la</w:t>
      </w:r>
      <w:r w:rsidRPr="0096749B">
        <w:rPr>
          <w:i/>
          <w:iCs/>
          <w:lang w:val="fr-CA"/>
        </w:rPr>
        <w:t xml:space="preserve"> Loi concernant les enfants, les jeunes et les familles des Premières Nations, des Inuits et des Métis</w:t>
      </w:r>
      <w:r w:rsidRPr="00A075CC">
        <w:rPr>
          <w:lang w:val="fr-CA"/>
        </w:rPr>
        <w:t xml:space="preserve"> affirme que le droit inhérent à l’autonomie gouvernementale inclut la compétence en matière de services à l’enfance et à la famille, ainsi que </w:t>
      </w:r>
      <w:r>
        <w:rPr>
          <w:lang w:val="fr-CA"/>
        </w:rPr>
        <w:t xml:space="preserve">le pouvoir d’adopter, d’administrer et d’appliquer leurs propres lois dans ce domaine. </w:t>
      </w:r>
      <w:r w:rsidRPr="00A075CC">
        <w:rPr>
          <w:lang w:val="fr-CA"/>
        </w:rPr>
        <w:t xml:space="preserve">En </w:t>
      </w:r>
      <w:r>
        <w:rPr>
          <w:lang w:val="fr-CA"/>
        </w:rPr>
        <w:t xml:space="preserve">date de </w:t>
      </w:r>
      <w:r w:rsidRPr="00A075CC">
        <w:rPr>
          <w:lang w:val="fr-CA"/>
        </w:rPr>
        <w:t xml:space="preserve">2025, 419 communautés ou groupes autochtones (370 Premières Nations, 20 Inuits, </w:t>
      </w:r>
      <w:r>
        <w:rPr>
          <w:lang w:val="fr-CA"/>
        </w:rPr>
        <w:t>trois</w:t>
      </w:r>
      <w:r w:rsidRPr="00A075CC">
        <w:rPr>
          <w:lang w:val="fr-CA"/>
        </w:rPr>
        <w:t xml:space="preserve"> Métis et 26 de distinctions multiples) </w:t>
      </w:r>
      <w:r>
        <w:rPr>
          <w:lang w:val="fr-CA"/>
        </w:rPr>
        <w:t>avaient</w:t>
      </w:r>
      <w:r w:rsidRPr="00A075CC">
        <w:rPr>
          <w:lang w:val="fr-CA"/>
        </w:rPr>
        <w:t xml:space="preserve"> manifesté leur</w:t>
      </w:r>
      <w:r>
        <w:rPr>
          <w:lang w:val="fr-CA"/>
        </w:rPr>
        <w:t xml:space="preserve"> intention d’exercer </w:t>
      </w:r>
      <w:r w:rsidRPr="00A075CC">
        <w:rPr>
          <w:lang w:val="fr-CA"/>
        </w:rPr>
        <w:t>leur compétence dans le cadre de la Loi</w:t>
      </w:r>
      <w:r>
        <w:rPr>
          <w:lang w:val="fr-CA"/>
        </w:rPr>
        <w:t>, notamment par le financement du</w:t>
      </w:r>
      <w:r w:rsidRPr="00A075CC">
        <w:rPr>
          <w:lang w:val="fr-CA"/>
        </w:rPr>
        <w:t xml:space="preserve"> renforcement des capacités,</w:t>
      </w:r>
      <w:r>
        <w:rPr>
          <w:lang w:val="fr-CA"/>
        </w:rPr>
        <w:t xml:space="preserve"> la transmission d’</w:t>
      </w:r>
      <w:r w:rsidRPr="00A075CC">
        <w:rPr>
          <w:lang w:val="fr-CA"/>
        </w:rPr>
        <w:t>avis d’intention</w:t>
      </w:r>
      <w:r>
        <w:rPr>
          <w:lang w:val="fr-CA"/>
        </w:rPr>
        <w:t>, la négociation ou la conclusion d’ententes de coordination.</w:t>
      </w:r>
      <w:r w:rsidRPr="00A075CC">
        <w:rPr>
          <w:lang w:val="fr-CA"/>
        </w:rPr>
        <w:t xml:space="preserve"> </w:t>
      </w:r>
    </w:p>
    <w:p w14:paraId="2D56A552" w14:textId="3F2048A9" w:rsidR="00C83F56" w:rsidRPr="00A7517B" w:rsidRDefault="00647AF1" w:rsidP="00647AF1">
      <w:pPr>
        <w:pStyle w:val="H1G"/>
        <w:rPr>
          <w:lang w:val="fr-CA"/>
        </w:rPr>
      </w:pPr>
      <w:bookmarkStart w:id="119" w:name="lt_pId246"/>
      <w:r>
        <w:rPr>
          <w:lang w:val="fr-CA"/>
        </w:rPr>
        <w:tab/>
      </w:r>
      <w:r>
        <w:rPr>
          <w:lang w:val="fr-CA"/>
        </w:rPr>
        <w:tab/>
      </w:r>
      <w:r w:rsidR="00C83F56" w:rsidRPr="00DA5F2B">
        <w:rPr>
          <w:lang w:val="fr-CA"/>
        </w:rPr>
        <w:t xml:space="preserve">Violence </w:t>
      </w:r>
      <w:r w:rsidR="00C83F56">
        <w:rPr>
          <w:lang w:val="fr-CA"/>
        </w:rPr>
        <w:t>à l’égard des</w:t>
      </w:r>
      <w:r w:rsidR="00C83F56" w:rsidRPr="00DA5F2B">
        <w:rPr>
          <w:lang w:val="fr-CA"/>
        </w:rPr>
        <w:t xml:space="preserve"> femmes et aux filles autochtones</w:t>
      </w:r>
      <w:bookmarkEnd w:id="119"/>
    </w:p>
    <w:p w14:paraId="7011173F" w14:textId="77777777" w:rsidR="00C83F56" w:rsidRPr="00A7517B" w:rsidRDefault="00C83F56" w:rsidP="004F23C1">
      <w:pPr>
        <w:pStyle w:val="SingleTxtG"/>
        <w:numPr>
          <w:ilvl w:val="0"/>
          <w:numId w:val="4"/>
        </w:numPr>
        <w:ind w:left="1134" w:firstLine="0"/>
        <w:rPr>
          <w:lang w:val="fr-CA"/>
        </w:rPr>
      </w:pPr>
      <w:bookmarkStart w:id="120" w:name="lt_pId247"/>
      <w:r w:rsidRPr="00F00961">
        <w:rPr>
          <w:lang w:val="fr-CA"/>
        </w:rPr>
        <w:t>Le Canada continue d</w:t>
      </w:r>
      <w:r>
        <w:rPr>
          <w:lang w:val="fr-CA"/>
        </w:rPr>
        <w:t>’</w:t>
      </w:r>
      <w:r w:rsidRPr="00F00961">
        <w:rPr>
          <w:lang w:val="fr-CA"/>
        </w:rPr>
        <w:t xml:space="preserve">entreprendre des initiatives pour lutter </w:t>
      </w:r>
      <w:r w:rsidRPr="000017A0">
        <w:rPr>
          <w:lang w:val="fr-CA"/>
        </w:rPr>
        <w:t>contre la violence faite aux femmes et aux filles autochtones,</w:t>
      </w:r>
      <w:r>
        <w:rPr>
          <w:lang w:val="fr-CA"/>
        </w:rPr>
        <w:t xml:space="preserve"> notamment l’</w:t>
      </w:r>
      <w:r w:rsidRPr="00555CCC">
        <w:rPr>
          <w:lang w:val="fr-CA"/>
        </w:rPr>
        <w:t>Enquête nationale sur les femmes et les filles autochtones disparues et assassinées</w:t>
      </w:r>
      <w:r w:rsidRPr="000017A0">
        <w:rPr>
          <w:lang w:val="fr-CA"/>
        </w:rPr>
        <w:t xml:space="preserve"> (FFADA), </w:t>
      </w:r>
      <w:r>
        <w:rPr>
          <w:lang w:val="fr-CA"/>
        </w:rPr>
        <w:t>le</w:t>
      </w:r>
      <w:r w:rsidRPr="000017A0">
        <w:rPr>
          <w:lang w:val="fr-CA"/>
        </w:rPr>
        <w:t xml:space="preserve"> </w:t>
      </w:r>
      <w:r>
        <w:rPr>
          <w:lang w:val="fr-CA"/>
        </w:rPr>
        <w:t>P</w:t>
      </w:r>
      <w:r w:rsidRPr="000017A0">
        <w:rPr>
          <w:lang w:val="fr-CA"/>
        </w:rPr>
        <w:t>lan d</w:t>
      </w:r>
      <w:r>
        <w:rPr>
          <w:lang w:val="fr-CA"/>
        </w:rPr>
        <w:t>’</w:t>
      </w:r>
      <w:r w:rsidRPr="000017A0">
        <w:rPr>
          <w:lang w:val="fr-CA"/>
        </w:rPr>
        <w:t xml:space="preserve">action national et </w:t>
      </w:r>
      <w:r>
        <w:rPr>
          <w:lang w:val="fr-CA"/>
        </w:rPr>
        <w:t>la V</w:t>
      </w:r>
      <w:r w:rsidRPr="000017A0">
        <w:rPr>
          <w:lang w:val="fr-CA"/>
        </w:rPr>
        <w:t>oie fédérale connexe</w:t>
      </w:r>
      <w:r w:rsidRPr="00F00961">
        <w:rPr>
          <w:lang w:val="fr-CA"/>
        </w:rPr>
        <w:t>.</w:t>
      </w:r>
      <w:bookmarkEnd w:id="120"/>
    </w:p>
    <w:p w14:paraId="5AB5D1A2" w14:textId="10D2E441" w:rsidR="00C83F56" w:rsidRPr="00A7517B" w:rsidRDefault="00647AF1" w:rsidP="00647AF1">
      <w:pPr>
        <w:pStyle w:val="H23G"/>
        <w:rPr>
          <w:lang w:val="fr-CA"/>
        </w:rPr>
      </w:pPr>
      <w:bookmarkStart w:id="121" w:name="lt_pId248"/>
      <w:r>
        <w:rPr>
          <w:lang w:val="fr-CA"/>
        </w:rPr>
        <w:tab/>
      </w:r>
      <w:r>
        <w:rPr>
          <w:lang w:val="fr-CA"/>
        </w:rPr>
        <w:tab/>
      </w:r>
      <w:r w:rsidR="00C83F56" w:rsidRPr="00920C05">
        <w:rPr>
          <w:lang w:val="fr-CA"/>
        </w:rPr>
        <w:t>Plan d</w:t>
      </w:r>
      <w:r w:rsidR="00C83F56">
        <w:rPr>
          <w:lang w:val="fr-CA"/>
        </w:rPr>
        <w:t>’</w:t>
      </w:r>
      <w:r w:rsidR="00C83F56" w:rsidRPr="00920C05">
        <w:rPr>
          <w:lang w:val="fr-CA"/>
        </w:rPr>
        <w:t>action national et voie fédérale à l</w:t>
      </w:r>
      <w:r w:rsidR="00C83F56">
        <w:rPr>
          <w:lang w:val="fr-CA"/>
        </w:rPr>
        <w:t>’</w:t>
      </w:r>
      <w:r w:rsidR="00C83F56" w:rsidRPr="00920C05">
        <w:rPr>
          <w:lang w:val="fr-CA"/>
        </w:rPr>
        <w:t xml:space="preserve">égard des </w:t>
      </w:r>
      <w:bookmarkEnd w:id="121"/>
      <w:r w:rsidR="00C83F56" w:rsidRPr="00920C05">
        <w:rPr>
          <w:lang w:val="fr-CA"/>
        </w:rPr>
        <w:t>FFADA</w:t>
      </w:r>
    </w:p>
    <w:p w14:paraId="0C381689" w14:textId="77777777" w:rsidR="00C83F56" w:rsidRPr="00A7517B" w:rsidRDefault="00C83F56" w:rsidP="004F23C1">
      <w:pPr>
        <w:pStyle w:val="SingleTxtG"/>
        <w:numPr>
          <w:ilvl w:val="0"/>
          <w:numId w:val="4"/>
        </w:numPr>
        <w:ind w:left="1134" w:firstLine="0"/>
        <w:rPr>
          <w:lang w:val="fr-CA"/>
        </w:rPr>
      </w:pPr>
      <w:bookmarkStart w:id="122" w:name="lt_pId249"/>
      <w:r w:rsidRPr="00DB3B25">
        <w:rPr>
          <w:lang w:val="fr-CA"/>
        </w:rPr>
        <w:t>Le 1</w:t>
      </w:r>
      <w:r w:rsidRPr="00DB3B25">
        <w:rPr>
          <w:vertAlign w:val="superscript"/>
          <w:lang w:val="fr-CA"/>
        </w:rPr>
        <w:t>er</w:t>
      </w:r>
      <w:r>
        <w:rPr>
          <w:lang w:val="fr-CA"/>
        </w:rPr>
        <w:t> </w:t>
      </w:r>
      <w:r w:rsidRPr="00DB3B25">
        <w:rPr>
          <w:lang w:val="fr-CA"/>
        </w:rPr>
        <w:t>septembre</w:t>
      </w:r>
      <w:r>
        <w:rPr>
          <w:lang w:val="fr-CA"/>
        </w:rPr>
        <w:t> </w:t>
      </w:r>
      <w:r w:rsidRPr="00DB3B25">
        <w:rPr>
          <w:lang w:val="fr-CA"/>
        </w:rPr>
        <w:t xml:space="preserve">2016, le </w:t>
      </w:r>
      <w:r>
        <w:rPr>
          <w:lang w:val="fr-CA"/>
        </w:rPr>
        <w:t>GC</w:t>
      </w:r>
      <w:r w:rsidRPr="00DB3B25">
        <w:rPr>
          <w:lang w:val="fr-CA"/>
        </w:rPr>
        <w:t xml:space="preserve"> a lancé l</w:t>
      </w:r>
      <w:r>
        <w:rPr>
          <w:lang w:val="fr-CA"/>
        </w:rPr>
        <w:t>’</w:t>
      </w:r>
      <w:r w:rsidRPr="00DB3B25">
        <w:rPr>
          <w:lang w:val="fr-CA"/>
        </w:rPr>
        <w:t>Enquête nationale sur les FFADA (Enquête nationale), afin d</w:t>
      </w:r>
      <w:r>
        <w:rPr>
          <w:lang w:val="fr-CA"/>
        </w:rPr>
        <w:t>’</w:t>
      </w:r>
      <w:r w:rsidRPr="00DB3B25">
        <w:rPr>
          <w:lang w:val="fr-CA"/>
        </w:rPr>
        <w:t xml:space="preserve">enquêter et de rendre compte des causes systémiques de la violence que subissent les femmes, les filles et les </w:t>
      </w:r>
      <w:r w:rsidRPr="00902EB5">
        <w:rPr>
          <w:lang w:val="fr-CA"/>
        </w:rPr>
        <w:t>personnes 2ELGBTQI+ autochtones</w:t>
      </w:r>
      <w:r w:rsidRPr="00DB3B25">
        <w:rPr>
          <w:lang w:val="fr-CA"/>
        </w:rPr>
        <w:t>.</w:t>
      </w:r>
      <w:bookmarkEnd w:id="122"/>
      <w:r w:rsidRPr="00A7517B">
        <w:rPr>
          <w:lang w:val="fr-CA"/>
        </w:rPr>
        <w:t xml:space="preserve"> </w:t>
      </w:r>
      <w:bookmarkStart w:id="123" w:name="lt_pId250"/>
      <w:r>
        <w:rPr>
          <w:lang w:val="fr-CA"/>
        </w:rPr>
        <w:t>Un rapport provisoire a été présenté en 2017 et, après une prolongation d’un an, le rapport final a été rendu public en 2019, recensant 231 appels à la justice adressés à divers ordres de gouvernement et d’organisations au Canada.</w:t>
      </w:r>
      <w:bookmarkEnd w:id="123"/>
    </w:p>
    <w:p w14:paraId="5EC541B6" w14:textId="77777777" w:rsidR="00C83F56" w:rsidRPr="00A7517B" w:rsidRDefault="00C83F56" w:rsidP="004F23C1">
      <w:pPr>
        <w:pStyle w:val="SingleTxtG"/>
        <w:numPr>
          <w:ilvl w:val="0"/>
          <w:numId w:val="4"/>
        </w:numPr>
        <w:ind w:left="1134" w:firstLine="0"/>
        <w:rPr>
          <w:lang w:val="fr-CA"/>
        </w:rPr>
      </w:pPr>
      <w:bookmarkStart w:id="124" w:name="lt_pId251"/>
      <w:r w:rsidRPr="00303442">
        <w:rPr>
          <w:lang w:val="fr-CA"/>
        </w:rPr>
        <w:t>Appel à la justice 1.1. demande à tous</w:t>
      </w:r>
      <w:r>
        <w:rPr>
          <w:lang w:val="fr-CA"/>
        </w:rPr>
        <w:t xml:space="preserve"> les gouvernements d’élaborer et de mettre en œuvre un Plan d’action national pour lutter contre la violence faite aux femmes, aux filles et aux personnes </w:t>
      </w:r>
      <w:r w:rsidRPr="00E42073">
        <w:rPr>
          <w:lang w:val="fr-CA"/>
        </w:rPr>
        <w:t xml:space="preserve">2ELGBTQI+ </w:t>
      </w:r>
      <w:r>
        <w:rPr>
          <w:lang w:val="fr-CA"/>
        </w:rPr>
        <w:t>autochtones.</w:t>
      </w:r>
      <w:bookmarkEnd w:id="124"/>
      <w:r w:rsidRPr="00A7517B">
        <w:rPr>
          <w:lang w:val="fr-CA"/>
        </w:rPr>
        <w:t xml:space="preserve"> </w:t>
      </w:r>
      <w:bookmarkStart w:id="125" w:name="lt_pId252"/>
      <w:r>
        <w:rPr>
          <w:lang w:val="fr-CA"/>
        </w:rPr>
        <w:t>Après avoir reçu le rapport final, le GC s’est engagé à élaborer et à mettre en œuvre un plan d’action national, en collaboration avec les partenaires autochtones et les PT.</w:t>
      </w:r>
      <w:bookmarkEnd w:id="125"/>
    </w:p>
    <w:p w14:paraId="5076C8F2" w14:textId="77777777" w:rsidR="00C83F56" w:rsidRPr="00A7517B" w:rsidRDefault="00C83F56" w:rsidP="004F23C1">
      <w:pPr>
        <w:pStyle w:val="SingleTxtG"/>
        <w:numPr>
          <w:ilvl w:val="0"/>
          <w:numId w:val="4"/>
        </w:numPr>
        <w:ind w:left="1134" w:firstLine="0"/>
        <w:rPr>
          <w:lang w:val="fr-CA"/>
        </w:rPr>
      </w:pPr>
      <w:bookmarkStart w:id="126" w:name="lt_pId253"/>
      <w:r w:rsidRPr="00C92DAE">
        <w:rPr>
          <w:lang w:val="fr-CA"/>
        </w:rPr>
        <w:t>Une structure dirigée par des Autochtones, dont plus de 100</w:t>
      </w:r>
      <w:r>
        <w:rPr>
          <w:lang w:val="fr-CA"/>
        </w:rPr>
        <w:t> </w:t>
      </w:r>
      <w:r w:rsidRPr="00C92DAE">
        <w:rPr>
          <w:lang w:val="fr-CA"/>
        </w:rPr>
        <w:t>femmes et partenaires</w:t>
      </w:r>
      <w:r>
        <w:rPr>
          <w:lang w:val="fr-CA"/>
        </w:rPr>
        <w:t> </w:t>
      </w:r>
      <w:r w:rsidRPr="00E42073">
        <w:rPr>
          <w:lang w:val="fr-CA"/>
        </w:rPr>
        <w:t>2ELGBTQI+</w:t>
      </w:r>
      <w:r w:rsidRPr="00C92DAE">
        <w:rPr>
          <w:lang w:val="fr-CA"/>
        </w:rPr>
        <w:t xml:space="preserve">, a été mise en place pour élaborer le </w:t>
      </w:r>
      <w:r>
        <w:rPr>
          <w:lang w:val="fr-CA"/>
        </w:rPr>
        <w:t>P</w:t>
      </w:r>
      <w:r w:rsidRPr="00C92DAE">
        <w:rPr>
          <w:lang w:val="fr-CA"/>
        </w:rPr>
        <w:t>lan d</w:t>
      </w:r>
      <w:r>
        <w:rPr>
          <w:lang w:val="fr-CA"/>
        </w:rPr>
        <w:t>’</w:t>
      </w:r>
      <w:r w:rsidRPr="00C92DAE">
        <w:rPr>
          <w:lang w:val="fr-CA"/>
        </w:rPr>
        <w:t>action national.</w:t>
      </w:r>
      <w:bookmarkEnd w:id="126"/>
      <w:r w:rsidRPr="00A7517B">
        <w:rPr>
          <w:lang w:val="fr-CA"/>
        </w:rPr>
        <w:t xml:space="preserve"> </w:t>
      </w:r>
      <w:r w:rsidRPr="008A3347">
        <w:rPr>
          <w:lang w:val="fr-CA"/>
        </w:rPr>
        <w:t xml:space="preserve">Elle comprenait un groupe de travail central, le Cercle national des familles et des survivantes </w:t>
      </w:r>
      <w:r>
        <w:rPr>
          <w:lang w:val="fr-CA"/>
        </w:rPr>
        <w:t>-</w:t>
      </w:r>
      <w:r w:rsidRPr="008A3347">
        <w:rPr>
          <w:lang w:val="fr-CA"/>
        </w:rPr>
        <w:t xml:space="preserve"> un regroupement de femmes membres de familles et survivantes de FFADA </w:t>
      </w:r>
      <w:r>
        <w:rPr>
          <w:lang w:val="fr-CA"/>
        </w:rPr>
        <w:t>-</w:t>
      </w:r>
      <w:r w:rsidRPr="008A3347">
        <w:rPr>
          <w:lang w:val="fr-CA"/>
        </w:rPr>
        <w:t xml:space="preserve"> ainsi que huit sous-groupes de travail : Premières Nations, Inuit, Métis, 2ELGBTQI+, milieu urbain, données, </w:t>
      </w:r>
      <w:r>
        <w:rPr>
          <w:lang w:val="fr-CA"/>
        </w:rPr>
        <w:t xml:space="preserve">PT </w:t>
      </w:r>
      <w:r w:rsidRPr="008A3347">
        <w:rPr>
          <w:lang w:val="fr-CA"/>
        </w:rPr>
        <w:t>et fédéra</w:t>
      </w:r>
      <w:r>
        <w:rPr>
          <w:lang w:val="fr-CA"/>
        </w:rPr>
        <w:t>l</w:t>
      </w:r>
      <w:r w:rsidRPr="008A3347">
        <w:rPr>
          <w:lang w:val="fr-CA"/>
        </w:rPr>
        <w:t>.</w:t>
      </w:r>
    </w:p>
    <w:p w14:paraId="7807BFFB" w14:textId="77777777" w:rsidR="00C83F56" w:rsidRPr="00A11EDF" w:rsidRDefault="00C83F56" w:rsidP="004F23C1">
      <w:pPr>
        <w:pStyle w:val="SingleTxtG"/>
        <w:numPr>
          <w:ilvl w:val="0"/>
          <w:numId w:val="4"/>
        </w:numPr>
        <w:ind w:left="1134" w:firstLine="0"/>
        <w:rPr>
          <w:iCs/>
          <w:lang w:val="fr-CA"/>
        </w:rPr>
      </w:pPr>
      <w:bookmarkStart w:id="127" w:name="lt_pId255"/>
      <w:r>
        <w:rPr>
          <w:lang w:val="fr-CA"/>
        </w:rPr>
        <w:t>En</w:t>
      </w:r>
      <w:r w:rsidRPr="00136AE8">
        <w:rPr>
          <w:lang w:val="fr-CA"/>
        </w:rPr>
        <w:t xml:space="preserve"> 2021, le </w:t>
      </w:r>
      <w:r>
        <w:rPr>
          <w:lang w:val="fr-CA"/>
        </w:rPr>
        <w:t>GC</w:t>
      </w:r>
      <w:r w:rsidRPr="00136AE8">
        <w:rPr>
          <w:lang w:val="fr-CA"/>
        </w:rPr>
        <w:t>, en collaboration avec des partenaires et des organisations autochton</w:t>
      </w:r>
      <w:r>
        <w:rPr>
          <w:lang w:val="fr-CA"/>
        </w:rPr>
        <w:t>es, des familles, des survivante</w:t>
      </w:r>
      <w:r w:rsidRPr="00136AE8">
        <w:rPr>
          <w:lang w:val="fr-CA"/>
        </w:rPr>
        <w:t>s</w:t>
      </w:r>
      <w:r>
        <w:rPr>
          <w:lang w:val="fr-CA"/>
        </w:rPr>
        <w:t xml:space="preserve"> et des gouvernements PT,</w:t>
      </w:r>
      <w:r w:rsidRPr="00136AE8">
        <w:rPr>
          <w:lang w:val="fr-CA"/>
        </w:rPr>
        <w:t xml:space="preserve"> a lancé le </w:t>
      </w:r>
      <w:r w:rsidRPr="00B71D95">
        <w:rPr>
          <w:iCs/>
          <w:lang w:val="fr-CA"/>
        </w:rPr>
        <w:t>Plan d’action national 2021 pour les femmes, les filles et les personnes </w:t>
      </w:r>
      <w:r w:rsidRPr="00A11EDF">
        <w:rPr>
          <w:iCs/>
          <w:lang w:val="fr-CA"/>
        </w:rPr>
        <w:t>deux esprits, lesbiennes, gaies,</w:t>
      </w:r>
      <w:r>
        <w:rPr>
          <w:iCs/>
          <w:lang w:val="fr-CA"/>
        </w:rPr>
        <w:t xml:space="preserve"> </w:t>
      </w:r>
      <w:r w:rsidRPr="00A11EDF">
        <w:rPr>
          <w:iCs/>
          <w:lang w:val="fr-CA"/>
        </w:rPr>
        <w:t xml:space="preserve">bisexuelles, transgenres, queers, en questionnement, </w:t>
      </w:r>
      <w:proofErr w:type="spellStart"/>
      <w:r w:rsidRPr="00A11EDF">
        <w:rPr>
          <w:iCs/>
          <w:lang w:val="fr-CA"/>
        </w:rPr>
        <w:t>intersexes</w:t>
      </w:r>
      <w:proofErr w:type="spellEnd"/>
      <w:r w:rsidRPr="00A11EDF">
        <w:rPr>
          <w:iCs/>
          <w:lang w:val="fr-CA"/>
        </w:rPr>
        <w:t xml:space="preserve"> et asexuelles</w:t>
      </w:r>
      <w:r>
        <w:rPr>
          <w:iCs/>
          <w:lang w:val="fr-CA"/>
        </w:rPr>
        <w:t xml:space="preserve"> </w:t>
      </w:r>
      <w:r w:rsidRPr="00A11EDF">
        <w:rPr>
          <w:iCs/>
          <w:lang w:val="fr-CA"/>
        </w:rPr>
        <w:t>plus</w:t>
      </w:r>
      <w:r>
        <w:rPr>
          <w:iCs/>
          <w:lang w:val="fr-CA"/>
        </w:rPr>
        <w:t xml:space="preserve"> (</w:t>
      </w:r>
      <w:r w:rsidRPr="00A11EDF">
        <w:rPr>
          <w:iCs/>
          <w:lang w:val="fr-CA"/>
        </w:rPr>
        <w:t>2ELGBTQQIA+</w:t>
      </w:r>
      <w:r>
        <w:rPr>
          <w:iCs/>
          <w:lang w:val="fr-CA"/>
        </w:rPr>
        <w:t>)</w:t>
      </w:r>
      <w:r w:rsidRPr="00A11EDF">
        <w:rPr>
          <w:iCs/>
          <w:lang w:val="fr-CA"/>
        </w:rPr>
        <w:t xml:space="preserve"> autochtones disparues et assassinées : Mettre fin à la violence contre les femmes, les filles et les personnes 2ELGBTQQIA+ autochtones</w:t>
      </w:r>
      <w:r w:rsidRPr="00A11EDF">
        <w:rPr>
          <w:lang w:val="fr-CA"/>
        </w:rPr>
        <w:t>.</w:t>
      </w:r>
      <w:bookmarkEnd w:id="127"/>
      <w:r w:rsidRPr="00A11EDF">
        <w:rPr>
          <w:lang w:val="fr-CA"/>
        </w:rPr>
        <w:t xml:space="preserve"> </w:t>
      </w:r>
      <w:bookmarkStart w:id="128" w:name="lt_pId256"/>
      <w:r w:rsidRPr="00A11EDF">
        <w:rPr>
          <w:lang w:val="fr-CA"/>
        </w:rPr>
        <w:t>Le volet du Plan d’action national du GC, la Voie fédérale, a été publié en même temps que le Plan d’action national, et décrit les engagements du gouvernement fédéral.</w:t>
      </w:r>
      <w:bookmarkEnd w:id="128"/>
    </w:p>
    <w:p w14:paraId="5C5CF8BE" w14:textId="77777777" w:rsidR="00C83F56" w:rsidRPr="00A7517B" w:rsidRDefault="00C83F56" w:rsidP="004F23C1">
      <w:pPr>
        <w:pStyle w:val="SingleTxtG"/>
        <w:numPr>
          <w:ilvl w:val="0"/>
          <w:numId w:val="4"/>
        </w:numPr>
        <w:ind w:left="1134" w:firstLine="0"/>
        <w:rPr>
          <w:lang w:val="fr-CA"/>
        </w:rPr>
      </w:pPr>
      <w:bookmarkStart w:id="129" w:name="lt_pId257"/>
      <w:r>
        <w:rPr>
          <w:lang w:val="fr-CA"/>
        </w:rPr>
        <w:t xml:space="preserve">En </w:t>
      </w:r>
      <w:r w:rsidRPr="00551542">
        <w:rPr>
          <w:lang w:val="fr-CA"/>
        </w:rPr>
        <w:t>2022, les familles, les survivant</w:t>
      </w:r>
      <w:r>
        <w:rPr>
          <w:lang w:val="fr-CA"/>
        </w:rPr>
        <w:t>e</w:t>
      </w:r>
      <w:r w:rsidRPr="00551542">
        <w:rPr>
          <w:lang w:val="fr-CA"/>
        </w:rPr>
        <w:t>s, les organisations et les partenaires autochtones, les 13</w:t>
      </w:r>
      <w:r>
        <w:rPr>
          <w:lang w:val="fr-CA"/>
        </w:rPr>
        <w:t> </w:t>
      </w:r>
      <w:r w:rsidRPr="00EE3C1B">
        <w:rPr>
          <w:lang w:val="fr-CA"/>
        </w:rPr>
        <w:t xml:space="preserve">gouvernements </w:t>
      </w:r>
      <w:r>
        <w:rPr>
          <w:lang w:val="fr-CA"/>
        </w:rPr>
        <w:t xml:space="preserve">PT </w:t>
      </w:r>
      <w:r w:rsidRPr="00551542">
        <w:rPr>
          <w:lang w:val="fr-CA"/>
        </w:rPr>
        <w:t xml:space="preserve">et le </w:t>
      </w:r>
      <w:r>
        <w:rPr>
          <w:lang w:val="fr-CA"/>
        </w:rPr>
        <w:t xml:space="preserve">GC </w:t>
      </w:r>
      <w:r w:rsidRPr="00551542">
        <w:rPr>
          <w:lang w:val="fr-CA"/>
        </w:rPr>
        <w:t>ont publié le Rapport d</w:t>
      </w:r>
      <w:r>
        <w:rPr>
          <w:lang w:val="fr-CA"/>
        </w:rPr>
        <w:t>’avancement du</w:t>
      </w:r>
      <w:r w:rsidRPr="00551542">
        <w:rPr>
          <w:lang w:val="fr-CA"/>
        </w:rPr>
        <w:t xml:space="preserve"> Plan d</w:t>
      </w:r>
      <w:r>
        <w:rPr>
          <w:lang w:val="fr-CA"/>
        </w:rPr>
        <w:t>’</w:t>
      </w:r>
      <w:r w:rsidRPr="00551542">
        <w:rPr>
          <w:lang w:val="fr-CA"/>
        </w:rPr>
        <w:t>action national</w:t>
      </w:r>
      <w:r>
        <w:rPr>
          <w:lang w:val="fr-CA"/>
        </w:rPr>
        <w:t xml:space="preserve"> de 2022</w:t>
      </w:r>
      <w:r w:rsidRPr="00551542">
        <w:rPr>
          <w:lang w:val="fr-CA"/>
        </w:rPr>
        <w:t>, qui comprend un rapport d</w:t>
      </w:r>
      <w:r>
        <w:rPr>
          <w:lang w:val="fr-CA"/>
        </w:rPr>
        <w:t>’</w:t>
      </w:r>
      <w:r w:rsidRPr="00551542">
        <w:rPr>
          <w:lang w:val="fr-CA"/>
        </w:rPr>
        <w:t>étape sur les engagements du gouvernement fédéral.</w:t>
      </w:r>
      <w:bookmarkEnd w:id="129"/>
      <w:r w:rsidRPr="00A7517B">
        <w:rPr>
          <w:lang w:val="fr-CA"/>
        </w:rPr>
        <w:t xml:space="preserve"> </w:t>
      </w:r>
      <w:bookmarkStart w:id="130" w:name="lt_pId258"/>
      <w:r>
        <w:rPr>
          <w:lang w:val="fr-CA"/>
        </w:rPr>
        <w:t>Plus de 25 agences et ministères fédéraux contribuent activement aux efforts du GC.</w:t>
      </w:r>
      <w:bookmarkEnd w:id="130"/>
    </w:p>
    <w:p w14:paraId="75BF74E6" w14:textId="77777777" w:rsidR="00C83F56" w:rsidRPr="00A7517B" w:rsidRDefault="00C83F56" w:rsidP="004F23C1">
      <w:pPr>
        <w:pStyle w:val="SingleTxtG"/>
        <w:numPr>
          <w:ilvl w:val="0"/>
          <w:numId w:val="4"/>
        </w:numPr>
        <w:ind w:left="1134" w:firstLine="0"/>
        <w:rPr>
          <w:lang w:val="fr-CA"/>
        </w:rPr>
      </w:pPr>
      <w:bookmarkStart w:id="131" w:name="lt_pId259"/>
      <w:r w:rsidRPr="00F13FD0">
        <w:rPr>
          <w:lang w:val="fr-CA"/>
        </w:rPr>
        <w:t>En réponse à l</w:t>
      </w:r>
      <w:r>
        <w:rPr>
          <w:lang w:val="fr-CA"/>
        </w:rPr>
        <w:t>’</w:t>
      </w:r>
      <w:r w:rsidRPr="00F13FD0">
        <w:rPr>
          <w:lang w:val="fr-CA"/>
        </w:rPr>
        <w:t>Enquête nationale, le Canada a fait des investissements importants pour s</w:t>
      </w:r>
      <w:r>
        <w:rPr>
          <w:lang w:val="fr-CA"/>
        </w:rPr>
        <w:t>’</w:t>
      </w:r>
      <w:r w:rsidRPr="00F13FD0">
        <w:rPr>
          <w:lang w:val="fr-CA"/>
        </w:rPr>
        <w:t>attaquer aux causes profondes de la disparition et de l</w:t>
      </w:r>
      <w:r>
        <w:rPr>
          <w:lang w:val="fr-CA"/>
        </w:rPr>
        <w:t>’</w:t>
      </w:r>
      <w:r w:rsidRPr="00F13FD0">
        <w:rPr>
          <w:lang w:val="fr-CA"/>
        </w:rPr>
        <w:t>assassinat de femmes et de filles et de personnes</w:t>
      </w:r>
      <w:r>
        <w:rPr>
          <w:lang w:val="fr-CA"/>
        </w:rPr>
        <w:t> </w:t>
      </w:r>
      <w:r w:rsidRPr="00E42073">
        <w:rPr>
          <w:lang w:val="fr-CA"/>
        </w:rPr>
        <w:t>2ELGBTQI+</w:t>
      </w:r>
      <w:r w:rsidRPr="00F13FD0">
        <w:rPr>
          <w:lang w:val="fr-CA"/>
        </w:rPr>
        <w:t xml:space="preserve"> autochtones. </w:t>
      </w:r>
      <w:r>
        <w:rPr>
          <w:lang w:val="fr-CA"/>
        </w:rPr>
        <w:t>Le gouvernement canadien</w:t>
      </w:r>
      <w:r w:rsidRPr="00F13FD0">
        <w:rPr>
          <w:lang w:val="fr-CA"/>
        </w:rPr>
        <w:t xml:space="preserve"> a notamment lancé de nouveaux programmes tels que ceux destinés aux familles et aux survivant</w:t>
      </w:r>
      <w:r>
        <w:rPr>
          <w:lang w:val="fr-CA"/>
        </w:rPr>
        <w:t>e</w:t>
      </w:r>
      <w:r w:rsidRPr="00F13FD0">
        <w:rPr>
          <w:lang w:val="fr-CA"/>
        </w:rPr>
        <w:t>s, ou portant sur la construction d</w:t>
      </w:r>
      <w:r>
        <w:rPr>
          <w:lang w:val="fr-CA"/>
        </w:rPr>
        <w:t>’</w:t>
      </w:r>
      <w:r w:rsidRPr="00F13FD0">
        <w:rPr>
          <w:lang w:val="fr-CA"/>
        </w:rPr>
        <w:t>espaces culturels, de refuges et de logements, ainsi que des programmes axés sur la santé et le bien-être, les langues et l</w:t>
      </w:r>
      <w:r>
        <w:rPr>
          <w:lang w:val="fr-CA"/>
        </w:rPr>
        <w:t>’</w:t>
      </w:r>
      <w:r w:rsidRPr="00F13FD0">
        <w:rPr>
          <w:lang w:val="fr-CA"/>
        </w:rPr>
        <w:t>éducation, et la collecte de données.</w:t>
      </w:r>
      <w:bookmarkEnd w:id="131"/>
      <w:r w:rsidRPr="00A7517B">
        <w:rPr>
          <w:lang w:val="fr-CA"/>
        </w:rPr>
        <w:t xml:space="preserve"> </w:t>
      </w:r>
    </w:p>
    <w:p w14:paraId="4CF4A0A0" w14:textId="77777777" w:rsidR="00C83F56" w:rsidRPr="0007493D" w:rsidRDefault="00C83F56" w:rsidP="004F23C1">
      <w:pPr>
        <w:pStyle w:val="SingleTxtG"/>
        <w:numPr>
          <w:ilvl w:val="0"/>
          <w:numId w:val="4"/>
        </w:numPr>
        <w:ind w:left="1134" w:firstLine="0"/>
        <w:rPr>
          <w:lang w:val="fr-CA"/>
        </w:rPr>
      </w:pPr>
      <w:bookmarkStart w:id="132" w:name="lt_pId260"/>
      <w:r w:rsidRPr="51A13573">
        <w:rPr>
          <w:lang w:val="fr-CA"/>
        </w:rPr>
        <w:t xml:space="preserve">En 2023, le </w:t>
      </w:r>
      <w:r>
        <w:rPr>
          <w:lang w:val="fr-CA"/>
        </w:rPr>
        <w:t>GC</w:t>
      </w:r>
      <w:r w:rsidRPr="51A13573">
        <w:rPr>
          <w:lang w:val="fr-CA"/>
        </w:rPr>
        <w:t xml:space="preserve"> a </w:t>
      </w:r>
      <w:r>
        <w:rPr>
          <w:lang w:val="fr-CA"/>
        </w:rPr>
        <w:t xml:space="preserve">confié à </w:t>
      </w:r>
      <w:r w:rsidRPr="51A13573">
        <w:rPr>
          <w:lang w:val="fr-CA"/>
        </w:rPr>
        <w:t xml:space="preserve">une organisation autochtone externe </w:t>
      </w:r>
      <w:r>
        <w:rPr>
          <w:lang w:val="fr-CA"/>
        </w:rPr>
        <w:t xml:space="preserve">le mandat de proposer </w:t>
      </w:r>
      <w:r w:rsidRPr="51A13573">
        <w:rPr>
          <w:lang w:val="fr-CA"/>
        </w:rPr>
        <w:t>des recommandations pour un mécanisme de surveillance visant à améliorer la responsabilité de la mise en œuvre continue des appels à la justice.</w:t>
      </w:r>
      <w:bookmarkEnd w:id="132"/>
      <w:r w:rsidRPr="51A13573">
        <w:rPr>
          <w:lang w:val="fr-CA"/>
        </w:rPr>
        <w:t xml:space="preserve"> </w:t>
      </w:r>
      <w:bookmarkStart w:id="133" w:name="lt_pId261"/>
      <w:r>
        <w:rPr>
          <w:lang w:val="fr-CA"/>
        </w:rPr>
        <w:t xml:space="preserve">Cette mesure répond directement aux demandes </w:t>
      </w:r>
      <w:r w:rsidRPr="51A13573">
        <w:rPr>
          <w:lang w:val="fr-CA"/>
        </w:rPr>
        <w:t xml:space="preserve">des familles et des survivants </w:t>
      </w:r>
      <w:r>
        <w:rPr>
          <w:lang w:val="fr-CA"/>
        </w:rPr>
        <w:t>pour un meilleur suivi</w:t>
      </w:r>
      <w:r w:rsidRPr="51A13573">
        <w:rPr>
          <w:lang w:val="fr-CA"/>
        </w:rPr>
        <w:t>.</w:t>
      </w:r>
      <w:bookmarkEnd w:id="133"/>
      <w:r w:rsidRPr="51A13573">
        <w:rPr>
          <w:lang w:val="fr-CA"/>
        </w:rPr>
        <w:t xml:space="preserve"> </w:t>
      </w:r>
      <w:bookmarkStart w:id="134" w:name="lt_pId262"/>
      <w:r w:rsidRPr="51A13573">
        <w:rPr>
          <w:lang w:val="fr-CA"/>
        </w:rPr>
        <w:t xml:space="preserve">Le </w:t>
      </w:r>
      <w:r>
        <w:rPr>
          <w:lang w:val="fr-CA"/>
        </w:rPr>
        <w:t>GC</w:t>
      </w:r>
      <w:r w:rsidRPr="51A13573">
        <w:rPr>
          <w:lang w:val="fr-CA"/>
        </w:rPr>
        <w:t xml:space="preserve"> a également</w:t>
      </w:r>
      <w:r>
        <w:rPr>
          <w:lang w:val="fr-CA"/>
        </w:rPr>
        <w:t xml:space="preserve"> nommé</w:t>
      </w:r>
      <w:r w:rsidRPr="51A13573">
        <w:rPr>
          <w:lang w:val="fr-CA"/>
        </w:rPr>
        <w:t xml:space="preserve"> </w:t>
      </w:r>
      <w:r>
        <w:rPr>
          <w:lang w:val="fr-CA"/>
        </w:rPr>
        <w:t xml:space="preserve">une </w:t>
      </w:r>
      <w:r w:rsidRPr="51A13573">
        <w:rPr>
          <w:lang w:val="fr-CA"/>
        </w:rPr>
        <w:t>représentant</w:t>
      </w:r>
      <w:r>
        <w:rPr>
          <w:lang w:val="fr-CA"/>
        </w:rPr>
        <w:t>e</w:t>
      </w:r>
      <w:r w:rsidRPr="51A13573">
        <w:rPr>
          <w:lang w:val="fr-CA"/>
        </w:rPr>
        <w:t xml:space="preserve"> </w:t>
      </w:r>
      <w:r>
        <w:rPr>
          <w:lang w:val="fr-CA"/>
        </w:rPr>
        <w:t xml:space="preserve">spéciale </w:t>
      </w:r>
      <w:r w:rsidRPr="51A13573">
        <w:rPr>
          <w:lang w:val="fr-CA"/>
        </w:rPr>
        <w:t>ministériel</w:t>
      </w:r>
      <w:r>
        <w:rPr>
          <w:lang w:val="fr-CA"/>
        </w:rPr>
        <w:t>le</w:t>
      </w:r>
      <w:r w:rsidRPr="51A13573">
        <w:rPr>
          <w:lang w:val="fr-CA"/>
        </w:rPr>
        <w:t xml:space="preserve"> qui fournira des conseils et des recommandations dans le cadre d’une consultation avec les survivants, les familles, les partenaires et les organisations, à l’appui de l’appel à la justice 1.7 visant à créer un poste d’</w:t>
      </w:r>
      <w:r>
        <w:rPr>
          <w:lang w:val="fr-CA"/>
        </w:rPr>
        <w:t>O</w:t>
      </w:r>
      <w:r w:rsidRPr="51A13573">
        <w:rPr>
          <w:lang w:val="fr-CA"/>
        </w:rPr>
        <w:t xml:space="preserve">mbudsman </w:t>
      </w:r>
      <w:r>
        <w:rPr>
          <w:lang w:val="fr-CA"/>
        </w:rPr>
        <w:t>a</w:t>
      </w:r>
      <w:r w:rsidRPr="51A13573">
        <w:rPr>
          <w:lang w:val="fr-CA"/>
        </w:rPr>
        <w:t>utochtones des</w:t>
      </w:r>
      <w:r>
        <w:rPr>
          <w:lang w:val="fr-CA"/>
        </w:rPr>
        <w:t xml:space="preserve"> droits </w:t>
      </w:r>
      <w:r w:rsidRPr="51A13573">
        <w:rPr>
          <w:lang w:val="fr-CA"/>
        </w:rPr>
        <w:t xml:space="preserve">de la personne. </w:t>
      </w:r>
      <w:bookmarkEnd w:id="134"/>
      <w:r w:rsidRPr="51A13573">
        <w:rPr>
          <w:lang w:val="fr-CA"/>
        </w:rPr>
        <w:t>La représentante a</w:t>
      </w:r>
      <w:r>
        <w:rPr>
          <w:lang w:val="fr-CA"/>
        </w:rPr>
        <w:t xml:space="preserve"> mené des consultations avec </w:t>
      </w:r>
      <w:r w:rsidRPr="51A13573">
        <w:rPr>
          <w:lang w:val="fr-CA"/>
        </w:rPr>
        <w:t>des organis</w:t>
      </w:r>
      <w:r>
        <w:rPr>
          <w:lang w:val="fr-CA"/>
        </w:rPr>
        <w:t>ations</w:t>
      </w:r>
      <w:r w:rsidRPr="51A13573">
        <w:rPr>
          <w:lang w:val="fr-CA"/>
        </w:rPr>
        <w:t xml:space="preserve"> clés et des gouvernements</w:t>
      </w:r>
      <w:r>
        <w:rPr>
          <w:lang w:val="fr-CA"/>
        </w:rPr>
        <w:t xml:space="preserve"> PT,</w:t>
      </w:r>
      <w:r w:rsidRPr="51A13573">
        <w:rPr>
          <w:lang w:val="fr-CA"/>
        </w:rPr>
        <w:t xml:space="preserve"> et a présenté son rapport et ses recommandations à la ministre des Relations Couronne-Autochtones au début de 2024.</w:t>
      </w:r>
    </w:p>
    <w:p w14:paraId="5FC30ABE" w14:textId="77777777" w:rsidR="00C83F56" w:rsidRPr="00A7517B" w:rsidRDefault="00C83F56" w:rsidP="004F23C1">
      <w:pPr>
        <w:pStyle w:val="SingleTxtG"/>
        <w:numPr>
          <w:ilvl w:val="0"/>
          <w:numId w:val="4"/>
        </w:numPr>
        <w:ind w:left="1134" w:firstLine="0"/>
        <w:rPr>
          <w:lang w:val="fr-CA"/>
        </w:rPr>
      </w:pPr>
      <w:bookmarkStart w:id="135" w:name="lt_pId263"/>
      <w:r w:rsidRPr="00674ECE">
        <w:rPr>
          <w:lang w:val="fr-CA"/>
        </w:rPr>
        <w:t>Les Unités de liaison pour l</w:t>
      </w:r>
      <w:r>
        <w:rPr>
          <w:lang w:val="fr-CA"/>
        </w:rPr>
        <w:t>’</w:t>
      </w:r>
      <w:r w:rsidRPr="00674ECE">
        <w:rPr>
          <w:lang w:val="fr-CA"/>
        </w:rPr>
        <w:t>information à l</w:t>
      </w:r>
      <w:r>
        <w:rPr>
          <w:lang w:val="fr-CA"/>
        </w:rPr>
        <w:t>’</w:t>
      </w:r>
      <w:r w:rsidRPr="00674ECE">
        <w:rPr>
          <w:lang w:val="fr-CA"/>
        </w:rPr>
        <w:t>intention des familles</w:t>
      </w:r>
      <w:r>
        <w:rPr>
          <w:lang w:val="fr-CA"/>
        </w:rPr>
        <w:t xml:space="preserve"> (ULIF)</w:t>
      </w:r>
      <w:r w:rsidRPr="00674ECE">
        <w:rPr>
          <w:lang w:val="fr-CA"/>
        </w:rPr>
        <w:t xml:space="preserve"> </w:t>
      </w:r>
      <w:r>
        <w:rPr>
          <w:lang w:val="fr-CA"/>
        </w:rPr>
        <w:t xml:space="preserve">offrent </w:t>
      </w:r>
      <w:r w:rsidRPr="00674ECE">
        <w:rPr>
          <w:lang w:val="fr-CA"/>
        </w:rPr>
        <w:t xml:space="preserve">des services aux victimes </w:t>
      </w:r>
      <w:r>
        <w:rPr>
          <w:lang w:val="fr-CA"/>
        </w:rPr>
        <w:t xml:space="preserve">ancrés dans les réalités culturelles pour aider les </w:t>
      </w:r>
      <w:r w:rsidRPr="00674ECE">
        <w:rPr>
          <w:lang w:val="fr-CA"/>
        </w:rPr>
        <w:t xml:space="preserve">familles des femmes et des filles autochtones disparues </w:t>
      </w:r>
      <w:r>
        <w:rPr>
          <w:lang w:val="fr-CA"/>
        </w:rPr>
        <w:t>ou</w:t>
      </w:r>
      <w:r w:rsidRPr="00674ECE">
        <w:rPr>
          <w:lang w:val="fr-CA"/>
        </w:rPr>
        <w:t xml:space="preserve"> assassinées </w:t>
      </w:r>
      <w:r>
        <w:rPr>
          <w:lang w:val="fr-CA"/>
        </w:rPr>
        <w:t>à</w:t>
      </w:r>
      <w:r w:rsidRPr="00674ECE">
        <w:rPr>
          <w:lang w:val="fr-CA"/>
        </w:rPr>
        <w:t xml:space="preserve"> surmonter les obstacles structur</w:t>
      </w:r>
      <w:r>
        <w:rPr>
          <w:lang w:val="fr-CA"/>
        </w:rPr>
        <w:t>els</w:t>
      </w:r>
      <w:r w:rsidRPr="00674ECE">
        <w:rPr>
          <w:lang w:val="fr-CA"/>
        </w:rPr>
        <w:t xml:space="preserve"> et systémiques </w:t>
      </w:r>
      <w:r>
        <w:rPr>
          <w:lang w:val="fr-CA"/>
        </w:rPr>
        <w:t xml:space="preserve">auxquels </w:t>
      </w:r>
      <w:r w:rsidRPr="00674ECE">
        <w:rPr>
          <w:lang w:val="fr-CA"/>
        </w:rPr>
        <w:t>elles</w:t>
      </w:r>
      <w:r>
        <w:rPr>
          <w:lang w:val="fr-CA"/>
        </w:rPr>
        <w:t xml:space="preserve"> sont confrontées dans l’accès à l’information concernant</w:t>
      </w:r>
      <w:r w:rsidRPr="00674ECE">
        <w:rPr>
          <w:lang w:val="fr-CA"/>
        </w:rPr>
        <w:t xml:space="preserve"> leurs proches, tels que la distance géographique, les expériences de racisme systémique et individuel, ainsi que la nature historique de</w:t>
      </w:r>
      <w:r>
        <w:rPr>
          <w:lang w:val="fr-CA"/>
        </w:rPr>
        <w:t xml:space="preserve"> certains</w:t>
      </w:r>
      <w:r w:rsidRPr="00674ECE">
        <w:rPr>
          <w:lang w:val="fr-CA"/>
        </w:rPr>
        <w:t xml:space="preserve"> événements.</w:t>
      </w:r>
      <w:bookmarkEnd w:id="135"/>
      <w:r w:rsidRPr="00674ECE">
        <w:rPr>
          <w:lang w:val="fr-CA"/>
        </w:rPr>
        <w:t xml:space="preserve"> </w:t>
      </w:r>
      <w:bookmarkStart w:id="136" w:name="lt_pId264"/>
      <w:r>
        <w:rPr>
          <w:lang w:val="fr-CA"/>
        </w:rPr>
        <w:t>En 2023, le GC a annoncé un financement fédéral permanent pour les ULIF afin garantir que les familles aient accès à ce soutien aussi longtemps que nécessaire.</w:t>
      </w:r>
      <w:bookmarkEnd w:id="136"/>
    </w:p>
    <w:p w14:paraId="587FF516" w14:textId="77777777" w:rsidR="00C83F56" w:rsidRPr="0069326B" w:rsidRDefault="00C83F56" w:rsidP="004F23C1">
      <w:pPr>
        <w:pStyle w:val="SingleTxtG"/>
        <w:numPr>
          <w:ilvl w:val="0"/>
          <w:numId w:val="4"/>
        </w:numPr>
        <w:ind w:left="1134" w:firstLine="0"/>
        <w:rPr>
          <w:lang w:val="fr-CA"/>
        </w:rPr>
      </w:pPr>
      <w:bookmarkStart w:id="137" w:name="lt_pId265"/>
      <w:r w:rsidRPr="004D0B2F">
        <w:rPr>
          <w:lang w:val="fr-CA"/>
        </w:rPr>
        <w:t xml:space="preserve">Le </w:t>
      </w:r>
      <w:r>
        <w:rPr>
          <w:lang w:val="fr-CA"/>
        </w:rPr>
        <w:t>GC</w:t>
      </w:r>
      <w:r w:rsidRPr="004D0B2F">
        <w:rPr>
          <w:lang w:val="fr-CA"/>
        </w:rPr>
        <w:t xml:space="preserve"> fournit également des fonds pour soutenir les organisations communautaires </w:t>
      </w:r>
      <w:r w:rsidRPr="005335FF">
        <w:rPr>
          <w:lang w:val="fr-CA"/>
        </w:rPr>
        <w:t>autochtones dans la conception, le renforcement, et la mise en œuvre d</w:t>
      </w:r>
      <w:r>
        <w:rPr>
          <w:lang w:val="fr-CA"/>
        </w:rPr>
        <w:t>’</w:t>
      </w:r>
      <w:r w:rsidRPr="005335FF">
        <w:rPr>
          <w:lang w:val="fr-CA"/>
        </w:rPr>
        <w:t>activités visant à aider les familles des FFADA à surmonter le deuil et le traumatisme de leur perte.</w:t>
      </w:r>
      <w:bookmarkEnd w:id="137"/>
      <w:r w:rsidRPr="005335FF">
        <w:rPr>
          <w:lang w:val="fr-CA"/>
        </w:rPr>
        <w:t xml:space="preserve"> </w:t>
      </w:r>
    </w:p>
    <w:p w14:paraId="3FEA3392" w14:textId="77777777" w:rsidR="00C83F56" w:rsidRPr="0069326B" w:rsidRDefault="00C83F56" w:rsidP="004F23C1">
      <w:pPr>
        <w:pStyle w:val="SingleTxtG"/>
        <w:numPr>
          <w:ilvl w:val="0"/>
          <w:numId w:val="4"/>
        </w:numPr>
        <w:ind w:left="1134" w:firstLine="0"/>
        <w:rPr>
          <w:lang w:val="fr-CA"/>
        </w:rPr>
      </w:pPr>
      <w:bookmarkStart w:id="138" w:name="lt_pId267"/>
      <w:r w:rsidRPr="51A13573">
        <w:rPr>
          <w:lang w:val="fr-CA"/>
        </w:rPr>
        <w:t xml:space="preserve">Le </w:t>
      </w:r>
      <w:r>
        <w:rPr>
          <w:lang w:val="fr-CA"/>
        </w:rPr>
        <w:t>GC</w:t>
      </w:r>
      <w:r w:rsidRPr="51A13573">
        <w:rPr>
          <w:lang w:val="fr-CA"/>
        </w:rPr>
        <w:t xml:space="preserve"> a également entrepris des mesures pour améliorer la sécurité des victimes et renforcer la réponse du droit pénal à la violence faite aux femmes et aux filles autochtones.</w:t>
      </w:r>
      <w:bookmarkEnd w:id="138"/>
      <w:r w:rsidRPr="51A13573">
        <w:rPr>
          <w:lang w:val="fr-CA"/>
        </w:rPr>
        <w:t xml:space="preserve"> </w:t>
      </w:r>
      <w:bookmarkStart w:id="139" w:name="lt_pId268"/>
      <w:r w:rsidRPr="51A13573">
        <w:rPr>
          <w:lang w:val="fr-CA"/>
        </w:rPr>
        <w:t xml:space="preserve">La modification du </w:t>
      </w:r>
      <w:r w:rsidRPr="00690039">
        <w:rPr>
          <w:i/>
          <w:iCs/>
          <w:lang w:val="fr-CA"/>
        </w:rPr>
        <w:t>Code criminel</w:t>
      </w:r>
      <w:r w:rsidRPr="51A13573">
        <w:rPr>
          <w:lang w:val="fr-CA"/>
        </w:rPr>
        <w:t xml:space="preserve"> apporté par l’ancien projet de loi C-75 en 2019 a renforcé les lois pénales dans le contexte de la violence conjugale et de la traite de personnes, et a permis de faire en sorte que les condamnations pour les actes de violence commis à l’endroit d’une personne vulnérable en raison de sa situation personnelle (notamment parce qu’elle est autochtone et de sexe féminin, ou parce qu’elle est victime de violence conjugale) soient traitées avec plus de sérieux.</w:t>
      </w:r>
      <w:bookmarkEnd w:id="139"/>
    </w:p>
    <w:p w14:paraId="16C93511" w14:textId="77777777" w:rsidR="00C83F56" w:rsidRPr="00A7517B" w:rsidRDefault="00C83F56" w:rsidP="004F23C1">
      <w:pPr>
        <w:pStyle w:val="SingleTxtG"/>
        <w:numPr>
          <w:ilvl w:val="0"/>
          <w:numId w:val="4"/>
        </w:numPr>
        <w:ind w:left="1134" w:firstLine="0"/>
        <w:rPr>
          <w:lang w:val="fr-CA"/>
        </w:rPr>
      </w:pPr>
      <w:bookmarkStart w:id="140" w:name="lt_pId271"/>
      <w:r w:rsidRPr="000F61F7">
        <w:rPr>
          <w:lang w:val="fr-CA"/>
        </w:rPr>
        <w:t>L</w:t>
      </w:r>
      <w:r>
        <w:rPr>
          <w:lang w:val="fr-CA"/>
        </w:rPr>
        <w:t>’</w:t>
      </w:r>
      <w:r w:rsidRPr="000F61F7">
        <w:rPr>
          <w:lang w:val="fr-CA"/>
        </w:rPr>
        <w:t>Initiative en matière de planification de la sécurité des collectivités autochtones</w:t>
      </w:r>
      <w:r>
        <w:rPr>
          <w:lang w:val="fr-CA"/>
        </w:rPr>
        <w:t> </w:t>
      </w:r>
      <w:r w:rsidRPr="000F61F7">
        <w:rPr>
          <w:lang w:val="fr-CA"/>
        </w:rPr>
        <w:t xml:space="preserve">(IPSCA) </w:t>
      </w:r>
      <w:r>
        <w:rPr>
          <w:lang w:val="fr-CA"/>
        </w:rPr>
        <w:t>soutient l’appel à la justice </w:t>
      </w:r>
      <w:r w:rsidRPr="000F61F7">
        <w:rPr>
          <w:lang w:val="fr-CA"/>
        </w:rPr>
        <w:t xml:space="preserve">3.4 en soutenant les services (de santé) dirigés par les communautés autochtones, y compris </w:t>
      </w:r>
      <w:r>
        <w:rPr>
          <w:lang w:val="fr-CA"/>
        </w:rPr>
        <w:t>la mise</w:t>
      </w:r>
      <w:r w:rsidRPr="000F61F7">
        <w:rPr>
          <w:lang w:val="fr-CA"/>
        </w:rPr>
        <w:t xml:space="preserve"> en œuvre des programmes de traitement de la toxicomanie et des traumatismes.</w:t>
      </w:r>
      <w:bookmarkEnd w:id="140"/>
      <w:r w:rsidRPr="00A7517B">
        <w:rPr>
          <w:lang w:val="fr-CA"/>
        </w:rPr>
        <w:t xml:space="preserve"> </w:t>
      </w:r>
      <w:bookmarkStart w:id="141" w:name="lt_pId272"/>
      <w:r>
        <w:rPr>
          <w:lang w:val="fr-CA"/>
        </w:rPr>
        <w:t>Elle appuie</w:t>
      </w:r>
      <w:r w:rsidRPr="00126655">
        <w:rPr>
          <w:lang w:val="fr-CA"/>
        </w:rPr>
        <w:t xml:space="preserve"> </w:t>
      </w:r>
      <w:r>
        <w:rPr>
          <w:lang w:val="fr-CA"/>
        </w:rPr>
        <w:t>également l’appel à la justice </w:t>
      </w:r>
      <w:r w:rsidRPr="00126655">
        <w:rPr>
          <w:lang w:val="fr-CA"/>
        </w:rPr>
        <w:t xml:space="preserve">3.5 </w:t>
      </w:r>
      <w:r>
        <w:rPr>
          <w:lang w:val="fr-CA"/>
        </w:rPr>
        <w:t xml:space="preserve">en favorisant </w:t>
      </w:r>
      <w:r w:rsidRPr="00126655">
        <w:rPr>
          <w:lang w:val="fr-CA"/>
        </w:rPr>
        <w:t>des réponses</w:t>
      </w:r>
      <w:r>
        <w:rPr>
          <w:lang w:val="fr-CA"/>
        </w:rPr>
        <w:t xml:space="preserve"> culturellement adaptées et</w:t>
      </w:r>
      <w:r w:rsidRPr="00126655">
        <w:rPr>
          <w:lang w:val="fr-CA"/>
        </w:rPr>
        <w:t xml:space="preserve"> dirigées par l</w:t>
      </w:r>
      <w:r>
        <w:rPr>
          <w:lang w:val="fr-CA"/>
        </w:rPr>
        <w:t>es</w:t>
      </w:r>
      <w:r w:rsidRPr="00126655">
        <w:rPr>
          <w:lang w:val="fr-CA"/>
        </w:rPr>
        <w:t xml:space="preserve"> communauté</w:t>
      </w:r>
      <w:r>
        <w:rPr>
          <w:lang w:val="fr-CA"/>
        </w:rPr>
        <w:t>s</w:t>
      </w:r>
      <w:r w:rsidRPr="00126655">
        <w:rPr>
          <w:lang w:val="fr-CA"/>
        </w:rPr>
        <w:t xml:space="preserve"> aux priorités de sécurité</w:t>
      </w:r>
      <w:r>
        <w:rPr>
          <w:lang w:val="fr-CA"/>
        </w:rPr>
        <w:t xml:space="preserve"> identifiées</w:t>
      </w:r>
      <w:r w:rsidRPr="00126655">
        <w:rPr>
          <w:lang w:val="fr-CA"/>
        </w:rPr>
        <w:t xml:space="preserve"> dans les plans de sécurité communautaire</w:t>
      </w:r>
      <w:bookmarkEnd w:id="141"/>
      <w:r>
        <w:rPr>
          <w:lang w:val="fr-CA"/>
        </w:rPr>
        <w:t>. Elle soutient également</w:t>
      </w:r>
      <w:bookmarkStart w:id="142" w:name="lt_pId273"/>
      <w:r>
        <w:rPr>
          <w:lang w:val="fr-CA"/>
        </w:rPr>
        <w:t xml:space="preserve"> l’appel à la justice 5.5iv en appuyant des initiatives communautaires répondant aux besoins de chaque communauté.</w:t>
      </w:r>
      <w:bookmarkEnd w:id="142"/>
    </w:p>
    <w:p w14:paraId="40059C86" w14:textId="77777777" w:rsidR="00C83F56" w:rsidRPr="00A7517B" w:rsidRDefault="00C83F56" w:rsidP="004F23C1">
      <w:pPr>
        <w:pStyle w:val="SingleTxtG"/>
        <w:numPr>
          <w:ilvl w:val="0"/>
          <w:numId w:val="4"/>
        </w:numPr>
        <w:ind w:left="1134" w:firstLine="0"/>
        <w:rPr>
          <w:lang w:val="fr-CA"/>
        </w:rPr>
      </w:pPr>
      <w:bookmarkStart w:id="143" w:name="lt_pId274"/>
      <w:r w:rsidRPr="00230944">
        <w:rPr>
          <w:lang w:val="fr-CA"/>
        </w:rPr>
        <w:t>L</w:t>
      </w:r>
      <w:r>
        <w:rPr>
          <w:lang w:val="fr-CA"/>
        </w:rPr>
        <w:t>’</w:t>
      </w:r>
      <w:r w:rsidRPr="00230944">
        <w:rPr>
          <w:lang w:val="fr-CA"/>
        </w:rPr>
        <w:t xml:space="preserve">IPSCA </w:t>
      </w:r>
      <w:r>
        <w:rPr>
          <w:lang w:val="fr-CA"/>
        </w:rPr>
        <w:t xml:space="preserve">fait partie </w:t>
      </w:r>
      <w:r w:rsidRPr="00230944">
        <w:rPr>
          <w:lang w:val="fr-CA"/>
        </w:rPr>
        <w:t xml:space="preserve">de la réponse du </w:t>
      </w:r>
      <w:r>
        <w:rPr>
          <w:lang w:val="fr-CA"/>
        </w:rPr>
        <w:t>GC</w:t>
      </w:r>
      <w:r w:rsidRPr="00230944">
        <w:rPr>
          <w:lang w:val="fr-CA"/>
        </w:rPr>
        <w:t xml:space="preserve"> à la violence </w:t>
      </w:r>
      <w:r>
        <w:rPr>
          <w:lang w:val="fr-CA"/>
        </w:rPr>
        <w:t xml:space="preserve">envers les </w:t>
      </w:r>
      <w:r w:rsidRPr="00230944">
        <w:rPr>
          <w:lang w:val="fr-CA"/>
        </w:rPr>
        <w:t xml:space="preserve">femmes </w:t>
      </w:r>
      <w:r>
        <w:rPr>
          <w:lang w:val="fr-CA"/>
        </w:rPr>
        <w:t>autochtones et aux FFADA depuis </w:t>
      </w:r>
      <w:r w:rsidRPr="00230944">
        <w:rPr>
          <w:lang w:val="fr-CA"/>
        </w:rPr>
        <w:t>2010</w:t>
      </w:r>
      <w:r>
        <w:rPr>
          <w:lang w:val="fr-CA"/>
        </w:rPr>
        <w:t>. Elle a permis de soutenir</w:t>
      </w:r>
      <w:r w:rsidRPr="00230944">
        <w:rPr>
          <w:lang w:val="fr-CA"/>
        </w:rPr>
        <w:t xml:space="preserve"> près de 60</w:t>
      </w:r>
      <w:r>
        <w:rPr>
          <w:lang w:val="fr-CA"/>
        </w:rPr>
        <w:t> </w:t>
      </w:r>
      <w:r w:rsidRPr="00230944">
        <w:rPr>
          <w:lang w:val="fr-CA"/>
        </w:rPr>
        <w:t>communautés</w:t>
      </w:r>
      <w:r>
        <w:rPr>
          <w:lang w:val="fr-CA"/>
        </w:rPr>
        <w:t xml:space="preserve"> dans l’identification de</w:t>
      </w:r>
      <w:r w:rsidRPr="00230944">
        <w:rPr>
          <w:lang w:val="fr-CA"/>
        </w:rPr>
        <w:t xml:space="preserve"> leurs préoccupations en matière de sécurité, y compris la violence, et </w:t>
      </w:r>
      <w:r>
        <w:rPr>
          <w:lang w:val="fr-CA"/>
        </w:rPr>
        <w:t xml:space="preserve">dans la recherche de </w:t>
      </w:r>
      <w:r w:rsidRPr="00230944">
        <w:rPr>
          <w:lang w:val="fr-CA"/>
        </w:rPr>
        <w:t xml:space="preserve">solutions pour </w:t>
      </w:r>
      <w:r>
        <w:rPr>
          <w:lang w:val="fr-CA"/>
        </w:rPr>
        <w:t xml:space="preserve">s’attaquer aux </w:t>
      </w:r>
      <w:r w:rsidRPr="00230944">
        <w:rPr>
          <w:lang w:val="fr-CA"/>
        </w:rPr>
        <w:t>causes profondes et</w:t>
      </w:r>
      <w:r>
        <w:rPr>
          <w:lang w:val="fr-CA"/>
        </w:rPr>
        <w:t xml:space="preserve"> aux</w:t>
      </w:r>
      <w:r w:rsidRPr="00230944">
        <w:rPr>
          <w:lang w:val="fr-CA"/>
        </w:rPr>
        <w:t xml:space="preserve"> facteurs aggravants actuels.</w:t>
      </w:r>
      <w:bookmarkEnd w:id="143"/>
      <w:r w:rsidRPr="00A7517B">
        <w:rPr>
          <w:lang w:val="fr-CA"/>
        </w:rPr>
        <w:t xml:space="preserve"> </w:t>
      </w:r>
      <w:bookmarkStart w:id="144" w:name="lt_pId275"/>
      <w:r>
        <w:rPr>
          <w:lang w:val="fr-CA"/>
        </w:rPr>
        <w:t xml:space="preserve">Parmi les </w:t>
      </w:r>
      <w:r w:rsidRPr="00383D85">
        <w:rPr>
          <w:lang w:val="fr-CA"/>
        </w:rPr>
        <w:t xml:space="preserve">stratégies </w:t>
      </w:r>
      <w:r>
        <w:rPr>
          <w:lang w:val="fr-CA"/>
        </w:rPr>
        <w:t>mises en place pour lutter contre les</w:t>
      </w:r>
      <w:r w:rsidRPr="00383D85">
        <w:rPr>
          <w:lang w:val="fr-CA"/>
        </w:rPr>
        <w:t xml:space="preserve"> causes des crimes violents, l</w:t>
      </w:r>
      <w:r>
        <w:rPr>
          <w:lang w:val="fr-CA"/>
        </w:rPr>
        <w:t>’</w:t>
      </w:r>
      <w:r w:rsidRPr="00383D85">
        <w:rPr>
          <w:lang w:val="fr-CA"/>
        </w:rPr>
        <w:t xml:space="preserve">IPSCA repose sur six principes fondamentaux </w:t>
      </w:r>
      <w:r>
        <w:rPr>
          <w:lang w:val="fr-CA"/>
        </w:rPr>
        <w:t xml:space="preserve">qui </w:t>
      </w:r>
      <w:r w:rsidRPr="00383D85">
        <w:rPr>
          <w:lang w:val="fr-CA"/>
        </w:rPr>
        <w:t>garantissant que les solutions sont dé</w:t>
      </w:r>
      <w:r>
        <w:rPr>
          <w:lang w:val="fr-CA"/>
        </w:rPr>
        <w:t>finies</w:t>
      </w:r>
      <w:r w:rsidRPr="00383D85">
        <w:rPr>
          <w:lang w:val="fr-CA"/>
        </w:rPr>
        <w:t xml:space="preserve"> et </w:t>
      </w:r>
      <w:r>
        <w:rPr>
          <w:lang w:val="fr-CA"/>
        </w:rPr>
        <w:t xml:space="preserve">mises en œuvre par les </w:t>
      </w:r>
      <w:r w:rsidRPr="00383D85">
        <w:rPr>
          <w:lang w:val="fr-CA"/>
        </w:rPr>
        <w:t>communautés</w:t>
      </w:r>
      <w:r>
        <w:rPr>
          <w:lang w:val="fr-CA"/>
        </w:rPr>
        <w:t xml:space="preserve"> elles-mêmes</w:t>
      </w:r>
      <w:r w:rsidRPr="00383D85">
        <w:rPr>
          <w:lang w:val="fr-CA"/>
        </w:rPr>
        <w:t>.</w:t>
      </w:r>
      <w:bookmarkEnd w:id="144"/>
      <w:r w:rsidRPr="00383D85">
        <w:rPr>
          <w:lang w:val="fr-CA"/>
        </w:rPr>
        <w:t xml:space="preserve"> </w:t>
      </w:r>
    </w:p>
    <w:p w14:paraId="3252A83B" w14:textId="77777777" w:rsidR="00C83F56" w:rsidRPr="003777B2" w:rsidRDefault="00C83F56" w:rsidP="004F23C1">
      <w:pPr>
        <w:pStyle w:val="SingleTxtG"/>
        <w:numPr>
          <w:ilvl w:val="0"/>
          <w:numId w:val="4"/>
        </w:numPr>
        <w:ind w:left="1134" w:firstLine="0"/>
        <w:rPr>
          <w:lang w:val="fr-CA"/>
        </w:rPr>
      </w:pPr>
      <w:r w:rsidRPr="003777B2">
        <w:rPr>
          <w:lang w:val="fr-CA"/>
        </w:rPr>
        <w:t xml:space="preserve">L’Initiative sur les services correctionnels communautaires destinés aux Autochtones (ISCCA) répond aux sections 14.6 et 14.8 des appels à la justice du rapport final de l’Enquête nationale. Conformément à la section 14.6, elle soutient des projets ciblés — notamment pour les femmes, les filles et les personnes autochtones 2ELGBTQI+ — qui s’attaquent aux causes sous-jacentes des comportements criminels, </w:t>
      </w:r>
      <w:r>
        <w:rPr>
          <w:lang w:val="fr-CA"/>
        </w:rPr>
        <w:t>telles que la</w:t>
      </w:r>
      <w:r w:rsidRPr="003777B2">
        <w:rPr>
          <w:lang w:val="fr-CA"/>
        </w:rPr>
        <w:t xml:space="preserve"> santé mentale, la toxicomanie et les traumatismes, </w:t>
      </w:r>
      <w:r>
        <w:rPr>
          <w:lang w:val="fr-CA"/>
        </w:rPr>
        <w:t xml:space="preserve">afin de favoriser la </w:t>
      </w:r>
      <w:r w:rsidRPr="003777B2">
        <w:rPr>
          <w:lang w:val="fr-CA"/>
        </w:rPr>
        <w:t xml:space="preserve">réinsertion sociale. Ces services sont </w:t>
      </w:r>
      <w:r>
        <w:rPr>
          <w:lang w:val="fr-CA"/>
        </w:rPr>
        <w:t>adaptés aux</w:t>
      </w:r>
      <w:r w:rsidRPr="003777B2">
        <w:rPr>
          <w:lang w:val="fr-CA"/>
        </w:rPr>
        <w:t xml:space="preserve"> besoins des participants, peu importe la durée de leur peine ou de leur incarcération. En réponse à la section 14.8, l’ISCCA appuie </w:t>
      </w:r>
      <w:r>
        <w:rPr>
          <w:lang w:val="fr-CA"/>
        </w:rPr>
        <w:t>également la conception</w:t>
      </w:r>
      <w:r w:rsidRPr="003777B2">
        <w:rPr>
          <w:lang w:val="fr-CA"/>
        </w:rPr>
        <w:t xml:space="preserve"> et la mise en œuvre de projets </w:t>
      </w:r>
      <w:r>
        <w:rPr>
          <w:lang w:val="fr-CA"/>
        </w:rPr>
        <w:t>communautaires autochtones</w:t>
      </w:r>
      <w:r w:rsidRPr="003777B2">
        <w:rPr>
          <w:lang w:val="fr-CA"/>
        </w:rPr>
        <w:t xml:space="preserve"> qui tiennent compte des besoins et réalités propres aux Autochtones en conflit avec la justice, y compris les femmes, les filles et les personnes 2ELGBTQI+.</w:t>
      </w:r>
    </w:p>
    <w:p w14:paraId="280CBA53" w14:textId="77777777" w:rsidR="00C83F56" w:rsidRPr="00A7517B" w:rsidRDefault="00C83F56" w:rsidP="004F23C1">
      <w:pPr>
        <w:pStyle w:val="SingleTxtG"/>
        <w:numPr>
          <w:ilvl w:val="0"/>
          <w:numId w:val="4"/>
        </w:numPr>
        <w:ind w:left="1134" w:firstLine="0"/>
        <w:rPr>
          <w:rFonts w:eastAsia="Times New Roman"/>
          <w:lang w:val="fr-CA"/>
        </w:rPr>
      </w:pPr>
      <w:bookmarkStart w:id="145" w:name="lt_pId288"/>
      <w:r w:rsidRPr="00A06818">
        <w:rPr>
          <w:rFonts w:eastAsia="Times New Roman"/>
          <w:iCs/>
          <w:lang w:val="fr-CA"/>
        </w:rPr>
        <w:t>Parcours vers la sécurité : Stratégie de l’Ontario en réponse au rapport final de l’Enquête nationale sur les femmes et les filles autochtones disparues et assassinées</w:t>
      </w:r>
      <w:r>
        <w:rPr>
          <w:rFonts w:eastAsia="Times New Roman"/>
          <w:iCs/>
          <w:lang w:val="fr-CA"/>
        </w:rPr>
        <w:t>,</w:t>
      </w:r>
      <w:r w:rsidRPr="005761ED">
        <w:rPr>
          <w:rFonts w:eastAsia="Times New Roman"/>
          <w:lang w:val="fr-CA"/>
        </w:rPr>
        <w:t xml:space="preserve"> </w:t>
      </w:r>
      <w:bookmarkEnd w:id="145"/>
      <w:r w:rsidRPr="00FC0089">
        <w:rPr>
          <w:rFonts w:eastAsia="Times New Roman"/>
          <w:lang w:val="fr-CA"/>
        </w:rPr>
        <w:t>développé conjointement</w:t>
      </w:r>
      <w:r w:rsidRPr="0096749B">
        <w:rPr>
          <w:rFonts w:eastAsia="Times New Roman"/>
          <w:lang w:val="fr-CA"/>
        </w:rPr>
        <w:t xml:space="preserve"> avec le Conseil consultatif des femmes autochtones, a été publié en 2021. Des rapports d’étape ont été publiés en 2022 et 2023 pour mettre en lumière les principales initiatives dirigées par les Autochtones ainsi que les initiatives et stratégies gouvernementales plus larges qui soutiennent les femmes, filles, personnes 2SLGBTQQIA+ autochtones et leurs communautés. L’Ontario collabore </w:t>
      </w:r>
      <w:r w:rsidRPr="00391194">
        <w:rPr>
          <w:lang w:val="fr-CA"/>
        </w:rPr>
        <w:t>avec</w:t>
      </w:r>
      <w:r w:rsidRPr="0096749B">
        <w:rPr>
          <w:rFonts w:eastAsia="Times New Roman"/>
          <w:lang w:val="fr-CA"/>
        </w:rPr>
        <w:t xml:space="preserve"> le Conseil consultatif des femmes autochtones pour mettre en œuvre la stratégie en renforçant les relations avec les communautés et organisations autochtones et en comblant les lacunes par une analyse de la transformation des systèmes et des interventions dans des domaines prioritaires tels que la justice, la police et le bien-être de l’enfance.</w:t>
      </w:r>
    </w:p>
    <w:p w14:paraId="0B54C24B" w14:textId="77777777" w:rsidR="00C83F56" w:rsidRPr="00A7517B" w:rsidRDefault="00C83F56" w:rsidP="004F23C1">
      <w:pPr>
        <w:pStyle w:val="SingleTxtG"/>
        <w:numPr>
          <w:ilvl w:val="0"/>
          <w:numId w:val="4"/>
        </w:numPr>
        <w:ind w:left="1134" w:firstLine="0"/>
        <w:rPr>
          <w:lang w:val="fr-CA"/>
        </w:rPr>
      </w:pPr>
      <w:bookmarkStart w:id="146" w:name="lt_pId289"/>
      <w:r w:rsidRPr="000A3005">
        <w:rPr>
          <w:lang w:val="fr-CA"/>
        </w:rPr>
        <w:t>En réponse à l</w:t>
      </w:r>
      <w:r>
        <w:rPr>
          <w:lang w:val="fr-CA"/>
        </w:rPr>
        <w:t>’appel à la justice </w:t>
      </w:r>
      <w:r w:rsidRPr="000A3005">
        <w:rPr>
          <w:lang w:val="fr-CA"/>
        </w:rPr>
        <w:t>20 du rapport propre au Québec, l</w:t>
      </w:r>
      <w:r>
        <w:rPr>
          <w:lang w:val="fr-CA"/>
        </w:rPr>
        <w:t>’</w:t>
      </w:r>
      <w:r w:rsidRPr="000A3005">
        <w:rPr>
          <w:lang w:val="fr-CA"/>
        </w:rPr>
        <w:t xml:space="preserve">Assemblée nationale du Québec a adopté la </w:t>
      </w:r>
      <w:r w:rsidRPr="000A3005">
        <w:rPr>
          <w:i/>
          <w:lang w:val="fr-CA"/>
        </w:rPr>
        <w:t>Loi autorisant la communication de renseignements personnels aux familles d</w:t>
      </w:r>
      <w:r>
        <w:rPr>
          <w:i/>
          <w:lang w:val="fr-CA"/>
        </w:rPr>
        <w:t>’</w:t>
      </w:r>
      <w:r w:rsidRPr="000A3005">
        <w:rPr>
          <w:i/>
          <w:lang w:val="fr-CA"/>
        </w:rPr>
        <w:t>enfants autochtones disparus ou décédés à la suite d</w:t>
      </w:r>
      <w:r>
        <w:rPr>
          <w:i/>
          <w:lang w:val="fr-CA"/>
        </w:rPr>
        <w:t>’</w:t>
      </w:r>
      <w:r w:rsidRPr="000A3005">
        <w:rPr>
          <w:i/>
          <w:lang w:val="fr-CA"/>
        </w:rPr>
        <w:t>une admission en établissement</w:t>
      </w:r>
      <w:r w:rsidRPr="000A3005">
        <w:rPr>
          <w:lang w:val="fr-CA"/>
        </w:rPr>
        <w:t>.</w:t>
      </w:r>
      <w:bookmarkEnd w:id="146"/>
      <w:r w:rsidRPr="00A7517B">
        <w:rPr>
          <w:lang w:val="fr-CA"/>
        </w:rPr>
        <w:t xml:space="preserve"> </w:t>
      </w:r>
      <w:bookmarkStart w:id="147" w:name="lt_pId290"/>
      <w:r>
        <w:rPr>
          <w:lang w:val="fr-CA"/>
        </w:rPr>
        <w:t>Cette Loi, entrée en vigueur en 2021, vise à soutenir les familles dans leur recherche de renseignements auprès des établissements de santé et de services sociaux et des congrégations religieuses, notamment sur les circonstances entourant la disparition ou le décès de leur enfant à la suite de son admission dans un établissement.</w:t>
      </w:r>
      <w:bookmarkEnd w:id="147"/>
      <w:r>
        <w:rPr>
          <w:lang w:val="fr-CA"/>
        </w:rPr>
        <w:t xml:space="preserve"> </w:t>
      </w:r>
      <w:r w:rsidRPr="00927EE3">
        <w:rPr>
          <w:lang w:val="fr-CA"/>
        </w:rPr>
        <w:t>Entre l’entrée en vigueur de la Loi et 2025, des recherches de renseignements concernant 209 enfants à partir des requêtes reçues de la part de 121 demanderesses et demandeurs ont été effectuées.</w:t>
      </w:r>
    </w:p>
    <w:p w14:paraId="4DAE7D4E" w14:textId="77777777" w:rsidR="00C83F56" w:rsidRPr="00A7517B" w:rsidRDefault="00C83F56" w:rsidP="004F23C1">
      <w:pPr>
        <w:pStyle w:val="SingleTxtG"/>
        <w:numPr>
          <w:ilvl w:val="0"/>
          <w:numId w:val="4"/>
        </w:numPr>
        <w:ind w:left="1134" w:firstLine="0"/>
        <w:rPr>
          <w:rFonts w:eastAsia="Times New Roman"/>
          <w:lang w:val="fr-CA"/>
        </w:rPr>
      </w:pPr>
      <w:bookmarkStart w:id="148" w:name="lt_pId291"/>
      <w:r>
        <w:rPr>
          <w:rFonts w:eastAsia="Times New Roman"/>
          <w:lang w:val="fr-CA"/>
        </w:rPr>
        <w:t>Dans le cadre du Plan d’action « Travailler ensemble pour des communautés sans violence</w:t>
      </w:r>
      <w:r w:rsidRPr="00E7089D">
        <w:rPr>
          <w:lang w:val="fr-CA"/>
        </w:rPr>
        <w:t xml:space="preserve"> </w:t>
      </w:r>
      <w:r w:rsidRPr="00E7089D">
        <w:rPr>
          <w:rFonts w:eastAsia="Times New Roman"/>
          <w:lang w:val="fr-CA"/>
        </w:rPr>
        <w:t xml:space="preserve">», </w:t>
      </w:r>
      <w:r>
        <w:rPr>
          <w:rFonts w:eastAsia="Times New Roman"/>
          <w:lang w:val="fr-CA"/>
        </w:rPr>
        <w:t>Terre-Neuve-et-Labrador s’engage à collaborer avec les communautés autochtones pour élaborer leurs propres solutions et interventions culturellement appropriées visant à prévenir la violence envers les femmes et les enfants.</w:t>
      </w:r>
      <w:bookmarkEnd w:id="148"/>
      <w:r w:rsidRPr="00A7517B">
        <w:rPr>
          <w:rFonts w:eastAsia="Times New Roman"/>
          <w:lang w:val="fr-CA"/>
        </w:rPr>
        <w:t xml:space="preserve"> </w:t>
      </w:r>
      <w:bookmarkStart w:id="149" w:name="lt_pId292"/>
      <w:r>
        <w:rPr>
          <w:rFonts w:eastAsia="Times New Roman"/>
          <w:lang w:val="fr-CA"/>
        </w:rPr>
        <w:t xml:space="preserve">Cela </w:t>
      </w:r>
      <w:r w:rsidRPr="00391194">
        <w:rPr>
          <w:lang w:val="fr-CA"/>
        </w:rPr>
        <w:t>comprend</w:t>
      </w:r>
      <w:r>
        <w:rPr>
          <w:rFonts w:eastAsia="Times New Roman"/>
          <w:lang w:val="fr-CA"/>
        </w:rPr>
        <w:t xml:space="preserve"> la mobilisation des gouvernements et des communautés autochtones pour renforcer les capacités de leadership des femmes autochtones et appuyer les hommes et les garçons autochtones dans leurs efforts pour rejeter et prévenir toutes les formes de violence.</w:t>
      </w:r>
      <w:bookmarkEnd w:id="149"/>
    </w:p>
    <w:p w14:paraId="3A09ECCF" w14:textId="77777777" w:rsidR="00C83F56" w:rsidRDefault="00C83F56" w:rsidP="004F23C1">
      <w:pPr>
        <w:pStyle w:val="SingleTxtG"/>
        <w:numPr>
          <w:ilvl w:val="0"/>
          <w:numId w:val="4"/>
        </w:numPr>
        <w:ind w:left="1134" w:firstLine="0"/>
        <w:rPr>
          <w:lang w:val="fr-CA"/>
        </w:rPr>
      </w:pPr>
      <w:r>
        <w:rPr>
          <w:lang w:val="fr-CA"/>
        </w:rPr>
        <w:t>Depuis</w:t>
      </w:r>
      <w:r w:rsidRPr="00EE3C1B">
        <w:rPr>
          <w:lang w:val="fr-CA"/>
        </w:rPr>
        <w:t xml:space="preserve"> 2022, la Colombie-Britannique a publié des rapports d'étape décrivant l'action </w:t>
      </w:r>
      <w:proofErr w:type="spellStart"/>
      <w:r w:rsidRPr="00EE3C1B">
        <w:rPr>
          <w:lang w:val="fr-CA"/>
        </w:rPr>
        <w:t>intergouvernementale</w:t>
      </w:r>
      <w:proofErr w:type="spellEnd"/>
      <w:r w:rsidRPr="00EE3C1B">
        <w:rPr>
          <w:lang w:val="fr-CA"/>
        </w:rPr>
        <w:t xml:space="preserve"> visant à mettre fin à la violence contre les femmes et les filles autochtones et les personnes 2</w:t>
      </w:r>
      <w:r>
        <w:rPr>
          <w:lang w:val="fr-CA"/>
        </w:rPr>
        <w:t>E</w:t>
      </w:r>
      <w:r w:rsidRPr="00EE3C1B">
        <w:rPr>
          <w:lang w:val="fr-CA"/>
        </w:rPr>
        <w:t>LGBTQ</w:t>
      </w:r>
      <w:r>
        <w:rPr>
          <w:lang w:val="fr-CA"/>
        </w:rPr>
        <w:t>Q</w:t>
      </w:r>
      <w:r w:rsidRPr="00EE3C1B">
        <w:rPr>
          <w:lang w:val="fr-CA"/>
        </w:rPr>
        <w:t xml:space="preserve">IA+ en réponse à </w:t>
      </w:r>
      <w:r w:rsidRPr="00DB3B25">
        <w:rPr>
          <w:lang w:val="fr-CA"/>
        </w:rPr>
        <w:t>l</w:t>
      </w:r>
      <w:r>
        <w:rPr>
          <w:lang w:val="fr-CA"/>
        </w:rPr>
        <w:t>’</w:t>
      </w:r>
      <w:r w:rsidRPr="00DB3B25">
        <w:rPr>
          <w:lang w:val="fr-CA"/>
        </w:rPr>
        <w:t>Enquête nationale sur les FFADA</w:t>
      </w:r>
      <w:r w:rsidRPr="00EE3C1B">
        <w:rPr>
          <w:lang w:val="fr-CA"/>
        </w:rPr>
        <w:t>. Les mises à jour soulignent les initiatives gouvernementales connexes, notamment les soutiens communautaires, la santé et le bien-être, le logement, la justice et la sécurité publique, la protection de l'enfance, l'éducation et la réconciliation, les droits indigènes et les projets de préservation culturelle.</w:t>
      </w:r>
    </w:p>
    <w:p w14:paraId="29CE8204" w14:textId="77777777" w:rsidR="00C83F56" w:rsidRDefault="00C83F56" w:rsidP="004F23C1">
      <w:pPr>
        <w:pStyle w:val="SingleTxtG"/>
        <w:numPr>
          <w:ilvl w:val="0"/>
          <w:numId w:val="4"/>
        </w:numPr>
        <w:ind w:left="1134" w:firstLine="0"/>
        <w:rPr>
          <w:lang w:val="fr-CA"/>
        </w:rPr>
      </w:pPr>
      <w:r w:rsidRPr="00EE3C1B">
        <w:rPr>
          <w:lang w:val="fr-CA"/>
        </w:rPr>
        <w:t xml:space="preserve">L'Alberta </w:t>
      </w:r>
      <w:r>
        <w:rPr>
          <w:lang w:val="fr-CA"/>
        </w:rPr>
        <w:t>met en place d</w:t>
      </w:r>
      <w:r w:rsidRPr="00EE3C1B">
        <w:rPr>
          <w:lang w:val="fr-CA"/>
        </w:rPr>
        <w:t>es initiatives visant à garantir que les femmes, les filles et les personnes 2</w:t>
      </w:r>
      <w:r>
        <w:rPr>
          <w:lang w:val="fr-CA"/>
        </w:rPr>
        <w:t>E</w:t>
      </w:r>
      <w:r w:rsidRPr="00EE3C1B">
        <w:rPr>
          <w:lang w:val="fr-CA"/>
        </w:rPr>
        <w:t>LGBTQ</w:t>
      </w:r>
      <w:r>
        <w:rPr>
          <w:lang w:val="fr-CA"/>
        </w:rPr>
        <w:t>Q</w:t>
      </w:r>
      <w:r w:rsidRPr="00EE3C1B">
        <w:rPr>
          <w:lang w:val="fr-CA"/>
        </w:rPr>
        <w:t>IA+ autochtones so</w:t>
      </w:r>
      <w:r>
        <w:rPr>
          <w:lang w:val="fr-CA"/>
        </w:rPr>
        <w:t>ient</w:t>
      </w:r>
      <w:r w:rsidRPr="00EE3C1B">
        <w:rPr>
          <w:lang w:val="fr-CA"/>
        </w:rPr>
        <w:t xml:space="preserve"> traitées avec dignité et respect</w:t>
      </w:r>
      <w:r>
        <w:rPr>
          <w:lang w:val="fr-CA"/>
        </w:rPr>
        <w:t>, y compris sur le plan économique</w:t>
      </w:r>
      <w:r w:rsidRPr="00EE3C1B">
        <w:rPr>
          <w:lang w:val="fr-CA"/>
        </w:rPr>
        <w:t xml:space="preserve">. En 2022, </w:t>
      </w:r>
      <w:r>
        <w:rPr>
          <w:lang w:val="fr-CA"/>
        </w:rPr>
        <w:t xml:space="preserve">la </w:t>
      </w:r>
      <w:r w:rsidRPr="00C362E9">
        <w:rPr>
          <w:lang w:val="fr-CA"/>
        </w:rPr>
        <w:t>Feuille de route de l'Alberta sur les femmes et les filles autochtones disparues et assassinées a été</w:t>
      </w:r>
      <w:r w:rsidRPr="00EE3C1B">
        <w:rPr>
          <w:lang w:val="fr-CA"/>
        </w:rPr>
        <w:t xml:space="preserve"> publiée et le</w:t>
      </w:r>
      <w:r w:rsidRPr="00D16069">
        <w:rPr>
          <w:lang w:val="fr-CA"/>
        </w:rPr>
        <w:t xml:space="preserve"> Conseil de la première ministre de l’Alberta sur les FFADA+ </w:t>
      </w:r>
      <w:r w:rsidRPr="00EE3C1B">
        <w:rPr>
          <w:lang w:val="fr-CA"/>
        </w:rPr>
        <w:t xml:space="preserve">a été créé pour guider les actions du gouvernement. Le mandat quinquennal du </w:t>
      </w:r>
      <w:r>
        <w:rPr>
          <w:lang w:val="fr-CA"/>
        </w:rPr>
        <w:t>C</w:t>
      </w:r>
      <w:r w:rsidRPr="00EE3C1B">
        <w:rPr>
          <w:lang w:val="fr-CA"/>
        </w:rPr>
        <w:t>onseil comprend le suivi des progrès réalisés et l'établissement de rapports à ce sujet.</w:t>
      </w:r>
    </w:p>
    <w:p w14:paraId="725E8B7F" w14:textId="77777777" w:rsidR="00C83F56" w:rsidRPr="00A7517B" w:rsidRDefault="00C83F56" w:rsidP="004F23C1">
      <w:pPr>
        <w:pStyle w:val="SingleTxtG"/>
        <w:numPr>
          <w:ilvl w:val="0"/>
          <w:numId w:val="4"/>
        </w:numPr>
        <w:ind w:left="1134" w:firstLine="0"/>
        <w:rPr>
          <w:lang w:val="fr-CA"/>
        </w:rPr>
      </w:pPr>
      <w:r w:rsidRPr="00D16069">
        <w:rPr>
          <w:lang w:val="fr-CA"/>
        </w:rPr>
        <w:t xml:space="preserve">En 2023, l'Alberta a lancé le </w:t>
      </w:r>
      <w:r w:rsidRPr="00C362E9">
        <w:rPr>
          <w:lang w:val="fr-CA"/>
        </w:rPr>
        <w:t>Fonds de soutien communautaire</w:t>
      </w:r>
      <w:r w:rsidRPr="00D16069">
        <w:rPr>
          <w:lang w:val="fr-CA"/>
        </w:rPr>
        <w:t xml:space="preserve">, un programme de subventions annuelles de 4 millions de dollars qui vise à améliorer le bien-être des femmes, des filles et des personnes </w:t>
      </w:r>
      <w:r w:rsidRPr="00EE3C1B">
        <w:rPr>
          <w:lang w:val="fr-CA"/>
        </w:rPr>
        <w:t>2</w:t>
      </w:r>
      <w:r>
        <w:rPr>
          <w:lang w:val="fr-CA"/>
        </w:rPr>
        <w:t>E</w:t>
      </w:r>
      <w:r w:rsidRPr="00EE3C1B">
        <w:rPr>
          <w:lang w:val="fr-CA"/>
        </w:rPr>
        <w:t>LGBTQ</w:t>
      </w:r>
      <w:r>
        <w:rPr>
          <w:lang w:val="fr-CA"/>
        </w:rPr>
        <w:t>Q</w:t>
      </w:r>
      <w:r w:rsidRPr="00EE3C1B">
        <w:rPr>
          <w:lang w:val="fr-CA"/>
        </w:rPr>
        <w:t>IA+ autochtones</w:t>
      </w:r>
      <w:r w:rsidRPr="00D16069">
        <w:rPr>
          <w:lang w:val="fr-CA"/>
        </w:rPr>
        <w:t xml:space="preserve">. Le programme </w:t>
      </w:r>
      <w:r>
        <w:rPr>
          <w:lang w:val="fr-CA"/>
        </w:rPr>
        <w:t>finance des projets dirigés par des</w:t>
      </w:r>
      <w:r w:rsidRPr="00D16069">
        <w:rPr>
          <w:lang w:val="fr-CA"/>
        </w:rPr>
        <w:t xml:space="preserve"> </w:t>
      </w:r>
      <w:r>
        <w:rPr>
          <w:lang w:val="fr-CA"/>
        </w:rPr>
        <w:t>A</w:t>
      </w:r>
      <w:r w:rsidRPr="00D16069">
        <w:rPr>
          <w:lang w:val="fr-CA"/>
        </w:rPr>
        <w:t xml:space="preserve">utochtones qui </w:t>
      </w:r>
      <w:r>
        <w:rPr>
          <w:lang w:val="fr-CA"/>
        </w:rPr>
        <w:t xml:space="preserve">visent à prévenir </w:t>
      </w:r>
      <w:r w:rsidRPr="00D16069">
        <w:rPr>
          <w:lang w:val="fr-CA"/>
        </w:rPr>
        <w:t>la violence, renforce</w:t>
      </w:r>
      <w:r>
        <w:rPr>
          <w:lang w:val="fr-CA"/>
        </w:rPr>
        <w:t>r</w:t>
      </w:r>
      <w:r w:rsidRPr="00D16069">
        <w:rPr>
          <w:lang w:val="fr-CA"/>
        </w:rPr>
        <w:t xml:space="preserve"> la sécurité et amélior</w:t>
      </w:r>
      <w:r>
        <w:rPr>
          <w:lang w:val="fr-CA"/>
        </w:rPr>
        <w:t>er</w:t>
      </w:r>
      <w:r w:rsidRPr="00D16069">
        <w:rPr>
          <w:lang w:val="fr-CA"/>
        </w:rPr>
        <w:t xml:space="preserve"> la sécurité économique</w:t>
      </w:r>
      <w:r w:rsidRPr="0096749B">
        <w:rPr>
          <w:lang w:val="fr-CA"/>
        </w:rPr>
        <w:t xml:space="preserve"> </w:t>
      </w:r>
      <w:r w:rsidRPr="00ED5670">
        <w:rPr>
          <w:lang w:val="fr-CA"/>
        </w:rPr>
        <w:t>des femmes, des filles et des personnes 2ELGBTQQIA+ autochtones</w:t>
      </w:r>
      <w:r w:rsidRPr="00D16069">
        <w:rPr>
          <w:lang w:val="fr-CA"/>
        </w:rPr>
        <w:t xml:space="preserve">. </w:t>
      </w:r>
      <w:r>
        <w:rPr>
          <w:lang w:val="fr-CA"/>
        </w:rPr>
        <w:t>Ces projets</w:t>
      </w:r>
      <w:r w:rsidRPr="00D16069">
        <w:rPr>
          <w:lang w:val="fr-CA"/>
        </w:rPr>
        <w:t xml:space="preserve"> comprennent des cercles de guérison, des liens de mentorat, des réseaux de soutien par les pairs, des formations professionnelles et des programmes d'éducation financière.</w:t>
      </w:r>
    </w:p>
    <w:p w14:paraId="301A823F" w14:textId="67B44D7F" w:rsidR="00C83F56" w:rsidRPr="00A7517B" w:rsidRDefault="00647AF1" w:rsidP="00647AF1">
      <w:pPr>
        <w:pStyle w:val="H1G"/>
        <w:rPr>
          <w:lang w:val="fr-CA"/>
        </w:rPr>
      </w:pPr>
      <w:bookmarkStart w:id="150" w:name="lt_pId295"/>
      <w:r>
        <w:rPr>
          <w:lang w:val="fr-CA"/>
        </w:rPr>
        <w:tab/>
      </w:r>
      <w:r>
        <w:rPr>
          <w:lang w:val="fr-CA"/>
        </w:rPr>
        <w:tab/>
      </w:r>
      <w:r w:rsidR="00C83F56" w:rsidRPr="00184929">
        <w:rPr>
          <w:lang w:val="fr-CA"/>
        </w:rPr>
        <w:t xml:space="preserve">Questions </w:t>
      </w:r>
      <w:r w:rsidR="00146714" w:rsidRPr="00184929">
        <w:rPr>
          <w:lang w:val="fr-CA"/>
        </w:rPr>
        <w:t>socio-économiques</w:t>
      </w:r>
      <w:r w:rsidR="00C83F56" w:rsidRPr="00184929">
        <w:rPr>
          <w:lang w:val="fr-CA"/>
        </w:rPr>
        <w:t xml:space="preserve"> pour les Autochtones vivant dans les réserves et hors réserve</w:t>
      </w:r>
      <w:bookmarkEnd w:id="150"/>
    </w:p>
    <w:p w14:paraId="04036F26" w14:textId="5A458957" w:rsidR="00C83F56" w:rsidRPr="00A7517B" w:rsidRDefault="00647AF1" w:rsidP="00647AF1">
      <w:pPr>
        <w:pStyle w:val="H23G"/>
        <w:rPr>
          <w:lang w:val="fr-CA"/>
        </w:rPr>
      </w:pPr>
      <w:bookmarkStart w:id="151" w:name="lt_pId296"/>
      <w:r>
        <w:rPr>
          <w:lang w:val="fr-CA"/>
        </w:rPr>
        <w:tab/>
      </w:r>
      <w:r>
        <w:rPr>
          <w:lang w:val="fr-CA"/>
        </w:rPr>
        <w:tab/>
      </w:r>
      <w:r w:rsidR="00C83F56">
        <w:rPr>
          <w:lang w:val="fr-CA"/>
        </w:rPr>
        <w:t>Mettre fin au sous-financement des services destinés aux enfants et aux familles autochtones</w:t>
      </w:r>
      <w:bookmarkEnd w:id="151"/>
    </w:p>
    <w:p w14:paraId="12CBCA7E" w14:textId="77777777" w:rsidR="00C83F56" w:rsidRPr="001E0FC2" w:rsidRDefault="00C83F56" w:rsidP="004F23C1">
      <w:pPr>
        <w:pStyle w:val="SingleTxtG"/>
        <w:numPr>
          <w:ilvl w:val="0"/>
          <w:numId w:val="4"/>
        </w:numPr>
        <w:ind w:left="1134" w:firstLine="0"/>
        <w:rPr>
          <w:lang w:val="fr-CA"/>
        </w:rPr>
      </w:pPr>
      <w:bookmarkStart w:id="152" w:name="lt_pId303"/>
      <w:r>
        <w:rPr>
          <w:lang w:val="fr-CA"/>
        </w:rPr>
        <w:t>En</w:t>
      </w:r>
      <w:r w:rsidRPr="001E0FC2">
        <w:rPr>
          <w:lang w:val="fr-CA"/>
        </w:rPr>
        <w:t xml:space="preserve"> 2016, le Tribunal canadien des droits de la personne a conclu que le </w:t>
      </w:r>
      <w:r>
        <w:rPr>
          <w:lang w:val="fr-CA"/>
        </w:rPr>
        <w:t>GC</w:t>
      </w:r>
      <w:r w:rsidRPr="001E0FC2">
        <w:rPr>
          <w:lang w:val="fr-CA"/>
        </w:rPr>
        <w:t xml:space="preserve"> avait fait preuve de discrimination envers les enfants</w:t>
      </w:r>
      <w:r>
        <w:rPr>
          <w:lang w:val="fr-CA"/>
        </w:rPr>
        <w:t xml:space="preserve"> et les familles</w:t>
      </w:r>
      <w:r w:rsidRPr="001E0FC2">
        <w:rPr>
          <w:lang w:val="fr-CA"/>
        </w:rPr>
        <w:t xml:space="preserve"> des Premières Nations vivant dans les réserves et au Yukon en sous-finançant les Services à l'enfance et à la famille des Premières Nations (SEFPN). Le Tribunal a ordonné au </w:t>
      </w:r>
      <w:r>
        <w:rPr>
          <w:lang w:val="fr-CA"/>
        </w:rPr>
        <w:t>GC</w:t>
      </w:r>
      <w:r w:rsidRPr="001E0FC2">
        <w:rPr>
          <w:lang w:val="fr-CA"/>
        </w:rPr>
        <w:t xml:space="preserve"> de</w:t>
      </w:r>
      <w:r>
        <w:rPr>
          <w:lang w:val="fr-CA"/>
        </w:rPr>
        <w:t xml:space="preserve"> mettre fin à ses</w:t>
      </w:r>
      <w:r w:rsidRPr="001E0FC2">
        <w:rPr>
          <w:lang w:val="fr-CA"/>
        </w:rPr>
        <w:t xml:space="preserve"> pratiques discriminatoires</w:t>
      </w:r>
      <w:r>
        <w:rPr>
          <w:lang w:val="fr-CA"/>
        </w:rPr>
        <w:t xml:space="preserve">, </w:t>
      </w:r>
      <w:r w:rsidRPr="001E0FC2">
        <w:rPr>
          <w:lang w:val="fr-CA"/>
        </w:rPr>
        <w:t>de réformer le programme des SEFPN</w:t>
      </w:r>
      <w:r>
        <w:rPr>
          <w:lang w:val="fr-CA"/>
        </w:rPr>
        <w:t xml:space="preserve">, et de cesser d’appliquer une définition restrictive </w:t>
      </w:r>
      <w:r w:rsidRPr="001E0FC2">
        <w:rPr>
          <w:lang w:val="fr-CA"/>
        </w:rPr>
        <w:t>du principe de Jordan.</w:t>
      </w:r>
    </w:p>
    <w:p w14:paraId="2F23F467" w14:textId="77777777" w:rsidR="00C83F56" w:rsidRDefault="00C83F56" w:rsidP="004F23C1">
      <w:pPr>
        <w:pStyle w:val="SingleTxtG"/>
        <w:numPr>
          <w:ilvl w:val="0"/>
          <w:numId w:val="4"/>
        </w:numPr>
        <w:ind w:left="1134" w:firstLine="0"/>
        <w:rPr>
          <w:lang w:val="fr-CA"/>
        </w:rPr>
      </w:pPr>
      <w:r w:rsidRPr="001E0FC2">
        <w:rPr>
          <w:lang w:val="fr-CA"/>
        </w:rPr>
        <w:t xml:space="preserve">En 2023, le </w:t>
      </w:r>
      <w:r>
        <w:rPr>
          <w:lang w:val="fr-CA"/>
        </w:rPr>
        <w:t>GC</w:t>
      </w:r>
      <w:r w:rsidRPr="001E0FC2">
        <w:rPr>
          <w:lang w:val="fr-CA"/>
        </w:rPr>
        <w:t xml:space="preserve"> a conclu un accord de règlement définitif </w:t>
      </w:r>
      <w:r>
        <w:rPr>
          <w:lang w:val="fr-CA"/>
        </w:rPr>
        <w:t>mené</w:t>
      </w:r>
      <w:r w:rsidRPr="001E0FC2">
        <w:rPr>
          <w:lang w:val="fr-CA"/>
        </w:rPr>
        <w:t xml:space="preserve"> par les Premières Nations</w:t>
      </w:r>
      <w:r>
        <w:rPr>
          <w:lang w:val="fr-CA"/>
        </w:rPr>
        <w:t>,</w:t>
      </w:r>
      <w:r w:rsidRPr="001E0FC2">
        <w:rPr>
          <w:lang w:val="fr-CA"/>
        </w:rPr>
        <w:t xml:space="preserve"> avec les plaignants dans les recours collectifs de l'Assemblée des Premières Nations - </w:t>
      </w:r>
      <w:proofErr w:type="spellStart"/>
      <w:r w:rsidRPr="001E0FC2">
        <w:rPr>
          <w:lang w:val="fr-CA"/>
        </w:rPr>
        <w:t>Moushoom</w:t>
      </w:r>
      <w:proofErr w:type="spellEnd"/>
      <w:r w:rsidRPr="001E0FC2">
        <w:rPr>
          <w:lang w:val="fr-CA"/>
        </w:rPr>
        <w:t xml:space="preserve"> et Trout</w:t>
      </w:r>
      <w:r>
        <w:rPr>
          <w:lang w:val="fr-CA"/>
        </w:rPr>
        <w:t xml:space="preserve"> -</w:t>
      </w:r>
      <w:r w:rsidRPr="001E0FC2">
        <w:rPr>
          <w:lang w:val="fr-CA"/>
        </w:rPr>
        <w:t>, avec le soutien de la Société de soutien à l'enfance et à la famille des Premières Nations, afin d'indemniser les enfants et familles</w:t>
      </w:r>
      <w:r>
        <w:rPr>
          <w:lang w:val="fr-CA"/>
        </w:rPr>
        <w:t xml:space="preserve"> des Premières Nations lésés par</w:t>
      </w:r>
      <w:r w:rsidRPr="001E0FC2">
        <w:rPr>
          <w:lang w:val="fr-CA"/>
        </w:rPr>
        <w:t xml:space="preserve"> le sous-financement discriminatoire du programme des SEFPN et </w:t>
      </w:r>
      <w:r>
        <w:rPr>
          <w:lang w:val="fr-CA"/>
        </w:rPr>
        <w:t xml:space="preserve">par l’application de </w:t>
      </w:r>
      <w:r w:rsidRPr="001E0FC2">
        <w:rPr>
          <w:lang w:val="fr-CA"/>
        </w:rPr>
        <w:t>la définition restrictive du principe de Jordan.</w:t>
      </w:r>
    </w:p>
    <w:p w14:paraId="1163E8D7" w14:textId="77777777" w:rsidR="00C83F56" w:rsidRPr="001E0FC2" w:rsidRDefault="00C83F56" w:rsidP="004F23C1">
      <w:pPr>
        <w:pStyle w:val="SingleTxtG"/>
        <w:numPr>
          <w:ilvl w:val="0"/>
          <w:numId w:val="4"/>
        </w:numPr>
        <w:ind w:left="1134" w:firstLine="0"/>
        <w:rPr>
          <w:lang w:val="fr-CA"/>
        </w:rPr>
      </w:pPr>
      <w:r w:rsidRPr="00FC0089">
        <w:rPr>
          <w:lang w:val="fr-CA"/>
        </w:rPr>
        <w:t xml:space="preserve">Le GC continue de travailler pour répondre aux besoins des enfants autochtones. </w:t>
      </w:r>
      <w:r w:rsidRPr="001E0FC2">
        <w:rPr>
          <w:lang w:val="fr-CA"/>
        </w:rPr>
        <w:t xml:space="preserve">En plus des efforts continus pour réformer le programme SEFPN, le </w:t>
      </w:r>
      <w:r>
        <w:rPr>
          <w:lang w:val="fr-CA"/>
        </w:rPr>
        <w:t>GC</w:t>
      </w:r>
      <w:r w:rsidRPr="001E0FC2">
        <w:rPr>
          <w:lang w:val="fr-CA"/>
        </w:rPr>
        <w:t xml:space="preserve"> a travaillé avec les organismes gouvernementaux autochtones et les gouvernements provinciaux et territoriaux pour mettre en œuvre la </w:t>
      </w:r>
      <w:r w:rsidRPr="0096749B">
        <w:rPr>
          <w:i/>
          <w:iCs/>
          <w:lang w:val="fr-CA"/>
        </w:rPr>
        <w:t>Loi concernant les enfants, les jeunes et les familles des Premières Nations, des Inuits et des Métis</w:t>
      </w:r>
      <w:r w:rsidRPr="001E0FC2">
        <w:rPr>
          <w:lang w:val="fr-CA"/>
        </w:rPr>
        <w:t xml:space="preserve"> (la Loi). La Loi, qui est entrée en vigueur </w:t>
      </w:r>
      <w:r>
        <w:rPr>
          <w:lang w:val="fr-CA"/>
        </w:rPr>
        <w:t>en</w:t>
      </w:r>
      <w:r w:rsidRPr="001E0FC2">
        <w:rPr>
          <w:lang w:val="fr-CA"/>
        </w:rPr>
        <w:t xml:space="preserve"> 2020, établit des principes nationaux, tels que l'intérêt supérieur de l'enfant, la continuité culturelle et l'égalité réelle, afin d'orienter la prestation des services à l'enfance et à la famille, et fournit un cadre permettant à un organisme dirigeant autochtone, agissant au nom d'un groupe, d'une communauté ou d'un peuple autochtone, d'exercer sa compétence en matière de services à l'enfance et à la famille. </w:t>
      </w:r>
      <w:bookmarkEnd w:id="152"/>
    </w:p>
    <w:p w14:paraId="40E83647" w14:textId="77777777" w:rsidR="00C83F56" w:rsidRPr="003777B2" w:rsidRDefault="00C83F56" w:rsidP="004F23C1">
      <w:pPr>
        <w:pStyle w:val="SingleTxtG"/>
        <w:numPr>
          <w:ilvl w:val="0"/>
          <w:numId w:val="4"/>
        </w:numPr>
        <w:ind w:left="1134" w:firstLine="0"/>
        <w:rPr>
          <w:lang w:val="fr-CA"/>
        </w:rPr>
      </w:pPr>
      <w:r w:rsidRPr="003777B2">
        <w:rPr>
          <w:lang w:val="fr-CA"/>
        </w:rPr>
        <w:t>Dans le budget fédéral de 2021, le GC s’est engagé à créer, en partenariat avec les</w:t>
      </w:r>
      <w:r>
        <w:rPr>
          <w:lang w:val="fr-CA"/>
        </w:rPr>
        <w:t xml:space="preserve"> gouvernements</w:t>
      </w:r>
      <w:r w:rsidRPr="003777B2">
        <w:rPr>
          <w:lang w:val="fr-CA"/>
        </w:rPr>
        <w:t xml:space="preserve"> PT et les communautés autochtones,</w:t>
      </w:r>
      <w:r>
        <w:rPr>
          <w:lang w:val="fr-CA"/>
        </w:rPr>
        <w:t xml:space="preserve"> à créer</w:t>
      </w:r>
      <w:r w:rsidRPr="003777B2">
        <w:rPr>
          <w:lang w:val="fr-CA"/>
        </w:rPr>
        <w:t xml:space="preserve"> un système pancanadien d’apprentissage et de garde des jeunes enfants (AGJE) de qualité, abordable, flexible et inclusif. </w:t>
      </w:r>
      <w:r>
        <w:rPr>
          <w:lang w:val="fr-CA"/>
        </w:rPr>
        <w:t>D</w:t>
      </w:r>
      <w:r w:rsidRPr="003777B2">
        <w:rPr>
          <w:lang w:val="fr-CA"/>
        </w:rPr>
        <w:t>es ententes bilatérales de cinq ans, assorties de plans d’inclusion</w:t>
      </w:r>
      <w:r>
        <w:rPr>
          <w:lang w:val="fr-CA"/>
        </w:rPr>
        <w:t>, permettent le transfert de fonds fédéraux afin de garantir</w:t>
      </w:r>
      <w:r w:rsidRPr="003777B2">
        <w:rPr>
          <w:lang w:val="fr-CA"/>
        </w:rPr>
        <w:t xml:space="preserve"> l’accès de tous les enfants, peu importe leur origine, à des services de garde abordables et réglementés.</w:t>
      </w:r>
      <w:r>
        <w:rPr>
          <w:lang w:val="fr-CA"/>
        </w:rPr>
        <w:t xml:space="preserve"> </w:t>
      </w:r>
      <w:r w:rsidRPr="003777B2">
        <w:rPr>
          <w:lang w:val="fr-CA"/>
        </w:rPr>
        <w:t xml:space="preserve">En 2022, le GC a lancé le Fonds d’infrastructure pour l’AGJE afin d’aider les </w:t>
      </w:r>
      <w:r>
        <w:rPr>
          <w:lang w:val="fr-CA"/>
        </w:rPr>
        <w:t xml:space="preserve">gouvernements </w:t>
      </w:r>
      <w:r w:rsidRPr="003777B2">
        <w:rPr>
          <w:lang w:val="fr-CA"/>
        </w:rPr>
        <w:t xml:space="preserve">PT à soutenir les communautés mal desservies, notamment les groupes autochtones, noirs et racisés, les communautés de langue officielle en situation minoritaire, les nouveaux arrivants et les personnes en situation de handicap. En 2024, la </w:t>
      </w:r>
      <w:r w:rsidRPr="0096749B">
        <w:rPr>
          <w:i/>
          <w:iCs/>
          <w:lang w:val="fr-CA"/>
        </w:rPr>
        <w:t>Loi sur l’apprentissage et la garde des jeunes enfants</w:t>
      </w:r>
      <w:r w:rsidRPr="003777B2">
        <w:rPr>
          <w:lang w:val="fr-CA"/>
        </w:rPr>
        <w:t xml:space="preserve"> a reçu la sanction royale, confirmant l’engagement du Canada à maintenir un financement à long terme pour </w:t>
      </w:r>
      <w:r>
        <w:rPr>
          <w:lang w:val="fr-CA"/>
        </w:rPr>
        <w:t>s</w:t>
      </w:r>
      <w:r w:rsidRPr="003777B2">
        <w:rPr>
          <w:lang w:val="fr-CA"/>
        </w:rPr>
        <w:t>es partenaires PT et autochtones.</w:t>
      </w:r>
    </w:p>
    <w:p w14:paraId="27772826" w14:textId="4D61F4AF" w:rsidR="00C83F56" w:rsidRPr="00061946" w:rsidRDefault="00C83F56" w:rsidP="004F23C1">
      <w:pPr>
        <w:pStyle w:val="SingleTxtG"/>
        <w:numPr>
          <w:ilvl w:val="0"/>
          <w:numId w:val="4"/>
        </w:numPr>
        <w:ind w:left="1134" w:firstLine="0"/>
        <w:rPr>
          <w:lang w:val="fr-CA"/>
        </w:rPr>
      </w:pPr>
      <w:bookmarkStart w:id="153" w:name="lt_pId308"/>
      <w:r w:rsidRPr="00061946">
        <w:rPr>
          <w:lang w:val="fr-CA"/>
        </w:rPr>
        <w:t>Le Cadre d</w:t>
      </w:r>
      <w:r>
        <w:rPr>
          <w:lang w:val="fr-CA"/>
        </w:rPr>
        <w:t>’</w:t>
      </w:r>
      <w:r w:rsidRPr="00061946">
        <w:rPr>
          <w:lang w:val="fr-CA"/>
        </w:rPr>
        <w:t>apprentissage et de garde des jeunes enfants autochtones établit des principes généraux et une vision pour des familles et des enfants autochtones heureux et en sécurité, une forte identité culturelle et un système complet et coordonné qui est ancré dans l</w:t>
      </w:r>
      <w:r>
        <w:rPr>
          <w:lang w:val="fr-CA"/>
        </w:rPr>
        <w:t>’</w:t>
      </w:r>
      <w:r w:rsidR="00146714" w:rsidRPr="00061946">
        <w:rPr>
          <w:lang w:val="fr-CA"/>
        </w:rPr>
        <w:t>auto-détermination</w:t>
      </w:r>
      <w:r w:rsidRPr="00061946">
        <w:rPr>
          <w:lang w:val="fr-CA"/>
        </w:rPr>
        <w:t>, axé sur les enfants et fondé sur la culture.</w:t>
      </w:r>
      <w:bookmarkEnd w:id="153"/>
      <w:r w:rsidRPr="00061946">
        <w:rPr>
          <w:lang w:val="fr-CA"/>
        </w:rPr>
        <w:t xml:space="preserve"> </w:t>
      </w:r>
      <w:bookmarkStart w:id="154" w:name="lt_pId309"/>
      <w:r w:rsidRPr="00061946">
        <w:rPr>
          <w:lang w:val="fr-CA"/>
        </w:rPr>
        <w:t>Ce cadr</w:t>
      </w:r>
      <w:r>
        <w:rPr>
          <w:lang w:val="fr-CA"/>
        </w:rPr>
        <w:t>e a été publié conjointement en </w:t>
      </w:r>
      <w:r w:rsidRPr="00061946">
        <w:rPr>
          <w:lang w:val="fr-CA"/>
        </w:rPr>
        <w:t xml:space="preserve">2018 par le </w:t>
      </w:r>
      <w:r>
        <w:rPr>
          <w:lang w:val="fr-CA"/>
        </w:rPr>
        <w:t>GC</w:t>
      </w:r>
      <w:r w:rsidRPr="00061946">
        <w:rPr>
          <w:lang w:val="fr-CA"/>
        </w:rPr>
        <w:t>, l</w:t>
      </w:r>
      <w:r>
        <w:rPr>
          <w:lang w:val="fr-CA"/>
        </w:rPr>
        <w:t>’</w:t>
      </w:r>
      <w:r w:rsidRPr="00061946">
        <w:rPr>
          <w:lang w:val="fr-CA"/>
        </w:rPr>
        <w:t>Assemblée des Premières Nations, l</w:t>
      </w:r>
      <w:r>
        <w:rPr>
          <w:lang w:val="fr-CA"/>
        </w:rPr>
        <w:t>’</w:t>
      </w:r>
      <w:r w:rsidRPr="00061946">
        <w:rPr>
          <w:lang w:val="fr-CA"/>
        </w:rPr>
        <w:t xml:space="preserve">Inuit </w:t>
      </w:r>
      <w:proofErr w:type="spellStart"/>
      <w:r w:rsidRPr="00061946">
        <w:rPr>
          <w:lang w:val="fr-CA"/>
        </w:rPr>
        <w:t>Tapiriit</w:t>
      </w:r>
      <w:proofErr w:type="spellEnd"/>
      <w:r w:rsidRPr="00061946">
        <w:rPr>
          <w:lang w:val="fr-CA"/>
        </w:rPr>
        <w:t xml:space="preserve"> </w:t>
      </w:r>
      <w:proofErr w:type="spellStart"/>
      <w:r w:rsidRPr="00061946">
        <w:rPr>
          <w:lang w:val="fr-CA"/>
        </w:rPr>
        <w:t>Kanatami</w:t>
      </w:r>
      <w:proofErr w:type="spellEnd"/>
      <w:r w:rsidRPr="00061946">
        <w:rPr>
          <w:lang w:val="fr-CA"/>
        </w:rPr>
        <w:t xml:space="preserve"> et le Ralliement national des Métis.</w:t>
      </w:r>
      <w:bookmarkEnd w:id="154"/>
    </w:p>
    <w:p w14:paraId="214BF1EE" w14:textId="77777777" w:rsidR="00C83F56" w:rsidRPr="003777B2" w:rsidRDefault="00C83F56" w:rsidP="004F23C1">
      <w:pPr>
        <w:pStyle w:val="SingleTxtG"/>
        <w:numPr>
          <w:ilvl w:val="0"/>
          <w:numId w:val="4"/>
        </w:numPr>
        <w:ind w:left="1134" w:firstLine="0"/>
        <w:rPr>
          <w:lang w:val="fr-CA"/>
        </w:rPr>
      </w:pPr>
      <w:r w:rsidRPr="003777B2">
        <w:rPr>
          <w:lang w:val="fr-CA"/>
        </w:rPr>
        <w:t>Le principe de Jordan</w:t>
      </w:r>
      <w:r>
        <w:rPr>
          <w:lang w:val="fr-CA"/>
        </w:rPr>
        <w:t xml:space="preserve"> est un principe</w:t>
      </w:r>
      <w:r w:rsidRPr="003777B2">
        <w:rPr>
          <w:lang w:val="fr-CA"/>
        </w:rPr>
        <w:t xml:space="preserve"> </w:t>
      </w:r>
      <w:r w:rsidRPr="00936F8E">
        <w:rPr>
          <w:lang w:val="fr-CA"/>
        </w:rPr>
        <w:t>lié aux droits de la personne</w:t>
      </w:r>
      <w:r>
        <w:rPr>
          <w:lang w:val="fr-CA"/>
        </w:rPr>
        <w:t xml:space="preserve"> </w:t>
      </w:r>
      <w:r w:rsidRPr="00622554">
        <w:rPr>
          <w:lang w:val="fr-CA"/>
        </w:rPr>
        <w:t>établi par le Tribunal canadien des droits de la personne</w:t>
      </w:r>
      <w:r>
        <w:rPr>
          <w:lang w:val="fr-CA"/>
        </w:rPr>
        <w:t xml:space="preserve"> afin de garantir </w:t>
      </w:r>
      <w:r w:rsidRPr="00622554">
        <w:rPr>
          <w:lang w:val="fr-CA"/>
        </w:rPr>
        <w:t xml:space="preserve">que tous les enfants des Premières Nations aient un accès pratiquement égal aux services gouvernementaux compte tenu de leurs circonstances, de leurs expériences et de leurs besoins particuliers et pour que ces enfants ne soient pas la cible de lacunes, de retards ou de refus en raison de leur identité autochtone. Le </w:t>
      </w:r>
      <w:r>
        <w:rPr>
          <w:lang w:val="fr-CA"/>
        </w:rPr>
        <w:t>GC</w:t>
      </w:r>
      <w:r w:rsidRPr="00622554">
        <w:rPr>
          <w:lang w:val="fr-CA"/>
        </w:rPr>
        <w:t xml:space="preserve"> applique les ordonnances du Tribunal. À ce jour, on a annoncé un financement de près de 8,8 milliards de dollars relativement au principe de Jordan et depuis 2016, 8,7 millions de produits, de services et de demandes de soutien ont été approuvés.</w:t>
      </w:r>
      <w:r>
        <w:rPr>
          <w:lang w:val="fr-CA"/>
        </w:rPr>
        <w:t xml:space="preserve"> </w:t>
      </w:r>
    </w:p>
    <w:p w14:paraId="798CECCF" w14:textId="77777777" w:rsidR="00C83F56" w:rsidRPr="00D8479E" w:rsidRDefault="00C83F56" w:rsidP="004F23C1">
      <w:pPr>
        <w:pStyle w:val="SingleTxtG"/>
        <w:numPr>
          <w:ilvl w:val="0"/>
          <w:numId w:val="4"/>
        </w:numPr>
        <w:ind w:left="1134" w:firstLine="0"/>
        <w:rPr>
          <w:lang w:val="fr-CA"/>
        </w:rPr>
      </w:pPr>
      <w:bookmarkStart w:id="155" w:name="lt_pId315"/>
      <w:r w:rsidRPr="00FC0089">
        <w:rPr>
          <w:lang w:val="fr-CA"/>
        </w:rPr>
        <w:t>L’Initiative : Les enfants inuits d’abord</w:t>
      </w:r>
      <w:r w:rsidRPr="0096749B">
        <w:rPr>
          <w:lang w:val="fr-CA"/>
        </w:rPr>
        <w:t xml:space="preserve"> est une approche intérimaire fondée sur le principe de Jordan. Elle a pour but de s’assurer que les enfants inuits ont accès aux produits, aux services et aux mesures de soutien essentiels financés par le gouvernement en matière de santé, d’éducation et de services sociaux dont ils ont besoin, au moment où ils en ont besoin. Entre 2019 et 2024, le </w:t>
      </w:r>
      <w:r>
        <w:rPr>
          <w:lang w:val="fr-CA"/>
        </w:rPr>
        <w:t>GC</w:t>
      </w:r>
      <w:r w:rsidRPr="0096749B">
        <w:rPr>
          <w:lang w:val="fr-CA"/>
        </w:rPr>
        <w:t xml:space="preserve"> a approuvé 274 239 produits, services et mesures pour les besoins des enfants inuits de partout au Canada. </w:t>
      </w:r>
      <w:r>
        <w:rPr>
          <w:lang w:val="fr-CA"/>
        </w:rPr>
        <w:t>Le GC</w:t>
      </w:r>
      <w:r w:rsidRPr="0096749B">
        <w:rPr>
          <w:lang w:val="fr-CA"/>
        </w:rPr>
        <w:t xml:space="preserve"> collabore avec des partenaires inuits, notamment l’Inuit </w:t>
      </w:r>
      <w:proofErr w:type="spellStart"/>
      <w:r w:rsidRPr="0096749B">
        <w:rPr>
          <w:lang w:val="fr-CA"/>
        </w:rPr>
        <w:t>Tapiriit</w:t>
      </w:r>
      <w:proofErr w:type="spellEnd"/>
      <w:r w:rsidRPr="0096749B">
        <w:rPr>
          <w:lang w:val="fr-CA"/>
        </w:rPr>
        <w:t xml:space="preserve"> </w:t>
      </w:r>
      <w:proofErr w:type="spellStart"/>
      <w:r w:rsidRPr="0096749B">
        <w:rPr>
          <w:lang w:val="fr-CA"/>
        </w:rPr>
        <w:t>Kanatami</w:t>
      </w:r>
      <w:proofErr w:type="spellEnd"/>
      <w:r w:rsidRPr="0096749B">
        <w:rPr>
          <w:lang w:val="fr-CA"/>
        </w:rPr>
        <w:t xml:space="preserve"> et les quatre organisations inuites établies en vertu d’un traité, sur l’élaboration d’une approche à long terme propre aux Inuits. Cette </w:t>
      </w:r>
      <w:r>
        <w:rPr>
          <w:lang w:val="fr-CA"/>
        </w:rPr>
        <w:t xml:space="preserve">nouvelle </w:t>
      </w:r>
      <w:r w:rsidRPr="0096749B">
        <w:rPr>
          <w:lang w:val="fr-CA"/>
        </w:rPr>
        <w:t>approche aura comme objectif d’harmoniser les mesures de soutien pour mieux répondre aux besoins des enfants inuits en matière de santé, de services sociaux et d’éducation.</w:t>
      </w:r>
      <w:bookmarkEnd w:id="155"/>
    </w:p>
    <w:p w14:paraId="2E65A7A1" w14:textId="77777777" w:rsidR="00C83F56" w:rsidRPr="00A7517B" w:rsidRDefault="00C83F56" w:rsidP="004F23C1">
      <w:pPr>
        <w:pStyle w:val="SingleTxtG"/>
        <w:numPr>
          <w:ilvl w:val="0"/>
          <w:numId w:val="4"/>
        </w:numPr>
        <w:ind w:left="1134" w:firstLine="0"/>
        <w:rPr>
          <w:rFonts w:eastAsia="Times New Roman"/>
          <w:lang w:val="fr-CA"/>
        </w:rPr>
      </w:pPr>
      <w:bookmarkStart w:id="156" w:name="lt_pId320"/>
      <w:r w:rsidRPr="002D4B81">
        <w:rPr>
          <w:rFonts w:eastAsia="Times New Roman"/>
          <w:lang w:val="fr-CA"/>
        </w:rPr>
        <w:t>L</w:t>
      </w:r>
      <w:r>
        <w:rPr>
          <w:rFonts w:eastAsia="Times New Roman"/>
          <w:lang w:val="fr-CA"/>
        </w:rPr>
        <w:t>’</w:t>
      </w:r>
      <w:r w:rsidRPr="002D4B81">
        <w:rPr>
          <w:rFonts w:eastAsia="Times New Roman"/>
          <w:lang w:val="fr-CA"/>
        </w:rPr>
        <w:t>Alberta a mis en place un comité pangouvernemental sur le principe de Jordan afin d</w:t>
      </w:r>
      <w:r>
        <w:rPr>
          <w:rFonts w:eastAsia="Times New Roman"/>
          <w:lang w:val="fr-CA"/>
        </w:rPr>
        <w:t>’</w:t>
      </w:r>
      <w:r w:rsidRPr="002D4B81">
        <w:rPr>
          <w:rFonts w:eastAsia="Times New Roman"/>
          <w:lang w:val="fr-CA"/>
        </w:rPr>
        <w:t>établir les lacunes des programmes provinciaux et fédéraux destinés aux enfants des Premières Nations et de repérer les possibilités de collaboration et de gestion de cas.</w:t>
      </w:r>
      <w:bookmarkEnd w:id="156"/>
      <w:r w:rsidRPr="00A7517B">
        <w:rPr>
          <w:rFonts w:eastAsia="Times New Roman"/>
          <w:lang w:val="fr-CA"/>
        </w:rPr>
        <w:t xml:space="preserve"> </w:t>
      </w:r>
    </w:p>
    <w:p w14:paraId="0CDC8AA8" w14:textId="77777777" w:rsidR="00C83F56" w:rsidRPr="00A7517B" w:rsidRDefault="00C83F56" w:rsidP="004F23C1">
      <w:pPr>
        <w:pStyle w:val="SingleTxtG"/>
        <w:numPr>
          <w:ilvl w:val="0"/>
          <w:numId w:val="4"/>
        </w:numPr>
        <w:ind w:left="1134" w:firstLine="0"/>
        <w:rPr>
          <w:lang w:val="fr-CA"/>
        </w:rPr>
      </w:pPr>
      <w:bookmarkStart w:id="157" w:name="lt_pId321"/>
      <w:r w:rsidRPr="00287BD6">
        <w:rPr>
          <w:lang w:val="fr-CA"/>
        </w:rPr>
        <w:t xml:space="preserve">Dans le cadre du </w:t>
      </w:r>
      <w:r w:rsidRPr="00C362E9">
        <w:rPr>
          <w:lang w:val="fr-CA"/>
        </w:rPr>
        <w:t>Plan d’action gouvernemental pour le mieux-être social et culturel des Premières Nations et des Inuits, le</w:t>
      </w:r>
      <w:r w:rsidRPr="00287BD6">
        <w:rPr>
          <w:lang w:val="fr-CA"/>
        </w:rPr>
        <w:t xml:space="preserve"> gouvernement du Québec a exprimé sa volonté de travailler activement avec son partenaire fédéral pour mettre en œuvre le principe de Jordan</w:t>
      </w:r>
      <w:bookmarkStart w:id="158" w:name="lt_pId322"/>
      <w:bookmarkEnd w:id="157"/>
      <w:r>
        <w:rPr>
          <w:lang w:val="fr-CA"/>
        </w:rPr>
        <w:t>, et collabore d’ailleurs avec le GC, notamment par l’intermédiaire du Comité des coordonnateurs régionaux du Québec.</w:t>
      </w:r>
      <w:bookmarkEnd w:id="158"/>
      <w:r w:rsidRPr="00A7517B">
        <w:rPr>
          <w:lang w:val="fr-CA"/>
        </w:rPr>
        <w:t xml:space="preserve"> </w:t>
      </w:r>
      <w:bookmarkStart w:id="159" w:name="lt_pId323"/>
      <w:r>
        <w:rPr>
          <w:lang w:val="fr-CA"/>
        </w:rPr>
        <w:t>Ce comité vise à mobiliser les partenaires et à repérer les difficultés et les solutions associées à la prestation de services aux enfants des Premières Nations, ainsi qu’à adopter des approches globales et durables dans le cadre d’un continuum de services.</w:t>
      </w:r>
      <w:bookmarkEnd w:id="159"/>
    </w:p>
    <w:p w14:paraId="03C0073B" w14:textId="77777777" w:rsidR="00C83F56" w:rsidRDefault="00C83F56" w:rsidP="004F23C1">
      <w:pPr>
        <w:pStyle w:val="SingleTxtG"/>
        <w:numPr>
          <w:ilvl w:val="0"/>
          <w:numId w:val="4"/>
        </w:numPr>
        <w:ind w:left="1134" w:firstLine="0"/>
        <w:rPr>
          <w:lang w:val="fr-CA"/>
        </w:rPr>
      </w:pPr>
      <w:bookmarkStart w:id="160" w:name="lt_pId324"/>
      <w:r w:rsidRPr="00C93DAA">
        <w:rPr>
          <w:lang w:val="fr-CA"/>
        </w:rPr>
        <w:t>L</w:t>
      </w:r>
      <w:r>
        <w:rPr>
          <w:lang w:val="fr-CA"/>
        </w:rPr>
        <w:t>’</w:t>
      </w:r>
      <w:r w:rsidRPr="00C93DAA">
        <w:rPr>
          <w:lang w:val="fr-CA"/>
        </w:rPr>
        <w:t xml:space="preserve">Île-du-Prince-Édouard a récemment </w:t>
      </w:r>
      <w:r>
        <w:rPr>
          <w:lang w:val="fr-CA"/>
        </w:rPr>
        <w:t xml:space="preserve">créé et approuvé </w:t>
      </w:r>
      <w:r w:rsidRPr="00C93DAA">
        <w:rPr>
          <w:lang w:val="fr-CA"/>
        </w:rPr>
        <w:t xml:space="preserve">un guide de conformité provisoire pour la </w:t>
      </w:r>
      <w:r w:rsidRPr="00C93DAA">
        <w:rPr>
          <w:i/>
          <w:lang w:val="fr-CA"/>
        </w:rPr>
        <w:t>Loi concernant les enfants, les jeunes et les familles des Premières Nations, des Inuits et des Métis</w:t>
      </w:r>
      <w:r w:rsidRPr="00C93DAA">
        <w:rPr>
          <w:lang w:val="fr-CA"/>
        </w:rPr>
        <w:t>, qui comprend des renseignements sur le principe de Jordan et les coordonnées de son bureau</w:t>
      </w:r>
      <w:r>
        <w:rPr>
          <w:lang w:val="fr-CA"/>
        </w:rPr>
        <w:t xml:space="preserve"> principal</w:t>
      </w:r>
      <w:r w:rsidRPr="00C93DAA">
        <w:rPr>
          <w:lang w:val="fr-CA"/>
        </w:rPr>
        <w:t>.</w:t>
      </w:r>
      <w:bookmarkEnd w:id="160"/>
      <w:r w:rsidRPr="00A7517B">
        <w:rPr>
          <w:lang w:val="fr-CA"/>
        </w:rPr>
        <w:t xml:space="preserve"> </w:t>
      </w:r>
      <w:r w:rsidRPr="00D16069">
        <w:rPr>
          <w:lang w:val="fr-CA"/>
        </w:rPr>
        <w:t>Tous les travailleurs sociaux de l'enfance et de la famille ont été formés à l'utilisation de ce guide.</w:t>
      </w:r>
      <w:bookmarkStart w:id="161" w:name="lt_pId325"/>
      <w:r>
        <w:rPr>
          <w:lang w:val="fr-CA"/>
        </w:rPr>
        <w:t xml:space="preserve"> </w:t>
      </w:r>
      <w:r w:rsidRPr="00C362E9">
        <w:rPr>
          <w:lang w:val="fr-CA"/>
        </w:rPr>
        <w:t xml:space="preserve">La province a également modifié la </w:t>
      </w:r>
      <w:r w:rsidRPr="00C362E9">
        <w:rPr>
          <w:i/>
          <w:lang w:val="fr-CA"/>
        </w:rPr>
        <w:t>Loi sur l’assistance sociale</w:t>
      </w:r>
      <w:r w:rsidRPr="00C362E9">
        <w:rPr>
          <w:lang w:val="fr-CA"/>
        </w:rPr>
        <w:t xml:space="preserve"> et la </w:t>
      </w:r>
      <w:r w:rsidRPr="00C362E9">
        <w:rPr>
          <w:i/>
          <w:iCs/>
          <w:lang w:val="fr-CA"/>
        </w:rPr>
        <w:t>Loi sur le soutien aux personnes handicapées</w:t>
      </w:r>
      <w:r w:rsidRPr="00C362E9">
        <w:rPr>
          <w:lang w:val="fr-CA"/>
        </w:rPr>
        <w:t xml:space="preserve"> en réponse aux décisions du Tribunal des droits de la personne relatives à la protection de l’enfance pour les enfants autochtones et au principe de Jordan.</w:t>
      </w:r>
      <w:bookmarkEnd w:id="161"/>
    </w:p>
    <w:p w14:paraId="78E21EBF" w14:textId="77777777" w:rsidR="00C83F56" w:rsidRPr="004F1CF2" w:rsidRDefault="00C83F56" w:rsidP="004F23C1">
      <w:pPr>
        <w:pStyle w:val="SingleTxtG"/>
        <w:numPr>
          <w:ilvl w:val="0"/>
          <w:numId w:val="4"/>
        </w:numPr>
        <w:ind w:left="1134" w:firstLine="0"/>
        <w:rPr>
          <w:lang w:val="fr-CA"/>
        </w:rPr>
      </w:pPr>
      <w:r w:rsidRPr="00D20654">
        <w:rPr>
          <w:lang w:val="fr-CA"/>
        </w:rPr>
        <w:t xml:space="preserve">Pour aider à éliminer le racisme et réduire les obstacles systémiques à l’accès aux systèmes et aux services de santé, le </w:t>
      </w:r>
      <w:r>
        <w:rPr>
          <w:lang w:val="fr-CA"/>
        </w:rPr>
        <w:t>GC</w:t>
      </w:r>
      <w:r w:rsidRPr="00D20654">
        <w:rPr>
          <w:lang w:val="fr-CA"/>
        </w:rPr>
        <w:t xml:space="preserve"> a lancé, en 2022, le Programme de lutte contre le racisme et la discrimination dans les systèmes de santé du Canada afin de favoriser des systèmes de santé exempts de racisme et de discrimination, et d’accroître également la capacité des partenaires du système de santé à fournir des services de santé culturellement adaptés et inclusifs pour les communautés autochtones, racisées et marginalisées.</w:t>
      </w:r>
      <w:r>
        <w:rPr>
          <w:lang w:val="fr-CA"/>
        </w:rPr>
        <w:t xml:space="preserve"> </w:t>
      </w:r>
      <w:r w:rsidRPr="004F1CF2">
        <w:rPr>
          <w:lang w:val="fr-CA"/>
        </w:rPr>
        <w:t>Le Programme de lutte contre le racisme et la discrimination dans les systèmes de santé du Canada dispose de deux volets de financement distincts. Le volet « Projets » soutient des initiatives communautaires visant à combattre le racisme et la discrimination systémique dans les systèmes de santé, en s’appuyant sur les expériences vécues par les communautés autochtones, racisées et marginalisées. Son premier appel de propositions, lancé en en 2022, ciblait le racisme anti-autochtone, avec priorité accordée aux projets axés sur la conception et la mise en œuvre de formations, de programmes et d’exigences d’accréditation, ainsi que sur l’intégration de soins et d’approches traditionnelles culturellement adaptés dans les établissements de santé. Le volet « Engagement », également lancé en 2022, fournit un financement ciblé aux organisations autochtones nationales pour renforcer leur capacité à faire progresser leurs priorités en matière de santé.</w:t>
      </w:r>
    </w:p>
    <w:p w14:paraId="15C28E0F" w14:textId="0ABBFD3C" w:rsidR="00C83F56" w:rsidRPr="003B386E" w:rsidRDefault="00647AF1" w:rsidP="00647AF1">
      <w:pPr>
        <w:pStyle w:val="H23G"/>
        <w:rPr>
          <w:lang w:val="fr-CA"/>
        </w:rPr>
      </w:pPr>
      <w:bookmarkStart w:id="162" w:name="lt_pId326"/>
      <w:r>
        <w:rPr>
          <w:lang w:val="fr-CA"/>
        </w:rPr>
        <w:tab/>
      </w:r>
      <w:r>
        <w:rPr>
          <w:lang w:val="fr-CA"/>
        </w:rPr>
        <w:tab/>
      </w:r>
      <w:r w:rsidR="00C83F56" w:rsidRPr="003B386E">
        <w:rPr>
          <w:lang w:val="fr-CA"/>
        </w:rPr>
        <w:t>Commission de vérité et réconciliation</w:t>
      </w:r>
      <w:bookmarkEnd w:id="162"/>
    </w:p>
    <w:p w14:paraId="63D094E9" w14:textId="77777777" w:rsidR="00C83F56" w:rsidRPr="00A7517B" w:rsidRDefault="00C83F56" w:rsidP="004F23C1">
      <w:pPr>
        <w:pStyle w:val="SingleTxtG"/>
        <w:numPr>
          <w:ilvl w:val="0"/>
          <w:numId w:val="4"/>
        </w:numPr>
        <w:ind w:left="1134" w:firstLine="0"/>
        <w:rPr>
          <w:lang w:val="fr-CA"/>
        </w:rPr>
      </w:pPr>
      <w:bookmarkStart w:id="163" w:name="lt_pId327"/>
      <w:r w:rsidRPr="51A13573">
        <w:rPr>
          <w:lang w:val="fr-CA"/>
        </w:rPr>
        <w:t xml:space="preserve">Le </w:t>
      </w:r>
      <w:r>
        <w:rPr>
          <w:lang w:val="fr-CA"/>
        </w:rPr>
        <w:t>GC</w:t>
      </w:r>
      <w:r w:rsidRPr="51A13573">
        <w:rPr>
          <w:lang w:val="fr-CA"/>
        </w:rPr>
        <w:t xml:space="preserve"> a adopté une approche pangouvernementale pour mettre en œuvre les appels à l’action de la Commission de vérité et réconciliation (CVR).</w:t>
      </w:r>
      <w:bookmarkEnd w:id="163"/>
      <w:r w:rsidRPr="51A13573">
        <w:rPr>
          <w:lang w:val="fr-CA"/>
        </w:rPr>
        <w:t xml:space="preserve"> </w:t>
      </w:r>
      <w:bookmarkStart w:id="164" w:name="lt_pId328"/>
      <w:r w:rsidRPr="51A13573">
        <w:rPr>
          <w:lang w:val="fr-CA"/>
        </w:rPr>
        <w:t xml:space="preserve">En outre, 76 des 94 appels à l’action de la CVR relèvent de la responsabilité du </w:t>
      </w:r>
      <w:r>
        <w:rPr>
          <w:lang w:val="fr-CA"/>
        </w:rPr>
        <w:t>GC</w:t>
      </w:r>
      <w:r w:rsidRPr="51A13573">
        <w:rPr>
          <w:lang w:val="fr-CA"/>
        </w:rPr>
        <w:t xml:space="preserve"> ou sont partagés avec les </w:t>
      </w:r>
      <w:r>
        <w:rPr>
          <w:lang w:val="fr-CA"/>
        </w:rPr>
        <w:t xml:space="preserve">gouvernements </w:t>
      </w:r>
      <w:r w:rsidRPr="51A13573">
        <w:rPr>
          <w:lang w:val="fr-CA"/>
        </w:rPr>
        <w:t>PT et d’autres partenaires clés.</w:t>
      </w:r>
      <w:bookmarkEnd w:id="164"/>
      <w:r w:rsidRPr="51A13573">
        <w:rPr>
          <w:lang w:val="fr-CA"/>
        </w:rPr>
        <w:t xml:space="preserve"> </w:t>
      </w:r>
      <w:bookmarkStart w:id="165" w:name="lt_pId329"/>
      <w:r w:rsidRPr="51A13573">
        <w:rPr>
          <w:lang w:val="fr-CA"/>
        </w:rPr>
        <w:t>Plus de 85 % de ces 76 appels à l’action relevant de la compétence fédérale ou de la responsabilité partagée ont été réalisés ou sont en cours de réalisation.</w:t>
      </w:r>
      <w:bookmarkEnd w:id="165"/>
      <w:r w:rsidRPr="51A13573">
        <w:rPr>
          <w:lang w:val="fr-CA"/>
        </w:rPr>
        <w:t xml:space="preserve"> </w:t>
      </w:r>
    </w:p>
    <w:p w14:paraId="53EDA914" w14:textId="77777777" w:rsidR="00C83F56" w:rsidRPr="0096749B" w:rsidRDefault="00C83F56" w:rsidP="004F23C1">
      <w:pPr>
        <w:pStyle w:val="SingleTxtG"/>
        <w:numPr>
          <w:ilvl w:val="0"/>
          <w:numId w:val="4"/>
        </w:numPr>
        <w:ind w:left="1134" w:firstLine="0"/>
        <w:rPr>
          <w:color w:val="000000" w:themeColor="text1"/>
          <w:lang w:val="fr-CA"/>
        </w:rPr>
      </w:pPr>
      <w:r w:rsidRPr="0096749B">
        <w:rPr>
          <w:color w:val="000000" w:themeColor="text1"/>
          <w:lang w:val="fr-CA"/>
        </w:rPr>
        <w:t xml:space="preserve">Les appels à l'action (#53-56) concernent la création du Conseil national pour la réconciliation, dans le but de fournir une structure de gouvernance officielle pour surveiller et évaluer les progrès de la réconciliation, y compris les progrès réalisés dans la mise en œuvre des ATC et en rendre compte annuellement au Parlement. La </w:t>
      </w:r>
      <w:r w:rsidRPr="0096749B">
        <w:rPr>
          <w:i/>
          <w:iCs/>
          <w:color w:val="000000" w:themeColor="text1"/>
          <w:lang w:val="fr-CA"/>
        </w:rPr>
        <w:t>Loi sur le Conseil national de réconciliation</w:t>
      </w:r>
      <w:r w:rsidRPr="0096749B">
        <w:rPr>
          <w:color w:val="000000" w:themeColor="text1"/>
          <w:lang w:val="fr-CA"/>
        </w:rPr>
        <w:t xml:space="preserve"> a reçu la </w:t>
      </w:r>
      <w:r w:rsidRPr="00391194">
        <w:rPr>
          <w:lang w:val="fr-CA"/>
        </w:rPr>
        <w:t>sanction</w:t>
      </w:r>
      <w:r w:rsidRPr="0096749B">
        <w:rPr>
          <w:color w:val="000000" w:themeColor="text1"/>
          <w:lang w:val="fr-CA"/>
        </w:rPr>
        <w:t xml:space="preserve"> royale le 30 avril 2024 et est entrée en vigueur le 2 juillet 2024. La Loi fait en sorte que le Conseil national pour la réconciliation sera un organisme indépendant, dirigée par des Autochtones et apolitique, qui s'efforcera de faire progresser la réconciliation. En 2025, le premier conseil d'administration du Conseil national de la réconciliation a été nommé.</w:t>
      </w:r>
    </w:p>
    <w:p w14:paraId="5F7C3676" w14:textId="77777777" w:rsidR="00C83F56" w:rsidRPr="00A7517B" w:rsidRDefault="00C83F56" w:rsidP="004F23C1">
      <w:pPr>
        <w:pStyle w:val="SingleTxtG"/>
        <w:numPr>
          <w:ilvl w:val="0"/>
          <w:numId w:val="4"/>
        </w:numPr>
        <w:ind w:left="1134" w:firstLine="0"/>
        <w:rPr>
          <w:lang w:val="fr-CA"/>
        </w:rPr>
      </w:pPr>
      <w:bookmarkStart w:id="166" w:name="lt_pId334"/>
      <w:r>
        <w:rPr>
          <w:lang w:val="fr-CA"/>
        </w:rPr>
        <w:t xml:space="preserve">Le GC met en œuvre plusieurs nouveaux investissements qui favorisent la transition des jeunes autochtones vers le marché du travail, </w:t>
      </w:r>
      <w:bookmarkStart w:id="167" w:name="lt_pId335"/>
      <w:bookmarkEnd w:id="166"/>
      <w:r>
        <w:rPr>
          <w:lang w:val="fr-CA"/>
        </w:rPr>
        <w:t xml:space="preserve">en </w:t>
      </w:r>
      <w:r w:rsidRPr="00802B58">
        <w:rPr>
          <w:lang w:val="fr-CA"/>
        </w:rPr>
        <w:t>collaborant avec les organisations et les fournisseurs de services des Premières Nations, des Métis et des Inuits pour veiller à ce que tous les Autochtones aient accès au perfectionnement des compétences et à la formation professionnelle dont ils ont besoin pour participer pleinement à l</w:t>
      </w:r>
      <w:r>
        <w:rPr>
          <w:lang w:val="fr-CA"/>
        </w:rPr>
        <w:t>’</w:t>
      </w:r>
      <w:r w:rsidRPr="00802B58">
        <w:rPr>
          <w:lang w:val="fr-CA"/>
        </w:rPr>
        <w:t>économie canadienne.</w:t>
      </w:r>
      <w:bookmarkEnd w:id="167"/>
    </w:p>
    <w:p w14:paraId="3B4230AC" w14:textId="77777777" w:rsidR="00C83F56" w:rsidRPr="00A7517B" w:rsidRDefault="00C83F56" w:rsidP="004F23C1">
      <w:pPr>
        <w:pStyle w:val="SingleTxtG"/>
        <w:numPr>
          <w:ilvl w:val="0"/>
          <w:numId w:val="4"/>
        </w:numPr>
        <w:ind w:left="1134" w:firstLine="0"/>
        <w:rPr>
          <w:lang w:val="fr-CA"/>
        </w:rPr>
      </w:pPr>
      <w:bookmarkStart w:id="168" w:name="lt_pId336"/>
      <w:r w:rsidRPr="00D501ED">
        <w:rPr>
          <w:lang w:val="fr-CA"/>
        </w:rPr>
        <w:t xml:space="preserve">Le </w:t>
      </w:r>
      <w:r>
        <w:rPr>
          <w:lang w:val="fr-CA"/>
        </w:rPr>
        <w:t>GC</w:t>
      </w:r>
      <w:r w:rsidRPr="00D501ED">
        <w:rPr>
          <w:lang w:val="fr-CA"/>
        </w:rPr>
        <w:t xml:space="preserve"> s</w:t>
      </w:r>
      <w:r>
        <w:rPr>
          <w:lang w:val="fr-CA"/>
        </w:rPr>
        <w:t>’</w:t>
      </w:r>
      <w:r w:rsidRPr="00D501ED">
        <w:rPr>
          <w:lang w:val="fr-CA"/>
        </w:rPr>
        <w:t>engage auprès des partenaires autochtones pour faire progresser la vision et les priorités du Cadre d</w:t>
      </w:r>
      <w:r>
        <w:rPr>
          <w:lang w:val="fr-CA"/>
        </w:rPr>
        <w:t>’</w:t>
      </w:r>
      <w:r w:rsidRPr="00D501ED">
        <w:rPr>
          <w:lang w:val="fr-CA"/>
        </w:rPr>
        <w:t>apprentissage et de garde des jeunes enfants autochtones élaboré conjointement, contribuant ainsi à renforcer la gouvernance autochtone et les capacités techniques dans le secteur de l</w:t>
      </w:r>
      <w:r>
        <w:rPr>
          <w:lang w:val="fr-CA"/>
        </w:rPr>
        <w:t>’</w:t>
      </w:r>
      <w:r w:rsidRPr="00D501ED">
        <w:rPr>
          <w:lang w:val="fr-CA"/>
        </w:rPr>
        <w:t>AGJE.</w:t>
      </w:r>
      <w:bookmarkEnd w:id="168"/>
    </w:p>
    <w:p w14:paraId="75520E39" w14:textId="77777777" w:rsidR="00C83F56" w:rsidRPr="00A7517B" w:rsidRDefault="00C83F56" w:rsidP="004F23C1">
      <w:pPr>
        <w:pStyle w:val="SingleTxtG"/>
        <w:numPr>
          <w:ilvl w:val="0"/>
          <w:numId w:val="4"/>
        </w:numPr>
        <w:ind w:left="1134" w:firstLine="0"/>
        <w:rPr>
          <w:lang w:val="fr-CA"/>
        </w:rPr>
      </w:pPr>
      <w:bookmarkStart w:id="169" w:name="lt_pId337"/>
      <w:r w:rsidRPr="00044780">
        <w:rPr>
          <w:lang w:val="fr-CA"/>
        </w:rPr>
        <w:t xml:space="preserve">Le </w:t>
      </w:r>
      <w:r>
        <w:rPr>
          <w:lang w:val="fr-CA"/>
        </w:rPr>
        <w:t xml:space="preserve">GC </w:t>
      </w:r>
      <w:r w:rsidRPr="00044780">
        <w:rPr>
          <w:lang w:val="fr-CA"/>
        </w:rPr>
        <w:t xml:space="preserve">veille également à ce que les perspectives autochtones soient prises en compte dans la mise en œuvre </w:t>
      </w:r>
      <w:r w:rsidRPr="00563401">
        <w:rPr>
          <w:lang w:val="fr-CA"/>
        </w:rPr>
        <w:t>du Programme de développement durable à l</w:t>
      </w:r>
      <w:r>
        <w:rPr>
          <w:lang w:val="fr-CA"/>
        </w:rPr>
        <w:t>’</w:t>
      </w:r>
      <w:r w:rsidRPr="00563401">
        <w:rPr>
          <w:lang w:val="fr-CA"/>
        </w:rPr>
        <w:t>horizon 2030</w:t>
      </w:r>
      <w:r w:rsidRPr="00044780">
        <w:rPr>
          <w:lang w:val="fr-CA"/>
        </w:rPr>
        <w:t xml:space="preserve"> par le Canada et contribue à la réconciliation par l</w:t>
      </w:r>
      <w:r>
        <w:rPr>
          <w:lang w:val="fr-CA"/>
        </w:rPr>
        <w:t>’</w:t>
      </w:r>
      <w:r w:rsidRPr="00044780">
        <w:rPr>
          <w:lang w:val="fr-CA"/>
        </w:rPr>
        <w:t>intermédiaire d</w:t>
      </w:r>
      <w:r>
        <w:rPr>
          <w:lang w:val="fr-CA"/>
        </w:rPr>
        <w:t>’</w:t>
      </w:r>
      <w:r w:rsidRPr="00044780">
        <w:rPr>
          <w:lang w:val="fr-CA"/>
        </w:rPr>
        <w:t>ententes de protocole d</w:t>
      </w:r>
      <w:r>
        <w:rPr>
          <w:lang w:val="fr-CA"/>
        </w:rPr>
        <w:t>’</w:t>
      </w:r>
      <w:r w:rsidRPr="00044780">
        <w:rPr>
          <w:lang w:val="fr-CA"/>
        </w:rPr>
        <w:t>engagement en cours avec l</w:t>
      </w:r>
      <w:r>
        <w:rPr>
          <w:lang w:val="fr-CA"/>
        </w:rPr>
        <w:t>’</w:t>
      </w:r>
      <w:r w:rsidRPr="00044780">
        <w:rPr>
          <w:lang w:val="fr-CA"/>
        </w:rPr>
        <w:t>Assemblée des Premières Nations, l</w:t>
      </w:r>
      <w:r>
        <w:rPr>
          <w:lang w:val="fr-CA"/>
        </w:rPr>
        <w:t>’</w:t>
      </w:r>
      <w:r w:rsidRPr="00044780">
        <w:rPr>
          <w:lang w:val="fr-CA"/>
        </w:rPr>
        <w:t xml:space="preserve">Inuit </w:t>
      </w:r>
      <w:proofErr w:type="spellStart"/>
      <w:r w:rsidRPr="00044780">
        <w:rPr>
          <w:lang w:val="fr-CA"/>
        </w:rPr>
        <w:t>Tapiriit</w:t>
      </w:r>
      <w:proofErr w:type="spellEnd"/>
      <w:r w:rsidRPr="00044780">
        <w:rPr>
          <w:lang w:val="fr-CA"/>
        </w:rPr>
        <w:t xml:space="preserve"> </w:t>
      </w:r>
      <w:proofErr w:type="spellStart"/>
      <w:r w:rsidRPr="00044780">
        <w:rPr>
          <w:lang w:val="fr-CA"/>
        </w:rPr>
        <w:t>Kanatami</w:t>
      </w:r>
      <w:proofErr w:type="spellEnd"/>
      <w:r w:rsidRPr="00044780">
        <w:rPr>
          <w:lang w:val="fr-CA"/>
        </w:rPr>
        <w:t xml:space="preserve"> et le Ralliement national des Métis.</w:t>
      </w:r>
      <w:bookmarkEnd w:id="169"/>
    </w:p>
    <w:p w14:paraId="67F89571" w14:textId="77777777" w:rsidR="00C83F56" w:rsidRPr="00C362E9" w:rsidRDefault="00C83F56" w:rsidP="004F23C1">
      <w:pPr>
        <w:pStyle w:val="SingleTxtG"/>
        <w:numPr>
          <w:ilvl w:val="0"/>
          <w:numId w:val="4"/>
        </w:numPr>
        <w:ind w:left="1134" w:firstLine="0"/>
        <w:rPr>
          <w:lang w:val="fr-CA"/>
        </w:rPr>
      </w:pPr>
      <w:r w:rsidRPr="00C362E9">
        <w:rPr>
          <w:lang w:val="fr-CA"/>
        </w:rPr>
        <w:t>À la suite de la publication du rapport final des appels à l’action en 2015, le gouvernement de l'Île-du-Prince-Édouard s'est engagé à publier un rapport d'étape annuel détaillant ses progrès dans la mise en œuvre des appels à l’action. Depuis 2020, il intègre également dans ce rapport une mise à jour des progrès réalisés dans le cadre de l’Enquête nationale sur les FFADA.</w:t>
      </w:r>
    </w:p>
    <w:p w14:paraId="468A1041" w14:textId="77777777" w:rsidR="00C83F56" w:rsidRDefault="00C83F56" w:rsidP="004F23C1">
      <w:pPr>
        <w:pStyle w:val="SingleTxtG"/>
        <w:numPr>
          <w:ilvl w:val="0"/>
          <w:numId w:val="4"/>
        </w:numPr>
        <w:ind w:left="1134" w:firstLine="0"/>
        <w:rPr>
          <w:lang w:val="fr-CA"/>
        </w:rPr>
      </w:pPr>
      <w:r>
        <w:rPr>
          <w:lang w:val="fr-CA"/>
        </w:rPr>
        <w:t>En 2018, la Colombie-Britannique a présenté un ensemble de projets de principes pour orienter la mise en œuvre des appels à l’action.</w:t>
      </w:r>
      <w:r w:rsidRPr="00A7517B">
        <w:rPr>
          <w:lang w:val="fr-CA"/>
        </w:rPr>
        <w:t xml:space="preserve"> </w:t>
      </w:r>
      <w:r w:rsidRPr="00EB00EA">
        <w:rPr>
          <w:lang w:val="fr-CA"/>
        </w:rPr>
        <w:t>La province a publié le Plan d</w:t>
      </w:r>
      <w:r>
        <w:rPr>
          <w:lang w:val="fr-CA"/>
        </w:rPr>
        <w:t>’</w:t>
      </w:r>
      <w:r w:rsidRPr="00EB00EA">
        <w:rPr>
          <w:lang w:val="fr-CA"/>
        </w:rPr>
        <w:t xml:space="preserve">action de la </w:t>
      </w:r>
      <w:r w:rsidRPr="00A06818">
        <w:rPr>
          <w:iCs/>
          <w:lang w:val="fr-CA"/>
        </w:rPr>
        <w:t>Loi sur la Déclaration 2022-2027</w:t>
      </w:r>
      <w:r w:rsidRPr="00EB00EA">
        <w:rPr>
          <w:lang w:val="fr-CA"/>
        </w:rPr>
        <w:t xml:space="preserve"> pour finaliser les </w:t>
      </w:r>
      <w:r>
        <w:rPr>
          <w:lang w:val="fr-CA"/>
        </w:rPr>
        <w:t>ébauches</w:t>
      </w:r>
      <w:r w:rsidRPr="00EB00EA">
        <w:rPr>
          <w:lang w:val="fr-CA"/>
        </w:rPr>
        <w:t xml:space="preserve"> de principes; les ministères surveillent l</w:t>
      </w:r>
      <w:r>
        <w:rPr>
          <w:lang w:val="fr-CA"/>
        </w:rPr>
        <w:t>’</w:t>
      </w:r>
      <w:r w:rsidRPr="00EB00EA">
        <w:rPr>
          <w:lang w:val="fr-CA"/>
        </w:rPr>
        <w:t>harmonisation du système et les progrès réalisés dans le cadre de chaque appel à l</w:t>
      </w:r>
      <w:r>
        <w:rPr>
          <w:lang w:val="fr-CA"/>
        </w:rPr>
        <w:t>’</w:t>
      </w:r>
      <w:r w:rsidRPr="00EB00EA">
        <w:rPr>
          <w:lang w:val="fr-CA"/>
        </w:rPr>
        <w:t>action</w:t>
      </w:r>
      <w:r>
        <w:rPr>
          <w:lang w:val="fr-CA"/>
        </w:rPr>
        <w:t>.</w:t>
      </w:r>
    </w:p>
    <w:p w14:paraId="399E5F49" w14:textId="77777777" w:rsidR="00C83F56" w:rsidRPr="000B1EF9" w:rsidRDefault="00C83F56" w:rsidP="004F23C1">
      <w:pPr>
        <w:pStyle w:val="SingleTxtG"/>
        <w:numPr>
          <w:ilvl w:val="0"/>
          <w:numId w:val="4"/>
        </w:numPr>
        <w:ind w:left="1134" w:firstLine="0"/>
        <w:rPr>
          <w:lang w:val="fr-CA"/>
        </w:rPr>
      </w:pPr>
      <w:bookmarkStart w:id="170" w:name="lt_pId344"/>
      <w:r w:rsidRPr="000B1EF9">
        <w:rPr>
          <w:lang w:val="fr-CA"/>
        </w:rPr>
        <w:t xml:space="preserve">En 2019, le </w:t>
      </w:r>
      <w:r>
        <w:rPr>
          <w:lang w:val="fr-CA"/>
        </w:rPr>
        <w:t>GC</w:t>
      </w:r>
      <w:r w:rsidRPr="000B1EF9">
        <w:rPr>
          <w:lang w:val="fr-CA"/>
        </w:rPr>
        <w:t xml:space="preserve"> a publié le Cadre stratégique pour l’Arctique et le Nord, après l’avoir élaboré en collaboration avec des partenaires autochtones</w:t>
      </w:r>
      <w:r>
        <w:rPr>
          <w:lang w:val="fr-CA"/>
        </w:rPr>
        <w:t xml:space="preserve"> PT</w:t>
      </w:r>
      <w:r w:rsidRPr="000B1EF9">
        <w:rPr>
          <w:lang w:val="fr-CA"/>
        </w:rPr>
        <w:t xml:space="preserve"> du Nord, afin d’orienter les priorités fédérales dans la région jusqu’en 2030.</w:t>
      </w:r>
      <w:bookmarkEnd w:id="170"/>
      <w:r w:rsidRPr="000B1EF9">
        <w:rPr>
          <w:lang w:val="fr-CA"/>
        </w:rPr>
        <w:t xml:space="preserve"> </w:t>
      </w:r>
      <w:bookmarkStart w:id="171" w:name="lt_pId345"/>
      <w:r w:rsidRPr="000B1EF9">
        <w:rPr>
          <w:lang w:val="fr-CA"/>
        </w:rPr>
        <w:t xml:space="preserve">Le cadre est bien aligné </w:t>
      </w:r>
      <w:bookmarkEnd w:id="171"/>
      <w:r w:rsidRPr="000B1EF9">
        <w:rPr>
          <w:lang w:val="fr-CA"/>
        </w:rPr>
        <w:t>avec les ambitions fédérales et autochtones liées à la réconciliation, guidé par les appels à l'action de la Commission de vérité et réconciliation, la Déclaration des Nations Unies sur les droits des peuples autochtones</w:t>
      </w:r>
      <w:r>
        <w:rPr>
          <w:lang w:val="fr-CA"/>
        </w:rPr>
        <w:t xml:space="preserve"> (Déclaration des Nations Unies)</w:t>
      </w:r>
      <w:r w:rsidRPr="000B1EF9">
        <w:rPr>
          <w:lang w:val="fr-CA"/>
        </w:rPr>
        <w:t xml:space="preserve">, la Constitution canadienne et la collaboration avec les peuples autochtones et les gouvernements </w:t>
      </w:r>
      <w:r>
        <w:rPr>
          <w:lang w:val="fr-CA"/>
        </w:rPr>
        <w:t>PT</w:t>
      </w:r>
      <w:r w:rsidRPr="000B1EF9">
        <w:rPr>
          <w:lang w:val="fr-CA"/>
        </w:rPr>
        <w:t>.</w:t>
      </w:r>
    </w:p>
    <w:p w14:paraId="0BBA4CEA" w14:textId="77777777" w:rsidR="00C83F56" w:rsidRDefault="00C83F56" w:rsidP="004F23C1">
      <w:pPr>
        <w:pStyle w:val="SingleTxtG"/>
        <w:numPr>
          <w:ilvl w:val="0"/>
          <w:numId w:val="4"/>
        </w:numPr>
        <w:ind w:left="1134" w:firstLine="0"/>
        <w:rPr>
          <w:lang w:val="fr-CA"/>
        </w:rPr>
      </w:pPr>
      <w:r w:rsidRPr="51A13573">
        <w:rPr>
          <w:color w:val="000000" w:themeColor="text1"/>
          <w:lang w:val="fr-CA"/>
        </w:rPr>
        <w:t xml:space="preserve">Conformément à l’engagement pris dans le cadre </w:t>
      </w:r>
      <w:r>
        <w:rPr>
          <w:color w:val="000000" w:themeColor="text1"/>
          <w:lang w:val="fr-CA"/>
        </w:rPr>
        <w:t>d’Une</w:t>
      </w:r>
      <w:r w:rsidRPr="00C362E9">
        <w:rPr>
          <w:color w:val="000000" w:themeColor="text1"/>
          <w:lang w:val="fr-CA"/>
        </w:rPr>
        <w:t xml:space="preserve"> chance pour tous, la première Stratégie canadienne de réduction de la pauvreté</w:t>
      </w:r>
      <w:r w:rsidRPr="51A13573">
        <w:rPr>
          <w:color w:val="000000" w:themeColor="text1"/>
          <w:lang w:val="fr-CA"/>
        </w:rPr>
        <w:t xml:space="preserve">, le </w:t>
      </w:r>
      <w:r>
        <w:rPr>
          <w:color w:val="000000" w:themeColor="text1"/>
          <w:lang w:val="fr-CA"/>
        </w:rPr>
        <w:t xml:space="preserve">GC </w:t>
      </w:r>
      <w:r w:rsidRPr="51A13573">
        <w:rPr>
          <w:color w:val="000000" w:themeColor="text1"/>
          <w:lang w:val="fr-CA"/>
        </w:rPr>
        <w:t>collabore avec des organisations autochtones nationales. L’objectif est d’identifier et de codévelopper des indicateurs de la pauvreté et du bien-être fondés sur les distinctions, ainsi que des mesures de la pauvreté qui s’appuient sur d’autres facteurs que le revenu, et qui reflètent ses multiples dimensions, telles que vécues par les Premières Nations, les Inuits et les Métis.</w:t>
      </w:r>
    </w:p>
    <w:p w14:paraId="052554E0" w14:textId="0DEB7ECB" w:rsidR="00C83F56" w:rsidRPr="00A7517B" w:rsidRDefault="00B97E48" w:rsidP="00B97E48">
      <w:pPr>
        <w:pStyle w:val="H23G"/>
        <w:rPr>
          <w:lang w:val="fr-CA"/>
        </w:rPr>
      </w:pPr>
      <w:bookmarkStart w:id="172" w:name="lt_pId347"/>
      <w:r>
        <w:rPr>
          <w:lang w:val="fr-CA"/>
        </w:rPr>
        <w:tab/>
      </w:r>
      <w:r>
        <w:rPr>
          <w:lang w:val="fr-CA"/>
        </w:rPr>
        <w:tab/>
      </w:r>
      <w:r w:rsidR="00C83F56" w:rsidRPr="00471915">
        <w:rPr>
          <w:lang w:val="fr-CA"/>
        </w:rPr>
        <w:t>Revitalisation des langues autochtones</w:t>
      </w:r>
      <w:bookmarkEnd w:id="172"/>
    </w:p>
    <w:p w14:paraId="0435BAC5" w14:textId="77777777" w:rsidR="00C83F56" w:rsidRPr="00A7517B" w:rsidRDefault="00C83F56" w:rsidP="004F23C1">
      <w:pPr>
        <w:pStyle w:val="SingleTxtG"/>
        <w:numPr>
          <w:ilvl w:val="0"/>
          <w:numId w:val="4"/>
        </w:numPr>
        <w:ind w:left="1134" w:firstLine="0"/>
        <w:rPr>
          <w:lang w:val="fr-CA"/>
        </w:rPr>
      </w:pPr>
      <w:bookmarkStart w:id="173" w:name="lt_pId348"/>
      <w:r>
        <w:rPr>
          <w:lang w:val="fr-CA"/>
        </w:rPr>
        <w:t>Le GC s’est engagé à revitaliser les langues autochtones.</w:t>
      </w:r>
      <w:bookmarkEnd w:id="173"/>
      <w:r w:rsidRPr="00A7517B">
        <w:rPr>
          <w:lang w:val="fr-CA"/>
        </w:rPr>
        <w:t xml:space="preserve"> </w:t>
      </w:r>
      <w:bookmarkStart w:id="174" w:name="lt_pId349"/>
      <w:r>
        <w:rPr>
          <w:lang w:val="fr-CA"/>
        </w:rPr>
        <w:t xml:space="preserve">En 2017, le GC, l’Assemblée des Premières Nations, l’Inuit </w:t>
      </w:r>
      <w:proofErr w:type="spellStart"/>
      <w:r>
        <w:rPr>
          <w:lang w:val="fr-CA"/>
        </w:rPr>
        <w:t>Tapiriit</w:t>
      </w:r>
      <w:proofErr w:type="spellEnd"/>
      <w:r>
        <w:rPr>
          <w:lang w:val="fr-CA"/>
        </w:rPr>
        <w:t> </w:t>
      </w:r>
      <w:proofErr w:type="spellStart"/>
      <w:r>
        <w:rPr>
          <w:lang w:val="fr-CA"/>
        </w:rPr>
        <w:t>Kanatami</w:t>
      </w:r>
      <w:proofErr w:type="spellEnd"/>
      <w:r>
        <w:rPr>
          <w:lang w:val="fr-CA"/>
        </w:rPr>
        <w:t xml:space="preserve"> et le Ralliement national des Métis ont lancé l’élaboration en collaboration d’une loi visant à préserver, protéger et revitaliser les langues des Premières Nations, des Inuits et des Métis.</w:t>
      </w:r>
      <w:bookmarkEnd w:id="174"/>
      <w:r w:rsidRPr="00A7517B">
        <w:rPr>
          <w:lang w:val="fr-CA"/>
        </w:rPr>
        <w:t xml:space="preserve"> </w:t>
      </w:r>
    </w:p>
    <w:p w14:paraId="1C4ABD2F" w14:textId="77777777" w:rsidR="00C83F56" w:rsidRPr="00D3307C" w:rsidRDefault="00C83F56" w:rsidP="004F23C1">
      <w:pPr>
        <w:pStyle w:val="SingleTxtG"/>
        <w:numPr>
          <w:ilvl w:val="0"/>
          <w:numId w:val="4"/>
        </w:numPr>
        <w:ind w:left="1134" w:firstLine="0"/>
        <w:rPr>
          <w:lang w:val="fr-CA"/>
        </w:rPr>
      </w:pPr>
      <w:bookmarkStart w:id="175" w:name="lt_pId350"/>
      <w:r w:rsidRPr="00D3307C">
        <w:rPr>
          <w:lang w:val="fr-CA"/>
        </w:rPr>
        <w:t xml:space="preserve">En 2019, la </w:t>
      </w:r>
      <w:r w:rsidRPr="00D3307C">
        <w:rPr>
          <w:i/>
          <w:lang w:val="fr-CA"/>
        </w:rPr>
        <w:t>Loi sur les langues autochtones</w:t>
      </w:r>
      <w:r w:rsidRPr="00D3307C">
        <w:rPr>
          <w:lang w:val="fr-CA"/>
        </w:rPr>
        <w:t xml:space="preserve"> </w:t>
      </w:r>
      <w:r>
        <w:rPr>
          <w:lang w:val="fr-CA"/>
        </w:rPr>
        <w:t xml:space="preserve">(la Loi) </w:t>
      </w:r>
      <w:r w:rsidRPr="00D3307C">
        <w:rPr>
          <w:lang w:val="fr-CA"/>
        </w:rPr>
        <w:t>a reçu la sanction royale, dans le but général de soutenir les efforts des peuples autochtones pour se réapproprier leurs langues, les revitaliser, les maintenir et les renforcer.</w:t>
      </w:r>
      <w:bookmarkEnd w:id="175"/>
      <w:r w:rsidRPr="00D3307C">
        <w:rPr>
          <w:lang w:val="fr-CA"/>
        </w:rPr>
        <w:t xml:space="preserve"> </w:t>
      </w:r>
      <w:bookmarkStart w:id="176" w:name="lt_pId351"/>
      <w:r w:rsidRPr="00D3307C">
        <w:rPr>
          <w:lang w:val="fr-CA"/>
        </w:rPr>
        <w:t xml:space="preserve">Cette </w:t>
      </w:r>
      <w:r>
        <w:rPr>
          <w:lang w:val="fr-CA"/>
        </w:rPr>
        <w:t>L</w:t>
      </w:r>
      <w:r w:rsidRPr="00D3307C">
        <w:rPr>
          <w:lang w:val="fr-CA"/>
        </w:rPr>
        <w:t>oi</w:t>
      </w:r>
      <w:r>
        <w:rPr>
          <w:lang w:val="fr-CA"/>
        </w:rPr>
        <w:t xml:space="preserve"> répond également aux appels à l’action 13 à 15 de la CVR du Canada</w:t>
      </w:r>
      <w:bookmarkEnd w:id="176"/>
      <w:r>
        <w:rPr>
          <w:lang w:val="fr-CA"/>
        </w:rPr>
        <w:t xml:space="preserve"> ainsi qu’</w:t>
      </w:r>
      <w:bookmarkStart w:id="177" w:name="lt_pId352"/>
      <w:r w:rsidRPr="002C6CE9">
        <w:rPr>
          <w:lang w:val="fr-CA"/>
        </w:rPr>
        <w:t xml:space="preserve">à la mise en œuvre de la Déclaration </w:t>
      </w:r>
      <w:r>
        <w:rPr>
          <w:lang w:val="fr-CA"/>
        </w:rPr>
        <w:t>des Nations Unies</w:t>
      </w:r>
      <w:r w:rsidRPr="002C6CE9">
        <w:rPr>
          <w:lang w:val="fr-CA"/>
        </w:rPr>
        <w:t xml:space="preserve"> en ce qui concerne les langues </w:t>
      </w:r>
      <w:r w:rsidRPr="00D3307C">
        <w:rPr>
          <w:lang w:val="fr-CA"/>
        </w:rPr>
        <w:t>autochtones</w:t>
      </w:r>
      <w:bookmarkEnd w:id="177"/>
      <w:r w:rsidRPr="00D3307C">
        <w:rPr>
          <w:lang w:val="fr-CA"/>
        </w:rPr>
        <w:t xml:space="preserve"> </w:t>
      </w:r>
      <w:bookmarkStart w:id="178" w:name="lt_pId353"/>
      <w:r w:rsidRPr="00D3307C">
        <w:rPr>
          <w:lang w:val="fr-CA"/>
        </w:rPr>
        <w:t xml:space="preserve">et de la Voie fédérale du </w:t>
      </w:r>
      <w:r>
        <w:rPr>
          <w:lang w:val="fr-CA"/>
        </w:rPr>
        <w:t>GC</w:t>
      </w:r>
      <w:r w:rsidRPr="00D3307C">
        <w:rPr>
          <w:lang w:val="fr-CA"/>
        </w:rPr>
        <w:t xml:space="preserve"> concerna</w:t>
      </w:r>
      <w:r>
        <w:rPr>
          <w:lang w:val="fr-CA"/>
        </w:rPr>
        <w:t>nt les femmes et les filles a</w:t>
      </w:r>
      <w:r w:rsidRPr="00D3307C">
        <w:rPr>
          <w:lang w:val="fr-CA"/>
        </w:rPr>
        <w:t>utochtones disparues et assassinées</w:t>
      </w:r>
      <w:r>
        <w:rPr>
          <w:lang w:val="fr-CA"/>
        </w:rPr>
        <w:t>,</w:t>
      </w:r>
      <w:r w:rsidRPr="00D3307C">
        <w:rPr>
          <w:lang w:val="fr-CA"/>
        </w:rPr>
        <w:t xml:space="preserve"> </w:t>
      </w:r>
      <w:r>
        <w:rPr>
          <w:lang w:val="fr-CA"/>
        </w:rPr>
        <w:t>de même que</w:t>
      </w:r>
      <w:r w:rsidRPr="00D3307C">
        <w:rPr>
          <w:lang w:val="fr-CA"/>
        </w:rPr>
        <w:t xml:space="preserve"> les personnes 2ELGBTQQIA+.</w:t>
      </w:r>
      <w:bookmarkEnd w:id="178"/>
    </w:p>
    <w:p w14:paraId="7A486E97" w14:textId="77777777" w:rsidR="00C83F56" w:rsidRPr="00A7517B" w:rsidRDefault="00C83F56" w:rsidP="004F23C1">
      <w:pPr>
        <w:pStyle w:val="SingleTxtG"/>
        <w:numPr>
          <w:ilvl w:val="0"/>
          <w:numId w:val="4"/>
        </w:numPr>
        <w:ind w:left="1134" w:firstLine="0"/>
        <w:rPr>
          <w:lang w:val="fr-CA"/>
        </w:rPr>
      </w:pPr>
      <w:bookmarkStart w:id="179" w:name="lt_pId354"/>
      <w:r w:rsidRPr="00BF5D59">
        <w:rPr>
          <w:lang w:val="fr-CA"/>
        </w:rPr>
        <w:t xml:space="preserve">La </w:t>
      </w:r>
      <w:r>
        <w:rPr>
          <w:lang w:val="fr-CA"/>
        </w:rPr>
        <w:t xml:space="preserve">Loi </w:t>
      </w:r>
      <w:r w:rsidRPr="00BF5D59">
        <w:rPr>
          <w:lang w:val="fr-CA"/>
        </w:rPr>
        <w:t>prévoit des mécanismes visant à créer un Bureau du commissaire aux langues autochtones, à établir des mesures pour un financement durable à long terme, et à définir le rôle des institutions fédérales dans l</w:t>
      </w:r>
      <w:r>
        <w:rPr>
          <w:lang w:val="fr-CA"/>
        </w:rPr>
        <w:t>’</w:t>
      </w:r>
      <w:r w:rsidRPr="00BF5D59">
        <w:rPr>
          <w:lang w:val="fr-CA"/>
        </w:rPr>
        <w:t>offre d</w:t>
      </w:r>
      <w:r>
        <w:rPr>
          <w:lang w:val="fr-CA"/>
        </w:rPr>
        <w:t>’</w:t>
      </w:r>
      <w:r w:rsidRPr="00BF5D59">
        <w:rPr>
          <w:lang w:val="fr-CA"/>
        </w:rPr>
        <w:t>un accès aux services dans les langues autochtones</w:t>
      </w:r>
      <w:r>
        <w:rPr>
          <w:lang w:val="fr-CA"/>
        </w:rPr>
        <w:t>,</w:t>
      </w:r>
      <w:r w:rsidRPr="00BF5D59">
        <w:rPr>
          <w:lang w:val="fr-CA"/>
        </w:rPr>
        <w:t xml:space="preserve"> là où la capacité et la demande existent, sous réserve de règlements ou d</w:t>
      </w:r>
      <w:r>
        <w:rPr>
          <w:lang w:val="fr-CA"/>
        </w:rPr>
        <w:t>’</w:t>
      </w:r>
      <w:r w:rsidRPr="00BF5D59">
        <w:rPr>
          <w:lang w:val="fr-CA"/>
        </w:rPr>
        <w:t>accords.</w:t>
      </w:r>
      <w:bookmarkEnd w:id="179"/>
      <w:r w:rsidRPr="00A7517B">
        <w:rPr>
          <w:lang w:val="fr-CA"/>
        </w:rPr>
        <w:t xml:space="preserve"> </w:t>
      </w:r>
      <w:bookmarkStart w:id="180" w:name="lt_pId355"/>
      <w:r w:rsidRPr="00B675EE">
        <w:rPr>
          <w:lang w:val="fr-CA"/>
        </w:rPr>
        <w:t>En outre, il vise à faciliter la coopération avec les</w:t>
      </w:r>
      <w:r>
        <w:rPr>
          <w:lang w:val="fr-CA"/>
        </w:rPr>
        <w:t xml:space="preserve"> partenaires </w:t>
      </w:r>
      <w:r w:rsidRPr="00B675EE">
        <w:rPr>
          <w:lang w:val="fr-CA"/>
        </w:rPr>
        <w:t>autochtones, ainsi qu</w:t>
      </w:r>
      <w:r>
        <w:rPr>
          <w:lang w:val="fr-CA"/>
        </w:rPr>
        <w:t>’</w:t>
      </w:r>
      <w:r w:rsidRPr="00B675EE">
        <w:rPr>
          <w:lang w:val="fr-CA"/>
        </w:rPr>
        <w:t>avec les gouvernements</w:t>
      </w:r>
      <w:r>
        <w:rPr>
          <w:lang w:val="fr-CA"/>
        </w:rPr>
        <w:t xml:space="preserve"> PT</w:t>
      </w:r>
      <w:r w:rsidRPr="00B675EE">
        <w:rPr>
          <w:lang w:val="fr-CA"/>
        </w:rPr>
        <w:t xml:space="preserve">, et à créer des occasions de collaboration significatives entre les gouvernements et les autres corps dirigeants autochtones pour élaborer des politiques liées à la mise en œuvre de la </w:t>
      </w:r>
      <w:r>
        <w:rPr>
          <w:lang w:val="fr-CA"/>
        </w:rPr>
        <w:t xml:space="preserve">Loi. </w:t>
      </w:r>
      <w:bookmarkEnd w:id="180"/>
    </w:p>
    <w:p w14:paraId="47C791BD" w14:textId="77777777" w:rsidR="00C83F56" w:rsidRPr="005F1762" w:rsidRDefault="00C83F56" w:rsidP="004F23C1">
      <w:pPr>
        <w:pStyle w:val="SingleTxtG"/>
        <w:numPr>
          <w:ilvl w:val="0"/>
          <w:numId w:val="4"/>
        </w:numPr>
        <w:ind w:left="1134" w:firstLine="0"/>
        <w:rPr>
          <w:lang w:val="fr-CA"/>
        </w:rPr>
      </w:pPr>
      <w:bookmarkStart w:id="181" w:name="lt_pId356"/>
      <w:r w:rsidRPr="005F1762">
        <w:rPr>
          <w:lang w:val="fr-CA"/>
        </w:rPr>
        <w:t xml:space="preserve">Depuis 2019, la mise en œuvre de la </w:t>
      </w:r>
      <w:r>
        <w:rPr>
          <w:lang w:val="fr-CA"/>
        </w:rPr>
        <w:t xml:space="preserve">Loi </w:t>
      </w:r>
      <w:r w:rsidRPr="005F1762">
        <w:rPr>
          <w:lang w:val="fr-CA"/>
        </w:rPr>
        <w:t xml:space="preserve">repose sur le </w:t>
      </w:r>
      <w:r>
        <w:rPr>
          <w:lang w:val="fr-CA"/>
        </w:rPr>
        <w:t>C</w:t>
      </w:r>
      <w:r w:rsidRPr="005F1762">
        <w:rPr>
          <w:lang w:val="fr-CA"/>
        </w:rPr>
        <w:t xml:space="preserve">omité directeur </w:t>
      </w:r>
      <w:r>
        <w:rPr>
          <w:lang w:val="fr-CA"/>
        </w:rPr>
        <w:t xml:space="preserve">conjoint </w:t>
      </w:r>
      <w:r w:rsidRPr="005F1762">
        <w:rPr>
          <w:lang w:val="fr-CA"/>
        </w:rPr>
        <w:t xml:space="preserve">de mise en œuvre composé de représentants de l’Assemblée des Premières Nations, l’Inuit </w:t>
      </w:r>
      <w:proofErr w:type="spellStart"/>
      <w:r w:rsidRPr="005F1762">
        <w:rPr>
          <w:lang w:val="fr-CA"/>
        </w:rPr>
        <w:t>Tapiriit</w:t>
      </w:r>
      <w:proofErr w:type="spellEnd"/>
      <w:r w:rsidRPr="005F1762">
        <w:rPr>
          <w:lang w:val="fr-CA"/>
        </w:rPr>
        <w:t> </w:t>
      </w:r>
      <w:proofErr w:type="spellStart"/>
      <w:r w:rsidRPr="005F1762">
        <w:rPr>
          <w:lang w:val="fr-CA"/>
        </w:rPr>
        <w:t>Kanatami</w:t>
      </w:r>
      <w:proofErr w:type="spellEnd"/>
      <w:r w:rsidRPr="005F1762">
        <w:rPr>
          <w:lang w:val="fr-CA"/>
        </w:rPr>
        <w:t xml:space="preserve"> et le Ralliement national des Métis et du </w:t>
      </w:r>
      <w:r>
        <w:rPr>
          <w:lang w:val="fr-CA"/>
        </w:rPr>
        <w:t>GC</w:t>
      </w:r>
      <w:r w:rsidRPr="005F1762">
        <w:rPr>
          <w:lang w:val="fr-CA"/>
        </w:rPr>
        <w:t>.</w:t>
      </w:r>
      <w:bookmarkEnd w:id="181"/>
      <w:r w:rsidRPr="005F1762">
        <w:rPr>
          <w:lang w:val="fr-CA"/>
        </w:rPr>
        <w:t xml:space="preserve"> Pour soutenir la mise en œuvre de la Loi, les budgets de 2019, 2021 et 2024 ont prévu des investissements importants, totalisant 1,4 milliard de dollars entre 2019-2020 et 2028-2029, ainsi que 162,3 millions de dollars en financement continu.</w:t>
      </w:r>
    </w:p>
    <w:p w14:paraId="4E2ED54D" w14:textId="77777777" w:rsidR="00C83F56" w:rsidRDefault="00C83F56" w:rsidP="004F23C1">
      <w:pPr>
        <w:pStyle w:val="SingleTxtG"/>
        <w:numPr>
          <w:ilvl w:val="0"/>
          <w:numId w:val="4"/>
        </w:numPr>
        <w:ind w:left="1134" w:firstLine="0"/>
        <w:rPr>
          <w:lang w:val="fr-CA"/>
        </w:rPr>
      </w:pPr>
      <w:bookmarkStart w:id="182" w:name="lt_pId358"/>
      <w:r w:rsidRPr="51A13573">
        <w:rPr>
          <w:lang w:val="fr-CA"/>
        </w:rPr>
        <w:t>En partenariat avec la stratégie en matière de langues autochtones du Manitoba, le ministère de l’Éducation et de l’Apprentissage de la petite enfance du Manitoba a lancé en 2021 le Sondage sur l’enseignement de langues autochtones dans les écoles du Manitoba afin de déterminer le nombre d’enseignants de langues autochtones nécessaires dans les écoles de la province.</w:t>
      </w:r>
      <w:bookmarkEnd w:id="182"/>
      <w:r w:rsidRPr="51A13573">
        <w:rPr>
          <w:lang w:val="fr-CA"/>
        </w:rPr>
        <w:t xml:space="preserve"> </w:t>
      </w:r>
      <w:bookmarkStart w:id="183" w:name="lt_pId359"/>
      <w:r>
        <w:rPr>
          <w:lang w:val="fr-CA"/>
        </w:rPr>
        <w:t>Les résultats du sondage ont</w:t>
      </w:r>
      <w:r w:rsidRPr="51A13573">
        <w:rPr>
          <w:lang w:val="fr-CA"/>
        </w:rPr>
        <w:t xml:space="preserve"> été publié et les </w:t>
      </w:r>
      <w:r>
        <w:rPr>
          <w:lang w:val="fr-CA"/>
        </w:rPr>
        <w:t>conclusions</w:t>
      </w:r>
      <w:r w:rsidRPr="51A13573">
        <w:rPr>
          <w:lang w:val="fr-CA"/>
        </w:rPr>
        <w:t xml:space="preserve"> s</w:t>
      </w:r>
      <w:r>
        <w:rPr>
          <w:lang w:val="fr-CA"/>
        </w:rPr>
        <w:t>eron</w:t>
      </w:r>
      <w:r w:rsidRPr="51A13573">
        <w:rPr>
          <w:lang w:val="fr-CA"/>
        </w:rPr>
        <w:t>t utilisé</w:t>
      </w:r>
      <w:r>
        <w:rPr>
          <w:lang w:val="fr-CA"/>
        </w:rPr>
        <w:t>e</w:t>
      </w:r>
      <w:r w:rsidRPr="51A13573">
        <w:rPr>
          <w:lang w:val="fr-CA"/>
        </w:rPr>
        <w:t>s pour soutenir la planification du personnel enseignant.</w:t>
      </w:r>
      <w:bookmarkEnd w:id="183"/>
    </w:p>
    <w:p w14:paraId="75B9DC69" w14:textId="77777777" w:rsidR="00C83F56" w:rsidRPr="00A7517B" w:rsidRDefault="00C83F56" w:rsidP="004F23C1">
      <w:pPr>
        <w:pStyle w:val="SingleTxtG"/>
        <w:numPr>
          <w:ilvl w:val="0"/>
          <w:numId w:val="4"/>
        </w:numPr>
        <w:ind w:left="1134" w:firstLine="0"/>
        <w:rPr>
          <w:lang w:val="fr-CA"/>
        </w:rPr>
      </w:pPr>
      <w:r w:rsidRPr="000E7BAC">
        <w:rPr>
          <w:lang w:val="fr-CA"/>
        </w:rPr>
        <w:t xml:space="preserve">Dans le cadre de son engagement envers la revitalisation des langues autochtones, l’Ontario a ajouté l’inuktitut et l’algonquin comme langues d’enseignement au niveau élémentaire et secondaire dans le cadre des programmes de langues autochtones de la province. Avec ces ajouts, le programme de langues autochtones peut désormais être offert dans neuf langues d’enseignement : algonquin, cayuga, cri, </w:t>
      </w:r>
      <w:proofErr w:type="spellStart"/>
      <w:r w:rsidRPr="000E7BAC">
        <w:rPr>
          <w:lang w:val="fr-CA"/>
        </w:rPr>
        <w:t>delaware</w:t>
      </w:r>
      <w:proofErr w:type="spellEnd"/>
      <w:r w:rsidRPr="000E7BAC">
        <w:rPr>
          <w:lang w:val="fr-CA"/>
        </w:rPr>
        <w:t>, inuktitut, oji-cri, mohawk, oneida et ojibwé.</w:t>
      </w:r>
    </w:p>
    <w:p w14:paraId="7649A87E" w14:textId="77777777" w:rsidR="00C83F56" w:rsidRPr="005F1762" w:rsidRDefault="00C83F56" w:rsidP="004F23C1">
      <w:pPr>
        <w:pStyle w:val="SingleTxtG"/>
        <w:numPr>
          <w:ilvl w:val="0"/>
          <w:numId w:val="4"/>
        </w:numPr>
        <w:ind w:left="1134" w:firstLine="0"/>
        <w:rPr>
          <w:lang w:val="fr-CA"/>
        </w:rPr>
      </w:pPr>
      <w:r>
        <w:rPr>
          <w:lang w:val="fr-CA"/>
        </w:rPr>
        <w:t>L</w:t>
      </w:r>
      <w:r w:rsidRPr="005B52DE">
        <w:rPr>
          <w:lang w:val="fr-CA"/>
        </w:rPr>
        <w:t xml:space="preserve">a Nouvelle-Écosse a adopté la </w:t>
      </w:r>
      <w:r w:rsidRPr="00B824B9">
        <w:rPr>
          <w:i/>
          <w:iCs/>
          <w:lang w:val="fr-CA"/>
        </w:rPr>
        <w:t xml:space="preserve">Loi sur la langue </w:t>
      </w:r>
      <w:proofErr w:type="spellStart"/>
      <w:r w:rsidRPr="00B824B9">
        <w:rPr>
          <w:i/>
          <w:iCs/>
          <w:lang w:val="fr-CA"/>
        </w:rPr>
        <w:t>mi’kmaw</w:t>
      </w:r>
      <w:proofErr w:type="spellEnd"/>
      <w:r w:rsidRPr="005B52DE">
        <w:rPr>
          <w:lang w:val="fr-CA"/>
        </w:rPr>
        <w:t xml:space="preserve"> en 2022 afin de soutenir la revitalisation et la protection de la langue </w:t>
      </w:r>
      <w:proofErr w:type="spellStart"/>
      <w:r w:rsidRPr="005B52DE">
        <w:rPr>
          <w:lang w:val="fr-CA"/>
        </w:rPr>
        <w:t>mi’kmaw</w:t>
      </w:r>
      <w:proofErr w:type="spellEnd"/>
      <w:r>
        <w:rPr>
          <w:lang w:val="fr-CA"/>
        </w:rPr>
        <w:t xml:space="preserve">, </w:t>
      </w:r>
      <w:r w:rsidRPr="00AA7B64">
        <w:rPr>
          <w:lang w:val="fr-CA"/>
        </w:rPr>
        <w:t xml:space="preserve">et a récemment collaboré avec des partenaires </w:t>
      </w:r>
      <w:proofErr w:type="spellStart"/>
      <w:r w:rsidRPr="00AA7B64">
        <w:rPr>
          <w:lang w:val="fr-CA"/>
        </w:rPr>
        <w:t>mi’kmaw</w:t>
      </w:r>
      <w:proofErr w:type="spellEnd"/>
      <w:r w:rsidRPr="00AA7B64">
        <w:rPr>
          <w:lang w:val="fr-CA"/>
        </w:rPr>
        <w:t xml:space="preserve">, par l’intermédiaire du Comité de la langue </w:t>
      </w:r>
      <w:proofErr w:type="spellStart"/>
      <w:r w:rsidRPr="00AA7B64">
        <w:rPr>
          <w:lang w:val="fr-CA"/>
        </w:rPr>
        <w:t>mi’kmaw</w:t>
      </w:r>
      <w:proofErr w:type="spellEnd"/>
      <w:r w:rsidRPr="00AA7B64">
        <w:rPr>
          <w:lang w:val="fr-CA"/>
        </w:rPr>
        <w:t xml:space="preserve">, pour finaliser </w:t>
      </w:r>
      <w:r w:rsidRPr="00A06818">
        <w:rPr>
          <w:lang w:val="fr-CA"/>
        </w:rPr>
        <w:t>L’</w:t>
      </w:r>
      <w:proofErr w:type="spellStart"/>
      <w:r w:rsidRPr="00A06818">
        <w:rPr>
          <w:lang w:val="fr-CA"/>
        </w:rPr>
        <w:t>nui’sutinej</w:t>
      </w:r>
      <w:proofErr w:type="spellEnd"/>
      <w:r w:rsidRPr="00AA7B64">
        <w:rPr>
          <w:lang w:val="fr-CA"/>
        </w:rPr>
        <w:t xml:space="preserve">, la Stratégie de revitalisation de la langue </w:t>
      </w:r>
      <w:proofErr w:type="spellStart"/>
      <w:r w:rsidRPr="00AA7B64">
        <w:rPr>
          <w:lang w:val="fr-CA"/>
        </w:rPr>
        <w:t>mi’kmaw</w:t>
      </w:r>
      <w:proofErr w:type="spellEnd"/>
      <w:r w:rsidRPr="00AA7B64">
        <w:rPr>
          <w:lang w:val="fr-CA"/>
        </w:rPr>
        <w:t xml:space="preserve"> 2024-2030.</w:t>
      </w:r>
    </w:p>
    <w:p w14:paraId="02D1EFD3" w14:textId="77777777" w:rsidR="00C83F56" w:rsidRDefault="00C83F56" w:rsidP="004F23C1">
      <w:pPr>
        <w:pStyle w:val="SingleTxtG"/>
        <w:numPr>
          <w:ilvl w:val="0"/>
          <w:numId w:val="4"/>
        </w:numPr>
        <w:ind w:left="1134" w:firstLine="0"/>
        <w:rPr>
          <w:lang w:val="fr-CA"/>
        </w:rPr>
      </w:pPr>
      <w:r w:rsidRPr="14ED1760">
        <w:rPr>
          <w:color w:val="000000" w:themeColor="text1"/>
          <w:lang w:val="fr-CA"/>
        </w:rPr>
        <w:t xml:space="preserve">Depuis 2022, le GC a fait progresser l’accès aux services en langues autochtones pour appuyer la </w:t>
      </w:r>
      <w:r w:rsidRPr="14ED1760">
        <w:rPr>
          <w:i/>
          <w:iCs/>
          <w:color w:val="000000" w:themeColor="text1"/>
          <w:lang w:val="fr-CA"/>
        </w:rPr>
        <w:t xml:space="preserve">Loi sur les langues autochtones. </w:t>
      </w:r>
      <w:r w:rsidRPr="14ED1760">
        <w:rPr>
          <w:color w:val="000000" w:themeColor="text1"/>
          <w:lang w:val="fr-CA"/>
        </w:rPr>
        <w:t xml:space="preserve"> En collaboration avec des partenaires Inuits, il a identifié les services fédéraux offerts en </w:t>
      </w:r>
      <w:proofErr w:type="spellStart"/>
      <w:r w:rsidRPr="14ED1760">
        <w:rPr>
          <w:color w:val="000000" w:themeColor="text1"/>
          <w:lang w:val="fr-CA"/>
        </w:rPr>
        <w:t>inuktut</w:t>
      </w:r>
      <w:proofErr w:type="spellEnd"/>
      <w:r w:rsidRPr="14ED1760">
        <w:rPr>
          <w:color w:val="000000" w:themeColor="text1"/>
          <w:lang w:val="fr-CA"/>
        </w:rPr>
        <w:t xml:space="preserve"> au Nunavut. </w:t>
      </w:r>
      <w:r w:rsidRPr="14ED1760">
        <w:rPr>
          <w:lang w:val="fr-CA"/>
        </w:rPr>
        <w:t xml:space="preserve"> </w:t>
      </w:r>
    </w:p>
    <w:p w14:paraId="4AEA237B" w14:textId="77777777" w:rsidR="00C83F56" w:rsidRDefault="00C83F56" w:rsidP="004F23C1">
      <w:pPr>
        <w:pStyle w:val="SingleTxtG"/>
        <w:numPr>
          <w:ilvl w:val="0"/>
          <w:numId w:val="4"/>
        </w:numPr>
        <w:ind w:left="1134" w:firstLine="0"/>
        <w:rPr>
          <w:lang w:val="fr-CA"/>
        </w:rPr>
      </w:pPr>
      <w:r w:rsidRPr="00AA7B64">
        <w:rPr>
          <w:lang w:val="fr-CA"/>
        </w:rPr>
        <w:t xml:space="preserve">Un cadre pour la négociation et la conclusion d’accords à durée déterminée en vertu des articles 8 et 9 de la Loi est entré en vigueur afin de favoriser la coopération et la coordination en vue de réaliser les objectifs de la Loi. Douze accords ont été conclus dans ce cadre, en plus de deux accords </w:t>
      </w:r>
      <w:r w:rsidRPr="009A0679">
        <w:rPr>
          <w:lang w:val="fr-CA"/>
        </w:rPr>
        <w:t>« </w:t>
      </w:r>
      <w:proofErr w:type="spellStart"/>
      <w:r w:rsidRPr="009A0679">
        <w:rPr>
          <w:lang w:val="fr-CA"/>
        </w:rPr>
        <w:t>Pathfinders</w:t>
      </w:r>
      <w:proofErr w:type="spellEnd"/>
      <w:r w:rsidRPr="009A0679">
        <w:rPr>
          <w:lang w:val="fr-CA"/>
        </w:rPr>
        <w:t> », qui</w:t>
      </w:r>
      <w:r w:rsidRPr="00AA7B64">
        <w:rPr>
          <w:lang w:val="fr-CA"/>
        </w:rPr>
        <w:t xml:space="preserve"> sont des ententes préliminaires axées sur le financement de langues précises et l’expérimentation de services de maintien et de revitalisation.</w:t>
      </w:r>
    </w:p>
    <w:p w14:paraId="135FF783" w14:textId="77777777" w:rsidR="00C83F56" w:rsidRPr="00DA5272" w:rsidRDefault="00C83F56" w:rsidP="004F23C1">
      <w:pPr>
        <w:pStyle w:val="SingleTxtG"/>
        <w:numPr>
          <w:ilvl w:val="0"/>
          <w:numId w:val="4"/>
        </w:numPr>
        <w:ind w:left="1134" w:firstLine="0"/>
        <w:rPr>
          <w:lang w:val="fr-CA"/>
        </w:rPr>
      </w:pPr>
      <w:bookmarkStart w:id="184" w:name="lt_pId364"/>
      <w:r>
        <w:rPr>
          <w:lang w:val="fr-CA"/>
        </w:rPr>
        <w:t>En 2023, le GC a mis en place de nouveaux modèles de financement fondés sur les distinctions pour les langues autochtones.</w:t>
      </w:r>
      <w:bookmarkEnd w:id="184"/>
      <w:r w:rsidRPr="00A7517B">
        <w:rPr>
          <w:lang w:val="fr-CA"/>
        </w:rPr>
        <w:t xml:space="preserve"> </w:t>
      </w:r>
      <w:bookmarkStart w:id="185" w:name="lt_pId365"/>
      <w:r w:rsidRPr="001369BA">
        <w:rPr>
          <w:lang w:val="fr-CA"/>
        </w:rPr>
        <w:t xml:space="preserve">Élaborés conjointement avec l’Assemblée des Premières Nations, l’Inuit </w:t>
      </w:r>
      <w:proofErr w:type="spellStart"/>
      <w:r w:rsidRPr="001369BA">
        <w:rPr>
          <w:lang w:val="fr-CA"/>
        </w:rPr>
        <w:t>Tapiriit</w:t>
      </w:r>
      <w:proofErr w:type="spellEnd"/>
      <w:r>
        <w:rPr>
          <w:lang w:val="fr-CA"/>
        </w:rPr>
        <w:t> </w:t>
      </w:r>
      <w:proofErr w:type="spellStart"/>
      <w:r w:rsidRPr="001369BA">
        <w:rPr>
          <w:lang w:val="fr-CA"/>
        </w:rPr>
        <w:t>Kanatami</w:t>
      </w:r>
      <w:proofErr w:type="spellEnd"/>
      <w:r w:rsidRPr="001369BA">
        <w:rPr>
          <w:lang w:val="fr-CA"/>
        </w:rPr>
        <w:t xml:space="preserve"> et le Ralliement national des Métis, les modèles visent à répondre à l</w:t>
      </w:r>
      <w:r>
        <w:rPr>
          <w:lang w:val="fr-CA"/>
        </w:rPr>
        <w:t>’</w:t>
      </w:r>
      <w:r w:rsidRPr="001369BA">
        <w:rPr>
          <w:lang w:val="fr-CA"/>
        </w:rPr>
        <w:t xml:space="preserve">objectif de la </w:t>
      </w:r>
      <w:r w:rsidRPr="001369BA">
        <w:rPr>
          <w:i/>
          <w:lang w:val="fr-CA"/>
        </w:rPr>
        <w:t>Loi sur les langues autochtones</w:t>
      </w:r>
      <w:r w:rsidRPr="001369BA">
        <w:rPr>
          <w:lang w:val="fr-CA"/>
        </w:rPr>
        <w:t>, qui est d</w:t>
      </w:r>
      <w:r>
        <w:rPr>
          <w:lang w:val="fr-CA"/>
        </w:rPr>
        <w:t>’</w:t>
      </w:r>
      <w:r w:rsidRPr="001369BA">
        <w:rPr>
          <w:lang w:val="fr-CA"/>
        </w:rPr>
        <w:t>adopter des mesures facilitant l</w:t>
      </w:r>
      <w:r>
        <w:rPr>
          <w:lang w:val="fr-CA"/>
        </w:rPr>
        <w:t>’</w:t>
      </w:r>
      <w:r w:rsidRPr="001369BA">
        <w:rPr>
          <w:lang w:val="fr-CA"/>
        </w:rPr>
        <w:t>accès à un financement adéquat, durable et à long terme pour les langues autochtones.</w:t>
      </w:r>
      <w:bookmarkEnd w:id="185"/>
      <w:r w:rsidRPr="00A7517B">
        <w:rPr>
          <w:lang w:val="fr-CA"/>
        </w:rPr>
        <w:t xml:space="preserve"> </w:t>
      </w:r>
      <w:bookmarkStart w:id="186" w:name="lt_pId366"/>
      <w:r>
        <w:rPr>
          <w:lang w:val="fr-CA"/>
        </w:rPr>
        <w:t>Les éléments clés des modèles de financement sont entre autres la conclusion d’accords de financement à long terme,</w:t>
      </w:r>
      <w:bookmarkEnd w:id="186"/>
      <w:r w:rsidRPr="00A7517B">
        <w:rPr>
          <w:lang w:val="fr-CA"/>
        </w:rPr>
        <w:t xml:space="preserve"> </w:t>
      </w:r>
      <w:bookmarkStart w:id="187" w:name="lt_pId367"/>
      <w:r>
        <w:rPr>
          <w:lang w:val="fr-CA"/>
        </w:rPr>
        <w:t>l’accroissement du contrôle des Autochtones à l’égard des décisions de financement afin de mieux soutenir leurs priorités et leurs stratégies,</w:t>
      </w:r>
      <w:bookmarkEnd w:id="187"/>
      <w:r w:rsidRPr="00A7517B">
        <w:rPr>
          <w:lang w:val="fr-CA"/>
        </w:rPr>
        <w:t xml:space="preserve"> </w:t>
      </w:r>
      <w:bookmarkStart w:id="188" w:name="lt_pId368"/>
      <w:r w:rsidRPr="00DA5272">
        <w:rPr>
          <w:lang w:val="fr-CA"/>
        </w:rPr>
        <w:t>et la réponse aux besoins distincts des Premières Nations, des Inuits et des Métis dans leurs efforts visant à revitaliser et à renforcer leurs langues.</w:t>
      </w:r>
      <w:bookmarkEnd w:id="188"/>
    </w:p>
    <w:p w14:paraId="63A70E31" w14:textId="77777777" w:rsidR="00C83F56" w:rsidRPr="00A7517B" w:rsidRDefault="00C83F56" w:rsidP="004F23C1">
      <w:pPr>
        <w:pStyle w:val="SingleTxtG"/>
        <w:numPr>
          <w:ilvl w:val="0"/>
          <w:numId w:val="4"/>
        </w:numPr>
        <w:ind w:left="1134" w:firstLine="0"/>
        <w:rPr>
          <w:lang w:val="fr-CA"/>
        </w:rPr>
      </w:pPr>
      <w:bookmarkStart w:id="189" w:name="lt_pId369"/>
      <w:r w:rsidRPr="001369BA">
        <w:rPr>
          <w:lang w:val="fr-CA"/>
        </w:rPr>
        <w:t xml:space="preserve">Le </w:t>
      </w:r>
      <w:r>
        <w:rPr>
          <w:lang w:val="fr-CA"/>
        </w:rPr>
        <w:t>GC</w:t>
      </w:r>
      <w:r w:rsidRPr="001369BA">
        <w:rPr>
          <w:lang w:val="fr-CA"/>
        </w:rPr>
        <w:t xml:space="preserve"> s</w:t>
      </w:r>
      <w:r>
        <w:rPr>
          <w:lang w:val="fr-CA"/>
        </w:rPr>
        <w:t>’</w:t>
      </w:r>
      <w:r w:rsidRPr="001369BA">
        <w:rPr>
          <w:lang w:val="fr-CA"/>
        </w:rPr>
        <w:t xml:space="preserve">engage également auprès des nations autonomes, </w:t>
      </w:r>
      <w:r w:rsidRPr="006F71FE">
        <w:rPr>
          <w:lang w:val="fr-CA"/>
        </w:rPr>
        <w:t>d’autres corps dirigeants et des organisations autochtones, telles que la Fédération des Métis du Manitoba, le C</w:t>
      </w:r>
      <w:r w:rsidRPr="001369BA">
        <w:rPr>
          <w:lang w:val="fr-CA"/>
        </w:rPr>
        <w:t>ongrès des peuples autochtones et les organisations des centres d</w:t>
      </w:r>
      <w:r>
        <w:rPr>
          <w:lang w:val="fr-CA"/>
        </w:rPr>
        <w:t>’</w:t>
      </w:r>
      <w:r w:rsidRPr="001369BA">
        <w:rPr>
          <w:lang w:val="fr-CA"/>
        </w:rPr>
        <w:t xml:space="preserve">amitié, afin de connaître leur point de vue sur la mise en œuvre de la </w:t>
      </w:r>
      <w:r w:rsidRPr="001369BA">
        <w:rPr>
          <w:i/>
          <w:lang w:val="fr-CA"/>
        </w:rPr>
        <w:t>Loi sur les langues autochtones</w:t>
      </w:r>
      <w:r w:rsidRPr="001369BA">
        <w:rPr>
          <w:lang w:val="fr-CA"/>
        </w:rPr>
        <w:t>.</w:t>
      </w:r>
      <w:bookmarkEnd w:id="189"/>
    </w:p>
    <w:p w14:paraId="1AD85115" w14:textId="5C772A9C" w:rsidR="00C83F56" w:rsidRPr="00A7517B" w:rsidRDefault="00B97E48" w:rsidP="00B97E48">
      <w:pPr>
        <w:pStyle w:val="H23G"/>
        <w:rPr>
          <w:lang w:val="fr-CA"/>
        </w:rPr>
      </w:pPr>
      <w:bookmarkStart w:id="190" w:name="lt_pId370"/>
      <w:r>
        <w:rPr>
          <w:lang w:val="fr-CA"/>
        </w:rPr>
        <w:tab/>
      </w:r>
      <w:r>
        <w:rPr>
          <w:lang w:val="fr-CA"/>
        </w:rPr>
        <w:tab/>
      </w:r>
      <w:r w:rsidR="00C83F56" w:rsidRPr="006F71FE">
        <w:rPr>
          <w:lang w:val="fr-CA"/>
        </w:rPr>
        <w:t>Logement</w:t>
      </w:r>
      <w:bookmarkEnd w:id="190"/>
    </w:p>
    <w:p w14:paraId="77AB5FF4" w14:textId="77777777" w:rsidR="00C83F56" w:rsidRPr="00A7517B" w:rsidRDefault="00C83F56" w:rsidP="004F23C1">
      <w:pPr>
        <w:pStyle w:val="SingleTxtG"/>
        <w:numPr>
          <w:ilvl w:val="0"/>
          <w:numId w:val="4"/>
        </w:numPr>
        <w:ind w:left="1134" w:firstLine="0"/>
        <w:rPr>
          <w:lang w:val="fr-CA"/>
        </w:rPr>
      </w:pPr>
      <w:bookmarkStart w:id="191" w:name="lt_pId371"/>
      <w:r>
        <w:rPr>
          <w:lang w:val="fr-CA"/>
        </w:rPr>
        <w:t>Le GC finance trois stratégies de logement fondées sur les distinctions : une stratégie dirigée par les Premières Nations, une stratégie dirigée par les Inuits et une stratégie de la Nation métisse.</w:t>
      </w:r>
      <w:bookmarkEnd w:id="191"/>
      <w:r w:rsidRPr="00A7517B">
        <w:rPr>
          <w:lang w:val="fr-CA"/>
        </w:rPr>
        <w:t xml:space="preserve"> </w:t>
      </w:r>
      <w:bookmarkStart w:id="192" w:name="lt_pId372"/>
      <w:r w:rsidRPr="001369BA">
        <w:rPr>
          <w:lang w:val="fr-CA"/>
        </w:rPr>
        <w:t xml:space="preserve">Le </w:t>
      </w:r>
      <w:r>
        <w:rPr>
          <w:lang w:val="fr-CA"/>
        </w:rPr>
        <w:t>GC</w:t>
      </w:r>
      <w:r w:rsidRPr="001369BA">
        <w:rPr>
          <w:lang w:val="fr-CA"/>
        </w:rPr>
        <w:t xml:space="preserve"> collabore avec l</w:t>
      </w:r>
      <w:r>
        <w:rPr>
          <w:lang w:val="fr-CA"/>
        </w:rPr>
        <w:t>’</w:t>
      </w:r>
      <w:r w:rsidRPr="001369BA">
        <w:rPr>
          <w:lang w:val="fr-CA"/>
        </w:rPr>
        <w:t>A</w:t>
      </w:r>
      <w:r>
        <w:rPr>
          <w:lang w:val="fr-CA"/>
        </w:rPr>
        <w:t>PN</w:t>
      </w:r>
      <w:r w:rsidRPr="001369BA">
        <w:rPr>
          <w:lang w:val="fr-CA"/>
        </w:rPr>
        <w:t xml:space="preserve"> et son Comité des Chefs sur le logement et l’infrastructures </w:t>
      </w:r>
      <w:r>
        <w:rPr>
          <w:lang w:val="fr-CA"/>
        </w:rPr>
        <w:t xml:space="preserve">pour </w:t>
      </w:r>
      <w:r w:rsidRPr="009A0679">
        <w:rPr>
          <w:lang w:val="fr-CA"/>
        </w:rPr>
        <w:t>développer conjointement</w:t>
      </w:r>
      <w:r>
        <w:rPr>
          <w:lang w:val="fr-CA"/>
        </w:rPr>
        <w:t xml:space="preserve"> la</w:t>
      </w:r>
      <w:r w:rsidRPr="001369BA">
        <w:rPr>
          <w:lang w:val="fr-CA"/>
        </w:rPr>
        <w:t xml:space="preserve"> </w:t>
      </w:r>
      <w:r w:rsidRPr="00D441AB">
        <w:rPr>
          <w:lang w:val="fr-CA"/>
        </w:rPr>
        <w:t>Stratégie nationale sur le logement et les infrastructures connexes des Premières Nations, d’une durée de dix ans.</w:t>
      </w:r>
      <w:bookmarkEnd w:id="192"/>
      <w:r w:rsidRPr="00D441AB">
        <w:rPr>
          <w:lang w:val="fr-CA"/>
        </w:rPr>
        <w:t xml:space="preserve"> </w:t>
      </w:r>
      <w:bookmarkStart w:id="193" w:name="lt_pId373"/>
      <w:r w:rsidRPr="00D441AB">
        <w:rPr>
          <w:lang w:val="fr-CA"/>
        </w:rPr>
        <w:t>Approuvée en 2018, cette stratégie trace la voie pour transférer aux Premières N</w:t>
      </w:r>
      <w:r>
        <w:rPr>
          <w:lang w:val="fr-CA"/>
        </w:rPr>
        <w:t>ations la responsabilité de la gestion, du contrôle et l’administration de leur logements.</w:t>
      </w:r>
      <w:bookmarkEnd w:id="193"/>
      <w:r w:rsidRPr="00A7517B">
        <w:rPr>
          <w:lang w:val="fr-CA"/>
        </w:rPr>
        <w:t xml:space="preserve"> </w:t>
      </w:r>
      <w:bookmarkStart w:id="194" w:name="lt_pId374"/>
      <w:r>
        <w:rPr>
          <w:lang w:val="fr-CA"/>
        </w:rPr>
        <w:t>Le GC continue de collaborer avec les Premières Nations pour faire avancer la stratégie et atteindre les objectifs à court, moyen et long terme.</w:t>
      </w:r>
      <w:bookmarkEnd w:id="194"/>
    </w:p>
    <w:p w14:paraId="048CFEDE" w14:textId="77777777" w:rsidR="00C83F56" w:rsidRPr="003777B2" w:rsidRDefault="00C83F56" w:rsidP="004F23C1">
      <w:pPr>
        <w:pStyle w:val="SingleTxtG"/>
        <w:numPr>
          <w:ilvl w:val="0"/>
          <w:numId w:val="4"/>
        </w:numPr>
        <w:ind w:left="1134" w:firstLine="0"/>
        <w:rPr>
          <w:lang w:val="fr-CA"/>
        </w:rPr>
      </w:pPr>
      <w:r w:rsidRPr="003777B2">
        <w:rPr>
          <w:lang w:val="fr-CA"/>
        </w:rPr>
        <w:t>Depuis 2016, le Canada verse un financement fédéral fondé sur les distinctions directement aux organisations inuites issues de traités afin d’améliorer les conditions de logement et d’infrastructure dans l’Inuit Nunangat. En 2019, par l’intermédiaire du Comité de partenariat entre les Inuits et la Couronne, les Inuits et le GC ont conjointement élaboré la Stratégie de logement pour l’Inuit Nunangat.</w:t>
      </w:r>
      <w:r>
        <w:rPr>
          <w:lang w:val="fr-CA"/>
        </w:rPr>
        <w:t xml:space="preserve"> </w:t>
      </w:r>
      <w:r w:rsidRPr="00D46110">
        <w:rPr>
          <w:lang w:val="fr-CA"/>
        </w:rPr>
        <w:t xml:space="preserve">La mise en œuvre de la stratégie se poursuit </w:t>
      </w:r>
      <w:r>
        <w:rPr>
          <w:lang w:val="fr-CA"/>
        </w:rPr>
        <w:t>et l</w:t>
      </w:r>
      <w:r w:rsidRPr="003777B2">
        <w:rPr>
          <w:lang w:val="fr-CA"/>
        </w:rPr>
        <w:t>e GC et ses partenaires inuits prévoient établir un plan à long terme pour améliorer et maintenir les résultats en matière de logement</w:t>
      </w:r>
      <w:r w:rsidRPr="0096749B">
        <w:rPr>
          <w:lang w:val="fr-CA"/>
        </w:rPr>
        <w:t xml:space="preserve"> </w:t>
      </w:r>
      <w:r w:rsidRPr="00885F51">
        <w:rPr>
          <w:lang w:val="fr-CA"/>
        </w:rPr>
        <w:t>pour l’Inuit Nunangat</w:t>
      </w:r>
      <w:r w:rsidRPr="003777B2">
        <w:rPr>
          <w:lang w:val="fr-CA"/>
        </w:rPr>
        <w:t xml:space="preserve"> </w:t>
      </w:r>
    </w:p>
    <w:p w14:paraId="301A3B6E" w14:textId="77777777" w:rsidR="00C83F56" w:rsidRPr="00A7517B" w:rsidRDefault="00C83F56" w:rsidP="004F23C1">
      <w:pPr>
        <w:pStyle w:val="SingleTxtG"/>
        <w:numPr>
          <w:ilvl w:val="0"/>
          <w:numId w:val="4"/>
        </w:numPr>
        <w:ind w:left="1134" w:firstLine="0"/>
        <w:rPr>
          <w:lang w:val="fr-CA"/>
        </w:rPr>
      </w:pPr>
      <w:bookmarkStart w:id="195" w:name="lt_pId379"/>
      <w:r w:rsidRPr="51A13573">
        <w:rPr>
          <w:lang w:val="fr-CA"/>
        </w:rPr>
        <w:t xml:space="preserve">En 2018, le </w:t>
      </w:r>
      <w:r>
        <w:rPr>
          <w:lang w:val="fr-CA"/>
        </w:rPr>
        <w:t>GC</w:t>
      </w:r>
      <w:r w:rsidRPr="51A13573">
        <w:rPr>
          <w:lang w:val="fr-CA"/>
        </w:rPr>
        <w:t xml:space="preserve"> et la Nation métisse ont élaboré conjointement la Stratégie sur le logement de la Nation métisse, qui prévoit des investissements associés à cette stratégie sur une période de dix ans.</w:t>
      </w:r>
      <w:bookmarkEnd w:id="195"/>
      <w:r w:rsidRPr="51A13573">
        <w:rPr>
          <w:lang w:val="fr-CA"/>
        </w:rPr>
        <w:t xml:space="preserve"> </w:t>
      </w:r>
      <w:bookmarkStart w:id="196" w:name="lt_pId380"/>
      <w:r w:rsidRPr="51A13573">
        <w:rPr>
          <w:lang w:val="fr-CA"/>
        </w:rPr>
        <w:t>La stratégie a été étayée par le sous-accord sur le logement lié à l’Accord entre le Canada et la Nation métisse, également signé en 2018, qui reflète un engagement commun visant à réduire l’écart entre les besoins impérieux en matière de logement de la Nation métisse et des populations non autochtones au Canada, et à favoriser l’</w:t>
      </w:r>
      <w:proofErr w:type="spellStart"/>
      <w:r w:rsidRPr="51A13573">
        <w:rPr>
          <w:lang w:val="fr-CA"/>
        </w:rPr>
        <w:t>autodétermination</w:t>
      </w:r>
      <w:proofErr w:type="spellEnd"/>
      <w:r w:rsidRPr="51A13573">
        <w:rPr>
          <w:lang w:val="fr-CA"/>
        </w:rPr>
        <w:t xml:space="preserve"> des Autochtones dans ce domaine</w:t>
      </w:r>
      <w:bookmarkEnd w:id="196"/>
    </w:p>
    <w:p w14:paraId="7966A7F3" w14:textId="77777777" w:rsidR="00C83F56" w:rsidRPr="00A7517B" w:rsidRDefault="00C83F56" w:rsidP="004F23C1">
      <w:pPr>
        <w:pStyle w:val="SingleTxtG"/>
        <w:numPr>
          <w:ilvl w:val="0"/>
          <w:numId w:val="4"/>
        </w:numPr>
        <w:ind w:left="1134" w:firstLine="0"/>
        <w:rPr>
          <w:lang w:val="fr-CA"/>
        </w:rPr>
      </w:pPr>
      <w:r>
        <w:rPr>
          <w:lang w:val="fr-CA"/>
        </w:rPr>
        <w:t>Le GC a fait d’importants investissements pour permettre le transfert de la gestion et du contrôle des logements en renforçant les capacités des communautés des Premières Nations.</w:t>
      </w:r>
      <w:r w:rsidRPr="00A7517B">
        <w:rPr>
          <w:lang w:val="fr-CA"/>
        </w:rPr>
        <w:t xml:space="preserve"> </w:t>
      </w:r>
      <w:bookmarkStart w:id="197" w:name="lt_pId383"/>
      <w:r>
        <w:rPr>
          <w:lang w:val="fr-CA"/>
        </w:rPr>
        <w:t>L’accent a été mis sur l’amélioration de la formation, du recrutement et du maintien en poste des gestionnaires et des administrateurs de logements qualifiés.</w:t>
      </w:r>
      <w:bookmarkEnd w:id="197"/>
      <w:r w:rsidRPr="00A7517B">
        <w:rPr>
          <w:lang w:val="fr-CA"/>
        </w:rPr>
        <w:t xml:space="preserve"> </w:t>
      </w:r>
      <w:bookmarkStart w:id="198" w:name="lt_pId384"/>
      <w:r>
        <w:rPr>
          <w:lang w:val="fr-CA"/>
        </w:rPr>
        <w:t>À partir de </w:t>
      </w:r>
      <w:r w:rsidRPr="00F63A53">
        <w:rPr>
          <w:lang w:val="fr-CA"/>
        </w:rPr>
        <w:t xml:space="preserve">2022, le </w:t>
      </w:r>
      <w:r>
        <w:rPr>
          <w:lang w:val="fr-CA"/>
        </w:rPr>
        <w:t>GC</w:t>
      </w:r>
      <w:r w:rsidRPr="00F63A53">
        <w:rPr>
          <w:lang w:val="fr-CA"/>
        </w:rPr>
        <w:t xml:space="preserve"> a lancé une subvention à la gestion du logement afin d</w:t>
      </w:r>
      <w:r>
        <w:rPr>
          <w:lang w:val="fr-CA"/>
        </w:rPr>
        <w:t>’</w:t>
      </w:r>
      <w:r w:rsidRPr="00F63A53">
        <w:rPr>
          <w:lang w:val="fr-CA"/>
        </w:rPr>
        <w:t xml:space="preserve">aider les Premières Nations dans les réserves à payer les salaires des gestionnaires et du personnel </w:t>
      </w:r>
      <w:r>
        <w:rPr>
          <w:lang w:val="fr-CA"/>
        </w:rPr>
        <w:t>de soutien, et donc à maintenir un p</w:t>
      </w:r>
      <w:r w:rsidRPr="00F63A53">
        <w:rPr>
          <w:lang w:val="fr-CA"/>
        </w:rPr>
        <w:t>ersonnel qualifié.</w:t>
      </w:r>
      <w:bookmarkEnd w:id="198"/>
    </w:p>
    <w:p w14:paraId="72460FEF" w14:textId="77777777" w:rsidR="00C83F56" w:rsidRPr="00A7517B" w:rsidRDefault="00C83F56" w:rsidP="004F23C1">
      <w:pPr>
        <w:pStyle w:val="SingleTxtG"/>
        <w:numPr>
          <w:ilvl w:val="0"/>
          <w:numId w:val="4"/>
        </w:numPr>
        <w:ind w:left="1134" w:firstLine="0"/>
        <w:rPr>
          <w:lang w:val="fr-CA"/>
        </w:rPr>
      </w:pPr>
      <w:bookmarkStart w:id="199" w:name="lt_pId385"/>
      <w:r>
        <w:rPr>
          <w:lang w:val="fr-CA"/>
        </w:rPr>
        <w:t>Le P</w:t>
      </w:r>
      <w:r w:rsidRPr="00E7089D">
        <w:rPr>
          <w:lang w:val="fr-CA"/>
        </w:rPr>
        <w:t>rogramme d’immobilisations pour le logement des Autochtones de</w:t>
      </w:r>
      <w:r>
        <w:rPr>
          <w:lang w:val="fr-CA"/>
        </w:rPr>
        <w:t xml:space="preserve"> l’Alberta s’efforce d’atténuer les difficultés auxquelles sont confrontées les Autochtones pour accéder à des logements </w:t>
      </w:r>
      <w:bookmarkStart w:id="200" w:name="lt_pId386"/>
      <w:bookmarkEnd w:id="199"/>
      <w:r>
        <w:rPr>
          <w:lang w:val="fr-CA"/>
        </w:rPr>
        <w:t>abordables. Le programme augmente l’offre de logements abordables hors des réserves et dans les réserves pour les Autochtones dans le besoin en encourageant la construction (y compris les ajouts et les agrandissements), l’achat et la conversion d’unités.</w:t>
      </w:r>
      <w:bookmarkEnd w:id="200"/>
      <w:r w:rsidRPr="00A7517B">
        <w:rPr>
          <w:lang w:val="fr-CA"/>
        </w:rPr>
        <w:t xml:space="preserve"> </w:t>
      </w:r>
      <w:bookmarkStart w:id="201" w:name="lt_pId387"/>
      <w:r w:rsidRPr="00D60878">
        <w:rPr>
          <w:lang w:val="fr-CA"/>
        </w:rPr>
        <w:t>Tous les projets financés par le programme sont admissibles au financement par contributions équivalentes dans le cadre de l</w:t>
      </w:r>
      <w:r>
        <w:rPr>
          <w:lang w:val="fr-CA"/>
        </w:rPr>
        <w:t>’</w:t>
      </w:r>
      <w:r w:rsidRPr="00D60878">
        <w:rPr>
          <w:lang w:val="fr-CA"/>
        </w:rPr>
        <w:t>entente bilatérale concernant la Stratégie nationale sur le logement.</w:t>
      </w:r>
      <w:bookmarkEnd w:id="201"/>
    </w:p>
    <w:p w14:paraId="04DE2B01" w14:textId="77777777" w:rsidR="00C83F56" w:rsidRPr="00A7517B" w:rsidRDefault="00C83F56" w:rsidP="004F23C1">
      <w:pPr>
        <w:pStyle w:val="SingleTxtG"/>
        <w:numPr>
          <w:ilvl w:val="0"/>
          <w:numId w:val="4"/>
        </w:numPr>
        <w:ind w:left="1134" w:firstLine="0"/>
        <w:rPr>
          <w:lang w:val="fr-CA"/>
        </w:rPr>
      </w:pPr>
      <w:r w:rsidRPr="005B52DE">
        <w:rPr>
          <w:lang w:val="fr-CA"/>
        </w:rPr>
        <w:t xml:space="preserve">Le Fonds pour le logement de transition pour les femmes en Colombie-Britannique a été créé en 2018 grâce à un investissement de 734 millions de dollars sur 10 ans pour construire et exploiter 1 500 nouvelles unités de logement essentielles, y compris des maisons de transition, des foyers sécurisés, des logements de deuxième étape et des logements à long terme. Dans le cadre du plan de logement de 2023 de la province, intitulé Des foyers pour tous, la Colombie-Britannique investit 1,2 milliard de dollars supplémentaires sur 10 ans pour doubler le nombre d’unités du Fonds pour le logement de transition pour les femmes (FLTF), portant le total à 3 000. </w:t>
      </w:r>
      <w:r>
        <w:rPr>
          <w:lang w:val="fr-CA"/>
        </w:rPr>
        <w:t xml:space="preserve">En </w:t>
      </w:r>
      <w:r w:rsidRPr="005B52DE">
        <w:rPr>
          <w:lang w:val="fr-CA"/>
        </w:rPr>
        <w:t>2024, grâce au programme FLTF, 728 logements sont ouverts et 471 autres sont en cours de réalisation.</w:t>
      </w:r>
    </w:p>
    <w:p w14:paraId="5A247D7C" w14:textId="77777777" w:rsidR="00C83F56" w:rsidRDefault="00C83F56" w:rsidP="004F23C1">
      <w:pPr>
        <w:pStyle w:val="SingleTxtG"/>
        <w:numPr>
          <w:ilvl w:val="0"/>
          <w:numId w:val="4"/>
        </w:numPr>
        <w:ind w:left="1134" w:firstLine="0"/>
        <w:rPr>
          <w:lang w:val="fr-CA"/>
        </w:rPr>
      </w:pPr>
      <w:bookmarkStart w:id="202" w:name="lt_pId389"/>
      <w:r w:rsidRPr="003D6CBA">
        <w:rPr>
          <w:lang w:val="fr-CA"/>
        </w:rPr>
        <w:t xml:space="preserve">Le ministère </w:t>
      </w:r>
      <w:r>
        <w:rPr>
          <w:lang w:val="fr-CA"/>
        </w:rPr>
        <w:t xml:space="preserve">du </w:t>
      </w:r>
      <w:r w:rsidRPr="00E7089D">
        <w:rPr>
          <w:lang w:val="fr-CA"/>
        </w:rPr>
        <w:t>Logement, de la Lutte contre les dépendances et de la Lutte contre l’itinérance</w:t>
      </w:r>
      <w:r>
        <w:rPr>
          <w:lang w:val="fr-CA"/>
        </w:rPr>
        <w:t xml:space="preserve"> </w:t>
      </w:r>
      <w:r w:rsidRPr="005B52DE">
        <w:rPr>
          <w:lang w:val="fr-CA"/>
        </w:rPr>
        <w:t>du Manitoba a organisé des séances de consultation</w:t>
      </w:r>
      <w:r>
        <w:rPr>
          <w:lang w:val="fr-CA"/>
        </w:rPr>
        <w:t xml:space="preserve"> et publié des sondages </w:t>
      </w:r>
      <w:proofErr w:type="spellStart"/>
      <w:r w:rsidRPr="00A06818">
        <w:rPr>
          <w:lang w:val="fr-CA"/>
        </w:rPr>
        <w:t>EngageMB</w:t>
      </w:r>
      <w:proofErr w:type="spellEnd"/>
      <w:r w:rsidRPr="005B52DE">
        <w:rPr>
          <w:lang w:val="fr-CA"/>
        </w:rPr>
        <w:t xml:space="preserve"> pour informer la Stratégie nationale sur le logement et a également soutenu des organisations dans l’animation de séances pour les personnes ayant vécu une situation d’itinérance, dont beaucoup étaient des Autochtones.</w:t>
      </w:r>
      <w:bookmarkEnd w:id="202"/>
      <w:r w:rsidRPr="005B52DE">
        <w:rPr>
          <w:lang w:val="fr-CA"/>
        </w:rPr>
        <w:t xml:space="preserve"> </w:t>
      </w:r>
    </w:p>
    <w:p w14:paraId="44EED9C2" w14:textId="77777777" w:rsidR="00C83F56" w:rsidRDefault="00C83F56" w:rsidP="004F23C1">
      <w:pPr>
        <w:pStyle w:val="SingleTxtG"/>
        <w:numPr>
          <w:ilvl w:val="0"/>
          <w:numId w:val="4"/>
        </w:numPr>
        <w:ind w:left="1134" w:firstLine="0"/>
        <w:rPr>
          <w:lang w:val="fr-CA"/>
        </w:rPr>
      </w:pPr>
      <w:r>
        <w:rPr>
          <w:lang w:val="fr-CA"/>
        </w:rPr>
        <w:t>L</w:t>
      </w:r>
      <w:r w:rsidRPr="00415922">
        <w:rPr>
          <w:lang w:val="fr-CA"/>
        </w:rPr>
        <w:t>’Ontario renforce les investissements dans le Programme de logement avec services de soutien pour les Autochtones (PLSSA), qui offre une aide au logement et des services de soutien culturellement appropriés aux Autochtones en situation d’itinérance ou à risque de le devenir. Le financement du PLSSA a augmenté de près de 40 %, atteignant 41,5 millions de dollars en 2023-2024, et ce montant est maintenu pour 2024-2025. Les fonds peuvent être utilisés à la fois pour les immobilisations et pour le soutien opérationnel continu du logement.</w:t>
      </w:r>
    </w:p>
    <w:p w14:paraId="1A24CDE8" w14:textId="77777777" w:rsidR="00C83F56" w:rsidRPr="002F7DDD" w:rsidRDefault="00C83F56" w:rsidP="004F23C1">
      <w:pPr>
        <w:pStyle w:val="SingleTxtG"/>
        <w:numPr>
          <w:ilvl w:val="0"/>
          <w:numId w:val="4"/>
        </w:numPr>
        <w:ind w:left="1134" w:firstLine="0"/>
        <w:rPr>
          <w:lang w:val="fr-CA"/>
        </w:rPr>
      </w:pPr>
      <w:r w:rsidRPr="0096749B">
        <w:rPr>
          <w:lang w:val="fr-CA"/>
        </w:rPr>
        <w:t xml:space="preserve">Le </w:t>
      </w:r>
      <w:r>
        <w:rPr>
          <w:lang w:val="fr-CA"/>
        </w:rPr>
        <w:t>GC</w:t>
      </w:r>
      <w:r w:rsidRPr="0096749B">
        <w:rPr>
          <w:lang w:val="fr-CA"/>
        </w:rPr>
        <w:t xml:space="preserve"> travaille avec ses partenaires des Premières Nations, ses partenaires </w:t>
      </w:r>
      <w:r>
        <w:rPr>
          <w:lang w:val="fr-CA"/>
        </w:rPr>
        <w:t>I</w:t>
      </w:r>
      <w:r w:rsidRPr="0096749B">
        <w:rPr>
          <w:lang w:val="fr-CA"/>
        </w:rPr>
        <w:t xml:space="preserve">nuits et </w:t>
      </w:r>
      <w:r>
        <w:rPr>
          <w:lang w:val="fr-CA"/>
        </w:rPr>
        <w:t>M</w:t>
      </w:r>
      <w:r w:rsidRPr="0096749B">
        <w:rPr>
          <w:lang w:val="fr-CA"/>
        </w:rPr>
        <w:t xml:space="preserve">étis et les signataires de traités modernes et les gouvernements autochtones autonomes sur leurs stratégies de logement fondées sur les distinctions afin de soutenir les membres de ces groupes qui vivent dans </w:t>
      </w:r>
      <w:r w:rsidRPr="002F7DDD">
        <w:rPr>
          <w:lang w:val="fr-CA"/>
        </w:rPr>
        <w:t>les milieux urbains</w:t>
      </w:r>
      <w:r w:rsidRPr="0096749B">
        <w:rPr>
          <w:lang w:val="fr-CA"/>
        </w:rPr>
        <w:t>, rural et nordique</w:t>
      </w:r>
      <w:r>
        <w:rPr>
          <w:lang w:val="fr-CA"/>
        </w:rPr>
        <w:t xml:space="preserve"> et </w:t>
      </w:r>
      <w:r w:rsidRPr="0096749B">
        <w:rPr>
          <w:lang w:val="fr-CA"/>
        </w:rPr>
        <w:t>discute</w:t>
      </w:r>
      <w:r>
        <w:rPr>
          <w:lang w:val="fr-CA"/>
        </w:rPr>
        <w:t xml:space="preserve">r </w:t>
      </w:r>
      <w:r w:rsidRPr="0096749B">
        <w:rPr>
          <w:lang w:val="fr-CA"/>
        </w:rPr>
        <w:t xml:space="preserve">d’approches provisoires. </w:t>
      </w:r>
      <w:r>
        <w:rPr>
          <w:lang w:val="fr-CA"/>
        </w:rPr>
        <w:t>Ces étapes font progresser</w:t>
      </w:r>
      <w:r w:rsidRPr="0096749B">
        <w:rPr>
          <w:lang w:val="fr-CA"/>
        </w:rPr>
        <w:t xml:space="preserve"> la réalisation d’un engagement prévu dans le budget de 2023 : 4 milliards de dollars sur 7 ans, à compter de 2024-2025, pour la mise en œuvre de la Stratégie sur le logement des Autochtones en milieux urbain, rural et nordique. Cet engagement s’ajoute à celui de 300 millions de dollars prévu dans le budget de 2022 pour répondre aux besoins urgents et non comblés et pour soutenir la mobilisation dirigée par les Autochtones.</w:t>
      </w:r>
    </w:p>
    <w:p w14:paraId="10FBFC60" w14:textId="0D06B8C7" w:rsidR="00C83F56" w:rsidRPr="004E7983" w:rsidRDefault="00B97E48" w:rsidP="00B97E48">
      <w:pPr>
        <w:pStyle w:val="H23G"/>
        <w:rPr>
          <w:lang w:val="fr-CA"/>
        </w:rPr>
      </w:pPr>
      <w:bookmarkStart w:id="203" w:name="lt_pId391"/>
      <w:r>
        <w:rPr>
          <w:lang w:val="fr-CA"/>
        </w:rPr>
        <w:tab/>
      </w:r>
      <w:r>
        <w:rPr>
          <w:lang w:val="fr-CA"/>
        </w:rPr>
        <w:tab/>
      </w:r>
      <w:r w:rsidR="00C83F56" w:rsidRPr="004E7983">
        <w:rPr>
          <w:lang w:val="fr-CA"/>
        </w:rPr>
        <w:t>Emploi</w:t>
      </w:r>
      <w:bookmarkEnd w:id="203"/>
    </w:p>
    <w:p w14:paraId="2E0DA01B" w14:textId="77777777" w:rsidR="00C83F56" w:rsidRPr="00F80A0B" w:rsidRDefault="00C83F56" w:rsidP="004F23C1">
      <w:pPr>
        <w:pStyle w:val="SingleTxtG"/>
        <w:numPr>
          <w:ilvl w:val="0"/>
          <w:numId w:val="4"/>
        </w:numPr>
        <w:ind w:left="1134" w:firstLine="0"/>
        <w:rPr>
          <w:color w:val="000000" w:themeColor="text1"/>
          <w:lang w:val="fr-CA"/>
        </w:rPr>
      </w:pPr>
      <w:r w:rsidRPr="00391BF3">
        <w:rPr>
          <w:color w:val="000000" w:themeColor="text1"/>
          <w:lang w:val="fr-CA"/>
        </w:rPr>
        <w:t xml:space="preserve">Lancé en 2019, le Programme de formation pour les compétences et l’emploi destiné aux Autochtones soutient les Premières Nations, les </w:t>
      </w:r>
      <w:r w:rsidRPr="00391194">
        <w:rPr>
          <w:lang w:val="fr-CA"/>
        </w:rPr>
        <w:t>Inuits</w:t>
      </w:r>
      <w:r w:rsidRPr="00391BF3">
        <w:rPr>
          <w:color w:val="000000" w:themeColor="text1"/>
          <w:lang w:val="fr-CA"/>
        </w:rPr>
        <w:t>, les Métis et les Autochtones vivant en milieu urbain ou non affiliés dans le développement de leurs compétences et l’accès à l’emploi. Il permet aux organisations autochtones d’offrir des services intégrés, tels que le soutien à l’emploi et à la carrière, l’aide financière à la formation et aux études, le mentorat, l’appui à l’entrepreneuriat et un accompagnement adapté aux personnes en situation de handicap. En 2023-2024, plus de 54 000 Autochtones, dont 48 000 nouveaux participants, ont bénéficié du programme, permettant à 19 401 d’obtenir un emploi et à 6 535 de reprendre leurs études</w:t>
      </w:r>
    </w:p>
    <w:p w14:paraId="5BC3EC3F" w14:textId="77777777" w:rsidR="00C83F56" w:rsidRPr="00A7517B" w:rsidRDefault="00C83F56" w:rsidP="004F23C1">
      <w:pPr>
        <w:pStyle w:val="SingleTxtG"/>
        <w:numPr>
          <w:ilvl w:val="0"/>
          <w:numId w:val="4"/>
        </w:numPr>
        <w:ind w:left="1134" w:firstLine="0"/>
        <w:rPr>
          <w:lang w:val="fr-CA"/>
        </w:rPr>
      </w:pPr>
      <w:r w:rsidRPr="00391BF3">
        <w:rPr>
          <w:lang w:val="fr-CA"/>
        </w:rPr>
        <w:t>La Stratégie emploi et compétences jeunesse (SECJ) finance des organisations et employeurs pour aider les jeunes de 15 à 30 ans, y compris les jeunes autochtones, à acquérir les compétences et l’expérience nécessaires à l’emploi. Le soutien comprend des subventions salariales, de la formation, du mentorat et des services d’accompagnement, tels que le soutien à la garde d’enfants, le counseling en santé mentale ou la formation en langues autochtones. Chaque ministère partenaire fixe ses propres priorités et mécanismes de financement. Le programme d’Emploi et Développement social Canada vise à ce qu’au moins 20 % des participants soient des jeunes des Premières Nations, inuits ou métis.</w:t>
      </w:r>
    </w:p>
    <w:p w14:paraId="064B0ED2" w14:textId="77777777" w:rsidR="00C83F56" w:rsidRPr="005F1762" w:rsidRDefault="00C83F56" w:rsidP="004F23C1">
      <w:pPr>
        <w:pStyle w:val="SingleTxtG"/>
        <w:numPr>
          <w:ilvl w:val="0"/>
          <w:numId w:val="4"/>
        </w:numPr>
        <w:ind w:left="1134" w:firstLine="0"/>
        <w:rPr>
          <w:lang w:val="fr-CA"/>
        </w:rPr>
      </w:pPr>
      <w:r w:rsidRPr="00391BF3">
        <w:rPr>
          <w:lang w:val="fr-CA"/>
        </w:rPr>
        <w:t xml:space="preserve">Le Programme de stages pratiques pour étudiants aide les étudiants </w:t>
      </w:r>
      <w:proofErr w:type="spellStart"/>
      <w:r w:rsidRPr="00391BF3">
        <w:rPr>
          <w:lang w:val="fr-CA"/>
        </w:rPr>
        <w:t>postsecondaires</w:t>
      </w:r>
      <w:proofErr w:type="spellEnd"/>
      <w:r w:rsidRPr="00391BF3">
        <w:rPr>
          <w:lang w:val="fr-CA"/>
        </w:rPr>
        <w:t xml:space="preserve"> à acquérir des compétences professionnelles, tout en soutenant les employeurs dans le recrutement et la formation de talents et en encourageant les établissements d’enseignement à mieux répondre aux besoins du marché du travail. Pour promouvoir la diversité et l’inclusion, il offre une subvention salariale bonifiée aux employeurs qui embauchent des étudiants issus de groupes sous-représentés, dont les Autochtones. Le Programme Compétences pour réussir (CPR) finance des projets de formation axés sur les compétences essentielles et transférables, ainsi que le développement d’outils d’évaluation et de matériel pédagogique. En 2023-2024, </w:t>
      </w:r>
      <w:r>
        <w:rPr>
          <w:lang w:val="fr-CA"/>
        </w:rPr>
        <w:t xml:space="preserve">7% </w:t>
      </w:r>
      <w:r w:rsidRPr="00391BF3">
        <w:rPr>
          <w:lang w:val="fr-CA"/>
        </w:rPr>
        <w:t>des participants au programme se sont identifiés comme Autochtones.</w:t>
      </w:r>
    </w:p>
    <w:p w14:paraId="08845147" w14:textId="1C0584D0" w:rsidR="00C83F56" w:rsidRPr="00A7517B" w:rsidRDefault="00B97E48" w:rsidP="00B97E48">
      <w:pPr>
        <w:pStyle w:val="H23G"/>
        <w:rPr>
          <w:i/>
          <w:iCs/>
          <w:lang w:val="fr-CA"/>
        </w:rPr>
      </w:pPr>
      <w:bookmarkStart w:id="204" w:name="lt_pId409"/>
      <w:r>
        <w:rPr>
          <w:lang w:val="fr-CA"/>
        </w:rPr>
        <w:tab/>
      </w:r>
      <w:r>
        <w:rPr>
          <w:lang w:val="fr-CA"/>
        </w:rPr>
        <w:tab/>
      </w:r>
      <w:r w:rsidR="00C83F56" w:rsidRPr="000E6826">
        <w:rPr>
          <w:lang w:val="fr-CA"/>
        </w:rPr>
        <w:t>Eau potable</w:t>
      </w:r>
      <w:bookmarkEnd w:id="204"/>
    </w:p>
    <w:p w14:paraId="572ED31A" w14:textId="77777777" w:rsidR="00C83F56" w:rsidRPr="00A7517B" w:rsidRDefault="00C83F56" w:rsidP="004F23C1">
      <w:pPr>
        <w:pStyle w:val="SingleTxtG"/>
        <w:numPr>
          <w:ilvl w:val="0"/>
          <w:numId w:val="4"/>
        </w:numPr>
        <w:ind w:left="1134" w:firstLine="0"/>
        <w:rPr>
          <w:lang w:val="fr-CA"/>
        </w:rPr>
      </w:pPr>
      <w:bookmarkStart w:id="205" w:name="lt_pId410"/>
      <w:r>
        <w:rPr>
          <w:lang w:val="fr-CA"/>
        </w:rPr>
        <w:t>Le GC travaille en partenariat avec les communautés des Premières Nations pour trouver des solutions durables visant à assurer un accès à long terme à de l’eau potable sûre et propre, et à transférer le contrôle de cette ressource aux Premières Nations.</w:t>
      </w:r>
      <w:bookmarkEnd w:id="205"/>
    </w:p>
    <w:p w14:paraId="3A658322" w14:textId="77777777" w:rsidR="00C83F56" w:rsidRPr="009A0679" w:rsidRDefault="00C83F56" w:rsidP="004F23C1">
      <w:pPr>
        <w:pStyle w:val="SingleTxtG"/>
        <w:numPr>
          <w:ilvl w:val="0"/>
          <w:numId w:val="4"/>
        </w:numPr>
        <w:ind w:left="1134" w:firstLine="0"/>
        <w:rPr>
          <w:lang w:val="fr-CA"/>
        </w:rPr>
      </w:pPr>
      <w:bookmarkStart w:id="206" w:name="lt_pId413"/>
      <w:r w:rsidRPr="00911EA4">
        <w:rPr>
          <w:lang w:val="fr-CA"/>
        </w:rPr>
        <w:t xml:space="preserve">En 2022, </w:t>
      </w:r>
      <w:r>
        <w:rPr>
          <w:lang w:val="fr-CA"/>
        </w:rPr>
        <w:t xml:space="preserve">la </w:t>
      </w:r>
      <w:r w:rsidRPr="00EC5981">
        <w:rPr>
          <w:lang w:val="fr-CA"/>
        </w:rPr>
        <w:t xml:space="preserve">ministre des Services aux Autochtones a signé </w:t>
      </w:r>
      <w:r w:rsidRPr="00911EA4">
        <w:rPr>
          <w:lang w:val="fr-CA"/>
        </w:rPr>
        <w:t>un accord de transfert de services</w:t>
      </w:r>
      <w:r>
        <w:rPr>
          <w:lang w:val="fr-CA"/>
        </w:rPr>
        <w:t xml:space="preserve"> a été signé</w:t>
      </w:r>
      <w:r w:rsidRPr="00911EA4">
        <w:rPr>
          <w:lang w:val="fr-CA"/>
        </w:rPr>
        <w:t xml:space="preserve"> avec les Premières Nations </w:t>
      </w:r>
      <w:r>
        <w:rPr>
          <w:lang w:val="fr-CA"/>
        </w:rPr>
        <w:t xml:space="preserve">pour créer </w:t>
      </w:r>
      <w:r w:rsidRPr="009A0679">
        <w:rPr>
          <w:i/>
          <w:iCs/>
          <w:lang w:val="fr-CA"/>
        </w:rPr>
        <w:t xml:space="preserve">l’Atlantic First Nation Water </w:t>
      </w:r>
      <w:proofErr w:type="spellStart"/>
      <w:r w:rsidRPr="009A0679">
        <w:rPr>
          <w:i/>
          <w:iCs/>
          <w:lang w:val="fr-CA"/>
        </w:rPr>
        <w:t>Authority</w:t>
      </w:r>
      <w:bookmarkStart w:id="207" w:name="lt_pId414"/>
      <w:bookmarkEnd w:id="206"/>
      <w:proofErr w:type="spellEnd"/>
      <w:r>
        <w:rPr>
          <w:lang w:val="fr-CA"/>
        </w:rPr>
        <w:t xml:space="preserve"> qui</w:t>
      </w:r>
      <w:r w:rsidRPr="00504F75">
        <w:rPr>
          <w:lang w:val="fr-CA"/>
        </w:rPr>
        <w:t xml:space="preserve"> </w:t>
      </w:r>
      <w:r>
        <w:rPr>
          <w:lang w:val="fr-CA"/>
        </w:rPr>
        <w:t xml:space="preserve">donne </w:t>
      </w:r>
      <w:r w:rsidRPr="00504F75">
        <w:rPr>
          <w:lang w:val="fr-CA"/>
        </w:rPr>
        <w:t xml:space="preserve">aux Premières </w:t>
      </w:r>
      <w:r w:rsidRPr="009A0679">
        <w:rPr>
          <w:lang w:val="fr-CA"/>
        </w:rPr>
        <w:t xml:space="preserve">Nations le plein contrôle de la gestion de l’eau potable et des eaux usées, soutenant ainsi leur </w:t>
      </w:r>
      <w:proofErr w:type="spellStart"/>
      <w:r w:rsidRPr="009A0679">
        <w:rPr>
          <w:lang w:val="fr-CA"/>
        </w:rPr>
        <w:t>autodétermination</w:t>
      </w:r>
      <w:proofErr w:type="spellEnd"/>
      <w:r w:rsidRPr="009A0679">
        <w:rPr>
          <w:lang w:val="fr-CA"/>
        </w:rPr>
        <w:t>.</w:t>
      </w:r>
      <w:bookmarkEnd w:id="207"/>
      <w:r w:rsidRPr="009A0679">
        <w:rPr>
          <w:lang w:val="fr-CA"/>
        </w:rPr>
        <w:t xml:space="preserve"> </w:t>
      </w:r>
      <w:bookmarkStart w:id="208" w:name="lt_pId415"/>
      <w:r>
        <w:rPr>
          <w:lang w:val="fr-CA"/>
        </w:rPr>
        <w:t>Depuis</w:t>
      </w:r>
      <w:r w:rsidRPr="009A0679">
        <w:rPr>
          <w:lang w:val="fr-CA"/>
        </w:rPr>
        <w:t>, 147 consultations de longue durée sur la qualité de l’eau potable dans les réseaux publics des réserves ont été levés</w:t>
      </w:r>
      <w:bookmarkEnd w:id="208"/>
      <w:r>
        <w:rPr>
          <w:lang w:val="fr-CA"/>
        </w:rPr>
        <w:t>.</w:t>
      </w:r>
    </w:p>
    <w:p w14:paraId="63647E66" w14:textId="77777777" w:rsidR="00C83F56" w:rsidRPr="00A7517B" w:rsidRDefault="00C83F56" w:rsidP="004F23C1">
      <w:pPr>
        <w:pStyle w:val="SingleTxtG"/>
        <w:numPr>
          <w:ilvl w:val="0"/>
          <w:numId w:val="4"/>
        </w:numPr>
        <w:ind w:left="1134" w:firstLine="0"/>
        <w:rPr>
          <w:lang w:val="fr-CA"/>
        </w:rPr>
      </w:pPr>
      <w:bookmarkStart w:id="209" w:name="lt_pId417"/>
      <w:r>
        <w:rPr>
          <w:lang w:val="fr-CA"/>
        </w:rPr>
        <w:t xml:space="preserve">Le GC continue de travailler avec ses partenaires pour renforcer les capacités </w:t>
      </w:r>
      <w:r w:rsidRPr="000F681F">
        <w:rPr>
          <w:lang w:val="fr-CA"/>
        </w:rPr>
        <w:t xml:space="preserve">des Premières Nations à exploiter et à entretenir les réseaux d’approvisionnement en eau </w:t>
      </w:r>
      <w:r>
        <w:rPr>
          <w:lang w:val="fr-CA"/>
        </w:rPr>
        <w:t xml:space="preserve">par les initiatives informées et dirigées par les Autochtones pour soutenir les opérateurs de services d’eau. Ces initiatives comprennent </w:t>
      </w:r>
      <w:bookmarkStart w:id="210" w:name="lt_pId418"/>
      <w:bookmarkEnd w:id="209"/>
      <w:r>
        <w:rPr>
          <w:lang w:val="fr-CA"/>
        </w:rPr>
        <w:t>des ateliers de formation pour les opérateurs et les gestionnaires,</w:t>
      </w:r>
      <w:bookmarkEnd w:id="210"/>
      <w:r w:rsidRPr="00A7517B">
        <w:rPr>
          <w:lang w:val="fr-CA"/>
        </w:rPr>
        <w:t xml:space="preserve"> </w:t>
      </w:r>
      <w:bookmarkStart w:id="211" w:name="lt_pId419"/>
      <w:r>
        <w:rPr>
          <w:lang w:val="fr-CA"/>
        </w:rPr>
        <w:t>des activités de sensibilisation communautaire,</w:t>
      </w:r>
      <w:bookmarkEnd w:id="211"/>
      <w:r w:rsidRPr="00A7517B">
        <w:rPr>
          <w:lang w:val="fr-CA"/>
        </w:rPr>
        <w:t xml:space="preserve"> </w:t>
      </w:r>
      <w:bookmarkStart w:id="212" w:name="lt_pId420"/>
      <w:r>
        <w:rPr>
          <w:lang w:val="fr-CA"/>
        </w:rPr>
        <w:t>des programmes de stages,</w:t>
      </w:r>
      <w:bookmarkEnd w:id="212"/>
      <w:r w:rsidRPr="00A7517B">
        <w:rPr>
          <w:lang w:val="fr-CA"/>
        </w:rPr>
        <w:t xml:space="preserve"> </w:t>
      </w:r>
      <w:bookmarkStart w:id="213" w:name="lt_pId421"/>
      <w:r>
        <w:rPr>
          <w:lang w:val="fr-CA"/>
        </w:rPr>
        <w:t>des</w:t>
      </w:r>
      <w:r w:rsidRPr="001066C6">
        <w:rPr>
          <w:lang w:val="fr-CA"/>
        </w:rPr>
        <w:t xml:space="preserve"> plan</w:t>
      </w:r>
      <w:r>
        <w:rPr>
          <w:lang w:val="fr-CA"/>
        </w:rPr>
        <w:t>s</w:t>
      </w:r>
      <w:r w:rsidRPr="001066C6">
        <w:rPr>
          <w:lang w:val="fr-CA"/>
        </w:rPr>
        <w:t xml:space="preserve"> de protection des sources d</w:t>
      </w:r>
      <w:r>
        <w:rPr>
          <w:lang w:val="fr-CA"/>
        </w:rPr>
        <w:t>’</w:t>
      </w:r>
      <w:r w:rsidRPr="001066C6">
        <w:rPr>
          <w:lang w:val="fr-CA"/>
        </w:rPr>
        <w:t>eau,</w:t>
      </w:r>
      <w:bookmarkEnd w:id="213"/>
      <w:r w:rsidRPr="00A7517B">
        <w:rPr>
          <w:lang w:val="fr-CA"/>
        </w:rPr>
        <w:t xml:space="preserve"> </w:t>
      </w:r>
      <w:bookmarkStart w:id="214" w:name="lt_pId422"/>
      <w:r>
        <w:rPr>
          <w:lang w:val="fr-CA"/>
        </w:rPr>
        <w:t>des initiatives éducatives pour les jeunes,</w:t>
      </w:r>
      <w:bookmarkEnd w:id="214"/>
      <w:r w:rsidRPr="00A7517B">
        <w:rPr>
          <w:lang w:val="fr-CA"/>
        </w:rPr>
        <w:t xml:space="preserve"> </w:t>
      </w:r>
      <w:bookmarkStart w:id="215" w:name="lt_pId423"/>
      <w:r>
        <w:rPr>
          <w:lang w:val="fr-CA"/>
        </w:rPr>
        <w:t>et l’élaboration de divers outils de formation.</w:t>
      </w:r>
      <w:bookmarkEnd w:id="215"/>
      <w:r w:rsidRPr="00A7517B">
        <w:rPr>
          <w:lang w:val="fr-CA"/>
        </w:rPr>
        <w:t xml:space="preserve"> </w:t>
      </w:r>
    </w:p>
    <w:p w14:paraId="21520119" w14:textId="189292F3" w:rsidR="00C83F56" w:rsidRPr="009A0679" w:rsidRDefault="00B97E48" w:rsidP="00B97E48">
      <w:pPr>
        <w:pStyle w:val="H23G"/>
        <w:rPr>
          <w:i/>
          <w:iCs/>
          <w:lang w:val="fr-CA"/>
        </w:rPr>
      </w:pPr>
      <w:bookmarkStart w:id="216" w:name="lt_pId424"/>
      <w:r>
        <w:rPr>
          <w:lang w:val="fr-CA"/>
        </w:rPr>
        <w:tab/>
      </w:r>
      <w:r>
        <w:rPr>
          <w:lang w:val="fr-CA"/>
        </w:rPr>
        <w:tab/>
      </w:r>
      <w:r w:rsidR="00C83F56" w:rsidRPr="00D85FAE">
        <w:rPr>
          <w:lang w:val="fr-CA"/>
        </w:rPr>
        <w:t>Accès aux soins de santé</w:t>
      </w:r>
      <w:bookmarkEnd w:id="216"/>
    </w:p>
    <w:p w14:paraId="6200E117" w14:textId="77777777" w:rsidR="00C83F56" w:rsidRDefault="00C83F56" w:rsidP="004F23C1">
      <w:pPr>
        <w:pStyle w:val="SingleTxtG"/>
        <w:numPr>
          <w:ilvl w:val="0"/>
          <w:numId w:val="4"/>
        </w:numPr>
        <w:ind w:left="1134" w:firstLine="0"/>
        <w:rPr>
          <w:lang w:val="fr-CA"/>
        </w:rPr>
      </w:pPr>
      <w:r w:rsidRPr="0096749B">
        <w:rPr>
          <w:lang w:val="fr-CA"/>
        </w:rPr>
        <w:t xml:space="preserve">De 2021 à 2023, </w:t>
      </w:r>
      <w:r>
        <w:rPr>
          <w:lang w:val="fr-CA"/>
        </w:rPr>
        <w:t>SAC</w:t>
      </w:r>
      <w:r w:rsidRPr="0096749B">
        <w:rPr>
          <w:lang w:val="fr-CA"/>
        </w:rPr>
        <w:t xml:space="preserve"> a </w:t>
      </w:r>
      <w:r>
        <w:rPr>
          <w:lang w:val="fr-CA"/>
        </w:rPr>
        <w:t>collaboré avec</w:t>
      </w:r>
      <w:r w:rsidRPr="0096749B">
        <w:rPr>
          <w:lang w:val="fr-CA"/>
        </w:rPr>
        <w:t xml:space="preserve"> des partenaires régionaux et nationaux des Premières Nations, des Inuits et des Métis</w:t>
      </w:r>
      <w:r>
        <w:rPr>
          <w:lang w:val="fr-CA"/>
        </w:rPr>
        <w:t>, ainsi qu’avec</w:t>
      </w:r>
      <w:r w:rsidRPr="0096749B">
        <w:rPr>
          <w:lang w:val="fr-CA"/>
        </w:rPr>
        <w:t xml:space="preserve"> des organismes autochtones </w:t>
      </w:r>
      <w:r>
        <w:rPr>
          <w:lang w:val="fr-CA"/>
        </w:rPr>
        <w:t xml:space="preserve">à </w:t>
      </w:r>
      <w:r w:rsidRPr="0096749B">
        <w:rPr>
          <w:lang w:val="fr-CA"/>
        </w:rPr>
        <w:t>perspective intersectorielle</w:t>
      </w:r>
      <w:r>
        <w:rPr>
          <w:lang w:val="fr-CA"/>
        </w:rPr>
        <w:t xml:space="preserve">, afin de soutenir la </w:t>
      </w:r>
      <w:r w:rsidRPr="0096749B">
        <w:rPr>
          <w:lang w:val="fr-CA"/>
        </w:rPr>
        <w:t>mobilisation</w:t>
      </w:r>
      <w:r>
        <w:rPr>
          <w:lang w:val="fr-CA"/>
        </w:rPr>
        <w:t xml:space="preserve"> et</w:t>
      </w:r>
      <w:r w:rsidRPr="0096749B">
        <w:rPr>
          <w:lang w:val="fr-CA"/>
        </w:rPr>
        <w:t xml:space="preserve"> l’élaboration conjointe d’options législatives. Le rapport sommaire « Ce que nous avons entendu : Visions pour les dispositions législatives sur la santé des Autochtones fondées sur les distinctions » et différents rapports de mobilisation ont guidé les discussions</w:t>
      </w:r>
      <w:r>
        <w:rPr>
          <w:lang w:val="fr-CA"/>
        </w:rPr>
        <w:t xml:space="preserve">. </w:t>
      </w:r>
      <w:r w:rsidRPr="0096749B">
        <w:rPr>
          <w:lang w:val="fr-CA"/>
        </w:rPr>
        <w:t xml:space="preserve"> En fonction des commentaires, </w:t>
      </w:r>
      <w:r>
        <w:rPr>
          <w:lang w:val="fr-CA"/>
        </w:rPr>
        <w:t>SAC</w:t>
      </w:r>
      <w:r w:rsidRPr="0096749B">
        <w:rPr>
          <w:lang w:val="fr-CA"/>
        </w:rPr>
        <w:t xml:space="preserve"> s’est engagé à déterminer des options stratégiques et législatives distinctes pour </w:t>
      </w:r>
      <w:r>
        <w:rPr>
          <w:lang w:val="fr-CA"/>
        </w:rPr>
        <w:t xml:space="preserve">chaque groupe autochtone et à renforcer </w:t>
      </w:r>
      <w:r w:rsidRPr="0096749B">
        <w:rPr>
          <w:lang w:val="fr-CA"/>
        </w:rPr>
        <w:t>la transparence et la collaboration</w:t>
      </w:r>
      <w:r>
        <w:rPr>
          <w:lang w:val="fr-CA"/>
        </w:rPr>
        <w:t xml:space="preserve"> dans le processus d’élaboration</w:t>
      </w:r>
      <w:r w:rsidRPr="0096749B">
        <w:rPr>
          <w:lang w:val="fr-CA"/>
        </w:rPr>
        <w:t xml:space="preserve">. Les échanges se poursuivent </w:t>
      </w:r>
      <w:r>
        <w:rPr>
          <w:lang w:val="fr-CA"/>
        </w:rPr>
        <w:t>afin</w:t>
      </w:r>
      <w:r w:rsidRPr="0096749B">
        <w:rPr>
          <w:lang w:val="fr-CA"/>
        </w:rPr>
        <w:t xml:space="preserve"> de déterminer les prochaines étapes et de concrétiser les priorités communes. </w:t>
      </w:r>
    </w:p>
    <w:p w14:paraId="56C8145C" w14:textId="77777777" w:rsidR="00C83F56" w:rsidRPr="00AE028F" w:rsidRDefault="00C83F56" w:rsidP="004F23C1">
      <w:pPr>
        <w:pStyle w:val="SingleTxtG"/>
        <w:numPr>
          <w:ilvl w:val="0"/>
          <w:numId w:val="4"/>
        </w:numPr>
        <w:ind w:left="1134" w:firstLine="0"/>
        <w:rPr>
          <w:lang w:val="fr-CA"/>
        </w:rPr>
      </w:pPr>
      <w:r w:rsidRPr="002533F4">
        <w:rPr>
          <w:lang w:val="fr-CA"/>
        </w:rPr>
        <w:t xml:space="preserve">S’appuyant sur les investissements du </w:t>
      </w:r>
      <w:r>
        <w:rPr>
          <w:lang w:val="fr-CA"/>
        </w:rPr>
        <w:t>B</w:t>
      </w:r>
      <w:r w:rsidRPr="002533F4">
        <w:rPr>
          <w:lang w:val="fr-CA"/>
        </w:rPr>
        <w:t>udget 2021, l’initiative de S</w:t>
      </w:r>
      <w:r>
        <w:rPr>
          <w:lang w:val="fr-CA"/>
        </w:rPr>
        <w:t xml:space="preserve">AC </w:t>
      </w:r>
      <w:r w:rsidRPr="002533F4">
        <w:rPr>
          <w:lang w:val="fr-CA"/>
        </w:rPr>
        <w:t>de lutte contre le racisme envers les Autochtones dans les systèmes de santé a été renouvelée pour cinq ans à compter de 2024-2025. Elle vise à éliminer le racisme et la discrimination dans les systèmes de santé et à garantir aux peuples autochtones des soins empreints de respect et de sécurité. L’initiative continue de soutenir les défenseurs des patients, les navigateurs du système de santé, les sage-femmes, les accompagnants à la naissance ainsi que les efforts visant à accroître la représentation autochtone dans les professions de la santé.</w:t>
      </w:r>
    </w:p>
    <w:p w14:paraId="54C1E191" w14:textId="78D77E84" w:rsidR="00C83F56" w:rsidRPr="00A7517B" w:rsidRDefault="00B97E48" w:rsidP="00B97E48">
      <w:pPr>
        <w:pStyle w:val="H23G"/>
        <w:rPr>
          <w:lang w:val="fr-CA"/>
        </w:rPr>
      </w:pPr>
      <w:bookmarkStart w:id="217" w:name="lt_pId430"/>
      <w:r>
        <w:rPr>
          <w:lang w:val="fr-CA"/>
        </w:rPr>
        <w:tab/>
      </w:r>
      <w:r>
        <w:rPr>
          <w:lang w:val="fr-CA"/>
        </w:rPr>
        <w:tab/>
      </w:r>
      <w:r w:rsidR="00C83F56" w:rsidRPr="007F7C0F">
        <w:rPr>
          <w:lang w:val="fr-CA"/>
        </w:rPr>
        <w:t>Éducation</w:t>
      </w:r>
      <w:bookmarkEnd w:id="217"/>
    </w:p>
    <w:p w14:paraId="2CF750D8" w14:textId="77777777" w:rsidR="00C83F56" w:rsidRPr="00A7517B" w:rsidRDefault="00C83F56" w:rsidP="004F23C1">
      <w:pPr>
        <w:pStyle w:val="SingleTxtG"/>
        <w:numPr>
          <w:ilvl w:val="0"/>
          <w:numId w:val="4"/>
        </w:numPr>
        <w:ind w:left="1134" w:firstLine="0"/>
        <w:rPr>
          <w:lang w:val="fr-CA"/>
        </w:rPr>
      </w:pPr>
      <w:bookmarkStart w:id="218" w:name="lt_pId431"/>
      <w:r>
        <w:rPr>
          <w:lang w:val="fr-CA"/>
        </w:rPr>
        <w:t>Le GC finance l’éducation primaire et secondaire des élèves des Premières Nations vivant dans les réserves</w:t>
      </w:r>
      <w:bookmarkStart w:id="219" w:name="lt_pId432"/>
      <w:bookmarkEnd w:id="218"/>
      <w:r>
        <w:rPr>
          <w:lang w:val="fr-CA"/>
        </w:rPr>
        <w:t xml:space="preserve"> </w:t>
      </w:r>
      <w:r w:rsidRPr="001066C6">
        <w:rPr>
          <w:lang w:val="fr-CA"/>
        </w:rPr>
        <w:t>Pour les Premières Nations</w:t>
      </w:r>
      <w:r>
        <w:rPr>
          <w:lang w:val="fr-CA"/>
        </w:rPr>
        <w:t xml:space="preserve"> vivant à l’extérieur des réserves dans le</w:t>
      </w:r>
      <w:r w:rsidRPr="001066C6">
        <w:rPr>
          <w:lang w:val="fr-CA"/>
        </w:rPr>
        <w:t xml:space="preserve"> Nord</w:t>
      </w:r>
      <w:r>
        <w:rPr>
          <w:lang w:val="fr-CA"/>
        </w:rPr>
        <w:t xml:space="preserve">, ainsi que pour </w:t>
      </w:r>
      <w:r w:rsidRPr="001066C6">
        <w:rPr>
          <w:lang w:val="fr-CA"/>
        </w:rPr>
        <w:t>les Inuits et les Métis</w:t>
      </w:r>
      <w:r>
        <w:rPr>
          <w:lang w:val="fr-CA"/>
        </w:rPr>
        <w:t>, l’éducation</w:t>
      </w:r>
      <w:r w:rsidRPr="001066C6">
        <w:rPr>
          <w:lang w:val="fr-CA"/>
        </w:rPr>
        <w:t xml:space="preserve"> primaire et secondaire est assurée par l</w:t>
      </w:r>
      <w:r>
        <w:rPr>
          <w:lang w:val="fr-CA"/>
        </w:rPr>
        <w:t>es</w:t>
      </w:r>
      <w:r w:rsidRPr="001066C6">
        <w:rPr>
          <w:lang w:val="fr-CA"/>
        </w:rPr>
        <w:t xml:space="preserve"> </w:t>
      </w:r>
      <w:r>
        <w:rPr>
          <w:lang w:val="fr-CA"/>
        </w:rPr>
        <w:t>gouvernements PT</w:t>
      </w:r>
      <w:r w:rsidRPr="001066C6">
        <w:rPr>
          <w:lang w:val="fr-CA"/>
        </w:rPr>
        <w:t>.</w:t>
      </w:r>
      <w:bookmarkEnd w:id="219"/>
      <w:r w:rsidRPr="00A7517B">
        <w:rPr>
          <w:lang w:val="fr-CA"/>
        </w:rPr>
        <w:t xml:space="preserve"> </w:t>
      </w:r>
      <w:bookmarkStart w:id="220" w:name="lt_pId433"/>
      <w:r>
        <w:rPr>
          <w:lang w:val="fr-CA"/>
        </w:rPr>
        <w:t>Les investissements dans les infrastructures scolaires favorisent des environnements d’apprentissage sécuritaires et sains, qui permet la réussite scolaire des élèves vivant dans les réserves.</w:t>
      </w:r>
      <w:bookmarkEnd w:id="220"/>
      <w:r w:rsidRPr="00A7517B">
        <w:rPr>
          <w:lang w:val="fr-CA"/>
        </w:rPr>
        <w:t xml:space="preserve"> </w:t>
      </w:r>
      <w:bookmarkStart w:id="221" w:name="lt_pId434"/>
      <w:r>
        <w:rPr>
          <w:lang w:val="fr-CA"/>
        </w:rPr>
        <w:t>Cela comprend la construction de nouvelles écoles, l’agrandissement, la rénovation et les réparations majeures des écoles existantes.</w:t>
      </w:r>
      <w:bookmarkEnd w:id="221"/>
    </w:p>
    <w:p w14:paraId="26E527CA" w14:textId="77777777" w:rsidR="00C83F56" w:rsidRPr="002533F4" w:rsidRDefault="00C83F56" w:rsidP="004F23C1">
      <w:pPr>
        <w:pStyle w:val="SingleTxtG"/>
        <w:numPr>
          <w:ilvl w:val="0"/>
          <w:numId w:val="4"/>
        </w:numPr>
        <w:ind w:left="1134" w:firstLine="0"/>
        <w:rPr>
          <w:lang w:val="fr-CA"/>
        </w:rPr>
      </w:pPr>
      <w:r w:rsidRPr="0096749B">
        <w:rPr>
          <w:lang w:val="fr-CA"/>
        </w:rPr>
        <w:t>En collaboration avec les Premières Nations, le GC a élaboré conjointement une nouvelle approche de financement et de politiques en éducation, mise en œuvre en 2019, afin de mieux répondre aux besoins des élèves des Premières Nations vivant dans les réserves. Cette approche offre un financement plus prévisible fondé sur un modèle provincial comparable et comprend des investissements nationaux supplémentaires dans les programmes linguistiques et culturels, la maternelle à temps plein pour les enfants de quatre et cinq ans, le soutien aux programmes avant et après l’école, ainsi que, plus récemment, les programmes alimentaires scolaires. Elle reconnaît que les Premières Nations sont les mieux placées pour définir leurs priorités et reflète le principe du contrôle des Premières Nations sur l’éducation des Premières Nations.</w:t>
      </w:r>
    </w:p>
    <w:p w14:paraId="40344880" w14:textId="77777777" w:rsidR="00C83F56" w:rsidRPr="00A7517B" w:rsidRDefault="00C83F56" w:rsidP="004F23C1">
      <w:pPr>
        <w:pStyle w:val="SingleTxtG"/>
        <w:numPr>
          <w:ilvl w:val="0"/>
          <w:numId w:val="4"/>
        </w:numPr>
        <w:ind w:left="1134" w:firstLine="0"/>
        <w:rPr>
          <w:lang w:val="fr-CA"/>
        </w:rPr>
      </w:pPr>
      <w:bookmarkStart w:id="222" w:name="lt_pId443"/>
      <w:r>
        <w:rPr>
          <w:lang w:val="fr-CA"/>
        </w:rPr>
        <w:t xml:space="preserve">Introduits en 2019 dans le cadre de la stratégie de transformation de l’éducation élaboré </w:t>
      </w:r>
      <w:r w:rsidRPr="00E141F5">
        <w:rPr>
          <w:lang w:val="fr-CA"/>
        </w:rPr>
        <w:t>conjointement</w:t>
      </w:r>
      <w:r>
        <w:rPr>
          <w:lang w:val="fr-CA"/>
        </w:rPr>
        <w:t>, les accords régionaux en éducation appuient la création de systèmes éducatifs conçus par les Premières Nations, adaptés à leur culture et à leurs priorités, afin d’améliorer la réussite des élèves au primaire et au secondaire.</w:t>
      </w:r>
      <w:bookmarkEnd w:id="222"/>
      <w:r w:rsidRPr="00A7517B">
        <w:rPr>
          <w:lang w:val="fr-CA"/>
        </w:rPr>
        <w:t xml:space="preserve"> </w:t>
      </w:r>
      <w:bookmarkStart w:id="223" w:name="lt_pId444"/>
      <w:r>
        <w:rPr>
          <w:lang w:val="fr-CA"/>
        </w:rPr>
        <w:t>Ces accords sont adaptés aux réalités locales ou régionales. Ils précisent les plans des Premières Nations pour la conception, la mise en œuvre et la gestion de leurs systèmes d’éducation, ainsi que le financement nécessaire pour atteindre les résultats visés.</w:t>
      </w:r>
      <w:bookmarkEnd w:id="223"/>
      <w:r w:rsidRPr="00A7517B">
        <w:rPr>
          <w:lang w:val="fr-CA"/>
        </w:rPr>
        <w:t xml:space="preserve"> </w:t>
      </w:r>
      <w:bookmarkStart w:id="224" w:name="lt_pId445"/>
      <w:r w:rsidRPr="00B6486F">
        <w:rPr>
          <w:lang w:val="fr-CA"/>
        </w:rPr>
        <w:t xml:space="preserve">À ce jour, </w:t>
      </w:r>
      <w:r>
        <w:rPr>
          <w:lang w:val="fr-CA"/>
        </w:rPr>
        <w:t>SAC a signé 11</w:t>
      </w:r>
      <w:r w:rsidRPr="00B6486F">
        <w:rPr>
          <w:lang w:val="fr-CA"/>
        </w:rPr>
        <w:t xml:space="preserve"> ententes régiona</w:t>
      </w:r>
      <w:r>
        <w:rPr>
          <w:lang w:val="fr-CA"/>
        </w:rPr>
        <w:t>les</w:t>
      </w:r>
      <w:r w:rsidRPr="00B6486F">
        <w:rPr>
          <w:lang w:val="fr-CA"/>
        </w:rPr>
        <w:t xml:space="preserve"> en éducation</w:t>
      </w:r>
      <w:r>
        <w:rPr>
          <w:lang w:val="fr-CA"/>
        </w:rPr>
        <w:t xml:space="preserve"> avec des partenaires</w:t>
      </w:r>
      <w:r w:rsidRPr="00B6486F">
        <w:rPr>
          <w:lang w:val="fr-CA"/>
        </w:rPr>
        <w:t xml:space="preserve">, couvrant </w:t>
      </w:r>
      <w:r>
        <w:rPr>
          <w:lang w:val="fr-CA"/>
        </w:rPr>
        <w:t xml:space="preserve">plus de </w:t>
      </w:r>
      <w:r w:rsidRPr="00B6486F">
        <w:rPr>
          <w:lang w:val="fr-CA"/>
        </w:rPr>
        <w:t>2</w:t>
      </w:r>
      <w:r>
        <w:rPr>
          <w:lang w:val="fr-CA"/>
        </w:rPr>
        <w:t>5 00</w:t>
      </w:r>
      <w:r w:rsidRPr="00B6486F">
        <w:rPr>
          <w:lang w:val="fr-CA"/>
        </w:rPr>
        <w:t>0 étudiants</w:t>
      </w:r>
      <w:r>
        <w:rPr>
          <w:lang w:val="fr-CA"/>
        </w:rPr>
        <w:t xml:space="preserve">. Neuf accords restent en </w:t>
      </w:r>
      <w:bookmarkEnd w:id="224"/>
      <w:r>
        <w:rPr>
          <w:lang w:val="fr-CA"/>
        </w:rPr>
        <w:t>vigueur.</w:t>
      </w:r>
    </w:p>
    <w:p w14:paraId="30CE215B" w14:textId="77777777" w:rsidR="00C83F56" w:rsidRDefault="00C83F56" w:rsidP="004F23C1">
      <w:pPr>
        <w:pStyle w:val="SingleTxtG"/>
        <w:numPr>
          <w:ilvl w:val="0"/>
          <w:numId w:val="4"/>
        </w:numPr>
        <w:ind w:left="1134" w:firstLine="0"/>
        <w:rPr>
          <w:lang w:val="fr-CA"/>
        </w:rPr>
      </w:pPr>
      <w:r>
        <w:rPr>
          <w:lang w:val="fr-CA"/>
        </w:rPr>
        <w:t>L</w:t>
      </w:r>
      <w:r w:rsidRPr="00792E5B">
        <w:rPr>
          <w:lang w:val="fr-CA"/>
        </w:rPr>
        <w:t>e</w:t>
      </w:r>
      <w:r>
        <w:rPr>
          <w:lang w:val="fr-CA"/>
        </w:rPr>
        <w:t>s accords sectoriels d’autonomie gouvernementale</w:t>
      </w:r>
      <w:r w:rsidRPr="00792E5B">
        <w:rPr>
          <w:lang w:val="fr-CA"/>
        </w:rPr>
        <w:t xml:space="preserve"> </w:t>
      </w:r>
      <w:r>
        <w:rPr>
          <w:lang w:val="fr-CA"/>
        </w:rPr>
        <w:t>impliquant</w:t>
      </w:r>
      <w:r w:rsidRPr="00792E5B">
        <w:rPr>
          <w:lang w:val="fr-CA"/>
        </w:rPr>
        <w:t xml:space="preserve"> 42 communautés autochtones reconnaissent la compétence d</w:t>
      </w:r>
      <w:r>
        <w:rPr>
          <w:lang w:val="fr-CA"/>
        </w:rPr>
        <w:t>es</w:t>
      </w:r>
      <w:r w:rsidRPr="00792E5B">
        <w:rPr>
          <w:lang w:val="fr-CA"/>
        </w:rPr>
        <w:t xml:space="preserve"> gouvernements autochtone en matière d'enseignement primaire et secondaire et permettent aux gouvernements autochtones de mettre en place un système éducatif qui reflète mieux les besoins des élèves et les priorités culturelles des communautés participantes. </w:t>
      </w:r>
    </w:p>
    <w:p w14:paraId="6EE26524" w14:textId="77777777" w:rsidR="00C83F56" w:rsidRPr="00A7517B" w:rsidRDefault="00C83F56" w:rsidP="004F23C1">
      <w:pPr>
        <w:pStyle w:val="SingleTxtG"/>
        <w:numPr>
          <w:ilvl w:val="0"/>
          <w:numId w:val="4"/>
        </w:numPr>
        <w:ind w:left="1134" w:firstLine="0"/>
        <w:rPr>
          <w:lang w:val="fr-CA"/>
        </w:rPr>
      </w:pPr>
      <w:r w:rsidRPr="00036BC9">
        <w:rPr>
          <w:lang w:val="fr-CA"/>
        </w:rPr>
        <w:t xml:space="preserve">Afin d’améliorer l’accès et la réussite des étudiants des Premières Nations, des Inuits et des Métis dans l’enseignement </w:t>
      </w:r>
      <w:proofErr w:type="spellStart"/>
      <w:r w:rsidRPr="00036BC9">
        <w:rPr>
          <w:lang w:val="fr-CA"/>
        </w:rPr>
        <w:t>postsecondaire</w:t>
      </w:r>
      <w:proofErr w:type="spellEnd"/>
      <w:r w:rsidRPr="00036BC9">
        <w:rPr>
          <w:lang w:val="fr-CA"/>
        </w:rPr>
        <w:t xml:space="preserve">, SAC a lancé en 2019-2020 des stratégies d’éducation </w:t>
      </w:r>
      <w:proofErr w:type="spellStart"/>
      <w:r w:rsidRPr="00036BC9">
        <w:rPr>
          <w:lang w:val="fr-CA"/>
        </w:rPr>
        <w:t>postsecondaire</w:t>
      </w:r>
      <w:proofErr w:type="spellEnd"/>
      <w:r w:rsidRPr="00036BC9">
        <w:rPr>
          <w:lang w:val="fr-CA"/>
        </w:rPr>
        <w:t xml:space="preserve"> fondées sur les distinctions. Celles-ci visent à réduire les écarts de réussite entre les peuples autochtones et non autochtones grâce à des soutiens ciblés adaptés aux réalités régionales. Par l’entremise de la Stratégie des Premières Nations, le </w:t>
      </w:r>
      <w:r>
        <w:rPr>
          <w:lang w:val="fr-CA"/>
        </w:rPr>
        <w:t>GC</w:t>
      </w:r>
      <w:r w:rsidRPr="00036BC9">
        <w:rPr>
          <w:lang w:val="fr-CA"/>
        </w:rPr>
        <w:t xml:space="preserve"> offre un soutien financier aux étudiants admissibles, aux institutions et aux programmes communautaires. L’approche pour l’éducation </w:t>
      </w:r>
      <w:proofErr w:type="spellStart"/>
      <w:r w:rsidRPr="00036BC9">
        <w:rPr>
          <w:lang w:val="fr-CA"/>
        </w:rPr>
        <w:t>postsecondaire</w:t>
      </w:r>
      <w:proofErr w:type="spellEnd"/>
      <w:r w:rsidRPr="00036BC9">
        <w:rPr>
          <w:lang w:val="fr-CA"/>
        </w:rPr>
        <w:t xml:space="preserve"> des Inuits et de la Nation métisse prévoit l’allocation de fonds aux bénéficiaires selon leurs propres stratégies, afin d’offrir un soutien direct aux étudiants, de financer des programmes et services complémentaires et de renforcer la capacité de gouvernance en matière de prestation des services</w:t>
      </w:r>
      <w:r>
        <w:rPr>
          <w:lang w:val="fr-CA"/>
        </w:rPr>
        <w:t>.</w:t>
      </w:r>
    </w:p>
    <w:p w14:paraId="7E4F020C" w14:textId="77777777" w:rsidR="00C83F56" w:rsidRPr="00A7517B" w:rsidRDefault="00C83F56" w:rsidP="004F23C1">
      <w:pPr>
        <w:pStyle w:val="SingleTxtG"/>
        <w:numPr>
          <w:ilvl w:val="0"/>
          <w:numId w:val="4"/>
        </w:numPr>
        <w:ind w:left="1134" w:firstLine="0"/>
        <w:rPr>
          <w:lang w:val="fr-CA"/>
        </w:rPr>
      </w:pPr>
      <w:bookmarkStart w:id="225" w:name="lt_pId450"/>
      <w:r>
        <w:rPr>
          <w:lang w:val="fr-CA"/>
        </w:rPr>
        <w:t>Les programmes linguistiques et culturels sont essentiels à la réussite des systèmes d’éducation dans les réserves.</w:t>
      </w:r>
      <w:bookmarkEnd w:id="225"/>
      <w:r w:rsidRPr="00A7517B">
        <w:rPr>
          <w:lang w:val="fr-CA"/>
        </w:rPr>
        <w:t xml:space="preserve"> </w:t>
      </w:r>
      <w:bookmarkStart w:id="226" w:name="lt_pId451"/>
      <w:r>
        <w:rPr>
          <w:lang w:val="fr-CA"/>
        </w:rPr>
        <w:t>En plus de fournir un financement comparable à celui des provinces, le programme d’enseignement primaire et secondaire fournit également un financement supplémentaire pouvant aller jusqu’à 1 500 $ par élève et par an pour soutenir les programmes linguistiques et culturels dans les écoles des réserves.</w:t>
      </w:r>
      <w:bookmarkEnd w:id="226"/>
      <w:r w:rsidRPr="00A7517B">
        <w:rPr>
          <w:lang w:val="fr-CA"/>
        </w:rPr>
        <w:t xml:space="preserve"> </w:t>
      </w:r>
    </w:p>
    <w:p w14:paraId="380E7CD2" w14:textId="77777777" w:rsidR="00C83F56" w:rsidRPr="006C01C4" w:rsidRDefault="00C83F56" w:rsidP="004F23C1">
      <w:pPr>
        <w:pStyle w:val="SingleTxtG"/>
        <w:numPr>
          <w:ilvl w:val="0"/>
          <w:numId w:val="4"/>
        </w:numPr>
        <w:ind w:left="1134" w:firstLine="0"/>
        <w:rPr>
          <w:rFonts w:eastAsia="Times New Roman"/>
          <w:lang w:val="fr-CA"/>
        </w:rPr>
      </w:pPr>
      <w:bookmarkStart w:id="227" w:name="lt_pId452"/>
      <w:r w:rsidRPr="006C01C4">
        <w:rPr>
          <w:rFonts w:eastAsia="Times New Roman"/>
          <w:lang w:val="fr-CA"/>
        </w:rPr>
        <w:t xml:space="preserve">Le ministère de l’Éducation de l’Alberta travaille en collaboration avec le </w:t>
      </w:r>
      <w:r>
        <w:rPr>
          <w:rFonts w:eastAsia="Times New Roman"/>
          <w:lang w:val="fr-CA"/>
        </w:rPr>
        <w:t>GC</w:t>
      </w:r>
      <w:r w:rsidRPr="006C01C4">
        <w:rPr>
          <w:rFonts w:eastAsia="Times New Roman"/>
          <w:lang w:val="fr-CA"/>
        </w:rPr>
        <w:t xml:space="preserve"> pour favoriser l’égalité d’accès à une éducation de qualité pour tous les enfants, sans discrimination raciale et indépendamment du fait que l’enfant vive dans une réserve </w:t>
      </w:r>
      <w:r w:rsidRPr="00391194">
        <w:rPr>
          <w:lang w:val="fr-CA"/>
        </w:rPr>
        <w:t>ou</w:t>
      </w:r>
      <w:r w:rsidRPr="006C01C4">
        <w:rPr>
          <w:rFonts w:eastAsia="Times New Roman"/>
          <w:lang w:val="fr-CA"/>
        </w:rPr>
        <w:t xml:space="preserve"> non.</w:t>
      </w:r>
      <w:bookmarkEnd w:id="227"/>
    </w:p>
    <w:p w14:paraId="1ED764E0" w14:textId="77777777" w:rsidR="00C83F56" w:rsidRPr="00A7517B" w:rsidRDefault="00C83F56" w:rsidP="004F23C1">
      <w:pPr>
        <w:pStyle w:val="SingleTxtG"/>
        <w:numPr>
          <w:ilvl w:val="0"/>
          <w:numId w:val="4"/>
        </w:numPr>
        <w:ind w:left="1134" w:firstLine="0"/>
        <w:rPr>
          <w:lang w:val="fr-CA"/>
        </w:rPr>
      </w:pPr>
      <w:bookmarkStart w:id="228" w:name="lt_pId453"/>
      <w:r w:rsidRPr="003105B1">
        <w:rPr>
          <w:lang w:val="fr-CA"/>
        </w:rPr>
        <w:t>L</w:t>
      </w:r>
      <w:r>
        <w:rPr>
          <w:lang w:val="fr-CA"/>
        </w:rPr>
        <w:t xml:space="preserve">e Comité consultatif sur l’éducation autochtone </w:t>
      </w:r>
      <w:r w:rsidRPr="003105B1">
        <w:rPr>
          <w:lang w:val="fr-CA"/>
        </w:rPr>
        <w:t xml:space="preserve">de Terre-Neuve-et-Labrador </w:t>
      </w:r>
      <w:r>
        <w:rPr>
          <w:lang w:val="fr-CA"/>
        </w:rPr>
        <w:t xml:space="preserve">fournit des </w:t>
      </w:r>
      <w:r w:rsidRPr="00C20A94">
        <w:rPr>
          <w:lang w:val="fr-CA"/>
        </w:rPr>
        <w:t>conseil</w:t>
      </w:r>
      <w:r>
        <w:rPr>
          <w:lang w:val="fr-CA"/>
        </w:rPr>
        <w:t xml:space="preserve">s sur </w:t>
      </w:r>
      <w:r w:rsidRPr="003105B1">
        <w:rPr>
          <w:lang w:val="fr-CA"/>
        </w:rPr>
        <w:t>le contenu autochtone du programme d’éducation provincial, ce qui a mené à la rédaction d</w:t>
      </w:r>
      <w:r>
        <w:rPr>
          <w:lang w:val="fr-CA"/>
        </w:rPr>
        <w:t>’un document</w:t>
      </w:r>
      <w:r>
        <w:rPr>
          <w:lang w:val="fr-CA"/>
        </w:rPr>
        <w:noBreakHyphen/>
      </w:r>
      <w:r w:rsidRPr="003105B1">
        <w:rPr>
          <w:lang w:val="fr-CA"/>
        </w:rPr>
        <w:t>cadre sur l</w:t>
      </w:r>
      <w:r>
        <w:rPr>
          <w:lang w:val="fr-CA"/>
        </w:rPr>
        <w:t>’</w:t>
      </w:r>
      <w:r w:rsidRPr="003105B1">
        <w:rPr>
          <w:lang w:val="fr-CA"/>
        </w:rPr>
        <w:t>éducation autochtone</w:t>
      </w:r>
      <w:r>
        <w:rPr>
          <w:lang w:val="fr-CA"/>
        </w:rPr>
        <w:t>, lequel vise</w:t>
      </w:r>
      <w:r w:rsidRPr="003105B1">
        <w:rPr>
          <w:lang w:val="fr-CA"/>
        </w:rPr>
        <w:t xml:space="preserve"> à soutenir et </w:t>
      </w:r>
      <w:r>
        <w:rPr>
          <w:lang w:val="fr-CA"/>
        </w:rPr>
        <w:t xml:space="preserve">à </w:t>
      </w:r>
      <w:r w:rsidRPr="003105B1">
        <w:rPr>
          <w:lang w:val="fr-CA"/>
        </w:rPr>
        <w:t>améliorer les possibilités d</w:t>
      </w:r>
      <w:r>
        <w:rPr>
          <w:lang w:val="fr-CA"/>
        </w:rPr>
        <w:t>’</w:t>
      </w:r>
      <w:r w:rsidRPr="003105B1">
        <w:rPr>
          <w:lang w:val="fr-CA"/>
        </w:rPr>
        <w:t>éducation pour les élèves autochtones de la maternelle à la 1</w:t>
      </w:r>
      <w:r>
        <w:rPr>
          <w:lang w:val="fr-CA"/>
        </w:rPr>
        <w:t>2e </w:t>
      </w:r>
      <w:r w:rsidRPr="003105B1">
        <w:rPr>
          <w:lang w:val="fr-CA"/>
        </w:rPr>
        <w:t>année.</w:t>
      </w:r>
      <w:bookmarkEnd w:id="228"/>
      <w:r w:rsidRPr="00A7517B">
        <w:rPr>
          <w:lang w:val="fr-CA"/>
        </w:rPr>
        <w:t xml:space="preserve"> </w:t>
      </w:r>
      <w:bookmarkStart w:id="229" w:name="lt_pId454"/>
      <w:r>
        <w:rPr>
          <w:lang w:val="fr-CA"/>
        </w:rPr>
        <w:t>Ce document fournit également une orientation pour la révision des programmes existants et l’élaboration de nouveaux programmes qui reflètent l’histoire, les contributions, les traditions et la culture des Autochtones de Terre-Neuve-et-Labrador et du Canada.</w:t>
      </w:r>
      <w:bookmarkEnd w:id="229"/>
    </w:p>
    <w:p w14:paraId="48459E05" w14:textId="77777777" w:rsidR="00C83F56" w:rsidRPr="00436F5A" w:rsidRDefault="00C83F56" w:rsidP="004F23C1">
      <w:pPr>
        <w:pStyle w:val="SingleTxtG"/>
        <w:numPr>
          <w:ilvl w:val="0"/>
          <w:numId w:val="4"/>
        </w:numPr>
        <w:ind w:left="1134" w:firstLine="0"/>
        <w:rPr>
          <w:lang w:val="fr-CA"/>
        </w:rPr>
      </w:pPr>
      <w:r w:rsidRPr="0024156C">
        <w:rPr>
          <w:rFonts w:eastAsia="Times New Roman"/>
          <w:lang w:val="fr-CA"/>
        </w:rPr>
        <w:t xml:space="preserve">Un financement annuel est accordé à tous les conseils scolaires provinciaux de l’Ontario pour l’éducation autochtone et pour soutenir la réussite scolaire et le bien-être des élèves des Premières Nations, des Métis et des Inuits. Un financement ciblé est également offert aux conseils scolaires et aux partenaires autochtones en éducation de tierce partie pour appuyer des initiatives visant à relier les élèves autochtones à des soutiens et services culturellement pertinents en matière d’éducation, de sécurité et de bien-être, tant à l’intérieur qu’à l’extérieur de l’école, à la </w:t>
      </w:r>
      <w:r w:rsidRPr="00391194">
        <w:rPr>
          <w:lang w:val="fr-CA"/>
        </w:rPr>
        <w:t>revitalisation</w:t>
      </w:r>
      <w:r w:rsidRPr="0024156C">
        <w:rPr>
          <w:rFonts w:eastAsia="Times New Roman"/>
          <w:lang w:val="fr-CA"/>
        </w:rPr>
        <w:t xml:space="preserve"> des langues, ainsi qu’à des soutiens pour les élèves des Premières Nations qui fréquentent une école située dans une réserve.</w:t>
      </w:r>
    </w:p>
    <w:p w14:paraId="31CC0BF2" w14:textId="503A5362" w:rsidR="00C83F56" w:rsidRPr="00A7517B" w:rsidRDefault="00B97E48" w:rsidP="00B97E48">
      <w:pPr>
        <w:pStyle w:val="H23G"/>
        <w:rPr>
          <w:lang w:val="fr-CA"/>
        </w:rPr>
      </w:pPr>
      <w:bookmarkStart w:id="230" w:name="lt_pId457"/>
      <w:r>
        <w:rPr>
          <w:lang w:val="fr-CA"/>
        </w:rPr>
        <w:tab/>
      </w:r>
      <w:r>
        <w:rPr>
          <w:lang w:val="fr-CA"/>
        </w:rPr>
        <w:tab/>
      </w:r>
      <w:r w:rsidR="00C83F56" w:rsidRPr="00436F5A">
        <w:rPr>
          <w:lang w:val="fr-CA"/>
        </w:rPr>
        <w:t>Justice et sécurité communautaire</w:t>
      </w:r>
      <w:bookmarkEnd w:id="230"/>
    </w:p>
    <w:p w14:paraId="7BF30C7E" w14:textId="77777777" w:rsidR="00C83F56" w:rsidRPr="005F1762" w:rsidRDefault="00C83F56" w:rsidP="004F23C1">
      <w:pPr>
        <w:pStyle w:val="SingleTxtG"/>
        <w:numPr>
          <w:ilvl w:val="0"/>
          <w:numId w:val="4"/>
        </w:numPr>
        <w:ind w:left="1134" w:firstLine="0"/>
        <w:rPr>
          <w:lang w:val="fr-CA"/>
        </w:rPr>
      </w:pPr>
      <w:r>
        <w:rPr>
          <w:lang w:val="fr-CA"/>
        </w:rPr>
        <w:t xml:space="preserve">Le </w:t>
      </w:r>
      <w:r w:rsidRPr="000D6BBE">
        <w:rPr>
          <w:lang w:val="fr-CA"/>
        </w:rPr>
        <w:t>ministère de la Justice Canada</w:t>
      </w:r>
      <w:bookmarkStart w:id="231" w:name="lt_pId458"/>
      <w:r w:rsidRPr="005F1762">
        <w:rPr>
          <w:lang w:val="fr-CA"/>
        </w:rPr>
        <w:t xml:space="preserve"> </w:t>
      </w:r>
      <w:r>
        <w:rPr>
          <w:lang w:val="fr-CA"/>
        </w:rPr>
        <w:t xml:space="preserve">a collaboré avec </w:t>
      </w:r>
      <w:r w:rsidRPr="005F1762">
        <w:rPr>
          <w:lang w:val="fr-CA"/>
        </w:rPr>
        <w:t>des partenaires autochtones</w:t>
      </w:r>
      <w:r>
        <w:rPr>
          <w:lang w:val="fr-CA"/>
        </w:rPr>
        <w:t xml:space="preserve"> ainsi qu’avec les</w:t>
      </w:r>
      <w:r w:rsidRPr="005F1762">
        <w:rPr>
          <w:lang w:val="fr-CA"/>
        </w:rPr>
        <w:t xml:space="preserve"> </w:t>
      </w:r>
      <w:r>
        <w:rPr>
          <w:lang w:val="fr-CA"/>
        </w:rPr>
        <w:t>gouvernements PT</w:t>
      </w:r>
      <w:r w:rsidRPr="005F1762">
        <w:rPr>
          <w:lang w:val="fr-CA"/>
        </w:rPr>
        <w:t xml:space="preserve"> </w:t>
      </w:r>
      <w:r>
        <w:rPr>
          <w:lang w:val="fr-CA"/>
        </w:rPr>
        <w:t xml:space="preserve">pour </w:t>
      </w:r>
      <w:r w:rsidRPr="005F1762">
        <w:rPr>
          <w:lang w:val="fr-CA"/>
        </w:rPr>
        <w:t>élabor</w:t>
      </w:r>
      <w:r>
        <w:rPr>
          <w:lang w:val="fr-CA"/>
        </w:rPr>
        <w:t>er</w:t>
      </w:r>
      <w:r w:rsidRPr="005F1762">
        <w:rPr>
          <w:lang w:val="fr-CA"/>
        </w:rPr>
        <w:t xml:space="preserve"> une stratégie</w:t>
      </w:r>
      <w:r>
        <w:rPr>
          <w:lang w:val="fr-CA"/>
        </w:rPr>
        <w:t xml:space="preserve"> en matière</w:t>
      </w:r>
      <w:r w:rsidRPr="005F1762">
        <w:rPr>
          <w:lang w:val="fr-CA"/>
        </w:rPr>
        <w:t xml:space="preserve"> de justice autochtone </w:t>
      </w:r>
      <w:r>
        <w:rPr>
          <w:lang w:val="fr-CA"/>
        </w:rPr>
        <w:t xml:space="preserve">visant </w:t>
      </w:r>
      <w:r w:rsidRPr="005F1762">
        <w:rPr>
          <w:lang w:val="fr-CA"/>
        </w:rPr>
        <w:t>à lutter contre la discrimination systémique et la surreprésentation des Autochtones dans le système judiciaire canadien</w:t>
      </w:r>
      <w:r w:rsidRPr="002E3C68">
        <w:rPr>
          <w:lang w:val="fr-CA"/>
        </w:rPr>
        <w:t>.</w:t>
      </w:r>
      <w:bookmarkEnd w:id="231"/>
      <w:r w:rsidRPr="00BE1A0A">
        <w:rPr>
          <w:lang w:val="fr-CA"/>
        </w:rPr>
        <w:t xml:space="preserve"> </w:t>
      </w:r>
      <w:r w:rsidRPr="001621B0">
        <w:rPr>
          <w:lang w:val="fr-CA"/>
        </w:rPr>
        <w:t xml:space="preserve">Justice Canada </w:t>
      </w:r>
      <w:r w:rsidRPr="002E3C68">
        <w:rPr>
          <w:lang w:val="fr-CA"/>
        </w:rPr>
        <w:t>a publié en 2024 l’ébauche de consultation sur les éléments clés de la Stratégie en matière de justice autochtone (SJA), aux fins de validation et de rétroaction. La publication de la SJA est prévue pour 2025.</w:t>
      </w:r>
    </w:p>
    <w:p w14:paraId="363325DA" w14:textId="77777777" w:rsidR="00C83F56" w:rsidRPr="00A7517B" w:rsidRDefault="00C83F56" w:rsidP="004F23C1">
      <w:pPr>
        <w:pStyle w:val="SingleTxtG"/>
        <w:numPr>
          <w:ilvl w:val="0"/>
          <w:numId w:val="4"/>
        </w:numPr>
        <w:ind w:left="1134" w:firstLine="0"/>
        <w:rPr>
          <w:lang w:val="fr-CA"/>
        </w:rPr>
      </w:pPr>
      <w:bookmarkStart w:id="232" w:name="lt_pId460"/>
      <w:r w:rsidRPr="00066ED3">
        <w:rPr>
          <w:lang w:val="fr-CA"/>
        </w:rPr>
        <w:t>Le Programme de contribution à l</w:t>
      </w:r>
      <w:r>
        <w:rPr>
          <w:lang w:val="fr-CA"/>
        </w:rPr>
        <w:t>’</w:t>
      </w:r>
      <w:r w:rsidRPr="00066ED3">
        <w:rPr>
          <w:lang w:val="fr-CA"/>
        </w:rPr>
        <w:t>amélioration de la sécurité des collectivités autochtones</w:t>
      </w:r>
      <w:r>
        <w:rPr>
          <w:lang w:val="fr-CA"/>
        </w:rPr>
        <w:t> </w:t>
      </w:r>
      <w:r w:rsidRPr="00066ED3">
        <w:rPr>
          <w:lang w:val="fr-CA"/>
        </w:rPr>
        <w:t xml:space="preserve">(PCASCA) </w:t>
      </w:r>
      <w:r>
        <w:rPr>
          <w:lang w:val="fr-CA"/>
        </w:rPr>
        <w:t xml:space="preserve">appuie et </w:t>
      </w:r>
      <w:r w:rsidRPr="00066ED3">
        <w:rPr>
          <w:lang w:val="fr-CA"/>
        </w:rPr>
        <w:t xml:space="preserve">collabore avec </w:t>
      </w:r>
      <w:r>
        <w:rPr>
          <w:lang w:val="fr-CA"/>
        </w:rPr>
        <w:t>d</w:t>
      </w:r>
      <w:r w:rsidRPr="00066ED3">
        <w:rPr>
          <w:lang w:val="fr-CA"/>
        </w:rPr>
        <w:t xml:space="preserve">es organisations autochtones, </w:t>
      </w:r>
      <w:r>
        <w:rPr>
          <w:lang w:val="fr-CA"/>
        </w:rPr>
        <w:t>d</w:t>
      </w:r>
      <w:r w:rsidRPr="00066ED3">
        <w:rPr>
          <w:lang w:val="fr-CA"/>
        </w:rPr>
        <w:t xml:space="preserve">es gouvernements autochtones et </w:t>
      </w:r>
      <w:r>
        <w:rPr>
          <w:lang w:val="fr-CA"/>
        </w:rPr>
        <w:t>d</w:t>
      </w:r>
      <w:r w:rsidRPr="00066ED3">
        <w:rPr>
          <w:lang w:val="fr-CA"/>
        </w:rPr>
        <w:t>es municipalités</w:t>
      </w:r>
      <w:r>
        <w:rPr>
          <w:lang w:val="fr-CA"/>
        </w:rPr>
        <w:t xml:space="preserve"> pour élaborer</w:t>
      </w:r>
      <w:r w:rsidRPr="00066ED3">
        <w:rPr>
          <w:lang w:val="fr-CA"/>
        </w:rPr>
        <w:t xml:space="preserve"> d</w:t>
      </w:r>
      <w:r>
        <w:rPr>
          <w:lang w:val="fr-CA"/>
        </w:rPr>
        <w:t xml:space="preserve">es </w:t>
      </w:r>
      <w:r w:rsidRPr="00066ED3">
        <w:rPr>
          <w:lang w:val="fr-CA"/>
        </w:rPr>
        <w:t>approches</w:t>
      </w:r>
      <w:r>
        <w:rPr>
          <w:lang w:val="fr-CA"/>
        </w:rPr>
        <w:t xml:space="preserve"> adaptées aux besoins de </w:t>
      </w:r>
      <w:r w:rsidRPr="00066ED3">
        <w:rPr>
          <w:lang w:val="fr-CA"/>
        </w:rPr>
        <w:t>sécurité des communautés autochtones</w:t>
      </w:r>
      <w:r>
        <w:rPr>
          <w:lang w:val="fr-CA"/>
        </w:rPr>
        <w:t>, en tenant compte de leurs priorités et de leur réalité</w:t>
      </w:r>
      <w:r w:rsidRPr="00066ED3">
        <w:rPr>
          <w:lang w:val="fr-CA"/>
        </w:rPr>
        <w:t>.</w:t>
      </w:r>
      <w:bookmarkEnd w:id="232"/>
      <w:r w:rsidRPr="00A7517B">
        <w:rPr>
          <w:lang w:val="fr-CA"/>
        </w:rPr>
        <w:t xml:space="preserve"> </w:t>
      </w:r>
      <w:bookmarkStart w:id="233" w:name="lt_pId461"/>
      <w:r w:rsidRPr="00066ED3">
        <w:rPr>
          <w:lang w:val="fr-CA"/>
        </w:rPr>
        <w:t>Le PCASCA comprend deux initiatives</w:t>
      </w:r>
      <w:r>
        <w:rPr>
          <w:lang w:val="fr-CA"/>
        </w:rPr>
        <w:t xml:space="preserve"> principales </w:t>
      </w:r>
      <w:r w:rsidRPr="00066ED3">
        <w:rPr>
          <w:lang w:val="fr-CA"/>
        </w:rPr>
        <w:t>: (1) l</w:t>
      </w:r>
      <w:r>
        <w:rPr>
          <w:lang w:val="fr-CA"/>
        </w:rPr>
        <w:t>’</w:t>
      </w:r>
      <w:r w:rsidRPr="00066ED3">
        <w:rPr>
          <w:lang w:val="fr-CA"/>
        </w:rPr>
        <w:t>Initiative en matière de planification de la sécurité des c</w:t>
      </w:r>
      <w:r>
        <w:rPr>
          <w:lang w:val="fr-CA"/>
        </w:rPr>
        <w:t>ollectivités</w:t>
      </w:r>
      <w:r w:rsidRPr="00066ED3">
        <w:rPr>
          <w:lang w:val="fr-CA"/>
        </w:rPr>
        <w:t xml:space="preserve"> </w:t>
      </w:r>
      <w:r>
        <w:rPr>
          <w:lang w:val="fr-CA"/>
        </w:rPr>
        <w:t>autochtones </w:t>
      </w:r>
      <w:r w:rsidRPr="00066ED3">
        <w:rPr>
          <w:lang w:val="fr-CA"/>
        </w:rPr>
        <w:t>(IPSCA),</w:t>
      </w:r>
      <w:bookmarkEnd w:id="233"/>
      <w:r w:rsidRPr="00A7517B">
        <w:rPr>
          <w:lang w:val="fr-CA"/>
        </w:rPr>
        <w:t xml:space="preserve"> </w:t>
      </w:r>
      <w:bookmarkStart w:id="234" w:name="lt_pId462"/>
      <w:r w:rsidRPr="00066ED3">
        <w:rPr>
          <w:lang w:val="fr-CA"/>
        </w:rPr>
        <w:t>et (2) l</w:t>
      </w:r>
      <w:r>
        <w:rPr>
          <w:lang w:val="fr-CA"/>
        </w:rPr>
        <w:t>’</w:t>
      </w:r>
      <w:r w:rsidRPr="00066ED3">
        <w:rPr>
          <w:lang w:val="fr-CA"/>
        </w:rPr>
        <w:t>Initiative sur les services correctionnels communau</w:t>
      </w:r>
      <w:r>
        <w:rPr>
          <w:lang w:val="fr-CA"/>
        </w:rPr>
        <w:t>taires destinés aux Autochtones </w:t>
      </w:r>
      <w:r w:rsidRPr="00066ED3">
        <w:rPr>
          <w:lang w:val="fr-CA"/>
        </w:rPr>
        <w:t>(ISCCA).</w:t>
      </w:r>
      <w:bookmarkEnd w:id="234"/>
      <w:r w:rsidRPr="00A7517B">
        <w:rPr>
          <w:lang w:val="fr-CA"/>
        </w:rPr>
        <w:t xml:space="preserve"> </w:t>
      </w:r>
    </w:p>
    <w:p w14:paraId="633FDB35" w14:textId="77777777" w:rsidR="00C83F56" w:rsidRPr="00A7517B" w:rsidRDefault="00C83F56" w:rsidP="004F23C1">
      <w:pPr>
        <w:pStyle w:val="SingleTxtG"/>
        <w:numPr>
          <w:ilvl w:val="0"/>
          <w:numId w:val="4"/>
        </w:numPr>
        <w:ind w:left="1134" w:firstLine="0"/>
        <w:rPr>
          <w:lang w:val="fr-CA"/>
        </w:rPr>
      </w:pPr>
      <w:bookmarkStart w:id="235" w:name="lt_pId463"/>
      <w:r w:rsidRPr="00066ED3">
        <w:rPr>
          <w:lang w:val="fr-CA"/>
        </w:rPr>
        <w:t>L</w:t>
      </w:r>
      <w:r>
        <w:rPr>
          <w:lang w:val="fr-CA"/>
        </w:rPr>
        <w:t>’IPSCA a été créée en </w:t>
      </w:r>
      <w:r w:rsidRPr="00066ED3">
        <w:rPr>
          <w:lang w:val="fr-CA"/>
        </w:rPr>
        <w:t>2010 dans le cadre de la réponse du Canada</w:t>
      </w:r>
      <w:r>
        <w:rPr>
          <w:lang w:val="fr-CA"/>
        </w:rPr>
        <w:t xml:space="preserve"> </w:t>
      </w:r>
      <w:r w:rsidRPr="00011F11">
        <w:rPr>
          <w:lang w:val="fr-CA"/>
        </w:rPr>
        <w:t xml:space="preserve">à la question des </w:t>
      </w:r>
      <w:r w:rsidRPr="00066ED3">
        <w:rPr>
          <w:lang w:val="fr-CA"/>
        </w:rPr>
        <w:t xml:space="preserve">FFADA, </w:t>
      </w:r>
      <w:r>
        <w:rPr>
          <w:lang w:val="fr-CA"/>
        </w:rPr>
        <w:t>afin</w:t>
      </w:r>
      <w:r w:rsidRPr="00066ED3">
        <w:rPr>
          <w:lang w:val="fr-CA"/>
        </w:rPr>
        <w:t xml:space="preserve"> d</w:t>
      </w:r>
      <w:r>
        <w:rPr>
          <w:lang w:val="fr-CA"/>
        </w:rPr>
        <w:t>’</w:t>
      </w:r>
      <w:r w:rsidRPr="00066ED3">
        <w:rPr>
          <w:lang w:val="fr-CA"/>
        </w:rPr>
        <w:t xml:space="preserve">aider les communautés autochtones à </w:t>
      </w:r>
      <w:r>
        <w:rPr>
          <w:lang w:val="fr-CA"/>
        </w:rPr>
        <w:t>cerner</w:t>
      </w:r>
      <w:r w:rsidRPr="00066ED3">
        <w:rPr>
          <w:lang w:val="fr-CA"/>
        </w:rPr>
        <w:t xml:space="preserve"> les risques pour la sécurité communautaire et à élaborer leurs propres </w:t>
      </w:r>
      <w:r w:rsidRPr="00E663B4">
        <w:rPr>
          <w:lang w:val="fr-CA"/>
        </w:rPr>
        <w:t>plans de sécurité communautaire pour</w:t>
      </w:r>
      <w:r w:rsidRPr="00066ED3">
        <w:rPr>
          <w:lang w:val="fr-CA"/>
        </w:rPr>
        <w:t xml:space="preserve"> </w:t>
      </w:r>
      <w:r>
        <w:rPr>
          <w:lang w:val="fr-CA"/>
        </w:rPr>
        <w:t>y remédier</w:t>
      </w:r>
      <w:r w:rsidRPr="00066ED3">
        <w:rPr>
          <w:lang w:val="fr-CA"/>
        </w:rPr>
        <w:t>.</w:t>
      </w:r>
      <w:bookmarkEnd w:id="235"/>
      <w:r w:rsidRPr="00A7517B">
        <w:rPr>
          <w:lang w:val="fr-CA"/>
        </w:rPr>
        <w:t xml:space="preserve"> </w:t>
      </w:r>
      <w:bookmarkStart w:id="236" w:name="lt_pId464"/>
      <w:r w:rsidRPr="00066ED3">
        <w:rPr>
          <w:lang w:val="fr-CA"/>
        </w:rPr>
        <w:t>Les plans de sécurité communautaire établissent les forces et les atouts de la communauté, ainsi que les objectifs en</w:t>
      </w:r>
      <w:r>
        <w:rPr>
          <w:lang w:val="fr-CA"/>
        </w:rPr>
        <w:t xml:space="preserve"> matière de sécurité et de bien</w:t>
      </w:r>
      <w:r>
        <w:rPr>
          <w:lang w:val="fr-CA"/>
        </w:rPr>
        <w:noBreakHyphen/>
      </w:r>
      <w:r w:rsidRPr="00066ED3">
        <w:rPr>
          <w:lang w:val="fr-CA"/>
        </w:rPr>
        <w:t xml:space="preserve">être afin que tous les membres de la communauté puissent participer à un processus menant à une </w:t>
      </w:r>
      <w:r>
        <w:rPr>
          <w:lang w:val="fr-CA"/>
        </w:rPr>
        <w:t>vie plus saine et sécuritaire dans leur</w:t>
      </w:r>
      <w:r w:rsidRPr="00066ED3">
        <w:rPr>
          <w:lang w:val="fr-CA"/>
        </w:rPr>
        <w:t xml:space="preserve"> domicile et </w:t>
      </w:r>
      <w:r>
        <w:rPr>
          <w:lang w:val="fr-CA"/>
        </w:rPr>
        <w:t>leur</w:t>
      </w:r>
      <w:r w:rsidRPr="00066ED3">
        <w:rPr>
          <w:lang w:val="fr-CA"/>
        </w:rPr>
        <w:t xml:space="preserve"> communauté.</w:t>
      </w:r>
      <w:bookmarkEnd w:id="236"/>
      <w:r w:rsidRPr="00A7517B">
        <w:rPr>
          <w:lang w:val="fr-CA"/>
        </w:rPr>
        <w:t xml:space="preserve"> </w:t>
      </w:r>
    </w:p>
    <w:p w14:paraId="23C9773E" w14:textId="77777777" w:rsidR="00C83F56" w:rsidRPr="00A7517B" w:rsidRDefault="00C83F56" w:rsidP="004F23C1">
      <w:pPr>
        <w:pStyle w:val="SingleTxtG"/>
        <w:numPr>
          <w:ilvl w:val="0"/>
          <w:numId w:val="4"/>
        </w:numPr>
        <w:ind w:left="1134" w:firstLine="0"/>
        <w:rPr>
          <w:lang w:val="fr-CA"/>
        </w:rPr>
      </w:pPr>
      <w:bookmarkStart w:id="237" w:name="lt_pId465"/>
      <w:r>
        <w:rPr>
          <w:lang w:val="fr-CA"/>
        </w:rPr>
        <w:t>Le budget fédéral de 2021 prévoyait jusqu’à 64,6 millions de dollars sur cinq ans, et 18,1 millions de dollars en financement continu pour renforcer les stratégies de prévention du crime et les services de sécurité communautaire dirigés par des Autochtones, y compris l’IPSCA.</w:t>
      </w:r>
      <w:bookmarkEnd w:id="237"/>
      <w:r w:rsidRPr="00A7517B">
        <w:rPr>
          <w:lang w:val="fr-CA"/>
        </w:rPr>
        <w:t xml:space="preserve"> </w:t>
      </w:r>
      <w:bookmarkStart w:id="238" w:name="lt_pId466"/>
      <w:r w:rsidRPr="00066ED3">
        <w:rPr>
          <w:lang w:val="fr-CA"/>
        </w:rPr>
        <w:t>Grâce au PCASCA et aux partenariats de gouvernance horizontale, l</w:t>
      </w:r>
      <w:r>
        <w:rPr>
          <w:lang w:val="fr-CA"/>
        </w:rPr>
        <w:t>’IPSCA regroupe d</w:t>
      </w:r>
      <w:r w:rsidRPr="00066ED3">
        <w:rPr>
          <w:lang w:val="fr-CA"/>
        </w:rPr>
        <w:t xml:space="preserve">es efforts </w:t>
      </w:r>
      <w:r>
        <w:rPr>
          <w:lang w:val="fr-CA"/>
        </w:rPr>
        <w:t xml:space="preserve">collaboratifs </w:t>
      </w:r>
      <w:r w:rsidRPr="00066ED3">
        <w:rPr>
          <w:lang w:val="fr-CA"/>
        </w:rPr>
        <w:t>pour aider les communautés des plans de sécurité communautaire à accéder aux ressources pour créer ou mettre en œuvre les initiatives de sécurité présentées dans leur plan</w:t>
      </w:r>
      <w:r>
        <w:rPr>
          <w:lang w:val="fr-CA"/>
        </w:rPr>
        <w:t>, et ce,</w:t>
      </w:r>
      <w:r w:rsidRPr="00066ED3">
        <w:rPr>
          <w:lang w:val="fr-CA"/>
        </w:rPr>
        <w:t xml:space="preserve"> </w:t>
      </w:r>
      <w:r>
        <w:rPr>
          <w:lang w:val="fr-CA"/>
        </w:rPr>
        <w:t>au moyen</w:t>
      </w:r>
      <w:r w:rsidRPr="00066ED3">
        <w:rPr>
          <w:lang w:val="fr-CA"/>
        </w:rPr>
        <w:t xml:space="preserve"> d</w:t>
      </w:r>
      <w:r>
        <w:rPr>
          <w:lang w:val="fr-CA"/>
        </w:rPr>
        <w:t>’</w:t>
      </w:r>
      <w:r w:rsidRPr="00066ED3">
        <w:rPr>
          <w:lang w:val="fr-CA"/>
        </w:rPr>
        <w:t>une approche locale.</w:t>
      </w:r>
      <w:bookmarkEnd w:id="238"/>
      <w:r w:rsidRPr="00A7517B">
        <w:rPr>
          <w:lang w:val="fr-CA"/>
        </w:rPr>
        <w:t xml:space="preserve"> </w:t>
      </w:r>
      <w:bookmarkStart w:id="239" w:name="lt_pId467"/>
      <w:r>
        <w:rPr>
          <w:lang w:val="fr-CA"/>
        </w:rPr>
        <w:t>Une telle approche permettra de trouver des solutions durables et à long terme qui améliorent la vie des Autochtones.</w:t>
      </w:r>
      <w:bookmarkEnd w:id="239"/>
      <w:r w:rsidRPr="00A7517B">
        <w:rPr>
          <w:lang w:val="fr-CA"/>
        </w:rPr>
        <w:t xml:space="preserve"> </w:t>
      </w:r>
    </w:p>
    <w:p w14:paraId="02F04A16" w14:textId="77777777" w:rsidR="00C83F56" w:rsidRPr="00A7517B" w:rsidRDefault="00C83F56" w:rsidP="004F23C1">
      <w:pPr>
        <w:pStyle w:val="SingleTxtG"/>
        <w:numPr>
          <w:ilvl w:val="0"/>
          <w:numId w:val="4"/>
        </w:numPr>
        <w:ind w:left="1134" w:firstLine="0"/>
        <w:rPr>
          <w:lang w:val="fr-CA"/>
        </w:rPr>
      </w:pPr>
      <w:bookmarkStart w:id="240" w:name="lt_pId468"/>
      <w:r w:rsidRPr="00066ED3">
        <w:rPr>
          <w:lang w:val="fr-CA"/>
        </w:rPr>
        <w:t>L</w:t>
      </w:r>
      <w:r>
        <w:rPr>
          <w:lang w:val="fr-CA"/>
        </w:rPr>
        <w:t>’</w:t>
      </w:r>
      <w:r w:rsidRPr="00066ED3">
        <w:rPr>
          <w:lang w:val="fr-CA"/>
        </w:rPr>
        <w:t>ISCCA cherche à soutenir la mise au point de solutions de rechange à l</w:t>
      </w:r>
      <w:r>
        <w:rPr>
          <w:lang w:val="fr-CA"/>
        </w:rPr>
        <w:t>’</w:t>
      </w:r>
      <w:r w:rsidRPr="00066ED3">
        <w:rPr>
          <w:lang w:val="fr-CA"/>
        </w:rPr>
        <w:t>incarcération ainsi que la réinsertion des délinquants autochtones.</w:t>
      </w:r>
      <w:bookmarkEnd w:id="240"/>
      <w:r w:rsidRPr="00A7517B">
        <w:rPr>
          <w:lang w:val="fr-CA"/>
        </w:rPr>
        <w:t xml:space="preserve"> </w:t>
      </w:r>
      <w:bookmarkStart w:id="241" w:name="lt_pId469"/>
      <w:r w:rsidRPr="00066ED3">
        <w:rPr>
          <w:lang w:val="fr-CA"/>
        </w:rPr>
        <w:t>Les projets de l</w:t>
      </w:r>
      <w:r>
        <w:rPr>
          <w:lang w:val="fr-CA"/>
        </w:rPr>
        <w:t>’</w:t>
      </w:r>
      <w:r w:rsidRPr="00066ED3">
        <w:rPr>
          <w:lang w:val="fr-CA"/>
        </w:rPr>
        <w:t xml:space="preserve">ISCCA proposent des services adaptés à la culture qui peuvent inclure du </w:t>
      </w:r>
      <w:r>
        <w:rPr>
          <w:lang w:val="fr-CA"/>
        </w:rPr>
        <w:t>counseling</w:t>
      </w:r>
      <w:r w:rsidRPr="00066ED3">
        <w:rPr>
          <w:lang w:val="fr-CA"/>
        </w:rPr>
        <w:t>, des traitements, l</w:t>
      </w:r>
      <w:r>
        <w:rPr>
          <w:lang w:val="fr-CA"/>
        </w:rPr>
        <w:t>’</w:t>
      </w:r>
      <w:r w:rsidRPr="00066ED3">
        <w:rPr>
          <w:lang w:val="fr-CA"/>
        </w:rPr>
        <w:t>encadrement pour l</w:t>
      </w:r>
      <w:r>
        <w:rPr>
          <w:lang w:val="fr-CA"/>
        </w:rPr>
        <w:t>’</w:t>
      </w:r>
      <w:r w:rsidRPr="00066ED3">
        <w:rPr>
          <w:lang w:val="fr-CA"/>
        </w:rPr>
        <w:t>acquisition d</w:t>
      </w:r>
      <w:r>
        <w:rPr>
          <w:lang w:val="fr-CA"/>
        </w:rPr>
        <w:t>’</w:t>
      </w:r>
      <w:r w:rsidRPr="00066ED3">
        <w:rPr>
          <w:lang w:val="fr-CA"/>
        </w:rPr>
        <w:t>aptitudes de vie, la réunification des familles et la prise en compte des effets des pensionnats et du recours aux systèmes de protection de l</w:t>
      </w:r>
      <w:r>
        <w:rPr>
          <w:lang w:val="fr-CA"/>
        </w:rPr>
        <w:t>’</w:t>
      </w:r>
      <w:r w:rsidRPr="00066ED3">
        <w:rPr>
          <w:lang w:val="fr-CA"/>
        </w:rPr>
        <w:t>enfance.</w:t>
      </w:r>
      <w:bookmarkEnd w:id="241"/>
      <w:r w:rsidRPr="00A7517B">
        <w:rPr>
          <w:lang w:val="fr-CA"/>
        </w:rPr>
        <w:t xml:space="preserve"> </w:t>
      </w:r>
      <w:bookmarkStart w:id="242" w:name="lt_pId470"/>
      <w:r w:rsidRPr="00066ED3">
        <w:rPr>
          <w:lang w:val="fr-CA"/>
        </w:rPr>
        <w:t>Grâce aux projets qu</w:t>
      </w:r>
      <w:r>
        <w:rPr>
          <w:lang w:val="fr-CA"/>
        </w:rPr>
        <w:t>’</w:t>
      </w:r>
      <w:r w:rsidRPr="00066ED3">
        <w:rPr>
          <w:lang w:val="fr-CA"/>
        </w:rPr>
        <w:t>elle finance, l</w:t>
      </w:r>
      <w:r>
        <w:rPr>
          <w:lang w:val="fr-CA"/>
        </w:rPr>
        <w:t>’</w:t>
      </w:r>
      <w:r w:rsidRPr="00066ED3">
        <w:rPr>
          <w:lang w:val="fr-CA"/>
        </w:rPr>
        <w:t>ISCCA vise à réduire le taux de récidi</w:t>
      </w:r>
      <w:r>
        <w:rPr>
          <w:lang w:val="fr-CA"/>
        </w:rPr>
        <w:t xml:space="preserve">ve en évitant les nouvelles </w:t>
      </w:r>
      <w:r w:rsidRPr="00066ED3">
        <w:rPr>
          <w:lang w:val="fr-CA"/>
        </w:rPr>
        <w:t>condamnations de délinquants autochtones et, par conséquent, à remédier à leur surreprésentation dans les établissements correctionnels.</w:t>
      </w:r>
      <w:bookmarkEnd w:id="242"/>
      <w:r w:rsidRPr="00A7517B">
        <w:rPr>
          <w:lang w:val="fr-CA"/>
        </w:rPr>
        <w:t xml:space="preserve"> </w:t>
      </w:r>
      <w:bookmarkStart w:id="243" w:name="lt_pId471"/>
      <w:r>
        <w:rPr>
          <w:lang w:val="fr-CA"/>
        </w:rPr>
        <w:t>En </w:t>
      </w:r>
      <w:r w:rsidRPr="00066ED3">
        <w:rPr>
          <w:lang w:val="fr-CA"/>
        </w:rPr>
        <w:t>2021, l</w:t>
      </w:r>
      <w:r>
        <w:rPr>
          <w:lang w:val="fr-CA"/>
        </w:rPr>
        <w:t>’</w:t>
      </w:r>
      <w:r w:rsidRPr="00066ED3">
        <w:rPr>
          <w:lang w:val="fr-CA"/>
        </w:rPr>
        <w:t>ISCCA a financé 16</w:t>
      </w:r>
      <w:r>
        <w:rPr>
          <w:lang w:val="fr-CA"/>
        </w:rPr>
        <w:t> </w:t>
      </w:r>
      <w:r w:rsidRPr="00066ED3">
        <w:rPr>
          <w:lang w:val="fr-CA"/>
        </w:rPr>
        <w:t>projets couvrant un large éventail de services et de soutiens pour les délinquants autochtones.</w:t>
      </w:r>
      <w:bookmarkEnd w:id="243"/>
    </w:p>
    <w:p w14:paraId="5756E92F" w14:textId="77777777" w:rsidR="00C83F56" w:rsidRPr="00A7517B" w:rsidRDefault="00C83F56" w:rsidP="004F23C1">
      <w:pPr>
        <w:pStyle w:val="SingleTxtG"/>
        <w:numPr>
          <w:ilvl w:val="0"/>
          <w:numId w:val="4"/>
        </w:numPr>
        <w:ind w:left="1134" w:firstLine="0"/>
        <w:rPr>
          <w:lang w:val="fr-CA"/>
        </w:rPr>
      </w:pPr>
      <w:bookmarkStart w:id="244" w:name="lt_pId472"/>
      <w:r>
        <w:rPr>
          <w:lang w:val="fr-CA"/>
        </w:rPr>
        <w:t>En </w:t>
      </w:r>
      <w:r w:rsidRPr="00AB70E4">
        <w:rPr>
          <w:lang w:val="fr-CA"/>
        </w:rPr>
        <w:t>2022, l</w:t>
      </w:r>
      <w:r>
        <w:rPr>
          <w:lang w:val="fr-CA"/>
        </w:rPr>
        <w:t>’</w:t>
      </w:r>
      <w:r w:rsidRPr="00AB70E4">
        <w:rPr>
          <w:lang w:val="fr-CA"/>
        </w:rPr>
        <w:t>ISCCA a été renouvelé et élargi la portée du programme et cré</w:t>
      </w:r>
      <w:r>
        <w:rPr>
          <w:lang w:val="fr-CA"/>
        </w:rPr>
        <w:t>é</w:t>
      </w:r>
      <w:r w:rsidRPr="00AB70E4">
        <w:rPr>
          <w:lang w:val="fr-CA"/>
        </w:rPr>
        <w:t xml:space="preserve"> des possibilités adaptées aux membres de la communauté</w:t>
      </w:r>
      <w:r>
        <w:rPr>
          <w:lang w:val="fr-CA"/>
        </w:rPr>
        <w:t> </w:t>
      </w:r>
      <w:r w:rsidRPr="00AB70E4">
        <w:rPr>
          <w:lang w:val="fr-CA"/>
        </w:rPr>
        <w:t>2ELGBTQIA+ et aux femmes autochtones.</w:t>
      </w:r>
      <w:bookmarkEnd w:id="244"/>
      <w:r w:rsidRPr="00A7517B">
        <w:rPr>
          <w:lang w:val="fr-CA"/>
        </w:rPr>
        <w:t xml:space="preserve"> </w:t>
      </w:r>
      <w:bookmarkStart w:id="245" w:name="lt_pId473"/>
      <w:r w:rsidRPr="00AB70E4">
        <w:rPr>
          <w:lang w:val="fr-CA"/>
        </w:rPr>
        <w:t>Le renouvellement de l</w:t>
      </w:r>
      <w:r>
        <w:rPr>
          <w:lang w:val="fr-CA"/>
        </w:rPr>
        <w:t>’</w:t>
      </w:r>
      <w:r w:rsidRPr="00AB70E4">
        <w:rPr>
          <w:lang w:val="fr-CA"/>
        </w:rPr>
        <w:t>ISCCA appuie notamment l</w:t>
      </w:r>
      <w:r>
        <w:rPr>
          <w:lang w:val="fr-CA"/>
        </w:rPr>
        <w:t>’</w:t>
      </w:r>
      <w:r w:rsidRPr="00AB70E4">
        <w:rPr>
          <w:lang w:val="fr-CA"/>
        </w:rPr>
        <w:t xml:space="preserve">engagement pris par le </w:t>
      </w:r>
      <w:r>
        <w:rPr>
          <w:lang w:val="fr-CA"/>
        </w:rPr>
        <w:t>GC</w:t>
      </w:r>
      <w:r w:rsidRPr="00AB70E4">
        <w:rPr>
          <w:lang w:val="fr-CA"/>
        </w:rPr>
        <w:t xml:space="preserve"> d</w:t>
      </w:r>
      <w:r>
        <w:rPr>
          <w:lang w:val="fr-CA"/>
        </w:rPr>
        <w:t>’</w:t>
      </w:r>
      <w:r w:rsidRPr="00AB70E4">
        <w:rPr>
          <w:lang w:val="fr-CA"/>
        </w:rPr>
        <w:t xml:space="preserve">élaborer une stratégie de justice autochtone </w:t>
      </w:r>
      <w:r>
        <w:rPr>
          <w:lang w:val="fr-CA"/>
        </w:rPr>
        <w:t>qui vise</w:t>
      </w:r>
      <w:r w:rsidRPr="00AB70E4">
        <w:rPr>
          <w:lang w:val="fr-CA"/>
        </w:rPr>
        <w:t xml:space="preserve"> à lutter contre le racisme systémique et la surreprésentation des Autochtones dans le système judiciaire.</w:t>
      </w:r>
      <w:bookmarkEnd w:id="245"/>
      <w:r w:rsidRPr="00A7517B">
        <w:rPr>
          <w:lang w:val="fr-CA"/>
        </w:rPr>
        <w:t xml:space="preserve"> </w:t>
      </w:r>
    </w:p>
    <w:p w14:paraId="3C3C9CF3" w14:textId="77777777" w:rsidR="00C83F56" w:rsidRPr="00A7517B" w:rsidRDefault="00C83F56" w:rsidP="004F23C1">
      <w:pPr>
        <w:pStyle w:val="SingleTxtG"/>
        <w:numPr>
          <w:ilvl w:val="0"/>
          <w:numId w:val="4"/>
        </w:numPr>
        <w:ind w:left="1134" w:firstLine="0"/>
        <w:rPr>
          <w:lang w:val="fr-CA"/>
        </w:rPr>
      </w:pPr>
      <w:r w:rsidRPr="00F80A0B">
        <w:rPr>
          <w:lang w:val="fr-CA"/>
        </w:rPr>
        <w:t xml:space="preserve">En 2022, le GC, par l’entremise du ministre de la Sécurité publique, a lancé l’Initiative de collaboration de l’Alliance frontalière du Traité de Jay (AFTJ), offrant un mécanisme officiel de dialogue avec les </w:t>
      </w:r>
      <w:r>
        <w:rPr>
          <w:lang w:val="fr-CA"/>
        </w:rPr>
        <w:t>n</w:t>
      </w:r>
      <w:r w:rsidRPr="00F80A0B">
        <w:rPr>
          <w:lang w:val="fr-CA"/>
        </w:rPr>
        <w:t xml:space="preserve">ations autochtones, y compris celles dont les territoires sont traversés par la frontière canado-américaine. Ce forum permet de collaborer sur les politiques et programmes frontaliers, notamment le droit d’entrée, l’expérience de passage, l’identification et la circulation des biens et du commerce pour les peuples autochtones. Il traite également des enjeux liés au racisme, dans le cadre des contrôles frontaliers et de l’utilisation de pièces d’identité. En 2023, dans le cadre du Plan d’action de la </w:t>
      </w:r>
      <w:r w:rsidRPr="00F80A0B">
        <w:rPr>
          <w:i/>
          <w:iCs/>
          <w:lang w:val="fr-CA"/>
        </w:rPr>
        <w:t>Loi sur la Déclaration des Nations Unies sur les droits des peuples autochtone</w:t>
      </w:r>
      <w:r w:rsidRPr="00F80A0B">
        <w:rPr>
          <w:lang w:val="fr-CA"/>
        </w:rPr>
        <w:t>s, le GC s’est engagé à examiner des options législatives visant à améliorer la situation des voyageurs autochtones à la frontière.</w:t>
      </w:r>
    </w:p>
    <w:p w14:paraId="7C5DDDD5" w14:textId="5EEB2027" w:rsidR="00C83F56" w:rsidRPr="00962D1A" w:rsidRDefault="00B97E48" w:rsidP="00B97E48">
      <w:pPr>
        <w:pStyle w:val="H1G"/>
        <w:rPr>
          <w:lang w:val="fr-CA"/>
        </w:rPr>
      </w:pPr>
      <w:bookmarkStart w:id="246" w:name="lt_pId481"/>
      <w:r>
        <w:rPr>
          <w:lang w:val="fr-CA"/>
        </w:rPr>
        <w:tab/>
      </w:r>
      <w:r>
        <w:rPr>
          <w:lang w:val="fr-CA"/>
        </w:rPr>
        <w:tab/>
      </w:r>
      <w:r w:rsidR="00C83F56" w:rsidRPr="00962D1A">
        <w:rPr>
          <w:lang w:val="fr-CA"/>
        </w:rPr>
        <w:t>Consultations avec les Autochtones concernant les titres et les revendications territoriales des Autochtones</w:t>
      </w:r>
      <w:bookmarkEnd w:id="246"/>
    </w:p>
    <w:p w14:paraId="38142020" w14:textId="77777777" w:rsidR="00C83F56" w:rsidRPr="00A7517B" w:rsidRDefault="00C83F56" w:rsidP="004F23C1">
      <w:pPr>
        <w:pStyle w:val="SingleTxtG"/>
        <w:numPr>
          <w:ilvl w:val="0"/>
          <w:numId w:val="4"/>
        </w:numPr>
        <w:ind w:left="1134" w:firstLine="0"/>
        <w:rPr>
          <w:lang w:val="fr-CA"/>
        </w:rPr>
      </w:pPr>
      <w:r w:rsidRPr="00755040">
        <w:rPr>
          <w:lang w:val="fr-CA"/>
        </w:rPr>
        <w:t xml:space="preserve">Depuis 1973, le </w:t>
      </w:r>
      <w:r>
        <w:rPr>
          <w:lang w:val="fr-CA"/>
        </w:rPr>
        <w:t>GC</w:t>
      </w:r>
      <w:r w:rsidRPr="00755040">
        <w:rPr>
          <w:lang w:val="fr-CA"/>
        </w:rPr>
        <w:t>, en collaboration avec les partenaires autochtones et les</w:t>
      </w:r>
      <w:r>
        <w:rPr>
          <w:lang w:val="fr-CA"/>
        </w:rPr>
        <w:t xml:space="preserve"> gouvernements</w:t>
      </w:r>
      <w:r w:rsidRPr="00755040">
        <w:rPr>
          <w:lang w:val="fr-CA"/>
        </w:rPr>
        <w:t xml:space="preserve"> </w:t>
      </w:r>
      <w:r>
        <w:rPr>
          <w:lang w:val="fr-CA"/>
        </w:rPr>
        <w:t>PT</w:t>
      </w:r>
      <w:r w:rsidRPr="00755040">
        <w:rPr>
          <w:lang w:val="fr-CA"/>
        </w:rPr>
        <w:t>, a négocié, signé et continue de mettre en œuvre 27 traités modernes avec 30 partenaires autochtones, ainsi que trois ententes globales sur l’autonomie gouvernementale non liées à des traités. Ces ententes, qui couvrent six provinces et les trois territoires — soit plus de 40 % du territoire canadien —, ont favorisé l’accès à des possibilités d’exploitation des ressources et à des processus décisionnels consultatifs en matière de gestion des terres et des ressources, profitant aux populations autochtones et non autochtones. Elles ont également contribué à renforcer la stabilité, la prévisibilité et la capacité des partenaires à préserver et à promouvoir la culture, la langue, l’identité, l’histoire orale et le patrimoine autochtones, tout en favorisant le dialogue intergénérationnel entre aînés et jeunes.</w:t>
      </w:r>
    </w:p>
    <w:p w14:paraId="77214D41" w14:textId="77777777" w:rsidR="00C83F56" w:rsidRPr="00A7517B" w:rsidRDefault="00C83F56" w:rsidP="004F23C1">
      <w:pPr>
        <w:pStyle w:val="SingleTxtG"/>
        <w:numPr>
          <w:ilvl w:val="0"/>
          <w:numId w:val="4"/>
        </w:numPr>
        <w:ind w:left="1134" w:firstLine="0"/>
        <w:rPr>
          <w:lang w:val="fr-CA"/>
        </w:rPr>
      </w:pPr>
      <w:bookmarkStart w:id="247" w:name="lt_pId486"/>
      <w:r>
        <w:rPr>
          <w:lang w:val="fr-CA"/>
        </w:rPr>
        <w:t xml:space="preserve">Les ententes négociées remettent le pouvoir décisionnel entre les mains des communautés autochtones, qui choisissent eux-mêmes la façon d’offrir des programmes et des services à leurs communautés, incluant </w:t>
      </w:r>
      <w:bookmarkStart w:id="248" w:name="lt_pId487"/>
      <w:bookmarkEnd w:id="247"/>
      <w:r>
        <w:rPr>
          <w:lang w:val="fr-CA"/>
        </w:rPr>
        <w:t>prendre des décisions sur la façon de mieux protéger leur culture et leur langue, d’éduquer leurs élèves, de gérer leurs propres terres et d’établir de nouveaux partenariats commerciaux pour créer des emplois et d’autres avantages.</w:t>
      </w:r>
      <w:bookmarkEnd w:id="248"/>
      <w:r w:rsidRPr="00A7517B">
        <w:rPr>
          <w:lang w:val="fr-CA"/>
        </w:rPr>
        <w:t xml:space="preserve"> </w:t>
      </w:r>
    </w:p>
    <w:p w14:paraId="539DAA74" w14:textId="72EB39F3" w:rsidR="00C83F56" w:rsidRPr="00A7517B" w:rsidRDefault="00C83F56" w:rsidP="004F23C1">
      <w:pPr>
        <w:pStyle w:val="SingleTxtG"/>
        <w:numPr>
          <w:ilvl w:val="0"/>
          <w:numId w:val="4"/>
        </w:numPr>
        <w:ind w:left="1134" w:firstLine="0"/>
        <w:rPr>
          <w:lang w:val="fr-CA"/>
        </w:rPr>
      </w:pPr>
      <w:bookmarkStart w:id="249" w:name="lt_pId488"/>
      <w:r w:rsidRPr="51A13573">
        <w:rPr>
          <w:lang w:val="fr-CA"/>
        </w:rPr>
        <w:t xml:space="preserve">Le </w:t>
      </w:r>
      <w:r>
        <w:rPr>
          <w:lang w:val="fr-CA"/>
        </w:rPr>
        <w:t>GC</w:t>
      </w:r>
      <w:r w:rsidRPr="51A13573">
        <w:rPr>
          <w:lang w:val="fr-CA"/>
        </w:rPr>
        <w:t xml:space="preserve"> participe à plus de 170</w:t>
      </w:r>
      <w:r>
        <w:rPr>
          <w:lang w:val="fr-CA"/>
        </w:rPr>
        <w:t xml:space="preserve"> </w:t>
      </w:r>
      <w:r w:rsidRPr="51A13573">
        <w:rPr>
          <w:lang w:val="fr-CA"/>
        </w:rPr>
        <w:t>tables de négociation actives avec des groupes autochtones de tout le pays, qui explorent de nouvelles façons de travailler ensemble pour faire progresser la réconciliation et l’</w:t>
      </w:r>
      <w:r w:rsidR="00641EA1" w:rsidRPr="51A13573">
        <w:rPr>
          <w:lang w:val="fr-CA"/>
        </w:rPr>
        <w:t>auto-détermination</w:t>
      </w:r>
      <w:r w:rsidRPr="51A13573">
        <w:rPr>
          <w:lang w:val="fr-CA"/>
        </w:rPr>
        <w:t>.</w:t>
      </w:r>
      <w:bookmarkEnd w:id="249"/>
      <w:r w:rsidRPr="51A13573">
        <w:rPr>
          <w:lang w:val="fr-CA"/>
        </w:rPr>
        <w:t xml:space="preserve"> </w:t>
      </w:r>
      <w:bookmarkStart w:id="250" w:name="lt_pId489"/>
      <w:r w:rsidRPr="51A13573">
        <w:rPr>
          <w:lang w:val="fr-CA"/>
        </w:rPr>
        <w:t>Les tables de négociation offrent un cadre qui permet aux groupes autochtones de faire valoir leurs priorités, leurs intérêts et leurs besoins particuliers, et de concevoir conjointement un processus visant à répondre à ces besoins par l’élaboration d’ententes pratiques avec le Canada.</w:t>
      </w:r>
      <w:bookmarkEnd w:id="250"/>
    </w:p>
    <w:p w14:paraId="62A0F716" w14:textId="77777777" w:rsidR="00C83F56" w:rsidRPr="006A4D85" w:rsidRDefault="00C83F56" w:rsidP="004F23C1">
      <w:pPr>
        <w:pStyle w:val="SingleTxtG"/>
        <w:numPr>
          <w:ilvl w:val="0"/>
          <w:numId w:val="4"/>
        </w:numPr>
        <w:ind w:left="1134" w:firstLine="0"/>
        <w:rPr>
          <w:lang w:val="fr-CA"/>
        </w:rPr>
      </w:pPr>
      <w:bookmarkStart w:id="251" w:name="lt_pId490"/>
      <w:r w:rsidRPr="51A13573">
        <w:rPr>
          <w:lang w:val="fr-CA"/>
        </w:rPr>
        <w:t xml:space="preserve">L’approche du </w:t>
      </w:r>
      <w:r>
        <w:rPr>
          <w:lang w:val="fr-CA"/>
        </w:rPr>
        <w:t>GC</w:t>
      </w:r>
      <w:r w:rsidRPr="51A13573">
        <w:rPr>
          <w:lang w:val="fr-CA"/>
        </w:rPr>
        <w:t xml:space="preserve"> en matière d’engagement avec les peuples autochtones a donné des résultats tangibles, notamment </w:t>
      </w:r>
      <w:bookmarkEnd w:id="251"/>
      <w:r w:rsidRPr="51A13573">
        <w:rPr>
          <w:lang w:val="fr-CA"/>
        </w:rPr>
        <w:t xml:space="preserve">27 traités modernes, </w:t>
      </w:r>
      <w:r>
        <w:rPr>
          <w:lang w:val="fr-CA"/>
        </w:rPr>
        <w:t>trois</w:t>
      </w:r>
      <w:r w:rsidRPr="51A13573">
        <w:rPr>
          <w:lang w:val="fr-CA"/>
        </w:rPr>
        <w:t xml:space="preserve"> ententes autonomes sur l'autonomie gouvernementale et </w:t>
      </w:r>
      <w:r>
        <w:rPr>
          <w:lang w:val="fr-CA"/>
        </w:rPr>
        <w:t>trois</w:t>
      </w:r>
      <w:r w:rsidRPr="51A13573">
        <w:rPr>
          <w:lang w:val="fr-CA"/>
        </w:rPr>
        <w:t xml:space="preserve"> ententes sectorielles sur l'autonomie gouvernementale ont été signés ; 48 autres arrangements constructifs (ententes de réconciliation, ententes de mise en œuvre, ententes de financement, etc.) signés ; et 110 ententes de type préliminaire signées.</w:t>
      </w:r>
    </w:p>
    <w:p w14:paraId="5433E3C1" w14:textId="01547EAF" w:rsidR="00C83F56" w:rsidRPr="00A7517B" w:rsidRDefault="00B97E48" w:rsidP="00B97E48">
      <w:pPr>
        <w:pStyle w:val="H23G"/>
        <w:rPr>
          <w:lang w:val="fr-CA"/>
        </w:rPr>
      </w:pPr>
      <w:bookmarkStart w:id="252" w:name="lt_pId494"/>
      <w:r>
        <w:rPr>
          <w:lang w:val="fr-CA"/>
        </w:rPr>
        <w:tab/>
      </w:r>
      <w:r>
        <w:rPr>
          <w:lang w:val="fr-CA"/>
        </w:rPr>
        <w:tab/>
      </w:r>
      <w:r w:rsidR="00C83F56" w:rsidRPr="00D04536">
        <w:rPr>
          <w:lang w:val="fr-CA"/>
        </w:rPr>
        <w:t>Consentement préalable, donné librement et en</w:t>
      </w:r>
      <w:r w:rsidR="00C83F56">
        <w:rPr>
          <w:lang w:val="fr-CA"/>
        </w:rPr>
        <w:t xml:space="preserve"> toute</w:t>
      </w:r>
      <w:r w:rsidR="00C83F56" w:rsidRPr="00D04536">
        <w:rPr>
          <w:lang w:val="fr-CA"/>
        </w:rPr>
        <w:t xml:space="preserve"> connaissance de cause des peuples autochtones</w:t>
      </w:r>
      <w:bookmarkEnd w:id="252"/>
    </w:p>
    <w:p w14:paraId="65B53801" w14:textId="77777777" w:rsidR="00C83F56" w:rsidRPr="00A7517B" w:rsidRDefault="00C83F56" w:rsidP="004F23C1">
      <w:pPr>
        <w:pStyle w:val="SingleTxtG"/>
        <w:numPr>
          <w:ilvl w:val="0"/>
          <w:numId w:val="4"/>
        </w:numPr>
        <w:ind w:left="1134" w:firstLine="0"/>
        <w:rPr>
          <w:lang w:val="fr-CA"/>
        </w:rPr>
      </w:pPr>
      <w:bookmarkStart w:id="253" w:name="lt_pId495"/>
      <w:r w:rsidRPr="51A13573">
        <w:rPr>
          <w:lang w:val="fr-CA"/>
        </w:rPr>
        <w:t xml:space="preserve">Le </w:t>
      </w:r>
      <w:r>
        <w:rPr>
          <w:lang w:val="fr-CA"/>
        </w:rPr>
        <w:t>GC</w:t>
      </w:r>
      <w:r w:rsidRPr="51A13573">
        <w:rPr>
          <w:lang w:val="fr-CA"/>
        </w:rPr>
        <w:t xml:space="preserve"> </w:t>
      </w:r>
      <w:r w:rsidRPr="00325D8E">
        <w:rPr>
          <w:lang w:val="fr-CA"/>
        </w:rPr>
        <w:t>s'est engagé à consulter et à coopérer avec les peuples autochtones afin d</w:t>
      </w:r>
      <w:r>
        <w:rPr>
          <w:lang w:val="fr-CA"/>
        </w:rPr>
        <w:t>’</w:t>
      </w:r>
      <w:r w:rsidRPr="51A13573">
        <w:rPr>
          <w:lang w:val="fr-CA"/>
        </w:rPr>
        <w:t xml:space="preserve">obtenir le consentement préalable, donné librement et en </w:t>
      </w:r>
      <w:r>
        <w:rPr>
          <w:lang w:val="fr-CA"/>
        </w:rPr>
        <w:t xml:space="preserve">toute </w:t>
      </w:r>
      <w:r w:rsidRPr="51A13573">
        <w:rPr>
          <w:lang w:val="fr-CA"/>
        </w:rPr>
        <w:t xml:space="preserve">connaissance de cause avant l’approbation de projets </w:t>
      </w:r>
      <w:r>
        <w:rPr>
          <w:lang w:val="fr-CA"/>
        </w:rPr>
        <w:t xml:space="preserve">fédéraux ayant une incidence sur </w:t>
      </w:r>
      <w:r w:rsidRPr="51A13573">
        <w:rPr>
          <w:lang w:val="fr-CA"/>
        </w:rPr>
        <w:t>leurs terres, territoires et ressources.</w:t>
      </w:r>
      <w:bookmarkEnd w:id="253"/>
      <w:r w:rsidRPr="51A13573">
        <w:rPr>
          <w:lang w:val="fr-CA"/>
        </w:rPr>
        <w:t xml:space="preserve"> </w:t>
      </w:r>
      <w:bookmarkStart w:id="254" w:name="lt_pId496"/>
      <w:r w:rsidRPr="51A13573">
        <w:rPr>
          <w:lang w:val="fr-CA"/>
        </w:rPr>
        <w:t xml:space="preserve">Les consultations </w:t>
      </w:r>
      <w:r>
        <w:rPr>
          <w:lang w:val="fr-CA"/>
        </w:rPr>
        <w:t>pour</w:t>
      </w:r>
      <w:r w:rsidRPr="51A13573">
        <w:rPr>
          <w:lang w:val="fr-CA"/>
        </w:rPr>
        <w:t xml:space="preserve"> comprendre les droits et intérêts susceptibles d’être affectés par le projet, de trouver un terrain d’entente et d</w:t>
      </w:r>
      <w:r>
        <w:rPr>
          <w:lang w:val="fr-CA"/>
        </w:rPr>
        <w:t>e conclure des ententes communes</w:t>
      </w:r>
      <w:r w:rsidRPr="51A13573">
        <w:rPr>
          <w:lang w:val="fr-CA"/>
        </w:rPr>
        <w:t>.</w:t>
      </w:r>
      <w:bookmarkEnd w:id="254"/>
      <w:r w:rsidRPr="51A13573">
        <w:rPr>
          <w:lang w:val="fr-CA"/>
        </w:rPr>
        <w:t xml:space="preserve"> </w:t>
      </w:r>
      <w:bookmarkStart w:id="255" w:name="lt_pId497"/>
      <w:r w:rsidRPr="51A13573">
        <w:rPr>
          <w:lang w:val="fr-CA"/>
        </w:rPr>
        <w:t xml:space="preserve">Cette approche est conforme </w:t>
      </w:r>
      <w:r>
        <w:rPr>
          <w:lang w:val="fr-CA"/>
        </w:rPr>
        <w:t>à la jurisprudence canadienne ainsi qu’aux</w:t>
      </w:r>
      <w:r w:rsidRPr="51A13573">
        <w:rPr>
          <w:lang w:val="fr-CA"/>
        </w:rPr>
        <w:t xml:space="preserve"> principes énoncés dans la Déclaration d</w:t>
      </w:r>
      <w:r>
        <w:rPr>
          <w:lang w:val="fr-CA"/>
        </w:rPr>
        <w:t xml:space="preserve">e l’ONU, selon lesquels la </w:t>
      </w:r>
      <w:r w:rsidRPr="51A13573">
        <w:rPr>
          <w:lang w:val="fr-CA"/>
        </w:rPr>
        <w:t xml:space="preserve">consultation et </w:t>
      </w:r>
      <w:r>
        <w:rPr>
          <w:lang w:val="fr-CA"/>
        </w:rPr>
        <w:t xml:space="preserve">la </w:t>
      </w:r>
      <w:r w:rsidRPr="51A13573">
        <w:rPr>
          <w:lang w:val="fr-CA"/>
        </w:rPr>
        <w:t xml:space="preserve">coopération </w:t>
      </w:r>
      <w:r>
        <w:rPr>
          <w:lang w:val="fr-CA"/>
        </w:rPr>
        <w:t>véritable avec les peuples a</w:t>
      </w:r>
      <w:r w:rsidRPr="51A13573">
        <w:rPr>
          <w:lang w:val="fr-CA"/>
        </w:rPr>
        <w:t>utochtones</w:t>
      </w:r>
      <w:r>
        <w:rPr>
          <w:lang w:val="fr-CA"/>
        </w:rPr>
        <w:t xml:space="preserve"> visent à obtenir leur </w:t>
      </w:r>
      <w:r w:rsidRPr="51A13573">
        <w:rPr>
          <w:lang w:val="fr-CA"/>
        </w:rPr>
        <w:t xml:space="preserve">consentement préalable, donné librement et en </w:t>
      </w:r>
      <w:r>
        <w:rPr>
          <w:lang w:val="fr-CA"/>
        </w:rPr>
        <w:t xml:space="preserve">toute </w:t>
      </w:r>
      <w:r w:rsidRPr="51A13573">
        <w:rPr>
          <w:lang w:val="fr-CA"/>
        </w:rPr>
        <w:t>connaissance de cause.</w:t>
      </w:r>
      <w:bookmarkEnd w:id="255"/>
    </w:p>
    <w:p w14:paraId="743276D8" w14:textId="77777777" w:rsidR="00C83F56" w:rsidRPr="00364BFB" w:rsidRDefault="00C83F56" w:rsidP="004F23C1">
      <w:pPr>
        <w:pStyle w:val="SingleTxtG"/>
        <w:numPr>
          <w:ilvl w:val="0"/>
          <w:numId w:val="4"/>
        </w:numPr>
        <w:ind w:left="1134" w:firstLine="0"/>
        <w:rPr>
          <w:lang w:val="fr-CA"/>
        </w:rPr>
      </w:pPr>
      <w:bookmarkStart w:id="256" w:name="lt_pId500"/>
      <w:r w:rsidRPr="008B7DB0">
        <w:rPr>
          <w:lang w:val="fr-CA"/>
        </w:rPr>
        <w:t xml:space="preserve">En ce qui concerne les ressources naturelles en particulier, le </w:t>
      </w:r>
      <w:r>
        <w:rPr>
          <w:lang w:val="fr-CA"/>
        </w:rPr>
        <w:t>GC</w:t>
      </w:r>
      <w:r w:rsidRPr="008B7DB0">
        <w:rPr>
          <w:lang w:val="fr-CA"/>
        </w:rPr>
        <w:t xml:space="preserve"> adhère à des systèmes de réglementation en vertu de </w:t>
      </w:r>
      <w:r w:rsidRPr="00681A09">
        <w:rPr>
          <w:lang w:val="fr-CA"/>
        </w:rPr>
        <w:t xml:space="preserve">la </w:t>
      </w:r>
      <w:r w:rsidRPr="00681A09">
        <w:rPr>
          <w:i/>
          <w:lang w:val="fr-CA"/>
        </w:rPr>
        <w:t>Loi sur l’évaluation d’impact</w:t>
      </w:r>
      <w:r w:rsidRPr="00681A09">
        <w:rPr>
          <w:lang w:val="fr-CA"/>
        </w:rPr>
        <w:t xml:space="preserve"> </w:t>
      </w:r>
      <w:r>
        <w:rPr>
          <w:lang w:val="fr-CA"/>
        </w:rPr>
        <w:t xml:space="preserve">(LEI) </w:t>
      </w:r>
      <w:r w:rsidRPr="00681A09">
        <w:rPr>
          <w:lang w:val="fr-CA"/>
        </w:rPr>
        <w:t xml:space="preserve">et de la </w:t>
      </w:r>
      <w:r w:rsidRPr="00681A09">
        <w:rPr>
          <w:i/>
          <w:lang w:val="fr-CA"/>
        </w:rPr>
        <w:t>Loi sur la Régie canadienne de l’énergie</w:t>
      </w:r>
      <w:r>
        <w:rPr>
          <w:i/>
          <w:lang w:val="fr-CA"/>
        </w:rPr>
        <w:t xml:space="preserve"> </w:t>
      </w:r>
      <w:r w:rsidRPr="00E7089D">
        <w:rPr>
          <w:iCs/>
          <w:lang w:val="fr-CA"/>
        </w:rPr>
        <w:t>(la Régie)</w:t>
      </w:r>
      <w:r w:rsidRPr="009F0504">
        <w:rPr>
          <w:iCs/>
          <w:lang w:val="fr-CA"/>
        </w:rPr>
        <w:t>.</w:t>
      </w:r>
      <w:bookmarkEnd w:id="256"/>
      <w:r w:rsidRPr="009F0504">
        <w:rPr>
          <w:iCs/>
          <w:lang w:val="fr-CA"/>
        </w:rPr>
        <w:t xml:space="preserve"> </w:t>
      </w:r>
      <w:bookmarkStart w:id="257" w:name="lt_pId501"/>
      <w:r>
        <w:rPr>
          <w:lang w:val="fr-CA"/>
        </w:rPr>
        <w:t xml:space="preserve">Le GC soutient activement des consultations significatives pour les projets désignés en </w:t>
      </w:r>
      <w:r w:rsidRPr="00F6144A">
        <w:rPr>
          <w:lang w:val="fr-CA"/>
        </w:rPr>
        <w:t xml:space="preserve">vertu de ces lois, et entreprend </w:t>
      </w:r>
      <w:r>
        <w:rPr>
          <w:lang w:val="fr-CA"/>
        </w:rPr>
        <w:t xml:space="preserve">également des démarches de mobilisation et de </w:t>
      </w:r>
      <w:r w:rsidRPr="00F6144A">
        <w:rPr>
          <w:lang w:val="fr-CA"/>
        </w:rPr>
        <w:t xml:space="preserve">consultation </w:t>
      </w:r>
      <w:r>
        <w:rPr>
          <w:lang w:val="fr-CA"/>
        </w:rPr>
        <w:t xml:space="preserve">en amont </w:t>
      </w:r>
      <w:r w:rsidRPr="00F6144A">
        <w:rPr>
          <w:lang w:val="fr-CA"/>
        </w:rPr>
        <w:t>pour les projets</w:t>
      </w:r>
      <w:r>
        <w:rPr>
          <w:lang w:val="fr-CA"/>
        </w:rPr>
        <w:t xml:space="preserve"> non </w:t>
      </w:r>
      <w:r w:rsidRPr="00364BFB">
        <w:rPr>
          <w:lang w:val="fr-CA"/>
        </w:rPr>
        <w:t xml:space="preserve">désignés </w:t>
      </w:r>
      <w:r>
        <w:rPr>
          <w:lang w:val="fr-CA"/>
        </w:rPr>
        <w:t>par ces lois</w:t>
      </w:r>
      <w:r w:rsidRPr="00364BFB">
        <w:rPr>
          <w:lang w:val="fr-CA"/>
        </w:rPr>
        <w:t>, tels que les projets d’énergie propre ou les projets</w:t>
      </w:r>
      <w:r>
        <w:rPr>
          <w:lang w:val="fr-CA"/>
        </w:rPr>
        <w:t xml:space="preserve"> existants</w:t>
      </w:r>
      <w:r w:rsidRPr="00364BFB">
        <w:rPr>
          <w:lang w:val="fr-CA"/>
        </w:rPr>
        <w:t>.</w:t>
      </w:r>
      <w:bookmarkEnd w:id="257"/>
      <w:r>
        <w:rPr>
          <w:lang w:val="fr-CA"/>
        </w:rPr>
        <w:t xml:space="preserve"> En </w:t>
      </w:r>
      <w:r w:rsidRPr="002765B0">
        <w:rPr>
          <w:lang w:val="fr-CA"/>
        </w:rPr>
        <w:t xml:space="preserve">2019, le </w:t>
      </w:r>
      <w:r>
        <w:rPr>
          <w:lang w:val="fr-CA"/>
        </w:rPr>
        <w:t>GC</w:t>
      </w:r>
      <w:r w:rsidRPr="002765B0">
        <w:rPr>
          <w:lang w:val="fr-CA"/>
        </w:rPr>
        <w:t xml:space="preserve"> a modifié </w:t>
      </w:r>
      <w:r w:rsidRPr="00E7089D">
        <w:rPr>
          <w:iCs/>
          <w:lang w:val="fr-CA"/>
        </w:rPr>
        <w:t>la Régie</w:t>
      </w:r>
      <w:r>
        <w:rPr>
          <w:iCs/>
          <w:lang w:val="fr-CA"/>
        </w:rPr>
        <w:t xml:space="preserve"> afin d’y intégrer une</w:t>
      </w:r>
      <w:r w:rsidRPr="002765B0">
        <w:rPr>
          <w:lang w:val="fr-CA"/>
        </w:rPr>
        <w:t xml:space="preserve"> référence à la Déclaration d</w:t>
      </w:r>
      <w:r>
        <w:rPr>
          <w:lang w:val="fr-CA"/>
        </w:rPr>
        <w:t>es Nations Unies, précisant que, lors de la prise de décisions, d’</w:t>
      </w:r>
      <w:r w:rsidRPr="002765B0">
        <w:rPr>
          <w:lang w:val="fr-CA"/>
        </w:rPr>
        <w:t>ordonnance</w:t>
      </w:r>
      <w:r>
        <w:rPr>
          <w:lang w:val="fr-CA"/>
        </w:rPr>
        <w:t>s</w:t>
      </w:r>
      <w:r w:rsidRPr="002765B0">
        <w:rPr>
          <w:lang w:val="fr-CA"/>
        </w:rPr>
        <w:t xml:space="preserve"> ou</w:t>
      </w:r>
      <w:r>
        <w:rPr>
          <w:lang w:val="fr-CA"/>
        </w:rPr>
        <w:t xml:space="preserve"> de</w:t>
      </w:r>
      <w:r w:rsidRPr="002765B0">
        <w:rPr>
          <w:lang w:val="fr-CA"/>
        </w:rPr>
        <w:t xml:space="preserve"> recommandation</w:t>
      </w:r>
      <w:r>
        <w:rPr>
          <w:lang w:val="fr-CA"/>
        </w:rPr>
        <w:t>s</w:t>
      </w:r>
      <w:r w:rsidRPr="002765B0">
        <w:rPr>
          <w:lang w:val="fr-CA"/>
        </w:rPr>
        <w:t xml:space="preserve"> en vertu de cette </w:t>
      </w:r>
      <w:r>
        <w:rPr>
          <w:lang w:val="fr-CA"/>
        </w:rPr>
        <w:t>L</w:t>
      </w:r>
      <w:r w:rsidRPr="002765B0">
        <w:rPr>
          <w:lang w:val="fr-CA"/>
        </w:rPr>
        <w:t>oi, le</w:t>
      </w:r>
      <w:r>
        <w:rPr>
          <w:lang w:val="fr-CA"/>
        </w:rPr>
        <w:t xml:space="preserve"> GC doit tenir compte des effets négatifs potentiels</w:t>
      </w:r>
      <w:r w:rsidRPr="002765B0">
        <w:rPr>
          <w:lang w:val="fr-CA"/>
        </w:rPr>
        <w:t xml:space="preserve"> sur les droits des </w:t>
      </w:r>
      <w:r>
        <w:rPr>
          <w:lang w:val="fr-CA"/>
        </w:rPr>
        <w:t>peuples a</w:t>
      </w:r>
      <w:r w:rsidRPr="002765B0">
        <w:rPr>
          <w:lang w:val="fr-CA"/>
        </w:rPr>
        <w:t>utochtones</w:t>
      </w:r>
      <w:r>
        <w:rPr>
          <w:lang w:val="fr-CA"/>
        </w:rPr>
        <w:t>.</w:t>
      </w:r>
    </w:p>
    <w:p w14:paraId="4F063FAB" w14:textId="77777777" w:rsidR="00C83F56" w:rsidRPr="00364BFB" w:rsidRDefault="00C83F56" w:rsidP="004F23C1">
      <w:pPr>
        <w:pStyle w:val="SingleTxtG"/>
        <w:numPr>
          <w:ilvl w:val="0"/>
          <w:numId w:val="4"/>
        </w:numPr>
        <w:ind w:left="1134" w:firstLine="0"/>
        <w:rPr>
          <w:lang w:val="fr-CA"/>
        </w:rPr>
      </w:pPr>
      <w:bookmarkStart w:id="258" w:name="lt_pId502"/>
      <w:r w:rsidRPr="00364BFB">
        <w:rPr>
          <w:lang w:val="fr-CA"/>
        </w:rPr>
        <w:t xml:space="preserve">Un cadre a été élaboré par le secteur forestier canadien, en partenariat avec les communautés autochtones, pour </w:t>
      </w:r>
      <w:r>
        <w:rPr>
          <w:lang w:val="fr-CA"/>
        </w:rPr>
        <w:t>orienter</w:t>
      </w:r>
      <w:r w:rsidRPr="00364BFB">
        <w:rPr>
          <w:lang w:val="fr-CA"/>
        </w:rPr>
        <w:t xml:space="preserve"> la façon dont les scientifiques travaillent avec ces communautés dans le cadre de l’extraction des ressources.</w:t>
      </w:r>
      <w:bookmarkEnd w:id="258"/>
      <w:r w:rsidRPr="00364BFB">
        <w:rPr>
          <w:lang w:val="fr-CA"/>
        </w:rPr>
        <w:t xml:space="preserve"> </w:t>
      </w:r>
    </w:p>
    <w:p w14:paraId="3DC55F0F" w14:textId="77777777" w:rsidR="00C83F56" w:rsidRPr="00A7517B" w:rsidRDefault="00C83F56" w:rsidP="004F23C1">
      <w:pPr>
        <w:pStyle w:val="SingleTxtG"/>
        <w:numPr>
          <w:ilvl w:val="0"/>
          <w:numId w:val="4"/>
        </w:numPr>
        <w:ind w:left="1134" w:firstLine="0"/>
        <w:rPr>
          <w:lang w:val="fr-CA"/>
        </w:rPr>
      </w:pPr>
      <w:bookmarkStart w:id="259" w:name="lt_pId503"/>
      <w:r w:rsidRPr="008A6088">
        <w:rPr>
          <w:lang w:val="fr-CA"/>
        </w:rPr>
        <w:t xml:space="preserve">Le Plan </w:t>
      </w:r>
      <w:r>
        <w:rPr>
          <w:lang w:val="fr-CA"/>
        </w:rPr>
        <w:t>c</w:t>
      </w:r>
      <w:r w:rsidRPr="008A6088">
        <w:rPr>
          <w:lang w:val="fr-CA"/>
        </w:rPr>
        <w:t>anadien pour les minéraux et les métaux</w:t>
      </w:r>
      <w:r>
        <w:rPr>
          <w:lang w:val="fr-CA"/>
        </w:rPr>
        <w:t xml:space="preserve"> du GC</w:t>
      </w:r>
      <w:r w:rsidRPr="008A6088">
        <w:rPr>
          <w:lang w:val="fr-CA"/>
        </w:rPr>
        <w:t xml:space="preserve"> soutient plusieurs initiatives </w:t>
      </w:r>
      <w:r>
        <w:rPr>
          <w:lang w:val="fr-CA"/>
        </w:rPr>
        <w:t>visant</w:t>
      </w:r>
      <w:r w:rsidRPr="008A6088">
        <w:rPr>
          <w:lang w:val="fr-CA"/>
        </w:rPr>
        <w:t xml:space="preserve"> à </w:t>
      </w:r>
      <w:r>
        <w:rPr>
          <w:lang w:val="fr-CA"/>
        </w:rPr>
        <w:t>accroître la</w:t>
      </w:r>
      <w:r w:rsidRPr="008A6088">
        <w:rPr>
          <w:lang w:val="fr-CA"/>
        </w:rPr>
        <w:t xml:space="preserve"> participation des</w:t>
      </w:r>
      <w:r>
        <w:rPr>
          <w:lang w:val="fr-CA"/>
        </w:rPr>
        <w:t xml:space="preserve"> peuples</w:t>
      </w:r>
      <w:r w:rsidRPr="008A6088">
        <w:rPr>
          <w:lang w:val="fr-CA"/>
        </w:rPr>
        <w:t xml:space="preserve"> </w:t>
      </w:r>
      <w:r>
        <w:rPr>
          <w:lang w:val="fr-CA"/>
        </w:rPr>
        <w:t>a</w:t>
      </w:r>
      <w:r w:rsidRPr="008A6088">
        <w:rPr>
          <w:lang w:val="fr-CA"/>
        </w:rPr>
        <w:t>utochtones dans le secteur minier et à faire progresser la réconciliation économique.</w:t>
      </w:r>
      <w:bookmarkEnd w:id="259"/>
      <w:r w:rsidRPr="00A7517B">
        <w:rPr>
          <w:lang w:val="fr-CA"/>
        </w:rPr>
        <w:t xml:space="preserve"> </w:t>
      </w:r>
      <w:bookmarkStart w:id="260" w:name="lt_pId504"/>
      <w:r w:rsidRPr="00D13820">
        <w:rPr>
          <w:lang w:val="fr-CA"/>
        </w:rPr>
        <w:t xml:space="preserve">Des mesures </w:t>
      </w:r>
      <w:r>
        <w:rPr>
          <w:lang w:val="fr-CA"/>
        </w:rPr>
        <w:t xml:space="preserve">sont en place pour interdire le développement nuisible à l’environnement sur les </w:t>
      </w:r>
      <w:r w:rsidRPr="00D13820">
        <w:rPr>
          <w:lang w:val="fr-CA"/>
        </w:rPr>
        <w:t xml:space="preserve">territoires des </w:t>
      </w:r>
      <w:r>
        <w:rPr>
          <w:lang w:val="fr-CA"/>
        </w:rPr>
        <w:t>peuples a</w:t>
      </w:r>
      <w:r w:rsidRPr="00D13820">
        <w:rPr>
          <w:lang w:val="fr-CA"/>
        </w:rPr>
        <w:t xml:space="preserve">utochtones et permettre à ces derniers de réaliser des études indépendantes </w:t>
      </w:r>
      <w:r>
        <w:rPr>
          <w:lang w:val="fr-CA"/>
        </w:rPr>
        <w:t>d’impact environnemental</w:t>
      </w:r>
      <w:r w:rsidRPr="00D13820">
        <w:rPr>
          <w:lang w:val="fr-CA"/>
        </w:rPr>
        <w:t>.</w:t>
      </w:r>
      <w:bookmarkEnd w:id="260"/>
    </w:p>
    <w:p w14:paraId="57DC976B" w14:textId="77777777" w:rsidR="00C83F56" w:rsidRPr="00A7517B" w:rsidRDefault="00C83F56" w:rsidP="004F23C1">
      <w:pPr>
        <w:pStyle w:val="SingleTxtG"/>
        <w:numPr>
          <w:ilvl w:val="0"/>
          <w:numId w:val="4"/>
        </w:numPr>
        <w:ind w:left="1134" w:firstLine="0"/>
        <w:rPr>
          <w:lang w:val="fr-CA"/>
        </w:rPr>
      </w:pPr>
      <w:bookmarkStart w:id="261" w:name="lt_pId506"/>
      <w:r w:rsidRPr="0061350F">
        <w:rPr>
          <w:lang w:val="fr-CA"/>
        </w:rPr>
        <w:t xml:space="preserve">Le Programme d’aide financière aux participants du Nord </w:t>
      </w:r>
      <w:r>
        <w:rPr>
          <w:lang w:val="fr-CA"/>
        </w:rPr>
        <w:t xml:space="preserve">vise à favoriser </w:t>
      </w:r>
      <w:bookmarkStart w:id="262" w:name="lt_pId507"/>
      <w:bookmarkEnd w:id="261"/>
      <w:r w:rsidRPr="00225048">
        <w:rPr>
          <w:lang w:val="fr-CA"/>
        </w:rPr>
        <w:t>la participation</w:t>
      </w:r>
      <w:r>
        <w:rPr>
          <w:lang w:val="fr-CA"/>
        </w:rPr>
        <w:t xml:space="preserve"> réelle des peuples a</w:t>
      </w:r>
      <w:r w:rsidRPr="00225048">
        <w:rPr>
          <w:lang w:val="fr-CA"/>
        </w:rPr>
        <w:t>utochtones à la gouvernance environnementale liée aux projets d</w:t>
      </w:r>
      <w:r>
        <w:rPr>
          <w:lang w:val="fr-CA"/>
        </w:rPr>
        <w:t xml:space="preserve">e développement situés </w:t>
      </w:r>
      <w:r w:rsidRPr="00225048">
        <w:rPr>
          <w:lang w:val="fr-CA"/>
        </w:rPr>
        <w:t>sur leurs terres ou à proximité</w:t>
      </w:r>
      <w:r>
        <w:rPr>
          <w:lang w:val="fr-CA"/>
        </w:rPr>
        <w:t>. Il permet aux peuples autochtones et aux</w:t>
      </w:r>
      <w:r w:rsidRPr="00225048">
        <w:rPr>
          <w:lang w:val="fr-CA"/>
        </w:rPr>
        <w:t xml:space="preserve"> résidents du Nord </w:t>
      </w:r>
      <w:r>
        <w:rPr>
          <w:lang w:val="fr-CA"/>
        </w:rPr>
        <w:t xml:space="preserve">potentiellement touchés de </w:t>
      </w:r>
      <w:r w:rsidRPr="00225048">
        <w:rPr>
          <w:lang w:val="fr-CA"/>
        </w:rPr>
        <w:t>dispos</w:t>
      </w:r>
      <w:r>
        <w:rPr>
          <w:lang w:val="fr-CA"/>
        </w:rPr>
        <w:t>er</w:t>
      </w:r>
      <w:r w:rsidRPr="00225048">
        <w:rPr>
          <w:lang w:val="fr-CA"/>
        </w:rPr>
        <w:t xml:space="preserve"> des ressources financières nécessaires pour faire entendre leur voix et </w:t>
      </w:r>
      <w:r>
        <w:rPr>
          <w:lang w:val="fr-CA"/>
        </w:rPr>
        <w:t xml:space="preserve">exprimer </w:t>
      </w:r>
      <w:r w:rsidRPr="00225048">
        <w:rPr>
          <w:lang w:val="fr-CA"/>
        </w:rPr>
        <w:t>leur</w:t>
      </w:r>
      <w:r>
        <w:rPr>
          <w:lang w:val="fr-CA"/>
        </w:rPr>
        <w:t>s</w:t>
      </w:r>
      <w:r w:rsidRPr="00225048">
        <w:rPr>
          <w:lang w:val="fr-CA"/>
        </w:rPr>
        <w:t xml:space="preserve"> point</w:t>
      </w:r>
      <w:r>
        <w:rPr>
          <w:lang w:val="fr-CA"/>
        </w:rPr>
        <w:t>s</w:t>
      </w:r>
      <w:r w:rsidRPr="00225048">
        <w:rPr>
          <w:lang w:val="fr-CA"/>
        </w:rPr>
        <w:t xml:space="preserve"> de vue </w:t>
      </w:r>
      <w:r>
        <w:rPr>
          <w:lang w:val="fr-CA"/>
        </w:rPr>
        <w:t>dans le cadre</w:t>
      </w:r>
      <w:r w:rsidRPr="00225048">
        <w:rPr>
          <w:lang w:val="fr-CA"/>
        </w:rPr>
        <w:t xml:space="preserve"> des processus d’é</w:t>
      </w:r>
      <w:r>
        <w:rPr>
          <w:lang w:val="fr-CA"/>
        </w:rPr>
        <w:t>valuation d’impact</w:t>
      </w:r>
      <w:r w:rsidRPr="00225048">
        <w:rPr>
          <w:lang w:val="fr-CA"/>
        </w:rPr>
        <w:t>.</w:t>
      </w:r>
      <w:bookmarkEnd w:id="262"/>
    </w:p>
    <w:p w14:paraId="44A9BCF6" w14:textId="77777777" w:rsidR="00C83F56" w:rsidRPr="00A7517B" w:rsidRDefault="00C83F56" w:rsidP="004F23C1">
      <w:pPr>
        <w:pStyle w:val="SingleTxtG"/>
        <w:numPr>
          <w:ilvl w:val="0"/>
          <w:numId w:val="4"/>
        </w:numPr>
        <w:ind w:left="1134" w:firstLine="0"/>
        <w:rPr>
          <w:lang w:val="fr-CA"/>
        </w:rPr>
      </w:pPr>
      <w:bookmarkStart w:id="263" w:name="lt_pId508"/>
      <w:r w:rsidRPr="00B52DE4">
        <w:rPr>
          <w:lang w:val="fr-CA"/>
        </w:rPr>
        <w:t xml:space="preserve">La </w:t>
      </w:r>
      <w:r w:rsidRPr="00B52DE4">
        <w:rPr>
          <w:i/>
          <w:lang w:val="fr-CA"/>
        </w:rPr>
        <w:t>Loi sur les pêches</w:t>
      </w:r>
      <w:r w:rsidRPr="00B52DE4">
        <w:rPr>
          <w:lang w:val="fr-CA"/>
        </w:rPr>
        <w:t xml:space="preserve"> </w:t>
      </w:r>
      <w:r>
        <w:rPr>
          <w:lang w:val="fr-CA"/>
        </w:rPr>
        <w:t xml:space="preserve">(la Loi) </w:t>
      </w:r>
      <w:r w:rsidRPr="00B52DE4">
        <w:rPr>
          <w:lang w:val="fr-CA"/>
        </w:rPr>
        <w:t>constitue</w:t>
      </w:r>
      <w:r w:rsidRPr="00225048">
        <w:rPr>
          <w:lang w:val="fr-CA"/>
        </w:rPr>
        <w:t xml:space="preserve"> </w:t>
      </w:r>
      <w:r>
        <w:rPr>
          <w:lang w:val="fr-CA"/>
        </w:rPr>
        <w:t>le fondement</w:t>
      </w:r>
      <w:r w:rsidRPr="00225048">
        <w:rPr>
          <w:lang w:val="fr-CA"/>
        </w:rPr>
        <w:t xml:space="preserve"> juridique de la conservation et de la protection </w:t>
      </w:r>
      <w:r>
        <w:rPr>
          <w:lang w:val="fr-CA"/>
        </w:rPr>
        <w:t>du poisson</w:t>
      </w:r>
      <w:r w:rsidRPr="00225048">
        <w:rPr>
          <w:lang w:val="fr-CA"/>
        </w:rPr>
        <w:t xml:space="preserve"> et de </w:t>
      </w:r>
      <w:r>
        <w:rPr>
          <w:lang w:val="fr-CA"/>
        </w:rPr>
        <w:t xml:space="preserve">son </w:t>
      </w:r>
      <w:r w:rsidRPr="00225048">
        <w:rPr>
          <w:lang w:val="fr-CA"/>
        </w:rPr>
        <w:t>habitat.</w:t>
      </w:r>
      <w:bookmarkEnd w:id="263"/>
      <w:r w:rsidRPr="00A7517B">
        <w:rPr>
          <w:lang w:val="fr-CA"/>
        </w:rPr>
        <w:t xml:space="preserve"> </w:t>
      </w:r>
      <w:bookmarkStart w:id="264" w:name="lt_pId510"/>
      <w:r>
        <w:rPr>
          <w:lang w:val="fr-CA"/>
        </w:rPr>
        <w:t>Modernisée en 2019, l</w:t>
      </w:r>
      <w:r w:rsidRPr="0029502E">
        <w:rPr>
          <w:lang w:val="fr-CA"/>
        </w:rPr>
        <w:t xml:space="preserve">a </w:t>
      </w:r>
      <w:r w:rsidRPr="00D441AB">
        <w:rPr>
          <w:iCs/>
          <w:lang w:val="fr-CA"/>
        </w:rPr>
        <w:t>Loi</w:t>
      </w:r>
      <w:r>
        <w:rPr>
          <w:i/>
          <w:lang w:val="fr-CA"/>
        </w:rPr>
        <w:t xml:space="preserve"> </w:t>
      </w:r>
      <w:r>
        <w:rPr>
          <w:iCs/>
          <w:lang w:val="fr-CA"/>
        </w:rPr>
        <w:t>précise à</w:t>
      </w:r>
      <w:r w:rsidRPr="0029502E">
        <w:rPr>
          <w:lang w:val="fr-CA"/>
        </w:rPr>
        <w:t xml:space="preserve"> l</w:t>
      </w:r>
      <w:r>
        <w:rPr>
          <w:lang w:val="fr-CA"/>
        </w:rPr>
        <w:t>’</w:t>
      </w:r>
      <w:r w:rsidRPr="0029502E">
        <w:rPr>
          <w:lang w:val="fr-CA"/>
        </w:rPr>
        <w:t>article</w:t>
      </w:r>
      <w:r>
        <w:rPr>
          <w:lang w:val="fr-CA"/>
        </w:rPr>
        <w:t> </w:t>
      </w:r>
      <w:r w:rsidRPr="0029502E">
        <w:rPr>
          <w:lang w:val="fr-CA"/>
        </w:rPr>
        <w:t>2.4 que</w:t>
      </w:r>
      <w:r>
        <w:rPr>
          <w:lang w:val="fr-CA"/>
        </w:rPr>
        <w:t xml:space="preserve"> les</w:t>
      </w:r>
      <w:r w:rsidRPr="0029502E">
        <w:rPr>
          <w:lang w:val="fr-CA"/>
        </w:rPr>
        <w:t xml:space="preserve"> décisions </w:t>
      </w:r>
      <w:r>
        <w:rPr>
          <w:lang w:val="fr-CA"/>
        </w:rPr>
        <w:t xml:space="preserve">prises </w:t>
      </w:r>
      <w:r w:rsidRPr="0029502E">
        <w:rPr>
          <w:lang w:val="fr-CA"/>
        </w:rPr>
        <w:t xml:space="preserve">en vertu de la </w:t>
      </w:r>
      <w:r>
        <w:rPr>
          <w:lang w:val="fr-CA"/>
        </w:rPr>
        <w:t>L</w:t>
      </w:r>
      <w:r w:rsidRPr="0029502E">
        <w:rPr>
          <w:lang w:val="fr-CA"/>
        </w:rPr>
        <w:t>oi</w:t>
      </w:r>
      <w:r>
        <w:rPr>
          <w:lang w:val="fr-CA"/>
        </w:rPr>
        <w:t xml:space="preserve"> </w:t>
      </w:r>
      <w:r w:rsidRPr="0029502E">
        <w:rPr>
          <w:lang w:val="fr-CA"/>
        </w:rPr>
        <w:t>doi</w:t>
      </w:r>
      <w:r>
        <w:rPr>
          <w:lang w:val="fr-CA"/>
        </w:rPr>
        <w:t>vent</w:t>
      </w:r>
      <w:r w:rsidRPr="0029502E">
        <w:rPr>
          <w:lang w:val="fr-CA"/>
        </w:rPr>
        <w:t xml:space="preserve"> tenir compte de</w:t>
      </w:r>
      <w:r>
        <w:rPr>
          <w:lang w:val="fr-CA"/>
        </w:rPr>
        <w:t>s effets</w:t>
      </w:r>
      <w:r w:rsidRPr="0029502E">
        <w:rPr>
          <w:lang w:val="fr-CA"/>
        </w:rPr>
        <w:t xml:space="preserve"> </w:t>
      </w:r>
      <w:r>
        <w:rPr>
          <w:lang w:val="fr-CA"/>
        </w:rPr>
        <w:t>négatifs</w:t>
      </w:r>
      <w:r w:rsidRPr="0029502E">
        <w:rPr>
          <w:lang w:val="fr-CA"/>
        </w:rPr>
        <w:t xml:space="preserve"> </w:t>
      </w:r>
      <w:r>
        <w:rPr>
          <w:lang w:val="fr-CA"/>
        </w:rPr>
        <w:t>possibles</w:t>
      </w:r>
      <w:r w:rsidRPr="0029502E">
        <w:rPr>
          <w:lang w:val="fr-CA"/>
        </w:rPr>
        <w:t xml:space="preserve"> sur les droits des</w:t>
      </w:r>
      <w:r>
        <w:rPr>
          <w:lang w:val="fr-CA"/>
        </w:rPr>
        <w:t xml:space="preserve"> peuples</w:t>
      </w:r>
      <w:r w:rsidRPr="0029502E">
        <w:rPr>
          <w:lang w:val="fr-CA"/>
        </w:rPr>
        <w:t xml:space="preserve"> </w:t>
      </w:r>
      <w:r>
        <w:rPr>
          <w:lang w:val="fr-CA"/>
        </w:rPr>
        <w:t>a</w:t>
      </w:r>
      <w:r w:rsidRPr="0029502E">
        <w:rPr>
          <w:lang w:val="fr-CA"/>
        </w:rPr>
        <w:t>utochtones.</w:t>
      </w:r>
      <w:bookmarkEnd w:id="264"/>
      <w:r w:rsidRPr="00A7517B">
        <w:rPr>
          <w:lang w:val="fr-CA"/>
        </w:rPr>
        <w:t xml:space="preserve"> </w:t>
      </w:r>
      <w:bookmarkStart w:id="265" w:name="lt_pId511"/>
      <w:r>
        <w:rPr>
          <w:lang w:val="fr-CA"/>
        </w:rPr>
        <w:t>De plus, si une décision d’autorisation risque de porter atteinte aux droits ancestraux ou issus de traités, le GC consultera les groupes autochtones concernés et prendra des mesures d’accommodement.</w:t>
      </w:r>
      <w:bookmarkEnd w:id="265"/>
      <w:r w:rsidRPr="00A7517B">
        <w:rPr>
          <w:lang w:val="fr-CA"/>
        </w:rPr>
        <w:t xml:space="preserve"> </w:t>
      </w:r>
      <w:bookmarkStart w:id="266" w:name="lt_pId512"/>
      <w:r w:rsidRPr="00EA588F">
        <w:rPr>
          <w:lang w:val="fr-CA"/>
        </w:rPr>
        <w:t xml:space="preserve">La </w:t>
      </w:r>
      <w:r>
        <w:rPr>
          <w:lang w:val="fr-CA"/>
        </w:rPr>
        <w:t>L</w:t>
      </w:r>
      <w:r w:rsidRPr="00EA588F">
        <w:rPr>
          <w:lang w:val="fr-CA"/>
        </w:rPr>
        <w:t>oi exige également</w:t>
      </w:r>
      <w:r>
        <w:rPr>
          <w:lang w:val="fr-CA"/>
        </w:rPr>
        <w:t xml:space="preserve"> que</w:t>
      </w:r>
      <w:r w:rsidRPr="00EA588F">
        <w:rPr>
          <w:lang w:val="fr-CA"/>
        </w:rPr>
        <w:t xml:space="preserve"> </w:t>
      </w:r>
      <w:r>
        <w:rPr>
          <w:lang w:val="fr-CA"/>
        </w:rPr>
        <w:t>l</w:t>
      </w:r>
      <w:r w:rsidRPr="00EA588F">
        <w:rPr>
          <w:lang w:val="fr-CA"/>
        </w:rPr>
        <w:t xml:space="preserve">es connaissances autochtones fournies au ministre </w:t>
      </w:r>
      <w:r>
        <w:rPr>
          <w:lang w:val="fr-CA"/>
        </w:rPr>
        <w:t xml:space="preserve">soient prises en compte </w:t>
      </w:r>
      <w:r w:rsidRPr="00EA588F">
        <w:rPr>
          <w:lang w:val="fr-CA"/>
        </w:rPr>
        <w:t xml:space="preserve">pour certaines décisions, et prévoit </w:t>
      </w:r>
      <w:r>
        <w:rPr>
          <w:lang w:val="fr-CA"/>
        </w:rPr>
        <w:t>leur</w:t>
      </w:r>
      <w:r w:rsidRPr="00EA588F">
        <w:rPr>
          <w:lang w:val="fr-CA"/>
        </w:rPr>
        <w:t xml:space="preserve"> protection</w:t>
      </w:r>
      <w:r>
        <w:rPr>
          <w:lang w:val="fr-CA"/>
        </w:rPr>
        <w:t xml:space="preserve"> lorsqu’elles sont transmises de manière</w:t>
      </w:r>
      <w:r w:rsidRPr="00EA588F">
        <w:rPr>
          <w:lang w:val="fr-CA"/>
        </w:rPr>
        <w:t xml:space="preserve"> confidentiel</w:t>
      </w:r>
      <w:r>
        <w:rPr>
          <w:lang w:val="fr-CA"/>
        </w:rPr>
        <w:t>le</w:t>
      </w:r>
      <w:r w:rsidRPr="00EA588F">
        <w:rPr>
          <w:lang w:val="fr-CA"/>
        </w:rPr>
        <w:t>.</w:t>
      </w:r>
      <w:bookmarkEnd w:id="266"/>
      <w:r w:rsidRPr="00A7517B">
        <w:rPr>
          <w:lang w:val="fr-CA"/>
        </w:rPr>
        <w:t xml:space="preserve"> </w:t>
      </w:r>
    </w:p>
    <w:p w14:paraId="3EC30215" w14:textId="77777777" w:rsidR="00C83F56" w:rsidRPr="00A7517B" w:rsidRDefault="00C83F56" w:rsidP="004F23C1">
      <w:pPr>
        <w:pStyle w:val="SingleTxtG"/>
        <w:numPr>
          <w:ilvl w:val="0"/>
          <w:numId w:val="4"/>
        </w:numPr>
        <w:ind w:left="1134" w:firstLine="0"/>
        <w:rPr>
          <w:lang w:val="fr-CA"/>
        </w:rPr>
      </w:pPr>
      <w:bookmarkStart w:id="267" w:name="lt_pId513"/>
      <w:r w:rsidRPr="51A13573">
        <w:rPr>
          <w:lang w:val="fr-CA"/>
        </w:rPr>
        <w:t xml:space="preserve">Le Programme pour la participation autochtone sur les habitats est un programme de financement qui </w:t>
      </w:r>
      <w:r>
        <w:rPr>
          <w:lang w:val="fr-CA"/>
        </w:rPr>
        <w:t>permet aux peuples</w:t>
      </w:r>
      <w:r w:rsidRPr="51A13573">
        <w:rPr>
          <w:lang w:val="fr-CA"/>
        </w:rPr>
        <w:t xml:space="preserve"> autochtones de participer à la conservation et à la protection du poisson et de son habitat.</w:t>
      </w:r>
      <w:bookmarkEnd w:id="267"/>
      <w:r w:rsidRPr="51A13573">
        <w:rPr>
          <w:lang w:val="fr-CA"/>
        </w:rPr>
        <w:t xml:space="preserve"> </w:t>
      </w:r>
      <w:bookmarkStart w:id="268" w:name="lt_pId514"/>
      <w:r>
        <w:rPr>
          <w:lang w:val="fr-CA"/>
        </w:rPr>
        <w:t>L</w:t>
      </w:r>
      <w:r w:rsidRPr="51A13573">
        <w:rPr>
          <w:lang w:val="fr-CA"/>
        </w:rPr>
        <w:t xml:space="preserve">e programme </w:t>
      </w:r>
      <w:r>
        <w:rPr>
          <w:lang w:val="fr-CA"/>
        </w:rPr>
        <w:t xml:space="preserve">offre un soutien pour prendre part à des activités de consultation et de mobilisation liées aux politiques, programmes et mesures réglementaires (comme les autorisations et permis), ainsi qu’à des activités collaboratives comment la planification intégrée, le suivi, la collecte de données et l’établissement de </w:t>
      </w:r>
      <w:r w:rsidRPr="51A13573">
        <w:rPr>
          <w:lang w:val="fr-CA"/>
        </w:rPr>
        <w:t>priorités en matière de conservation</w:t>
      </w:r>
      <w:r>
        <w:rPr>
          <w:lang w:val="fr-CA"/>
        </w:rPr>
        <w:t xml:space="preserve">, et </w:t>
      </w:r>
      <w:bookmarkStart w:id="269" w:name="lt_pId515"/>
      <w:bookmarkEnd w:id="268"/>
      <w:r>
        <w:rPr>
          <w:lang w:val="fr-CA"/>
        </w:rPr>
        <w:t>le renforcement des capacités.</w:t>
      </w:r>
      <w:bookmarkEnd w:id="269"/>
    </w:p>
    <w:p w14:paraId="5A33BBDD" w14:textId="77777777" w:rsidR="00C83F56" w:rsidRPr="00A7517B" w:rsidRDefault="00C83F56" w:rsidP="004F23C1">
      <w:pPr>
        <w:pStyle w:val="SingleTxtG"/>
        <w:numPr>
          <w:ilvl w:val="0"/>
          <w:numId w:val="4"/>
        </w:numPr>
        <w:ind w:left="1134" w:firstLine="0"/>
        <w:rPr>
          <w:lang w:val="fr-CA"/>
        </w:rPr>
      </w:pPr>
      <w:bookmarkStart w:id="270" w:name="lt_pId516"/>
      <w:r>
        <w:rPr>
          <w:lang w:val="fr-CA"/>
        </w:rPr>
        <w:t>Le GC joue un rôle clé dans l’évaluation des répercussions des grands projets d’aménagement et d’infrastructure en collaborant avec les Premières Nations et en les aidant à entreprendre les examens environnementaux des projets dans les réserves.</w:t>
      </w:r>
      <w:bookmarkEnd w:id="270"/>
      <w:r w:rsidRPr="00A7517B">
        <w:rPr>
          <w:lang w:val="fr-CA"/>
        </w:rPr>
        <w:t xml:space="preserve"> </w:t>
      </w:r>
      <w:bookmarkStart w:id="271" w:name="lt_pId517"/>
      <w:r w:rsidRPr="007D2525">
        <w:rPr>
          <w:lang w:val="fr-CA"/>
        </w:rPr>
        <w:t>Il fournit aussi un soutien et des conseils spécialisés à l</w:t>
      </w:r>
      <w:r>
        <w:rPr>
          <w:lang w:val="fr-CA"/>
        </w:rPr>
        <w:t>’</w:t>
      </w:r>
      <w:r w:rsidRPr="007D2525">
        <w:rPr>
          <w:lang w:val="fr-CA"/>
        </w:rPr>
        <w:t>Agence d</w:t>
      </w:r>
      <w:r>
        <w:rPr>
          <w:lang w:val="fr-CA"/>
        </w:rPr>
        <w:t>’</w:t>
      </w:r>
      <w:r w:rsidRPr="007D2525">
        <w:rPr>
          <w:lang w:val="fr-CA"/>
        </w:rPr>
        <w:t>évaluation d</w:t>
      </w:r>
      <w:r>
        <w:rPr>
          <w:lang w:val="fr-CA"/>
        </w:rPr>
        <w:t>’</w:t>
      </w:r>
      <w:r w:rsidRPr="007D2525">
        <w:rPr>
          <w:lang w:val="fr-CA"/>
        </w:rPr>
        <w:t>impact du Canada et à d</w:t>
      </w:r>
      <w:r>
        <w:rPr>
          <w:lang w:val="fr-CA"/>
        </w:rPr>
        <w:t>’</w:t>
      </w:r>
      <w:r w:rsidRPr="007D2525">
        <w:rPr>
          <w:lang w:val="fr-CA"/>
        </w:rPr>
        <w:t>autres autorités fédérales pour les projets désignés comme faisant l</w:t>
      </w:r>
      <w:r>
        <w:rPr>
          <w:lang w:val="fr-CA"/>
        </w:rPr>
        <w:t>’</w:t>
      </w:r>
      <w:r w:rsidRPr="007D2525">
        <w:rPr>
          <w:lang w:val="fr-CA"/>
        </w:rPr>
        <w:t>objet d</w:t>
      </w:r>
      <w:r>
        <w:rPr>
          <w:lang w:val="fr-CA"/>
        </w:rPr>
        <w:t>’</w:t>
      </w:r>
      <w:r w:rsidRPr="007D2525">
        <w:rPr>
          <w:lang w:val="fr-CA"/>
        </w:rPr>
        <w:t>une évaluation des répercussions et étant susceptibles d</w:t>
      </w:r>
      <w:r>
        <w:rPr>
          <w:lang w:val="fr-CA"/>
        </w:rPr>
        <w:t>’</w:t>
      </w:r>
      <w:r w:rsidRPr="007D2525">
        <w:rPr>
          <w:lang w:val="fr-CA"/>
        </w:rPr>
        <w:t>entraîner des répercussions sur les communautés autochtones.</w:t>
      </w:r>
      <w:bookmarkEnd w:id="271"/>
    </w:p>
    <w:p w14:paraId="0DBAFE21" w14:textId="77777777" w:rsidR="00C83F56" w:rsidRPr="00A7517B" w:rsidRDefault="00C83F56" w:rsidP="004F23C1">
      <w:pPr>
        <w:pStyle w:val="SingleTxtG"/>
        <w:numPr>
          <w:ilvl w:val="0"/>
          <w:numId w:val="4"/>
        </w:numPr>
        <w:ind w:left="1134" w:firstLine="0"/>
        <w:rPr>
          <w:lang w:val="fr-CA"/>
        </w:rPr>
      </w:pPr>
      <w:bookmarkStart w:id="272" w:name="lt_pId518"/>
      <w:r>
        <w:rPr>
          <w:lang w:val="fr-CA"/>
        </w:rPr>
        <w:t>Terre-Neuve-et-Labrador examine toutes les demandes visant les terres de la Couronne, les demandes d’exploration minérale, les permis d’exploitation de carrières, les enregistrements d’évaluation environnementale et les demandes de permis d’évaluation environnementale postérieure afin de veiller à ce que l’on mène les consultations appropriées auprès des populations autochtones.</w:t>
      </w:r>
      <w:bookmarkEnd w:id="272"/>
      <w:r w:rsidRPr="00A7517B">
        <w:rPr>
          <w:lang w:val="fr-CA"/>
        </w:rPr>
        <w:t xml:space="preserve"> </w:t>
      </w:r>
      <w:bookmarkStart w:id="273" w:name="lt_pId519"/>
      <w:r>
        <w:rPr>
          <w:lang w:val="fr-CA"/>
        </w:rPr>
        <w:t>Des conseils sont également prodigués concernant les politiques gouvernementales de gestion des ressources, en veillant à ce que les droits des Autochtones soient pris en compte.</w:t>
      </w:r>
      <w:bookmarkEnd w:id="273"/>
      <w:r w:rsidRPr="00A7517B">
        <w:rPr>
          <w:lang w:val="fr-CA"/>
        </w:rPr>
        <w:t xml:space="preserve"> </w:t>
      </w:r>
    </w:p>
    <w:p w14:paraId="59B40098" w14:textId="77777777" w:rsidR="00C83F56" w:rsidRPr="00A7517B" w:rsidRDefault="00C83F56" w:rsidP="004F23C1">
      <w:pPr>
        <w:pStyle w:val="SingleTxtG"/>
        <w:numPr>
          <w:ilvl w:val="0"/>
          <w:numId w:val="4"/>
        </w:numPr>
        <w:ind w:left="1134" w:firstLine="0"/>
        <w:rPr>
          <w:lang w:val="fr-CA"/>
        </w:rPr>
      </w:pPr>
      <w:bookmarkStart w:id="274" w:name="lt_pId520"/>
      <w:r>
        <w:rPr>
          <w:lang w:val="fr-CA"/>
        </w:rPr>
        <w:t>La Colombie-Britannique élabore et met en œuvre un large éventail de programmes, de politiques et de procédures qui répondent à des intérêts qui visent à favoriser la réconciliation, à promouvoir la prise de décisions partagée et à créer des avantages durables pour tous les Britanno-Colombiens.</w:t>
      </w:r>
      <w:bookmarkEnd w:id="274"/>
      <w:r w:rsidRPr="00A7517B">
        <w:rPr>
          <w:lang w:val="fr-CA"/>
        </w:rPr>
        <w:t xml:space="preserve"> </w:t>
      </w:r>
      <w:bookmarkStart w:id="275" w:name="lt_pId521"/>
      <w:r>
        <w:rPr>
          <w:lang w:val="fr-CA"/>
        </w:rPr>
        <w:t>Une série de consultations, d’activités de mobilisation et de partenariats sont menés actuellement avec les nations autochtones afin d’assurer une gestion concertée de l’environnement.</w:t>
      </w:r>
      <w:bookmarkEnd w:id="275"/>
    </w:p>
    <w:p w14:paraId="6987A16E" w14:textId="77777777" w:rsidR="00C83F56" w:rsidRPr="00A7517B" w:rsidRDefault="00C83F56" w:rsidP="004F23C1">
      <w:pPr>
        <w:pStyle w:val="SingleTxtG"/>
        <w:numPr>
          <w:ilvl w:val="0"/>
          <w:numId w:val="4"/>
        </w:numPr>
        <w:ind w:left="1134" w:firstLine="0"/>
        <w:rPr>
          <w:lang w:val="fr-CA"/>
        </w:rPr>
      </w:pPr>
      <w:bookmarkStart w:id="276" w:name="lt_pId522"/>
      <w:r>
        <w:rPr>
          <w:lang w:val="fr-CA"/>
        </w:rPr>
        <w:t>Le GC collabore également avec les organisations et les communautés des Premières Nations pour mettre en place une approche en plusieurs étapes qui visent à combler les lacunes en matière de protection de l’environnement dans les réserves.</w:t>
      </w:r>
      <w:bookmarkEnd w:id="276"/>
      <w:r w:rsidRPr="00A7517B">
        <w:rPr>
          <w:lang w:val="fr-CA"/>
        </w:rPr>
        <w:t xml:space="preserve"> </w:t>
      </w:r>
      <w:bookmarkStart w:id="277" w:name="lt_pId523"/>
      <w:r>
        <w:rPr>
          <w:lang w:val="fr-CA"/>
        </w:rPr>
        <w:t>L’objectif de cette initiative est de reconnaître le pouvoir législatif des Premières Nations et les mesures connexes de renforcement des capacités pour élaborer, contrôler et appliquer les mesures de protection de l’environnement dans les réserves.</w:t>
      </w:r>
      <w:bookmarkEnd w:id="277"/>
    </w:p>
    <w:p w14:paraId="1348ED7A" w14:textId="77777777" w:rsidR="00C83F56" w:rsidRPr="00A7517B" w:rsidRDefault="00C83F56" w:rsidP="004F23C1">
      <w:pPr>
        <w:pStyle w:val="SingleTxtG"/>
        <w:numPr>
          <w:ilvl w:val="0"/>
          <w:numId w:val="4"/>
        </w:numPr>
        <w:ind w:left="1134" w:firstLine="0"/>
        <w:rPr>
          <w:lang w:val="fr-CA"/>
        </w:rPr>
      </w:pPr>
      <w:r>
        <w:rPr>
          <w:lang w:val="fr-CA"/>
        </w:rPr>
        <w:t xml:space="preserve"> </w:t>
      </w:r>
      <w:r w:rsidRPr="00BD6F4D">
        <w:rPr>
          <w:lang w:val="fr-CA"/>
        </w:rPr>
        <w:t xml:space="preserve">Le </w:t>
      </w:r>
      <w:r>
        <w:rPr>
          <w:lang w:val="fr-CA"/>
        </w:rPr>
        <w:t>GC</w:t>
      </w:r>
      <w:r w:rsidRPr="00BD6F4D">
        <w:rPr>
          <w:lang w:val="fr-CA"/>
        </w:rPr>
        <w:t xml:space="preserve"> soutient l’élaboration conjointe de programmes de leadership autochtone en matière de climat financés par le gouvernement fédéral et a mis en place une stratégie interne visant à renforcer la résilience climatique et à appuyer l’action climatique dans les communautés autochtones. SAC administre également plusieurs programmes environnementaux, dont le Programme des sites contaminés dans les réserves, qui offre un soutien financier pour l’évaluation et l’assainissement des sites contaminés sur les terres de réserve.</w:t>
      </w:r>
    </w:p>
    <w:p w14:paraId="6FCB261A" w14:textId="05AF26E5" w:rsidR="00C83F56" w:rsidRPr="00A7517B" w:rsidRDefault="00B97E48" w:rsidP="00B97E48">
      <w:pPr>
        <w:pStyle w:val="H1G"/>
        <w:rPr>
          <w:lang w:val="fr-CA"/>
        </w:rPr>
      </w:pPr>
      <w:bookmarkStart w:id="278" w:name="lt_pId526"/>
      <w:bookmarkStart w:id="279" w:name="_Toc177633129"/>
      <w:r>
        <w:rPr>
          <w:lang w:val="fr-CA"/>
        </w:rPr>
        <w:tab/>
      </w:r>
      <w:r>
        <w:rPr>
          <w:lang w:val="fr-CA"/>
        </w:rPr>
        <w:tab/>
      </w:r>
      <w:r w:rsidR="00C83F56" w:rsidRPr="009F5944">
        <w:rPr>
          <w:lang w:val="fr-CA"/>
        </w:rPr>
        <w:t>Communications du CE</w:t>
      </w:r>
      <w:r w:rsidR="00C83F56">
        <w:rPr>
          <w:lang w:val="fr-CA"/>
        </w:rPr>
        <w:t>D</w:t>
      </w:r>
      <w:r w:rsidR="00C83F56" w:rsidRPr="009F5944">
        <w:rPr>
          <w:lang w:val="fr-CA"/>
        </w:rPr>
        <w:t xml:space="preserve">R </w:t>
      </w:r>
      <w:bookmarkStart w:id="280" w:name="_Hlk202362307"/>
      <w:r w:rsidR="00C83F56" w:rsidRPr="009F5944">
        <w:rPr>
          <w:lang w:val="fr-CA"/>
        </w:rPr>
        <w:t>dans le cadre de ses procédures d’alerte rapide et de mesures d’urgence</w:t>
      </w:r>
      <w:bookmarkEnd w:id="278"/>
    </w:p>
    <w:p w14:paraId="5F81A9E8" w14:textId="77777777" w:rsidR="00C83F56" w:rsidRPr="003119DA" w:rsidRDefault="00C83F56" w:rsidP="004F23C1">
      <w:pPr>
        <w:pStyle w:val="SingleTxtG"/>
        <w:numPr>
          <w:ilvl w:val="0"/>
          <w:numId w:val="4"/>
        </w:numPr>
        <w:ind w:left="1134" w:firstLine="0"/>
        <w:rPr>
          <w:rFonts w:eastAsia="Calibri"/>
          <w:lang w:val="fr-CA"/>
        </w:rPr>
      </w:pPr>
      <w:bookmarkStart w:id="281" w:name="lt_pId527"/>
      <w:bookmarkEnd w:id="279"/>
      <w:bookmarkEnd w:id="280"/>
      <w:r w:rsidRPr="00D96495">
        <w:rPr>
          <w:rFonts w:eastAsia="Calibri"/>
          <w:lang w:val="fr-CA"/>
        </w:rPr>
        <w:t>Bien qu’État partie</w:t>
      </w:r>
      <w:r>
        <w:rPr>
          <w:rFonts w:eastAsia="Calibri"/>
          <w:lang w:val="fr-CA"/>
        </w:rPr>
        <w:t xml:space="preserve"> à la Convention</w:t>
      </w:r>
      <w:r w:rsidRPr="00D96495">
        <w:rPr>
          <w:rFonts w:eastAsia="Calibri"/>
          <w:lang w:val="fr-CA"/>
        </w:rPr>
        <w:t xml:space="preserve">, le </w:t>
      </w:r>
      <w:r>
        <w:rPr>
          <w:rFonts w:eastAsia="Calibri"/>
          <w:lang w:val="fr-CA"/>
        </w:rPr>
        <w:t>Canada</w:t>
      </w:r>
      <w:r w:rsidRPr="00D96495">
        <w:rPr>
          <w:rFonts w:eastAsia="Calibri"/>
          <w:lang w:val="fr-CA"/>
        </w:rPr>
        <w:t xml:space="preserve"> n’a pas fait de déclaration en vertu de l’article 14 et ne reconnaît pas la compétence du Comité </w:t>
      </w:r>
      <w:r>
        <w:rPr>
          <w:rFonts w:eastAsia="Calibri"/>
          <w:lang w:val="fr-CA"/>
        </w:rPr>
        <w:t>pour</w:t>
      </w:r>
      <w:r w:rsidRPr="00D96495">
        <w:rPr>
          <w:rFonts w:eastAsia="Calibri"/>
          <w:lang w:val="fr-CA"/>
        </w:rPr>
        <w:t xml:space="preserve"> recevoir ou examiner </w:t>
      </w:r>
      <w:r>
        <w:rPr>
          <w:rFonts w:eastAsia="Calibri"/>
          <w:lang w:val="fr-CA"/>
        </w:rPr>
        <w:t>d</w:t>
      </w:r>
      <w:r w:rsidRPr="00D96495">
        <w:rPr>
          <w:rFonts w:eastAsia="Calibri"/>
          <w:lang w:val="fr-CA"/>
        </w:rPr>
        <w:t>es plaintes</w:t>
      </w:r>
      <w:r>
        <w:rPr>
          <w:rFonts w:eastAsia="Calibri"/>
          <w:lang w:val="fr-CA"/>
        </w:rPr>
        <w:t xml:space="preserve"> présentées par</w:t>
      </w:r>
      <w:r w:rsidRPr="00D96495">
        <w:rPr>
          <w:rFonts w:eastAsia="Calibri"/>
          <w:lang w:val="fr-CA"/>
        </w:rPr>
        <w:t xml:space="preserve"> de</w:t>
      </w:r>
      <w:r>
        <w:rPr>
          <w:rFonts w:eastAsia="Calibri"/>
          <w:lang w:val="fr-CA"/>
        </w:rPr>
        <w:t>s</w:t>
      </w:r>
      <w:r w:rsidRPr="00D96495">
        <w:rPr>
          <w:rFonts w:eastAsia="Calibri"/>
          <w:lang w:val="fr-CA"/>
        </w:rPr>
        <w:t xml:space="preserve"> personnes ou de</w:t>
      </w:r>
      <w:r>
        <w:rPr>
          <w:rFonts w:eastAsia="Calibri"/>
          <w:lang w:val="fr-CA"/>
        </w:rPr>
        <w:t>s</w:t>
      </w:r>
      <w:r w:rsidRPr="00D96495">
        <w:rPr>
          <w:rFonts w:eastAsia="Calibri"/>
          <w:lang w:val="fr-CA"/>
        </w:rPr>
        <w:t xml:space="preserve"> groupes de personnes.</w:t>
      </w:r>
      <w:bookmarkEnd w:id="281"/>
      <w:r>
        <w:rPr>
          <w:rFonts w:eastAsia="Calibri"/>
          <w:lang w:val="fr-CA"/>
        </w:rPr>
        <w:t xml:space="preserve"> Toutefois, le Canada </w:t>
      </w:r>
      <w:bookmarkStart w:id="282" w:name="lt_pId528"/>
      <w:r w:rsidRPr="003119DA">
        <w:rPr>
          <w:rFonts w:eastAsia="Calibri"/>
          <w:lang w:val="fr-CA"/>
        </w:rPr>
        <w:t>continue de répondre de bonne foi aux communications du Comité</w:t>
      </w:r>
      <w:r>
        <w:rPr>
          <w:rFonts w:eastAsia="Calibri"/>
          <w:lang w:val="fr-CA"/>
        </w:rPr>
        <w:t xml:space="preserve"> d</w:t>
      </w:r>
      <w:r w:rsidRPr="00297AAD">
        <w:rPr>
          <w:rFonts w:eastAsia="Calibri"/>
          <w:lang w:val="fr-CA"/>
        </w:rPr>
        <w:t>ans le cadre des rapports périodiques.</w:t>
      </w:r>
      <w:bookmarkEnd w:id="282"/>
    </w:p>
    <w:p w14:paraId="0C6009DE" w14:textId="1734F8E8" w:rsidR="00C83F56" w:rsidRPr="00A7517B" w:rsidRDefault="00B97E48" w:rsidP="00391194">
      <w:pPr>
        <w:pStyle w:val="H23G"/>
        <w:rPr>
          <w:lang w:val="fr-CA"/>
        </w:rPr>
      </w:pPr>
      <w:bookmarkStart w:id="283" w:name="lt_pId529"/>
      <w:r>
        <w:rPr>
          <w:lang w:val="fr-CA"/>
        </w:rPr>
        <w:tab/>
      </w:r>
      <w:r>
        <w:rPr>
          <w:lang w:val="fr-CA"/>
        </w:rPr>
        <w:tab/>
      </w:r>
      <w:r w:rsidR="00C83F56">
        <w:rPr>
          <w:lang w:val="fr-CA"/>
        </w:rPr>
        <w:t xml:space="preserve">Réseau d’oléoducs de </w:t>
      </w:r>
      <w:r w:rsidR="00C83F56" w:rsidRPr="51A13573">
        <w:rPr>
          <w:lang w:val="fr-CA"/>
        </w:rPr>
        <w:t>Trans Mountain</w:t>
      </w:r>
      <w:bookmarkEnd w:id="283"/>
    </w:p>
    <w:p w14:paraId="5B67424B" w14:textId="77777777" w:rsidR="00C83F56" w:rsidRDefault="00C83F56" w:rsidP="004F23C1">
      <w:pPr>
        <w:pStyle w:val="SingleTxtG"/>
        <w:numPr>
          <w:ilvl w:val="0"/>
          <w:numId w:val="4"/>
        </w:numPr>
        <w:ind w:left="1134" w:firstLine="0"/>
        <w:rPr>
          <w:lang w:val="fr-CA"/>
        </w:rPr>
      </w:pPr>
      <w:r w:rsidRPr="00EF3C46">
        <w:rPr>
          <w:lang w:val="fr-CA"/>
        </w:rPr>
        <w:t>Une réponse à la communication du CE</w:t>
      </w:r>
      <w:r>
        <w:rPr>
          <w:lang w:val="fr-CA"/>
        </w:rPr>
        <w:t>DR</w:t>
      </w:r>
      <w:r w:rsidRPr="00EF3C46">
        <w:rPr>
          <w:lang w:val="fr-CA"/>
        </w:rPr>
        <w:t xml:space="preserve"> dans le cadre de ses procédures d’alerte rapide et de mesures d’urgence</w:t>
      </w:r>
      <w:r>
        <w:rPr>
          <w:lang w:val="fr-CA"/>
        </w:rPr>
        <w:t xml:space="preserve">, </w:t>
      </w:r>
      <w:r w:rsidRPr="00EF3C46">
        <w:rPr>
          <w:lang w:val="fr-CA"/>
        </w:rPr>
        <w:t>reçue par le Canada le 29 avril 2022, a été soumise le 7 novembre 2023.</w:t>
      </w:r>
    </w:p>
    <w:p w14:paraId="23671D60" w14:textId="77777777" w:rsidR="00C83F56" w:rsidRDefault="00C83F56" w:rsidP="004F23C1">
      <w:pPr>
        <w:pStyle w:val="SingleTxtG"/>
        <w:numPr>
          <w:ilvl w:val="0"/>
          <w:numId w:val="4"/>
        </w:numPr>
        <w:ind w:left="1134" w:firstLine="0"/>
        <w:rPr>
          <w:lang w:val="fr-CA"/>
        </w:rPr>
      </w:pPr>
      <w:r w:rsidRPr="00F80A0B">
        <w:rPr>
          <w:lang w:val="fr-CA"/>
        </w:rPr>
        <w:t>En réponse aux consultations sur la phase III du projet d’agrandissement du réseau de Trans Mountain (TMX), le GC a mis en place diverses mesures d’accommodement et recommandations pour soutenir sa construction et son exploitation. Parmi celles-ci figure le Comité consultatif et de surveillance autochtone (CCSA-TMX), créé en 2017 pour assurer une surveillance conjointe fédérale-autochtone tout au long du cycle de vie du projet. Financé par le GC, ce comité illustre l’engagement du gouvernement à renforcer ses relations avec les peuples autochtones et à garantir une exploitation responsable des ressources naturelles. Les peuples autochtones y jouent un rôle actif en prodiguant des conseils et en assurant la surveillance des aspects environnementaux, de la sécurité, des enjeux sociaux et économiques, ainsi que de l’avancement des travaux de Trans Mountain</w:t>
      </w:r>
      <w:r w:rsidRPr="51A13573">
        <w:rPr>
          <w:lang w:val="fr-CA"/>
        </w:rPr>
        <w:t>.</w:t>
      </w:r>
    </w:p>
    <w:p w14:paraId="45DEB574" w14:textId="77777777" w:rsidR="00C83F56" w:rsidRPr="000A5C0F" w:rsidRDefault="00C83F56" w:rsidP="004F23C1">
      <w:pPr>
        <w:pStyle w:val="SingleTxtG"/>
        <w:numPr>
          <w:ilvl w:val="0"/>
          <w:numId w:val="4"/>
        </w:numPr>
        <w:ind w:left="1134" w:firstLine="0"/>
        <w:rPr>
          <w:lang w:val="fr-CA"/>
        </w:rPr>
      </w:pPr>
      <w:bookmarkStart w:id="284" w:name="lt_pId533"/>
      <w:r w:rsidRPr="51A13573">
        <w:rPr>
          <w:lang w:val="fr-CA"/>
        </w:rPr>
        <w:t xml:space="preserve">Depuis que le projet TMX a été approuvé en 2019, le Canada a continué à s’entretenir directement avec les groupes autochtones pour discuter des incidences potentielles des autorisations réglementaires sur les droits ancestraux et issus de traités, </w:t>
      </w:r>
      <w:r>
        <w:rPr>
          <w:lang w:val="fr-CA"/>
        </w:rPr>
        <w:t>et</w:t>
      </w:r>
      <w:r w:rsidRPr="51A13573">
        <w:rPr>
          <w:lang w:val="fr-CA"/>
        </w:rPr>
        <w:t xml:space="preserve"> d’autres questions liées au projet TMX.</w:t>
      </w:r>
      <w:bookmarkEnd w:id="284"/>
      <w:r w:rsidRPr="51A13573">
        <w:rPr>
          <w:lang w:val="fr-CA"/>
        </w:rPr>
        <w:t xml:space="preserve"> </w:t>
      </w:r>
    </w:p>
    <w:p w14:paraId="0BE40B38" w14:textId="77777777" w:rsidR="00C83F56" w:rsidRDefault="00C83F56" w:rsidP="004F23C1">
      <w:pPr>
        <w:pStyle w:val="SingleTxtG"/>
        <w:numPr>
          <w:ilvl w:val="0"/>
          <w:numId w:val="4"/>
        </w:numPr>
        <w:ind w:left="1134" w:firstLine="0"/>
        <w:rPr>
          <w:lang w:val="fr-CA"/>
        </w:rPr>
      </w:pPr>
      <w:r w:rsidRPr="51A13573">
        <w:rPr>
          <w:lang w:val="fr-CA"/>
        </w:rPr>
        <w:t xml:space="preserve">Le </w:t>
      </w:r>
      <w:r>
        <w:rPr>
          <w:lang w:val="fr-CA"/>
        </w:rPr>
        <w:t>GC</w:t>
      </w:r>
      <w:r w:rsidRPr="51A13573">
        <w:rPr>
          <w:lang w:val="fr-CA"/>
        </w:rPr>
        <w:t xml:space="preserve"> a également travaillé en collaboration avec les groupes autochtones susceptibles d'être touchés afin d'élaborer et de mettre en œuvre huit mesures d'accommodement qui tiennent compte des intérêts autochtones à l'égard des répercussions potentielles du projet TMX. En date de</w:t>
      </w:r>
      <w:r>
        <w:rPr>
          <w:lang w:val="fr-CA"/>
        </w:rPr>
        <w:t xml:space="preserve"> </w:t>
      </w:r>
      <w:r w:rsidRPr="51A13573">
        <w:rPr>
          <w:lang w:val="fr-CA"/>
        </w:rPr>
        <w:t>2022, plus de 135 millions de dollars ont été alloués à 126 groupes autochtones de la Colombie-Britannique et de l'Alberta par le biais de ces mesures pour soutenir des projets, des études et d'autres initiatives dirigées par des Autochtones dans des domaines tels que les effets cumulatifs, la sécurité maritime et la restauration de l'habitat aquatique.</w:t>
      </w:r>
    </w:p>
    <w:p w14:paraId="468F2249" w14:textId="32CAFE3A" w:rsidR="00C83F56" w:rsidRDefault="00B97E48" w:rsidP="00391194">
      <w:pPr>
        <w:pStyle w:val="H23G"/>
        <w:rPr>
          <w:lang w:val="fr-CA"/>
        </w:rPr>
      </w:pPr>
      <w:bookmarkStart w:id="285" w:name="lt_pId536"/>
      <w:r>
        <w:rPr>
          <w:lang w:val="fr-CA"/>
        </w:rPr>
        <w:tab/>
      </w:r>
      <w:r>
        <w:rPr>
          <w:lang w:val="fr-CA"/>
        </w:rPr>
        <w:tab/>
      </w:r>
      <w:r w:rsidR="00C83F56">
        <w:rPr>
          <w:lang w:val="fr-CA"/>
        </w:rPr>
        <w:t xml:space="preserve">Gazoduc Coastal </w:t>
      </w:r>
      <w:proofErr w:type="spellStart"/>
      <w:r w:rsidR="00C83F56">
        <w:rPr>
          <w:lang w:val="fr-CA"/>
        </w:rPr>
        <w:t>GasLink</w:t>
      </w:r>
      <w:proofErr w:type="spellEnd"/>
    </w:p>
    <w:p w14:paraId="7C23142C" w14:textId="77777777" w:rsidR="00C83F56" w:rsidRPr="003119DA" w:rsidRDefault="00C83F56" w:rsidP="004F23C1">
      <w:pPr>
        <w:pStyle w:val="SingleTxtG"/>
        <w:numPr>
          <w:ilvl w:val="0"/>
          <w:numId w:val="4"/>
        </w:numPr>
        <w:ind w:left="1134" w:firstLine="0"/>
        <w:rPr>
          <w:lang w:val="fr-CA"/>
        </w:rPr>
      </w:pPr>
      <w:r w:rsidRPr="003119DA">
        <w:rPr>
          <w:lang w:val="fr-CA"/>
        </w:rPr>
        <w:t>Des informations détaillées seront fournies dans le cadre d’une réponse distincte à AL CAN 2/2022.</w:t>
      </w:r>
    </w:p>
    <w:p w14:paraId="68C9CB07" w14:textId="09EB073D" w:rsidR="00C83F56" w:rsidRPr="00A7517B" w:rsidRDefault="00B97E48" w:rsidP="00391194">
      <w:pPr>
        <w:pStyle w:val="H23G"/>
        <w:rPr>
          <w:lang w:val="fr-CA"/>
        </w:rPr>
      </w:pPr>
      <w:r>
        <w:rPr>
          <w:lang w:val="fr-CA"/>
        </w:rPr>
        <w:tab/>
      </w:r>
      <w:r>
        <w:rPr>
          <w:lang w:val="fr-CA"/>
        </w:rPr>
        <w:tab/>
      </w:r>
      <w:proofErr w:type="spellStart"/>
      <w:r w:rsidR="00C83F56" w:rsidRPr="51A13573">
        <w:rPr>
          <w:lang w:val="fr-CA"/>
        </w:rPr>
        <w:t>Mi’kmaq</w:t>
      </w:r>
      <w:proofErr w:type="spellEnd"/>
      <w:r w:rsidR="00C83F56" w:rsidRPr="51A13573">
        <w:rPr>
          <w:lang w:val="fr-CA"/>
        </w:rPr>
        <w:t xml:space="preserve"> et pêches de la Nouvelle-Écosse</w:t>
      </w:r>
      <w:bookmarkEnd w:id="285"/>
    </w:p>
    <w:p w14:paraId="207EACE1" w14:textId="77777777" w:rsidR="00C83F56" w:rsidRPr="00EF3C46" w:rsidRDefault="00C83F56" w:rsidP="004F23C1">
      <w:pPr>
        <w:pStyle w:val="SingleTxtG"/>
        <w:numPr>
          <w:ilvl w:val="0"/>
          <w:numId w:val="4"/>
        </w:numPr>
        <w:ind w:left="1134" w:firstLine="0"/>
        <w:rPr>
          <w:lang w:val="fr-CA"/>
        </w:rPr>
      </w:pPr>
      <w:r w:rsidRPr="00EF3C46">
        <w:rPr>
          <w:lang w:val="fr-CA"/>
        </w:rPr>
        <w:t>Une réponse à la communication du CE</w:t>
      </w:r>
      <w:r>
        <w:rPr>
          <w:lang w:val="fr-CA"/>
        </w:rPr>
        <w:t>DR</w:t>
      </w:r>
      <w:r w:rsidRPr="00EF3C46">
        <w:rPr>
          <w:lang w:val="fr-CA"/>
        </w:rPr>
        <w:t xml:space="preserve"> dans le cadre de ses procédures d’alerte rapide et de mesures d’urgence</w:t>
      </w:r>
      <w:r>
        <w:rPr>
          <w:lang w:val="fr-CA"/>
        </w:rPr>
        <w:t xml:space="preserve">, </w:t>
      </w:r>
      <w:r w:rsidRPr="00EF3C46">
        <w:rPr>
          <w:lang w:val="fr-CA"/>
        </w:rPr>
        <w:t xml:space="preserve">reçue par le Canada le </w:t>
      </w:r>
      <w:r>
        <w:rPr>
          <w:lang w:val="fr-CA"/>
        </w:rPr>
        <w:t>30</w:t>
      </w:r>
      <w:r w:rsidRPr="00EF3C46">
        <w:rPr>
          <w:lang w:val="fr-CA"/>
        </w:rPr>
        <w:t xml:space="preserve"> avril 202</w:t>
      </w:r>
      <w:r>
        <w:rPr>
          <w:lang w:val="fr-CA"/>
        </w:rPr>
        <w:t>1</w:t>
      </w:r>
      <w:r w:rsidRPr="00EF3C46">
        <w:rPr>
          <w:lang w:val="fr-CA"/>
        </w:rPr>
        <w:t xml:space="preserve">, a été soumise le </w:t>
      </w:r>
      <w:r>
        <w:rPr>
          <w:lang w:val="fr-CA"/>
        </w:rPr>
        <w:t>14</w:t>
      </w:r>
      <w:r w:rsidRPr="00EF3C46">
        <w:rPr>
          <w:lang w:val="fr-CA"/>
        </w:rPr>
        <w:t xml:space="preserve"> </w:t>
      </w:r>
      <w:r>
        <w:rPr>
          <w:lang w:val="fr-CA"/>
        </w:rPr>
        <w:t>mars</w:t>
      </w:r>
      <w:r w:rsidRPr="00EF3C46">
        <w:rPr>
          <w:lang w:val="fr-CA"/>
        </w:rPr>
        <w:t xml:space="preserve"> 202</w:t>
      </w:r>
      <w:r>
        <w:rPr>
          <w:lang w:val="fr-CA"/>
        </w:rPr>
        <w:t>2</w:t>
      </w:r>
      <w:r w:rsidRPr="00EF3C46">
        <w:rPr>
          <w:lang w:val="fr-CA"/>
        </w:rPr>
        <w:t>.</w:t>
      </w:r>
    </w:p>
    <w:p w14:paraId="36BAE557" w14:textId="77777777" w:rsidR="00C83F56" w:rsidRDefault="00C83F56" w:rsidP="004F23C1">
      <w:pPr>
        <w:pStyle w:val="SingleTxtG"/>
        <w:numPr>
          <w:ilvl w:val="0"/>
          <w:numId w:val="4"/>
        </w:numPr>
        <w:ind w:left="1134" w:firstLine="0"/>
        <w:rPr>
          <w:lang w:val="fr-CA"/>
        </w:rPr>
      </w:pPr>
      <w:r w:rsidRPr="51A13573">
        <w:rPr>
          <w:lang w:val="fr-CA"/>
        </w:rPr>
        <w:t xml:space="preserve">Les communautés </w:t>
      </w:r>
      <w:proofErr w:type="spellStart"/>
      <w:r w:rsidRPr="51A13573">
        <w:rPr>
          <w:lang w:val="fr-CA"/>
        </w:rPr>
        <w:t>Mi</w:t>
      </w:r>
      <w:r>
        <w:rPr>
          <w:lang w:val="fr-CA"/>
        </w:rPr>
        <w:t>’</w:t>
      </w:r>
      <w:r w:rsidRPr="51A13573">
        <w:rPr>
          <w:lang w:val="fr-CA"/>
        </w:rPr>
        <w:t>kmaq</w:t>
      </w:r>
      <w:proofErr w:type="spellEnd"/>
      <w:r w:rsidRPr="51A13573">
        <w:rPr>
          <w:lang w:val="fr-CA"/>
        </w:rPr>
        <w:t xml:space="preserve"> de la Nouvelle-Écosse revendiquent depuis longtemps leur droit à l'</w:t>
      </w:r>
      <w:proofErr w:type="spellStart"/>
      <w:r w:rsidRPr="51A13573">
        <w:rPr>
          <w:lang w:val="fr-CA"/>
        </w:rPr>
        <w:t>autodétermination</w:t>
      </w:r>
      <w:proofErr w:type="spellEnd"/>
      <w:r w:rsidRPr="51A13573">
        <w:rPr>
          <w:lang w:val="fr-CA"/>
        </w:rPr>
        <w:t xml:space="preserve"> et à l'autonomie gouvernementale</w:t>
      </w:r>
      <w:r>
        <w:rPr>
          <w:lang w:val="fr-CA"/>
        </w:rPr>
        <w:t xml:space="preserve">. Elles rejettent systématiquement l’autorité </w:t>
      </w:r>
      <w:r w:rsidRPr="51A13573">
        <w:rPr>
          <w:lang w:val="fr-CA"/>
        </w:rPr>
        <w:t xml:space="preserve">de Pêches et Océans Canada (MPO) </w:t>
      </w:r>
      <w:r>
        <w:rPr>
          <w:lang w:val="fr-CA"/>
        </w:rPr>
        <w:t>en matière de</w:t>
      </w:r>
      <w:r w:rsidRPr="51A13573">
        <w:rPr>
          <w:lang w:val="fr-CA"/>
        </w:rPr>
        <w:t xml:space="preserve"> réglement</w:t>
      </w:r>
      <w:r>
        <w:rPr>
          <w:lang w:val="fr-CA"/>
        </w:rPr>
        <w:t>ation</w:t>
      </w:r>
      <w:r w:rsidRPr="51A13573">
        <w:rPr>
          <w:lang w:val="fr-CA"/>
        </w:rPr>
        <w:t xml:space="preserve"> </w:t>
      </w:r>
      <w:r>
        <w:rPr>
          <w:lang w:val="fr-CA"/>
        </w:rPr>
        <w:t xml:space="preserve">de </w:t>
      </w:r>
      <w:r w:rsidRPr="51A13573">
        <w:rPr>
          <w:lang w:val="fr-CA"/>
        </w:rPr>
        <w:t xml:space="preserve">leurs pêches fondées sur les droits, ce qui a entraîné des tensions avec le </w:t>
      </w:r>
      <w:r>
        <w:rPr>
          <w:lang w:val="fr-CA"/>
        </w:rPr>
        <w:t>m</w:t>
      </w:r>
      <w:r w:rsidRPr="51A13573">
        <w:rPr>
          <w:lang w:val="fr-CA"/>
        </w:rPr>
        <w:t xml:space="preserve">inistère </w:t>
      </w:r>
      <w:r>
        <w:rPr>
          <w:lang w:val="fr-CA"/>
        </w:rPr>
        <w:t>ainsi qu’</w:t>
      </w:r>
      <w:r w:rsidRPr="51A13573">
        <w:rPr>
          <w:lang w:val="fr-CA"/>
        </w:rPr>
        <w:t>entre les pêcheurs autochtones et non autochtones.</w:t>
      </w:r>
    </w:p>
    <w:p w14:paraId="1B705ACB" w14:textId="77777777" w:rsidR="00C83F56" w:rsidRDefault="00C83F56" w:rsidP="004F23C1">
      <w:pPr>
        <w:pStyle w:val="SingleTxtG"/>
        <w:numPr>
          <w:ilvl w:val="0"/>
          <w:numId w:val="4"/>
        </w:numPr>
        <w:ind w:left="1134" w:firstLine="0"/>
        <w:rPr>
          <w:lang w:val="fr-CA"/>
        </w:rPr>
      </w:pPr>
      <w:r w:rsidRPr="51A13573">
        <w:rPr>
          <w:lang w:val="fr-CA"/>
        </w:rPr>
        <w:t xml:space="preserve">Les </w:t>
      </w:r>
      <w:proofErr w:type="spellStart"/>
      <w:r w:rsidRPr="51A13573">
        <w:rPr>
          <w:lang w:val="fr-CA"/>
        </w:rPr>
        <w:t>Mi</w:t>
      </w:r>
      <w:r>
        <w:rPr>
          <w:lang w:val="fr-CA"/>
        </w:rPr>
        <w:t>’</w:t>
      </w:r>
      <w:r w:rsidRPr="51A13573">
        <w:rPr>
          <w:lang w:val="fr-CA"/>
        </w:rPr>
        <w:t>kmaq</w:t>
      </w:r>
      <w:proofErr w:type="spellEnd"/>
      <w:r w:rsidRPr="51A13573">
        <w:rPr>
          <w:lang w:val="fr-CA"/>
        </w:rPr>
        <w:t xml:space="preserve"> de la Nouvelle-Écosse ont rejeté le mandat de 2017 d</w:t>
      </w:r>
      <w:r>
        <w:rPr>
          <w:lang w:val="fr-CA"/>
        </w:rPr>
        <w:t>e</w:t>
      </w:r>
      <w:r w:rsidRPr="51A13573">
        <w:rPr>
          <w:lang w:val="fr-CA"/>
        </w:rPr>
        <w:t xml:space="preserve"> MPO </w:t>
      </w:r>
      <w:r>
        <w:rPr>
          <w:lang w:val="fr-CA"/>
        </w:rPr>
        <w:t>visant à</w:t>
      </w:r>
      <w:r w:rsidRPr="51A13573">
        <w:rPr>
          <w:lang w:val="fr-CA"/>
        </w:rPr>
        <w:t xml:space="preserve"> négocier des </w:t>
      </w:r>
      <w:r>
        <w:rPr>
          <w:lang w:val="fr-CA"/>
        </w:rPr>
        <w:t>E</w:t>
      </w:r>
      <w:r w:rsidRPr="51A13573">
        <w:rPr>
          <w:lang w:val="fr-CA"/>
        </w:rPr>
        <w:t xml:space="preserve">ntentes de réconciliation des droits </w:t>
      </w:r>
      <w:r>
        <w:rPr>
          <w:lang w:val="fr-CA"/>
        </w:rPr>
        <w:t xml:space="preserve">pour mettre </w:t>
      </w:r>
      <w:r w:rsidRPr="51A13573">
        <w:rPr>
          <w:lang w:val="fr-CA"/>
        </w:rPr>
        <w:t xml:space="preserve">en œuvre </w:t>
      </w:r>
      <w:r>
        <w:rPr>
          <w:lang w:val="fr-CA"/>
        </w:rPr>
        <w:t>davantage le</w:t>
      </w:r>
      <w:r w:rsidRPr="51A13573">
        <w:rPr>
          <w:lang w:val="fr-CA"/>
        </w:rPr>
        <w:t xml:space="preserve"> droit issu de</w:t>
      </w:r>
      <w:r>
        <w:rPr>
          <w:lang w:val="fr-CA"/>
        </w:rPr>
        <w:t>s</w:t>
      </w:r>
      <w:r w:rsidRPr="51A13573">
        <w:rPr>
          <w:lang w:val="fr-CA"/>
        </w:rPr>
        <w:t xml:space="preserve"> traités </w:t>
      </w:r>
      <w:r>
        <w:rPr>
          <w:lang w:val="fr-CA"/>
        </w:rPr>
        <w:t>reconnu aux</w:t>
      </w:r>
      <w:r w:rsidRPr="51A13573">
        <w:rPr>
          <w:lang w:val="fr-CA"/>
        </w:rPr>
        <w:t xml:space="preserve"> 3</w:t>
      </w:r>
      <w:r>
        <w:rPr>
          <w:lang w:val="fr-CA"/>
        </w:rPr>
        <w:t>4</w:t>
      </w:r>
      <w:r w:rsidRPr="51A13573">
        <w:rPr>
          <w:lang w:val="fr-CA"/>
        </w:rPr>
        <w:t xml:space="preserve"> Premières Nations </w:t>
      </w:r>
      <w:proofErr w:type="spellStart"/>
      <w:r w:rsidRPr="51A13573">
        <w:rPr>
          <w:lang w:val="fr-CA"/>
        </w:rPr>
        <w:t>Mi</w:t>
      </w:r>
      <w:r>
        <w:rPr>
          <w:lang w:val="fr-CA"/>
        </w:rPr>
        <w:t>’</w:t>
      </w:r>
      <w:r w:rsidRPr="51A13573">
        <w:rPr>
          <w:lang w:val="fr-CA"/>
        </w:rPr>
        <w:t>kmaq</w:t>
      </w:r>
      <w:proofErr w:type="spellEnd"/>
      <w:r>
        <w:rPr>
          <w:lang w:val="fr-CA"/>
        </w:rPr>
        <w:t xml:space="preserve"> et</w:t>
      </w:r>
      <w:r w:rsidRPr="51A13573">
        <w:rPr>
          <w:lang w:val="fr-CA"/>
        </w:rPr>
        <w:t xml:space="preserve"> </w:t>
      </w:r>
      <w:r w:rsidRPr="00322D6F">
        <w:rPr>
          <w:lang w:val="fr-CA"/>
        </w:rPr>
        <w:t>Wolastoqiyik</w:t>
      </w:r>
      <w:r w:rsidRPr="51A13573">
        <w:rPr>
          <w:lang w:val="fr-CA"/>
        </w:rPr>
        <w:t xml:space="preserve"> </w:t>
      </w:r>
      <w:r>
        <w:rPr>
          <w:lang w:val="fr-CA"/>
        </w:rPr>
        <w:t xml:space="preserve">en </w:t>
      </w:r>
      <w:r w:rsidRPr="001770E6">
        <w:rPr>
          <w:lang w:val="fr-CA"/>
        </w:rPr>
        <w:t xml:space="preserve">Nouvelle-Écosse, au Nouveau-Brunswick, à l'Île-du-Prince-Édouard et dans la région de Gaspé au Québec, </w:t>
      </w:r>
      <w:r>
        <w:rPr>
          <w:lang w:val="fr-CA"/>
        </w:rPr>
        <w:t>et</w:t>
      </w:r>
      <w:r w:rsidRPr="001770E6">
        <w:rPr>
          <w:lang w:val="fr-CA"/>
        </w:rPr>
        <w:t xml:space="preserve"> la nation </w:t>
      </w:r>
      <w:proofErr w:type="spellStart"/>
      <w:r w:rsidRPr="001770E6">
        <w:rPr>
          <w:lang w:val="fr-CA"/>
        </w:rPr>
        <w:t>Peskotomuhkati</w:t>
      </w:r>
      <w:proofErr w:type="spellEnd"/>
      <w:r w:rsidRPr="001770E6">
        <w:rPr>
          <w:lang w:val="fr-CA"/>
        </w:rPr>
        <w:t xml:space="preserve"> à </w:t>
      </w:r>
      <w:proofErr w:type="spellStart"/>
      <w:r w:rsidRPr="001770E6">
        <w:rPr>
          <w:lang w:val="fr-CA"/>
        </w:rPr>
        <w:t>Skutik</w:t>
      </w:r>
      <w:proofErr w:type="spellEnd"/>
      <w:r w:rsidRPr="001770E6">
        <w:rPr>
          <w:lang w:val="fr-CA"/>
        </w:rPr>
        <w:t xml:space="preserve"> (</w:t>
      </w:r>
      <w:r w:rsidRPr="00342316">
        <w:rPr>
          <w:lang w:val="fr-CA"/>
        </w:rPr>
        <w:t>Premières Nations visées par les traités</w:t>
      </w:r>
      <w:r w:rsidRPr="001770E6">
        <w:rPr>
          <w:lang w:val="fr-CA"/>
        </w:rPr>
        <w:t>)</w:t>
      </w:r>
      <w:r>
        <w:rPr>
          <w:lang w:val="fr-CA"/>
        </w:rPr>
        <w:t xml:space="preserve"> </w:t>
      </w:r>
      <w:r w:rsidRPr="51A13573">
        <w:rPr>
          <w:lang w:val="fr-CA"/>
        </w:rPr>
        <w:t xml:space="preserve">de pêcher </w:t>
      </w:r>
      <w:r>
        <w:rPr>
          <w:lang w:val="fr-CA"/>
        </w:rPr>
        <w:t xml:space="preserve">pour </w:t>
      </w:r>
      <w:r w:rsidRPr="51A13573">
        <w:rPr>
          <w:lang w:val="fr-CA"/>
        </w:rPr>
        <w:t>assurer une subsistance convenable (droit issu de</w:t>
      </w:r>
      <w:r>
        <w:rPr>
          <w:lang w:val="fr-CA"/>
        </w:rPr>
        <w:t>s</w:t>
      </w:r>
      <w:r w:rsidRPr="51A13573">
        <w:rPr>
          <w:lang w:val="fr-CA"/>
        </w:rPr>
        <w:t xml:space="preserve"> traités). </w:t>
      </w:r>
    </w:p>
    <w:p w14:paraId="069D2B61" w14:textId="77777777" w:rsidR="00C83F56" w:rsidRDefault="00C83F56" w:rsidP="004F23C1">
      <w:pPr>
        <w:pStyle w:val="SingleTxtG"/>
        <w:numPr>
          <w:ilvl w:val="0"/>
          <w:numId w:val="4"/>
        </w:numPr>
        <w:ind w:left="1134" w:firstLine="0"/>
        <w:rPr>
          <w:lang w:val="fr-CA"/>
        </w:rPr>
      </w:pPr>
      <w:r>
        <w:rPr>
          <w:lang w:val="fr-CA"/>
        </w:rPr>
        <w:t>En conséquence</w:t>
      </w:r>
      <w:r w:rsidRPr="51A13573">
        <w:rPr>
          <w:lang w:val="fr-CA"/>
        </w:rPr>
        <w:t xml:space="preserve">, en 2021, MPO a proposé une </w:t>
      </w:r>
      <w:r>
        <w:rPr>
          <w:lang w:val="fr-CA"/>
        </w:rPr>
        <w:t>solution</w:t>
      </w:r>
      <w:r w:rsidRPr="51A13573">
        <w:rPr>
          <w:lang w:val="fr-CA"/>
        </w:rPr>
        <w:t xml:space="preserve"> provisoire pour soutenir les activités de pêche</w:t>
      </w:r>
      <w:r>
        <w:rPr>
          <w:lang w:val="fr-CA"/>
        </w:rPr>
        <w:t xml:space="preserve"> visant à assurer un moyen de</w:t>
      </w:r>
      <w:r w:rsidRPr="51A13573">
        <w:rPr>
          <w:lang w:val="fr-CA"/>
        </w:rPr>
        <w:t xml:space="preserve"> subsistance convenable</w:t>
      </w:r>
      <w:r>
        <w:rPr>
          <w:lang w:val="fr-CA"/>
        </w:rPr>
        <w:t>,</w:t>
      </w:r>
      <w:r w:rsidRPr="51A13573">
        <w:rPr>
          <w:lang w:val="fr-CA"/>
        </w:rPr>
        <w:t xml:space="preserve"> en concluant des ententes avec les Premières Nations</w:t>
      </w:r>
      <w:r>
        <w:rPr>
          <w:lang w:val="fr-CA"/>
        </w:rPr>
        <w:t xml:space="preserve"> concernant</w:t>
      </w:r>
      <w:r w:rsidRPr="51A13573">
        <w:rPr>
          <w:lang w:val="fr-CA"/>
        </w:rPr>
        <w:t xml:space="preserve"> la délivrance d'autorisations</w:t>
      </w:r>
      <w:r>
        <w:rPr>
          <w:lang w:val="fr-CA"/>
        </w:rPr>
        <w:t xml:space="preserve"> annuelles</w:t>
      </w:r>
      <w:r w:rsidRPr="51A13573">
        <w:rPr>
          <w:lang w:val="fr-CA"/>
        </w:rPr>
        <w:t xml:space="preserve"> d</w:t>
      </w:r>
      <w:r>
        <w:rPr>
          <w:lang w:val="fr-CA"/>
        </w:rPr>
        <w:t>e</w:t>
      </w:r>
      <w:r w:rsidRPr="51A13573">
        <w:rPr>
          <w:lang w:val="fr-CA"/>
        </w:rPr>
        <w:t xml:space="preserve"> MPO </w:t>
      </w:r>
      <w:r>
        <w:rPr>
          <w:lang w:val="fr-CA"/>
        </w:rPr>
        <w:t xml:space="preserve">liées à des </w:t>
      </w:r>
      <w:r w:rsidRPr="51A13573">
        <w:rPr>
          <w:lang w:val="fr-CA"/>
        </w:rPr>
        <w:t xml:space="preserve">plans de pêche </w:t>
      </w:r>
      <w:r>
        <w:rPr>
          <w:lang w:val="fr-CA"/>
        </w:rPr>
        <w:t xml:space="preserve">pour un visant à assurer des moyens </w:t>
      </w:r>
      <w:r w:rsidRPr="51A13573">
        <w:rPr>
          <w:lang w:val="fr-CA"/>
        </w:rPr>
        <w:t>de subsistance convenable</w:t>
      </w:r>
      <w:r>
        <w:rPr>
          <w:lang w:val="fr-CA"/>
        </w:rPr>
        <w:t xml:space="preserve"> (PPSC)</w:t>
      </w:r>
      <w:r w:rsidRPr="51A13573">
        <w:rPr>
          <w:lang w:val="fr-CA"/>
        </w:rPr>
        <w:t xml:space="preserve"> élaborés par les communautés. Depuis 2021, MPO a conclu 2</w:t>
      </w:r>
      <w:r>
        <w:rPr>
          <w:lang w:val="fr-CA"/>
        </w:rPr>
        <w:t>4</w:t>
      </w:r>
      <w:r w:rsidRPr="51A13573">
        <w:rPr>
          <w:lang w:val="fr-CA"/>
        </w:rPr>
        <w:t xml:space="preserve"> ententes provisoires </w:t>
      </w:r>
      <w:r>
        <w:rPr>
          <w:lang w:val="fr-CA"/>
        </w:rPr>
        <w:t xml:space="preserve">sur les PPSC </w:t>
      </w:r>
      <w:r w:rsidRPr="51A13573">
        <w:rPr>
          <w:lang w:val="fr-CA"/>
        </w:rPr>
        <w:t>avec 1</w:t>
      </w:r>
      <w:r>
        <w:rPr>
          <w:lang w:val="fr-CA"/>
        </w:rPr>
        <w:t>8</w:t>
      </w:r>
      <w:r w:rsidRPr="51A13573">
        <w:rPr>
          <w:lang w:val="fr-CA"/>
        </w:rPr>
        <w:t xml:space="preserve"> </w:t>
      </w:r>
      <w:r>
        <w:rPr>
          <w:lang w:val="fr-CA"/>
        </w:rPr>
        <w:t>Premières Nations visées par</w:t>
      </w:r>
      <w:r w:rsidRPr="51A13573">
        <w:rPr>
          <w:lang w:val="fr-CA"/>
        </w:rPr>
        <w:t xml:space="preserve"> </w:t>
      </w:r>
      <w:r>
        <w:rPr>
          <w:lang w:val="fr-CA"/>
        </w:rPr>
        <w:t xml:space="preserve">les </w:t>
      </w:r>
      <w:r w:rsidRPr="51A13573">
        <w:rPr>
          <w:lang w:val="fr-CA"/>
        </w:rPr>
        <w:t>traité</w:t>
      </w:r>
      <w:r>
        <w:rPr>
          <w:lang w:val="fr-CA"/>
        </w:rPr>
        <w:t>s</w:t>
      </w:r>
      <w:r w:rsidRPr="51A13573">
        <w:rPr>
          <w:lang w:val="fr-CA"/>
        </w:rPr>
        <w:t xml:space="preserve">, dont neuf communautés </w:t>
      </w:r>
      <w:proofErr w:type="spellStart"/>
      <w:r w:rsidRPr="51A13573">
        <w:rPr>
          <w:lang w:val="fr-CA"/>
        </w:rPr>
        <w:t>Mi</w:t>
      </w:r>
      <w:r>
        <w:rPr>
          <w:lang w:val="fr-CA"/>
        </w:rPr>
        <w:t>’</w:t>
      </w:r>
      <w:r w:rsidRPr="51A13573">
        <w:rPr>
          <w:lang w:val="fr-CA"/>
        </w:rPr>
        <w:t>kmaq</w:t>
      </w:r>
      <w:proofErr w:type="spellEnd"/>
      <w:r w:rsidRPr="51A13573">
        <w:rPr>
          <w:lang w:val="fr-CA"/>
        </w:rPr>
        <w:t xml:space="preserve"> de la Nouvelle-Écosse.</w:t>
      </w:r>
    </w:p>
    <w:p w14:paraId="4E7C88C1" w14:textId="77777777" w:rsidR="00C83F56" w:rsidRDefault="00C83F56" w:rsidP="004F23C1">
      <w:pPr>
        <w:pStyle w:val="SingleTxtG"/>
        <w:numPr>
          <w:ilvl w:val="0"/>
          <w:numId w:val="4"/>
        </w:numPr>
        <w:ind w:left="1134" w:firstLine="0"/>
        <w:rPr>
          <w:lang w:val="fr-CA"/>
        </w:rPr>
      </w:pPr>
      <w:r w:rsidRPr="00F80A0B">
        <w:rPr>
          <w:lang w:val="fr-CA"/>
        </w:rPr>
        <w:t xml:space="preserve">En 2024, le MPO a annoncé un financement de 259,4 millions de dollars sur trois ans pour soutenir la mise en œuvre continue des droits issus de traités. Ce financement peut servir à l’acquisition d’accès, de bateaux et d’équipement selon le principe du « vendeur volontaire, acheteur volontaire », </w:t>
      </w:r>
      <w:r>
        <w:rPr>
          <w:lang w:val="fr-CA"/>
        </w:rPr>
        <w:t xml:space="preserve">ainsi que pour soutenir le </w:t>
      </w:r>
      <w:r w:rsidRPr="00F80A0B">
        <w:rPr>
          <w:lang w:val="fr-CA"/>
        </w:rPr>
        <w:t xml:space="preserve">développement et l’essai de structures de gouvernance et de gestion. Il appuie également la participation des Premières Nations aux tables de négociation sur les pêches avec le MPO, en vue de conclure des ententes de gestion à long terme. Bien que certains chefs aient réitéré leur refus d’accepter des fonds pour acquérir des accès liés à leurs pêches fondées sur les droits, le MPO poursuit sa collaboration avec les dirigeants </w:t>
      </w:r>
      <w:proofErr w:type="spellStart"/>
      <w:r>
        <w:rPr>
          <w:lang w:val="fr-CA"/>
        </w:rPr>
        <w:t>M</w:t>
      </w:r>
      <w:r w:rsidRPr="00F80A0B">
        <w:rPr>
          <w:lang w:val="fr-CA"/>
        </w:rPr>
        <w:t>i’kmaq</w:t>
      </w:r>
      <w:proofErr w:type="spellEnd"/>
      <w:r w:rsidRPr="00F80A0B">
        <w:rPr>
          <w:lang w:val="fr-CA"/>
        </w:rPr>
        <w:t xml:space="preserve"> de la Nouvelle-Écosse afin d’avancer selon leur vision et leurs priorités</w:t>
      </w:r>
      <w:r w:rsidRPr="51A13573">
        <w:rPr>
          <w:lang w:val="fr-CA"/>
        </w:rPr>
        <w:t>.</w:t>
      </w:r>
    </w:p>
    <w:p w14:paraId="1A973AD8" w14:textId="71D567A3" w:rsidR="00C83F56" w:rsidRPr="00A7517B" w:rsidRDefault="00B97E48" w:rsidP="00B97E48">
      <w:pPr>
        <w:pStyle w:val="HChG"/>
        <w:rPr>
          <w:lang w:val="fr-CA"/>
        </w:rPr>
      </w:pPr>
      <w:bookmarkStart w:id="286" w:name="lt_pId538"/>
      <w:r>
        <w:rPr>
          <w:lang w:val="fr-CA"/>
        </w:rPr>
        <w:tab/>
      </w:r>
      <w:r w:rsidR="00C83F56" w:rsidRPr="00120A1F">
        <w:rPr>
          <w:lang w:val="fr-CA"/>
        </w:rPr>
        <w:t>V.</w:t>
      </w:r>
      <w:r>
        <w:rPr>
          <w:lang w:val="fr-CA"/>
        </w:rPr>
        <w:tab/>
      </w:r>
      <w:r w:rsidR="00C83F56" w:rsidRPr="00120A1F">
        <w:rPr>
          <w:lang w:val="fr-CA"/>
        </w:rPr>
        <w:t>Justice</w:t>
      </w:r>
      <w:bookmarkEnd w:id="286"/>
    </w:p>
    <w:p w14:paraId="36B92512" w14:textId="77777777" w:rsidR="00C83F56" w:rsidRPr="00A7517B" w:rsidRDefault="00C83F56" w:rsidP="004F23C1">
      <w:pPr>
        <w:pStyle w:val="SingleTxtG"/>
        <w:numPr>
          <w:ilvl w:val="0"/>
          <w:numId w:val="4"/>
        </w:numPr>
        <w:ind w:left="1134" w:firstLine="0"/>
        <w:rPr>
          <w:lang w:val="fr-CA"/>
        </w:rPr>
      </w:pPr>
      <w:bookmarkStart w:id="287" w:name="lt_pId539"/>
      <w:r>
        <w:rPr>
          <w:lang w:val="fr-CA"/>
        </w:rPr>
        <w:t>La présente</w:t>
      </w:r>
      <w:r w:rsidRPr="00511D8C">
        <w:rPr>
          <w:lang w:val="fr-CA"/>
        </w:rPr>
        <w:t xml:space="preserve"> section contient des renseignements concernant la prévention de la discrimination raciale dans le système de justice pénale, en mettant l</w:t>
      </w:r>
      <w:r>
        <w:rPr>
          <w:lang w:val="fr-CA"/>
        </w:rPr>
        <w:t>’</w:t>
      </w:r>
      <w:r w:rsidRPr="00511D8C">
        <w:rPr>
          <w:lang w:val="fr-CA"/>
        </w:rPr>
        <w:t>accent sur la réduction des taux d</w:t>
      </w:r>
      <w:r>
        <w:rPr>
          <w:lang w:val="fr-CA"/>
        </w:rPr>
        <w:t>’</w:t>
      </w:r>
      <w:r w:rsidRPr="00511D8C">
        <w:rPr>
          <w:lang w:val="fr-CA"/>
        </w:rPr>
        <w:t>incarcération des Autochtones et des Canadiens noirs.</w:t>
      </w:r>
      <w:bookmarkEnd w:id="287"/>
      <w:r w:rsidRPr="00A7517B">
        <w:rPr>
          <w:lang w:val="fr-CA"/>
        </w:rPr>
        <w:t xml:space="preserve"> </w:t>
      </w:r>
      <w:bookmarkStart w:id="288" w:name="lt_pId540"/>
      <w:r>
        <w:rPr>
          <w:lang w:val="fr-CA"/>
        </w:rPr>
        <w:t>Elle se concentre sur l’observation finale 16.</w:t>
      </w:r>
      <w:bookmarkEnd w:id="288"/>
      <w:r w:rsidRPr="00A7517B">
        <w:rPr>
          <w:lang w:val="fr-CA"/>
        </w:rPr>
        <w:t xml:space="preserve"> </w:t>
      </w:r>
    </w:p>
    <w:p w14:paraId="77CFEAA5" w14:textId="14D325BD" w:rsidR="00C83F56" w:rsidRPr="00B72F5F" w:rsidRDefault="00B97E48" w:rsidP="00B97E48">
      <w:pPr>
        <w:pStyle w:val="H1G"/>
        <w:rPr>
          <w:lang w:val="fr-CA"/>
        </w:rPr>
      </w:pPr>
      <w:bookmarkStart w:id="289" w:name="lt_pId541"/>
      <w:r>
        <w:rPr>
          <w:lang w:val="fr-CA"/>
        </w:rPr>
        <w:tab/>
      </w:r>
      <w:r>
        <w:rPr>
          <w:lang w:val="fr-CA"/>
        </w:rPr>
        <w:tab/>
      </w:r>
      <w:r w:rsidR="00C83F56" w:rsidRPr="00B72F5F">
        <w:rPr>
          <w:lang w:val="fr-CA"/>
        </w:rPr>
        <w:t>Prévention de la discrimination raciale dans le système de justice pénale</w:t>
      </w:r>
      <w:bookmarkEnd w:id="289"/>
    </w:p>
    <w:p w14:paraId="7E69A43D" w14:textId="0B73FB4D" w:rsidR="00C83F56" w:rsidRPr="00A7517B" w:rsidRDefault="00B97E48" w:rsidP="00391194">
      <w:pPr>
        <w:pStyle w:val="H23G"/>
        <w:rPr>
          <w:lang w:val="fr-CA"/>
        </w:rPr>
      </w:pPr>
      <w:bookmarkStart w:id="290" w:name="lt_pId544"/>
      <w:r>
        <w:rPr>
          <w:lang w:val="fr-CA"/>
        </w:rPr>
        <w:tab/>
      </w:r>
      <w:r>
        <w:rPr>
          <w:lang w:val="fr-CA"/>
        </w:rPr>
        <w:tab/>
      </w:r>
      <w:r w:rsidR="00C83F56">
        <w:rPr>
          <w:lang w:val="fr-CA"/>
        </w:rPr>
        <w:t>Services de police</w:t>
      </w:r>
      <w:r w:rsidR="00C83F56" w:rsidRPr="00B72F5F">
        <w:rPr>
          <w:lang w:val="fr-CA"/>
        </w:rPr>
        <w:t xml:space="preserve"> sans préjugés</w:t>
      </w:r>
      <w:bookmarkEnd w:id="290"/>
    </w:p>
    <w:p w14:paraId="35CEB25F" w14:textId="77777777" w:rsidR="00C83F56" w:rsidRPr="00A7517B" w:rsidRDefault="00C83F56" w:rsidP="004F23C1">
      <w:pPr>
        <w:pStyle w:val="SingleTxtG"/>
        <w:numPr>
          <w:ilvl w:val="0"/>
          <w:numId w:val="4"/>
        </w:numPr>
        <w:ind w:left="1134" w:firstLine="0"/>
        <w:rPr>
          <w:lang w:val="fr-CA"/>
        </w:rPr>
      </w:pPr>
      <w:bookmarkStart w:id="291" w:name="lt_pId545"/>
      <w:r>
        <w:rPr>
          <w:lang w:val="fr-CA"/>
        </w:rPr>
        <w:t>Le GC s’est engagé à traiter les personnes de façon non discriminatoire.</w:t>
      </w:r>
      <w:bookmarkEnd w:id="291"/>
      <w:r w:rsidRPr="00A7517B">
        <w:rPr>
          <w:lang w:val="fr-CA"/>
        </w:rPr>
        <w:t xml:space="preserve"> </w:t>
      </w:r>
      <w:bookmarkStart w:id="292" w:name="lt_pId546"/>
      <w:r>
        <w:rPr>
          <w:lang w:val="fr-CA"/>
        </w:rPr>
        <w:t>En </w:t>
      </w:r>
      <w:r w:rsidRPr="00511D8C">
        <w:rPr>
          <w:lang w:val="fr-CA"/>
        </w:rPr>
        <w:t xml:space="preserve">2017, le </w:t>
      </w:r>
      <w:r>
        <w:rPr>
          <w:lang w:val="fr-CA"/>
        </w:rPr>
        <w:t>GC</w:t>
      </w:r>
      <w:r w:rsidRPr="00511D8C">
        <w:rPr>
          <w:lang w:val="fr-CA"/>
        </w:rPr>
        <w:t xml:space="preserve"> a mis en œuvre une directive qui interdit spécifiquement toute forme de discrimination fondée sur la race en vertu de la </w:t>
      </w:r>
      <w:r w:rsidRPr="00511D8C">
        <w:rPr>
          <w:i/>
          <w:lang w:val="fr-CA"/>
        </w:rPr>
        <w:t>Loi canadienne sur les droits de la personne</w:t>
      </w:r>
      <w:r w:rsidRPr="00511D8C">
        <w:rPr>
          <w:lang w:val="fr-CA"/>
        </w:rPr>
        <w:t>, y compris le profilage racial.</w:t>
      </w:r>
      <w:bookmarkEnd w:id="292"/>
      <w:r w:rsidRPr="00A7517B">
        <w:rPr>
          <w:lang w:val="fr-CA"/>
        </w:rPr>
        <w:t xml:space="preserve"> </w:t>
      </w:r>
    </w:p>
    <w:p w14:paraId="559DA3E1" w14:textId="77777777" w:rsidR="00C83F56" w:rsidRPr="00A7517B" w:rsidRDefault="00C83F56" w:rsidP="004F23C1">
      <w:pPr>
        <w:pStyle w:val="SingleTxtG"/>
        <w:numPr>
          <w:ilvl w:val="0"/>
          <w:numId w:val="4"/>
        </w:numPr>
        <w:ind w:left="1134" w:firstLine="0"/>
        <w:rPr>
          <w:lang w:val="fr-CA"/>
        </w:rPr>
      </w:pPr>
      <w:bookmarkStart w:id="293" w:name="lt_pId551"/>
      <w:r w:rsidRPr="00F80A0B">
        <w:rPr>
          <w:lang w:val="fr-CA"/>
        </w:rPr>
        <w:t>Le GC offre à son personnel de première ligne un programme complet de formation en sensibilité culturelle et en lutte contre le racisme, comprenant des modules obligatoires sur l’accessibilité, la prévention du profilage racial, le traitement des voyageurs autochtones et des biens sacrés, l’alliance inclusive, la prévention du harcèlement et de la discrimination, ainsi que les valeurs et l’éthique. La conformité est suivie par des rapports réguliers, et le contenu est actualisé dans le cadre d’un processus de gestion du cycle de vie. Un volet spécifique aux réalités autochtones inclut les couvertures Kairos, des présentations sur les trousses d’objets sacrés et une formation culturelle sur Akwesasne pour les agents concernés</w:t>
      </w:r>
      <w:r w:rsidRPr="009A4097">
        <w:rPr>
          <w:lang w:val="fr-CA"/>
        </w:rPr>
        <w:t>.</w:t>
      </w:r>
      <w:bookmarkEnd w:id="293"/>
    </w:p>
    <w:p w14:paraId="1BA4BF83" w14:textId="77777777" w:rsidR="00C83F56" w:rsidRPr="006B57E0" w:rsidRDefault="00C83F56" w:rsidP="004F23C1">
      <w:pPr>
        <w:pStyle w:val="SingleTxtG"/>
        <w:numPr>
          <w:ilvl w:val="0"/>
          <w:numId w:val="4"/>
        </w:numPr>
        <w:ind w:left="1134" w:firstLine="0"/>
        <w:rPr>
          <w:lang w:val="fr-CA"/>
        </w:rPr>
      </w:pPr>
      <w:r>
        <w:rPr>
          <w:lang w:val="fr-CA"/>
        </w:rPr>
        <w:t>En 2018, l</w:t>
      </w:r>
      <w:r w:rsidRPr="00E7089D">
        <w:rPr>
          <w:lang w:val="fr-CA"/>
        </w:rPr>
        <w:t xml:space="preserve">'honorable Michael H. Tulloch a mené un examen indépendant des contrôles de rue en Ontario afin d'évaluer si les règlements </w:t>
      </w:r>
      <w:r>
        <w:rPr>
          <w:lang w:val="fr-CA"/>
        </w:rPr>
        <w:t xml:space="preserve">sur la collecte arbitraire d’information d’identification par la police, </w:t>
      </w:r>
      <w:r w:rsidRPr="00E7089D">
        <w:rPr>
          <w:lang w:val="fr-CA"/>
        </w:rPr>
        <w:t xml:space="preserve">en vertu de la </w:t>
      </w:r>
      <w:r w:rsidRPr="00E7089D">
        <w:rPr>
          <w:i/>
          <w:iCs/>
          <w:lang w:val="fr-CA"/>
        </w:rPr>
        <w:t>Loi sur les services policiers</w:t>
      </w:r>
      <w:r w:rsidRPr="00E7089D">
        <w:rPr>
          <w:lang w:val="fr-CA"/>
        </w:rPr>
        <w:t xml:space="preserve"> (LSP) soutenaient les objectifs du gouvernement provincial visant à </w:t>
      </w:r>
      <w:r>
        <w:rPr>
          <w:lang w:val="fr-CA"/>
        </w:rPr>
        <w:t>assurer des</w:t>
      </w:r>
      <w:r w:rsidRPr="00E7089D">
        <w:rPr>
          <w:lang w:val="fr-CA"/>
        </w:rPr>
        <w:t xml:space="preserve"> interactions</w:t>
      </w:r>
      <w:r>
        <w:rPr>
          <w:lang w:val="fr-CA"/>
        </w:rPr>
        <w:t xml:space="preserve"> cohérentes</w:t>
      </w:r>
      <w:r w:rsidRPr="00E7089D">
        <w:rPr>
          <w:lang w:val="fr-CA"/>
        </w:rPr>
        <w:t xml:space="preserve"> entre la police et le public, exemptes de préjugés ou de discrimination, respectueuses des droits de la personne et favoris</w:t>
      </w:r>
      <w:r>
        <w:rPr>
          <w:lang w:val="fr-CA"/>
        </w:rPr>
        <w:t>ant</w:t>
      </w:r>
      <w:r w:rsidRPr="00E7089D">
        <w:rPr>
          <w:lang w:val="fr-CA"/>
        </w:rPr>
        <w:t xml:space="preserve"> la confiance du public. L'Ontario a</w:t>
      </w:r>
      <w:r>
        <w:rPr>
          <w:lang w:val="fr-CA"/>
        </w:rPr>
        <w:t xml:space="preserve"> pris en</w:t>
      </w:r>
      <w:r w:rsidRPr="00E7089D">
        <w:rPr>
          <w:lang w:val="fr-CA"/>
        </w:rPr>
        <w:t xml:space="preserve"> compte </w:t>
      </w:r>
      <w:r>
        <w:rPr>
          <w:lang w:val="fr-CA"/>
        </w:rPr>
        <w:t>l</w:t>
      </w:r>
      <w:r w:rsidRPr="00E7089D">
        <w:rPr>
          <w:lang w:val="fr-CA"/>
        </w:rPr>
        <w:t>es conclusions de l'examen</w:t>
      </w:r>
      <w:r>
        <w:rPr>
          <w:lang w:val="fr-CA"/>
        </w:rPr>
        <w:t>, et</w:t>
      </w:r>
      <w:r w:rsidRPr="00E7089D">
        <w:rPr>
          <w:lang w:val="fr-CA"/>
        </w:rPr>
        <w:t xml:space="preserve"> </w:t>
      </w:r>
      <w:r>
        <w:rPr>
          <w:lang w:val="fr-CA"/>
        </w:rPr>
        <w:t>plusieurs</w:t>
      </w:r>
      <w:r w:rsidRPr="00E7089D">
        <w:rPr>
          <w:lang w:val="fr-CA"/>
        </w:rPr>
        <w:t xml:space="preserve"> recommandations ont été </w:t>
      </w:r>
      <w:r>
        <w:rPr>
          <w:lang w:val="fr-CA"/>
        </w:rPr>
        <w:t>intégrées</w:t>
      </w:r>
      <w:r w:rsidRPr="00E7089D">
        <w:rPr>
          <w:lang w:val="fr-CA"/>
        </w:rPr>
        <w:t xml:space="preserve"> lors de l'entrée en vigueur de la </w:t>
      </w:r>
      <w:r w:rsidRPr="00E7089D">
        <w:rPr>
          <w:i/>
          <w:iCs/>
          <w:lang w:val="fr-CA"/>
        </w:rPr>
        <w:t>Loi de 2019 sur la sécurité communautaire et les services policiers</w:t>
      </w:r>
      <w:r w:rsidRPr="00E7089D">
        <w:rPr>
          <w:lang w:val="fr-CA"/>
        </w:rPr>
        <w:t xml:space="preserve"> (L</w:t>
      </w:r>
      <w:r>
        <w:rPr>
          <w:lang w:val="fr-CA"/>
        </w:rPr>
        <w:t>S</w:t>
      </w:r>
      <w:r w:rsidRPr="00E7089D">
        <w:rPr>
          <w:lang w:val="fr-CA"/>
        </w:rPr>
        <w:t>CSP), qui a remplacé la LSP</w:t>
      </w:r>
      <w:r>
        <w:rPr>
          <w:lang w:val="fr-CA"/>
        </w:rPr>
        <w:t xml:space="preserve"> comme cadre législatif des</w:t>
      </w:r>
      <w:r w:rsidRPr="00E7089D">
        <w:rPr>
          <w:lang w:val="fr-CA"/>
        </w:rPr>
        <w:t xml:space="preserve"> services</w:t>
      </w:r>
      <w:r>
        <w:rPr>
          <w:lang w:val="fr-CA"/>
        </w:rPr>
        <w:t xml:space="preserve"> policiers de la province</w:t>
      </w:r>
      <w:r w:rsidRPr="00E7089D">
        <w:rPr>
          <w:lang w:val="fr-CA"/>
        </w:rPr>
        <w:t>.</w:t>
      </w:r>
      <w:r>
        <w:rPr>
          <w:lang w:val="fr-CA"/>
        </w:rPr>
        <w:t xml:space="preserve"> </w:t>
      </w:r>
      <w:r w:rsidRPr="0096749B">
        <w:rPr>
          <w:lang w:val="fr-CA"/>
        </w:rPr>
        <w:t>La</w:t>
      </w:r>
      <w:r w:rsidRPr="004469EF">
        <w:rPr>
          <w:lang w:val="fr-CA"/>
        </w:rPr>
        <w:t xml:space="preserve"> </w:t>
      </w:r>
      <w:r w:rsidRPr="00E7089D">
        <w:rPr>
          <w:lang w:val="fr-CA"/>
        </w:rPr>
        <w:t>L</w:t>
      </w:r>
      <w:r>
        <w:rPr>
          <w:lang w:val="fr-CA"/>
        </w:rPr>
        <w:t>S</w:t>
      </w:r>
      <w:r w:rsidRPr="00E7089D">
        <w:rPr>
          <w:lang w:val="fr-CA"/>
        </w:rPr>
        <w:t>CSP</w:t>
      </w:r>
      <w:r w:rsidRPr="0096749B">
        <w:rPr>
          <w:lang w:val="fr-CA"/>
        </w:rPr>
        <w:t xml:space="preserve"> offre un cadre modernisé pour la police, conçu pour faire progresser une police juste, équitable, sécuritaire, transparente et efficace</w:t>
      </w:r>
      <w:r>
        <w:rPr>
          <w:lang w:val="fr-CA"/>
        </w:rPr>
        <w:t>, c</w:t>
      </w:r>
      <w:r w:rsidRPr="0096749B">
        <w:rPr>
          <w:lang w:val="fr-CA"/>
        </w:rPr>
        <w:t>onformément aux exigences de formation.</w:t>
      </w:r>
      <w:r>
        <w:rPr>
          <w:lang w:val="fr-CA"/>
        </w:rPr>
        <w:t xml:space="preserve"> La province</w:t>
      </w:r>
      <w:r w:rsidRPr="00E7089D">
        <w:rPr>
          <w:lang w:val="fr-CA"/>
        </w:rPr>
        <w:t xml:space="preserve"> a élaboré des modules d'apprentissage en ligne </w:t>
      </w:r>
      <w:r>
        <w:rPr>
          <w:lang w:val="fr-CA"/>
        </w:rPr>
        <w:t xml:space="preserve">à l’intention des </w:t>
      </w:r>
      <w:r w:rsidRPr="00E7089D">
        <w:rPr>
          <w:lang w:val="fr-CA"/>
        </w:rPr>
        <w:t xml:space="preserve">agents de police, </w:t>
      </w:r>
      <w:r>
        <w:rPr>
          <w:lang w:val="fr-CA"/>
        </w:rPr>
        <w:t>constables</w:t>
      </w:r>
      <w:r w:rsidRPr="00E7089D">
        <w:rPr>
          <w:lang w:val="fr-CA"/>
        </w:rPr>
        <w:t xml:space="preserve"> spéciaux, membres des conseils/</w:t>
      </w:r>
      <w:r w:rsidRPr="00FE5E0A">
        <w:rPr>
          <w:lang w:val="fr-CA"/>
        </w:rPr>
        <w:t>comm</w:t>
      </w:r>
      <w:r>
        <w:rPr>
          <w:lang w:val="fr-CA"/>
        </w:rPr>
        <w:t>issions</w:t>
      </w:r>
      <w:r w:rsidRPr="00E7089D">
        <w:rPr>
          <w:lang w:val="fr-CA"/>
        </w:rPr>
        <w:t xml:space="preserve"> de services polic</w:t>
      </w:r>
      <w:r>
        <w:rPr>
          <w:lang w:val="fr-CA"/>
        </w:rPr>
        <w:t>iers</w:t>
      </w:r>
      <w:r w:rsidRPr="00E7089D">
        <w:rPr>
          <w:lang w:val="fr-CA"/>
        </w:rPr>
        <w:t xml:space="preserve"> et </w:t>
      </w:r>
      <w:r>
        <w:rPr>
          <w:lang w:val="fr-CA"/>
        </w:rPr>
        <w:t xml:space="preserve">de </w:t>
      </w:r>
      <w:r w:rsidRPr="00E7089D">
        <w:rPr>
          <w:lang w:val="fr-CA"/>
        </w:rPr>
        <w:t>certains</w:t>
      </w:r>
      <w:r>
        <w:rPr>
          <w:lang w:val="fr-CA"/>
        </w:rPr>
        <w:t xml:space="preserve"> employés d’organismes de</w:t>
      </w:r>
      <w:r w:rsidRPr="00E7089D">
        <w:rPr>
          <w:lang w:val="fr-CA"/>
        </w:rPr>
        <w:t xml:space="preserve"> surveillance</w:t>
      </w:r>
      <w:r>
        <w:rPr>
          <w:lang w:val="fr-CA"/>
        </w:rPr>
        <w:t xml:space="preserve">. Ces modules visent à sensibiliser </w:t>
      </w:r>
      <w:r w:rsidRPr="00E7089D">
        <w:rPr>
          <w:lang w:val="fr-CA"/>
        </w:rPr>
        <w:t>aux droits de</w:t>
      </w:r>
      <w:r>
        <w:rPr>
          <w:lang w:val="fr-CA"/>
        </w:rPr>
        <w:t xml:space="preserve"> la personne</w:t>
      </w:r>
      <w:r w:rsidRPr="00E7089D">
        <w:rPr>
          <w:lang w:val="fr-CA"/>
        </w:rPr>
        <w:t xml:space="preserve"> et au racisme systémique, </w:t>
      </w:r>
      <w:r>
        <w:rPr>
          <w:lang w:val="fr-CA"/>
        </w:rPr>
        <w:t xml:space="preserve">à </w:t>
      </w:r>
      <w:r w:rsidRPr="00E7089D">
        <w:rPr>
          <w:lang w:val="fr-CA"/>
        </w:rPr>
        <w:t xml:space="preserve">promouvoir le respect </w:t>
      </w:r>
      <w:r>
        <w:rPr>
          <w:lang w:val="fr-CA"/>
        </w:rPr>
        <w:t xml:space="preserve">de la diversité de la </w:t>
      </w:r>
      <w:r w:rsidRPr="00E7089D">
        <w:rPr>
          <w:lang w:val="fr-CA"/>
        </w:rPr>
        <w:t>société ontarienne</w:t>
      </w:r>
      <w:r>
        <w:rPr>
          <w:lang w:val="fr-CA"/>
        </w:rPr>
        <w:t>, ainsi que</w:t>
      </w:r>
      <w:r w:rsidRPr="00E7089D">
        <w:rPr>
          <w:lang w:val="fr-CA"/>
        </w:rPr>
        <w:t xml:space="preserve"> des droits et cultures des Premières Nations, Inuits et Métis. </w:t>
      </w:r>
    </w:p>
    <w:p w14:paraId="1A53D717" w14:textId="77777777" w:rsidR="00C83F56" w:rsidRDefault="00C83F56" w:rsidP="004F23C1">
      <w:pPr>
        <w:pStyle w:val="SingleTxtG"/>
        <w:numPr>
          <w:ilvl w:val="0"/>
          <w:numId w:val="4"/>
        </w:numPr>
        <w:ind w:left="1134" w:firstLine="0"/>
        <w:rPr>
          <w:lang w:val="fr-CA"/>
        </w:rPr>
      </w:pPr>
      <w:bookmarkStart w:id="294" w:name="lt_pId557"/>
      <w:bookmarkStart w:id="295" w:name="lt_pId553"/>
      <w:r>
        <w:rPr>
          <w:lang w:val="fr-CA"/>
        </w:rPr>
        <w:t>Au Québec, depuis </w:t>
      </w:r>
      <w:r w:rsidRPr="009A4097">
        <w:rPr>
          <w:lang w:val="fr-CA"/>
        </w:rPr>
        <w:t>1995, le Guide des pratiques policières fixe des normes et précise les principes directeurs des interventions policières.</w:t>
      </w:r>
      <w:bookmarkEnd w:id="294"/>
      <w:r w:rsidRPr="00A7517B">
        <w:rPr>
          <w:lang w:val="fr-CA"/>
        </w:rPr>
        <w:t xml:space="preserve"> </w:t>
      </w:r>
      <w:bookmarkStart w:id="296" w:name="lt_pId559"/>
      <w:r>
        <w:rPr>
          <w:lang w:val="fr-CA"/>
        </w:rPr>
        <w:t>En 2020, une pratique a été ajoutée visant à garantir que les interrogatoires de police ne sont pas aléatoires, infondés ou discriminatoires, et qu’ils sont menés dans le respect de la personne.</w:t>
      </w:r>
      <w:bookmarkEnd w:id="296"/>
      <w:r w:rsidRPr="00A7517B">
        <w:rPr>
          <w:lang w:val="fr-CA"/>
        </w:rPr>
        <w:t xml:space="preserve"> </w:t>
      </w:r>
      <w:r>
        <w:rPr>
          <w:lang w:val="fr-CA"/>
        </w:rPr>
        <w:t>Un guide pour prévenir le profilage racial et social, le repérer et y répondre, est également disponible depuis 2020.</w:t>
      </w:r>
    </w:p>
    <w:p w14:paraId="1D6F404F" w14:textId="77777777" w:rsidR="00C83F56" w:rsidRPr="000D6BBE" w:rsidRDefault="00C83F56" w:rsidP="004F23C1">
      <w:pPr>
        <w:pStyle w:val="SingleTxtG"/>
        <w:numPr>
          <w:ilvl w:val="0"/>
          <w:numId w:val="4"/>
        </w:numPr>
        <w:ind w:left="1134" w:firstLine="0"/>
        <w:rPr>
          <w:lang w:val="fr-CA"/>
        </w:rPr>
      </w:pPr>
      <w:r w:rsidRPr="00E7089D">
        <w:rPr>
          <w:lang w:val="fr-CA"/>
        </w:rPr>
        <w:t>La Colombie-Britannique a établi des normes provinciales en 2023 pour promouvoir des services policiers impartiaux</w:t>
      </w:r>
      <w:r>
        <w:rPr>
          <w:lang w:val="fr-CA"/>
        </w:rPr>
        <w:t>.</w:t>
      </w:r>
      <w:r w:rsidRPr="00E7089D">
        <w:rPr>
          <w:rFonts w:ascii="Segoe UI" w:hAnsi="Segoe UI" w:cs="Segoe UI"/>
          <w:color w:val="000000"/>
          <w:sz w:val="21"/>
          <w:szCs w:val="21"/>
          <w:lang w:val="fr-CA"/>
        </w:rPr>
        <w:t xml:space="preserve"> </w:t>
      </w:r>
      <w:r w:rsidRPr="00E7089D">
        <w:rPr>
          <w:lang w:val="fr-CA"/>
        </w:rPr>
        <w:t xml:space="preserve">Ils comprennent une formation obligatoire en personne pour tous les agents de première ligne sur la police impartiale et équitable (FIP), un cours axé sur le rendement conçu pour aider les policiers à comprendre la science des préjugés implicites. Il fournit des outils pratiques pour reconnaître les préjugés et réduire leur influence sur la prise de décisions </w:t>
      </w:r>
      <w:bookmarkEnd w:id="295"/>
      <w:r w:rsidRPr="00E7089D">
        <w:rPr>
          <w:lang w:val="fr-CA"/>
        </w:rPr>
        <w:t>policières.</w:t>
      </w:r>
      <w:r w:rsidRPr="00A7517B">
        <w:rPr>
          <w:lang w:val="fr-CA"/>
        </w:rPr>
        <w:t xml:space="preserve"> </w:t>
      </w:r>
      <w:bookmarkStart w:id="297" w:name="lt_pId556"/>
      <w:r w:rsidRPr="009A4097">
        <w:rPr>
          <w:lang w:val="fr-CA"/>
        </w:rPr>
        <w:t>Les concepts de pratiques policières justes et impartiales ont également été intégrés dans la formation des recrues de la police municipale.</w:t>
      </w:r>
      <w:bookmarkEnd w:id="297"/>
    </w:p>
    <w:p w14:paraId="5002DDF5" w14:textId="7C5D63EE" w:rsidR="00C83F56" w:rsidRPr="00041FF0" w:rsidRDefault="00B97E48" w:rsidP="00B97E48">
      <w:pPr>
        <w:pStyle w:val="H1G"/>
        <w:rPr>
          <w:lang w:val="fr-CA"/>
        </w:rPr>
      </w:pPr>
      <w:bookmarkStart w:id="298" w:name="lt_pId561"/>
      <w:r>
        <w:rPr>
          <w:lang w:val="fr-CA"/>
        </w:rPr>
        <w:tab/>
      </w:r>
      <w:r>
        <w:rPr>
          <w:lang w:val="fr-CA"/>
        </w:rPr>
        <w:tab/>
      </w:r>
      <w:r>
        <w:rPr>
          <w:lang w:val="fr-CA"/>
        </w:rPr>
        <w:tab/>
      </w:r>
      <w:r w:rsidR="00C83F56" w:rsidRPr="00041FF0">
        <w:rPr>
          <w:lang w:val="fr-CA"/>
        </w:rPr>
        <w:t>Représentation dans le système de justice pénale</w:t>
      </w:r>
      <w:bookmarkEnd w:id="298"/>
    </w:p>
    <w:p w14:paraId="1909CFE1" w14:textId="4EA6A357" w:rsidR="00C83F56" w:rsidRPr="00A7517B" w:rsidRDefault="00B97E48" w:rsidP="00B97E48">
      <w:pPr>
        <w:pStyle w:val="H23G"/>
        <w:rPr>
          <w:lang w:val="fr-CA"/>
        </w:rPr>
      </w:pPr>
      <w:bookmarkStart w:id="299" w:name="lt_pId562"/>
      <w:r>
        <w:rPr>
          <w:lang w:val="fr-CA"/>
        </w:rPr>
        <w:tab/>
      </w:r>
      <w:r>
        <w:rPr>
          <w:lang w:val="fr-CA"/>
        </w:rPr>
        <w:tab/>
      </w:r>
      <w:r w:rsidR="00C83F56" w:rsidRPr="00041FF0">
        <w:rPr>
          <w:lang w:val="fr-CA"/>
        </w:rPr>
        <w:t>Collecte de données</w:t>
      </w:r>
      <w:bookmarkEnd w:id="299"/>
    </w:p>
    <w:p w14:paraId="2878B658" w14:textId="77777777" w:rsidR="00C83F56" w:rsidRPr="00A7517B" w:rsidRDefault="00C83F56" w:rsidP="004F23C1">
      <w:pPr>
        <w:pStyle w:val="SingleTxtG"/>
        <w:numPr>
          <w:ilvl w:val="0"/>
          <w:numId w:val="4"/>
        </w:numPr>
        <w:ind w:left="1134" w:firstLine="0"/>
        <w:rPr>
          <w:lang w:val="fr-CA"/>
        </w:rPr>
      </w:pPr>
      <w:bookmarkStart w:id="300" w:name="lt_pId563"/>
      <w:r>
        <w:rPr>
          <w:lang w:val="fr-CA"/>
        </w:rPr>
        <w:t>L’initiative sur l’état du système de justice pénale mesure le rendement du Canada d’après ces indicateurs pertinents :</w:t>
      </w:r>
      <w:bookmarkEnd w:id="300"/>
    </w:p>
    <w:p w14:paraId="7BF191D9" w14:textId="77777777" w:rsidR="00C83F56" w:rsidRPr="00D04252" w:rsidRDefault="00C83F56" w:rsidP="00C40CF5">
      <w:pPr>
        <w:pStyle w:val="Bullet1G"/>
        <w:rPr>
          <w:lang w:val="fr-CA"/>
        </w:rPr>
      </w:pPr>
      <w:bookmarkStart w:id="301" w:name="lt_pId564"/>
      <w:r w:rsidRPr="00D04252">
        <w:rPr>
          <w:lang w:val="fr-CA"/>
        </w:rPr>
        <w:t>Personnes sous surveillance correctionnelle fédérale bénéficiant d’une libération conditionnelle (selon l’identité autochtone et l’identité racisée)</w:t>
      </w:r>
      <w:bookmarkEnd w:id="301"/>
      <w:r w:rsidRPr="00D04252">
        <w:rPr>
          <w:lang w:val="fr-CA"/>
        </w:rPr>
        <w:t xml:space="preserve"> ;</w:t>
      </w:r>
    </w:p>
    <w:p w14:paraId="7D752BF6" w14:textId="77777777" w:rsidR="00C83F56" w:rsidRPr="00D441AB" w:rsidRDefault="00C83F56" w:rsidP="00C40CF5">
      <w:pPr>
        <w:pStyle w:val="Bullet1G"/>
        <w:rPr>
          <w:lang w:val="fr-CA"/>
        </w:rPr>
      </w:pPr>
      <w:bookmarkStart w:id="302" w:name="lt_pId565"/>
      <w:r>
        <w:rPr>
          <w:lang w:val="fr-CA"/>
        </w:rPr>
        <w:t xml:space="preserve">Admissions </w:t>
      </w:r>
      <w:r w:rsidRPr="00DF0B38">
        <w:rPr>
          <w:lang w:val="fr-CA"/>
        </w:rPr>
        <w:t>dans les services correctionnels PT d’adultes et de jeunes qui sont autochtones ou noirs</w:t>
      </w:r>
      <w:bookmarkEnd w:id="302"/>
      <w:r>
        <w:rPr>
          <w:lang w:val="fr-CA"/>
        </w:rPr>
        <w:t>;</w:t>
      </w:r>
    </w:p>
    <w:p w14:paraId="13247F92" w14:textId="77777777" w:rsidR="00C83F56" w:rsidRPr="00D441AB" w:rsidRDefault="00C83F56" w:rsidP="00C40CF5">
      <w:pPr>
        <w:pStyle w:val="Bullet1G"/>
        <w:rPr>
          <w:lang w:val="fr-CA"/>
        </w:rPr>
      </w:pPr>
      <w:bookmarkStart w:id="303" w:name="lt_pId566"/>
      <w:r>
        <w:rPr>
          <w:lang w:val="fr-CA"/>
        </w:rPr>
        <w:t>Admissions d’Autochtones dans les services correctionnels fédéraux</w:t>
      </w:r>
      <w:bookmarkEnd w:id="303"/>
      <w:r>
        <w:rPr>
          <w:lang w:val="fr-CA"/>
        </w:rPr>
        <w:t xml:space="preserve"> ;</w:t>
      </w:r>
    </w:p>
    <w:p w14:paraId="7A3EB99C" w14:textId="77777777" w:rsidR="00C83F56" w:rsidRPr="00D441AB" w:rsidRDefault="00C83F56" w:rsidP="00C40CF5">
      <w:pPr>
        <w:pStyle w:val="Bullet1G"/>
        <w:rPr>
          <w:lang w:val="fr-CA"/>
        </w:rPr>
      </w:pPr>
      <w:bookmarkStart w:id="304" w:name="lt_pId567"/>
      <w:r w:rsidRPr="005414DB">
        <w:rPr>
          <w:lang w:val="fr-CA"/>
        </w:rPr>
        <w:t xml:space="preserve">Représentation des Autochtones et des Noirs dans la population </w:t>
      </w:r>
      <w:r>
        <w:rPr>
          <w:lang w:val="fr-CA"/>
        </w:rPr>
        <w:t>des délinquants fédéraux</w:t>
      </w:r>
      <w:bookmarkEnd w:id="304"/>
      <w:r>
        <w:rPr>
          <w:lang w:val="fr-CA"/>
        </w:rPr>
        <w:t xml:space="preserve"> ; et</w:t>
      </w:r>
    </w:p>
    <w:p w14:paraId="53639101" w14:textId="77777777" w:rsidR="00C83F56" w:rsidRPr="00D441AB" w:rsidRDefault="00C83F56" w:rsidP="00C40CF5">
      <w:pPr>
        <w:pStyle w:val="Bullet1G"/>
        <w:rPr>
          <w:lang w:val="fr-CA"/>
        </w:rPr>
      </w:pPr>
      <w:bookmarkStart w:id="305" w:name="lt_pId568"/>
      <w:r>
        <w:rPr>
          <w:lang w:val="fr-CA"/>
        </w:rPr>
        <w:t>Autochtones désignés comme délinquants dangereux</w:t>
      </w:r>
      <w:bookmarkEnd w:id="305"/>
      <w:r>
        <w:rPr>
          <w:lang w:val="fr-CA"/>
        </w:rPr>
        <w:t>.</w:t>
      </w:r>
    </w:p>
    <w:p w14:paraId="2DBEAC9B" w14:textId="77777777" w:rsidR="00C83F56" w:rsidRPr="00A7517B" w:rsidRDefault="00C83F56" w:rsidP="004F23C1">
      <w:pPr>
        <w:pStyle w:val="SingleTxtG"/>
        <w:numPr>
          <w:ilvl w:val="0"/>
          <w:numId w:val="4"/>
        </w:numPr>
        <w:ind w:left="1134" w:firstLine="0"/>
        <w:rPr>
          <w:lang w:val="fr-CA"/>
        </w:rPr>
      </w:pPr>
      <w:bookmarkStart w:id="306" w:name="lt_pId571"/>
      <w:r w:rsidRPr="009E5CDC">
        <w:rPr>
          <w:lang w:val="fr-CA"/>
        </w:rPr>
        <w:t xml:space="preserve">Le </w:t>
      </w:r>
      <w:r>
        <w:rPr>
          <w:lang w:val="fr-CA"/>
        </w:rPr>
        <w:t>GC</w:t>
      </w:r>
      <w:r w:rsidRPr="009E5CDC">
        <w:rPr>
          <w:lang w:val="fr-CA"/>
        </w:rPr>
        <w:t xml:space="preserve"> mène chaque année un Sondage national sur la justice afin de</w:t>
      </w:r>
      <w:r>
        <w:rPr>
          <w:lang w:val="fr-CA"/>
        </w:rPr>
        <w:t xml:space="preserve"> mieux</w:t>
      </w:r>
      <w:r w:rsidRPr="009E5CDC">
        <w:rPr>
          <w:lang w:val="fr-CA"/>
        </w:rPr>
        <w:t xml:space="preserve"> comprendre les perceptions et les expériences</w:t>
      </w:r>
      <w:r>
        <w:rPr>
          <w:lang w:val="fr-CA"/>
        </w:rPr>
        <w:t xml:space="preserve"> de la population à l’égard du</w:t>
      </w:r>
      <w:r w:rsidRPr="009E5CDC">
        <w:rPr>
          <w:lang w:val="fr-CA"/>
        </w:rPr>
        <w:t xml:space="preserve"> système </w:t>
      </w:r>
      <w:r>
        <w:rPr>
          <w:lang w:val="fr-CA"/>
        </w:rPr>
        <w:t>de justice</w:t>
      </w:r>
      <w:r w:rsidRPr="009E5CDC">
        <w:rPr>
          <w:lang w:val="fr-CA"/>
        </w:rPr>
        <w:t xml:space="preserve"> canadien.</w:t>
      </w:r>
      <w:bookmarkEnd w:id="306"/>
      <w:r w:rsidRPr="00A7517B">
        <w:rPr>
          <w:lang w:val="fr-CA"/>
        </w:rPr>
        <w:t xml:space="preserve"> </w:t>
      </w:r>
      <w:bookmarkStart w:id="307" w:name="lt_pId572"/>
      <w:r>
        <w:rPr>
          <w:lang w:val="fr-CA"/>
        </w:rPr>
        <w:t>Les données sont recueillies de manière à permettre une désagrégation selon l’identité autochtone et racisée.</w:t>
      </w:r>
      <w:bookmarkEnd w:id="307"/>
      <w:r w:rsidRPr="00A7517B">
        <w:rPr>
          <w:lang w:val="fr-CA"/>
        </w:rPr>
        <w:t xml:space="preserve"> </w:t>
      </w:r>
    </w:p>
    <w:p w14:paraId="06F0769A" w14:textId="77777777" w:rsidR="00C83F56" w:rsidRPr="00A7517B" w:rsidRDefault="00C83F56" w:rsidP="004F23C1">
      <w:pPr>
        <w:pStyle w:val="SingleTxtG"/>
        <w:numPr>
          <w:ilvl w:val="0"/>
          <w:numId w:val="4"/>
        </w:numPr>
        <w:ind w:left="1134" w:firstLine="0"/>
        <w:rPr>
          <w:lang w:val="fr-CA"/>
        </w:rPr>
      </w:pPr>
      <w:bookmarkStart w:id="308" w:name="lt_pId573"/>
      <w:r w:rsidRPr="009E5CDC">
        <w:rPr>
          <w:lang w:val="fr-CA"/>
        </w:rPr>
        <w:t xml:space="preserve">Le </w:t>
      </w:r>
      <w:r>
        <w:rPr>
          <w:lang w:val="fr-CA"/>
        </w:rPr>
        <w:t>GC</w:t>
      </w:r>
      <w:r w:rsidRPr="009E5CDC">
        <w:rPr>
          <w:lang w:val="fr-CA"/>
        </w:rPr>
        <w:t xml:space="preserve"> a lancé l</w:t>
      </w:r>
      <w:r>
        <w:rPr>
          <w:lang w:val="fr-CA"/>
        </w:rPr>
        <w:t>’</w:t>
      </w:r>
      <w:r w:rsidRPr="009E5CDC">
        <w:rPr>
          <w:lang w:val="fr-CA"/>
        </w:rPr>
        <w:t>Initiative de modernisation des données de la justice afin de mieux mesurer et traiter la surreprésentation des Autochtones, des Noirs et des autres personnes racisées dans le système de justice pénale.</w:t>
      </w:r>
      <w:bookmarkEnd w:id="308"/>
      <w:r w:rsidRPr="00A7517B">
        <w:rPr>
          <w:lang w:val="fr-CA"/>
        </w:rPr>
        <w:t xml:space="preserve"> </w:t>
      </w:r>
      <w:bookmarkStart w:id="309" w:name="lt_pId574"/>
      <w:r>
        <w:rPr>
          <w:lang w:val="fr-CA"/>
        </w:rPr>
        <w:t>Des recherches sont menées et commandées pour comprendre comment l’infrastructure sociale peut être exploitée en vue d’améliorer le bien-être des personnes et des communautés, réduire la criminalisation et remédier à la surreprésentation.</w:t>
      </w:r>
      <w:bookmarkEnd w:id="309"/>
    </w:p>
    <w:p w14:paraId="52029F93" w14:textId="77777777" w:rsidR="00C83F56" w:rsidRPr="00A7517B" w:rsidRDefault="00C83F56" w:rsidP="004F23C1">
      <w:pPr>
        <w:pStyle w:val="SingleTxtG"/>
        <w:numPr>
          <w:ilvl w:val="0"/>
          <w:numId w:val="4"/>
        </w:numPr>
        <w:ind w:left="1134" w:firstLine="0"/>
        <w:rPr>
          <w:lang w:val="fr-CA"/>
        </w:rPr>
      </w:pPr>
      <w:bookmarkStart w:id="310" w:name="lt_pId575"/>
      <w:r>
        <w:rPr>
          <w:lang w:val="fr-CA"/>
        </w:rPr>
        <w:t>Le GC publie régulièrement des rapports en ligne sur des questions liées à la surreprésentation des Autochtones, des Noirs et d’autres personnes racisées dans le système de justice pénale, et sur les différences de résultats fondées sur l’identité autochtone et racisée.</w:t>
      </w:r>
      <w:bookmarkEnd w:id="310"/>
      <w:r w:rsidRPr="00A7517B">
        <w:rPr>
          <w:lang w:val="fr-CA"/>
        </w:rPr>
        <w:t xml:space="preserve"> </w:t>
      </w:r>
    </w:p>
    <w:p w14:paraId="49B0BBFE" w14:textId="77777777" w:rsidR="00C83F56" w:rsidRPr="00A7517B" w:rsidRDefault="00C83F56" w:rsidP="004F23C1">
      <w:pPr>
        <w:pStyle w:val="SingleTxtG"/>
        <w:numPr>
          <w:ilvl w:val="0"/>
          <w:numId w:val="4"/>
        </w:numPr>
        <w:ind w:left="1134" w:firstLine="0"/>
        <w:rPr>
          <w:lang w:val="fr-CA"/>
        </w:rPr>
      </w:pPr>
      <w:bookmarkStart w:id="311" w:name="lt_pId576"/>
      <w:r w:rsidRPr="00CB2960">
        <w:rPr>
          <w:lang w:val="fr-CA"/>
        </w:rPr>
        <w:t>Le</w:t>
      </w:r>
      <w:r>
        <w:rPr>
          <w:lang w:val="fr-CA"/>
        </w:rPr>
        <w:t>s</w:t>
      </w:r>
      <w:r w:rsidRPr="00CB2960">
        <w:rPr>
          <w:lang w:val="fr-CA"/>
        </w:rPr>
        <w:t xml:space="preserve"> </w:t>
      </w:r>
      <w:r>
        <w:rPr>
          <w:lang w:val="fr-CA"/>
        </w:rPr>
        <w:t>s</w:t>
      </w:r>
      <w:r w:rsidRPr="00CB2960">
        <w:rPr>
          <w:lang w:val="fr-CA"/>
        </w:rPr>
        <w:t>ervice</w:t>
      </w:r>
      <w:r>
        <w:rPr>
          <w:lang w:val="fr-CA"/>
        </w:rPr>
        <w:t>s</w:t>
      </w:r>
      <w:r w:rsidRPr="00CB2960">
        <w:rPr>
          <w:lang w:val="fr-CA"/>
        </w:rPr>
        <w:t xml:space="preserve"> correctionnel</w:t>
      </w:r>
      <w:r>
        <w:rPr>
          <w:lang w:val="fr-CA"/>
        </w:rPr>
        <w:t>s</w:t>
      </w:r>
      <w:r w:rsidRPr="00CB2960">
        <w:rPr>
          <w:lang w:val="fr-CA"/>
        </w:rPr>
        <w:t xml:space="preserve"> de la Colombie-Britannique utilise</w:t>
      </w:r>
      <w:r>
        <w:rPr>
          <w:lang w:val="fr-CA"/>
        </w:rPr>
        <w:t>nt le système</w:t>
      </w:r>
      <w:r w:rsidRPr="00CB2960">
        <w:rPr>
          <w:lang w:val="fr-CA"/>
        </w:rPr>
        <w:t xml:space="preserve"> CORNET (</w:t>
      </w:r>
      <w:r w:rsidRPr="000D6BBE">
        <w:rPr>
          <w:i/>
          <w:iCs/>
          <w:lang w:val="fr-CA"/>
        </w:rPr>
        <w:t xml:space="preserve">Corrections </w:t>
      </w:r>
      <w:proofErr w:type="spellStart"/>
      <w:r w:rsidRPr="000D6BBE">
        <w:rPr>
          <w:i/>
          <w:iCs/>
          <w:lang w:val="fr-CA"/>
        </w:rPr>
        <w:t>Offender</w:t>
      </w:r>
      <w:proofErr w:type="spellEnd"/>
      <w:r w:rsidRPr="000D6BBE">
        <w:rPr>
          <w:i/>
          <w:iCs/>
          <w:lang w:val="fr-CA"/>
        </w:rPr>
        <w:t xml:space="preserve"> Network</w:t>
      </w:r>
      <w:r w:rsidRPr="00CB2960">
        <w:rPr>
          <w:lang w:val="fr-CA"/>
        </w:rPr>
        <w:t>) pour recueillir des données sur la race et l</w:t>
      </w:r>
      <w:r>
        <w:rPr>
          <w:lang w:val="fr-CA"/>
        </w:rPr>
        <w:t>’</w:t>
      </w:r>
      <w:r w:rsidRPr="00CB2960">
        <w:rPr>
          <w:lang w:val="fr-CA"/>
        </w:rPr>
        <w:t>identité autochtone</w:t>
      </w:r>
      <w:r>
        <w:rPr>
          <w:lang w:val="fr-CA"/>
        </w:rPr>
        <w:t xml:space="preserve">. Ces </w:t>
      </w:r>
      <w:r w:rsidRPr="00CB2960">
        <w:rPr>
          <w:lang w:val="fr-CA"/>
        </w:rPr>
        <w:t>données</w:t>
      </w:r>
      <w:r>
        <w:rPr>
          <w:lang w:val="fr-CA"/>
        </w:rPr>
        <w:t xml:space="preserve"> servent à produire</w:t>
      </w:r>
      <w:r w:rsidRPr="00CB2960">
        <w:rPr>
          <w:lang w:val="fr-CA"/>
        </w:rPr>
        <w:t xml:space="preserve"> des rapports sur la surreprésentation</w:t>
      </w:r>
      <w:r>
        <w:rPr>
          <w:lang w:val="fr-CA"/>
        </w:rPr>
        <w:t>, notamment</w:t>
      </w:r>
      <w:bookmarkStart w:id="312" w:name="lt_pId577"/>
      <w:bookmarkEnd w:id="311"/>
      <w:r>
        <w:rPr>
          <w:lang w:val="fr-CA"/>
        </w:rPr>
        <w:t xml:space="preserve"> les taux d’incarcération des personnes autochtones (en détention provisoire et après condamnation), qui sont publiés chaque année dans le Plan stratégique du Conseil de la justice et de la sécurité </w:t>
      </w:r>
      <w:r w:rsidRPr="000E1800">
        <w:rPr>
          <w:lang w:val="fr-CA"/>
        </w:rPr>
        <w:t>publique.</w:t>
      </w:r>
      <w:bookmarkEnd w:id="312"/>
      <w:r w:rsidRPr="000E1800">
        <w:rPr>
          <w:lang w:val="fr-CA"/>
        </w:rPr>
        <w:t xml:space="preserve"> </w:t>
      </w:r>
      <w:bookmarkStart w:id="313" w:name="lt_pId578"/>
      <w:r>
        <w:rPr>
          <w:lang w:val="fr-CA"/>
        </w:rPr>
        <w:t>La province contribue</w:t>
      </w:r>
      <w:r w:rsidRPr="000E1800">
        <w:rPr>
          <w:lang w:val="fr-CA"/>
        </w:rPr>
        <w:t xml:space="preserve"> également à plusieurs initiatives de l’Entreprise nationale relative à la statistique juridique</w:t>
      </w:r>
      <w:r>
        <w:rPr>
          <w:lang w:val="fr-CA"/>
        </w:rPr>
        <w:t xml:space="preserve"> (ENRSJ) en fournissant des</w:t>
      </w:r>
      <w:r w:rsidRPr="000E1800">
        <w:rPr>
          <w:lang w:val="fr-CA"/>
        </w:rPr>
        <w:t xml:space="preserve"> données administratives </w:t>
      </w:r>
      <w:r>
        <w:rPr>
          <w:lang w:val="fr-CA"/>
        </w:rPr>
        <w:t xml:space="preserve">désagrégées </w:t>
      </w:r>
      <w:r w:rsidRPr="000E1800">
        <w:rPr>
          <w:lang w:val="fr-CA"/>
        </w:rPr>
        <w:t>à l’Enquête sur les services correctionnels canadiens</w:t>
      </w:r>
      <w:r>
        <w:rPr>
          <w:lang w:val="fr-CA"/>
        </w:rPr>
        <w:t xml:space="preserve"> (ESCC)</w:t>
      </w:r>
      <w:r w:rsidRPr="000E1800">
        <w:rPr>
          <w:lang w:val="fr-CA"/>
        </w:rPr>
        <w:t>.</w:t>
      </w:r>
      <w:bookmarkEnd w:id="313"/>
      <w:r w:rsidRPr="00A7517B">
        <w:rPr>
          <w:lang w:val="fr-CA"/>
        </w:rPr>
        <w:t xml:space="preserve"> </w:t>
      </w:r>
      <w:bookmarkStart w:id="314" w:name="lt_pId579"/>
      <w:r>
        <w:rPr>
          <w:lang w:val="fr-CA"/>
        </w:rPr>
        <w:t>Grâce à ces données, Statistique </w:t>
      </w:r>
      <w:r w:rsidRPr="00CB2960">
        <w:rPr>
          <w:lang w:val="fr-CA"/>
        </w:rPr>
        <w:t xml:space="preserve">Canada publie régulièrement des rapports sur la surreprésentation des Autochtones et </w:t>
      </w:r>
      <w:r w:rsidRPr="00E7089D">
        <w:rPr>
          <w:lang w:val="fr-CA"/>
        </w:rPr>
        <w:t>personnes racisées</w:t>
      </w:r>
      <w:r w:rsidRPr="00D71BCC">
        <w:rPr>
          <w:lang w:val="fr-CA"/>
        </w:rPr>
        <w:t xml:space="preserve"> </w:t>
      </w:r>
      <w:r w:rsidRPr="00CB2960">
        <w:rPr>
          <w:lang w:val="fr-CA"/>
        </w:rPr>
        <w:t>dans le</w:t>
      </w:r>
      <w:r>
        <w:rPr>
          <w:lang w:val="fr-CA"/>
        </w:rPr>
        <w:t xml:space="preserve"> système</w:t>
      </w:r>
      <w:r w:rsidRPr="00CB2960">
        <w:rPr>
          <w:lang w:val="fr-CA"/>
        </w:rPr>
        <w:t xml:space="preserve"> correctionnel.</w:t>
      </w:r>
      <w:bookmarkEnd w:id="314"/>
    </w:p>
    <w:p w14:paraId="1C28E734" w14:textId="4F83564A" w:rsidR="00C83F56" w:rsidRPr="00A7517B" w:rsidRDefault="00C40CF5" w:rsidP="00391194">
      <w:pPr>
        <w:pStyle w:val="H23G"/>
        <w:rPr>
          <w:lang w:val="fr-CA"/>
        </w:rPr>
      </w:pPr>
      <w:bookmarkStart w:id="315" w:name="lt_pId580"/>
      <w:r>
        <w:rPr>
          <w:lang w:val="fr-CA"/>
        </w:rPr>
        <w:tab/>
      </w:r>
      <w:r>
        <w:rPr>
          <w:lang w:val="fr-CA"/>
        </w:rPr>
        <w:tab/>
      </w:r>
      <w:r w:rsidR="00C83F56" w:rsidRPr="51A13573">
        <w:rPr>
          <w:lang w:val="fr-CA"/>
        </w:rPr>
        <w:t>Incarcération disproportionnée</w:t>
      </w:r>
      <w:bookmarkEnd w:id="315"/>
    </w:p>
    <w:p w14:paraId="683A66E4" w14:textId="77777777" w:rsidR="00C83F56" w:rsidRPr="005F1762" w:rsidRDefault="00C83F56" w:rsidP="004F23C1">
      <w:pPr>
        <w:pStyle w:val="SingleTxtG"/>
        <w:numPr>
          <w:ilvl w:val="0"/>
          <w:numId w:val="4"/>
        </w:numPr>
        <w:ind w:left="1134" w:firstLine="0"/>
        <w:rPr>
          <w:lang w:val="fr-CA"/>
        </w:rPr>
      </w:pPr>
      <w:r w:rsidRPr="005F1762">
        <w:rPr>
          <w:lang w:val="fr-CA"/>
        </w:rPr>
        <w:t>Les personnes noires représentent 9 % de la population carcérale fédérale (en détention ou sous surveillance dans la collectivité)</w:t>
      </w:r>
      <w:r>
        <w:rPr>
          <w:lang w:val="fr-CA"/>
        </w:rPr>
        <w:t xml:space="preserve"> en 2020-2021</w:t>
      </w:r>
      <w:r w:rsidRPr="005F1762">
        <w:rPr>
          <w:lang w:val="fr-CA"/>
        </w:rPr>
        <w:t xml:space="preserve">, alors qu’ils constituent 4 % de la population canadienne. </w:t>
      </w:r>
      <w:r>
        <w:rPr>
          <w:lang w:val="fr-CA"/>
        </w:rPr>
        <w:t>E</w:t>
      </w:r>
      <w:r w:rsidRPr="00D71BCC">
        <w:rPr>
          <w:lang w:val="fr-CA"/>
        </w:rPr>
        <w:t>n réponse aux demandes visant à mieux comprendre les expériences des peuples autochtones et des personnes noires dans le système de justice, Statistique Canada a lancé une initiative visant à recueillir des données désagrégées plus détaillées sur les crimes déclarés par la police.</w:t>
      </w:r>
    </w:p>
    <w:p w14:paraId="238A3117" w14:textId="77777777" w:rsidR="00C83F56" w:rsidRPr="00A7517B" w:rsidRDefault="00C83F56" w:rsidP="004F23C1">
      <w:pPr>
        <w:pStyle w:val="SingleTxtG"/>
        <w:numPr>
          <w:ilvl w:val="0"/>
          <w:numId w:val="4"/>
        </w:numPr>
        <w:ind w:left="1134" w:firstLine="0"/>
        <w:rPr>
          <w:lang w:val="fr-CA"/>
        </w:rPr>
      </w:pPr>
      <w:bookmarkStart w:id="316" w:name="lt_pId582"/>
      <w:r w:rsidRPr="00665932">
        <w:rPr>
          <w:lang w:val="fr-CA"/>
        </w:rPr>
        <w:t>En</w:t>
      </w:r>
      <w:r>
        <w:rPr>
          <w:lang w:val="fr-CA"/>
        </w:rPr>
        <w:t> </w:t>
      </w:r>
      <w:r w:rsidRPr="00665932">
        <w:rPr>
          <w:lang w:val="fr-CA"/>
        </w:rPr>
        <w:t xml:space="preserve">2023, le </w:t>
      </w:r>
      <w:r>
        <w:rPr>
          <w:lang w:val="fr-CA"/>
        </w:rPr>
        <w:t xml:space="preserve">GC </w:t>
      </w:r>
      <w:r w:rsidRPr="00665932">
        <w:rPr>
          <w:lang w:val="fr-CA"/>
        </w:rPr>
        <w:t>a publié des lignes directrices révisées sur les décisions de poursuites.</w:t>
      </w:r>
      <w:bookmarkEnd w:id="316"/>
      <w:r w:rsidRPr="00A7517B">
        <w:rPr>
          <w:lang w:val="fr-CA"/>
        </w:rPr>
        <w:t xml:space="preserve"> </w:t>
      </w:r>
      <w:bookmarkStart w:id="317" w:name="lt_pId583"/>
      <w:r>
        <w:rPr>
          <w:lang w:val="fr-CA"/>
        </w:rPr>
        <w:t>La directive actualisée fournit des conseils sur la façon dont les procureurs peuvent éviter de contribuer à la surreprésentation.</w:t>
      </w:r>
      <w:bookmarkEnd w:id="317"/>
      <w:r w:rsidRPr="00A7517B">
        <w:rPr>
          <w:lang w:val="fr-CA"/>
        </w:rPr>
        <w:t xml:space="preserve"> </w:t>
      </w:r>
    </w:p>
    <w:p w14:paraId="078A074A" w14:textId="77777777" w:rsidR="00C83F56" w:rsidRPr="003119DA" w:rsidRDefault="00C83F56" w:rsidP="004F23C1">
      <w:pPr>
        <w:pStyle w:val="SingleTxtG"/>
        <w:numPr>
          <w:ilvl w:val="0"/>
          <w:numId w:val="4"/>
        </w:numPr>
        <w:ind w:left="1134" w:firstLine="0"/>
        <w:rPr>
          <w:lang w:val="fr-CA"/>
        </w:rPr>
      </w:pPr>
      <w:bookmarkStart w:id="318" w:name="lt_pId584"/>
      <w:r w:rsidRPr="003D1923">
        <w:rPr>
          <w:lang w:val="fr-CA"/>
        </w:rPr>
        <w:t>Pour remédier aux taux élevés de surreprésentation des jeunes Canadiens noirs et autochtones dans le système de justice pénale, le dernier appel à propositions du Fonds d</w:t>
      </w:r>
      <w:r>
        <w:rPr>
          <w:lang w:val="fr-CA"/>
        </w:rPr>
        <w:t>’</w:t>
      </w:r>
      <w:r w:rsidRPr="003D1923">
        <w:rPr>
          <w:lang w:val="fr-CA"/>
        </w:rPr>
        <w:t>action en prévention du crime de la Stratégie nationale pour la prévention du crime s</w:t>
      </w:r>
      <w:r>
        <w:rPr>
          <w:lang w:val="fr-CA"/>
        </w:rPr>
        <w:t>’</w:t>
      </w:r>
      <w:r w:rsidRPr="003D1923">
        <w:rPr>
          <w:lang w:val="fr-CA"/>
        </w:rPr>
        <w:t>est concentré sur les besoins des jeunes Noirs et autochtones à risque.</w:t>
      </w:r>
      <w:bookmarkEnd w:id="318"/>
      <w:r w:rsidRPr="00A7517B">
        <w:rPr>
          <w:lang w:val="fr-CA"/>
        </w:rPr>
        <w:t xml:space="preserve"> </w:t>
      </w:r>
      <w:bookmarkStart w:id="319" w:name="lt_pId585"/>
      <w:r w:rsidRPr="003D1923">
        <w:rPr>
          <w:lang w:val="fr-CA"/>
        </w:rPr>
        <w:t>Ce fonds a financé 34</w:t>
      </w:r>
      <w:r>
        <w:rPr>
          <w:lang w:val="fr-CA"/>
        </w:rPr>
        <w:t> </w:t>
      </w:r>
      <w:r w:rsidRPr="003D1923">
        <w:rPr>
          <w:lang w:val="fr-CA"/>
        </w:rPr>
        <w:t>projets pour un investissement de plus de 83</w:t>
      </w:r>
      <w:r>
        <w:rPr>
          <w:lang w:val="fr-CA"/>
        </w:rPr>
        <w:t> </w:t>
      </w:r>
      <w:r w:rsidRPr="003D1923">
        <w:rPr>
          <w:lang w:val="fr-CA"/>
        </w:rPr>
        <w:t>millions de dollars sur 5 ans, afin de réduire les facteurs de risque chez les jeunes.</w:t>
      </w:r>
      <w:bookmarkEnd w:id="319"/>
    </w:p>
    <w:p w14:paraId="554663BE" w14:textId="77777777" w:rsidR="00C83F56" w:rsidRDefault="00C83F56" w:rsidP="004F23C1">
      <w:pPr>
        <w:pStyle w:val="SingleTxtG"/>
        <w:numPr>
          <w:ilvl w:val="0"/>
          <w:numId w:val="4"/>
        </w:numPr>
        <w:ind w:left="1134" w:firstLine="0"/>
        <w:rPr>
          <w:lang w:val="fr-CA"/>
        </w:rPr>
      </w:pPr>
      <w:bookmarkStart w:id="320" w:name="lt_pId586"/>
      <w:r w:rsidRPr="00D2393F">
        <w:rPr>
          <w:lang w:val="fr-CA"/>
        </w:rPr>
        <w:t>Les évaluations de l’incidence de l’origine ethnique et culturelle (EIOEC) visent à combattre la surreprésentation, le racisme systémique et la discrimination touchant les personnes noires et racisées dans le système de justice pénale. Ces rapports pré</w:t>
      </w:r>
      <w:r>
        <w:rPr>
          <w:lang w:val="fr-CA"/>
        </w:rPr>
        <w:t>-</w:t>
      </w:r>
      <w:r w:rsidRPr="00D2393F">
        <w:rPr>
          <w:lang w:val="fr-CA"/>
        </w:rPr>
        <w:t>sentenciels exposent les circonstances et difficultés propres à chaque accusé. Des ententes avec des organisations non gouvernementales assurent la formation des évaluateurs, des juges et des professionnels du droit, tandis que des partenariats avec les provinces, territoires et régimes d’aide juridique permettent de financer les EIOEC pour les clients admissibles. Les progrès sont suivis au moyen de rapports, de paiements provisoires et de données statistiques. Parallèlement, l’initiative pilote des Centres juridiques communautaires (CJC) intègre les services de justice, de santé, d’emploi, d’éducation et de soutien social afin de s’attaquer aux causes profondes de la criminalité, de réduire la récidive et d’améliorer le bien-être communautaire. En offrant des services culturellement adaptés, les CJC contribuent à réduire la surreprésentation des Autochtones et des personnes noires dans le système judiciaire et à répondre aux enjeux systémiques.</w:t>
      </w:r>
    </w:p>
    <w:p w14:paraId="086D6344" w14:textId="77777777" w:rsidR="00C83F56" w:rsidRPr="00A7517B" w:rsidRDefault="00C83F56" w:rsidP="004F23C1">
      <w:pPr>
        <w:pStyle w:val="SingleTxtG"/>
        <w:numPr>
          <w:ilvl w:val="0"/>
          <w:numId w:val="4"/>
        </w:numPr>
        <w:ind w:left="1134" w:firstLine="0"/>
        <w:rPr>
          <w:lang w:val="fr-CA"/>
        </w:rPr>
      </w:pPr>
      <w:r>
        <w:rPr>
          <w:lang w:val="fr-CA"/>
        </w:rPr>
        <w:t>Au Québec, le soutien aux structures de justice communautaire dans les communautés autochtones, tant urbaines que rurales, permet à ces communautés de jouer un rôle actif dans le système judiciaire.</w:t>
      </w:r>
      <w:bookmarkEnd w:id="320"/>
      <w:r w:rsidRPr="00A7517B">
        <w:rPr>
          <w:lang w:val="fr-CA"/>
        </w:rPr>
        <w:t xml:space="preserve"> </w:t>
      </w:r>
      <w:bookmarkStart w:id="321" w:name="lt_pId587"/>
      <w:r>
        <w:rPr>
          <w:lang w:val="fr-CA"/>
        </w:rPr>
        <w:t>Divers programmes d’adaptabilité et de justice réparatrice ont été mis en place ces dernières années pour réduire le phénomène des « portes tournantes » dans la population générale, mais avec des adaptations pour les délinquants autochtones.</w:t>
      </w:r>
      <w:bookmarkEnd w:id="321"/>
    </w:p>
    <w:p w14:paraId="6785E91D" w14:textId="77777777" w:rsidR="00C83F56" w:rsidRPr="00A7517B" w:rsidRDefault="00C83F56" w:rsidP="004F23C1">
      <w:pPr>
        <w:pStyle w:val="SingleTxtG"/>
        <w:numPr>
          <w:ilvl w:val="0"/>
          <w:numId w:val="4"/>
        </w:numPr>
        <w:ind w:left="1134" w:firstLine="0"/>
        <w:rPr>
          <w:lang w:val="fr-CA"/>
        </w:rPr>
      </w:pPr>
      <w:bookmarkStart w:id="322" w:name="lt_pId588"/>
      <w:r w:rsidRPr="003D1923">
        <w:rPr>
          <w:lang w:val="fr-CA"/>
        </w:rPr>
        <w:t>Le Service correctionnel de la Colombie-Britannique collabore avec d</w:t>
      </w:r>
      <w:r>
        <w:rPr>
          <w:lang w:val="fr-CA"/>
        </w:rPr>
        <w:t>’</w:t>
      </w:r>
      <w:r w:rsidRPr="003D1923">
        <w:rPr>
          <w:lang w:val="fr-CA"/>
        </w:rPr>
        <w:t>autres partenaires du gouvernement provincial pour soutenir la mise en œuvre de la Stratégie de justice des Premières Nations et de la Stratégie de justice des Métis, dans le but de ré</w:t>
      </w:r>
      <w:r>
        <w:rPr>
          <w:lang w:val="fr-CA"/>
        </w:rPr>
        <w:t>duire la surreprésentation des A</w:t>
      </w:r>
      <w:r w:rsidRPr="003D1923">
        <w:rPr>
          <w:lang w:val="fr-CA"/>
        </w:rPr>
        <w:t>utochtones en détention.</w:t>
      </w:r>
      <w:bookmarkEnd w:id="322"/>
      <w:r w:rsidRPr="00A7517B">
        <w:rPr>
          <w:lang w:val="fr-CA"/>
        </w:rPr>
        <w:t xml:space="preserve"> </w:t>
      </w:r>
      <w:bookmarkStart w:id="323" w:name="lt_pId589"/>
      <w:r>
        <w:rPr>
          <w:lang w:val="fr-CA"/>
        </w:rPr>
        <w:t>Ces stratégies s’appuient sur les travaux visant à ce que l’incarcération des peuples autochtones connaisse une diminution.</w:t>
      </w:r>
      <w:bookmarkEnd w:id="323"/>
    </w:p>
    <w:p w14:paraId="174CED55" w14:textId="153A30EB" w:rsidR="00C83F56" w:rsidRPr="00A7517B" w:rsidRDefault="00C40CF5" w:rsidP="00391194">
      <w:pPr>
        <w:pStyle w:val="H23G"/>
        <w:rPr>
          <w:lang w:val="fr-CA"/>
        </w:rPr>
      </w:pPr>
      <w:bookmarkStart w:id="324" w:name="lt_pId590"/>
      <w:r>
        <w:rPr>
          <w:lang w:val="fr-CA"/>
        </w:rPr>
        <w:tab/>
      </w:r>
      <w:r>
        <w:rPr>
          <w:lang w:val="fr-CA"/>
        </w:rPr>
        <w:tab/>
      </w:r>
      <w:r w:rsidR="00C83F56">
        <w:rPr>
          <w:lang w:val="fr-CA"/>
        </w:rPr>
        <w:t>Alternatives</w:t>
      </w:r>
      <w:r w:rsidR="00C83F56" w:rsidRPr="00BB7693">
        <w:rPr>
          <w:lang w:val="fr-CA"/>
        </w:rPr>
        <w:t xml:space="preserve"> à l’emprisonnement</w:t>
      </w:r>
      <w:bookmarkEnd w:id="324"/>
    </w:p>
    <w:p w14:paraId="7D3989A7" w14:textId="77777777" w:rsidR="00C83F56" w:rsidRPr="00A7517B" w:rsidRDefault="00C83F56" w:rsidP="004F23C1">
      <w:pPr>
        <w:pStyle w:val="SingleTxtG"/>
        <w:numPr>
          <w:ilvl w:val="0"/>
          <w:numId w:val="4"/>
        </w:numPr>
        <w:ind w:left="1134" w:firstLine="0"/>
        <w:rPr>
          <w:lang w:val="fr-CA"/>
        </w:rPr>
      </w:pPr>
      <w:bookmarkStart w:id="325" w:name="lt_pId591"/>
      <w:r>
        <w:rPr>
          <w:lang w:val="fr-CA"/>
        </w:rPr>
        <w:t xml:space="preserve">En 2022, le </w:t>
      </w:r>
      <w:r w:rsidRPr="00BB7693">
        <w:rPr>
          <w:i/>
          <w:lang w:val="fr-CA"/>
        </w:rPr>
        <w:t xml:space="preserve">Code criminel </w:t>
      </w:r>
      <w:r w:rsidRPr="00E7089D">
        <w:rPr>
          <w:iCs/>
          <w:lang w:val="fr-CA"/>
        </w:rPr>
        <w:t>et</w:t>
      </w:r>
      <w:r>
        <w:rPr>
          <w:iCs/>
          <w:lang w:val="fr-CA"/>
        </w:rPr>
        <w:t xml:space="preserve"> à</w:t>
      </w:r>
      <w:r w:rsidRPr="00E7089D">
        <w:rPr>
          <w:iCs/>
          <w:lang w:val="fr-CA"/>
        </w:rPr>
        <w:t xml:space="preserve"> la</w:t>
      </w:r>
      <w:r w:rsidRPr="00BB7693">
        <w:rPr>
          <w:i/>
          <w:lang w:val="fr-CA"/>
        </w:rPr>
        <w:t xml:space="preserve"> Loi réglementant certaines drogues et autres substances</w:t>
      </w:r>
      <w:r w:rsidRPr="00BB7693">
        <w:rPr>
          <w:lang w:val="fr-CA"/>
        </w:rPr>
        <w:t xml:space="preserve"> </w:t>
      </w:r>
      <w:bookmarkStart w:id="326" w:name="lt_pId592"/>
      <w:bookmarkEnd w:id="325"/>
      <w:r>
        <w:rPr>
          <w:lang w:val="fr-CA"/>
        </w:rPr>
        <w:t>ont été modifiés pour</w:t>
      </w:r>
      <w:r w:rsidRPr="003D1923">
        <w:rPr>
          <w:lang w:val="fr-CA"/>
        </w:rPr>
        <w:t xml:space="preserve"> abrog</w:t>
      </w:r>
      <w:r>
        <w:rPr>
          <w:lang w:val="fr-CA"/>
        </w:rPr>
        <w:t>er</w:t>
      </w:r>
      <w:r w:rsidRPr="003D1923">
        <w:rPr>
          <w:lang w:val="fr-CA"/>
        </w:rPr>
        <w:t xml:space="preserve"> les peines minimales obligatoires pour toutes les infractions</w:t>
      </w:r>
      <w:r>
        <w:rPr>
          <w:lang w:val="fr-CA"/>
        </w:rPr>
        <w:t xml:space="preserve"> prévues dans</w:t>
      </w:r>
      <w:r w:rsidRPr="003D1923">
        <w:rPr>
          <w:lang w:val="fr-CA"/>
        </w:rPr>
        <w:t xml:space="preserve"> </w:t>
      </w:r>
      <w:r w:rsidRPr="00D26B3E">
        <w:rPr>
          <w:lang w:val="fr-CA"/>
        </w:rPr>
        <w:t xml:space="preserve">la </w:t>
      </w:r>
      <w:r w:rsidRPr="003D1923">
        <w:rPr>
          <w:i/>
          <w:lang w:val="fr-CA"/>
        </w:rPr>
        <w:t>Loi réglementant certaines drogues et autres substances</w:t>
      </w:r>
      <w:r w:rsidRPr="003D1923">
        <w:rPr>
          <w:lang w:val="fr-CA"/>
        </w:rPr>
        <w:t xml:space="preserve">, ainsi que pour certaines infractions au </w:t>
      </w:r>
      <w:r w:rsidRPr="00E7089D">
        <w:rPr>
          <w:i/>
          <w:iCs/>
          <w:lang w:val="fr-CA"/>
        </w:rPr>
        <w:t>Code criminel</w:t>
      </w:r>
      <w:r w:rsidRPr="003D1923">
        <w:rPr>
          <w:lang w:val="fr-CA"/>
        </w:rPr>
        <w:t xml:space="preserve"> qui ont </w:t>
      </w:r>
      <w:r>
        <w:rPr>
          <w:lang w:val="fr-CA"/>
        </w:rPr>
        <w:t>largement</w:t>
      </w:r>
      <w:r w:rsidRPr="003D1923">
        <w:rPr>
          <w:lang w:val="fr-CA"/>
        </w:rPr>
        <w:t xml:space="preserve"> contribué à la surreprésentation des Autochtones, des </w:t>
      </w:r>
      <w:r>
        <w:rPr>
          <w:lang w:val="fr-CA"/>
        </w:rPr>
        <w:t>personnes n</w:t>
      </w:r>
      <w:r w:rsidRPr="003D1923">
        <w:rPr>
          <w:lang w:val="fr-CA"/>
        </w:rPr>
        <w:t xml:space="preserve">oirs et des membres de communautés </w:t>
      </w:r>
      <w:r>
        <w:rPr>
          <w:lang w:val="fr-CA"/>
        </w:rPr>
        <w:t xml:space="preserve">racisées </w:t>
      </w:r>
      <w:r w:rsidRPr="003D1923">
        <w:rPr>
          <w:lang w:val="fr-CA"/>
        </w:rPr>
        <w:t>en détention.</w:t>
      </w:r>
      <w:bookmarkEnd w:id="326"/>
      <w:r w:rsidRPr="00A7517B">
        <w:rPr>
          <w:lang w:val="fr-CA"/>
        </w:rPr>
        <w:t xml:space="preserve"> </w:t>
      </w:r>
      <w:bookmarkStart w:id="327" w:name="lt_pId593"/>
      <w:r w:rsidRPr="00F147BA">
        <w:rPr>
          <w:lang w:val="fr-CA"/>
        </w:rPr>
        <w:t xml:space="preserve">Les modifications apportées sont aussi venues élargir l’accès aux ordonnances de sursis, autrement dit à la détention à domicile, permettant ainsi </w:t>
      </w:r>
      <w:r>
        <w:rPr>
          <w:lang w:val="fr-CA"/>
        </w:rPr>
        <w:t>aux juges d’imposer des peines proportionnelles à la gravité de l’infraction en préservant la sécurité publique.</w:t>
      </w:r>
      <w:bookmarkEnd w:id="327"/>
      <w:r w:rsidRPr="00A7517B">
        <w:rPr>
          <w:lang w:val="fr-CA"/>
        </w:rPr>
        <w:t xml:space="preserve"> </w:t>
      </w:r>
      <w:bookmarkStart w:id="328" w:name="lt_pId594"/>
      <w:r w:rsidRPr="003D1923">
        <w:rPr>
          <w:lang w:val="fr-CA"/>
        </w:rPr>
        <w:t xml:space="preserve">Enfin, </w:t>
      </w:r>
      <w:r>
        <w:rPr>
          <w:lang w:val="fr-CA"/>
        </w:rPr>
        <w:t>elles permettent un plus grand recours aux mesures de déjudiciarisation</w:t>
      </w:r>
      <w:r w:rsidRPr="003D1923">
        <w:rPr>
          <w:lang w:val="fr-CA"/>
        </w:rPr>
        <w:t xml:space="preserve"> précoce </w:t>
      </w:r>
      <w:r>
        <w:rPr>
          <w:lang w:val="fr-CA"/>
        </w:rPr>
        <w:t>pour</w:t>
      </w:r>
      <w:r w:rsidRPr="003D1923">
        <w:rPr>
          <w:lang w:val="fr-CA"/>
        </w:rPr>
        <w:t xml:space="preserve"> les cas simple</w:t>
      </w:r>
      <w:r>
        <w:rPr>
          <w:lang w:val="fr-CA"/>
        </w:rPr>
        <w:t>s de</w:t>
      </w:r>
      <w:r w:rsidRPr="003D1923">
        <w:rPr>
          <w:lang w:val="fr-CA"/>
        </w:rPr>
        <w:t xml:space="preserve"> possession de </w:t>
      </w:r>
      <w:r>
        <w:rPr>
          <w:lang w:val="fr-CA"/>
        </w:rPr>
        <w:t xml:space="preserve">substances désignées </w:t>
      </w:r>
      <w:r w:rsidRPr="003D1923">
        <w:rPr>
          <w:lang w:val="fr-CA"/>
        </w:rPr>
        <w:t>et prévoi</w:t>
      </w:r>
      <w:r>
        <w:rPr>
          <w:lang w:val="fr-CA"/>
        </w:rPr>
        <w:t>ent</w:t>
      </w:r>
      <w:r w:rsidRPr="003D1923">
        <w:rPr>
          <w:lang w:val="fr-CA"/>
        </w:rPr>
        <w:t xml:space="preserve">, entre autres, que les condamnations passées </w:t>
      </w:r>
      <w:r>
        <w:rPr>
          <w:lang w:val="fr-CA"/>
        </w:rPr>
        <w:t xml:space="preserve">ou </w:t>
      </w:r>
      <w:r w:rsidRPr="003D1923">
        <w:rPr>
          <w:lang w:val="fr-CA"/>
        </w:rPr>
        <w:t>futures</w:t>
      </w:r>
      <w:r>
        <w:rPr>
          <w:lang w:val="fr-CA"/>
        </w:rPr>
        <w:t xml:space="preserve"> pour ce type d’infraction</w:t>
      </w:r>
      <w:r w:rsidRPr="003D1923">
        <w:rPr>
          <w:lang w:val="fr-CA"/>
        </w:rPr>
        <w:t xml:space="preserve"> doivent être conservées séparément des autres </w:t>
      </w:r>
      <w:r>
        <w:rPr>
          <w:lang w:val="fr-CA"/>
        </w:rPr>
        <w:t>casiers judiciaires</w:t>
      </w:r>
      <w:r w:rsidRPr="003D1923">
        <w:rPr>
          <w:lang w:val="fr-CA"/>
        </w:rPr>
        <w:t xml:space="preserve"> après une certaine période.</w:t>
      </w:r>
      <w:bookmarkEnd w:id="328"/>
    </w:p>
    <w:p w14:paraId="2362B937" w14:textId="77777777" w:rsidR="00C83F56" w:rsidRPr="00A7517B" w:rsidRDefault="00C83F56" w:rsidP="004F23C1">
      <w:pPr>
        <w:pStyle w:val="SingleTxtG"/>
        <w:numPr>
          <w:ilvl w:val="0"/>
          <w:numId w:val="4"/>
        </w:numPr>
        <w:ind w:left="1134" w:firstLine="0"/>
        <w:rPr>
          <w:lang w:val="fr-CA"/>
        </w:rPr>
      </w:pPr>
      <w:bookmarkStart w:id="329" w:name="lt_pId595"/>
      <w:r>
        <w:rPr>
          <w:lang w:val="fr-CA"/>
        </w:rPr>
        <w:t>Le manuel de procédures des poursuites du service des poursuites du Manitoba inclut une présomption de prise en compte des options de justice réparatrice, en particulier pour les Autochtones.</w:t>
      </w:r>
      <w:bookmarkEnd w:id="329"/>
      <w:r w:rsidRPr="00A7517B">
        <w:rPr>
          <w:lang w:val="fr-CA"/>
        </w:rPr>
        <w:t xml:space="preserve"> </w:t>
      </w:r>
      <w:bookmarkStart w:id="330" w:name="lt_pId596"/>
      <w:r>
        <w:rPr>
          <w:lang w:val="fr-CA"/>
        </w:rPr>
        <w:t>La Cour suprême du Canada a imposé l’intégration de la prise en compte des populations autochtones dans la détermination de la peine comme une exigence pour les procureurs de la Couronne et saisies dans les systèmes d’information.</w:t>
      </w:r>
      <w:bookmarkEnd w:id="330"/>
    </w:p>
    <w:p w14:paraId="1D683C0A" w14:textId="77777777" w:rsidR="00C83F56" w:rsidRPr="00A7517B" w:rsidRDefault="00C83F56" w:rsidP="004F23C1">
      <w:pPr>
        <w:pStyle w:val="SingleTxtG"/>
        <w:numPr>
          <w:ilvl w:val="0"/>
          <w:numId w:val="4"/>
        </w:numPr>
        <w:ind w:left="1134" w:firstLine="0"/>
        <w:rPr>
          <w:rFonts w:eastAsia="Times New Roman"/>
          <w:lang w:val="fr-CA"/>
        </w:rPr>
      </w:pPr>
      <w:r w:rsidRPr="00D71BCC">
        <w:rPr>
          <w:rFonts w:eastAsia="Times New Roman"/>
          <w:lang w:val="fr-CA"/>
        </w:rPr>
        <w:t>Le Manuel de poursuite de la Couronne de l’Ontario comprend une directive relative aux poursuites impliquant des peuples autochtones, qui prévoit que les procureurs peuvent envisager des solutions de rechange à la détention lors de la mise en détention provisoire et de la détermination de la peine. Il ordonne également aux procureurs d’envisager, pour certaines infractions, de détourner les personnes autochtones accusées d’une poursuite formelle vers l’un des programmes de justice réparatrice autochtone financés par la province.</w:t>
      </w:r>
    </w:p>
    <w:p w14:paraId="42D402EE" w14:textId="0B814C90" w:rsidR="00C83F56" w:rsidRPr="00A7517B" w:rsidRDefault="00C40CF5" w:rsidP="00C40CF5">
      <w:pPr>
        <w:pStyle w:val="H23G"/>
        <w:rPr>
          <w:lang w:val="fr-CA"/>
        </w:rPr>
      </w:pPr>
      <w:bookmarkStart w:id="331" w:name="lt_pId599"/>
      <w:r>
        <w:rPr>
          <w:lang w:val="fr-CA"/>
        </w:rPr>
        <w:tab/>
      </w:r>
      <w:r>
        <w:rPr>
          <w:lang w:val="fr-CA"/>
        </w:rPr>
        <w:tab/>
      </w:r>
      <w:r w:rsidR="00C83F56">
        <w:rPr>
          <w:lang w:val="fr-CA"/>
        </w:rPr>
        <w:t>Initiatives</w:t>
      </w:r>
      <w:r w:rsidR="00C83F56" w:rsidRPr="00102D61">
        <w:rPr>
          <w:lang w:val="fr-CA"/>
        </w:rPr>
        <w:t xml:space="preserve"> </w:t>
      </w:r>
      <w:r w:rsidR="00C83F56">
        <w:rPr>
          <w:lang w:val="fr-CA"/>
        </w:rPr>
        <w:t>en matière de</w:t>
      </w:r>
      <w:r w:rsidR="00C83F56" w:rsidRPr="00102D61">
        <w:rPr>
          <w:lang w:val="fr-CA"/>
        </w:rPr>
        <w:t xml:space="preserve"> justice Autochtones</w:t>
      </w:r>
      <w:bookmarkEnd w:id="331"/>
    </w:p>
    <w:p w14:paraId="5A81403F" w14:textId="77777777" w:rsidR="00C83F56" w:rsidRPr="00A7517B" w:rsidRDefault="00C83F56" w:rsidP="004F23C1">
      <w:pPr>
        <w:pStyle w:val="SingleTxtG"/>
        <w:numPr>
          <w:ilvl w:val="0"/>
          <w:numId w:val="4"/>
        </w:numPr>
        <w:ind w:left="1134" w:firstLine="0"/>
        <w:rPr>
          <w:lang w:val="fr-CA"/>
        </w:rPr>
      </w:pPr>
      <w:bookmarkStart w:id="332" w:name="lt_pId600"/>
      <w:r>
        <w:rPr>
          <w:lang w:val="fr-CA"/>
        </w:rPr>
        <w:t>Les appels à l’action 30 et 38 sont particulièrement axés sur les causes profondes de la surreprésentation des Autochtones dans le système judiciaire canadien.</w:t>
      </w:r>
      <w:bookmarkEnd w:id="332"/>
      <w:r w:rsidRPr="00A7517B">
        <w:rPr>
          <w:lang w:val="fr-CA"/>
        </w:rPr>
        <w:t xml:space="preserve"> </w:t>
      </w:r>
      <w:bookmarkStart w:id="333" w:name="lt_pId601"/>
      <w:r>
        <w:rPr>
          <w:lang w:val="fr-CA"/>
        </w:rPr>
        <w:t>Le GC a pris un certain nombre de mesures pour contribuer à résoudre ce problème, notamment en investissant sur le soutien à l’application générale des principes dans l’arrêt Gladue et en élargissant des programmes d’assistance judiciaire pour aider les familles autochtones à s’orienter dans un système complexe.</w:t>
      </w:r>
      <w:bookmarkEnd w:id="333"/>
      <w:r w:rsidRPr="00A7517B">
        <w:rPr>
          <w:lang w:val="fr-CA"/>
        </w:rPr>
        <w:t xml:space="preserve"> </w:t>
      </w:r>
    </w:p>
    <w:p w14:paraId="2B8A9E49" w14:textId="77777777" w:rsidR="00C83F56" w:rsidRPr="00A7517B" w:rsidRDefault="00C83F56" w:rsidP="004F23C1">
      <w:pPr>
        <w:pStyle w:val="SingleTxtG"/>
        <w:numPr>
          <w:ilvl w:val="0"/>
          <w:numId w:val="4"/>
        </w:numPr>
        <w:ind w:left="1134" w:firstLine="0"/>
        <w:rPr>
          <w:lang w:val="fr-CA"/>
        </w:rPr>
      </w:pPr>
      <w:bookmarkStart w:id="334" w:name="lt_pId602"/>
      <w:r>
        <w:rPr>
          <w:lang w:val="fr-CA"/>
        </w:rPr>
        <w:t>En outre, des changements législatifs visant à réduire l’utilisation de mécanismes de condamnation qui affectent de façon disproportionnée les accusés et les délinquants autochtones contribueront à rendre notre système de justice pénale plus équitable et efficace sans porter atteinte à la sécurité publique.</w:t>
      </w:r>
      <w:bookmarkEnd w:id="334"/>
    </w:p>
    <w:p w14:paraId="7FE7117C" w14:textId="77777777" w:rsidR="00C83F56" w:rsidRPr="00A7517B" w:rsidRDefault="00C83F56" w:rsidP="004F23C1">
      <w:pPr>
        <w:pStyle w:val="SingleTxtG"/>
        <w:numPr>
          <w:ilvl w:val="0"/>
          <w:numId w:val="4"/>
        </w:numPr>
        <w:ind w:left="1134" w:firstLine="0"/>
        <w:rPr>
          <w:lang w:val="fr-CA"/>
        </w:rPr>
      </w:pPr>
      <w:bookmarkStart w:id="335" w:name="lt_pId603"/>
      <w:r>
        <w:rPr>
          <w:lang w:val="fr-CA"/>
        </w:rPr>
        <w:t>Depuis 2017, les juges nommés par le GC ont eu accès à un total de 60 séances de formation sur les sujets suivants : compétence culturelle (21), discrimination (2), diversité des communautés (25), racisme (5) et biais inconscients (7).</w:t>
      </w:r>
      <w:bookmarkEnd w:id="335"/>
      <w:r w:rsidRPr="00A7517B">
        <w:rPr>
          <w:lang w:val="fr-CA"/>
        </w:rPr>
        <w:t xml:space="preserve"> </w:t>
      </w:r>
      <w:bookmarkStart w:id="336" w:name="lt_pId604"/>
      <w:r w:rsidRPr="00D107FD">
        <w:rPr>
          <w:lang w:val="fr-CA"/>
        </w:rPr>
        <w:t xml:space="preserve">Ils ont également </w:t>
      </w:r>
      <w:r>
        <w:rPr>
          <w:lang w:val="fr-CA"/>
        </w:rPr>
        <w:t xml:space="preserve">reçu </w:t>
      </w:r>
      <w:r w:rsidRPr="00D107FD">
        <w:rPr>
          <w:lang w:val="fr-CA"/>
        </w:rPr>
        <w:t>2</w:t>
      </w:r>
      <w:r>
        <w:rPr>
          <w:lang w:val="fr-CA"/>
        </w:rPr>
        <w:t>4formations</w:t>
      </w:r>
      <w:r w:rsidRPr="00D107FD">
        <w:rPr>
          <w:lang w:val="fr-CA"/>
        </w:rPr>
        <w:t xml:space="preserve"> sur </w:t>
      </w:r>
      <w:r>
        <w:rPr>
          <w:lang w:val="fr-CA"/>
        </w:rPr>
        <w:t>la détermination de la</w:t>
      </w:r>
      <w:r w:rsidRPr="00D107FD">
        <w:rPr>
          <w:lang w:val="fr-CA"/>
        </w:rPr>
        <w:t xml:space="preserve"> peine en général, 5</w:t>
      </w:r>
      <w:r>
        <w:rPr>
          <w:lang w:val="fr-CA"/>
        </w:rPr>
        <w:t>1 sur les enjeux</w:t>
      </w:r>
      <w:r w:rsidRPr="00D107FD">
        <w:rPr>
          <w:lang w:val="fr-CA"/>
        </w:rPr>
        <w:t xml:space="preserve"> liés aux </w:t>
      </w:r>
      <w:r>
        <w:rPr>
          <w:lang w:val="fr-CA"/>
        </w:rPr>
        <w:t>peuples a</w:t>
      </w:r>
      <w:r w:rsidRPr="00D107FD">
        <w:rPr>
          <w:lang w:val="fr-CA"/>
        </w:rPr>
        <w:t xml:space="preserve">utochtones et </w:t>
      </w:r>
      <w:r>
        <w:rPr>
          <w:lang w:val="fr-CA"/>
        </w:rPr>
        <w:t>six</w:t>
      </w:r>
      <w:r w:rsidRPr="00D107FD">
        <w:rPr>
          <w:lang w:val="fr-CA"/>
        </w:rPr>
        <w:t xml:space="preserve"> sur les principes</w:t>
      </w:r>
      <w:r>
        <w:rPr>
          <w:lang w:val="fr-CA"/>
        </w:rPr>
        <w:t xml:space="preserve"> </w:t>
      </w:r>
      <w:r w:rsidRPr="00D107FD">
        <w:rPr>
          <w:lang w:val="fr-CA"/>
        </w:rPr>
        <w:t>Gladue.</w:t>
      </w:r>
      <w:bookmarkEnd w:id="336"/>
      <w:r w:rsidRPr="00A7517B">
        <w:rPr>
          <w:lang w:val="fr-CA"/>
        </w:rPr>
        <w:t xml:space="preserve"> </w:t>
      </w:r>
      <w:bookmarkStart w:id="337" w:name="lt_pId605"/>
      <w:r>
        <w:rPr>
          <w:lang w:val="fr-CA"/>
        </w:rPr>
        <w:t>De plus</w:t>
      </w:r>
      <w:r w:rsidRPr="00D107FD">
        <w:rPr>
          <w:lang w:val="fr-CA"/>
        </w:rPr>
        <w:t xml:space="preserve">, </w:t>
      </w:r>
      <w:r>
        <w:rPr>
          <w:lang w:val="fr-CA"/>
        </w:rPr>
        <w:t>depuis les</w:t>
      </w:r>
      <w:r w:rsidRPr="00D107FD">
        <w:rPr>
          <w:lang w:val="fr-CA"/>
        </w:rPr>
        <w:t xml:space="preserve"> modifications </w:t>
      </w:r>
      <w:r w:rsidRPr="00C06328">
        <w:rPr>
          <w:lang w:val="fr-CA"/>
        </w:rPr>
        <w:t xml:space="preserve">apportées à la </w:t>
      </w:r>
      <w:r w:rsidRPr="00C06328">
        <w:rPr>
          <w:i/>
          <w:lang w:val="fr-CA"/>
        </w:rPr>
        <w:t>Loi sur les juges</w:t>
      </w:r>
      <w:r w:rsidRPr="00C06328">
        <w:rPr>
          <w:lang w:val="fr-CA"/>
        </w:rPr>
        <w:t xml:space="preserve"> en</w:t>
      </w:r>
      <w:r>
        <w:rPr>
          <w:lang w:val="fr-CA"/>
        </w:rPr>
        <w:t> </w:t>
      </w:r>
      <w:r w:rsidRPr="00D107FD">
        <w:rPr>
          <w:lang w:val="fr-CA"/>
        </w:rPr>
        <w:t xml:space="preserve">2021, les candidats </w:t>
      </w:r>
      <w:r>
        <w:rPr>
          <w:lang w:val="fr-CA"/>
        </w:rPr>
        <w:t>aux postes de juges provinciaux</w:t>
      </w:r>
      <w:r w:rsidRPr="00D107FD">
        <w:rPr>
          <w:lang w:val="fr-CA"/>
        </w:rPr>
        <w:t xml:space="preserve"> doivent </w:t>
      </w:r>
      <w:r>
        <w:rPr>
          <w:lang w:val="fr-CA"/>
        </w:rPr>
        <w:t xml:space="preserve">s’engager à suivre </w:t>
      </w:r>
      <w:r w:rsidRPr="00D107FD">
        <w:rPr>
          <w:lang w:val="fr-CA"/>
        </w:rPr>
        <w:t xml:space="preserve">une formation continue sur </w:t>
      </w:r>
      <w:r>
        <w:rPr>
          <w:lang w:val="fr-CA"/>
        </w:rPr>
        <w:t>le droit en</w:t>
      </w:r>
      <w:r w:rsidRPr="00D107FD">
        <w:rPr>
          <w:lang w:val="fr-CA"/>
        </w:rPr>
        <w:t xml:space="preserve"> matière</w:t>
      </w:r>
      <w:r>
        <w:rPr>
          <w:lang w:val="fr-CA"/>
        </w:rPr>
        <w:t xml:space="preserve"> d’</w:t>
      </w:r>
      <w:r w:rsidRPr="00D107FD">
        <w:rPr>
          <w:lang w:val="fr-CA"/>
        </w:rPr>
        <w:t>agression sexuelle et</w:t>
      </w:r>
      <w:r>
        <w:rPr>
          <w:lang w:val="fr-CA"/>
        </w:rPr>
        <w:t xml:space="preserve"> le</w:t>
      </w:r>
      <w:r w:rsidRPr="00D107FD">
        <w:rPr>
          <w:lang w:val="fr-CA"/>
        </w:rPr>
        <w:t xml:space="preserve"> contexte social, </w:t>
      </w:r>
      <w:r>
        <w:rPr>
          <w:lang w:val="fr-CA"/>
        </w:rPr>
        <w:t>y compris</w:t>
      </w:r>
      <w:r w:rsidRPr="00D107FD">
        <w:rPr>
          <w:lang w:val="fr-CA"/>
        </w:rPr>
        <w:t xml:space="preserve"> le racisme et la discrimination systémique.</w:t>
      </w:r>
      <w:bookmarkEnd w:id="337"/>
      <w:r w:rsidRPr="00A7517B">
        <w:rPr>
          <w:lang w:val="fr-CA"/>
        </w:rPr>
        <w:t xml:space="preserve"> </w:t>
      </w:r>
      <w:bookmarkStart w:id="338" w:name="lt_pId606"/>
      <w:r w:rsidRPr="00F82CA7">
        <w:rPr>
          <w:lang w:val="fr-CA"/>
        </w:rPr>
        <w:t xml:space="preserve">La formation des juges est assurée par l’Institut national de la magistrature, une organisation dirigée par les juges eux-mêmes. Pour les procureurs, </w:t>
      </w:r>
      <w:r>
        <w:rPr>
          <w:lang w:val="fr-CA"/>
        </w:rPr>
        <w:t>u</w:t>
      </w:r>
      <w:r w:rsidRPr="00F86F47">
        <w:rPr>
          <w:lang w:val="fr-CA"/>
        </w:rPr>
        <w:t xml:space="preserve">ne formation est </w:t>
      </w:r>
      <w:r>
        <w:rPr>
          <w:lang w:val="fr-CA"/>
        </w:rPr>
        <w:t xml:space="preserve">également offerte aux </w:t>
      </w:r>
      <w:r w:rsidRPr="00F86F47">
        <w:rPr>
          <w:lang w:val="fr-CA"/>
        </w:rPr>
        <w:t>procureurs</w:t>
      </w:r>
      <w:r>
        <w:rPr>
          <w:lang w:val="fr-CA"/>
        </w:rPr>
        <w:t>, par l’entremise d’une école interne, au sujet des</w:t>
      </w:r>
      <w:r w:rsidRPr="00F86F47">
        <w:rPr>
          <w:lang w:val="fr-CA"/>
        </w:rPr>
        <w:t xml:space="preserve"> dispositions relatives </w:t>
      </w:r>
      <w:r>
        <w:rPr>
          <w:lang w:val="fr-CA"/>
        </w:rPr>
        <w:t>aux peines</w:t>
      </w:r>
      <w:r w:rsidRPr="00F86F47">
        <w:rPr>
          <w:lang w:val="fr-CA"/>
        </w:rPr>
        <w:t xml:space="preserve"> et </w:t>
      </w:r>
      <w:r>
        <w:rPr>
          <w:lang w:val="fr-CA"/>
        </w:rPr>
        <w:t>des</w:t>
      </w:r>
      <w:r w:rsidRPr="00F86F47">
        <w:rPr>
          <w:lang w:val="fr-CA"/>
        </w:rPr>
        <w:t xml:space="preserve"> solutions de rechange à l’incarcération pour les</w:t>
      </w:r>
      <w:r>
        <w:rPr>
          <w:lang w:val="fr-CA"/>
        </w:rPr>
        <w:t xml:space="preserve"> peuples</w:t>
      </w:r>
      <w:r w:rsidRPr="00F86F47">
        <w:rPr>
          <w:lang w:val="fr-CA"/>
        </w:rPr>
        <w:t xml:space="preserve"> </w:t>
      </w:r>
      <w:r>
        <w:rPr>
          <w:lang w:val="fr-CA"/>
        </w:rPr>
        <w:t>a</w:t>
      </w:r>
      <w:r w:rsidRPr="00F86F47">
        <w:rPr>
          <w:lang w:val="fr-CA"/>
        </w:rPr>
        <w:t>utochtones.</w:t>
      </w:r>
      <w:bookmarkEnd w:id="338"/>
    </w:p>
    <w:p w14:paraId="5E96C060" w14:textId="77777777" w:rsidR="00C83F56" w:rsidRPr="00A7517B" w:rsidRDefault="00C83F56" w:rsidP="004F23C1">
      <w:pPr>
        <w:pStyle w:val="SingleTxtG"/>
        <w:numPr>
          <w:ilvl w:val="0"/>
          <w:numId w:val="4"/>
        </w:numPr>
        <w:ind w:left="1134" w:firstLine="0"/>
        <w:rPr>
          <w:lang w:val="fr-CA"/>
        </w:rPr>
      </w:pPr>
      <w:bookmarkStart w:id="339" w:name="lt_pId607"/>
      <w:r w:rsidRPr="00F50E53">
        <w:rPr>
          <w:lang w:val="fr-CA"/>
        </w:rPr>
        <w:t>Une nouvelle ligne directrice sur la détermination de la peine est en cours d</w:t>
      </w:r>
      <w:r>
        <w:rPr>
          <w:lang w:val="fr-CA"/>
        </w:rPr>
        <w:t>’</w:t>
      </w:r>
      <w:r w:rsidRPr="00F50E53">
        <w:rPr>
          <w:lang w:val="fr-CA"/>
        </w:rPr>
        <w:t xml:space="preserve">élaboration et </w:t>
      </w:r>
      <w:r>
        <w:rPr>
          <w:lang w:val="fr-CA"/>
        </w:rPr>
        <w:t>appuiera</w:t>
      </w:r>
      <w:r w:rsidRPr="00F50E53">
        <w:rPr>
          <w:lang w:val="fr-CA"/>
        </w:rPr>
        <w:t xml:space="preserve"> les efforts pour remédier à la surreprésentation des Autochtones, des Noirs et des personnes racisées dans le système de justice pénale.</w:t>
      </w:r>
      <w:bookmarkEnd w:id="339"/>
      <w:r w:rsidRPr="00A7517B">
        <w:rPr>
          <w:lang w:val="fr-CA"/>
        </w:rPr>
        <w:t xml:space="preserve"> </w:t>
      </w:r>
    </w:p>
    <w:p w14:paraId="585F064E" w14:textId="77777777" w:rsidR="00C83F56" w:rsidRPr="00A7517B" w:rsidRDefault="00C83F56" w:rsidP="004F23C1">
      <w:pPr>
        <w:pStyle w:val="SingleTxtG"/>
        <w:numPr>
          <w:ilvl w:val="0"/>
          <w:numId w:val="4"/>
        </w:numPr>
        <w:ind w:left="1134" w:firstLine="0"/>
        <w:rPr>
          <w:lang w:val="fr-CA"/>
        </w:rPr>
      </w:pPr>
      <w:bookmarkStart w:id="340" w:name="lt_pId608"/>
      <w:r w:rsidRPr="00F50E53">
        <w:rPr>
          <w:lang w:val="fr-CA"/>
        </w:rPr>
        <w:t xml:space="preserve">Le ministère de la Justice et de la Sécurité publique et la </w:t>
      </w:r>
      <w:r w:rsidRPr="009D0628">
        <w:rPr>
          <w:lang w:val="fr-CA"/>
        </w:rPr>
        <w:t xml:space="preserve">Confédération </w:t>
      </w:r>
      <w:proofErr w:type="spellStart"/>
      <w:r w:rsidRPr="009D0628">
        <w:rPr>
          <w:lang w:val="fr-CA"/>
        </w:rPr>
        <w:t>Mi’kmaq</w:t>
      </w:r>
      <w:proofErr w:type="spellEnd"/>
      <w:r w:rsidRPr="009D0628">
        <w:rPr>
          <w:lang w:val="fr-CA"/>
        </w:rPr>
        <w:t xml:space="preserve"> de l’Île-du-Prince-Édouard</w:t>
      </w:r>
      <w:r w:rsidRPr="00F50E53">
        <w:rPr>
          <w:lang w:val="fr-CA"/>
        </w:rPr>
        <w:t xml:space="preserve"> ont conclu un protocole d</w:t>
      </w:r>
      <w:r>
        <w:rPr>
          <w:lang w:val="fr-CA"/>
        </w:rPr>
        <w:t>’</w:t>
      </w:r>
      <w:r w:rsidRPr="00F50E53">
        <w:rPr>
          <w:lang w:val="fr-CA"/>
        </w:rPr>
        <w:t>entente pour permettre aux tribunaux d</w:t>
      </w:r>
      <w:r>
        <w:rPr>
          <w:lang w:val="fr-CA"/>
        </w:rPr>
        <w:t>’</w:t>
      </w:r>
      <w:r w:rsidRPr="00F50E53">
        <w:rPr>
          <w:lang w:val="fr-CA"/>
        </w:rPr>
        <w:t xml:space="preserve">accéder aux rapports Gladue </w:t>
      </w:r>
      <w:r w:rsidRPr="00D71BCC">
        <w:rPr>
          <w:lang w:val="fr-CA"/>
        </w:rPr>
        <w:t xml:space="preserve">rédigés et dirigés par des Autochtones </w:t>
      </w:r>
      <w:r w:rsidRPr="00F50E53">
        <w:rPr>
          <w:lang w:val="fr-CA"/>
        </w:rPr>
        <w:t>afin d</w:t>
      </w:r>
      <w:r>
        <w:rPr>
          <w:lang w:val="fr-CA"/>
        </w:rPr>
        <w:t>’</w:t>
      </w:r>
      <w:r w:rsidRPr="00F50E53">
        <w:rPr>
          <w:lang w:val="fr-CA"/>
        </w:rPr>
        <w:t>éclairer la détermination de la peine.</w:t>
      </w:r>
      <w:bookmarkEnd w:id="340"/>
      <w:r w:rsidRPr="00A7517B">
        <w:rPr>
          <w:lang w:val="fr-CA"/>
        </w:rPr>
        <w:t xml:space="preserve"> </w:t>
      </w:r>
      <w:bookmarkStart w:id="341" w:name="lt_pId609"/>
      <w:r w:rsidRPr="00E70581">
        <w:rPr>
          <w:lang w:val="fr-CA"/>
        </w:rPr>
        <w:t>L</w:t>
      </w:r>
      <w:r>
        <w:rPr>
          <w:lang w:val="fr-CA"/>
        </w:rPr>
        <w:t>’</w:t>
      </w:r>
      <w:r w:rsidRPr="00E70581">
        <w:rPr>
          <w:lang w:val="fr-CA"/>
        </w:rPr>
        <w:t>entente soutient</w:t>
      </w:r>
      <w:r>
        <w:rPr>
          <w:lang w:val="fr-CA"/>
        </w:rPr>
        <w:t xml:space="preserve"> également</w:t>
      </w:r>
      <w:r w:rsidRPr="00E70581">
        <w:rPr>
          <w:lang w:val="fr-CA"/>
        </w:rPr>
        <w:t xml:space="preserve"> un dialogue permanent avec les responsables de la justice pénale </w:t>
      </w:r>
      <w:r>
        <w:rPr>
          <w:lang w:val="fr-CA"/>
        </w:rPr>
        <w:t xml:space="preserve">et </w:t>
      </w:r>
      <w:r w:rsidRPr="00E70581">
        <w:rPr>
          <w:lang w:val="fr-CA"/>
        </w:rPr>
        <w:t>le système judiciaire afin de continuer à améliorer leurs connaissances et de mieux comprendre l</w:t>
      </w:r>
      <w:r>
        <w:rPr>
          <w:lang w:val="fr-CA"/>
        </w:rPr>
        <w:t>’</w:t>
      </w:r>
      <w:r w:rsidRPr="00E70581">
        <w:rPr>
          <w:lang w:val="fr-CA"/>
        </w:rPr>
        <w:t xml:space="preserve">incidence du colonialisme sur les Autochtones </w:t>
      </w:r>
      <w:r>
        <w:rPr>
          <w:lang w:val="fr-CA"/>
        </w:rPr>
        <w:t>qui ont</w:t>
      </w:r>
      <w:r w:rsidRPr="00E70581">
        <w:rPr>
          <w:lang w:val="fr-CA"/>
        </w:rPr>
        <w:t xml:space="preserve"> des démêlés avec le système de justice pénale.</w:t>
      </w:r>
      <w:bookmarkEnd w:id="341"/>
    </w:p>
    <w:p w14:paraId="5081B999" w14:textId="3FFBEB53" w:rsidR="00C83F56" w:rsidRDefault="00C40CF5" w:rsidP="00391194">
      <w:pPr>
        <w:pStyle w:val="H23G"/>
        <w:rPr>
          <w:lang w:val="fr-CA"/>
        </w:rPr>
      </w:pPr>
      <w:r>
        <w:rPr>
          <w:lang w:val="fr-CA"/>
        </w:rPr>
        <w:tab/>
      </w:r>
      <w:r>
        <w:rPr>
          <w:lang w:val="fr-CA"/>
        </w:rPr>
        <w:tab/>
      </w:r>
      <w:r w:rsidR="00C83F56" w:rsidRPr="0096749B">
        <w:rPr>
          <w:lang w:val="fr-CA"/>
        </w:rPr>
        <w:t>Stratégie canadienne en matière de justice pour les personnes noires</w:t>
      </w:r>
    </w:p>
    <w:p w14:paraId="1BBA0591" w14:textId="77777777" w:rsidR="00C83F56" w:rsidRPr="000D6BBE" w:rsidRDefault="00C83F56" w:rsidP="004F23C1">
      <w:pPr>
        <w:pStyle w:val="SingleTxtG"/>
        <w:numPr>
          <w:ilvl w:val="0"/>
          <w:numId w:val="4"/>
        </w:numPr>
        <w:ind w:left="1134" w:firstLine="0"/>
        <w:rPr>
          <w:lang w:val="fr-CA"/>
        </w:rPr>
      </w:pPr>
      <w:r w:rsidRPr="00D2393F">
        <w:rPr>
          <w:lang w:val="fr-CA"/>
        </w:rPr>
        <w:t xml:space="preserve">Le rapport de 2017 du Groupe de travail d’experts des Nations Unies sur les personnes d’ascendance africaine a souligné que le racisme envers les personnes noires est profondément enraciné dans les institutions et politiques canadiennes. Il a recommandé l’élaboration d’une stratégie pour lutter contre leur surreprésentation dans le système de justice pénale, y compris parmi les victimes de criminalité. En réponse, le </w:t>
      </w:r>
      <w:r>
        <w:rPr>
          <w:lang w:val="fr-CA"/>
        </w:rPr>
        <w:t>GC</w:t>
      </w:r>
      <w:r w:rsidRPr="00D2393F">
        <w:rPr>
          <w:lang w:val="fr-CA"/>
        </w:rPr>
        <w:t xml:space="preserve"> a élaboré la Stratégie canadienne en matière de justice pour les personnes noires, afin de garantir un </w:t>
      </w:r>
      <w:r w:rsidRPr="000D6BBE">
        <w:rPr>
          <w:lang w:val="fr-CA"/>
        </w:rPr>
        <w:t>traitement égal devant la loi pour tous au Canada.</w:t>
      </w:r>
    </w:p>
    <w:p w14:paraId="4A743D21" w14:textId="77777777" w:rsidR="00C83F56" w:rsidRPr="000D6BBE" w:rsidRDefault="00C83F56" w:rsidP="004F23C1">
      <w:pPr>
        <w:pStyle w:val="SingleTxtG"/>
        <w:numPr>
          <w:ilvl w:val="0"/>
          <w:numId w:val="4"/>
        </w:numPr>
        <w:ind w:left="1134" w:firstLine="0"/>
        <w:rPr>
          <w:lang w:val="fr-CA"/>
        </w:rPr>
      </w:pPr>
      <w:r w:rsidRPr="000D6BBE">
        <w:rPr>
          <w:lang w:val="fr-CA"/>
        </w:rPr>
        <w:t>La Stratégie a été élaborée en consultation avec les communautés noires du Canada, et un groupe directeur externe composé de neuf experts et leaders. Les points de vue exprimés par le groupe directeur et par les communautés noires consultées à l’échelle canadienne ont reflété la diversité des expériences et des réalités régionales des Noirs au Canada, ainsi que l’action croisée des facteurs de discrimination (</w:t>
      </w:r>
      <w:proofErr w:type="spellStart"/>
      <w:r w:rsidRPr="000D6BBE">
        <w:rPr>
          <w:lang w:val="fr-CA"/>
        </w:rPr>
        <w:t>intersectionnalité</w:t>
      </w:r>
      <w:proofErr w:type="spellEnd"/>
      <w:r w:rsidRPr="000D6BBE">
        <w:rPr>
          <w:lang w:val="fr-CA"/>
        </w:rPr>
        <w:t xml:space="preserve">), notamment l’origine ethnique ou culturelle, la religion, le sexe ou le genre, l’âge, la langue, le handicap, le revenu, l’orientation sexuelle et l’héritage multiracial. </w:t>
      </w:r>
    </w:p>
    <w:p w14:paraId="6859F054" w14:textId="77777777" w:rsidR="00C83F56" w:rsidRPr="000D6BBE" w:rsidRDefault="00C83F56" w:rsidP="004F23C1">
      <w:pPr>
        <w:pStyle w:val="SingleTxtG"/>
        <w:numPr>
          <w:ilvl w:val="0"/>
          <w:numId w:val="4"/>
        </w:numPr>
        <w:ind w:left="1134" w:firstLine="0"/>
        <w:rPr>
          <w:lang w:val="fr-CA"/>
        </w:rPr>
      </w:pPr>
      <w:r w:rsidRPr="000D6BBE">
        <w:rPr>
          <w:lang w:val="fr-CA"/>
        </w:rPr>
        <w:t>À l’échelle internationale, la Stratégie est la réponse du Canada au « pilier de la justice » de la Décennie internationale des personnes d’ascendance africaine des Nations Unies.</w:t>
      </w:r>
    </w:p>
    <w:p w14:paraId="5D65C272" w14:textId="174DF08D" w:rsidR="00C83F56" w:rsidRPr="00844275" w:rsidRDefault="00C40CF5" w:rsidP="00C40CF5">
      <w:pPr>
        <w:pStyle w:val="H23G"/>
        <w:rPr>
          <w:lang w:val="fr-CA"/>
        </w:rPr>
      </w:pPr>
      <w:bookmarkStart w:id="342" w:name="lt_pId612"/>
      <w:bookmarkStart w:id="343" w:name="_Toc177633139"/>
      <w:r>
        <w:rPr>
          <w:lang w:val="fr-CA"/>
        </w:rPr>
        <w:tab/>
      </w:r>
      <w:r>
        <w:rPr>
          <w:lang w:val="fr-CA"/>
        </w:rPr>
        <w:tab/>
      </w:r>
      <w:r w:rsidR="00C83F56" w:rsidRPr="00844275">
        <w:rPr>
          <w:lang w:val="fr-CA"/>
        </w:rPr>
        <w:t>Accès à la justice</w:t>
      </w:r>
      <w:bookmarkEnd w:id="342"/>
    </w:p>
    <w:p w14:paraId="23E179E4" w14:textId="1073DB0D" w:rsidR="00C83F56" w:rsidRPr="00A7517B" w:rsidRDefault="00C40CF5" w:rsidP="00C40CF5">
      <w:pPr>
        <w:pStyle w:val="H4G"/>
        <w:rPr>
          <w:lang w:val="fr-CA"/>
        </w:rPr>
      </w:pPr>
      <w:bookmarkStart w:id="344" w:name="lt_pId613"/>
      <w:bookmarkEnd w:id="343"/>
      <w:r>
        <w:rPr>
          <w:lang w:val="fr-CA"/>
        </w:rPr>
        <w:tab/>
      </w:r>
      <w:r>
        <w:rPr>
          <w:lang w:val="fr-CA"/>
        </w:rPr>
        <w:tab/>
      </w:r>
      <w:r w:rsidR="00C83F56" w:rsidRPr="00844275">
        <w:rPr>
          <w:lang w:val="fr-CA"/>
        </w:rPr>
        <w:t>Programme de contestation judiciaire</w:t>
      </w:r>
      <w:bookmarkEnd w:id="344"/>
    </w:p>
    <w:p w14:paraId="1C0DD794" w14:textId="77777777" w:rsidR="00C83F56" w:rsidRPr="00A7517B" w:rsidRDefault="00C83F56" w:rsidP="004F23C1">
      <w:pPr>
        <w:pStyle w:val="SingleTxtG"/>
        <w:numPr>
          <w:ilvl w:val="0"/>
          <w:numId w:val="4"/>
        </w:numPr>
        <w:ind w:left="1134" w:firstLine="0"/>
        <w:rPr>
          <w:lang w:val="fr-CA"/>
        </w:rPr>
      </w:pPr>
      <w:bookmarkStart w:id="345" w:name="lt_pId614"/>
      <w:r w:rsidRPr="00E70581">
        <w:rPr>
          <w:lang w:val="fr-CA"/>
        </w:rPr>
        <w:t xml:space="preserve">Le Programme de contestation judiciaire modernisé, réintroduit </w:t>
      </w:r>
      <w:r>
        <w:rPr>
          <w:lang w:val="fr-CA"/>
        </w:rPr>
        <w:t>en 2017</w:t>
      </w:r>
      <w:r w:rsidRPr="00E70581">
        <w:rPr>
          <w:lang w:val="fr-CA"/>
        </w:rPr>
        <w:t xml:space="preserve"> et pleinement opérationnel à compter </w:t>
      </w:r>
      <w:r>
        <w:rPr>
          <w:lang w:val="fr-CA"/>
        </w:rPr>
        <w:t>de </w:t>
      </w:r>
      <w:r w:rsidRPr="00E70581">
        <w:rPr>
          <w:lang w:val="fr-CA"/>
        </w:rPr>
        <w:t>2019, joue un rôle essentiel en permettant à des personnes et à des groupes au Canada de présenter des causes types d</w:t>
      </w:r>
      <w:r>
        <w:rPr>
          <w:lang w:val="fr-CA"/>
        </w:rPr>
        <w:t>’</w:t>
      </w:r>
      <w:r w:rsidRPr="00E70581">
        <w:rPr>
          <w:lang w:val="fr-CA"/>
        </w:rPr>
        <w:t>importance nationale devant les tribunaux afin de clarifier et de faire valoir certains droits constitutionnels et quasi constitutionnels en matière de langues officielles et de droits de la personne.</w:t>
      </w:r>
      <w:bookmarkEnd w:id="345"/>
      <w:r w:rsidRPr="00A7517B">
        <w:rPr>
          <w:lang w:val="fr-CA"/>
        </w:rPr>
        <w:t xml:space="preserve"> </w:t>
      </w:r>
      <w:bookmarkStart w:id="346" w:name="lt_pId615"/>
      <w:r>
        <w:rPr>
          <w:lang w:val="fr-CA"/>
        </w:rPr>
        <w:t>Grâce à un financement doublé à 10,4 millions de dollars par an en 2023, le programme démontre le ferme engagement du GC à rendre la justice plus accessible.</w:t>
      </w:r>
      <w:bookmarkEnd w:id="346"/>
      <w:r>
        <w:rPr>
          <w:lang w:val="fr-CA"/>
        </w:rPr>
        <w:t xml:space="preserve"> </w:t>
      </w:r>
    </w:p>
    <w:p w14:paraId="5A1401A3" w14:textId="77777777" w:rsidR="00C83F56" w:rsidRPr="00A7517B" w:rsidRDefault="00C83F56" w:rsidP="004F23C1">
      <w:pPr>
        <w:pStyle w:val="SingleTxtG"/>
        <w:numPr>
          <w:ilvl w:val="0"/>
          <w:numId w:val="4"/>
        </w:numPr>
        <w:ind w:left="1134" w:firstLine="0"/>
        <w:rPr>
          <w:lang w:val="fr-CA"/>
        </w:rPr>
      </w:pPr>
      <w:bookmarkStart w:id="347" w:name="lt_pId616"/>
      <w:r>
        <w:rPr>
          <w:lang w:val="fr-CA"/>
        </w:rPr>
        <w:t xml:space="preserve">Le programme modernisé couvre les droits essentiels de la </w:t>
      </w:r>
      <w:r w:rsidRPr="00E7089D">
        <w:rPr>
          <w:i/>
          <w:iCs/>
          <w:lang w:val="fr-CA"/>
        </w:rPr>
        <w:t>Charte canadienne des droits et libertés</w:t>
      </w:r>
      <w:r>
        <w:rPr>
          <w:lang w:val="fr-CA"/>
        </w:rPr>
        <w:t>, tels que les libertés de religion, d’expression, de réunion pacifique, d’association et les droits démocratiques</w:t>
      </w:r>
      <w:bookmarkEnd w:id="347"/>
      <w:r>
        <w:rPr>
          <w:lang w:val="fr-CA"/>
        </w:rPr>
        <w:t>,</w:t>
      </w:r>
      <w:r w:rsidRPr="00A7517B">
        <w:rPr>
          <w:lang w:val="fr-CA"/>
        </w:rPr>
        <w:t xml:space="preserve"> </w:t>
      </w:r>
      <w:bookmarkStart w:id="348" w:name="lt_pId617"/>
      <w:r>
        <w:rPr>
          <w:lang w:val="fr-CA"/>
        </w:rPr>
        <w:t>ainsi que les droits à la vie, à la liberté et à la sécurité de la personne.</w:t>
      </w:r>
      <w:bookmarkEnd w:id="348"/>
      <w:r w:rsidRPr="00A7517B">
        <w:rPr>
          <w:lang w:val="fr-CA"/>
        </w:rPr>
        <w:t xml:space="preserve"> </w:t>
      </w:r>
      <w:bookmarkStart w:id="349" w:name="lt_pId618"/>
      <w:r w:rsidRPr="00CB71A0">
        <w:rPr>
          <w:lang w:val="fr-CA"/>
        </w:rPr>
        <w:t xml:space="preserve">En outre, le programme aborde les principales dispositions de la </w:t>
      </w:r>
      <w:r w:rsidRPr="00CB71A0">
        <w:rPr>
          <w:i/>
          <w:lang w:val="fr-CA"/>
        </w:rPr>
        <w:t>Loi sur les langues officielles</w:t>
      </w:r>
      <w:r w:rsidRPr="00CB71A0">
        <w:rPr>
          <w:lang w:val="fr-CA"/>
        </w:rPr>
        <w:t>, en renforçant l</w:t>
      </w:r>
      <w:r>
        <w:rPr>
          <w:lang w:val="fr-CA"/>
        </w:rPr>
        <w:t>’</w:t>
      </w:r>
      <w:r w:rsidRPr="00CB71A0">
        <w:rPr>
          <w:lang w:val="fr-CA"/>
        </w:rPr>
        <w:t>inclusion et en garantissant la responsabilité du gouvernement dans la promotion et la protection des droits linguistiques.</w:t>
      </w:r>
      <w:bookmarkEnd w:id="349"/>
    </w:p>
    <w:p w14:paraId="4C8F9EE2" w14:textId="77777777" w:rsidR="00C83F56" w:rsidRPr="00A7517B" w:rsidRDefault="00C83F56" w:rsidP="004F23C1">
      <w:pPr>
        <w:pStyle w:val="SingleTxtG"/>
        <w:numPr>
          <w:ilvl w:val="0"/>
          <w:numId w:val="4"/>
        </w:numPr>
        <w:ind w:left="1134" w:firstLine="0"/>
        <w:rPr>
          <w:lang w:val="fr-CA"/>
        </w:rPr>
      </w:pPr>
      <w:bookmarkStart w:id="350" w:name="lt_pId619"/>
      <w:r w:rsidRPr="00CB71A0">
        <w:rPr>
          <w:lang w:val="fr-CA"/>
        </w:rPr>
        <w:t>Le Programme de contestation judiciaire est géré par un administrateur tiers indépendant afin de garantir l</w:t>
      </w:r>
      <w:r>
        <w:rPr>
          <w:lang w:val="fr-CA"/>
        </w:rPr>
        <w:t>’</w:t>
      </w:r>
      <w:r w:rsidRPr="00CB71A0">
        <w:rPr>
          <w:lang w:val="fr-CA"/>
        </w:rPr>
        <w:t>impartialité du processus décisionnel.</w:t>
      </w:r>
      <w:bookmarkEnd w:id="350"/>
      <w:r w:rsidRPr="00A7517B">
        <w:rPr>
          <w:lang w:val="fr-CA"/>
        </w:rPr>
        <w:t xml:space="preserve"> </w:t>
      </w:r>
      <w:bookmarkStart w:id="351" w:name="lt_pId620"/>
      <w:r>
        <w:rPr>
          <w:lang w:val="fr-CA"/>
        </w:rPr>
        <w:t>Deux groupes d’experts, pour les langues officielles et pour les droits de la personne, prennent les décisions relatives au financement.</w:t>
      </w:r>
      <w:bookmarkEnd w:id="351"/>
      <w:r w:rsidRPr="00A7517B">
        <w:rPr>
          <w:lang w:val="fr-CA"/>
        </w:rPr>
        <w:t xml:space="preserve"> </w:t>
      </w:r>
      <w:bookmarkStart w:id="352" w:name="lt_pId621"/>
      <w:r>
        <w:rPr>
          <w:lang w:val="fr-CA"/>
        </w:rPr>
        <w:t>La portée élargie du programme, permet un plus grand soutien aux groupes marginalisés, favorisant l’inclusion, la diversité et le respect des droits constitutionnels dans l’ensemble du Canada.</w:t>
      </w:r>
      <w:bookmarkEnd w:id="352"/>
    </w:p>
    <w:p w14:paraId="3CCF27AF" w14:textId="685534E7" w:rsidR="00C83F56" w:rsidRPr="008F21AF" w:rsidRDefault="00C40CF5" w:rsidP="00391194">
      <w:pPr>
        <w:pStyle w:val="H4G"/>
        <w:rPr>
          <w:lang w:val="fr-CA"/>
        </w:rPr>
      </w:pPr>
      <w:bookmarkStart w:id="353" w:name="lt_pId622"/>
      <w:r>
        <w:rPr>
          <w:lang w:val="fr-CA"/>
        </w:rPr>
        <w:tab/>
      </w:r>
      <w:r>
        <w:rPr>
          <w:lang w:val="fr-CA"/>
        </w:rPr>
        <w:tab/>
      </w:r>
      <w:r w:rsidR="00C83F56" w:rsidRPr="008F21AF">
        <w:rPr>
          <w:lang w:val="fr-CA"/>
        </w:rPr>
        <w:t xml:space="preserve">Sociétés </w:t>
      </w:r>
      <w:r w:rsidR="00C83F56">
        <w:rPr>
          <w:lang w:val="fr-CA"/>
        </w:rPr>
        <w:t>exerçant des activités</w:t>
      </w:r>
      <w:r w:rsidR="00C83F56" w:rsidRPr="008F21AF">
        <w:rPr>
          <w:lang w:val="fr-CA"/>
        </w:rPr>
        <w:t xml:space="preserve"> à l’étranger</w:t>
      </w:r>
      <w:bookmarkEnd w:id="353"/>
    </w:p>
    <w:p w14:paraId="72322768" w14:textId="77777777" w:rsidR="00C83F56" w:rsidRDefault="00C83F56" w:rsidP="004F23C1">
      <w:pPr>
        <w:pStyle w:val="SingleTxtG"/>
        <w:numPr>
          <w:ilvl w:val="0"/>
          <w:numId w:val="4"/>
        </w:numPr>
        <w:ind w:left="1134" w:firstLine="0"/>
        <w:rPr>
          <w:lang w:val="fr-CA"/>
        </w:rPr>
      </w:pPr>
      <w:bookmarkStart w:id="354" w:name="lt_pId623"/>
      <w:r>
        <w:rPr>
          <w:lang w:val="fr-CA"/>
        </w:rPr>
        <w:t>Dans une décision rendue en </w:t>
      </w:r>
      <w:r w:rsidRPr="008F21AF">
        <w:rPr>
          <w:lang w:val="fr-CA"/>
        </w:rPr>
        <w:t>2020, la Cour suprême du Canada a statué que trois personnes originaires d’Érythrée pouvaient intenter une action civile au Canada contre une société minière canadienne (</w:t>
      </w:r>
      <w:proofErr w:type="spellStart"/>
      <w:r w:rsidRPr="0096749B">
        <w:rPr>
          <w:i/>
          <w:iCs/>
          <w:lang w:val="fr-CA"/>
        </w:rPr>
        <w:t>Nevsun</w:t>
      </w:r>
      <w:proofErr w:type="spellEnd"/>
      <w:r w:rsidRPr="0096749B">
        <w:rPr>
          <w:i/>
          <w:iCs/>
          <w:lang w:val="fr-CA"/>
        </w:rPr>
        <w:t xml:space="preserve"> </w:t>
      </w:r>
      <w:proofErr w:type="spellStart"/>
      <w:r w:rsidRPr="0096749B">
        <w:rPr>
          <w:i/>
          <w:iCs/>
          <w:lang w:val="fr-CA"/>
        </w:rPr>
        <w:t>Resources</w:t>
      </w:r>
      <w:proofErr w:type="spellEnd"/>
      <w:r w:rsidRPr="0096749B">
        <w:rPr>
          <w:i/>
          <w:iCs/>
          <w:lang w:val="fr-CA"/>
        </w:rPr>
        <w:t xml:space="preserve"> Ltd. c. Araya</w:t>
      </w:r>
      <w:r w:rsidRPr="008F21AF">
        <w:rPr>
          <w:lang w:val="fr-CA"/>
        </w:rPr>
        <w:t>, 2020 CSC</w:t>
      </w:r>
      <w:r>
        <w:rPr>
          <w:lang w:val="fr-CA"/>
        </w:rPr>
        <w:t> </w:t>
      </w:r>
      <w:r w:rsidRPr="008F21AF">
        <w:rPr>
          <w:lang w:val="fr-CA"/>
        </w:rPr>
        <w:t>5).</w:t>
      </w:r>
      <w:bookmarkEnd w:id="354"/>
      <w:r w:rsidRPr="008F21AF">
        <w:rPr>
          <w:lang w:val="fr-CA"/>
        </w:rPr>
        <w:t xml:space="preserve"> </w:t>
      </w:r>
      <w:bookmarkStart w:id="355" w:name="lt_pId624"/>
      <w:r w:rsidRPr="008F21AF">
        <w:rPr>
          <w:lang w:val="fr-CA"/>
        </w:rPr>
        <w:t>Ces personnes ont allégué des violations en Érythrée des interdictions coutumières du travail forcé, de l’esclavage, des traitements cruels, inhumains ou dégradants et des crimes contre l’humanité.</w:t>
      </w:r>
      <w:bookmarkEnd w:id="355"/>
      <w:r w:rsidRPr="008F21AF">
        <w:rPr>
          <w:lang w:val="fr-CA"/>
        </w:rPr>
        <w:t xml:space="preserve"> </w:t>
      </w:r>
      <w:bookmarkStart w:id="356" w:name="lt_pId625"/>
      <w:r w:rsidRPr="008F21AF">
        <w:rPr>
          <w:lang w:val="fr-CA"/>
        </w:rPr>
        <w:t>La Cour a rejeté une requête préliminaire en radiation de la plainte.</w:t>
      </w:r>
      <w:bookmarkEnd w:id="356"/>
      <w:r w:rsidRPr="008F21AF">
        <w:rPr>
          <w:lang w:val="fr-CA"/>
        </w:rPr>
        <w:t xml:space="preserve"> </w:t>
      </w:r>
      <w:bookmarkStart w:id="357" w:name="lt_pId626"/>
      <w:r w:rsidRPr="008F21AF">
        <w:rPr>
          <w:lang w:val="fr-CA"/>
        </w:rPr>
        <w:t>Plus tard cette année-là, la société a conclu un règlement avec les plaignants.</w:t>
      </w:r>
      <w:bookmarkEnd w:id="357"/>
    </w:p>
    <w:p w14:paraId="28920E2A" w14:textId="77956B1B" w:rsidR="00C40CF5" w:rsidRPr="00C40CF5" w:rsidRDefault="00C40CF5" w:rsidP="00C40CF5">
      <w:pPr>
        <w:pStyle w:val="Content1"/>
        <w:spacing w:after="0" w:line="240" w:lineRule="atLeast"/>
        <w:ind w:left="0"/>
        <w:jc w:val="center"/>
        <w:rPr>
          <w:sz w:val="20"/>
          <w:szCs w:val="20"/>
          <w:u w:val="single"/>
          <w:lang w:val="fr-CA"/>
        </w:rPr>
      </w:pPr>
      <w:r>
        <w:rPr>
          <w:sz w:val="20"/>
          <w:szCs w:val="20"/>
          <w:u w:val="single"/>
          <w:lang w:val="fr-CA"/>
        </w:rPr>
        <w:tab/>
      </w:r>
      <w:r>
        <w:rPr>
          <w:sz w:val="20"/>
          <w:szCs w:val="20"/>
          <w:u w:val="single"/>
          <w:lang w:val="fr-CA"/>
        </w:rPr>
        <w:tab/>
      </w:r>
      <w:r>
        <w:rPr>
          <w:sz w:val="20"/>
          <w:szCs w:val="20"/>
          <w:u w:val="single"/>
          <w:lang w:val="fr-CA"/>
        </w:rPr>
        <w:tab/>
      </w:r>
    </w:p>
    <w:sectPr w:rsidR="00C40CF5" w:rsidRPr="00C40CF5" w:rsidSect="002C07B3">
      <w:headerReference w:type="even" r:id="rId11"/>
      <w:headerReference w:type="default" r:id="rId12"/>
      <w:footerReference w:type="even" r:id="rId13"/>
      <w:footerReference w:type="default" r:id="rId14"/>
      <w:footerReference w:type="first" r:id="rId15"/>
      <w:pgSz w:w="11906" w:h="16838"/>
      <w:pgMar w:top="1417" w:right="1274"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B7490" w14:textId="77777777" w:rsidR="0066508B" w:rsidRDefault="0066508B">
      <w:pPr>
        <w:spacing w:line="240" w:lineRule="auto"/>
      </w:pPr>
    </w:p>
  </w:endnote>
  <w:endnote w:type="continuationSeparator" w:id="0">
    <w:p w14:paraId="307B1B6A" w14:textId="77777777" w:rsidR="0066508B" w:rsidRDefault="0066508B">
      <w:pPr>
        <w:pStyle w:val="Footer"/>
      </w:pPr>
    </w:p>
  </w:endnote>
  <w:endnote w:type="continuationNotice" w:id="1">
    <w:p w14:paraId="503AB051" w14:textId="77777777" w:rsidR="0066508B" w:rsidRDefault="006650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7" w14:textId="77777777" w:rsidR="00AB4C8F" w:rsidRDefault="00AB4C8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D51DF">
      <w:rPr>
        <w:b/>
        <w:noProof/>
        <w:sz w:val="18"/>
      </w:rPr>
      <w:t>50</w:t>
    </w:r>
    <w:r>
      <w:rPr>
        <w:b/>
        <w:sz w:val="18"/>
      </w:rPr>
      <w:fldChar w:fldCharType="end"/>
    </w:r>
    <w:r>
      <w:tab/>
    </w:r>
    <w:fldSimple w:instr=" DOCPROPERTY  gdocf  \* MERGEFORMAT "/>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8" w14:textId="77777777" w:rsidR="00AB4C8F" w:rsidRDefault="00AB4C8F">
    <w:pPr>
      <w:pStyle w:val="Footer"/>
      <w:tabs>
        <w:tab w:val="right" w:pos="9639"/>
      </w:tabs>
      <w:rPr>
        <w:sz w:val="20"/>
      </w:rPr>
    </w:pPr>
    <w:fldSimple w:instr=" DOCPROPERTY  gdocf  \* MERGEFORMAT "/>
    <w:r>
      <w:tab/>
    </w:r>
    <w:r>
      <w:rPr>
        <w:b/>
        <w:sz w:val="18"/>
      </w:rPr>
      <w:fldChar w:fldCharType="begin"/>
    </w:r>
    <w:r>
      <w:rPr>
        <w:b/>
        <w:sz w:val="18"/>
      </w:rPr>
      <w:instrText xml:space="preserve"> PAGE  \* MERGEFORMAT </w:instrText>
    </w:r>
    <w:r>
      <w:rPr>
        <w:b/>
        <w:sz w:val="18"/>
      </w:rPr>
      <w:fldChar w:fldCharType="separate"/>
    </w:r>
    <w:r w:rsidR="00BD51DF">
      <w:rPr>
        <w:b/>
        <w:noProof/>
        <w:sz w:val="18"/>
      </w:rPr>
      <w:t>51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9" w14:textId="77777777" w:rsidR="00AB4C8F" w:rsidRDefault="00AB4C8F">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14:anchorId="7CFC8BAE" wp14:editId="7CFC8BA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fldChar w:fldCharType="begin"/>
    </w:r>
    <w:r>
      <w:rPr>
        <w:sz w:val="20"/>
      </w:rPr>
      <w:instrText xml:space="preserve"> DOCPROPERTY  gdoc  \* MERGEFORMAT </w:instrText>
    </w:r>
    <w:r>
      <w:rPr>
        <w:sz w:val="20"/>
      </w:rPr>
      <w:fldChar w:fldCharType="end"/>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B4C8F" w14:paraId="7CFC8BAC" w14:textId="77777777">
      <w:tc>
        <w:tcPr>
          <w:tcW w:w="1848" w:type="dxa"/>
          <w:vAlign w:val="bottom"/>
        </w:tcPr>
        <w:p w14:paraId="7CFC8BAA" w14:textId="77777777" w:rsidR="00AB4C8F" w:rsidRDefault="00AB4C8F">
          <w:pPr>
            <w:spacing w:before="120" w:after="120" w:line="240" w:lineRule="auto"/>
            <w:jc w:val="right"/>
            <w:rPr>
              <w:sz w:val="16"/>
            </w:rPr>
          </w:pPr>
          <w:r>
            <w:rPr>
              <w:noProof/>
              <w:lang w:val="en-GB" w:eastAsia="en-GB"/>
            </w:rPr>
            <w:drawing>
              <wp:inline distT="0" distB="0" distL="0" distR="0" wp14:anchorId="7CFC8BB0" wp14:editId="7CFC8BB1">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7CFC8BAB" w14:textId="77777777" w:rsidR="00AB4C8F" w:rsidRDefault="00AB4C8F">
          <w:pPr>
            <w:spacing w:line="240" w:lineRule="auto"/>
            <w:jc w:val="right"/>
            <w:rPr>
              <w:sz w:val="16"/>
            </w:rPr>
          </w:pPr>
          <w:r>
            <w:rPr>
              <w:noProof/>
              <w:lang w:val="en-GB" w:eastAsia="en-GB"/>
            </w:rPr>
            <w:drawing>
              <wp:inline distT="0" distB="0" distL="0" distR="0" wp14:anchorId="7CFC8BB2" wp14:editId="7CFC8BB3">
                <wp:extent cx="562034" cy="5620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562034" cy="562034"/>
                        </a:xfrm>
                        <a:prstGeom prst="rect">
                          <a:avLst/>
                        </a:prstGeom>
                      </pic:spPr>
                    </pic:pic>
                  </a:graphicData>
                </a:graphic>
              </wp:inline>
            </w:drawing>
          </w:r>
        </w:p>
      </w:tc>
    </w:tr>
  </w:tbl>
  <w:p w14:paraId="7CFC8BAD" w14:textId="77777777" w:rsidR="00AB4C8F" w:rsidRDefault="00AB4C8F">
    <w:pPr>
      <w:pStyle w:val="Footer"/>
    </w:pPr>
    <w:r>
      <w:rPr>
        <w:rFonts w:ascii="C39T30Lfz" w:hAnsi="C39T30Lfz"/>
        <w:noProof/>
        <w:sz w:val="56"/>
        <w:szCs w:val="56"/>
        <w:lang w:eastAsia="fr-FR"/>
      </w:rPr>
      <w:fldChar w:fldCharType="begin"/>
    </w:r>
    <w:r>
      <w:rPr>
        <w:rFonts w:ascii="C39T30Lfz" w:hAnsi="C39T30Lfz"/>
        <w:noProof/>
        <w:sz w:val="56"/>
        <w:szCs w:val="56"/>
        <w:lang w:eastAsia="fr-FR"/>
      </w:rPr>
      <w:instrText xml:space="preserve"> DOCPROPERTY  bar  \* MERGEFORMAT </w:instrText>
    </w:r>
    <w:r>
      <w:rPr>
        <w:rFonts w:ascii="C39T30Lfz" w:hAnsi="C39T30Lfz"/>
        <w:noProof/>
        <w:sz w:val="56"/>
        <w:szCs w:val="56"/>
        <w:lang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4C5E" w14:textId="77777777" w:rsidR="0066508B" w:rsidRDefault="0066508B">
      <w:pPr>
        <w:pStyle w:val="Footer"/>
        <w:tabs>
          <w:tab w:val="right" w:pos="2155"/>
        </w:tabs>
        <w:spacing w:after="80" w:line="240" w:lineRule="atLeast"/>
        <w:ind w:left="680"/>
        <w:rPr>
          <w:u w:val="single"/>
        </w:rPr>
      </w:pPr>
      <w:r>
        <w:rPr>
          <w:u w:val="single"/>
        </w:rPr>
        <w:tab/>
      </w:r>
    </w:p>
  </w:footnote>
  <w:footnote w:type="continuationSeparator" w:id="0">
    <w:p w14:paraId="1CC261F5" w14:textId="77777777" w:rsidR="0066508B" w:rsidRDefault="0066508B">
      <w:pPr>
        <w:pStyle w:val="Footer"/>
        <w:tabs>
          <w:tab w:val="right" w:pos="2155"/>
        </w:tabs>
        <w:spacing w:after="80" w:line="240" w:lineRule="atLeast"/>
        <w:ind w:left="680"/>
        <w:rPr>
          <w:u w:val="single"/>
        </w:rPr>
      </w:pPr>
      <w:r>
        <w:rPr>
          <w:u w:val="single"/>
        </w:rPr>
        <w:tab/>
      </w:r>
    </w:p>
  </w:footnote>
  <w:footnote w:type="continuationNotice" w:id="1">
    <w:p w14:paraId="47ADC3FC" w14:textId="77777777" w:rsidR="0066508B" w:rsidRDefault="0066508B">
      <w:pPr>
        <w:spacing w:line="240" w:lineRule="auto"/>
        <w:rPr>
          <w:sz w:val="2"/>
          <w:szCs w:val="2"/>
        </w:rPr>
      </w:pPr>
    </w:p>
  </w:footnote>
  <w:footnote w:id="2">
    <w:p w14:paraId="7CFC8BB4" w14:textId="77777777" w:rsidR="00AB4C8F" w:rsidRDefault="00AB4C8F">
      <w:pPr>
        <w:pStyle w:val="FootnoteText"/>
      </w:pPr>
      <w:r>
        <w:tab/>
      </w:r>
      <w:r>
        <w:rPr>
          <w:rStyle w:val="FootnoteReference"/>
          <w:sz w:val="20"/>
          <w:vertAlign w:val="baseline"/>
        </w:rPr>
        <w:t>*</w:t>
      </w:r>
      <w:r>
        <w:rPr>
          <w:sz w:val="20"/>
        </w:rPr>
        <w:tab/>
      </w:r>
      <w:r>
        <w:t>La version originale du présent document n’a pas été revue par les services d’édition.</w:t>
      </w:r>
    </w:p>
  </w:footnote>
  <w:footnote w:id="3">
    <w:p w14:paraId="7DEDE537" w14:textId="3FEBBBE5" w:rsidR="00602AF2" w:rsidRPr="00602AF2" w:rsidRDefault="00EA722F" w:rsidP="00602AF2">
      <w:pPr>
        <w:pStyle w:val="FootnoteText"/>
        <w:rPr>
          <w:lang w:val="en-CH"/>
        </w:rPr>
      </w:pPr>
      <w:r>
        <w:rPr>
          <w:rStyle w:val="FootnoteReference"/>
        </w:rPr>
        <w:tab/>
      </w:r>
      <w:r w:rsidRPr="00EA722F">
        <w:rPr>
          <w:rStyle w:val="FootnoteReference"/>
          <w:sz w:val="20"/>
          <w:vertAlign w:val="baseline"/>
        </w:rPr>
        <w:t>**</w:t>
      </w:r>
      <w:r>
        <w:rPr>
          <w:rStyle w:val="FootnoteReference"/>
          <w:sz w:val="20"/>
          <w:vertAlign w:val="baseline"/>
        </w:rPr>
        <w:tab/>
      </w:r>
      <w:proofErr w:type="spellStart"/>
      <w:r w:rsidR="00602AF2" w:rsidRPr="00602AF2">
        <w:rPr>
          <w:lang w:val="en-CH"/>
        </w:rPr>
        <w:t>L’annexe</w:t>
      </w:r>
      <w:proofErr w:type="spellEnd"/>
      <w:r w:rsidR="00602AF2" w:rsidRPr="00602AF2">
        <w:rPr>
          <w:lang w:val="en-CH"/>
        </w:rPr>
        <w:t xml:space="preserve"> au </w:t>
      </w:r>
      <w:proofErr w:type="spellStart"/>
      <w:r w:rsidR="00602AF2" w:rsidRPr="00602AF2">
        <w:rPr>
          <w:lang w:val="en-CH"/>
        </w:rPr>
        <w:t>présent</w:t>
      </w:r>
      <w:proofErr w:type="spellEnd"/>
      <w:r w:rsidR="00602AF2" w:rsidRPr="00602AF2">
        <w:rPr>
          <w:lang w:val="en-CH"/>
        </w:rPr>
        <w:t xml:space="preserve"> rapport est accessible sur la page Web du </w:t>
      </w:r>
      <w:proofErr w:type="spellStart"/>
      <w:r w:rsidR="00602AF2" w:rsidRPr="00602AF2">
        <w:rPr>
          <w:lang w:val="en-CH"/>
        </w:rPr>
        <w:t>Comité</w:t>
      </w:r>
      <w:proofErr w:type="spellEnd"/>
      <w:r w:rsidR="00602AF2" w:rsidRPr="00602AF2">
        <w:rPr>
          <w:lang w:val="en-CH"/>
        </w:rPr>
        <w:t>.</w:t>
      </w:r>
    </w:p>
    <w:p w14:paraId="210644F0" w14:textId="2A7F6B96" w:rsidR="00EA722F" w:rsidRPr="00EA722F" w:rsidRDefault="00EA722F" w:rsidP="00EA722F">
      <w:pPr>
        <w:pStyle w:val="FootnoteText"/>
        <w:rPr>
          <w:szCs w:val="18"/>
          <w:lang w:val="en-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671F6" w14:textId="1FF70EB5" w:rsidR="00677442" w:rsidRPr="008A3F90" w:rsidRDefault="008A3F90" w:rsidP="002C07B3">
    <w:pPr>
      <w:pStyle w:val="Header"/>
      <w:jc w:val="right"/>
      <w:rPr>
        <w:lang w:val="en-CH"/>
      </w:rPr>
    </w:pPr>
    <w:r>
      <w:rPr>
        <w:lang w:val="en-CH"/>
      </w:rPr>
      <w:t>CERD/C/C</w:t>
    </w:r>
    <w:r w:rsidR="00641EA1">
      <w:rPr>
        <w:lang w:val="en-CH"/>
      </w:rPr>
      <w:t>AN</w:t>
    </w:r>
    <w:r>
      <w:rPr>
        <w:lang w:val="en-CH"/>
      </w:rPr>
      <w:t>/24-2</w:t>
    </w:r>
    <w:r w:rsidR="00355128">
      <w:rPr>
        <w:lang w:val="en-CH"/>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6" w14:textId="3AE6BC4E" w:rsidR="00AB4C8F" w:rsidRPr="00CF6BCA" w:rsidRDefault="00CF6BCA" w:rsidP="002C07B3">
    <w:pPr>
      <w:pStyle w:val="Header"/>
      <w:rPr>
        <w:lang w:val="en-CH"/>
      </w:rPr>
    </w:pPr>
    <w:r>
      <w:rPr>
        <w:lang w:val="en-CH"/>
      </w:rPr>
      <w:t>CERD/C/C</w:t>
    </w:r>
    <w:r w:rsidR="00C83F56">
      <w:rPr>
        <w:lang w:val="en-CH"/>
      </w:rPr>
      <w:t>AN</w:t>
    </w:r>
    <w:r>
      <w:rPr>
        <w:lang w:val="en-CH"/>
      </w:rPr>
      <w:t>/24-2</w:t>
    </w:r>
    <w:r w:rsidR="00C83F56">
      <w:rPr>
        <w:lang w:val="en-CH"/>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3BF32310"/>
    <w:multiLevelType w:val="hybridMultilevel"/>
    <w:tmpl w:val="CC882DA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83600101">
    <w:abstractNumId w:val="3"/>
  </w:num>
  <w:num w:numId="2" w16cid:durableId="1961448479">
    <w:abstractNumId w:val="1"/>
  </w:num>
  <w:num w:numId="3" w16cid:durableId="823937407">
    <w:abstractNumId w:val="0"/>
  </w:num>
  <w:num w:numId="4" w16cid:durableId="170590925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13C0A"/>
    <w:rsid w:val="00077DEC"/>
    <w:rsid w:val="00101B30"/>
    <w:rsid w:val="0010497F"/>
    <w:rsid w:val="00122465"/>
    <w:rsid w:val="00146714"/>
    <w:rsid w:val="0019650C"/>
    <w:rsid w:val="001A7A96"/>
    <w:rsid w:val="001B11AB"/>
    <w:rsid w:val="001E0237"/>
    <w:rsid w:val="001E6B46"/>
    <w:rsid w:val="00206161"/>
    <w:rsid w:val="002C07B3"/>
    <w:rsid w:val="002D460A"/>
    <w:rsid w:val="002D6A70"/>
    <w:rsid w:val="002F6171"/>
    <w:rsid w:val="00306C3B"/>
    <w:rsid w:val="00312A1C"/>
    <w:rsid w:val="00355128"/>
    <w:rsid w:val="00361D7D"/>
    <w:rsid w:val="0036492A"/>
    <w:rsid w:val="00370808"/>
    <w:rsid w:val="00371B07"/>
    <w:rsid w:val="00382226"/>
    <w:rsid w:val="00391194"/>
    <w:rsid w:val="003C0A13"/>
    <w:rsid w:val="003F011A"/>
    <w:rsid w:val="003F179E"/>
    <w:rsid w:val="00434B59"/>
    <w:rsid w:val="0044331C"/>
    <w:rsid w:val="004449E8"/>
    <w:rsid w:val="00485DBA"/>
    <w:rsid w:val="00492DC6"/>
    <w:rsid w:val="004F23C1"/>
    <w:rsid w:val="005446F2"/>
    <w:rsid w:val="005A0BAA"/>
    <w:rsid w:val="005C4013"/>
    <w:rsid w:val="005C4CF3"/>
    <w:rsid w:val="005F54EC"/>
    <w:rsid w:val="00602AF2"/>
    <w:rsid w:val="00616D35"/>
    <w:rsid w:val="00636241"/>
    <w:rsid w:val="00641EA1"/>
    <w:rsid w:val="00647AF1"/>
    <w:rsid w:val="0066508B"/>
    <w:rsid w:val="0066797B"/>
    <w:rsid w:val="00674820"/>
    <w:rsid w:val="00677442"/>
    <w:rsid w:val="00685359"/>
    <w:rsid w:val="006A0095"/>
    <w:rsid w:val="006D19F7"/>
    <w:rsid w:val="00727B7A"/>
    <w:rsid w:val="007609FB"/>
    <w:rsid w:val="00780F4B"/>
    <w:rsid w:val="007B46ED"/>
    <w:rsid w:val="007B658E"/>
    <w:rsid w:val="007C5F06"/>
    <w:rsid w:val="007C64B6"/>
    <w:rsid w:val="007E1F50"/>
    <w:rsid w:val="007E60D6"/>
    <w:rsid w:val="00862309"/>
    <w:rsid w:val="00873ACA"/>
    <w:rsid w:val="00887796"/>
    <w:rsid w:val="008A3F90"/>
    <w:rsid w:val="0091019E"/>
    <w:rsid w:val="009621DB"/>
    <w:rsid w:val="009C7E7D"/>
    <w:rsid w:val="009D00F9"/>
    <w:rsid w:val="00A12BC2"/>
    <w:rsid w:val="00A1549C"/>
    <w:rsid w:val="00A905C0"/>
    <w:rsid w:val="00A96F5C"/>
    <w:rsid w:val="00AB4C8F"/>
    <w:rsid w:val="00AC3EF9"/>
    <w:rsid w:val="00B05204"/>
    <w:rsid w:val="00B31AE2"/>
    <w:rsid w:val="00B51BF4"/>
    <w:rsid w:val="00B7631F"/>
    <w:rsid w:val="00B8084C"/>
    <w:rsid w:val="00B90C3E"/>
    <w:rsid w:val="00B961F0"/>
    <w:rsid w:val="00B97E48"/>
    <w:rsid w:val="00BA195E"/>
    <w:rsid w:val="00BD51DF"/>
    <w:rsid w:val="00BE055B"/>
    <w:rsid w:val="00C2010F"/>
    <w:rsid w:val="00C317FC"/>
    <w:rsid w:val="00C40CF5"/>
    <w:rsid w:val="00C54F2D"/>
    <w:rsid w:val="00C63736"/>
    <w:rsid w:val="00C83F56"/>
    <w:rsid w:val="00CB68ED"/>
    <w:rsid w:val="00CD4D82"/>
    <w:rsid w:val="00CE2153"/>
    <w:rsid w:val="00CF6BCA"/>
    <w:rsid w:val="00D50ED9"/>
    <w:rsid w:val="00D55E7C"/>
    <w:rsid w:val="00DC0318"/>
    <w:rsid w:val="00DC06AD"/>
    <w:rsid w:val="00E41D73"/>
    <w:rsid w:val="00E43416"/>
    <w:rsid w:val="00E471D8"/>
    <w:rsid w:val="00EA05C6"/>
    <w:rsid w:val="00EA722F"/>
    <w:rsid w:val="00EC4C87"/>
    <w:rsid w:val="00EC7229"/>
    <w:rsid w:val="00ED4218"/>
    <w:rsid w:val="00ED454C"/>
    <w:rsid w:val="00EE3C91"/>
    <w:rsid w:val="00F41C45"/>
    <w:rsid w:val="00F46483"/>
    <w:rsid w:val="00F46CD2"/>
    <w:rsid w:val="00F70368"/>
    <w:rsid w:val="00FE7E8D"/>
    <w:rsid w:val="00FF6C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C86E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link w:val="Heading3Char"/>
    <w:qFormat/>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link w:val="Heading6Char"/>
    <w:uiPriority w:val="9"/>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iPriority w:val="99"/>
    <w:unhideWhenUsed/>
    <w:rPr>
      <w:color w:val="0000FF"/>
      <w:u w:val="none"/>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uiPriority w:val="99"/>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Default">
    <w:name w:val="Default"/>
    <w:uiPriority w:val="99"/>
    <w:rsid w:val="00BA195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References,Grille claire - Accent 31,Liste couleur - Accent 111,Liste couleur - Accent 11,Liste couleur - Accent 112,List Paragraph1,3 partie"/>
    <w:basedOn w:val="Normal"/>
    <w:link w:val="ListParagraphChar"/>
    <w:uiPriority w:val="34"/>
    <w:qFormat/>
    <w:rsid w:val="00BA195E"/>
    <w:pPr>
      <w:suppressAutoHyphens w:val="0"/>
      <w:kinsoku/>
      <w:overflowPunct/>
      <w:autoSpaceDE/>
      <w:autoSpaceDN/>
      <w:adjustRightInd/>
      <w:snapToGrid/>
      <w:spacing w:after="200" w:line="276" w:lineRule="auto"/>
      <w:ind w:left="720"/>
      <w:contextualSpacing/>
    </w:pPr>
    <w:rPr>
      <w:rFonts w:ascii="Calibri" w:eastAsia="SimSun" w:hAnsi="Calibri"/>
      <w:lang w:val="x-none" w:eastAsia="x-none"/>
    </w:rPr>
  </w:style>
  <w:style w:type="character" w:customStyle="1" w:styleId="ListParagraphChar">
    <w:name w:val="List Paragraph Char"/>
    <w:aliases w:val="References Char,Grille claire - Accent 31 Char,Liste couleur - Accent 111 Char,Liste couleur - Accent 11 Char,Liste couleur - Accent 112 Char,List Paragraph1 Char,3 partie Char"/>
    <w:link w:val="ListParagraph"/>
    <w:uiPriority w:val="34"/>
    <w:locked/>
    <w:rsid w:val="00BA195E"/>
    <w:rPr>
      <w:rFonts w:ascii="Calibri" w:eastAsia="SimSun" w:hAnsi="Calibri" w:cs="Times New Roman"/>
      <w:sz w:val="20"/>
      <w:szCs w:val="20"/>
      <w:lang w:val="x-none" w:eastAsia="x-none"/>
    </w:rPr>
  </w:style>
  <w:style w:type="paragraph" w:customStyle="1" w:styleId="twunmatched">
    <w:name w:val="twunmatched"/>
    <w:basedOn w:val="Normal"/>
    <w:uiPriority w:val="99"/>
    <w:rsid w:val="00BA19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CommentReference">
    <w:name w:val="annotation reference"/>
    <w:uiPriority w:val="99"/>
    <w:semiHidden/>
    <w:unhideWhenUsed/>
    <w:rsid w:val="00BA195E"/>
    <w:rPr>
      <w:sz w:val="16"/>
      <w:szCs w:val="16"/>
    </w:rPr>
  </w:style>
  <w:style w:type="paragraph" w:styleId="CommentText">
    <w:name w:val="annotation text"/>
    <w:basedOn w:val="Normal"/>
    <w:link w:val="CommentTextChar"/>
    <w:uiPriority w:val="99"/>
    <w:unhideWhenUsed/>
    <w:rsid w:val="00BA195E"/>
    <w:pPr>
      <w:suppressAutoHyphens w:val="0"/>
      <w:kinsoku/>
      <w:overflowPunct/>
      <w:autoSpaceDE/>
      <w:autoSpaceDN/>
      <w:adjustRightInd/>
      <w:snapToGrid/>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rsid w:val="00BA195E"/>
    <w:rPr>
      <w:rFonts w:ascii="Calibri" w:eastAsia="Calibri" w:hAnsi="Calibri" w:cs="Times New Roman"/>
      <w:sz w:val="20"/>
      <w:szCs w:val="20"/>
      <w:lang w:val="x-none"/>
    </w:rPr>
  </w:style>
  <w:style w:type="character" w:styleId="Emphasis">
    <w:name w:val="Emphasis"/>
    <w:uiPriority w:val="20"/>
    <w:qFormat/>
    <w:rsid w:val="00BA195E"/>
    <w:rPr>
      <w:i/>
      <w:iCs/>
    </w:rPr>
  </w:style>
  <w:style w:type="character" w:customStyle="1" w:styleId="st">
    <w:name w:val="st"/>
    <w:basedOn w:val="DefaultParagraphFont"/>
    <w:rsid w:val="00BA195E"/>
  </w:style>
  <w:style w:type="paragraph" w:styleId="NormalWeb">
    <w:name w:val="Normal (Web)"/>
    <w:basedOn w:val="Normal"/>
    <w:uiPriority w:val="99"/>
    <w:unhideWhenUsed/>
    <w:rsid w:val="00BA19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NoSpacing">
    <w:name w:val="No Spacing"/>
    <w:uiPriority w:val="1"/>
    <w:qFormat/>
    <w:rsid w:val="00BA195E"/>
    <w:pPr>
      <w:spacing w:after="0" w:line="240" w:lineRule="auto"/>
    </w:pPr>
    <w:rPr>
      <w:rFonts w:ascii="Calibri" w:eastAsia="SimSun" w:hAnsi="Calibri" w:cs="Times New Roman"/>
      <w:lang w:val="fr-FR"/>
    </w:rPr>
  </w:style>
  <w:style w:type="character" w:customStyle="1" w:styleId="shorttext">
    <w:name w:val="short_text"/>
    <w:basedOn w:val="DefaultParagraphFont"/>
    <w:rsid w:val="00BA195E"/>
  </w:style>
  <w:style w:type="character" w:customStyle="1" w:styleId="uccresultamount">
    <w:name w:val="uccresultamount"/>
    <w:basedOn w:val="DefaultParagraphFont"/>
    <w:rsid w:val="00BA195E"/>
  </w:style>
  <w:style w:type="character" w:customStyle="1" w:styleId="Entete">
    <w:name w:val="Entete"/>
    <w:uiPriority w:val="1"/>
    <w:rsid w:val="00BA195E"/>
    <w:rPr>
      <w:rFonts w:ascii="Arial Narrow" w:hAnsi="Arial Narrow"/>
      <w:caps/>
      <w:dstrike w:val="0"/>
      <w:sz w:val="20"/>
      <w:vertAlign w:val="baseline"/>
    </w:rPr>
  </w:style>
  <w:style w:type="character" w:customStyle="1" w:styleId="SDestinataire">
    <w:name w:val="SDestinataire"/>
    <w:uiPriority w:val="1"/>
    <w:rsid w:val="00BA195E"/>
    <w:rPr>
      <w:rFonts w:ascii="Arial Narrow" w:hAnsi="Arial Narrow"/>
      <w:sz w:val="28"/>
    </w:rPr>
  </w:style>
  <w:style w:type="character" w:styleId="Strong">
    <w:name w:val="Strong"/>
    <w:basedOn w:val="DefaultParagraphFont"/>
    <w:uiPriority w:val="22"/>
    <w:qFormat/>
    <w:rsid w:val="00EC7229"/>
    <w:rPr>
      <w:b/>
      <w:bCs/>
    </w:rPr>
  </w:style>
  <w:style w:type="paragraph" w:customStyle="1" w:styleId="al">
    <w:name w:val="al"/>
    <w:basedOn w:val="Normal"/>
    <w:rsid w:val="00EC722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num-art">
    <w:name w:val="num-art"/>
    <w:basedOn w:val="DefaultParagraphFont"/>
    <w:rsid w:val="00EC7229"/>
  </w:style>
  <w:style w:type="character" w:customStyle="1" w:styleId="zrenv">
    <w:name w:val="zrenv"/>
    <w:basedOn w:val="DefaultParagraphFont"/>
    <w:rsid w:val="00EC7229"/>
  </w:style>
  <w:style w:type="paragraph" w:styleId="Revision">
    <w:name w:val="Revision"/>
    <w:hidden/>
    <w:uiPriority w:val="99"/>
    <w:semiHidden/>
    <w:rsid w:val="00EC7229"/>
    <w:pPr>
      <w:spacing w:after="0" w:line="240" w:lineRule="auto"/>
    </w:pPr>
    <w:rPr>
      <w:kern w:val="2"/>
      <w:sz w:val="24"/>
      <w:szCs w:val="24"/>
      <w:lang w:val="fr-FR"/>
      <w14:ligatures w14:val="standardContextual"/>
    </w:rPr>
  </w:style>
  <w:style w:type="character" w:customStyle="1" w:styleId="y2iqfc">
    <w:name w:val="y2iqfc"/>
    <w:basedOn w:val="DefaultParagraphFont"/>
    <w:rsid w:val="00EC7229"/>
  </w:style>
  <w:style w:type="character" w:customStyle="1" w:styleId="chapeau">
    <w:name w:val="chapeau"/>
    <w:basedOn w:val="DefaultParagraphFont"/>
    <w:rsid w:val="00EC7229"/>
  </w:style>
  <w:style w:type="paragraph" w:styleId="TOC1">
    <w:name w:val="toc 1"/>
    <w:basedOn w:val="Normal"/>
    <w:next w:val="Normal"/>
    <w:autoRedefine/>
    <w:uiPriority w:val="39"/>
    <w:unhideWhenUsed/>
    <w:rsid w:val="00EC7229"/>
    <w:pPr>
      <w:suppressAutoHyphens w:val="0"/>
      <w:kinsoku/>
      <w:overflowPunct/>
      <w:autoSpaceDE/>
      <w:autoSpaceDN/>
      <w:adjustRightInd/>
      <w:snapToGrid/>
      <w:spacing w:after="100" w:line="240" w:lineRule="auto"/>
    </w:pPr>
    <w:rPr>
      <w:rFonts w:asciiTheme="minorHAnsi" w:hAnsiTheme="minorHAnsi" w:cstheme="minorBidi"/>
      <w:kern w:val="2"/>
      <w:sz w:val="24"/>
      <w:szCs w:val="24"/>
      <w:lang w:val="fr-FR"/>
      <w14:ligatures w14:val="standardContextual"/>
    </w:rPr>
  </w:style>
  <w:style w:type="paragraph" w:styleId="TOC2">
    <w:name w:val="toc 2"/>
    <w:basedOn w:val="Normal"/>
    <w:next w:val="Normal"/>
    <w:autoRedefine/>
    <w:uiPriority w:val="39"/>
    <w:unhideWhenUsed/>
    <w:rsid w:val="00EC7229"/>
    <w:pPr>
      <w:suppressAutoHyphens w:val="0"/>
      <w:kinsoku/>
      <w:overflowPunct/>
      <w:autoSpaceDE/>
      <w:autoSpaceDN/>
      <w:adjustRightInd/>
      <w:snapToGrid/>
      <w:spacing w:after="100" w:line="240" w:lineRule="auto"/>
      <w:ind w:left="240"/>
    </w:pPr>
    <w:rPr>
      <w:rFonts w:ascii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EC7229"/>
    <w:pPr>
      <w:suppressAutoHyphens w:val="0"/>
      <w:kinsoku/>
      <w:overflowPunct/>
      <w:autoSpaceDE/>
      <w:autoSpaceDN/>
      <w:adjustRightInd/>
      <w:snapToGrid/>
      <w:spacing w:after="100" w:line="240" w:lineRule="auto"/>
      <w:ind w:left="480"/>
    </w:pPr>
    <w:rPr>
      <w:rFonts w:ascii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EC7229"/>
    <w:pPr>
      <w:suppressAutoHyphens w:val="0"/>
      <w:kinsoku/>
      <w:overflowPunct/>
      <w:autoSpaceDE/>
      <w:autoSpaceDN/>
      <w:adjustRightInd/>
      <w:snapToGrid/>
      <w:spacing w:after="100" w:line="240" w:lineRule="auto"/>
      <w:ind w:left="720"/>
    </w:pPr>
    <w:rPr>
      <w:rFonts w:asciiTheme="minorHAnsi" w:hAnsiTheme="minorHAnsi" w:cstheme="minorBidi"/>
      <w:kern w:val="2"/>
      <w:sz w:val="24"/>
      <w:szCs w:val="24"/>
      <w:lang w:val="fr-FR"/>
      <w14:ligatures w14:val="standardContextual"/>
    </w:rPr>
  </w:style>
  <w:style w:type="paragraph" w:styleId="TOCHeading">
    <w:name w:val="TOC Heading"/>
    <w:basedOn w:val="Heading1"/>
    <w:next w:val="Normal"/>
    <w:uiPriority w:val="39"/>
    <w:unhideWhenUsed/>
    <w:qFormat/>
    <w:rsid w:val="00EC7229"/>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sz w:val="32"/>
      <w:szCs w:val="32"/>
      <w:lang w:val="fr-FR" w:eastAsia="fr-FR"/>
    </w:rPr>
  </w:style>
  <w:style w:type="character" w:customStyle="1" w:styleId="normaltextrun">
    <w:name w:val="normaltextrun"/>
    <w:basedOn w:val="DefaultParagraphFont"/>
    <w:rsid w:val="00C83F56"/>
  </w:style>
  <w:style w:type="character" w:customStyle="1" w:styleId="eop">
    <w:name w:val="eop"/>
    <w:basedOn w:val="DefaultParagraphFont"/>
    <w:rsid w:val="00C83F56"/>
  </w:style>
  <w:style w:type="paragraph" w:styleId="CommentSubject">
    <w:name w:val="annotation subject"/>
    <w:basedOn w:val="CommentText"/>
    <w:next w:val="CommentText"/>
    <w:link w:val="CommentSubjectChar"/>
    <w:uiPriority w:val="99"/>
    <w:semiHidden/>
    <w:unhideWhenUsed/>
    <w:rsid w:val="00C83F56"/>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C83F56"/>
    <w:rPr>
      <w:rFonts w:ascii="Calibri" w:eastAsia="Calibri" w:hAnsi="Calibri" w:cs="Times New Roman"/>
      <w:b/>
      <w:bCs/>
      <w:sz w:val="20"/>
      <w:szCs w:val="20"/>
      <w:lang w:val="en-US"/>
    </w:rPr>
  </w:style>
  <w:style w:type="paragraph" w:customStyle="1" w:styleId="paragraph">
    <w:name w:val="paragraph"/>
    <w:basedOn w:val="Normal"/>
    <w:rsid w:val="00C83F5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CA" w:eastAsia="en-CA"/>
    </w:rPr>
  </w:style>
  <w:style w:type="paragraph" w:styleId="Title">
    <w:name w:val="Title"/>
    <w:basedOn w:val="Normal"/>
    <w:next w:val="Normal"/>
    <w:link w:val="TitleChar"/>
    <w:uiPriority w:val="10"/>
    <w:qFormat/>
    <w:rsid w:val="00C83F56"/>
    <w:pPr>
      <w:suppressAutoHyphens w:val="0"/>
      <w:kinsoku/>
      <w:overflowPunct/>
      <w:autoSpaceDE/>
      <w:autoSpaceDN/>
      <w:adjustRightInd/>
      <w:snapToGrid/>
      <w:spacing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C83F56"/>
    <w:rPr>
      <w:rFonts w:asciiTheme="majorHAnsi" w:eastAsiaTheme="majorEastAsia" w:hAnsiTheme="majorHAnsi" w:cstheme="majorBidi"/>
      <w:spacing w:val="-10"/>
      <w:kern w:val="28"/>
      <w:sz w:val="56"/>
      <w:szCs w:val="56"/>
      <w:lang w:val="en-US"/>
    </w:rPr>
  </w:style>
  <w:style w:type="character" w:customStyle="1" w:styleId="UnresolvedMention1">
    <w:name w:val="Unresolved Mention1"/>
    <w:basedOn w:val="DefaultParagraphFont"/>
    <w:uiPriority w:val="99"/>
    <w:semiHidden/>
    <w:unhideWhenUsed/>
    <w:rsid w:val="00C83F56"/>
    <w:rPr>
      <w:color w:val="605E5C"/>
      <w:shd w:val="clear" w:color="auto" w:fill="E1DFDD"/>
    </w:rPr>
  </w:style>
  <w:style w:type="paragraph" w:customStyle="1" w:styleId="Content1">
    <w:name w:val="Content1"/>
    <w:basedOn w:val="Normal"/>
    <w:link w:val="Content1Char"/>
    <w:qFormat/>
    <w:rsid w:val="00C83F56"/>
    <w:pPr>
      <w:suppressAutoHyphens w:val="0"/>
      <w:kinsoku/>
      <w:overflowPunct/>
      <w:autoSpaceDE/>
      <w:autoSpaceDN/>
      <w:adjustRightInd/>
      <w:snapToGrid/>
      <w:spacing w:before="240" w:after="240" w:line="240" w:lineRule="auto"/>
      <w:ind w:left="-851"/>
    </w:pPr>
    <w:rPr>
      <w:rFonts w:eastAsia="Times New Roman"/>
      <w:sz w:val="24"/>
      <w:szCs w:val="24"/>
      <w:lang w:val="en-US"/>
    </w:rPr>
  </w:style>
  <w:style w:type="character" w:customStyle="1" w:styleId="Content1Char">
    <w:name w:val="Content1 Char"/>
    <w:basedOn w:val="DefaultParagraphFont"/>
    <w:link w:val="Content1"/>
    <w:rsid w:val="00C83F56"/>
    <w:rPr>
      <w:rFonts w:ascii="Times New Roman" w:eastAsia="Times New Roman" w:hAnsi="Times New Roman" w:cs="Times New Roman"/>
      <w:sz w:val="24"/>
      <w:szCs w:val="24"/>
      <w:lang w:val="en-US"/>
    </w:rPr>
  </w:style>
  <w:style w:type="character" w:customStyle="1" w:styleId="Mention1">
    <w:name w:val="Mention1"/>
    <w:basedOn w:val="DefaultParagraphFont"/>
    <w:uiPriority w:val="99"/>
    <w:unhideWhenUsed/>
    <w:rsid w:val="00C83F56"/>
    <w:rPr>
      <w:color w:val="2B579A"/>
      <w:shd w:val="clear" w:color="auto" w:fill="E1DFDD"/>
    </w:rPr>
  </w:style>
  <w:style w:type="character" w:styleId="UnresolvedMention">
    <w:name w:val="Unresolved Mention"/>
    <w:basedOn w:val="DefaultParagraphFont"/>
    <w:uiPriority w:val="99"/>
    <w:semiHidden/>
    <w:unhideWhenUsed/>
    <w:rsid w:val="00C83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2024-05-06T19:34:42+00:00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E88287CB-4CE4-46FC-B81C-6C2A99EC87A5}">
  <ds:schemaRefs>
    <ds:schemaRef ds:uri="http://schemas.microsoft.com/sharepoint/v3/contenttype/forms"/>
  </ds:schemaRefs>
</ds:datastoreItem>
</file>

<file path=customXml/itemProps2.xml><?xml version="1.0" encoding="utf-8"?>
<ds:datastoreItem xmlns:ds="http://schemas.openxmlformats.org/officeDocument/2006/customXml" ds:itemID="{932DAB05-E201-4297-914B-1B52C00D1DAB}">
  <ds:schemaRefs>
    <ds:schemaRef ds:uri="http://schemas.openxmlformats.org/officeDocument/2006/bibliography"/>
  </ds:schemaRefs>
</ds:datastoreItem>
</file>

<file path=customXml/itemProps3.xml><?xml version="1.0" encoding="utf-8"?>
<ds:datastoreItem xmlns:ds="http://schemas.openxmlformats.org/officeDocument/2006/customXml" ds:itemID="{1B872801-7192-4386-80EF-EF701208D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5A25F0-A548-4277-9B8E-B30C809EE7F6}">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36</Pages>
  <Words>20556</Words>
  <Characters>117170</Characters>
  <Application>Microsoft Office Word</Application>
  <DocSecurity>0</DocSecurity>
  <Lines>976</Lines>
  <Paragraphs>274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CERD/C/CMR/22-23</vt:lpstr>
      <vt:lpstr>a/hthhhh</vt:lpstr>
      <vt:lpstr>a/hthhhh</vt:lpstr>
    </vt:vector>
  </TitlesOfParts>
  <Company>DCM</Company>
  <LinksUpToDate>false</LinksUpToDate>
  <CharactersWithSpaces>137452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
  <dc:creator>Kalpana Singh</dc:creator>
  <cp:keywords/>
  <dc:description/>
  <cp:lastModifiedBy>Kalpana Singh</cp:lastModifiedBy>
  <cp:revision>2</cp:revision>
  <cp:lastPrinted>2017-02-27T14:31:00Z</cp:lastPrinted>
  <dcterms:created xsi:type="dcterms:W3CDTF">2026-03-03T13:07:00Z</dcterms:created>
  <dcterms:modified xsi:type="dcterms:W3CDTF">2026-03-03T13:07:00Z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C/CMR/22-23</vt:lpwstr>
  </property>
  <property fmtid="{D5CDD505-2E9C-101B-9397-08002B2CF9AE}" pid="3" name="symh">
    <vt:lpwstr>CERD/C/CMR/22-23</vt:lpwstr>
  </property>
  <property fmtid="{D5CDD505-2E9C-101B-9397-08002B2CF9AE}" pid="4" name="dist">
    <vt:lpwstr>générale</vt:lpwstr>
  </property>
  <property fmtid="{D5CDD505-2E9C-101B-9397-08002B2CF9AE}" pid="5" name="date">
    <vt:lpwstr>22 juillet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Cameroun </vt:lpwstr>
  </property>
  <property fmtid="{D5CDD505-2E9C-101B-9397-08002B2CF9AE}" pid="11" name="countw">
    <vt:lpwstr>Cameroun </vt:lpwstr>
  </property>
  <property fmtid="{D5CDD505-2E9C-101B-9397-08002B2CF9AE}" pid="12" name="countwd">
    <vt:lpwstr>le Cameroun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Cameroun  valant vingt-deuxième et vingt-troisième rapports périodiques</vt:lpwstr>
  </property>
  <property fmtid="{D5CDD505-2E9C-101B-9397-08002B2CF9AE}" pid="19" name="preps">
    <vt:lpwstr>rapport du Cameroun  valant vingt-deuxième et vingt-troisième rapports périodiques</vt:lpwstr>
  </property>
  <property fmtid="{D5CDD505-2E9C-101B-9397-08002B2CF9AE}" pid="20" name="prepw">
    <vt:lpwstr>rapport valant vingt-deuxième et vingt-troisième rapports périodiques</vt:lpwstr>
  </property>
  <property fmtid="{D5CDD505-2E9C-101B-9397-08002B2CF9AE}" pid="21" name="prepws">
    <vt:lpwstr>rapport valant vingt-deuxième et vingt-troisième rapports périodiques</vt:lpwstr>
  </property>
  <property fmtid="{D5CDD505-2E9C-101B-9397-08002B2CF9AE}" pid="22" name="prepwc">
    <vt:lpwstr>Rapport valant vingt-deuxième et vingt-troisième rapports périodiques</vt:lpwstr>
  </property>
  <property fmtid="{D5CDD505-2E9C-101B-9397-08002B2CF9AE}" pid="23" name="olang">
    <vt:lpwstr>français</vt:lpwstr>
  </property>
  <property fmtid="{D5CDD505-2E9C-101B-9397-08002B2CF9AE}" pid="24" name="Date-Generated">
    <vt:filetime>2019-07-22T15:39:12Z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