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E827D" w14:textId="77777777" w:rsidR="00B64DCF"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p>
    <w:p w14:paraId="4420C80E" w14:textId="77777777" w:rsidR="00B64DCF" w:rsidRDefault="00B64DCF">
      <w:pPr>
        <w:spacing w:line="240" w:lineRule="auto"/>
        <w:jc w:val="both"/>
        <w:rPr>
          <w:rFonts w:ascii="Times New Roman" w:eastAsia="Times New Roman" w:hAnsi="Times New Roman" w:cs="Times New Roman"/>
          <w:sz w:val="24"/>
          <w:szCs w:val="24"/>
        </w:rPr>
      </w:pPr>
    </w:p>
    <w:p w14:paraId="38A7A857" w14:textId="77777777" w:rsidR="00B64DC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Committee on the Elimination of Discrimination against Women </w:t>
      </w:r>
    </w:p>
    <w:p w14:paraId="12F1D0A0" w14:textId="77777777" w:rsidR="00B64DC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Human Rights Treaties Division (HRTD)</w:t>
      </w:r>
    </w:p>
    <w:p w14:paraId="61DD3462" w14:textId="77777777" w:rsidR="00B64DC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Office of the United Nations High Commissioner for Human Rights (OHCHR)</w:t>
      </w:r>
    </w:p>
    <w:p w14:paraId="7E2F7E85" w14:textId="77777777" w:rsidR="00B64DC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Palais Wilson - 52, rue des </w:t>
      </w:r>
      <w:proofErr w:type="spellStart"/>
      <w:r>
        <w:rPr>
          <w:rFonts w:ascii="Times New Roman" w:eastAsia="Times New Roman" w:hAnsi="Times New Roman" w:cs="Times New Roman"/>
          <w:sz w:val="24"/>
          <w:szCs w:val="24"/>
        </w:rPr>
        <w:t>Pâquis</w:t>
      </w:r>
      <w:proofErr w:type="spellEnd"/>
    </w:p>
    <w:p w14:paraId="7F15BC3C" w14:textId="77777777" w:rsidR="00B64DCF" w:rsidRDefault="00000000">
      <w:pPr>
        <w:rPr>
          <w:rFonts w:ascii="Times New Roman" w:eastAsia="Times New Roman" w:hAnsi="Times New Roman" w:cs="Times New Roman"/>
          <w:sz w:val="24"/>
          <w:szCs w:val="24"/>
        </w:rPr>
      </w:pPr>
      <w:bookmarkStart w:id="0" w:name="_heading=h.gjdgxs" w:colFirst="0" w:colLast="0"/>
      <w:bookmarkEnd w:id="0"/>
      <w:r>
        <w:rPr>
          <w:rFonts w:ascii="Times New Roman" w:eastAsia="Times New Roman" w:hAnsi="Times New Roman" w:cs="Times New Roman"/>
          <w:sz w:val="24"/>
          <w:szCs w:val="24"/>
        </w:rPr>
        <w:t xml:space="preserve">CH-1201 Geneva  </w:t>
      </w:r>
    </w:p>
    <w:p w14:paraId="7FE336D0" w14:textId="77777777" w:rsidR="00B64DC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Switzerland</w:t>
      </w:r>
    </w:p>
    <w:p w14:paraId="4ABAD4DB" w14:textId="77777777" w:rsidR="00B64DCF" w:rsidRDefault="00000000">
      <w:pP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By Email: </w:t>
      </w:r>
      <w:hyperlink r:id="rId9">
        <w:r>
          <w:rPr>
            <w:rFonts w:ascii="Times New Roman" w:eastAsia="Times New Roman" w:hAnsi="Times New Roman" w:cs="Times New Roman"/>
            <w:color w:val="1155CC"/>
            <w:sz w:val="24"/>
            <w:szCs w:val="24"/>
            <w:u w:val="single"/>
          </w:rPr>
          <w:t>cedaw@ohchr.org</w:t>
        </w:r>
      </w:hyperlink>
    </w:p>
    <w:p w14:paraId="7C84A2CE" w14:textId="77777777" w:rsidR="00B64DCF" w:rsidRDefault="00000000">
      <w:pPr>
        <w:spacing w:before="200" w:line="240" w:lineRule="auto"/>
        <w:ind w:left="5760" w:firstLine="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 December 2023</w:t>
      </w:r>
    </w:p>
    <w:p w14:paraId="0766C375" w14:textId="77777777" w:rsidR="00B64DCF" w:rsidRDefault="00000000">
      <w:pPr>
        <w:spacing w:before="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Information on Tajikistan for consideration by the Committee on the Elimination of Discrimination against Women at its 87th Session (29 January - 16 February 2024)</w:t>
      </w:r>
    </w:p>
    <w:p w14:paraId="0C65147B" w14:textId="77777777" w:rsidR="00B64DCF" w:rsidRDefault="00B64DCF">
      <w:pPr>
        <w:spacing w:before="200" w:line="240" w:lineRule="auto"/>
        <w:jc w:val="both"/>
        <w:rPr>
          <w:rFonts w:ascii="Times New Roman" w:eastAsia="Times New Roman" w:hAnsi="Times New Roman" w:cs="Times New Roman"/>
          <w:b/>
          <w:sz w:val="24"/>
          <w:szCs w:val="24"/>
        </w:rPr>
      </w:pPr>
    </w:p>
    <w:p w14:paraId="1CCF7645" w14:textId="77777777" w:rsidR="00B64DCF" w:rsidRDefault="00B64DCF">
      <w:pPr>
        <w:spacing w:before="200" w:line="240" w:lineRule="auto"/>
        <w:jc w:val="both"/>
        <w:rPr>
          <w:rFonts w:ascii="Times New Roman" w:eastAsia="Times New Roman" w:hAnsi="Times New Roman" w:cs="Times New Roman"/>
          <w:b/>
          <w:sz w:val="24"/>
          <w:szCs w:val="24"/>
        </w:rPr>
      </w:pPr>
    </w:p>
    <w:sdt>
      <w:sdtPr>
        <w:id w:val="-969977879"/>
        <w:docPartObj>
          <w:docPartGallery w:val="Table of Contents"/>
          <w:docPartUnique/>
        </w:docPartObj>
      </w:sdtPr>
      <w:sdtContent>
        <w:p w14:paraId="5DF908C3" w14:textId="77777777" w:rsidR="00B64DCF" w:rsidRDefault="00000000">
          <w:pPr>
            <w:widowControl w:val="0"/>
            <w:tabs>
              <w:tab w:val="right" w:pos="12000"/>
            </w:tabs>
            <w:spacing w:before="60" w:line="240" w:lineRule="auto"/>
            <w:rPr>
              <w:b/>
              <w:color w:val="000000"/>
            </w:rPr>
          </w:pPr>
          <w:r>
            <w:fldChar w:fldCharType="begin"/>
          </w:r>
          <w:r>
            <w:instrText xml:space="preserve"> TOC \h \u \z \t "Heading 1,1,Heading 2,2,Heading 3,3,Heading 4,4,Heading 5,5,Heading 6,6,"</w:instrText>
          </w:r>
          <w:r>
            <w:fldChar w:fldCharType="separate"/>
          </w:r>
          <w:hyperlink w:anchor="_heading=h.g2l3rwpg3igf">
            <w:r>
              <w:rPr>
                <w:rFonts w:ascii="Times New Roman" w:eastAsia="Times New Roman" w:hAnsi="Times New Roman" w:cs="Times New Roman"/>
                <w:b/>
                <w:color w:val="000000"/>
              </w:rPr>
              <w:t>Introduction</w:t>
            </w:r>
            <w:r>
              <w:rPr>
                <w:rFonts w:ascii="Times New Roman" w:eastAsia="Times New Roman" w:hAnsi="Times New Roman" w:cs="Times New Roman"/>
                <w:b/>
                <w:color w:val="000000"/>
              </w:rPr>
              <w:tab/>
              <w:t>1</w:t>
            </w:r>
          </w:hyperlink>
        </w:p>
        <w:p w14:paraId="35D1F68F" w14:textId="77777777" w:rsidR="00B64DCF" w:rsidRDefault="00000000">
          <w:pPr>
            <w:widowControl w:val="0"/>
            <w:tabs>
              <w:tab w:val="right" w:pos="12000"/>
            </w:tabs>
            <w:spacing w:before="60" w:line="240" w:lineRule="auto"/>
            <w:rPr>
              <w:b/>
              <w:color w:val="000000"/>
            </w:rPr>
          </w:pPr>
          <w:hyperlink w:anchor="_heading=h.h01jv85fftg6">
            <w:r>
              <w:rPr>
                <w:rFonts w:ascii="Times New Roman" w:eastAsia="Times New Roman" w:hAnsi="Times New Roman" w:cs="Times New Roman"/>
                <w:b/>
                <w:color w:val="000000"/>
              </w:rPr>
              <w:t>Information about the authors of the submission</w:t>
            </w:r>
            <w:r>
              <w:rPr>
                <w:rFonts w:ascii="Times New Roman" w:eastAsia="Times New Roman" w:hAnsi="Times New Roman" w:cs="Times New Roman"/>
                <w:b/>
                <w:color w:val="000000"/>
              </w:rPr>
              <w:tab/>
              <w:t>2</w:t>
            </w:r>
          </w:hyperlink>
        </w:p>
        <w:p w14:paraId="52EC9DFF" w14:textId="77777777" w:rsidR="00B64DCF" w:rsidRDefault="00000000">
          <w:pPr>
            <w:widowControl w:val="0"/>
            <w:tabs>
              <w:tab w:val="right" w:pos="12000"/>
            </w:tabs>
            <w:spacing w:before="60" w:line="240" w:lineRule="auto"/>
            <w:rPr>
              <w:b/>
              <w:color w:val="000000"/>
            </w:rPr>
          </w:pPr>
          <w:hyperlink w:anchor="_heading=h.hpowzpj6i1s">
            <w:r>
              <w:rPr>
                <w:rFonts w:ascii="Times New Roman" w:eastAsia="Times New Roman" w:hAnsi="Times New Roman" w:cs="Times New Roman"/>
                <w:b/>
                <w:color w:val="000000"/>
              </w:rPr>
              <w:t>Previous recommendations of the Committee in relation to Tajikistan</w:t>
            </w:r>
            <w:r>
              <w:rPr>
                <w:rFonts w:ascii="Times New Roman" w:eastAsia="Times New Roman" w:hAnsi="Times New Roman" w:cs="Times New Roman"/>
                <w:b/>
                <w:color w:val="000000"/>
              </w:rPr>
              <w:tab/>
              <w:t>3</w:t>
            </w:r>
          </w:hyperlink>
        </w:p>
        <w:p w14:paraId="5A761581" w14:textId="77777777" w:rsidR="00B64DCF" w:rsidRDefault="00000000">
          <w:pPr>
            <w:widowControl w:val="0"/>
            <w:tabs>
              <w:tab w:val="right" w:pos="12000"/>
            </w:tabs>
            <w:spacing w:before="60" w:line="240" w:lineRule="auto"/>
            <w:rPr>
              <w:b/>
              <w:color w:val="000000"/>
            </w:rPr>
          </w:pPr>
          <w:hyperlink w:anchor="_heading=h.in2gg3jnwmnb">
            <w:r>
              <w:rPr>
                <w:rFonts w:ascii="Times New Roman" w:eastAsia="Times New Roman" w:hAnsi="Times New Roman" w:cs="Times New Roman"/>
                <w:b/>
                <w:color w:val="000000"/>
              </w:rPr>
              <w:t>Prevalence of sexual violence in Tajikistan and societal attitudes</w:t>
            </w:r>
            <w:r>
              <w:rPr>
                <w:rFonts w:ascii="Times New Roman" w:eastAsia="Times New Roman" w:hAnsi="Times New Roman" w:cs="Times New Roman"/>
                <w:b/>
                <w:color w:val="000000"/>
              </w:rPr>
              <w:tab/>
              <w:t>3</w:t>
            </w:r>
          </w:hyperlink>
        </w:p>
        <w:p w14:paraId="7F23D5D8" w14:textId="77777777" w:rsidR="00B64DCF" w:rsidRDefault="00000000">
          <w:pPr>
            <w:widowControl w:val="0"/>
            <w:tabs>
              <w:tab w:val="right" w:pos="12000"/>
            </w:tabs>
            <w:spacing w:before="60" w:line="240" w:lineRule="auto"/>
            <w:rPr>
              <w:b/>
              <w:color w:val="000000"/>
            </w:rPr>
          </w:pPr>
          <w:hyperlink w:anchor="_heading=h.lt7gmech1acq">
            <w:r>
              <w:rPr>
                <w:rFonts w:ascii="Times New Roman" w:eastAsia="Times New Roman" w:hAnsi="Times New Roman" w:cs="Times New Roman"/>
                <w:b/>
                <w:color w:val="000000"/>
              </w:rPr>
              <w:t>Overcoming Legal and Procedural Barriers in Securing Justice</w:t>
            </w:r>
            <w:r>
              <w:rPr>
                <w:rFonts w:ascii="Times New Roman" w:eastAsia="Times New Roman" w:hAnsi="Times New Roman" w:cs="Times New Roman"/>
                <w:b/>
                <w:color w:val="000000"/>
              </w:rPr>
              <w:tab/>
              <w:t>5</w:t>
            </w:r>
          </w:hyperlink>
        </w:p>
        <w:p w14:paraId="1CCFB376" w14:textId="77777777" w:rsidR="00B64DCF" w:rsidRDefault="00000000">
          <w:pPr>
            <w:widowControl w:val="0"/>
            <w:tabs>
              <w:tab w:val="right" w:pos="12000"/>
            </w:tabs>
            <w:spacing w:before="60" w:line="240" w:lineRule="auto"/>
            <w:rPr>
              <w:b/>
              <w:color w:val="000000"/>
            </w:rPr>
          </w:pPr>
          <w:hyperlink w:anchor="_heading=h.x239lca1m9le">
            <w:r>
              <w:rPr>
                <w:rFonts w:ascii="Times New Roman" w:eastAsia="Times New Roman" w:hAnsi="Times New Roman" w:cs="Times New Roman"/>
                <w:b/>
                <w:color w:val="000000"/>
              </w:rPr>
              <w:t>Gender stereotyping and discriminatory investigation procedures</w:t>
            </w:r>
            <w:r>
              <w:rPr>
                <w:rFonts w:ascii="Times New Roman" w:eastAsia="Times New Roman" w:hAnsi="Times New Roman" w:cs="Times New Roman"/>
                <w:b/>
                <w:color w:val="000000"/>
              </w:rPr>
              <w:tab/>
              <w:t>6</w:t>
            </w:r>
          </w:hyperlink>
        </w:p>
        <w:p w14:paraId="6724703C" w14:textId="77777777" w:rsidR="00B64DCF" w:rsidRDefault="00000000">
          <w:pPr>
            <w:widowControl w:val="0"/>
            <w:tabs>
              <w:tab w:val="right" w:pos="12000"/>
            </w:tabs>
            <w:spacing w:before="60" w:line="240" w:lineRule="auto"/>
            <w:rPr>
              <w:b/>
              <w:color w:val="000000"/>
            </w:rPr>
          </w:pPr>
          <w:hyperlink w:anchor="_heading=h.xfaog7ywjwli">
            <w:r>
              <w:rPr>
                <w:rFonts w:ascii="Times New Roman" w:eastAsia="Times New Roman" w:hAnsi="Times New Roman" w:cs="Times New Roman"/>
                <w:b/>
                <w:color w:val="000000"/>
              </w:rPr>
              <w:t>Sexual violence against adolescent girls</w:t>
            </w:r>
            <w:r>
              <w:rPr>
                <w:rFonts w:ascii="Times New Roman" w:eastAsia="Times New Roman" w:hAnsi="Times New Roman" w:cs="Times New Roman"/>
                <w:b/>
                <w:color w:val="000000"/>
              </w:rPr>
              <w:tab/>
              <w:t>8</w:t>
            </w:r>
          </w:hyperlink>
        </w:p>
        <w:p w14:paraId="7BF29ABD" w14:textId="77777777" w:rsidR="00B64DCF" w:rsidRDefault="00000000">
          <w:pPr>
            <w:widowControl w:val="0"/>
            <w:tabs>
              <w:tab w:val="right" w:pos="12000"/>
            </w:tabs>
            <w:spacing w:before="60" w:line="240" w:lineRule="auto"/>
            <w:rPr>
              <w:b/>
              <w:color w:val="000000"/>
            </w:rPr>
          </w:pPr>
          <w:hyperlink w:anchor="_heading=h.cnzvh4hn0jbi">
            <w:r>
              <w:rPr>
                <w:rFonts w:ascii="Times New Roman" w:eastAsia="Times New Roman" w:hAnsi="Times New Roman" w:cs="Times New Roman"/>
                <w:b/>
                <w:color w:val="000000"/>
              </w:rPr>
              <w:t>Intersecting forms of discrimination against vulnerable women victims of sexual violence</w:t>
            </w:r>
            <w:r>
              <w:rPr>
                <w:rFonts w:ascii="Times New Roman" w:eastAsia="Times New Roman" w:hAnsi="Times New Roman" w:cs="Times New Roman"/>
                <w:b/>
                <w:color w:val="000000"/>
              </w:rPr>
              <w:tab/>
              <w:t>10</w:t>
            </w:r>
          </w:hyperlink>
        </w:p>
        <w:p w14:paraId="252748E9" w14:textId="77777777" w:rsidR="00B64DCF" w:rsidRDefault="00000000">
          <w:pPr>
            <w:widowControl w:val="0"/>
            <w:tabs>
              <w:tab w:val="right" w:pos="12000"/>
            </w:tabs>
            <w:spacing w:before="60" w:line="240" w:lineRule="auto"/>
            <w:rPr>
              <w:b/>
              <w:color w:val="000000"/>
            </w:rPr>
          </w:pPr>
          <w:hyperlink w:anchor="_heading=h.mkcqd58bc1t1">
            <w:r>
              <w:rPr>
                <w:rFonts w:ascii="Times New Roman" w:eastAsia="Times New Roman" w:hAnsi="Times New Roman" w:cs="Times New Roman"/>
                <w:b/>
                <w:color w:val="000000"/>
              </w:rPr>
              <w:t>Lack of support services</w:t>
            </w:r>
            <w:r>
              <w:rPr>
                <w:rFonts w:ascii="Times New Roman" w:eastAsia="Times New Roman" w:hAnsi="Times New Roman" w:cs="Times New Roman"/>
                <w:b/>
                <w:color w:val="000000"/>
              </w:rPr>
              <w:tab/>
              <w:t>11</w:t>
            </w:r>
          </w:hyperlink>
        </w:p>
        <w:p w14:paraId="6F24DD0C" w14:textId="77777777" w:rsidR="00B64DCF" w:rsidRDefault="00000000">
          <w:pPr>
            <w:widowControl w:val="0"/>
            <w:tabs>
              <w:tab w:val="right" w:pos="12000"/>
            </w:tabs>
            <w:spacing w:before="60" w:line="240" w:lineRule="auto"/>
            <w:rPr>
              <w:b/>
              <w:color w:val="000000"/>
            </w:rPr>
          </w:pPr>
          <w:hyperlink w:anchor="_heading=h.ykweivf6emlt">
            <w:r>
              <w:rPr>
                <w:rFonts w:ascii="Times New Roman" w:eastAsia="Times New Roman" w:hAnsi="Times New Roman" w:cs="Times New Roman"/>
                <w:b/>
                <w:color w:val="000000"/>
              </w:rPr>
              <w:t>Recommendations</w:t>
            </w:r>
            <w:r>
              <w:rPr>
                <w:rFonts w:ascii="Times New Roman" w:eastAsia="Times New Roman" w:hAnsi="Times New Roman" w:cs="Times New Roman"/>
                <w:b/>
                <w:color w:val="000000"/>
              </w:rPr>
              <w:tab/>
              <w:t>11</w:t>
            </w:r>
          </w:hyperlink>
          <w:r>
            <w:fldChar w:fldCharType="end"/>
          </w:r>
        </w:p>
      </w:sdtContent>
    </w:sdt>
    <w:p w14:paraId="7440FD5B" w14:textId="77777777" w:rsidR="00B64DCF" w:rsidRDefault="00B64DCF">
      <w:pPr>
        <w:spacing w:before="200" w:line="240" w:lineRule="auto"/>
        <w:jc w:val="both"/>
        <w:rPr>
          <w:rFonts w:ascii="Times New Roman" w:eastAsia="Times New Roman" w:hAnsi="Times New Roman" w:cs="Times New Roman"/>
          <w:b/>
          <w:sz w:val="24"/>
          <w:szCs w:val="24"/>
        </w:rPr>
      </w:pPr>
    </w:p>
    <w:p w14:paraId="7C4490C1" w14:textId="77777777" w:rsidR="00B64DCF" w:rsidRDefault="00000000">
      <w:pPr>
        <w:pStyle w:val="Heading1"/>
        <w:spacing w:before="200" w:line="240" w:lineRule="auto"/>
        <w:jc w:val="both"/>
        <w:rPr>
          <w:rFonts w:ascii="Times New Roman" w:eastAsia="Times New Roman" w:hAnsi="Times New Roman" w:cs="Times New Roman"/>
        </w:rPr>
      </w:pPr>
      <w:bookmarkStart w:id="1" w:name="_heading=h.g2l3rwpg3igf" w:colFirst="0" w:colLast="0"/>
      <w:bookmarkEnd w:id="1"/>
      <w:r>
        <w:rPr>
          <w:rFonts w:ascii="Times New Roman" w:eastAsia="Times New Roman" w:hAnsi="Times New Roman" w:cs="Times New Roman"/>
        </w:rPr>
        <w:t>Introduction</w:t>
      </w:r>
    </w:p>
    <w:p w14:paraId="6D723053" w14:textId="77777777" w:rsidR="00B64DCF" w:rsidRDefault="00000000">
      <w:pPr>
        <w:numPr>
          <w:ilvl w:val="0"/>
          <w:numId w:val="3"/>
        </w:numPr>
        <w:spacing w:before="200" w:line="240" w:lineRule="auto"/>
        <w:jc w:val="both"/>
        <w:rPr>
          <w:sz w:val="24"/>
          <w:szCs w:val="24"/>
        </w:rPr>
      </w:pPr>
      <w:r>
        <w:rPr>
          <w:rFonts w:ascii="Times New Roman" w:eastAsia="Times New Roman" w:hAnsi="Times New Roman" w:cs="Times New Roman"/>
          <w:sz w:val="24"/>
          <w:szCs w:val="24"/>
        </w:rPr>
        <w:t xml:space="preserve">We respectfully submit this report for consideration during the Committee on the Elimination of Discrimination against Women (‘the Committee’) review of Tajikistan at its 87th Session (29 January - 16 February 2024). We are writing to express our concerns </w:t>
      </w:r>
      <w:proofErr w:type="gramStart"/>
      <w:r>
        <w:rPr>
          <w:rFonts w:ascii="Times New Roman" w:eastAsia="Times New Roman" w:hAnsi="Times New Roman" w:cs="Times New Roman"/>
          <w:sz w:val="24"/>
          <w:szCs w:val="24"/>
        </w:rPr>
        <w:t>with regard to</w:t>
      </w:r>
      <w:proofErr w:type="gramEnd"/>
      <w:r>
        <w:rPr>
          <w:rFonts w:ascii="Times New Roman" w:eastAsia="Times New Roman" w:hAnsi="Times New Roman" w:cs="Times New Roman"/>
          <w:sz w:val="24"/>
          <w:szCs w:val="24"/>
        </w:rPr>
        <w:t xml:space="preserve"> laws related to rape and other forms of sexual violence, procedures and practices which effectively deny access to justice for survivors of sexual violence in </w:t>
      </w:r>
      <w:r>
        <w:rPr>
          <w:rFonts w:ascii="Times New Roman" w:eastAsia="Times New Roman" w:hAnsi="Times New Roman" w:cs="Times New Roman"/>
          <w:sz w:val="24"/>
          <w:szCs w:val="24"/>
        </w:rPr>
        <w:lastRenderedPageBreak/>
        <w:t xml:space="preserve">violation of the Convention on the Elimination of All Forms of Discrimination against Women (‘the Convention’). </w:t>
      </w:r>
    </w:p>
    <w:p w14:paraId="50B4D5DD" w14:textId="77777777" w:rsidR="00B64DCF" w:rsidRDefault="00000000">
      <w:pPr>
        <w:numPr>
          <w:ilvl w:val="0"/>
          <w:numId w:val="3"/>
        </w:numPr>
        <w:spacing w:before="200" w:line="240" w:lineRule="auto"/>
        <w:jc w:val="both"/>
        <w:rPr>
          <w:sz w:val="24"/>
          <w:szCs w:val="24"/>
        </w:rPr>
      </w:pPr>
      <w:r>
        <w:rPr>
          <w:rFonts w:ascii="Times New Roman" w:eastAsia="Times New Roman" w:hAnsi="Times New Roman" w:cs="Times New Roman"/>
          <w:sz w:val="24"/>
          <w:szCs w:val="24"/>
        </w:rPr>
        <w:t>The legal provisions and practices detailed in our submission highlight the failure of the State of Tajikistan to comply with its duties to provide equal protection under the law to survivors of sexual violence (Article 2(c) of the Convention) and failure of law enforcement to protect women from sexual violence (Article 2(c) and (e)). We submit that the root cause of the failures of the State is its non-compliance with the obligation to end discrimination against women in law and practice and address stereotypical and gender-discriminatory attitudes towards women and girls, contrary to Articles 2(f) and 5(a) of the Convention and the obligation to combat violence against women and provide access to justice to survivors, as provided for in General Recommendations 19, 33 and 35 of the Committee.</w:t>
      </w:r>
    </w:p>
    <w:p w14:paraId="447D66E9" w14:textId="77777777" w:rsidR="00B64DCF" w:rsidRDefault="00000000">
      <w:pPr>
        <w:pStyle w:val="Heading1"/>
        <w:spacing w:before="200" w:line="240" w:lineRule="auto"/>
        <w:jc w:val="both"/>
        <w:rPr>
          <w:rFonts w:ascii="Times New Roman" w:eastAsia="Times New Roman" w:hAnsi="Times New Roman" w:cs="Times New Roman"/>
        </w:rPr>
      </w:pPr>
      <w:bookmarkStart w:id="2" w:name="_heading=h.h01jv85fftg6" w:colFirst="0" w:colLast="0"/>
      <w:bookmarkEnd w:id="2"/>
      <w:r>
        <w:rPr>
          <w:rFonts w:ascii="Times New Roman" w:eastAsia="Times New Roman" w:hAnsi="Times New Roman" w:cs="Times New Roman"/>
        </w:rPr>
        <w:t>Information about the authors of the submission</w:t>
      </w:r>
    </w:p>
    <w:p w14:paraId="19E1DA81" w14:textId="77777777" w:rsidR="00B64DCF" w:rsidRDefault="00000000">
      <w:pPr>
        <w:numPr>
          <w:ilvl w:val="0"/>
          <w:numId w:val="3"/>
        </w:numPr>
        <w:spacing w:before="200" w:line="240" w:lineRule="auto"/>
        <w:jc w:val="both"/>
        <w:rPr>
          <w:sz w:val="24"/>
          <w:szCs w:val="24"/>
        </w:rPr>
      </w:pPr>
      <w:r>
        <w:rPr>
          <w:rFonts w:ascii="Times New Roman" w:eastAsia="Times New Roman" w:hAnsi="Times New Roman" w:cs="Times New Roman"/>
          <w:b/>
          <w:sz w:val="24"/>
          <w:szCs w:val="24"/>
        </w:rPr>
        <w:t>Equality Now</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is an international human rights organisation with ECOSOC status working to protect and promote the rights of women and girls worldwide since 1992, including through our network of individuals and organisations in every region. Ending sexual violence, ending sexual exploitation, ending harmful </w:t>
      </w:r>
      <w:proofErr w:type="gramStart"/>
      <w:r>
        <w:rPr>
          <w:rFonts w:ascii="Times New Roman" w:eastAsia="Times New Roman" w:hAnsi="Times New Roman" w:cs="Times New Roman"/>
          <w:sz w:val="24"/>
          <w:szCs w:val="24"/>
        </w:rPr>
        <w:t>practices</w:t>
      </w:r>
      <w:proofErr w:type="gramEnd"/>
      <w:r>
        <w:rPr>
          <w:rFonts w:ascii="Times New Roman" w:eastAsia="Times New Roman" w:hAnsi="Times New Roman" w:cs="Times New Roman"/>
          <w:sz w:val="24"/>
          <w:szCs w:val="24"/>
        </w:rPr>
        <w:t xml:space="preserve"> and achieving legal equality are the main areas of Equality Now’s work. In January 2019, Equality Now released a report </w:t>
      </w:r>
      <w:r>
        <w:rPr>
          <w:rFonts w:ascii="Times New Roman" w:eastAsia="Times New Roman" w:hAnsi="Times New Roman" w:cs="Times New Roman"/>
          <w:i/>
          <w:sz w:val="24"/>
          <w:szCs w:val="24"/>
        </w:rPr>
        <w:t xml:space="preserve">“Roadblocks </w:t>
      </w:r>
      <w:proofErr w:type="gramStart"/>
      <w:r>
        <w:rPr>
          <w:rFonts w:ascii="Times New Roman" w:eastAsia="Times New Roman" w:hAnsi="Times New Roman" w:cs="Times New Roman"/>
          <w:i/>
          <w:sz w:val="24"/>
          <w:szCs w:val="24"/>
        </w:rPr>
        <w:t>To</w:t>
      </w:r>
      <w:proofErr w:type="gramEnd"/>
      <w:r>
        <w:rPr>
          <w:rFonts w:ascii="Times New Roman" w:eastAsia="Times New Roman" w:hAnsi="Times New Roman" w:cs="Times New Roman"/>
          <w:i/>
          <w:sz w:val="24"/>
          <w:szCs w:val="24"/>
        </w:rPr>
        <w:t xml:space="preserve"> Justice: How The Law Is Failing Survivors Of Sexual Violence In Eurasia”</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which contains an overview of the laws on sexual violence in the 15 countries of Eurasia, including Tajikistan, and an analysis of gaps in the law and examples of practice allowing for impunity for perpetrators of sexual violence crimes. Since then, Equality Now has been persistently </w:t>
      </w:r>
      <w:proofErr w:type="spellStart"/>
      <w:r>
        <w:rPr>
          <w:rFonts w:ascii="Times New Roman" w:eastAsia="Times New Roman" w:hAnsi="Times New Roman" w:cs="Times New Roman"/>
          <w:sz w:val="24"/>
          <w:szCs w:val="24"/>
        </w:rPr>
        <w:t>analyzing</w:t>
      </w:r>
      <w:proofErr w:type="spellEnd"/>
      <w:r>
        <w:rPr>
          <w:rFonts w:ascii="Times New Roman" w:eastAsia="Times New Roman" w:hAnsi="Times New Roman" w:cs="Times New Roman"/>
          <w:sz w:val="24"/>
          <w:szCs w:val="24"/>
        </w:rPr>
        <w:t xml:space="preserve"> laws, </w:t>
      </w:r>
      <w:proofErr w:type="gramStart"/>
      <w:r>
        <w:rPr>
          <w:rFonts w:ascii="Times New Roman" w:eastAsia="Times New Roman" w:hAnsi="Times New Roman" w:cs="Times New Roman"/>
          <w:sz w:val="24"/>
          <w:szCs w:val="24"/>
        </w:rPr>
        <w:t>policies</w:t>
      </w:r>
      <w:proofErr w:type="gramEnd"/>
      <w:r>
        <w:rPr>
          <w:rFonts w:ascii="Times New Roman" w:eastAsia="Times New Roman" w:hAnsi="Times New Roman" w:cs="Times New Roman"/>
          <w:sz w:val="24"/>
          <w:szCs w:val="24"/>
        </w:rPr>
        <w:t xml:space="preserve"> and procedures on violence against women in the region.</w:t>
      </w:r>
    </w:p>
    <w:p w14:paraId="088842E2" w14:textId="77777777" w:rsidR="00B64DCF" w:rsidRDefault="00000000">
      <w:pPr>
        <w:numPr>
          <w:ilvl w:val="0"/>
          <w:numId w:val="3"/>
        </w:numPr>
        <w:spacing w:before="200" w:line="240" w:lineRule="auto"/>
        <w:jc w:val="both"/>
        <w:rPr>
          <w:sz w:val="24"/>
          <w:szCs w:val="24"/>
        </w:rPr>
      </w:pPr>
      <w:r>
        <w:rPr>
          <w:rFonts w:ascii="Times New Roman" w:eastAsia="Times New Roman" w:hAnsi="Times New Roman" w:cs="Times New Roman"/>
          <w:b/>
          <w:sz w:val="24"/>
          <w:szCs w:val="24"/>
        </w:rPr>
        <w:t>Women Lawyers for Development</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is an NGO</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working on prevention and response to sexual and gender-based violence in Tajikistan. Their work is aimed at creating a safe and enabling environment for vulnerable women by providing them with legal assistance in the form of counselling, legal aid, and empowerment through education, increasing the effectiveness of measures to punish perpetrators and promoting long-term changes in society aimed at creating a safe and equal environment for all women and </w:t>
      </w:r>
      <w:proofErr w:type="gramStart"/>
      <w:r>
        <w:rPr>
          <w:rFonts w:ascii="Times New Roman" w:eastAsia="Times New Roman" w:hAnsi="Times New Roman" w:cs="Times New Roman"/>
          <w:sz w:val="24"/>
          <w:szCs w:val="24"/>
        </w:rPr>
        <w:t>protecting  their</w:t>
      </w:r>
      <w:proofErr w:type="gramEnd"/>
      <w:r>
        <w:rPr>
          <w:rFonts w:ascii="Times New Roman" w:eastAsia="Times New Roman" w:hAnsi="Times New Roman" w:cs="Times New Roman"/>
          <w:sz w:val="24"/>
          <w:szCs w:val="24"/>
        </w:rPr>
        <w:t xml:space="preserve"> social rights. They conduct advocacy campaigns for awareness-raising for women in society, changing negative stereotypes and creating conditions for a dignified life and gender equality.</w:t>
      </w:r>
    </w:p>
    <w:p w14:paraId="6E7A9E88" w14:textId="77777777" w:rsidR="00B64DCF" w:rsidRDefault="00000000">
      <w:pPr>
        <w:numPr>
          <w:ilvl w:val="0"/>
          <w:numId w:val="3"/>
        </w:numPr>
        <w:spacing w:before="200" w:line="240" w:lineRule="auto"/>
        <w:jc w:val="both"/>
        <w:rPr>
          <w:sz w:val="24"/>
          <w:szCs w:val="24"/>
        </w:rPr>
      </w:pPr>
      <w:r>
        <w:rPr>
          <w:rFonts w:ascii="Times New Roman" w:eastAsia="Times New Roman" w:hAnsi="Times New Roman" w:cs="Times New Roman"/>
          <w:b/>
          <w:sz w:val="24"/>
          <w:szCs w:val="24"/>
        </w:rPr>
        <w:t>The Public Foundation “Your Choice”</w:t>
      </w:r>
      <w:r>
        <w:rPr>
          <w:rFonts w:ascii="Times New Roman" w:eastAsia="Times New Roman" w:hAnsi="Times New Roman" w:cs="Times New Roman"/>
          <w:sz w:val="24"/>
          <w:szCs w:val="24"/>
        </w:rPr>
        <w:t xml:space="preserve"> is a human rights organisation in Tajikistan that actively promotes amendments to the Criminal Code of the Republic of Tajikistan in connection with all types of gender-based violence, including sexual violence, and work to prevent domestic violence and other forms of violence in the Republic of Tajikistan.</w:t>
      </w:r>
    </w:p>
    <w:p w14:paraId="7120BDB7" w14:textId="77777777" w:rsidR="00B64DCF" w:rsidRDefault="00000000">
      <w:pPr>
        <w:pStyle w:val="Heading1"/>
        <w:spacing w:before="200" w:line="240" w:lineRule="auto"/>
        <w:jc w:val="both"/>
        <w:rPr>
          <w:rFonts w:ascii="Times New Roman" w:eastAsia="Times New Roman" w:hAnsi="Times New Roman" w:cs="Times New Roman"/>
        </w:rPr>
      </w:pPr>
      <w:bookmarkStart w:id="3" w:name="_heading=h.hpowzpj6i1s" w:colFirst="0" w:colLast="0"/>
      <w:bookmarkEnd w:id="3"/>
      <w:r>
        <w:rPr>
          <w:rFonts w:ascii="Times New Roman" w:eastAsia="Times New Roman" w:hAnsi="Times New Roman" w:cs="Times New Roman"/>
        </w:rPr>
        <w:lastRenderedPageBreak/>
        <w:t>Previous recommendations of the Committee in relation to Tajikistan</w:t>
      </w:r>
    </w:p>
    <w:p w14:paraId="101B0E7E" w14:textId="77777777" w:rsidR="00B64DCF" w:rsidRDefault="00000000">
      <w:pPr>
        <w:numPr>
          <w:ilvl w:val="0"/>
          <w:numId w:val="3"/>
        </w:numPr>
        <w:spacing w:before="200" w:line="240" w:lineRule="auto"/>
        <w:jc w:val="both"/>
        <w:rPr>
          <w:sz w:val="24"/>
          <w:szCs w:val="24"/>
        </w:rPr>
      </w:pPr>
      <w:r>
        <w:rPr>
          <w:rFonts w:ascii="Times New Roman" w:eastAsia="Times New Roman" w:hAnsi="Times New Roman" w:cs="Times New Roman"/>
          <w:sz w:val="24"/>
          <w:szCs w:val="24"/>
        </w:rPr>
        <w:t xml:space="preserve">In its Concluding observations of November 2018 on the sixth periodic report of Tajikistan, the Committee noted that gender-based violence against women (GBV) in Tajikistan remained widespread, </w:t>
      </w:r>
      <w:proofErr w:type="gramStart"/>
      <w:r>
        <w:rPr>
          <w:rFonts w:ascii="Times New Roman" w:eastAsia="Times New Roman" w:hAnsi="Times New Roman" w:cs="Times New Roman"/>
          <w:sz w:val="24"/>
          <w:szCs w:val="24"/>
        </w:rPr>
        <w:t>tolerated</w:t>
      </w:r>
      <w:proofErr w:type="gramEnd"/>
      <w:r>
        <w:rPr>
          <w:rFonts w:ascii="Times New Roman" w:eastAsia="Times New Roman" w:hAnsi="Times New Roman" w:cs="Times New Roman"/>
          <w:sz w:val="24"/>
          <w:szCs w:val="24"/>
        </w:rPr>
        <w:t xml:space="preserve"> and underreported.</w:t>
      </w:r>
      <w:r>
        <w:rPr>
          <w:rFonts w:ascii="Times New Roman" w:eastAsia="Times New Roman" w:hAnsi="Times New Roman" w:cs="Times New Roman"/>
          <w:sz w:val="24"/>
          <w:szCs w:val="24"/>
          <w:vertAlign w:val="superscript"/>
        </w:rPr>
        <w:footnoteReference w:id="4"/>
      </w:r>
    </w:p>
    <w:p w14:paraId="7907B8BC" w14:textId="77777777" w:rsidR="00B64DCF" w:rsidRDefault="00000000">
      <w:pPr>
        <w:numPr>
          <w:ilvl w:val="0"/>
          <w:numId w:val="3"/>
        </w:numPr>
        <w:spacing w:before="200" w:line="240" w:lineRule="auto"/>
        <w:jc w:val="both"/>
        <w:rPr>
          <w:sz w:val="24"/>
          <w:szCs w:val="24"/>
        </w:rPr>
      </w:pPr>
      <w:r>
        <w:rPr>
          <w:rFonts w:ascii="Times New Roman" w:eastAsia="Times New Roman" w:hAnsi="Times New Roman" w:cs="Times New Roman"/>
          <w:sz w:val="24"/>
          <w:szCs w:val="24"/>
        </w:rPr>
        <w:t>The Committee provided a detailed list of recommendations, including calling on the State to criminalise all forms of GBV, including domestic violence, marital rape and sexual assault within and outside marriage; develop a comprehensive strategy to eliminate all forms of GBV; ensure that all reports of GBV are duly investigated, that perpetrators are prosecuted and that victims have access to effective reparations; provide victims of GBV with complex support; provide mandatory capacity-building activities for professionals who deal with GBV and interact with victims; collect data on cases of all forms of GBV.</w:t>
      </w:r>
      <w:r>
        <w:rPr>
          <w:rFonts w:ascii="Times New Roman" w:eastAsia="Times New Roman" w:hAnsi="Times New Roman" w:cs="Times New Roman"/>
          <w:sz w:val="24"/>
          <w:szCs w:val="24"/>
          <w:vertAlign w:val="superscript"/>
        </w:rPr>
        <w:footnoteReference w:id="5"/>
      </w:r>
    </w:p>
    <w:p w14:paraId="3846F0A5" w14:textId="77777777" w:rsidR="00B64DCF" w:rsidRDefault="00000000">
      <w:pPr>
        <w:numPr>
          <w:ilvl w:val="0"/>
          <w:numId w:val="3"/>
        </w:numPr>
        <w:spacing w:before="200" w:line="240" w:lineRule="auto"/>
        <w:jc w:val="both"/>
        <w:rPr>
          <w:sz w:val="24"/>
          <w:szCs w:val="24"/>
        </w:rPr>
      </w:pPr>
      <w:r>
        <w:rPr>
          <w:rFonts w:ascii="Times New Roman" w:eastAsia="Times New Roman" w:hAnsi="Times New Roman" w:cs="Times New Roman"/>
          <w:sz w:val="24"/>
          <w:szCs w:val="24"/>
        </w:rPr>
        <w:t>While the State provided certain information about its response to domestic violence in its seventh periodic report of November 2022,</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its response to sexual violence against women and girls has been very limited, given the scale of the problem. As such, Tajikistan needs to do more to ensure compliance with its obligations under the Convention. </w:t>
      </w:r>
    </w:p>
    <w:p w14:paraId="148AB699" w14:textId="77777777" w:rsidR="00B64DCF" w:rsidRDefault="00000000">
      <w:pPr>
        <w:pStyle w:val="Heading1"/>
        <w:spacing w:before="200" w:line="240" w:lineRule="auto"/>
        <w:rPr>
          <w:rFonts w:ascii="Times New Roman" w:eastAsia="Times New Roman" w:hAnsi="Times New Roman" w:cs="Times New Roman"/>
        </w:rPr>
      </w:pPr>
      <w:bookmarkStart w:id="4" w:name="_heading=h.in2gg3jnwmnb" w:colFirst="0" w:colLast="0"/>
      <w:bookmarkEnd w:id="4"/>
      <w:r>
        <w:rPr>
          <w:rFonts w:ascii="Times New Roman" w:eastAsia="Times New Roman" w:hAnsi="Times New Roman" w:cs="Times New Roman"/>
        </w:rPr>
        <w:t xml:space="preserve">Prevalence of sexual violence in Tajikistan and societal attitudes </w:t>
      </w:r>
    </w:p>
    <w:p w14:paraId="288BB817" w14:textId="77777777" w:rsidR="00B64DCF" w:rsidRDefault="00B64DCF">
      <w:pPr>
        <w:rPr>
          <w:rFonts w:ascii="Times New Roman" w:eastAsia="Times New Roman" w:hAnsi="Times New Roman" w:cs="Times New Roman"/>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B64DCF" w14:paraId="5D3C15A0" w14:textId="77777777">
        <w:tc>
          <w:tcPr>
            <w:tcW w:w="9360" w:type="dxa"/>
            <w:shd w:val="clear" w:color="auto" w:fill="auto"/>
            <w:tcMar>
              <w:top w:w="100" w:type="dxa"/>
              <w:left w:w="100" w:type="dxa"/>
              <w:bottom w:w="100" w:type="dxa"/>
              <w:right w:w="100" w:type="dxa"/>
            </w:tcMar>
          </w:tcPr>
          <w:p w14:paraId="13222027" w14:textId="77777777" w:rsidR="00B64DCF" w:rsidRDefault="00000000">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Summary of the section: </w:t>
            </w:r>
          </w:p>
          <w:p w14:paraId="1F382AD2" w14:textId="77777777" w:rsidR="00B64DCF" w:rsidRDefault="00B64DCF">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p>
          <w:p w14:paraId="48CF8C09" w14:textId="77777777" w:rsidR="00B64DCF" w:rsidRDefault="00000000">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Tajikistan’s seventh periodic report acknowledged plans for a survey on gender-based violence against women, particularly in rural areas and covering disadvantaged groups, though implementation has not yet occurred. A 2020 UN study highlights 6% prevalence of sexual violence committed by husbands/partners, while one in three women report experiencing sexual violence by their ex-husbands/partners. Sexual violence within relationships is underreported due to societal perceptions of marital duty. Violence against women is very often justified and women rarely seek justice, especially in rural areas, due to dissuasion by relatives, law enforcement, and societal stigma. Spousal rape is seldom reported, driven by shame, guilt, fear of family shame, and societal pressures to endure abuse.</w:t>
            </w:r>
          </w:p>
        </w:tc>
      </w:tr>
    </w:tbl>
    <w:p w14:paraId="65168B97" w14:textId="77777777" w:rsidR="00B64DCF" w:rsidRDefault="00000000">
      <w:pPr>
        <w:numPr>
          <w:ilvl w:val="0"/>
          <w:numId w:val="3"/>
        </w:numPr>
        <w:spacing w:before="200" w:line="240" w:lineRule="auto"/>
        <w:jc w:val="both"/>
        <w:rPr>
          <w:sz w:val="24"/>
          <w:szCs w:val="24"/>
        </w:rPr>
      </w:pPr>
      <w:r>
        <w:rPr>
          <w:rFonts w:ascii="Times New Roman" w:eastAsia="Times New Roman" w:hAnsi="Times New Roman" w:cs="Times New Roman"/>
          <w:sz w:val="24"/>
          <w:szCs w:val="24"/>
        </w:rPr>
        <w:t xml:space="preserve">In its seventh periodic report (November 2022), Tajikistan </w:t>
      </w:r>
      <w:proofErr w:type="gramStart"/>
      <w:r>
        <w:rPr>
          <w:rFonts w:ascii="Times New Roman" w:eastAsia="Times New Roman" w:hAnsi="Times New Roman" w:cs="Times New Roman"/>
          <w:sz w:val="24"/>
          <w:szCs w:val="24"/>
        </w:rPr>
        <w:t>provided that</w:t>
      </w:r>
      <w:proofErr w:type="gramEnd"/>
      <w:r>
        <w:rPr>
          <w:rFonts w:ascii="Times New Roman" w:eastAsia="Times New Roman" w:hAnsi="Times New Roman" w:cs="Times New Roman"/>
          <w:sz w:val="24"/>
          <w:szCs w:val="24"/>
        </w:rPr>
        <w:t xml:space="preserve"> there were plans to conduct a survey on the prevalence of gender-based violence against women and girls while ensuring that it covers rural women and women and girls belonging to other disadvantaged groups.</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However, these plans have not yet been implemented. </w:t>
      </w:r>
    </w:p>
    <w:p w14:paraId="2CF61259" w14:textId="77777777" w:rsidR="00B64DCF" w:rsidRDefault="00000000">
      <w:pPr>
        <w:numPr>
          <w:ilvl w:val="0"/>
          <w:numId w:val="3"/>
        </w:numPr>
        <w:spacing w:before="200" w:line="240" w:lineRule="auto"/>
        <w:jc w:val="both"/>
        <w:rPr>
          <w:sz w:val="24"/>
          <w:szCs w:val="24"/>
        </w:rPr>
      </w:pPr>
      <w:r>
        <w:rPr>
          <w:rFonts w:ascii="Times New Roman" w:eastAsia="Times New Roman" w:hAnsi="Times New Roman" w:cs="Times New Roman"/>
          <w:sz w:val="24"/>
          <w:szCs w:val="24"/>
        </w:rPr>
        <w:lastRenderedPageBreak/>
        <w:t>According to the UN study “</w:t>
      </w:r>
      <w:r>
        <w:rPr>
          <w:rFonts w:ascii="Times New Roman" w:eastAsia="Times New Roman" w:hAnsi="Times New Roman" w:cs="Times New Roman"/>
          <w:i/>
          <w:sz w:val="24"/>
          <w:szCs w:val="24"/>
        </w:rPr>
        <w:t>Analytical Report: Assessment of the Situation on Gender-Based Violence against Women and Girls in the Target Districts of the Republic of Tajikistan</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the most common type of violence against women by their husbands/partners throughout the life course is economic violence (31 per cent). Meanwhile, psychological violence accounts for 21 per cent, physical violence 20 per cent and 6 per cent sexual violence.</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The prevalence of violence committed by ex-husband/partner is even higher. Physical violence by an ex-husband/partner was experienced in their lifetime by 66 per cent of women surveyed.</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One in three women have experienced sexual violence by an ex-husband/partner in their lifetime.</w:t>
      </w:r>
      <w:r>
        <w:rPr>
          <w:rFonts w:ascii="Times New Roman" w:eastAsia="Times New Roman" w:hAnsi="Times New Roman" w:cs="Times New Roman"/>
          <w:sz w:val="24"/>
          <w:szCs w:val="24"/>
          <w:vertAlign w:val="superscript"/>
        </w:rPr>
        <w:footnoteReference w:id="11"/>
      </w:r>
    </w:p>
    <w:p w14:paraId="772AA8C9" w14:textId="77777777" w:rsidR="00B64DCF" w:rsidRDefault="00000000">
      <w:pPr>
        <w:numPr>
          <w:ilvl w:val="0"/>
          <w:numId w:val="3"/>
        </w:numPr>
        <w:spacing w:before="200" w:line="240" w:lineRule="auto"/>
        <w:jc w:val="both"/>
        <w:rPr>
          <w:sz w:val="24"/>
          <w:szCs w:val="24"/>
        </w:rPr>
      </w:pPr>
      <w:r>
        <w:rPr>
          <w:rFonts w:ascii="Times New Roman" w:eastAsia="Times New Roman" w:hAnsi="Times New Roman" w:cs="Times New Roman"/>
          <w:sz w:val="24"/>
          <w:szCs w:val="24"/>
        </w:rPr>
        <w:t>The study provides an explanation for the low reported figures on sexual violence within relationships. On the one hand, “[t]he sexual violence is intimate, and the husband/partner is convinced that the wife is obliged to fulfil his desires regardless of her willingness and capabilities”.</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On the other hand, “[d]</w:t>
      </w:r>
      <w:proofErr w:type="spellStart"/>
      <w:r>
        <w:rPr>
          <w:rFonts w:ascii="Times New Roman" w:eastAsia="Times New Roman" w:hAnsi="Times New Roman" w:cs="Times New Roman"/>
          <w:sz w:val="24"/>
          <w:szCs w:val="24"/>
        </w:rPr>
        <w:t>ue</w:t>
      </w:r>
      <w:proofErr w:type="spellEnd"/>
      <w:r>
        <w:rPr>
          <w:rFonts w:ascii="Times New Roman" w:eastAsia="Times New Roman" w:hAnsi="Times New Roman" w:cs="Times New Roman"/>
          <w:sz w:val="24"/>
          <w:szCs w:val="24"/>
        </w:rPr>
        <w:t xml:space="preserve"> to the generally recognised notion of “marital duty” in family relations, women do not consider pressure and intimate violence by their husbands as sexual violence, which also influenced the low rates of detection of this type of violence”.</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At the same time, perpetrators who are physically violent toward their intimate partners are often sexually abusive as well. Intimate partner sexual assault and rape are used to intimidate, </w:t>
      </w:r>
      <w:proofErr w:type="gramStart"/>
      <w:r>
        <w:rPr>
          <w:rFonts w:ascii="Times New Roman" w:eastAsia="Times New Roman" w:hAnsi="Times New Roman" w:cs="Times New Roman"/>
          <w:sz w:val="24"/>
          <w:szCs w:val="24"/>
        </w:rPr>
        <w:t>control</w:t>
      </w:r>
      <w:proofErr w:type="gramEnd"/>
      <w:r>
        <w:rPr>
          <w:rFonts w:ascii="Times New Roman" w:eastAsia="Times New Roman" w:hAnsi="Times New Roman" w:cs="Times New Roman"/>
          <w:sz w:val="24"/>
          <w:szCs w:val="24"/>
        </w:rPr>
        <w:t xml:space="preserve"> and demean victims/survivors of domestic violence.</w:t>
      </w:r>
    </w:p>
    <w:p w14:paraId="3A9A19A9" w14:textId="77777777" w:rsidR="00B64DCF" w:rsidRDefault="00000000">
      <w:pPr>
        <w:numPr>
          <w:ilvl w:val="0"/>
          <w:numId w:val="3"/>
        </w:numPr>
        <w:spacing w:before="200" w:line="240" w:lineRule="auto"/>
        <w:jc w:val="both"/>
        <w:rPr>
          <w:sz w:val="24"/>
          <w:szCs w:val="24"/>
        </w:rPr>
      </w:pPr>
      <w:r>
        <w:rPr>
          <w:rFonts w:ascii="Times New Roman" w:eastAsia="Times New Roman" w:hAnsi="Times New Roman" w:cs="Times New Roman"/>
          <w:sz w:val="24"/>
          <w:szCs w:val="24"/>
        </w:rPr>
        <w:t>While there are no separate studies on sexual violence, according to a Baseline study on people’s perception of violence against women and girls in Tajikistan within the Spotlight Initiative,</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conducted in 2022, on average, 41.2% of respondents justify physical violence. One of the most powerful reasons, according to respondents, “justifying violence”, is cheating 79.8% (women - 86.6%). </w:t>
      </w:r>
    </w:p>
    <w:p w14:paraId="44D73EF0" w14:textId="77777777" w:rsidR="00B64DCF" w:rsidRDefault="00000000">
      <w:pPr>
        <w:numPr>
          <w:ilvl w:val="0"/>
          <w:numId w:val="3"/>
        </w:numPr>
        <w:spacing w:before="200" w:line="240" w:lineRule="auto"/>
        <w:jc w:val="both"/>
        <w:rPr>
          <w:sz w:val="24"/>
          <w:szCs w:val="24"/>
        </w:rPr>
      </w:pPr>
      <w:r>
        <w:rPr>
          <w:rFonts w:ascii="Times New Roman" w:eastAsia="Times New Roman" w:hAnsi="Times New Roman" w:cs="Times New Roman"/>
          <w:sz w:val="24"/>
          <w:szCs w:val="24"/>
        </w:rPr>
        <w:t>Spousal rape is rarely reported in Tajikistan due to social stigma, yet interviewees and advocates informed Human Rights Watch that perpetrators of sexual violence are overwhelmingly a woman’s current or former partner.</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According to Human Rights Watch, women remain in abusive relationships for many years because of societal and familial pressure. They feel shame or guilt for reporting the abuse committed by their husbands or other family members and discussing family matters outside the home. In addition, they are afraid that reporting to the police will bring shame upon the family and potentially result in further violence. Human Rights Watch further states that “the fear of </w:t>
      </w:r>
      <w:r>
        <w:rPr>
          <w:rFonts w:ascii="Times New Roman" w:eastAsia="Times New Roman" w:hAnsi="Times New Roman" w:cs="Times New Roman"/>
          <w:sz w:val="24"/>
          <w:szCs w:val="24"/>
        </w:rPr>
        <w:lastRenderedPageBreak/>
        <w:t>stigmatization and a sense that a woman’s destiny is to endure abuse has contributed to reluctance on the part of victims of domestic violence to seek help, let alone justice”.</w:t>
      </w:r>
      <w:r>
        <w:rPr>
          <w:rFonts w:ascii="Times New Roman" w:eastAsia="Times New Roman" w:hAnsi="Times New Roman" w:cs="Times New Roman"/>
          <w:sz w:val="24"/>
          <w:szCs w:val="24"/>
          <w:vertAlign w:val="superscript"/>
        </w:rPr>
        <w:footnoteReference w:id="16"/>
      </w:r>
    </w:p>
    <w:p w14:paraId="10964F2A" w14:textId="77777777" w:rsidR="00B64DCF" w:rsidRDefault="00B64DCF">
      <w:pPr>
        <w:spacing w:before="200" w:line="240" w:lineRule="auto"/>
        <w:ind w:left="720"/>
        <w:jc w:val="both"/>
        <w:rPr>
          <w:rFonts w:ascii="Times New Roman" w:eastAsia="Times New Roman" w:hAnsi="Times New Roman" w:cs="Times New Roman"/>
        </w:rPr>
      </w:pPr>
    </w:p>
    <w:p w14:paraId="7167A6CB" w14:textId="77777777" w:rsidR="00B64DCF" w:rsidRDefault="00000000">
      <w:pPr>
        <w:pStyle w:val="Heading1"/>
        <w:spacing w:before="200" w:line="240" w:lineRule="auto"/>
        <w:rPr>
          <w:rFonts w:ascii="Times New Roman" w:eastAsia="Times New Roman" w:hAnsi="Times New Roman" w:cs="Times New Roman"/>
        </w:rPr>
      </w:pPr>
      <w:bookmarkStart w:id="5" w:name="_heading=h.lt7gmech1acq" w:colFirst="0" w:colLast="0"/>
      <w:bookmarkEnd w:id="5"/>
      <w:r>
        <w:rPr>
          <w:rFonts w:ascii="Times New Roman" w:eastAsia="Times New Roman" w:hAnsi="Times New Roman" w:cs="Times New Roman"/>
        </w:rPr>
        <w:t xml:space="preserve">Overcoming Legal and Procedural Barriers in Securing Justice </w:t>
      </w:r>
    </w:p>
    <w:p w14:paraId="30769DDA" w14:textId="77777777" w:rsidR="00B64DCF" w:rsidRDefault="00B64DCF">
      <w:pPr>
        <w:rPr>
          <w:rFonts w:ascii="Times New Roman" w:eastAsia="Times New Roman" w:hAnsi="Times New Roman" w:cs="Times New Roman"/>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B64DCF" w14:paraId="6AE56D73" w14:textId="77777777">
        <w:tc>
          <w:tcPr>
            <w:tcW w:w="9360" w:type="dxa"/>
            <w:shd w:val="clear" w:color="auto" w:fill="auto"/>
            <w:tcMar>
              <w:top w:w="100" w:type="dxa"/>
              <w:left w:w="100" w:type="dxa"/>
              <w:bottom w:w="100" w:type="dxa"/>
              <w:right w:w="100" w:type="dxa"/>
            </w:tcMar>
          </w:tcPr>
          <w:p w14:paraId="51928172" w14:textId="77777777" w:rsidR="00B64DCF" w:rsidRDefault="00000000">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Summary of the section: </w:t>
            </w:r>
          </w:p>
          <w:p w14:paraId="7C7CD6AA" w14:textId="77777777" w:rsidR="00B64DCF" w:rsidRDefault="00B64DCF">
            <w:pPr>
              <w:widowControl w:val="0"/>
              <w:spacing w:line="240" w:lineRule="auto"/>
              <w:jc w:val="both"/>
              <w:rPr>
                <w:rFonts w:ascii="Times New Roman" w:eastAsia="Times New Roman" w:hAnsi="Times New Roman" w:cs="Times New Roman"/>
                <w:sz w:val="24"/>
                <w:szCs w:val="24"/>
              </w:rPr>
            </w:pPr>
          </w:p>
          <w:p w14:paraId="5C44394F" w14:textId="77777777" w:rsidR="00B64DCF"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legislation in Tajikistan lacks a consent-based definition of rape contrary to CEDAW standards. Marital rape is neither explicitly criminalized nor treated as an aggravating factor, leading to a lack of reporting and insufficient punishment. Moreover, the law does not treat all forms of rape as rape, reinforcing the myth that rape necessarily involves physical force.</w:t>
            </w:r>
          </w:p>
          <w:p w14:paraId="405767C9" w14:textId="77777777" w:rsidR="00B64DCF" w:rsidRDefault="00B64DCF">
            <w:pPr>
              <w:spacing w:line="240" w:lineRule="auto"/>
              <w:jc w:val="both"/>
              <w:rPr>
                <w:rFonts w:ascii="Times New Roman" w:eastAsia="Times New Roman" w:hAnsi="Times New Roman" w:cs="Times New Roman"/>
                <w:sz w:val="24"/>
                <w:szCs w:val="24"/>
              </w:rPr>
            </w:pPr>
          </w:p>
          <w:p w14:paraId="74356CEC" w14:textId="77777777" w:rsidR="00B64DCF"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Tajikistan also maintains burdensome evidentiary standards, particularly discriminatory against victims with disabilities. Prosecutions often rely on physical injuries and biological evidence, disadvantaging victims without visible signs of abuse or those with disabilities, perpetuating a system that denies justice based on ableism and societal stigma.</w:t>
            </w:r>
          </w:p>
          <w:p w14:paraId="40A090F2" w14:textId="77777777" w:rsidR="00B64DCF" w:rsidRDefault="00B64DCF">
            <w:pPr>
              <w:spacing w:line="240" w:lineRule="auto"/>
              <w:jc w:val="both"/>
              <w:rPr>
                <w:rFonts w:ascii="Times New Roman" w:eastAsia="Times New Roman" w:hAnsi="Times New Roman" w:cs="Times New Roman"/>
                <w:sz w:val="24"/>
                <w:szCs w:val="24"/>
              </w:rPr>
            </w:pPr>
          </w:p>
        </w:tc>
      </w:tr>
    </w:tbl>
    <w:p w14:paraId="7EA4D74D" w14:textId="77777777" w:rsidR="00B64DCF" w:rsidRDefault="00B64DCF">
      <w:pPr>
        <w:rPr>
          <w:rFonts w:ascii="Times New Roman" w:eastAsia="Times New Roman" w:hAnsi="Times New Roman" w:cs="Times New Roman"/>
        </w:rPr>
      </w:pPr>
    </w:p>
    <w:p w14:paraId="14E48F00" w14:textId="77777777" w:rsidR="00B64DCF" w:rsidRDefault="00000000">
      <w:pPr>
        <w:numPr>
          <w:ilvl w:val="0"/>
          <w:numId w:val="3"/>
        </w:numPr>
        <w:spacing w:before="200" w:line="240" w:lineRule="auto"/>
        <w:jc w:val="both"/>
        <w:rPr>
          <w:sz w:val="24"/>
          <w:szCs w:val="24"/>
        </w:rPr>
      </w:pPr>
      <w:r>
        <w:rPr>
          <w:rFonts w:ascii="Times New Roman" w:eastAsia="Times New Roman" w:hAnsi="Times New Roman" w:cs="Times New Roman"/>
          <w:sz w:val="24"/>
          <w:szCs w:val="24"/>
          <w:u w:val="single"/>
        </w:rPr>
        <w:t xml:space="preserve">The legislation of Tajikistan fails to provide a consent-based definition of rape. </w:t>
      </w:r>
      <w:r>
        <w:rPr>
          <w:rFonts w:ascii="Times New Roman" w:eastAsia="Times New Roman" w:hAnsi="Times New Roman" w:cs="Times New Roman"/>
          <w:sz w:val="24"/>
          <w:szCs w:val="24"/>
        </w:rPr>
        <w:t>Contrary to international human rights standards,</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the definition of rape (Criminal Code Article 138</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and other sexual violence crimes (Criminal Code Articles 139</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and 140</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under Tajik law focuses on the use of force, threat of force, abusing the helplessness of the victim,</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lastRenderedPageBreak/>
        <w:t xml:space="preserve">and various forms of coercion, rather than focusing on the absence of the free and voluntary consent that should be assessed in the context of the surrounding circumstances. </w:t>
      </w:r>
    </w:p>
    <w:p w14:paraId="1F4EA761" w14:textId="77777777" w:rsidR="00B64DCF" w:rsidRDefault="00000000">
      <w:pPr>
        <w:numPr>
          <w:ilvl w:val="0"/>
          <w:numId w:val="3"/>
        </w:numPr>
        <w:spacing w:before="200" w:line="240" w:lineRule="auto"/>
        <w:jc w:val="both"/>
        <w:rPr>
          <w:sz w:val="24"/>
          <w:szCs w:val="24"/>
        </w:rPr>
      </w:pPr>
      <w:r>
        <w:rPr>
          <w:rFonts w:ascii="Times New Roman" w:eastAsia="Times New Roman" w:hAnsi="Times New Roman" w:cs="Times New Roman"/>
          <w:sz w:val="24"/>
          <w:szCs w:val="24"/>
          <w:u w:val="single"/>
        </w:rPr>
        <w:t>The Criminal Code of Tajikistan does not treat all acts of rape as rape.</w:t>
      </w:r>
      <w:r>
        <w:rPr>
          <w:rFonts w:ascii="Times New Roman" w:eastAsia="Times New Roman" w:hAnsi="Times New Roman" w:cs="Times New Roman"/>
          <w:sz w:val="24"/>
          <w:szCs w:val="24"/>
        </w:rPr>
        <w:t xml:space="preserve"> Tajik legislation currently allows for two different rape crimes, one of which calls for more serious penalties on conviction (Article 138 and 139) while the other, Article 140, is called coercion rather than rape, and is defined as a ‘light crime’ committed in circumstances other than with the use of force or threat of immediate force or helplessness. This reinforces the myth that rape always involves physical force.</w:t>
      </w:r>
    </w:p>
    <w:p w14:paraId="2777E671" w14:textId="77777777" w:rsidR="00B64DCF" w:rsidRDefault="00000000">
      <w:pPr>
        <w:numPr>
          <w:ilvl w:val="0"/>
          <w:numId w:val="3"/>
        </w:numPr>
        <w:spacing w:before="200" w:line="240" w:lineRule="auto"/>
        <w:jc w:val="both"/>
        <w:rPr>
          <w:sz w:val="24"/>
          <w:szCs w:val="24"/>
        </w:rPr>
      </w:pPr>
      <w:r>
        <w:rPr>
          <w:rFonts w:ascii="Times New Roman" w:eastAsia="Times New Roman" w:hAnsi="Times New Roman" w:cs="Times New Roman"/>
          <w:sz w:val="24"/>
          <w:szCs w:val="24"/>
          <w:u w:val="single"/>
        </w:rPr>
        <w:t>Marital and intimate partner rape is not explicitly criminalised (though the law punishes rape irrespective of the identity of the perpetrator and victim), and marital rape is not treated as an aggravating factor.</w:t>
      </w:r>
      <w:r>
        <w:rPr>
          <w:rFonts w:ascii="Times New Roman" w:eastAsia="Times New Roman" w:hAnsi="Times New Roman" w:cs="Times New Roman"/>
          <w:sz w:val="24"/>
          <w:szCs w:val="24"/>
        </w:rPr>
        <w:t xml:space="preserve"> Society and law enforcement do not take marital rape seriously, resulting in many acts of sexual violence within intimate partners to remain unpunished. The Committee’s General Recommendation No. 35, updating No. 19, explicitly calls for the criminalization of marital rape and other acts of sexual violence as crimes against women’s right to personal security and their physical, sexual and psychological integrity.</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Therefore, because of the existing societal and law enforcement attitudes, it is increasingly important to ensure the explicit and effective criminalization of marital rape and its inclusion as an aggravating factor.</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This would contribute to sending a message to society and law enforcement that rape is an unacceptable crime in all circumstances and will be appropriately punished.</w:t>
      </w:r>
    </w:p>
    <w:p w14:paraId="3DD04B5A" w14:textId="77777777" w:rsidR="00B64DCF" w:rsidRDefault="00000000">
      <w:pPr>
        <w:numPr>
          <w:ilvl w:val="0"/>
          <w:numId w:val="3"/>
        </w:numPr>
        <w:spacing w:before="200" w:line="240" w:lineRule="auto"/>
        <w:jc w:val="both"/>
        <w:rPr>
          <w:sz w:val="24"/>
          <w:szCs w:val="24"/>
        </w:rPr>
      </w:pPr>
      <w:r>
        <w:rPr>
          <w:rFonts w:ascii="Times New Roman" w:eastAsia="Times New Roman" w:hAnsi="Times New Roman" w:cs="Times New Roman"/>
          <w:sz w:val="24"/>
          <w:szCs w:val="24"/>
          <w:u w:val="single"/>
        </w:rPr>
        <w:t xml:space="preserve">Tajikistan maintains burdensome and discriminatory evidentiary standards in cases of sexual violence, and this is further exacerbated when the victim has a disability. </w:t>
      </w:r>
      <w:r>
        <w:rPr>
          <w:rFonts w:ascii="Times New Roman" w:eastAsia="Times New Roman" w:hAnsi="Times New Roman" w:cs="Times New Roman"/>
          <w:sz w:val="24"/>
          <w:szCs w:val="24"/>
        </w:rPr>
        <w:t xml:space="preserve">In </w:t>
      </w:r>
      <w:proofErr w:type="gramStart"/>
      <w:r>
        <w:rPr>
          <w:rFonts w:ascii="Times New Roman" w:eastAsia="Times New Roman" w:hAnsi="Times New Roman" w:cs="Times New Roman"/>
          <w:sz w:val="24"/>
          <w:szCs w:val="24"/>
        </w:rPr>
        <w:t>the overwhelming majority of</w:t>
      </w:r>
      <w:proofErr w:type="gramEnd"/>
      <w:r>
        <w:rPr>
          <w:rFonts w:ascii="Times New Roman" w:eastAsia="Times New Roman" w:hAnsi="Times New Roman" w:cs="Times New Roman"/>
          <w:sz w:val="24"/>
          <w:szCs w:val="24"/>
        </w:rPr>
        <w:t xml:space="preserve"> cases, sexual violence crimes are prosecuted only when physical injuries are found on the body of the victim, as well as biological materials associated with a sexual act. Investigators and judges are inclined to base their decisions solely on the outcomes of forensic examinations. If a forensic examination does not identify injuries on a victim’s body or signs of violence (including, for example, if a long time has passed since the abuse was committed), the victim’s testimony may not be believed. As a result of an existing stigma and ableism associated with different forms of disabilities</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and laws failing to provide procedural accommodation, disability often leads to the denial of justice for sexual violence, even if the disability does not affect the person’s ability to comprehend the events that happened to them. </w:t>
      </w:r>
    </w:p>
    <w:p w14:paraId="2C633E4E" w14:textId="77777777" w:rsidR="000A2D5A" w:rsidRDefault="000A2D5A">
      <w:pPr>
        <w:pStyle w:val="Heading1"/>
        <w:spacing w:before="200" w:line="240" w:lineRule="auto"/>
        <w:rPr>
          <w:rFonts w:ascii="Times New Roman" w:eastAsia="Times New Roman" w:hAnsi="Times New Roman" w:cs="Times New Roman"/>
          <w:sz w:val="11"/>
          <w:szCs w:val="11"/>
        </w:rPr>
      </w:pPr>
      <w:bookmarkStart w:id="6" w:name="_heading=h.x239lca1m9le" w:colFirst="0" w:colLast="0"/>
      <w:bookmarkEnd w:id="6"/>
    </w:p>
    <w:p w14:paraId="75DE1A87" w14:textId="77777777" w:rsidR="000A2D5A" w:rsidRDefault="000A2D5A">
      <w:pPr>
        <w:pStyle w:val="Heading1"/>
        <w:spacing w:before="200" w:line="240" w:lineRule="auto"/>
        <w:rPr>
          <w:rFonts w:ascii="Times New Roman" w:eastAsia="Times New Roman" w:hAnsi="Times New Roman" w:cs="Times New Roman"/>
          <w:sz w:val="11"/>
          <w:szCs w:val="11"/>
        </w:rPr>
      </w:pPr>
    </w:p>
    <w:p w14:paraId="7AE78E6A" w14:textId="765A00D0" w:rsidR="00B64DCF" w:rsidRDefault="00000000">
      <w:pPr>
        <w:pStyle w:val="Heading1"/>
        <w:spacing w:before="200" w:line="240" w:lineRule="auto"/>
        <w:rPr>
          <w:rFonts w:ascii="Times New Roman" w:eastAsia="Times New Roman" w:hAnsi="Times New Roman" w:cs="Times New Roman"/>
        </w:rPr>
      </w:pPr>
      <w:r>
        <w:rPr>
          <w:rFonts w:ascii="Times New Roman" w:eastAsia="Times New Roman" w:hAnsi="Times New Roman" w:cs="Times New Roman"/>
        </w:rPr>
        <w:t>Gender stereotyping and discriminatory investigation procedures</w:t>
      </w:r>
    </w:p>
    <w:p w14:paraId="204F66BB" w14:textId="77777777" w:rsidR="00B64DCF" w:rsidRDefault="00B64DCF">
      <w:pPr>
        <w:rPr>
          <w:rFonts w:ascii="Times New Roman" w:eastAsia="Times New Roman" w:hAnsi="Times New Roman" w:cs="Times New Roman"/>
        </w:rPr>
      </w:pP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B64DCF" w14:paraId="0C0A7B53" w14:textId="77777777">
        <w:tc>
          <w:tcPr>
            <w:tcW w:w="9360" w:type="dxa"/>
            <w:shd w:val="clear" w:color="auto" w:fill="auto"/>
            <w:tcMar>
              <w:top w:w="100" w:type="dxa"/>
              <w:left w:w="100" w:type="dxa"/>
              <w:bottom w:w="100" w:type="dxa"/>
              <w:right w:w="100" w:type="dxa"/>
            </w:tcMar>
          </w:tcPr>
          <w:p w14:paraId="2124CEE8" w14:textId="77777777" w:rsidR="00B64DCF" w:rsidRDefault="00000000">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Summary of the section: </w:t>
            </w:r>
          </w:p>
          <w:p w14:paraId="1C224BE3" w14:textId="77777777" w:rsidR="00B64DCF" w:rsidRDefault="00B64DCF">
            <w:pPr>
              <w:widowControl w:val="0"/>
              <w:spacing w:line="240" w:lineRule="auto"/>
              <w:jc w:val="both"/>
              <w:rPr>
                <w:rFonts w:ascii="Times New Roman" w:eastAsia="Times New Roman" w:hAnsi="Times New Roman" w:cs="Times New Roman"/>
                <w:sz w:val="24"/>
                <w:szCs w:val="24"/>
              </w:rPr>
            </w:pPr>
          </w:p>
          <w:p w14:paraId="6AC60061" w14:textId="77777777" w:rsidR="00B64DCF" w:rsidRDefault="00000000">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Gender stereotyping and discriminatory investigation procedures applied in practice constitute a significant barrier to justice for survivors of sexual violence. These include routine usage of the “investigative experiment” (provided by the law), which requires the victim to re-enact the crime; victims often being interrogated in shared spaces without privacy considerations; victim-blaming by law </w:t>
            </w:r>
            <w:proofErr w:type="gramStart"/>
            <w:r>
              <w:rPr>
                <w:rFonts w:ascii="Times New Roman" w:eastAsia="Times New Roman" w:hAnsi="Times New Roman" w:cs="Times New Roman"/>
                <w:sz w:val="24"/>
                <w:szCs w:val="24"/>
              </w:rPr>
              <w:t>enforcement;  hymen</w:t>
            </w:r>
            <w:proofErr w:type="gramEnd"/>
            <w:r>
              <w:rPr>
                <w:rFonts w:ascii="Times New Roman" w:eastAsia="Times New Roman" w:hAnsi="Times New Roman" w:cs="Times New Roman"/>
                <w:sz w:val="24"/>
                <w:szCs w:val="24"/>
              </w:rPr>
              <w:t xml:space="preserve"> examination diverting attention from establishing injuries and evidence of rape; lack of gender-sensitive protocols in forensic examinations. During trials, victims face perpetrators directly, enduring confusing and intimidating questioning. Remote questioning options are not implemented, and evidence rules lack restrictions on prior sexual history, often against the victim's best interests.</w:t>
            </w:r>
          </w:p>
          <w:p w14:paraId="49097CED" w14:textId="77777777" w:rsidR="00B64DCF" w:rsidRDefault="00B64DCF">
            <w:pPr>
              <w:widowControl w:val="0"/>
              <w:spacing w:line="240" w:lineRule="auto"/>
              <w:jc w:val="both"/>
              <w:rPr>
                <w:rFonts w:ascii="Times New Roman" w:eastAsia="Times New Roman" w:hAnsi="Times New Roman" w:cs="Times New Roman"/>
                <w:sz w:val="24"/>
                <w:szCs w:val="24"/>
              </w:rPr>
            </w:pPr>
          </w:p>
        </w:tc>
      </w:tr>
    </w:tbl>
    <w:p w14:paraId="0929CFDC" w14:textId="77777777" w:rsidR="00B64DCF" w:rsidRDefault="00000000">
      <w:pPr>
        <w:numPr>
          <w:ilvl w:val="0"/>
          <w:numId w:val="3"/>
        </w:numPr>
        <w:spacing w:before="200" w:line="240" w:lineRule="auto"/>
        <w:jc w:val="both"/>
        <w:rPr>
          <w:sz w:val="24"/>
          <w:szCs w:val="24"/>
        </w:rPr>
      </w:pPr>
      <w:r>
        <w:rPr>
          <w:rFonts w:ascii="Times New Roman" w:eastAsia="Times New Roman" w:hAnsi="Times New Roman" w:cs="Times New Roman"/>
          <w:sz w:val="24"/>
          <w:szCs w:val="24"/>
        </w:rPr>
        <w:t>Lawyers of victims provide that the “</w:t>
      </w:r>
      <w:r>
        <w:rPr>
          <w:rFonts w:ascii="Times New Roman" w:eastAsia="Times New Roman" w:hAnsi="Times New Roman" w:cs="Times New Roman"/>
          <w:b/>
          <w:sz w:val="24"/>
          <w:szCs w:val="24"/>
        </w:rPr>
        <w:t>investigative experiment</w:t>
      </w:r>
      <w:r>
        <w:rPr>
          <w:rFonts w:ascii="Times New Roman" w:eastAsia="Times New Roman" w:hAnsi="Times New Roman" w:cs="Times New Roman"/>
          <w:sz w:val="24"/>
          <w:szCs w:val="24"/>
        </w:rPr>
        <w:t xml:space="preserve">” (Article 188 of the Code of Criminal Procedure), which is systematically applied in sexual violence cases, constitutes a discriminatory and traumatizing practice. Under the “experiment”, the victim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re-enact the incident of the crime, which involves going to the place where the crime was committed, recalling the facts (or her statement previously given to the investigation is read aloud) and photos of the victim being taken while she points at various specific locations she was taken to when the crime was being committed. In addition to being traumatic, such participation of the victim in this investigative procedure often does not add any probative value to the evidence obtained.</w:t>
      </w:r>
    </w:p>
    <w:p w14:paraId="2417E0F2" w14:textId="77777777" w:rsidR="00B64DCF" w:rsidRDefault="00000000">
      <w:pPr>
        <w:numPr>
          <w:ilvl w:val="0"/>
          <w:numId w:val="3"/>
        </w:numPr>
        <w:spacing w:before="200" w:line="240" w:lineRule="auto"/>
        <w:jc w:val="both"/>
        <w:rPr>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questioning</w:t>
      </w:r>
      <w:r>
        <w:rPr>
          <w:rFonts w:ascii="Times New Roman" w:eastAsia="Times New Roman" w:hAnsi="Times New Roman" w:cs="Times New Roman"/>
          <w:sz w:val="24"/>
          <w:szCs w:val="24"/>
        </w:rPr>
        <w:t xml:space="preserve"> of the victim during the investigation stage is often conducted in a common/shared space at the police station where other investigators and victims are also present, and the victim’s story can be easily overheard by others. This causes additional fear and humiliation to the victims throughout the process. Victims and their lawyers report that investigative questions and comments made by investigators during questioning implicitly, and sometimes explicitly, judge the victim’s behaviour and are aimed at “sharing” the responsibility with the perpetrator for inducing the sexual violence.</w:t>
      </w:r>
    </w:p>
    <w:p w14:paraId="431D7C54" w14:textId="77777777" w:rsidR="00B64DCF" w:rsidRDefault="00000000">
      <w:pPr>
        <w:numPr>
          <w:ilvl w:val="0"/>
          <w:numId w:val="3"/>
        </w:numPr>
        <w:spacing w:before="200" w:line="240" w:lineRule="auto"/>
        <w:jc w:val="both"/>
        <w:rPr>
          <w:sz w:val="24"/>
          <w:szCs w:val="24"/>
        </w:rPr>
      </w:pPr>
      <w:r>
        <w:rPr>
          <w:rFonts w:ascii="Times New Roman" w:eastAsia="Times New Roman" w:hAnsi="Times New Roman" w:cs="Times New Roman"/>
          <w:sz w:val="24"/>
          <w:szCs w:val="24"/>
        </w:rPr>
        <w:t xml:space="preserve">Victims and their lawyers report that the </w:t>
      </w:r>
      <w:r>
        <w:rPr>
          <w:rFonts w:ascii="Times New Roman" w:eastAsia="Times New Roman" w:hAnsi="Times New Roman" w:cs="Times New Roman"/>
          <w:b/>
          <w:sz w:val="24"/>
          <w:szCs w:val="24"/>
        </w:rPr>
        <w:t>forensic medical examination</w:t>
      </w:r>
      <w:r>
        <w:rPr>
          <w:rFonts w:ascii="Times New Roman" w:eastAsia="Times New Roman" w:hAnsi="Times New Roman" w:cs="Times New Roman"/>
          <w:sz w:val="24"/>
          <w:szCs w:val="24"/>
        </w:rPr>
        <w:t xml:space="preserve"> of their bodies is intrusive and often extremely traumatising, especially when conducted by experts of the opposite sex (men constitute </w:t>
      </w: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forensic experts, while the victims are predominantly female). </w:t>
      </w:r>
    </w:p>
    <w:p w14:paraId="5D37893E" w14:textId="77777777" w:rsidR="00B64DCF" w:rsidRDefault="00000000">
      <w:pPr>
        <w:numPr>
          <w:ilvl w:val="0"/>
          <w:numId w:val="3"/>
        </w:numPr>
        <w:spacing w:before="200" w:line="240" w:lineRule="auto"/>
        <w:jc w:val="both"/>
        <w:rPr>
          <w:sz w:val="24"/>
          <w:szCs w:val="24"/>
        </w:rPr>
      </w:pPr>
      <w:r>
        <w:rPr>
          <w:rFonts w:ascii="Times New Roman" w:eastAsia="Times New Roman" w:hAnsi="Times New Roman" w:cs="Times New Roman"/>
          <w:sz w:val="24"/>
          <w:szCs w:val="24"/>
        </w:rPr>
        <w:t xml:space="preserve">Stereotypes and drawing negative inferences from the </w:t>
      </w:r>
      <w:r>
        <w:rPr>
          <w:rFonts w:ascii="Times New Roman" w:eastAsia="Times New Roman" w:hAnsi="Times New Roman" w:cs="Times New Roman"/>
          <w:b/>
          <w:sz w:val="24"/>
          <w:szCs w:val="24"/>
        </w:rPr>
        <w:t>condition of the victim’s hymen</w:t>
      </w:r>
      <w:r>
        <w:rPr>
          <w:rFonts w:ascii="Times New Roman" w:eastAsia="Times New Roman" w:hAnsi="Times New Roman" w:cs="Times New Roman"/>
          <w:sz w:val="24"/>
          <w:szCs w:val="24"/>
        </w:rPr>
        <w:t xml:space="preserve"> also prove to be a problem, since it regularly leads to examining the victim’s prior sexual history and her ‘character’, rather than establishing injuries and evidence of rape. In any </w:t>
      </w:r>
      <w:r>
        <w:rPr>
          <w:rFonts w:ascii="Times New Roman" w:eastAsia="Times New Roman" w:hAnsi="Times New Roman" w:cs="Times New Roman"/>
          <w:sz w:val="24"/>
          <w:szCs w:val="24"/>
        </w:rPr>
        <w:lastRenderedPageBreak/>
        <w:t>case, it has been extensively scientifically proven that rape can take place without breaking the hymen.</w:t>
      </w:r>
    </w:p>
    <w:p w14:paraId="3698EA7D" w14:textId="77777777" w:rsidR="00B64DCF" w:rsidRDefault="00000000">
      <w:pPr>
        <w:numPr>
          <w:ilvl w:val="0"/>
          <w:numId w:val="3"/>
        </w:numPr>
        <w:spacing w:before="200" w:line="240" w:lineRule="auto"/>
        <w:jc w:val="both"/>
        <w:rPr>
          <w:sz w:val="24"/>
          <w:szCs w:val="24"/>
        </w:rPr>
      </w:pPr>
      <w:r>
        <w:rPr>
          <w:rFonts w:ascii="Times New Roman" w:eastAsia="Times New Roman" w:hAnsi="Times New Roman" w:cs="Times New Roman"/>
          <w:b/>
          <w:sz w:val="24"/>
          <w:szCs w:val="24"/>
        </w:rPr>
        <w:t>Forensic psychological examinations</w:t>
      </w:r>
      <w:r>
        <w:rPr>
          <w:rFonts w:ascii="Times New Roman" w:eastAsia="Times New Roman" w:hAnsi="Times New Roman" w:cs="Times New Roman"/>
          <w:sz w:val="24"/>
          <w:szCs w:val="24"/>
        </w:rPr>
        <w:t xml:space="preserve"> are no less problematic, since victims are often met with bias and disbelief and are subjected to victim-blaming, unethical and sometimes humiliating </w:t>
      </w:r>
      <w:proofErr w:type="gramStart"/>
      <w:r>
        <w:rPr>
          <w:rFonts w:ascii="Times New Roman" w:eastAsia="Times New Roman" w:hAnsi="Times New Roman" w:cs="Times New Roman"/>
          <w:sz w:val="24"/>
          <w:szCs w:val="24"/>
        </w:rPr>
        <w:t>questions</w:t>
      </w:r>
      <w:proofErr w:type="gramEnd"/>
      <w:r>
        <w:rPr>
          <w:rFonts w:ascii="Times New Roman" w:eastAsia="Times New Roman" w:hAnsi="Times New Roman" w:cs="Times New Roman"/>
          <w:sz w:val="24"/>
          <w:szCs w:val="24"/>
        </w:rPr>
        <w:t xml:space="preserve"> and comments. Forensic psychiatric examinations implicitly assess whether the victim is prone to lying. The lack of evidence-based, gender-sensitive protocols for psychological forensic examinations puts the practice in contravention of human rights standards.</w:t>
      </w:r>
    </w:p>
    <w:p w14:paraId="23688485" w14:textId="77777777" w:rsidR="00B64DCF" w:rsidRDefault="00000000">
      <w:pPr>
        <w:numPr>
          <w:ilvl w:val="0"/>
          <w:numId w:val="3"/>
        </w:numPr>
        <w:spacing w:before="200" w:line="240" w:lineRule="auto"/>
        <w:jc w:val="both"/>
        <w:rPr>
          <w:sz w:val="24"/>
          <w:szCs w:val="24"/>
        </w:rPr>
      </w:pPr>
      <w:r>
        <w:rPr>
          <w:rFonts w:ascii="Times New Roman" w:eastAsia="Times New Roman" w:hAnsi="Times New Roman" w:cs="Times New Roman"/>
          <w:sz w:val="24"/>
          <w:szCs w:val="24"/>
        </w:rPr>
        <w:t xml:space="preserve">During the </w:t>
      </w:r>
      <w:r>
        <w:rPr>
          <w:rFonts w:ascii="Times New Roman" w:eastAsia="Times New Roman" w:hAnsi="Times New Roman" w:cs="Times New Roman"/>
          <w:b/>
          <w:sz w:val="24"/>
          <w:szCs w:val="24"/>
        </w:rPr>
        <w:t>trial</w:t>
      </w:r>
      <w:r>
        <w:rPr>
          <w:rFonts w:ascii="Times New Roman" w:eastAsia="Times New Roman" w:hAnsi="Times New Roman" w:cs="Times New Roman"/>
          <w:sz w:val="24"/>
          <w:szCs w:val="24"/>
        </w:rPr>
        <w:t xml:space="preserve">, victims are always forced to come face-to-face with the perpetrators and perpetrators themselves can pose questions directly to the victims, which causes victims to feel intimidated, </w:t>
      </w:r>
      <w:proofErr w:type="gramStart"/>
      <w:r>
        <w:rPr>
          <w:rFonts w:ascii="Times New Roman" w:eastAsia="Times New Roman" w:hAnsi="Times New Roman" w:cs="Times New Roman"/>
          <w:sz w:val="24"/>
          <w:szCs w:val="24"/>
        </w:rPr>
        <w:t>confused</w:t>
      </w:r>
      <w:proofErr w:type="gramEnd"/>
      <w:r>
        <w:rPr>
          <w:rFonts w:ascii="Times New Roman" w:eastAsia="Times New Roman" w:hAnsi="Times New Roman" w:cs="Times New Roman"/>
          <w:sz w:val="24"/>
          <w:szCs w:val="24"/>
        </w:rPr>
        <w:t xml:space="preserve"> and embarrassed. The defendant’s lawyers often express a demeaning attitude toward the victim, which judges do little to prevent. Measures for questioning victims remotely or for avoiding their secondary victimisation are not applied. There are no rules limiting the admissibility of evidence on prior sexual history, which is very often applied against the interests of the victim and rarely, if ever, has probative value in the case.</w:t>
      </w:r>
    </w:p>
    <w:p w14:paraId="7BB0A440" w14:textId="77777777" w:rsidR="00B64DCF" w:rsidRDefault="00000000">
      <w:pPr>
        <w:pStyle w:val="Heading1"/>
        <w:spacing w:before="200" w:line="240" w:lineRule="auto"/>
        <w:jc w:val="both"/>
        <w:rPr>
          <w:rFonts w:ascii="Times New Roman" w:eastAsia="Times New Roman" w:hAnsi="Times New Roman" w:cs="Times New Roman"/>
        </w:rPr>
      </w:pPr>
      <w:bookmarkStart w:id="7" w:name="_heading=h.xfaog7ywjwli" w:colFirst="0" w:colLast="0"/>
      <w:bookmarkEnd w:id="7"/>
      <w:r>
        <w:rPr>
          <w:rFonts w:ascii="Times New Roman" w:eastAsia="Times New Roman" w:hAnsi="Times New Roman" w:cs="Times New Roman"/>
        </w:rPr>
        <w:t>Sexual violence against adolescent girls</w:t>
      </w: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B64DCF" w14:paraId="01367717" w14:textId="77777777">
        <w:tc>
          <w:tcPr>
            <w:tcW w:w="9360" w:type="dxa"/>
            <w:shd w:val="clear" w:color="auto" w:fill="auto"/>
            <w:tcMar>
              <w:top w:w="100" w:type="dxa"/>
              <w:left w:w="100" w:type="dxa"/>
              <w:bottom w:w="100" w:type="dxa"/>
              <w:right w:w="100" w:type="dxa"/>
            </w:tcMar>
          </w:tcPr>
          <w:p w14:paraId="429A2575" w14:textId="77777777" w:rsidR="00B64DCF" w:rsidRDefault="00000000">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Summary of the section: </w:t>
            </w:r>
          </w:p>
          <w:p w14:paraId="2E9BDD3C" w14:textId="77777777" w:rsidR="00B64DCF" w:rsidRDefault="00B64DCF">
            <w:pPr>
              <w:widowControl w:val="0"/>
              <w:spacing w:line="240" w:lineRule="auto"/>
              <w:jc w:val="both"/>
              <w:rPr>
                <w:rFonts w:ascii="Times New Roman" w:eastAsia="Times New Roman" w:hAnsi="Times New Roman" w:cs="Times New Roman"/>
                <w:sz w:val="24"/>
                <w:szCs w:val="24"/>
              </w:rPr>
            </w:pPr>
          </w:p>
          <w:p w14:paraId="2C831792" w14:textId="75E320EF" w:rsidR="00B64DCF"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 sexual violence crimes against minors are framed in a way that fosters a very problematic assumption: that the underage person consented, </w:t>
            </w:r>
            <w:r w:rsidR="000A2D5A">
              <w:rPr>
                <w:rFonts w:ascii="Times New Roman" w:eastAsia="Times New Roman" w:hAnsi="Times New Roman" w:cs="Times New Roman"/>
                <w:sz w:val="24"/>
                <w:szCs w:val="24"/>
              </w:rPr>
              <w:t>wanted,</w:t>
            </w:r>
            <w:r>
              <w:rPr>
                <w:rFonts w:ascii="Times New Roman" w:eastAsia="Times New Roman" w:hAnsi="Times New Roman" w:cs="Times New Roman"/>
                <w:sz w:val="24"/>
                <w:szCs w:val="24"/>
              </w:rPr>
              <w:t xml:space="preserve"> or even initiated sexual intercourse. Such framing and interpretation of the law tend to shift blame onto the minor rather than the perpetrator, influencing the treatment the perpetrator might receive within the criminal justice system. </w:t>
            </w:r>
          </w:p>
          <w:p w14:paraId="3C2C0E89" w14:textId="77777777" w:rsidR="00B64DCF" w:rsidRDefault="00B64DCF">
            <w:pPr>
              <w:spacing w:line="240" w:lineRule="auto"/>
              <w:jc w:val="both"/>
              <w:rPr>
                <w:rFonts w:ascii="Times New Roman" w:eastAsia="Times New Roman" w:hAnsi="Times New Roman" w:cs="Times New Roman"/>
                <w:sz w:val="24"/>
                <w:szCs w:val="24"/>
              </w:rPr>
            </w:pPr>
          </w:p>
        </w:tc>
      </w:tr>
    </w:tbl>
    <w:p w14:paraId="21834E40" w14:textId="77777777" w:rsidR="00B64DCF" w:rsidRDefault="00B64DCF">
      <w:pPr>
        <w:rPr>
          <w:rFonts w:ascii="Times New Roman" w:eastAsia="Times New Roman" w:hAnsi="Times New Roman" w:cs="Times New Roman"/>
        </w:rPr>
      </w:pPr>
    </w:p>
    <w:p w14:paraId="455DBD20" w14:textId="77777777" w:rsidR="00B64DCF" w:rsidRDefault="00000000">
      <w:pPr>
        <w:numPr>
          <w:ilvl w:val="0"/>
          <w:numId w:val="3"/>
        </w:numPr>
        <w:spacing w:before="200" w:line="240" w:lineRule="auto"/>
        <w:jc w:val="both"/>
        <w:rPr>
          <w:sz w:val="24"/>
          <w:szCs w:val="24"/>
        </w:rPr>
      </w:pPr>
      <w:r>
        <w:rPr>
          <w:rFonts w:ascii="Times New Roman" w:eastAsia="Times New Roman" w:hAnsi="Times New Roman" w:cs="Times New Roman"/>
          <w:sz w:val="24"/>
          <w:szCs w:val="24"/>
        </w:rPr>
        <w:t xml:space="preserve">Article 141 of the Criminal Code criminalises sexual intercourse of an adult with someone under 16. Under Article 141(1), the crime of sexual intercourse with a minor is defined as “sexual intercourse, sodomy, lesbianism or other acts of a sexual nature committed with a person known to be under sixteen years of age, in the absence of signs of an offence under Articles 138 and 139 of this Code”. </w:t>
      </w:r>
    </w:p>
    <w:p w14:paraId="13338179" w14:textId="03CC1F5E" w:rsidR="00B64DCF" w:rsidRPr="000A2D5A" w:rsidRDefault="00000000" w:rsidP="000A2D5A">
      <w:pPr>
        <w:numPr>
          <w:ilvl w:val="0"/>
          <w:numId w:val="3"/>
        </w:numPr>
        <w:spacing w:before="200" w:line="240" w:lineRule="auto"/>
        <w:jc w:val="both"/>
        <w:rPr>
          <w:sz w:val="24"/>
          <w:szCs w:val="24"/>
        </w:rPr>
      </w:pPr>
      <w:r>
        <w:rPr>
          <w:rFonts w:ascii="Times New Roman" w:eastAsia="Times New Roman" w:hAnsi="Times New Roman" w:cs="Times New Roman"/>
          <w:sz w:val="24"/>
          <w:szCs w:val="24"/>
          <w:u w:val="single"/>
        </w:rPr>
        <w:t>Even though the word “consent” is not mentioned in the article, it is presumed that the minor perceives the act as consensual</w:t>
      </w:r>
      <w:r>
        <w:rPr>
          <w:rFonts w:ascii="Times New Roman" w:eastAsia="Times New Roman" w:hAnsi="Times New Roman" w:cs="Times New Roman"/>
          <w:sz w:val="24"/>
          <w:szCs w:val="24"/>
        </w:rPr>
        <w:t xml:space="preserve">, even if the minor wanted or initiated sexual intercourse, despite being legally incapable of consent. This problematic assumption can affect the way the perpetrator might be treated by the criminal justice system, which can put the blame on the minor instead of the perpetrator. Additionally, a perpetrator can be prosecuted only if he knew or ought to have known that the victim was a person under 16 years of age. In practice, this opens the door to impunity for perpetrators to claim that they did not know the age of the victim, as well as giving leverage to law enforcement to close such cases.  </w:t>
      </w:r>
    </w:p>
    <w:p w14:paraId="39FAB1FC" w14:textId="77777777" w:rsidR="00B64DCF" w:rsidRDefault="00000000">
      <w:pPr>
        <w:spacing w:before="200" w:line="240" w:lineRule="auto"/>
        <w:jc w:val="both"/>
        <w:rPr>
          <w:rFonts w:ascii="Times New Roman" w:eastAsia="Times New Roman" w:hAnsi="Times New Roman" w:cs="Times New Roman"/>
          <w:b/>
          <w:sz w:val="40"/>
          <w:szCs w:val="40"/>
        </w:rPr>
      </w:pPr>
      <w:r>
        <w:rPr>
          <w:rFonts w:ascii="Times New Roman" w:eastAsia="Times New Roman" w:hAnsi="Times New Roman" w:cs="Times New Roman"/>
          <w:b/>
          <w:sz w:val="40"/>
          <w:szCs w:val="40"/>
        </w:rPr>
        <w:lastRenderedPageBreak/>
        <w:t>Child and forced marriages</w:t>
      </w:r>
    </w:p>
    <w:p w14:paraId="618ADEC5" w14:textId="77777777" w:rsidR="00B64DCF" w:rsidRDefault="00B64DCF">
      <w:pPr>
        <w:spacing w:before="200" w:line="240" w:lineRule="auto"/>
        <w:jc w:val="both"/>
        <w:rPr>
          <w:rFonts w:ascii="Times New Roman" w:eastAsia="Times New Roman" w:hAnsi="Times New Roman" w:cs="Times New Roman"/>
          <w:sz w:val="24"/>
          <w:szCs w:val="24"/>
        </w:rPr>
      </w:pPr>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B64DCF" w14:paraId="1965981C" w14:textId="77777777">
        <w:tc>
          <w:tcPr>
            <w:tcW w:w="9360" w:type="dxa"/>
            <w:shd w:val="clear" w:color="auto" w:fill="auto"/>
            <w:tcMar>
              <w:top w:w="100" w:type="dxa"/>
              <w:left w:w="100" w:type="dxa"/>
              <w:bottom w:w="100" w:type="dxa"/>
              <w:right w:w="100" w:type="dxa"/>
            </w:tcMar>
          </w:tcPr>
          <w:p w14:paraId="27911DAF" w14:textId="77777777" w:rsidR="00B64DCF" w:rsidRDefault="00000000">
            <w:pPr>
              <w:widowControl w:val="0"/>
              <w:spacing w:before="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Child and forced marriages remain widespread in Tajikistan, with 14.30% of girls aged 15–19 experiencing early marriages, as reported by the World Economic Forum. Despite a 2011 law raising the legal age to 18, Tajik courts approved 2,500 underage marriages in 2020. Parents use both illegal and legal means, like falsifying birth certificates, to enable early marriages. Article 13 of the Family Code allows courts to lower the age of marriage by one year in exceptional cases, but local experts highlight a lack of gender-sensitive approaches in court decisions, neglecting the rights of those involved, especially girls. Early marriage increases the risk of violence, disrupts education, and traps girls in abusive relationships due to economic dependence and social stigma.</w:t>
            </w:r>
          </w:p>
          <w:p w14:paraId="052C8E8E" w14:textId="77777777" w:rsidR="00B64DCF" w:rsidRDefault="00B64DC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r>
    </w:tbl>
    <w:p w14:paraId="69891853" w14:textId="77777777" w:rsidR="00B64DCF" w:rsidRDefault="00B64DCF">
      <w:pPr>
        <w:spacing w:before="200" w:line="240" w:lineRule="auto"/>
        <w:jc w:val="both"/>
        <w:rPr>
          <w:rFonts w:ascii="Times New Roman" w:eastAsia="Times New Roman" w:hAnsi="Times New Roman" w:cs="Times New Roman"/>
          <w:sz w:val="24"/>
          <w:szCs w:val="24"/>
        </w:rPr>
      </w:pPr>
    </w:p>
    <w:p w14:paraId="4B772429" w14:textId="77777777" w:rsidR="00B64DCF" w:rsidRDefault="00000000">
      <w:pPr>
        <w:numPr>
          <w:ilvl w:val="0"/>
          <w:numId w:val="3"/>
        </w:numPr>
        <w:spacing w:before="200" w:line="240" w:lineRule="auto"/>
        <w:jc w:val="both"/>
        <w:rPr>
          <w:sz w:val="24"/>
          <w:szCs w:val="24"/>
        </w:rPr>
      </w:pPr>
      <w:r>
        <w:rPr>
          <w:rFonts w:ascii="Times New Roman" w:eastAsia="Times New Roman" w:hAnsi="Times New Roman" w:cs="Times New Roman"/>
          <w:sz w:val="24"/>
          <w:szCs w:val="24"/>
          <w:u w:val="single"/>
        </w:rPr>
        <w:t>Harmful practices, such as child and forced marriages, remain a serious problem in Tajikistan</w:t>
      </w:r>
      <w:r>
        <w:rPr>
          <w:rFonts w:ascii="Times New Roman" w:eastAsia="Times New Roman" w:hAnsi="Times New Roman" w:cs="Times New Roman"/>
          <w:sz w:val="24"/>
          <w:szCs w:val="24"/>
        </w:rPr>
        <w:t>. According to the World Economic Forum’s Global Gender Gap Report 2023, the percentage of early marriage (percentage of girls aged 15–19 years who are or have ever been married, divorced, widowed or in an informal union) is 14.30 %.</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The UNICEF Global Database 2021 indicated that the percentage of women aged 20 to 24 years who were first married or in union before age 18 stood at 8.7%.</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In 2020, Tajik courts authorised the marriage of 2,500 underage girls.</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A law passed in 2011 raised the legal age of marriage from 17 to 18. According to local experts, parents wanting to marry off their daughters early lower the apparent age of their daughters in two ways: illegally and legally. To enable an illegal marriage, parents inflate the age of their daughters and apply to the civil registry office to obtain a false birth certificate. Civil registry officers do not always have an opportunity to check the validity of the medical certificate of birth, which would demonstrate the girl’s true age. </w:t>
      </w:r>
    </w:p>
    <w:p w14:paraId="34B303F9" w14:textId="77777777" w:rsidR="00B64DCF" w:rsidRDefault="00000000">
      <w:pPr>
        <w:numPr>
          <w:ilvl w:val="0"/>
          <w:numId w:val="3"/>
        </w:numPr>
        <w:spacing w:before="200" w:line="240" w:lineRule="auto"/>
        <w:jc w:val="both"/>
        <w:rPr>
          <w:sz w:val="24"/>
          <w:szCs w:val="24"/>
        </w:rPr>
      </w:pPr>
      <w:r>
        <w:rPr>
          <w:rFonts w:ascii="Times New Roman" w:eastAsia="Times New Roman" w:hAnsi="Times New Roman" w:cs="Times New Roman"/>
          <w:sz w:val="24"/>
          <w:szCs w:val="24"/>
        </w:rPr>
        <w:t xml:space="preserve">With respect to the “legal” ways of authorizing child marriage - to obtain a valid marriage under Article 13 of the Family Code, in exceptional cases, at the request of the persons wishing to marry, the court has the right to lower the age of marriage by no more than one year, </w:t>
      </w:r>
      <w:proofErr w:type="gramStart"/>
      <w:r>
        <w:rPr>
          <w:rFonts w:ascii="Times New Roman" w:eastAsia="Times New Roman" w:hAnsi="Times New Roman" w:cs="Times New Roman"/>
          <w:sz w:val="24"/>
          <w:szCs w:val="24"/>
        </w:rPr>
        <w:t>i.e.</w:t>
      </w:r>
      <w:proofErr w:type="gramEnd"/>
      <w:r>
        <w:rPr>
          <w:rFonts w:ascii="Times New Roman" w:eastAsia="Times New Roman" w:hAnsi="Times New Roman" w:cs="Times New Roman"/>
          <w:sz w:val="24"/>
          <w:szCs w:val="24"/>
        </w:rPr>
        <w:t xml:space="preserve"> 17. However, according to local experts, the analysis of courts’ decisions allowing registration of early marriages has shown that the courts in their activities do not apply a gender-sensitive approach, as they do not </w:t>
      </w:r>
      <w:proofErr w:type="gramStart"/>
      <w:r>
        <w:rPr>
          <w:rFonts w:ascii="Times New Roman" w:eastAsia="Times New Roman" w:hAnsi="Times New Roman" w:cs="Times New Roman"/>
          <w:sz w:val="24"/>
          <w:szCs w:val="24"/>
        </w:rPr>
        <w:t>take into account</w:t>
      </w:r>
      <w:proofErr w:type="gramEnd"/>
      <w:r>
        <w:rPr>
          <w:rFonts w:ascii="Times New Roman" w:eastAsia="Times New Roman" w:hAnsi="Times New Roman" w:cs="Times New Roman"/>
          <w:sz w:val="24"/>
          <w:szCs w:val="24"/>
        </w:rPr>
        <w:t xml:space="preserve"> the rights and best interests of those getting married, especially girls, namely the voluntariness of the marriage union, the interests of the child and independent decision-making, etc.</w:t>
      </w:r>
    </w:p>
    <w:p w14:paraId="52AC4172" w14:textId="77777777" w:rsidR="00B64DCF" w:rsidRDefault="00000000">
      <w:pPr>
        <w:numPr>
          <w:ilvl w:val="0"/>
          <w:numId w:val="3"/>
        </w:numPr>
        <w:spacing w:before="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Girls who </w:t>
      </w:r>
      <w:proofErr w:type="gramStart"/>
      <w:r>
        <w:rPr>
          <w:rFonts w:ascii="Times New Roman" w:eastAsia="Times New Roman" w:hAnsi="Times New Roman" w:cs="Times New Roman"/>
          <w:sz w:val="24"/>
          <w:szCs w:val="24"/>
        </w:rPr>
        <w:t>enter into</w:t>
      </w:r>
      <w:proofErr w:type="gramEnd"/>
      <w:r>
        <w:rPr>
          <w:rFonts w:ascii="Times New Roman" w:eastAsia="Times New Roman" w:hAnsi="Times New Roman" w:cs="Times New Roman"/>
          <w:sz w:val="24"/>
          <w:szCs w:val="24"/>
        </w:rPr>
        <w:t xml:space="preserve"> marriage at an early age are at greater risk of domestic violence, including sexual violence, and abuse. As a result of being married at an early age, their education is very often disrupted either because they are not permitted to return to school/ university, or because of early pregnancy. Therefore, they are less likely to be able to escape poverty and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stay in abusive relationships because of economic dependence, in addition to social stigma. </w:t>
      </w:r>
    </w:p>
    <w:p w14:paraId="35579206" w14:textId="77777777" w:rsidR="00B64DCF" w:rsidRDefault="00000000">
      <w:pPr>
        <w:pStyle w:val="Heading1"/>
        <w:spacing w:before="200" w:line="240" w:lineRule="auto"/>
        <w:jc w:val="both"/>
        <w:rPr>
          <w:rFonts w:ascii="Times New Roman" w:eastAsia="Times New Roman" w:hAnsi="Times New Roman" w:cs="Times New Roman"/>
        </w:rPr>
      </w:pPr>
      <w:bookmarkStart w:id="8" w:name="_heading=h.cnzvh4hn0jbi" w:colFirst="0" w:colLast="0"/>
      <w:bookmarkEnd w:id="8"/>
      <w:r>
        <w:rPr>
          <w:rFonts w:ascii="Times New Roman" w:eastAsia="Times New Roman" w:hAnsi="Times New Roman" w:cs="Times New Roman"/>
        </w:rPr>
        <w:t>Intersecting forms of discrimination against vulnerable women victims of sexual violence</w:t>
      </w:r>
    </w:p>
    <w:p w14:paraId="7B89C153" w14:textId="77777777" w:rsidR="00B64DCF" w:rsidRDefault="00B64DCF">
      <w:pPr>
        <w:rPr>
          <w:rFonts w:ascii="Times New Roman" w:eastAsia="Times New Roman" w:hAnsi="Times New Roman" w:cs="Times New Roman"/>
        </w:rPr>
      </w:pPr>
    </w:p>
    <w:tbl>
      <w:tblPr>
        <w:tblStyle w:val="a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B64DCF" w14:paraId="02E85CA2" w14:textId="77777777">
        <w:tc>
          <w:tcPr>
            <w:tcW w:w="9360" w:type="dxa"/>
            <w:shd w:val="clear" w:color="auto" w:fill="auto"/>
            <w:tcMar>
              <w:top w:w="100" w:type="dxa"/>
              <w:left w:w="100" w:type="dxa"/>
              <w:bottom w:w="100" w:type="dxa"/>
              <w:right w:w="100" w:type="dxa"/>
            </w:tcMar>
          </w:tcPr>
          <w:p w14:paraId="6ECA827D" w14:textId="77777777" w:rsidR="00B64DCF"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Summary of the section: </w:t>
            </w:r>
          </w:p>
          <w:p w14:paraId="69FCE0A1" w14:textId="77777777" w:rsidR="00B64DCF" w:rsidRDefault="00B64DCF">
            <w:pPr>
              <w:spacing w:line="240" w:lineRule="auto"/>
              <w:jc w:val="both"/>
              <w:rPr>
                <w:rFonts w:ascii="Times New Roman" w:eastAsia="Times New Roman" w:hAnsi="Times New Roman" w:cs="Times New Roman"/>
                <w:sz w:val="24"/>
                <w:szCs w:val="24"/>
              </w:rPr>
            </w:pPr>
          </w:p>
          <w:p w14:paraId="25427DFF" w14:textId="77777777" w:rsidR="00B64DCF"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Women from vulnerable and marginalised groups experience intersecting forms of discrimination and serious barriers in accessing justice for sexual violence. Women and girls with disabilities, particularly those with psycho-social needs, face significant barriers in accessing justice for various forms of violence, including sexual violence. Challenges include insufficient means to report violence, the absence of tailored guidelines for interviewing victims, and the automatic exclusion of the statement of the victim who has a disability based on a medical examination rather than the case’s merit. The criminalization of knowingly putting another person at risk of contracting HIV further hinders the rights of women with HIV, as they are at risk of prosecution, which allows aggressors of sexual violence to go unpunished. </w:t>
            </w:r>
          </w:p>
        </w:tc>
      </w:tr>
    </w:tbl>
    <w:p w14:paraId="273660C9" w14:textId="48DC0C40" w:rsidR="00B64DCF" w:rsidRDefault="00000000">
      <w:pPr>
        <w:numPr>
          <w:ilvl w:val="0"/>
          <w:numId w:val="3"/>
        </w:numPr>
        <w:spacing w:before="200" w:line="240" w:lineRule="auto"/>
        <w:jc w:val="both"/>
        <w:rPr>
          <w:sz w:val="24"/>
          <w:szCs w:val="24"/>
        </w:rPr>
      </w:pPr>
      <w:r>
        <w:rPr>
          <w:rFonts w:ascii="Times New Roman" w:eastAsia="Times New Roman" w:hAnsi="Times New Roman" w:cs="Times New Roman"/>
          <w:sz w:val="24"/>
          <w:szCs w:val="24"/>
        </w:rPr>
        <w:t xml:space="preserve">Women and girls with disabilities, particularly those with psycho-social needs, face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barriers in accessing justice for different forms of violence, including sexual violence. The barriers include the lack of sufficient means (including technical) to report violence to the authorities; absence of guidelines on interviewing victims, particularly of vulnerable groups, for sexual violence, which should be tailored to their specific situation; lack of knowledge of law enforcement on how to obtain witness statements from women with disabilities (particularly from women with psycho-social needs); the practice of automatically excluding evidence of a person with mental disability based on medical expert examination of the person rather than the evidence itself; and the intersection of disability and gender-related prejudices throughout the process (for example, discriminatory perceptions that women with disabilities are prone to lying), all perpetuate the culture of impunity for perpetrators. </w:t>
      </w:r>
    </w:p>
    <w:p w14:paraId="6C2BBFC2" w14:textId="77777777" w:rsidR="00B64DCF" w:rsidRDefault="00000000">
      <w:pPr>
        <w:numPr>
          <w:ilvl w:val="0"/>
          <w:numId w:val="3"/>
        </w:numPr>
        <w:spacing w:before="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Criminalisation of “knowingly putting another person at risk of contracting HIV” under Article 125 of the Criminal Code limits the right of women with HIV to seek protection from law enforcement agencies when they are subjected to violence by an intimate partner, as they fear prosecution. In practice, when a woman with HIV, is subjected to long-term violence by an HIV-negative sexual partner who knows about her diagnosis and agreed to build a relationship with her attempts to seek help, such partner may blackmail her over her HIV status, threatening to file a complaint against her for knowingly putting him at risk of HIV, and threatens to disclose her status to neighbours. Such legal regulation allows the aggressor’s actions to go unpunished.</w:t>
      </w:r>
    </w:p>
    <w:p w14:paraId="656863EB" w14:textId="63EC850B" w:rsidR="00B64DCF" w:rsidRDefault="00000000">
      <w:pPr>
        <w:numPr>
          <w:ilvl w:val="0"/>
          <w:numId w:val="3"/>
        </w:numPr>
        <w:spacing w:before="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As highlighted by the “Tajikistan Network of Women Living with HIV”, “Article 125 envisages punishment not only for intentional transmission of HIV but also for causing the risk of contracting HIV. Thus, practically any person living with HIV who was involved in any sexual contact can be prosecuted and held criminally responsible. Hence, people living with HIV are denied their right to sexual health, as part of their rights to physical and mental </w:t>
      </w:r>
      <w:r w:rsidR="000A2D5A">
        <w:rPr>
          <w:rFonts w:ascii="Times New Roman" w:eastAsia="Times New Roman" w:hAnsi="Times New Roman" w:cs="Times New Roman"/>
          <w:sz w:val="24"/>
          <w:szCs w:val="24"/>
        </w:rPr>
        <w:t>health and</w:t>
      </w:r>
      <w:r>
        <w:rPr>
          <w:rFonts w:ascii="Times New Roman" w:eastAsia="Times New Roman" w:hAnsi="Times New Roman" w:cs="Times New Roman"/>
          <w:sz w:val="24"/>
          <w:szCs w:val="24"/>
        </w:rPr>
        <w:t xml:space="preserve"> denied protection from sexual violence. Along with that, the issue of informed consent of the other partner is also not taken into consideration. Also, the legislation does not consider the use of condoms as a means of safety during sexual contact, the undetectable viral load in which HIV is not transmitted according to the latest scientific research, or the possible window gap when the person does not know if he/she is HIV infected or not. The legislation does not define the ways of HIV transmission”.</w:t>
      </w:r>
      <w:r>
        <w:rPr>
          <w:rFonts w:ascii="Times New Roman" w:eastAsia="Times New Roman" w:hAnsi="Times New Roman" w:cs="Times New Roman"/>
          <w:sz w:val="24"/>
          <w:szCs w:val="24"/>
          <w:vertAlign w:val="superscript"/>
        </w:rPr>
        <w:footnoteReference w:id="27"/>
      </w:r>
    </w:p>
    <w:p w14:paraId="70CE24AE" w14:textId="77777777" w:rsidR="00B64DCF" w:rsidRDefault="00B64DCF">
      <w:pPr>
        <w:spacing w:before="200" w:line="240" w:lineRule="auto"/>
        <w:ind w:left="720"/>
        <w:jc w:val="both"/>
        <w:rPr>
          <w:rFonts w:ascii="Times New Roman" w:eastAsia="Times New Roman" w:hAnsi="Times New Roman" w:cs="Times New Roman"/>
          <w:sz w:val="24"/>
          <w:szCs w:val="24"/>
        </w:rPr>
      </w:pPr>
    </w:p>
    <w:p w14:paraId="2F622026" w14:textId="77777777" w:rsidR="00B64DCF" w:rsidRDefault="00000000">
      <w:pPr>
        <w:pStyle w:val="Heading1"/>
        <w:rPr>
          <w:rFonts w:ascii="Times New Roman" w:eastAsia="Times New Roman" w:hAnsi="Times New Roman" w:cs="Times New Roman"/>
        </w:rPr>
      </w:pPr>
      <w:bookmarkStart w:id="9" w:name="_heading=h.mkcqd58bc1t1" w:colFirst="0" w:colLast="0"/>
      <w:bookmarkEnd w:id="9"/>
      <w:r>
        <w:rPr>
          <w:rFonts w:ascii="Times New Roman" w:eastAsia="Times New Roman" w:hAnsi="Times New Roman" w:cs="Times New Roman"/>
        </w:rPr>
        <w:t xml:space="preserve">Lack of support services </w:t>
      </w:r>
    </w:p>
    <w:p w14:paraId="62780BDF" w14:textId="77777777" w:rsidR="00B64DCF" w:rsidRDefault="00000000">
      <w:pPr>
        <w:numPr>
          <w:ilvl w:val="0"/>
          <w:numId w:val="3"/>
        </w:numPr>
        <w:spacing w:before="200" w:line="240" w:lineRule="auto"/>
        <w:jc w:val="both"/>
        <w:rPr>
          <w:sz w:val="26"/>
          <w:szCs w:val="26"/>
        </w:rPr>
      </w:pPr>
      <w:r>
        <w:rPr>
          <w:rFonts w:ascii="Times New Roman" w:eastAsia="Times New Roman" w:hAnsi="Times New Roman" w:cs="Times New Roman"/>
          <w:sz w:val="24"/>
          <w:szCs w:val="24"/>
        </w:rPr>
        <w:t xml:space="preserve">There is a serious lack of victim support services and protection, including 24/7 hotlines, free legal aid, adequate shelters, medical treatment, psychosocial </w:t>
      </w:r>
      <w:proofErr w:type="gramStart"/>
      <w:r>
        <w:rPr>
          <w:rFonts w:ascii="Times New Roman" w:eastAsia="Times New Roman" w:hAnsi="Times New Roman" w:cs="Times New Roman"/>
          <w:sz w:val="24"/>
          <w:szCs w:val="24"/>
        </w:rPr>
        <w:t>counselling</w:t>
      </w:r>
      <w:proofErr w:type="gramEnd"/>
      <w:r>
        <w:rPr>
          <w:rFonts w:ascii="Times New Roman" w:eastAsia="Times New Roman" w:hAnsi="Times New Roman" w:cs="Times New Roman"/>
          <w:sz w:val="24"/>
          <w:szCs w:val="24"/>
        </w:rPr>
        <w:t xml:space="preserve"> and economic support across Tajikistan. The funds allocated by the State to support rehabilitation and adaptation centres for victims of violence are insufficient.</w:t>
      </w:r>
    </w:p>
    <w:p w14:paraId="326C6173" w14:textId="77777777" w:rsidR="00B64DCF" w:rsidRDefault="00B64DCF">
      <w:pPr>
        <w:rPr>
          <w:rFonts w:ascii="Times New Roman" w:eastAsia="Times New Roman" w:hAnsi="Times New Roman" w:cs="Times New Roman"/>
        </w:rPr>
      </w:pPr>
    </w:p>
    <w:p w14:paraId="02E340CA" w14:textId="77777777" w:rsidR="00B64DCF" w:rsidRDefault="00000000">
      <w:pPr>
        <w:pStyle w:val="Heading1"/>
        <w:spacing w:before="200" w:line="240" w:lineRule="auto"/>
        <w:rPr>
          <w:rFonts w:ascii="Times New Roman" w:eastAsia="Times New Roman" w:hAnsi="Times New Roman" w:cs="Times New Roman"/>
        </w:rPr>
      </w:pPr>
      <w:bookmarkStart w:id="10" w:name="_heading=h.ykweivf6emlt" w:colFirst="0" w:colLast="0"/>
      <w:bookmarkEnd w:id="10"/>
      <w:r>
        <w:rPr>
          <w:rFonts w:ascii="Times New Roman" w:eastAsia="Times New Roman" w:hAnsi="Times New Roman" w:cs="Times New Roman"/>
        </w:rPr>
        <w:t>Recommendations</w:t>
      </w:r>
    </w:p>
    <w:p w14:paraId="633927D9" w14:textId="77777777" w:rsidR="00B64DCF" w:rsidRDefault="00000000">
      <w:pPr>
        <w:spacing w:before="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We respectfully urge the Committee to recommend the Government of Tajikistan to:</w:t>
      </w:r>
    </w:p>
    <w:p w14:paraId="22BA9EF5" w14:textId="77777777" w:rsidR="00B64DCF" w:rsidRDefault="00B64DCF">
      <w:pPr>
        <w:spacing w:before="200" w:line="240" w:lineRule="auto"/>
        <w:rPr>
          <w:rFonts w:ascii="Times New Roman" w:eastAsia="Times New Roman" w:hAnsi="Times New Roman" w:cs="Times New Roman"/>
          <w:b/>
          <w:sz w:val="24"/>
          <w:szCs w:val="24"/>
        </w:rPr>
      </w:pPr>
    </w:p>
    <w:tbl>
      <w:tblPr>
        <w:tblStyle w:val="a5"/>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B64DCF" w14:paraId="689DE3E4" w14:textId="77777777">
        <w:tc>
          <w:tcPr>
            <w:tcW w:w="9360" w:type="dxa"/>
            <w:shd w:val="clear" w:color="auto" w:fill="auto"/>
            <w:tcMar>
              <w:top w:w="100" w:type="dxa"/>
              <w:left w:w="100" w:type="dxa"/>
              <w:bottom w:w="100" w:type="dxa"/>
              <w:right w:w="100" w:type="dxa"/>
            </w:tcMar>
          </w:tcPr>
          <w:p w14:paraId="6C70CF6E" w14:textId="77777777" w:rsidR="00B64DCF"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Key recommendations:</w:t>
            </w:r>
          </w:p>
          <w:p w14:paraId="3ED2922B" w14:textId="77777777" w:rsidR="00B64DCF" w:rsidRDefault="00B64DCF">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p w14:paraId="2F3E41FB" w14:textId="77777777" w:rsidR="00B64DCF" w:rsidRDefault="00000000">
            <w:pPr>
              <w:widowControl w:val="0"/>
              <w:numPr>
                <w:ilvl w:val="0"/>
                <w:numId w:val="2"/>
              </w:numPr>
              <w:spacing w:before="200"/>
              <w:jc w:val="both"/>
            </w:pPr>
            <w:r>
              <w:rPr>
                <w:rFonts w:ascii="Times New Roman" w:eastAsia="Times New Roman" w:hAnsi="Times New Roman" w:cs="Times New Roman"/>
                <w:sz w:val="24"/>
                <w:szCs w:val="24"/>
              </w:rPr>
              <w:t>Align the definition of rape with international human rights standards, incorporating a consent-based approach in line with the Committee.</w:t>
            </w:r>
          </w:p>
          <w:p w14:paraId="0276032B" w14:textId="67EAC87A" w:rsidR="00B64DCF" w:rsidRDefault="00000000">
            <w:pPr>
              <w:widowControl w:val="0"/>
              <w:numPr>
                <w:ilvl w:val="0"/>
                <w:numId w:val="2"/>
              </w:numPr>
              <w:jc w:val="both"/>
            </w:pPr>
            <w:r>
              <w:rPr>
                <w:rFonts w:ascii="Times New Roman" w:eastAsia="Times New Roman" w:hAnsi="Times New Roman" w:cs="Times New Roman"/>
                <w:sz w:val="24"/>
                <w:szCs w:val="24"/>
              </w:rPr>
              <w:t>Ensure victim-</w:t>
            </w:r>
            <w:r w:rsidR="000A2D5A">
              <w:rPr>
                <w:rFonts w:ascii="Times New Roman" w:eastAsia="Times New Roman" w:hAnsi="Times New Roman" w:cs="Times New Roman"/>
                <w:sz w:val="24"/>
                <w:szCs w:val="24"/>
              </w:rPr>
              <w:t>centred</w:t>
            </w:r>
            <w:r>
              <w:rPr>
                <w:rFonts w:ascii="Times New Roman" w:eastAsia="Times New Roman" w:hAnsi="Times New Roman" w:cs="Times New Roman"/>
                <w:sz w:val="24"/>
                <w:szCs w:val="24"/>
              </w:rPr>
              <w:t xml:space="preserve"> procedures for sexual violence and eliminate burdensome evidentiary standards, while putting in place appropriate manuals and guidelines for the investigation, prosecution, and adjudication of sexual violence. Ensure law enforcement and judiciary receive relevant training.</w:t>
            </w:r>
          </w:p>
          <w:p w14:paraId="046438F4" w14:textId="77777777" w:rsidR="00B64DCF" w:rsidRDefault="00000000">
            <w:pPr>
              <w:widowControl w:val="0"/>
              <w:numPr>
                <w:ilvl w:val="0"/>
                <w:numId w:val="2"/>
              </w:numPr>
              <w:jc w:val="both"/>
            </w:pPr>
            <w:r>
              <w:rPr>
                <w:rFonts w:ascii="Times New Roman" w:eastAsia="Times New Roman" w:hAnsi="Times New Roman" w:cs="Times New Roman"/>
                <w:sz w:val="24"/>
                <w:szCs w:val="24"/>
              </w:rPr>
              <w:t xml:space="preserve">Ensure justice for sexual violence victims from vulnerable and marginalised communities, by providing reasonable accommodations, including procedural adjustments, for women with disabilities. Eliminate legal barriers to justice for women </w:t>
            </w:r>
            <w:r>
              <w:rPr>
                <w:rFonts w:ascii="Times New Roman" w:eastAsia="Times New Roman" w:hAnsi="Times New Roman" w:cs="Times New Roman"/>
                <w:sz w:val="24"/>
                <w:szCs w:val="24"/>
              </w:rPr>
              <w:lastRenderedPageBreak/>
              <w:t>with HIV.</w:t>
            </w:r>
          </w:p>
          <w:p w14:paraId="13E9A231" w14:textId="77777777" w:rsidR="00B64DCF" w:rsidRDefault="00000000">
            <w:pPr>
              <w:widowControl w:val="0"/>
              <w:numPr>
                <w:ilvl w:val="0"/>
                <w:numId w:val="2"/>
              </w:numPr>
              <w:jc w:val="both"/>
            </w:pPr>
            <w:r>
              <w:rPr>
                <w:rFonts w:ascii="Times New Roman" w:eastAsia="Times New Roman" w:hAnsi="Times New Roman" w:cs="Times New Roman"/>
                <w:sz w:val="24"/>
                <w:szCs w:val="24"/>
              </w:rPr>
              <w:t>Establish a uniform age of marriage at 18 with no exceptions, and implement a comprehensive, multi-sectoral approach to prevent and address child marriage.</w:t>
            </w:r>
          </w:p>
          <w:p w14:paraId="04FFE918" w14:textId="77777777" w:rsidR="00B64DCF" w:rsidRDefault="00B64DCF">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r>
    </w:tbl>
    <w:p w14:paraId="0C3CA3CB" w14:textId="77777777" w:rsidR="00B64DCF" w:rsidRDefault="00B64DCF">
      <w:pPr>
        <w:spacing w:before="200" w:line="240" w:lineRule="auto"/>
        <w:rPr>
          <w:rFonts w:ascii="Times New Roman" w:eastAsia="Times New Roman" w:hAnsi="Times New Roman" w:cs="Times New Roman"/>
          <w:b/>
          <w:sz w:val="24"/>
          <w:szCs w:val="24"/>
        </w:rPr>
      </w:pPr>
    </w:p>
    <w:p w14:paraId="0D646B94" w14:textId="77777777" w:rsidR="00B64DCF" w:rsidRDefault="00000000">
      <w:pPr>
        <w:spacing w:before="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Detailed recommendations on addressing sexual violence:</w:t>
      </w:r>
    </w:p>
    <w:p w14:paraId="607FD585" w14:textId="77777777" w:rsidR="00B64DCF" w:rsidRDefault="00B64DCF">
      <w:pPr>
        <w:spacing w:before="200" w:line="240" w:lineRule="auto"/>
        <w:rPr>
          <w:rFonts w:ascii="Times New Roman" w:eastAsia="Times New Roman" w:hAnsi="Times New Roman" w:cs="Times New Roman"/>
          <w:b/>
          <w:sz w:val="24"/>
          <w:szCs w:val="24"/>
        </w:rPr>
      </w:pPr>
    </w:p>
    <w:p w14:paraId="232F3778" w14:textId="77777777" w:rsidR="00B64DCF" w:rsidRDefault="00000000">
      <w:pPr>
        <w:numPr>
          <w:ilvl w:val="0"/>
          <w:numId w:val="1"/>
        </w:numPr>
        <w:spacing w:before="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Substantive law</w:t>
      </w:r>
    </w:p>
    <w:p w14:paraId="656FBC80" w14:textId="77777777" w:rsidR="00B64DCF" w:rsidRDefault="00B64DCF">
      <w:pPr>
        <w:spacing w:before="200" w:line="240" w:lineRule="auto"/>
        <w:ind w:left="1440"/>
        <w:jc w:val="both"/>
        <w:rPr>
          <w:rFonts w:ascii="Times New Roman" w:eastAsia="Times New Roman" w:hAnsi="Times New Roman" w:cs="Times New Roman"/>
          <w:sz w:val="24"/>
          <w:szCs w:val="24"/>
        </w:rPr>
      </w:pPr>
    </w:p>
    <w:p w14:paraId="0A9F6666" w14:textId="77777777" w:rsidR="00B64DCF" w:rsidRDefault="00000000">
      <w:pPr>
        <w:numPr>
          <w:ilvl w:val="1"/>
          <w:numId w:val="1"/>
        </w:numPr>
        <w:spacing w:before="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Introduce a consent-based definition of rape in accordance with international human rights standards, including the ones developed by the CEDAW Committee. </w:t>
      </w:r>
    </w:p>
    <w:p w14:paraId="2028201D" w14:textId="39DF9B6E" w:rsidR="00B64DCF" w:rsidRDefault="00000000">
      <w:pPr>
        <w:numPr>
          <w:ilvl w:val="1"/>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Explicitly criminalise marital and intimate partner rape and other acts of sexual violence and include such acts as aggravating factors. Identify, </w:t>
      </w:r>
      <w:r w:rsidR="000A2D5A">
        <w:rPr>
          <w:rFonts w:ascii="Times New Roman" w:eastAsia="Times New Roman" w:hAnsi="Times New Roman" w:cs="Times New Roman"/>
          <w:sz w:val="24"/>
          <w:szCs w:val="24"/>
        </w:rPr>
        <w:t>prosecute,</w:t>
      </w:r>
      <w:r>
        <w:rPr>
          <w:rFonts w:ascii="Times New Roman" w:eastAsia="Times New Roman" w:hAnsi="Times New Roman" w:cs="Times New Roman"/>
          <w:sz w:val="24"/>
          <w:szCs w:val="24"/>
        </w:rPr>
        <w:t xml:space="preserve"> and adequately punish all such cases.  </w:t>
      </w:r>
    </w:p>
    <w:p w14:paraId="3E64AFD5" w14:textId="7C1A8B00" w:rsidR="00B64DCF" w:rsidRDefault="00000000">
      <w:pPr>
        <w:numPr>
          <w:ilvl w:val="1"/>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Remove Article 125 “Infecting with the Human Immunodeficiency Virus” from the Criminal Code of the Republic of Tajikistan. Prosecuting women for not disclosing their HIV status or for transmitting HIV without evidence of intentional harm is excessive. Instead, include intentional HIV infection in the general norms that cover actions causing harm to one’s </w:t>
      </w:r>
      <w:r w:rsidR="000A2D5A">
        <w:rPr>
          <w:rFonts w:ascii="Times New Roman" w:eastAsia="Times New Roman" w:hAnsi="Times New Roman" w:cs="Times New Roman"/>
          <w:sz w:val="24"/>
          <w:szCs w:val="24"/>
        </w:rPr>
        <w:t>health.</w:t>
      </w:r>
    </w:p>
    <w:p w14:paraId="37BA5A2B" w14:textId="77777777" w:rsidR="00B64DCF" w:rsidRDefault="00B64DCF">
      <w:pPr>
        <w:spacing w:before="200" w:line="240" w:lineRule="auto"/>
        <w:ind w:left="1440"/>
        <w:jc w:val="both"/>
        <w:rPr>
          <w:rFonts w:ascii="Times New Roman" w:eastAsia="Times New Roman" w:hAnsi="Times New Roman" w:cs="Times New Roman"/>
          <w:sz w:val="24"/>
          <w:szCs w:val="24"/>
          <w:shd w:val="clear" w:color="auto" w:fill="FFF2CC"/>
        </w:rPr>
      </w:pPr>
    </w:p>
    <w:p w14:paraId="0321EAA8" w14:textId="77777777" w:rsidR="00B64DCF" w:rsidRDefault="00000000">
      <w:pPr>
        <w:numPr>
          <w:ilvl w:val="0"/>
          <w:numId w:val="1"/>
        </w:numPr>
        <w:spacing w:before="24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Practice and procedural changes</w:t>
      </w:r>
    </w:p>
    <w:p w14:paraId="4733EA00" w14:textId="1BC7F9B1" w:rsidR="00B64DCF" w:rsidRDefault="00000000">
      <w:pPr>
        <w:numPr>
          <w:ilvl w:val="1"/>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Ensure that all cases of sexual violence against women and girls are investigated, </w:t>
      </w:r>
      <w:proofErr w:type="gramStart"/>
      <w:r>
        <w:rPr>
          <w:rFonts w:ascii="Times New Roman" w:eastAsia="Times New Roman" w:hAnsi="Times New Roman" w:cs="Times New Roman"/>
          <w:sz w:val="24"/>
          <w:szCs w:val="24"/>
        </w:rPr>
        <w:t>prosecuted</w:t>
      </w:r>
      <w:proofErr w:type="gramEnd"/>
      <w:r>
        <w:rPr>
          <w:rFonts w:ascii="Times New Roman" w:eastAsia="Times New Roman" w:hAnsi="Times New Roman" w:cs="Times New Roman"/>
          <w:sz w:val="24"/>
          <w:szCs w:val="24"/>
        </w:rPr>
        <w:t xml:space="preserve"> and adjudicated with a victim-centred approach and from a gendered perspective</w:t>
      </w:r>
      <w:r w:rsidR="000A2D5A">
        <w:rPr>
          <w:rFonts w:ascii="Times New Roman" w:eastAsia="Times New Roman" w:hAnsi="Times New Roman" w:cs="Times New Roman"/>
          <w:sz w:val="24"/>
          <w:szCs w:val="24"/>
        </w:rPr>
        <w:t>.</w:t>
      </w:r>
    </w:p>
    <w:p w14:paraId="2DA4D9F8" w14:textId="77777777" w:rsidR="00B64DCF" w:rsidRDefault="00000000">
      <w:pPr>
        <w:numPr>
          <w:ilvl w:val="1"/>
          <w:numId w:val="1"/>
        </w:numPr>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Remove burdensome evidentiary standards and corroboration requirements in relation to sexual violence crimes.</w:t>
      </w:r>
    </w:p>
    <w:p w14:paraId="284AD304" w14:textId="77777777" w:rsidR="00B64DCF" w:rsidRDefault="00B64DCF">
      <w:pPr>
        <w:spacing w:before="240" w:after="240" w:line="240" w:lineRule="auto"/>
        <w:ind w:left="1440"/>
        <w:jc w:val="both"/>
        <w:rPr>
          <w:rFonts w:ascii="Times New Roman" w:eastAsia="Times New Roman" w:hAnsi="Times New Roman" w:cs="Times New Roman"/>
          <w:sz w:val="24"/>
          <w:szCs w:val="24"/>
        </w:rPr>
      </w:pPr>
    </w:p>
    <w:p w14:paraId="598E04B6" w14:textId="77777777" w:rsidR="00B64DCF" w:rsidRDefault="00000000">
      <w:pPr>
        <w:numPr>
          <w:ilvl w:val="0"/>
          <w:numId w:val="1"/>
        </w:numPr>
        <w:spacing w:before="24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Children and vulnerable persons</w:t>
      </w:r>
    </w:p>
    <w:p w14:paraId="3857A62A" w14:textId="06082AD6" w:rsidR="00B64DCF" w:rsidRDefault="00000000">
      <w:pPr>
        <w:numPr>
          <w:ilvl w:val="1"/>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Ensure that the issue of “consent” of a minor under 16 is immaterial and not examined in practice and that sexual acts committed by adults against minors are treated as rape and entail sentences commensurate to the gravity of the crime</w:t>
      </w:r>
      <w:r w:rsidR="000A2D5A">
        <w:rPr>
          <w:rFonts w:ascii="Times New Roman" w:eastAsia="Times New Roman" w:hAnsi="Times New Roman" w:cs="Times New Roman"/>
          <w:sz w:val="24"/>
          <w:szCs w:val="24"/>
        </w:rPr>
        <w:t>.</w:t>
      </w:r>
    </w:p>
    <w:p w14:paraId="158E7041" w14:textId="77777777" w:rsidR="00B64DCF" w:rsidRDefault="00000000">
      <w:pPr>
        <w:numPr>
          <w:ilvl w:val="1"/>
          <w:numId w:val="1"/>
        </w:numPr>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Make sure that specific barriers to survivors from vulnerable and marginalised communities are addressed, with a specific focus on ensuring reasonable accommodation for women and girls with disabilities, and access to justice for sexual violence for women with HIV.</w:t>
      </w:r>
    </w:p>
    <w:p w14:paraId="14751CAC" w14:textId="77777777" w:rsidR="00B64DCF" w:rsidRDefault="00B64DCF">
      <w:pPr>
        <w:spacing w:before="240" w:after="240" w:line="240" w:lineRule="auto"/>
        <w:ind w:left="1440"/>
        <w:jc w:val="both"/>
        <w:rPr>
          <w:rFonts w:ascii="Times New Roman" w:eastAsia="Times New Roman" w:hAnsi="Times New Roman" w:cs="Times New Roman"/>
          <w:sz w:val="24"/>
          <w:szCs w:val="24"/>
        </w:rPr>
      </w:pPr>
    </w:p>
    <w:p w14:paraId="6BD9A8A8" w14:textId="77777777" w:rsidR="00B64DCF" w:rsidRDefault="00000000">
      <w:pPr>
        <w:numPr>
          <w:ilvl w:val="0"/>
          <w:numId w:val="1"/>
        </w:numPr>
        <w:spacing w:before="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Training of professionals</w:t>
      </w:r>
    </w:p>
    <w:p w14:paraId="18281B63" w14:textId="3B6BC536" w:rsidR="00B64DCF" w:rsidRDefault="00000000">
      <w:pPr>
        <w:numPr>
          <w:ilvl w:val="1"/>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 protocols for dealing with cases of sexual violence against women and girls</w:t>
      </w:r>
      <w:r w:rsidR="000A2D5A">
        <w:rPr>
          <w:rFonts w:ascii="Times New Roman" w:eastAsia="Times New Roman" w:hAnsi="Times New Roman" w:cs="Times New Roman"/>
          <w:sz w:val="24"/>
          <w:szCs w:val="24"/>
        </w:rPr>
        <w:t>.</w:t>
      </w:r>
    </w:p>
    <w:p w14:paraId="55AF5D3C" w14:textId="3FF0924B" w:rsidR="00B64DCF" w:rsidRDefault="00000000">
      <w:pPr>
        <w:numPr>
          <w:ilvl w:val="1"/>
          <w:numId w:val="1"/>
        </w:numPr>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Provide targeted, mandatory capacity-building activities on the prevention and detection of, and the response to, all forms of gender-based violence, including sexual violence, for law enforcement and judicial officials, health and social workers and other professionals who deal with sexual violence and interact with victims, including in rural areas</w:t>
      </w:r>
      <w:r w:rsidR="000A2D5A">
        <w:rPr>
          <w:rFonts w:ascii="Times New Roman" w:eastAsia="Times New Roman" w:hAnsi="Times New Roman" w:cs="Times New Roman"/>
          <w:sz w:val="24"/>
          <w:szCs w:val="24"/>
        </w:rPr>
        <w:t>.</w:t>
      </w:r>
    </w:p>
    <w:p w14:paraId="4398B072" w14:textId="77777777" w:rsidR="00B64DCF" w:rsidRDefault="00B64DCF">
      <w:pPr>
        <w:spacing w:before="240" w:after="240" w:line="240" w:lineRule="auto"/>
        <w:ind w:left="1440"/>
        <w:jc w:val="both"/>
        <w:rPr>
          <w:rFonts w:ascii="Times New Roman" w:eastAsia="Times New Roman" w:hAnsi="Times New Roman" w:cs="Times New Roman"/>
          <w:sz w:val="24"/>
          <w:szCs w:val="24"/>
        </w:rPr>
      </w:pPr>
    </w:p>
    <w:p w14:paraId="53B5E399" w14:textId="77777777" w:rsidR="00B64DCF" w:rsidRDefault="00000000">
      <w:pPr>
        <w:numPr>
          <w:ilvl w:val="0"/>
          <w:numId w:val="1"/>
        </w:numPr>
        <w:spacing w:before="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Collecting and maintaining data on cases of sexual violence</w:t>
      </w:r>
    </w:p>
    <w:p w14:paraId="03E94ACA" w14:textId="77777777" w:rsidR="00B64DCF" w:rsidRDefault="00000000">
      <w:pPr>
        <w:numPr>
          <w:ilvl w:val="1"/>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Improve the collection of data on cases of all forms of violence against women and girls by the authorities, including by disaggregated based on the type of violence, perpetrator, age, sex and ethnicity of the victim and the outcome of such cases, and on the number of complaints received, investigations carried out, prosecutions conducted, the sentences imposed on perpetrators, as well as attrition rates.</w:t>
      </w:r>
    </w:p>
    <w:p w14:paraId="27E6D192" w14:textId="77777777" w:rsidR="00B64DCF" w:rsidRDefault="00B64DCF">
      <w:pPr>
        <w:spacing w:before="200" w:line="240" w:lineRule="auto"/>
        <w:ind w:left="1440"/>
        <w:jc w:val="both"/>
        <w:rPr>
          <w:rFonts w:ascii="Times New Roman" w:eastAsia="Times New Roman" w:hAnsi="Times New Roman" w:cs="Times New Roman"/>
          <w:sz w:val="24"/>
          <w:szCs w:val="24"/>
        </w:rPr>
      </w:pPr>
    </w:p>
    <w:p w14:paraId="5D028BA1" w14:textId="77777777" w:rsidR="00B64DCF" w:rsidRDefault="00000000">
      <w:pPr>
        <w:numPr>
          <w:ilvl w:val="0"/>
          <w:numId w:val="1"/>
        </w:num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Stereotypes</w:t>
      </w:r>
    </w:p>
    <w:p w14:paraId="45B3852A" w14:textId="77777777" w:rsidR="00B64DCF" w:rsidRDefault="00000000">
      <w:pPr>
        <w:numPr>
          <w:ilvl w:val="1"/>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Ensure continuous awareness-raising campaigns about the illegal and unacceptable nature of sexual violence, including marital and intimate partner rape, child and forced marriage, as well as the legal measures in place.</w:t>
      </w:r>
    </w:p>
    <w:p w14:paraId="130888C2" w14:textId="442E44A7" w:rsidR="00B64DCF" w:rsidRDefault="00000000">
      <w:pPr>
        <w:numPr>
          <w:ilvl w:val="1"/>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Develop and adopt a comprehensive strategy at the level of the Government of Tajikistan to overcome negative gender stereotypes and harmful </w:t>
      </w:r>
      <w:r w:rsidR="000A2D5A">
        <w:rPr>
          <w:rFonts w:ascii="Times New Roman" w:eastAsia="Times New Roman" w:hAnsi="Times New Roman" w:cs="Times New Roman"/>
          <w:sz w:val="24"/>
          <w:szCs w:val="24"/>
        </w:rPr>
        <w:t>practices and</w:t>
      </w:r>
      <w:r>
        <w:rPr>
          <w:rFonts w:ascii="Times New Roman" w:eastAsia="Times New Roman" w:hAnsi="Times New Roman" w:cs="Times New Roman"/>
          <w:sz w:val="24"/>
          <w:szCs w:val="24"/>
        </w:rPr>
        <w:t xml:space="preserve"> build zero tolerance for all types of violence to achieve gender equality.</w:t>
      </w:r>
      <w:r>
        <w:rPr>
          <w:rFonts w:ascii="Times New Roman" w:eastAsia="Times New Roman" w:hAnsi="Times New Roman" w:cs="Times New Roman"/>
          <w:sz w:val="24"/>
          <w:szCs w:val="24"/>
        </w:rPr>
        <w:br/>
      </w:r>
    </w:p>
    <w:p w14:paraId="49732E8D" w14:textId="77777777" w:rsidR="00B64DCF" w:rsidRDefault="00000000">
      <w:pPr>
        <w:numPr>
          <w:ilvl w:val="0"/>
          <w:numId w:val="1"/>
        </w:num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Support services</w:t>
      </w:r>
    </w:p>
    <w:p w14:paraId="62CDBA47" w14:textId="4FE591B3" w:rsidR="00B64DCF" w:rsidRDefault="00000000">
      <w:pPr>
        <w:numPr>
          <w:ilvl w:val="1"/>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Strengthen victim support services and protection, including 24 / 7 hotlines, free legal aid, adequate shelters, medical treatment, psychosocial </w:t>
      </w:r>
      <w:r w:rsidR="000A2D5A">
        <w:rPr>
          <w:rFonts w:ascii="Times New Roman" w:eastAsia="Times New Roman" w:hAnsi="Times New Roman" w:cs="Times New Roman"/>
          <w:sz w:val="24"/>
          <w:szCs w:val="24"/>
        </w:rPr>
        <w:t>counselling,</w:t>
      </w:r>
      <w:r>
        <w:rPr>
          <w:rFonts w:ascii="Times New Roman" w:eastAsia="Times New Roman" w:hAnsi="Times New Roman" w:cs="Times New Roman"/>
          <w:sz w:val="24"/>
          <w:szCs w:val="24"/>
        </w:rPr>
        <w:t xml:space="preserve"> and economic support throughout Tajikistan. </w:t>
      </w:r>
    </w:p>
    <w:p w14:paraId="09701495" w14:textId="77777777" w:rsidR="00B64DCF" w:rsidRDefault="00B64DCF">
      <w:pPr>
        <w:spacing w:before="200" w:line="240" w:lineRule="auto"/>
        <w:jc w:val="both"/>
        <w:rPr>
          <w:rFonts w:ascii="Times New Roman" w:eastAsia="Times New Roman" w:hAnsi="Times New Roman" w:cs="Times New Roman"/>
          <w:sz w:val="24"/>
          <w:szCs w:val="24"/>
        </w:rPr>
      </w:pPr>
    </w:p>
    <w:p w14:paraId="2BD242FD" w14:textId="77777777" w:rsidR="00B64DCF" w:rsidRDefault="00000000">
      <w:pPr>
        <w:spacing w:before="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 on addressing child marriage:</w:t>
      </w:r>
    </w:p>
    <w:p w14:paraId="3C60B9DA" w14:textId="77777777" w:rsidR="00B64DCF" w:rsidRDefault="00000000">
      <w:pPr>
        <w:numPr>
          <w:ilvl w:val="1"/>
          <w:numId w:val="1"/>
        </w:numPr>
        <w:spacing w:before="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Fix the age of marriage to 18 in all territories of Tajikistan, without any exceptions, and identify, prosecute, and adequately punish all parties involved in child and forced marriages. </w:t>
      </w:r>
    </w:p>
    <w:p w14:paraId="65C6C725" w14:textId="04BA0CAA" w:rsidR="00B64DCF" w:rsidRDefault="00000000">
      <w:pPr>
        <w:numPr>
          <w:ilvl w:val="1"/>
          <w:numId w:val="1"/>
        </w:numPr>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Put in place and enforce an effective multi-sectoral prevention and response mechanism to child and forced marriages, aimed at empowering survivors to </w:t>
      </w:r>
      <w:r w:rsidR="000A2D5A">
        <w:rPr>
          <w:rFonts w:ascii="Times New Roman" w:eastAsia="Times New Roman" w:hAnsi="Times New Roman" w:cs="Times New Roman"/>
          <w:sz w:val="24"/>
          <w:szCs w:val="24"/>
        </w:rPr>
        <w:t>report,</w:t>
      </w:r>
      <w:r>
        <w:rPr>
          <w:rFonts w:ascii="Times New Roman" w:eastAsia="Times New Roman" w:hAnsi="Times New Roman" w:cs="Times New Roman"/>
          <w:sz w:val="24"/>
          <w:szCs w:val="24"/>
        </w:rPr>
        <w:t xml:space="preserve"> and providing access to justice and support services.</w:t>
      </w:r>
    </w:p>
    <w:sectPr w:rsidR="00B64DCF">
      <w:footerReference w:type="default" r:id="rId10"/>
      <w:headerReference w:type="firs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C54BE" w14:textId="77777777" w:rsidR="001B0077" w:rsidRDefault="001B0077">
      <w:pPr>
        <w:spacing w:line="240" w:lineRule="auto"/>
      </w:pPr>
      <w:r>
        <w:separator/>
      </w:r>
    </w:p>
  </w:endnote>
  <w:endnote w:type="continuationSeparator" w:id="0">
    <w:p w14:paraId="7BE5B939" w14:textId="77777777" w:rsidR="001B0077" w:rsidRDefault="001B00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04A44" w14:textId="77777777" w:rsidR="00B64DCF" w:rsidRDefault="00000000">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Page </w:t>
    </w: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0A2D5A">
      <w:rPr>
        <w:rFonts w:ascii="Times New Roman" w:eastAsia="Times New Roman" w:hAnsi="Times New Roman" w:cs="Times New Roman"/>
        <w:noProof/>
        <w:sz w:val="20"/>
        <w:szCs w:val="20"/>
      </w:rPr>
      <w:t>2</w:t>
    </w:r>
    <w:r>
      <w:rPr>
        <w:rFonts w:ascii="Times New Roman" w:eastAsia="Times New Roman" w:hAnsi="Times New Roman" w:cs="Times New Roman"/>
        <w:sz w:val="20"/>
        <w:szCs w:val="20"/>
      </w:rPr>
      <w:fldChar w:fldCharType="end"/>
    </w:r>
    <w:r>
      <w:rPr>
        <w:rFonts w:ascii="Times New Roman" w:eastAsia="Times New Roman" w:hAnsi="Times New Roman" w:cs="Times New Roman"/>
        <w:sz w:val="20"/>
        <w:szCs w:val="20"/>
      </w:rPr>
      <w:t xml:space="preserve"> of </w:t>
    </w: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NUMPAGES</w:instrText>
    </w:r>
    <w:r>
      <w:rPr>
        <w:rFonts w:ascii="Times New Roman" w:eastAsia="Times New Roman" w:hAnsi="Times New Roman" w:cs="Times New Roman"/>
        <w:sz w:val="20"/>
        <w:szCs w:val="20"/>
      </w:rPr>
      <w:fldChar w:fldCharType="separate"/>
    </w:r>
    <w:r w:rsidR="000A2D5A">
      <w:rPr>
        <w:rFonts w:ascii="Times New Roman" w:eastAsia="Times New Roman" w:hAnsi="Times New Roman" w:cs="Times New Roman"/>
        <w:noProof/>
        <w:sz w:val="20"/>
        <w:szCs w:val="20"/>
      </w:rPr>
      <w:t>3</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E5776C" w14:textId="77777777" w:rsidR="001B0077" w:rsidRDefault="001B0077">
      <w:pPr>
        <w:spacing w:line="240" w:lineRule="auto"/>
      </w:pPr>
      <w:r>
        <w:separator/>
      </w:r>
    </w:p>
  </w:footnote>
  <w:footnote w:type="continuationSeparator" w:id="0">
    <w:p w14:paraId="6A7D2BB6" w14:textId="77777777" w:rsidR="001B0077" w:rsidRDefault="001B0077">
      <w:pPr>
        <w:spacing w:line="240" w:lineRule="auto"/>
      </w:pPr>
      <w:r>
        <w:continuationSeparator/>
      </w:r>
    </w:p>
  </w:footnote>
  <w:footnote w:id="1">
    <w:p w14:paraId="1BBCD7B4" w14:textId="77777777" w:rsidR="00B64DCF" w:rsidRPr="000A2D5A" w:rsidRDefault="00000000">
      <w:pPr>
        <w:rPr>
          <w:rFonts w:ascii="Times New Roman" w:hAnsi="Times New Roman" w:cs="Times New Roman"/>
        </w:rPr>
      </w:pPr>
      <w:r w:rsidRPr="000A2D5A">
        <w:rPr>
          <w:rFonts w:ascii="Times New Roman" w:hAnsi="Times New Roman" w:cs="Times New Roman"/>
          <w:vertAlign w:val="superscript"/>
        </w:rPr>
        <w:footnoteRef/>
      </w:r>
      <w:r w:rsidRPr="000A2D5A">
        <w:rPr>
          <w:rFonts w:ascii="Times New Roman" w:hAnsi="Times New Roman" w:cs="Times New Roman"/>
        </w:rPr>
        <w:t xml:space="preserve"> </w:t>
      </w:r>
      <w:hyperlink r:id="rId1">
        <w:r w:rsidRPr="000A2D5A">
          <w:rPr>
            <w:rFonts w:ascii="Times New Roman" w:hAnsi="Times New Roman" w:cs="Times New Roman"/>
            <w:color w:val="1155CC"/>
            <w:u w:val="single"/>
          </w:rPr>
          <w:t>https://www.equalitynow.org/</w:t>
        </w:r>
      </w:hyperlink>
      <w:r w:rsidRPr="000A2D5A">
        <w:rPr>
          <w:rFonts w:ascii="Times New Roman" w:hAnsi="Times New Roman" w:cs="Times New Roman"/>
        </w:rPr>
        <w:t xml:space="preserve"> </w:t>
      </w:r>
    </w:p>
  </w:footnote>
  <w:footnote w:id="2">
    <w:p w14:paraId="36ABDC19" w14:textId="77777777" w:rsidR="00B64DCF" w:rsidRPr="000A2D5A" w:rsidRDefault="00000000">
      <w:pPr>
        <w:spacing w:line="240" w:lineRule="auto"/>
        <w:rPr>
          <w:rFonts w:ascii="Times New Roman" w:hAnsi="Times New Roman" w:cs="Times New Roman"/>
        </w:rPr>
      </w:pPr>
      <w:r w:rsidRPr="000A2D5A">
        <w:rPr>
          <w:rFonts w:ascii="Times New Roman" w:hAnsi="Times New Roman" w:cs="Times New Roman"/>
          <w:vertAlign w:val="superscript"/>
        </w:rPr>
        <w:footnoteRef/>
      </w:r>
      <w:r w:rsidRPr="000A2D5A">
        <w:rPr>
          <w:rFonts w:ascii="Times New Roman" w:hAnsi="Times New Roman" w:cs="Times New Roman"/>
        </w:rPr>
        <w:t xml:space="preserve"> </w:t>
      </w:r>
      <w:hyperlink r:id="rId2">
        <w:r w:rsidRPr="000A2D5A">
          <w:rPr>
            <w:rFonts w:ascii="Times New Roman" w:hAnsi="Times New Roman" w:cs="Times New Roman"/>
            <w:color w:val="1155CC"/>
            <w:u w:val="single"/>
          </w:rPr>
          <w:t>https://www.equalitynow.org/resource/roadblocks_to_justice/</w:t>
        </w:r>
      </w:hyperlink>
      <w:r w:rsidRPr="000A2D5A">
        <w:rPr>
          <w:rFonts w:ascii="Times New Roman" w:hAnsi="Times New Roman" w:cs="Times New Roman"/>
        </w:rPr>
        <w:t xml:space="preserve"> </w:t>
      </w:r>
    </w:p>
  </w:footnote>
  <w:footnote w:id="3">
    <w:p w14:paraId="7A277E66" w14:textId="77777777" w:rsidR="00B64DCF" w:rsidRPr="000A2D5A" w:rsidRDefault="00000000">
      <w:pPr>
        <w:rPr>
          <w:rFonts w:ascii="Times New Roman" w:hAnsi="Times New Roman" w:cs="Times New Roman"/>
        </w:rPr>
      </w:pPr>
      <w:r w:rsidRPr="000A2D5A">
        <w:rPr>
          <w:rFonts w:ascii="Times New Roman" w:hAnsi="Times New Roman" w:cs="Times New Roman"/>
          <w:vertAlign w:val="superscript"/>
        </w:rPr>
        <w:footnoteRef/>
      </w:r>
      <w:r w:rsidRPr="000A2D5A">
        <w:rPr>
          <w:rFonts w:ascii="Times New Roman" w:hAnsi="Times New Roman" w:cs="Times New Roman"/>
        </w:rPr>
        <w:t xml:space="preserve"> </w:t>
      </w:r>
      <w:hyperlink r:id="rId3">
        <w:r w:rsidRPr="000A2D5A">
          <w:rPr>
            <w:rFonts w:ascii="Times New Roman" w:hAnsi="Times New Roman" w:cs="Times New Roman"/>
            <w:color w:val="1155CC"/>
            <w:u w:val="single"/>
          </w:rPr>
          <w:t>https://www.facebook.com/WomenLawyersforDevelopment/</w:t>
        </w:r>
      </w:hyperlink>
      <w:r w:rsidRPr="000A2D5A">
        <w:rPr>
          <w:rFonts w:ascii="Times New Roman" w:hAnsi="Times New Roman" w:cs="Times New Roman"/>
        </w:rPr>
        <w:t xml:space="preserve"> </w:t>
      </w:r>
    </w:p>
  </w:footnote>
  <w:footnote w:id="4">
    <w:p w14:paraId="58290EA8" w14:textId="77777777" w:rsidR="00B64DCF" w:rsidRPr="000A2D5A" w:rsidRDefault="00000000">
      <w:pPr>
        <w:rPr>
          <w:rFonts w:ascii="Times New Roman" w:hAnsi="Times New Roman" w:cs="Times New Roman"/>
        </w:rPr>
      </w:pPr>
      <w:r w:rsidRPr="000A2D5A">
        <w:rPr>
          <w:rFonts w:ascii="Times New Roman" w:hAnsi="Times New Roman" w:cs="Times New Roman"/>
          <w:vertAlign w:val="superscript"/>
        </w:rPr>
        <w:footnoteRef/>
      </w:r>
      <w:r w:rsidRPr="000A2D5A">
        <w:rPr>
          <w:rFonts w:ascii="Times New Roman" w:hAnsi="Times New Roman" w:cs="Times New Roman"/>
        </w:rPr>
        <w:t xml:space="preserve"> CEDAW/C/TJK/CO/6, para. 25</w:t>
      </w:r>
    </w:p>
  </w:footnote>
  <w:footnote w:id="5">
    <w:p w14:paraId="3A2429C2" w14:textId="77777777" w:rsidR="00B64DCF" w:rsidRPr="000A2D5A" w:rsidRDefault="00000000">
      <w:pPr>
        <w:spacing w:line="240" w:lineRule="auto"/>
        <w:rPr>
          <w:rFonts w:ascii="Times New Roman" w:hAnsi="Times New Roman" w:cs="Times New Roman"/>
        </w:rPr>
      </w:pPr>
      <w:r w:rsidRPr="000A2D5A">
        <w:rPr>
          <w:rFonts w:ascii="Times New Roman" w:hAnsi="Times New Roman" w:cs="Times New Roman"/>
          <w:vertAlign w:val="superscript"/>
        </w:rPr>
        <w:footnoteRef/>
      </w:r>
      <w:r w:rsidRPr="000A2D5A">
        <w:rPr>
          <w:rFonts w:ascii="Times New Roman" w:hAnsi="Times New Roman" w:cs="Times New Roman"/>
        </w:rPr>
        <w:t xml:space="preserve"> ibid, para. 26</w:t>
      </w:r>
    </w:p>
  </w:footnote>
  <w:footnote w:id="6">
    <w:p w14:paraId="1862D271" w14:textId="77777777" w:rsidR="00B64DCF" w:rsidRPr="000A2D5A" w:rsidRDefault="00000000">
      <w:pPr>
        <w:rPr>
          <w:rFonts w:ascii="Times New Roman" w:hAnsi="Times New Roman" w:cs="Times New Roman"/>
        </w:rPr>
      </w:pPr>
      <w:r w:rsidRPr="000A2D5A">
        <w:rPr>
          <w:rFonts w:ascii="Times New Roman" w:hAnsi="Times New Roman" w:cs="Times New Roman"/>
          <w:vertAlign w:val="superscript"/>
        </w:rPr>
        <w:footnoteRef/>
      </w:r>
      <w:r w:rsidRPr="000A2D5A">
        <w:rPr>
          <w:rFonts w:ascii="Times New Roman" w:hAnsi="Times New Roman" w:cs="Times New Roman"/>
        </w:rPr>
        <w:t xml:space="preserve"> CEDAW/C/TJK/7</w:t>
      </w:r>
    </w:p>
  </w:footnote>
  <w:footnote w:id="7">
    <w:p w14:paraId="22300029" w14:textId="77777777" w:rsidR="00B64DCF" w:rsidRPr="000A2D5A" w:rsidRDefault="00000000">
      <w:pPr>
        <w:spacing w:line="240" w:lineRule="auto"/>
        <w:rPr>
          <w:rFonts w:ascii="Times New Roman" w:hAnsi="Times New Roman" w:cs="Times New Roman"/>
        </w:rPr>
      </w:pPr>
      <w:r w:rsidRPr="000A2D5A">
        <w:rPr>
          <w:rFonts w:ascii="Times New Roman" w:hAnsi="Times New Roman" w:cs="Times New Roman"/>
          <w:vertAlign w:val="superscript"/>
        </w:rPr>
        <w:footnoteRef/>
      </w:r>
      <w:r w:rsidRPr="000A2D5A">
        <w:rPr>
          <w:rFonts w:ascii="Times New Roman" w:hAnsi="Times New Roman" w:cs="Times New Roman"/>
        </w:rPr>
        <w:t xml:space="preserve"> ibid, para. 124</w:t>
      </w:r>
    </w:p>
  </w:footnote>
  <w:footnote w:id="8">
    <w:p w14:paraId="2682E6D5" w14:textId="77777777" w:rsidR="00B64DCF" w:rsidRPr="000A2D5A" w:rsidRDefault="00000000">
      <w:pPr>
        <w:spacing w:line="240" w:lineRule="auto"/>
        <w:rPr>
          <w:rFonts w:ascii="Times New Roman" w:hAnsi="Times New Roman" w:cs="Times New Roman"/>
        </w:rPr>
      </w:pPr>
      <w:r w:rsidRPr="000A2D5A">
        <w:rPr>
          <w:rFonts w:ascii="Times New Roman" w:hAnsi="Times New Roman" w:cs="Times New Roman"/>
          <w:vertAlign w:val="superscript"/>
        </w:rPr>
        <w:footnoteRef/>
      </w:r>
      <w:r w:rsidRPr="000A2D5A">
        <w:rPr>
          <w:rFonts w:ascii="Times New Roman" w:hAnsi="Times New Roman" w:cs="Times New Roman"/>
        </w:rPr>
        <w:t xml:space="preserve"> </w:t>
      </w:r>
      <w:hyperlink r:id="rId4">
        <w:r w:rsidRPr="000A2D5A">
          <w:rPr>
            <w:rFonts w:ascii="Times New Roman" w:hAnsi="Times New Roman" w:cs="Times New Roman"/>
            <w:color w:val="1155CC"/>
            <w:u w:val="single"/>
          </w:rPr>
          <w:t>https://www.undp.org/sites/g/files/zskgke326/files/migration/tj/UNDP-TJK-Pub_2021_06-1_Final_SurveyRU_12102020.pdf</w:t>
        </w:r>
      </w:hyperlink>
      <w:r w:rsidRPr="000A2D5A">
        <w:rPr>
          <w:rFonts w:ascii="Times New Roman" w:hAnsi="Times New Roman" w:cs="Times New Roman"/>
        </w:rPr>
        <w:t xml:space="preserve"> </w:t>
      </w:r>
    </w:p>
  </w:footnote>
  <w:footnote w:id="9">
    <w:p w14:paraId="06DE4D3A" w14:textId="77777777" w:rsidR="00B64DCF" w:rsidRPr="000A2D5A" w:rsidRDefault="00000000">
      <w:pPr>
        <w:spacing w:line="240" w:lineRule="auto"/>
        <w:rPr>
          <w:rFonts w:ascii="Times New Roman" w:hAnsi="Times New Roman" w:cs="Times New Roman"/>
        </w:rPr>
      </w:pPr>
      <w:r w:rsidRPr="000A2D5A">
        <w:rPr>
          <w:rFonts w:ascii="Times New Roman" w:hAnsi="Times New Roman" w:cs="Times New Roman"/>
          <w:vertAlign w:val="superscript"/>
        </w:rPr>
        <w:footnoteRef/>
      </w:r>
      <w:r w:rsidRPr="000A2D5A">
        <w:rPr>
          <w:rFonts w:ascii="Times New Roman" w:hAnsi="Times New Roman" w:cs="Times New Roman"/>
        </w:rPr>
        <w:t xml:space="preserve"> ibid, p. 64</w:t>
      </w:r>
    </w:p>
  </w:footnote>
  <w:footnote w:id="10">
    <w:p w14:paraId="1945675D" w14:textId="77777777" w:rsidR="00B64DCF" w:rsidRPr="000A2D5A" w:rsidRDefault="00000000">
      <w:pPr>
        <w:spacing w:line="240" w:lineRule="auto"/>
        <w:rPr>
          <w:rFonts w:ascii="Times New Roman" w:hAnsi="Times New Roman" w:cs="Times New Roman"/>
        </w:rPr>
      </w:pPr>
      <w:r w:rsidRPr="000A2D5A">
        <w:rPr>
          <w:rFonts w:ascii="Times New Roman" w:hAnsi="Times New Roman" w:cs="Times New Roman"/>
          <w:vertAlign w:val="superscript"/>
        </w:rPr>
        <w:footnoteRef/>
      </w:r>
      <w:r w:rsidRPr="000A2D5A">
        <w:rPr>
          <w:rFonts w:ascii="Times New Roman" w:hAnsi="Times New Roman" w:cs="Times New Roman"/>
        </w:rPr>
        <w:t xml:space="preserve"> ibid, p. 83</w:t>
      </w:r>
    </w:p>
  </w:footnote>
  <w:footnote w:id="11">
    <w:p w14:paraId="169B2498" w14:textId="77777777" w:rsidR="00B64DCF" w:rsidRPr="000A2D5A" w:rsidRDefault="00000000">
      <w:pPr>
        <w:spacing w:line="240" w:lineRule="auto"/>
        <w:rPr>
          <w:rFonts w:ascii="Times New Roman" w:hAnsi="Times New Roman" w:cs="Times New Roman"/>
        </w:rPr>
      </w:pPr>
      <w:r w:rsidRPr="000A2D5A">
        <w:rPr>
          <w:rFonts w:ascii="Times New Roman" w:hAnsi="Times New Roman" w:cs="Times New Roman"/>
          <w:vertAlign w:val="superscript"/>
        </w:rPr>
        <w:footnoteRef/>
      </w:r>
      <w:r w:rsidRPr="000A2D5A">
        <w:rPr>
          <w:rFonts w:ascii="Times New Roman" w:hAnsi="Times New Roman" w:cs="Times New Roman"/>
        </w:rPr>
        <w:t xml:space="preserve"> ibid, p. 64</w:t>
      </w:r>
    </w:p>
  </w:footnote>
  <w:footnote w:id="12">
    <w:p w14:paraId="58D78B79" w14:textId="77777777" w:rsidR="00B64DCF" w:rsidRPr="000A2D5A" w:rsidRDefault="00000000">
      <w:pPr>
        <w:spacing w:line="240" w:lineRule="auto"/>
        <w:rPr>
          <w:rFonts w:ascii="Times New Roman" w:hAnsi="Times New Roman" w:cs="Times New Roman"/>
        </w:rPr>
      </w:pPr>
      <w:r w:rsidRPr="000A2D5A">
        <w:rPr>
          <w:rFonts w:ascii="Times New Roman" w:hAnsi="Times New Roman" w:cs="Times New Roman"/>
          <w:vertAlign w:val="superscript"/>
        </w:rPr>
        <w:footnoteRef/>
      </w:r>
      <w:r w:rsidRPr="000A2D5A">
        <w:rPr>
          <w:rFonts w:ascii="Times New Roman" w:hAnsi="Times New Roman" w:cs="Times New Roman"/>
        </w:rPr>
        <w:t xml:space="preserve"> ibid, p. 75</w:t>
      </w:r>
    </w:p>
  </w:footnote>
  <w:footnote w:id="13">
    <w:p w14:paraId="600E79E5" w14:textId="77777777" w:rsidR="00B64DCF" w:rsidRPr="000A2D5A" w:rsidRDefault="00000000">
      <w:pPr>
        <w:spacing w:line="240" w:lineRule="auto"/>
        <w:rPr>
          <w:rFonts w:ascii="Times New Roman" w:hAnsi="Times New Roman" w:cs="Times New Roman"/>
        </w:rPr>
      </w:pPr>
      <w:r w:rsidRPr="000A2D5A">
        <w:rPr>
          <w:rFonts w:ascii="Times New Roman" w:hAnsi="Times New Roman" w:cs="Times New Roman"/>
          <w:vertAlign w:val="superscript"/>
        </w:rPr>
        <w:footnoteRef/>
      </w:r>
      <w:r w:rsidRPr="000A2D5A">
        <w:rPr>
          <w:rFonts w:ascii="Times New Roman" w:hAnsi="Times New Roman" w:cs="Times New Roman"/>
        </w:rPr>
        <w:t xml:space="preserve"> ibid, p. 152</w:t>
      </w:r>
    </w:p>
  </w:footnote>
  <w:footnote w:id="14">
    <w:p w14:paraId="26673756" w14:textId="77777777" w:rsidR="00B64DCF" w:rsidRPr="000A2D5A" w:rsidRDefault="00000000">
      <w:pPr>
        <w:spacing w:line="240" w:lineRule="auto"/>
        <w:rPr>
          <w:rFonts w:ascii="Times New Roman" w:hAnsi="Times New Roman" w:cs="Times New Roman"/>
        </w:rPr>
      </w:pPr>
      <w:r w:rsidRPr="000A2D5A">
        <w:rPr>
          <w:rFonts w:ascii="Times New Roman" w:hAnsi="Times New Roman" w:cs="Times New Roman"/>
          <w:vertAlign w:val="superscript"/>
        </w:rPr>
        <w:footnoteRef/>
      </w:r>
      <w:r w:rsidRPr="000A2D5A">
        <w:rPr>
          <w:rFonts w:ascii="Times New Roman" w:hAnsi="Times New Roman" w:cs="Times New Roman"/>
        </w:rPr>
        <w:t xml:space="preserve"> </w:t>
      </w:r>
      <w:hyperlink r:id="rId5">
        <w:r w:rsidRPr="000A2D5A">
          <w:rPr>
            <w:rFonts w:ascii="Times New Roman" w:hAnsi="Times New Roman" w:cs="Times New Roman"/>
            <w:color w:val="1155CC"/>
            <w:u w:val="single"/>
          </w:rPr>
          <w:t>https://www.spotlightinitiative.org/publications/baseline-study-peoples-perception-violence-against-women-and-girls-tajikistan-within</w:t>
        </w:r>
      </w:hyperlink>
      <w:r w:rsidRPr="000A2D5A">
        <w:rPr>
          <w:rFonts w:ascii="Times New Roman" w:hAnsi="Times New Roman" w:cs="Times New Roman"/>
        </w:rPr>
        <w:t xml:space="preserve">  </w:t>
      </w:r>
    </w:p>
  </w:footnote>
  <w:footnote w:id="15">
    <w:p w14:paraId="60C29C5B" w14:textId="77777777" w:rsidR="00B64DCF" w:rsidRPr="000A2D5A" w:rsidRDefault="00000000">
      <w:pPr>
        <w:spacing w:line="240" w:lineRule="auto"/>
        <w:rPr>
          <w:rFonts w:ascii="Times New Roman" w:hAnsi="Times New Roman" w:cs="Times New Roman"/>
        </w:rPr>
      </w:pPr>
      <w:r w:rsidRPr="000A2D5A">
        <w:rPr>
          <w:rFonts w:ascii="Times New Roman" w:hAnsi="Times New Roman" w:cs="Times New Roman"/>
          <w:vertAlign w:val="superscript"/>
        </w:rPr>
        <w:footnoteRef/>
      </w:r>
      <w:r w:rsidRPr="000A2D5A">
        <w:rPr>
          <w:rFonts w:ascii="Times New Roman" w:hAnsi="Times New Roman" w:cs="Times New Roman"/>
        </w:rPr>
        <w:t xml:space="preserve"> </w:t>
      </w:r>
      <w:hyperlink r:id="rId6" w:anchor="_ftn20">
        <w:r w:rsidRPr="000A2D5A">
          <w:rPr>
            <w:rFonts w:ascii="Times New Roman" w:hAnsi="Times New Roman" w:cs="Times New Roman"/>
            <w:color w:val="1155CC"/>
            <w:u w:val="single"/>
          </w:rPr>
          <w:t>https://www.hrw.org/report/2019/09/19/violence-every-step/weak-state-response-domestic-violence-tajikistan#_ftn20</w:t>
        </w:r>
      </w:hyperlink>
      <w:r w:rsidRPr="000A2D5A">
        <w:rPr>
          <w:rFonts w:ascii="Times New Roman" w:hAnsi="Times New Roman" w:cs="Times New Roman"/>
        </w:rPr>
        <w:t xml:space="preserve"> </w:t>
      </w:r>
    </w:p>
  </w:footnote>
  <w:footnote w:id="16">
    <w:p w14:paraId="24F53F27" w14:textId="77777777" w:rsidR="00B64DCF" w:rsidRPr="000A2D5A" w:rsidRDefault="00000000">
      <w:pPr>
        <w:spacing w:line="240" w:lineRule="auto"/>
        <w:rPr>
          <w:rFonts w:ascii="Times New Roman" w:hAnsi="Times New Roman" w:cs="Times New Roman"/>
        </w:rPr>
      </w:pPr>
      <w:r w:rsidRPr="000A2D5A">
        <w:rPr>
          <w:rFonts w:ascii="Times New Roman" w:hAnsi="Times New Roman" w:cs="Times New Roman"/>
          <w:vertAlign w:val="superscript"/>
        </w:rPr>
        <w:footnoteRef/>
      </w:r>
      <w:r w:rsidRPr="000A2D5A">
        <w:rPr>
          <w:rFonts w:ascii="Times New Roman" w:hAnsi="Times New Roman" w:cs="Times New Roman"/>
        </w:rPr>
        <w:t xml:space="preserve"> </w:t>
      </w:r>
      <w:hyperlink r:id="rId7" w:anchor="_ftn20">
        <w:r w:rsidRPr="000A2D5A">
          <w:rPr>
            <w:rFonts w:ascii="Times New Roman" w:hAnsi="Times New Roman" w:cs="Times New Roman"/>
            <w:color w:val="1155CC"/>
            <w:u w:val="single"/>
          </w:rPr>
          <w:t>https://www.hrw.org/report/2019/09/19/violence-every-step/weak-state-response-domestic-violence-tajikistan#_ftn20</w:t>
        </w:r>
      </w:hyperlink>
      <w:r w:rsidRPr="000A2D5A">
        <w:rPr>
          <w:rFonts w:ascii="Times New Roman" w:hAnsi="Times New Roman" w:cs="Times New Roman"/>
        </w:rPr>
        <w:t xml:space="preserve"> </w:t>
      </w:r>
    </w:p>
  </w:footnote>
  <w:footnote w:id="17">
    <w:p w14:paraId="6F848AD0" w14:textId="77777777" w:rsidR="00B64DCF" w:rsidRPr="000A2D5A" w:rsidRDefault="00000000">
      <w:pPr>
        <w:spacing w:line="240" w:lineRule="auto"/>
        <w:rPr>
          <w:rFonts w:ascii="Times New Roman" w:eastAsia="Times New Roman" w:hAnsi="Times New Roman" w:cs="Times New Roman"/>
        </w:rPr>
      </w:pPr>
      <w:r w:rsidRPr="000A2D5A">
        <w:rPr>
          <w:rFonts w:ascii="Times New Roman" w:hAnsi="Times New Roman" w:cs="Times New Roman"/>
          <w:vertAlign w:val="superscript"/>
        </w:rPr>
        <w:footnoteRef/>
      </w:r>
      <w:r w:rsidRPr="000A2D5A">
        <w:rPr>
          <w:rFonts w:ascii="Times New Roman" w:eastAsia="Times New Roman" w:hAnsi="Times New Roman" w:cs="Times New Roman"/>
        </w:rPr>
        <w:t xml:space="preserve"> CEDAW Committee, General recommendation No. 35; CEDAW Committee, </w:t>
      </w:r>
      <w:proofErr w:type="spellStart"/>
      <w:r w:rsidRPr="000A2D5A">
        <w:rPr>
          <w:rFonts w:ascii="Times New Roman" w:eastAsia="Times New Roman" w:hAnsi="Times New Roman" w:cs="Times New Roman"/>
        </w:rPr>
        <w:t>Vertido</w:t>
      </w:r>
      <w:proofErr w:type="spellEnd"/>
      <w:r w:rsidRPr="000A2D5A">
        <w:rPr>
          <w:rFonts w:ascii="Times New Roman" w:eastAsia="Times New Roman" w:hAnsi="Times New Roman" w:cs="Times New Roman"/>
        </w:rPr>
        <w:t xml:space="preserve"> v Philippines, Merits, Communication No. 18/2008, UN Doc CEDAW/C/46/D/18/2008; Article 36 of the Istanbul Convention</w:t>
      </w:r>
    </w:p>
    <w:p w14:paraId="4ACE50FD" w14:textId="77777777" w:rsidR="00B64DCF" w:rsidRPr="000A2D5A" w:rsidRDefault="00000000">
      <w:pPr>
        <w:spacing w:line="240" w:lineRule="auto"/>
        <w:rPr>
          <w:rFonts w:ascii="Times New Roman" w:eastAsia="Times New Roman" w:hAnsi="Times New Roman" w:cs="Times New Roman"/>
        </w:rPr>
      </w:pPr>
      <w:r w:rsidRPr="000A2D5A">
        <w:rPr>
          <w:rFonts w:ascii="Times New Roman" w:eastAsia="Times New Roman" w:hAnsi="Times New Roman" w:cs="Times New Roman"/>
        </w:rPr>
        <w:t>(2010); R.P.B. v Philippines, Communication No. 34/2011, UN Doc. CEDAW/C/57/D/34/2011 (2014).</w:t>
      </w:r>
    </w:p>
  </w:footnote>
  <w:footnote w:id="18">
    <w:p w14:paraId="6805C476" w14:textId="77777777" w:rsidR="00B64DCF" w:rsidRPr="000A2D5A" w:rsidRDefault="00000000">
      <w:pPr>
        <w:spacing w:line="240" w:lineRule="auto"/>
        <w:rPr>
          <w:rFonts w:ascii="Times New Roman" w:eastAsia="Times New Roman" w:hAnsi="Times New Roman" w:cs="Times New Roman"/>
          <w:i/>
        </w:rPr>
      </w:pPr>
      <w:r w:rsidRPr="000A2D5A">
        <w:rPr>
          <w:rFonts w:ascii="Times New Roman" w:hAnsi="Times New Roman" w:cs="Times New Roman"/>
          <w:vertAlign w:val="superscript"/>
        </w:rPr>
        <w:footnoteRef/>
      </w:r>
      <w:r w:rsidRPr="000A2D5A">
        <w:rPr>
          <w:rFonts w:ascii="Times New Roman" w:eastAsia="Times New Roman" w:hAnsi="Times New Roman" w:cs="Times New Roman"/>
        </w:rPr>
        <w:t xml:space="preserve"> Article 138 – Rape: </w:t>
      </w:r>
      <w:r w:rsidRPr="000A2D5A">
        <w:rPr>
          <w:rFonts w:ascii="Times New Roman" w:eastAsia="Times New Roman" w:hAnsi="Times New Roman" w:cs="Times New Roman"/>
          <w:i/>
        </w:rPr>
        <w:t xml:space="preserve">Rape, </w:t>
      </w:r>
      <w:proofErr w:type="gramStart"/>
      <w:r w:rsidRPr="000A2D5A">
        <w:rPr>
          <w:rFonts w:ascii="Times New Roman" w:eastAsia="Times New Roman" w:hAnsi="Times New Roman" w:cs="Times New Roman"/>
          <w:i/>
        </w:rPr>
        <w:t>i.e.</w:t>
      </w:r>
      <w:proofErr w:type="gramEnd"/>
      <w:r w:rsidRPr="000A2D5A">
        <w:rPr>
          <w:rFonts w:ascii="Times New Roman" w:eastAsia="Times New Roman" w:hAnsi="Times New Roman" w:cs="Times New Roman"/>
          <w:i/>
        </w:rPr>
        <w:t xml:space="preserve"> sexual intercourse with application of violence or with threat of its application to a woman or her relatives or with use of helpless condition of a woman, - shall be punished by imprisonment for a term of three to seven years.</w:t>
      </w:r>
    </w:p>
  </w:footnote>
  <w:footnote w:id="19">
    <w:p w14:paraId="404ED8CE" w14:textId="77777777" w:rsidR="00B64DCF" w:rsidRPr="000A2D5A" w:rsidRDefault="00000000">
      <w:pPr>
        <w:spacing w:line="240" w:lineRule="auto"/>
        <w:rPr>
          <w:rFonts w:ascii="Times New Roman" w:eastAsia="Times New Roman" w:hAnsi="Times New Roman" w:cs="Times New Roman"/>
          <w:b/>
          <w:color w:val="333333"/>
        </w:rPr>
      </w:pPr>
      <w:r w:rsidRPr="000A2D5A">
        <w:rPr>
          <w:rFonts w:ascii="Times New Roman" w:hAnsi="Times New Roman" w:cs="Times New Roman"/>
          <w:vertAlign w:val="superscript"/>
        </w:rPr>
        <w:footnoteRef/>
      </w:r>
      <w:r w:rsidRPr="000A2D5A">
        <w:rPr>
          <w:rFonts w:ascii="Times New Roman" w:eastAsia="Times New Roman" w:hAnsi="Times New Roman" w:cs="Times New Roman"/>
        </w:rPr>
        <w:t xml:space="preserve"> Article 139 – Violent acts of a sexual nature: </w:t>
      </w:r>
      <w:r w:rsidRPr="000A2D5A">
        <w:rPr>
          <w:rFonts w:ascii="Times New Roman" w:eastAsia="Times New Roman" w:hAnsi="Times New Roman" w:cs="Times New Roman"/>
          <w:i/>
        </w:rPr>
        <w:t xml:space="preserve">Sodomy, </w:t>
      </w:r>
      <w:proofErr w:type="gramStart"/>
      <w:r w:rsidRPr="000A2D5A">
        <w:rPr>
          <w:rFonts w:ascii="Times New Roman" w:eastAsia="Times New Roman" w:hAnsi="Times New Roman" w:cs="Times New Roman"/>
          <w:i/>
        </w:rPr>
        <w:t>lesbianism</w:t>
      </w:r>
      <w:proofErr w:type="gramEnd"/>
      <w:r w:rsidRPr="000A2D5A">
        <w:rPr>
          <w:rFonts w:ascii="Times New Roman" w:eastAsia="Times New Roman" w:hAnsi="Times New Roman" w:cs="Times New Roman"/>
          <w:i/>
        </w:rPr>
        <w:t xml:space="preserve"> or other acts of a sexual nature with application of violence or threat of violence to the victim (victim) or to their relatives or using the helpless state of the victim (victim), - shall be punished by imprisonment for a term of five to seven years.</w:t>
      </w:r>
    </w:p>
  </w:footnote>
  <w:footnote w:id="20">
    <w:p w14:paraId="2BE02CEE" w14:textId="77777777" w:rsidR="00B64DCF" w:rsidRPr="000A2D5A" w:rsidRDefault="00000000">
      <w:pPr>
        <w:spacing w:line="240" w:lineRule="auto"/>
        <w:jc w:val="both"/>
        <w:rPr>
          <w:rFonts w:ascii="Times New Roman" w:eastAsia="Times New Roman" w:hAnsi="Times New Roman" w:cs="Times New Roman"/>
          <w:i/>
        </w:rPr>
      </w:pPr>
      <w:r w:rsidRPr="000A2D5A">
        <w:rPr>
          <w:rFonts w:ascii="Times New Roman" w:hAnsi="Times New Roman" w:cs="Times New Roman"/>
          <w:vertAlign w:val="superscript"/>
        </w:rPr>
        <w:footnoteRef/>
      </w:r>
      <w:r w:rsidRPr="000A2D5A">
        <w:rPr>
          <w:rFonts w:ascii="Times New Roman" w:eastAsia="Times New Roman" w:hAnsi="Times New Roman" w:cs="Times New Roman"/>
        </w:rPr>
        <w:t xml:space="preserve"> Article 140 – Coercion to acts of a sexual nature: </w:t>
      </w:r>
      <w:r w:rsidRPr="000A2D5A">
        <w:rPr>
          <w:rFonts w:ascii="Times New Roman" w:eastAsia="Times New Roman" w:hAnsi="Times New Roman" w:cs="Times New Roman"/>
          <w:i/>
        </w:rPr>
        <w:t>Coercion of a person to sexual intercourse, masculinity, lesbianism or other actions of a sexual nature by blackmail, threat of destruction, damage or seizure of property or with the use of official, material or other dependence of the victim, - is punished by the penalty at a rate from five hundred up to seven hundred indicators for calculation by corrective works for the term up to two years or imprisonment for the term up to two years.</w:t>
      </w:r>
    </w:p>
    <w:p w14:paraId="522874FC" w14:textId="77777777" w:rsidR="00B64DCF" w:rsidRPr="000A2D5A" w:rsidRDefault="00B64DCF">
      <w:pPr>
        <w:spacing w:line="240" w:lineRule="auto"/>
        <w:jc w:val="both"/>
        <w:rPr>
          <w:rFonts w:ascii="Times New Roman" w:eastAsia="Times New Roman" w:hAnsi="Times New Roman" w:cs="Times New Roman"/>
          <w:i/>
        </w:rPr>
      </w:pPr>
    </w:p>
  </w:footnote>
  <w:footnote w:id="21">
    <w:p w14:paraId="751CCF2B" w14:textId="77777777" w:rsidR="00B64DCF" w:rsidRPr="000A2D5A" w:rsidRDefault="00000000">
      <w:pPr>
        <w:spacing w:line="240" w:lineRule="auto"/>
        <w:rPr>
          <w:rFonts w:ascii="Times New Roman" w:hAnsi="Times New Roman" w:cs="Times New Roman"/>
        </w:rPr>
      </w:pPr>
      <w:r w:rsidRPr="000A2D5A">
        <w:rPr>
          <w:rFonts w:ascii="Times New Roman" w:hAnsi="Times New Roman" w:cs="Times New Roman"/>
          <w:vertAlign w:val="superscript"/>
        </w:rPr>
        <w:footnoteRef/>
      </w:r>
      <w:r w:rsidRPr="000A2D5A">
        <w:rPr>
          <w:rFonts w:ascii="Times New Roman" w:hAnsi="Times New Roman" w:cs="Times New Roman"/>
        </w:rPr>
        <w:t xml:space="preserve"> para. 33</w:t>
      </w:r>
    </w:p>
  </w:footnote>
  <w:footnote w:id="22">
    <w:p w14:paraId="6D44ACD7" w14:textId="77777777" w:rsidR="00B64DCF" w:rsidRPr="000A2D5A" w:rsidRDefault="00000000">
      <w:pPr>
        <w:spacing w:line="240" w:lineRule="auto"/>
        <w:rPr>
          <w:rFonts w:ascii="Times New Roman" w:hAnsi="Times New Roman" w:cs="Times New Roman"/>
        </w:rPr>
      </w:pPr>
      <w:r w:rsidRPr="000A2D5A">
        <w:rPr>
          <w:rFonts w:ascii="Times New Roman" w:hAnsi="Times New Roman" w:cs="Times New Roman"/>
          <w:vertAlign w:val="superscript"/>
        </w:rPr>
        <w:footnoteRef/>
      </w:r>
      <w:r w:rsidRPr="000A2D5A">
        <w:rPr>
          <w:rFonts w:ascii="Times New Roman" w:hAnsi="Times New Roman" w:cs="Times New Roman"/>
        </w:rPr>
        <w:t xml:space="preserve"> See </w:t>
      </w:r>
      <w:proofErr w:type="gramStart"/>
      <w:r w:rsidRPr="000A2D5A">
        <w:rPr>
          <w:rFonts w:ascii="Times New Roman" w:hAnsi="Times New Roman" w:cs="Times New Roman"/>
        </w:rPr>
        <w:t>e.g.</w:t>
      </w:r>
      <w:proofErr w:type="gramEnd"/>
      <w:r w:rsidRPr="000A2D5A">
        <w:rPr>
          <w:rFonts w:ascii="Times New Roman" w:hAnsi="Times New Roman" w:cs="Times New Roman"/>
        </w:rPr>
        <w:t xml:space="preserve"> Article 46 of the Istanbul Convention stating that a crime committed against a former or a current spouse or a partner should be treated as an aggravating factor.</w:t>
      </w:r>
    </w:p>
  </w:footnote>
  <w:footnote w:id="23">
    <w:p w14:paraId="7EA796A2" w14:textId="77777777" w:rsidR="00B64DCF" w:rsidRPr="000A2D5A" w:rsidRDefault="00000000">
      <w:pPr>
        <w:spacing w:line="240" w:lineRule="auto"/>
        <w:rPr>
          <w:rFonts w:ascii="Times New Roman" w:hAnsi="Times New Roman" w:cs="Times New Roman"/>
        </w:rPr>
      </w:pPr>
      <w:r w:rsidRPr="000A2D5A">
        <w:rPr>
          <w:rFonts w:ascii="Times New Roman" w:hAnsi="Times New Roman" w:cs="Times New Roman"/>
          <w:vertAlign w:val="superscript"/>
        </w:rPr>
        <w:footnoteRef/>
      </w:r>
      <w:r w:rsidRPr="000A2D5A">
        <w:rPr>
          <w:rFonts w:ascii="Times New Roman" w:hAnsi="Times New Roman" w:cs="Times New Roman"/>
        </w:rPr>
        <w:t xml:space="preserve"> </w:t>
      </w:r>
      <w:hyperlink r:id="rId8">
        <w:r w:rsidRPr="000A2D5A">
          <w:rPr>
            <w:rFonts w:ascii="Times New Roman" w:hAnsi="Times New Roman" w:cs="Times New Roman"/>
            <w:color w:val="1155CC"/>
            <w:u w:val="single"/>
          </w:rPr>
          <w:t>https://reliefweb.int/report/tajikistan/intersection-disabilities-and-violence-against-women-and-girls-tajikistan</w:t>
        </w:r>
      </w:hyperlink>
      <w:r w:rsidRPr="000A2D5A">
        <w:rPr>
          <w:rFonts w:ascii="Times New Roman" w:hAnsi="Times New Roman" w:cs="Times New Roman"/>
        </w:rPr>
        <w:t>, p. 5</w:t>
      </w:r>
    </w:p>
  </w:footnote>
  <w:footnote w:id="24">
    <w:p w14:paraId="7E4ABFA8" w14:textId="77777777" w:rsidR="00B64DCF" w:rsidRPr="000A2D5A" w:rsidRDefault="00000000">
      <w:pPr>
        <w:spacing w:line="240" w:lineRule="auto"/>
        <w:rPr>
          <w:rFonts w:ascii="Times New Roman" w:hAnsi="Times New Roman" w:cs="Times New Roman"/>
        </w:rPr>
      </w:pPr>
      <w:r w:rsidRPr="000A2D5A">
        <w:rPr>
          <w:rFonts w:ascii="Times New Roman" w:hAnsi="Times New Roman" w:cs="Times New Roman"/>
          <w:vertAlign w:val="superscript"/>
        </w:rPr>
        <w:footnoteRef/>
      </w:r>
      <w:r w:rsidRPr="000A2D5A">
        <w:rPr>
          <w:rFonts w:ascii="Times New Roman" w:hAnsi="Times New Roman" w:cs="Times New Roman"/>
        </w:rPr>
        <w:t xml:space="preserve"> </w:t>
      </w:r>
      <w:hyperlink r:id="rId9">
        <w:r w:rsidRPr="000A2D5A">
          <w:rPr>
            <w:rFonts w:ascii="Times New Roman" w:hAnsi="Times New Roman" w:cs="Times New Roman"/>
            <w:color w:val="1155CC"/>
            <w:u w:val="single"/>
          </w:rPr>
          <w:t>https://www.weforum.org/publications/global-gender-gap-report-2023/in-full/</w:t>
        </w:r>
      </w:hyperlink>
      <w:r w:rsidRPr="000A2D5A">
        <w:rPr>
          <w:rFonts w:ascii="Times New Roman" w:hAnsi="Times New Roman" w:cs="Times New Roman"/>
        </w:rPr>
        <w:t xml:space="preserve">  </w:t>
      </w:r>
    </w:p>
  </w:footnote>
  <w:footnote w:id="25">
    <w:p w14:paraId="14A78526" w14:textId="77777777" w:rsidR="00B64DCF" w:rsidRPr="000A2D5A" w:rsidRDefault="00000000">
      <w:pPr>
        <w:spacing w:line="240" w:lineRule="auto"/>
        <w:rPr>
          <w:rFonts w:ascii="Times New Roman" w:hAnsi="Times New Roman" w:cs="Times New Roman"/>
        </w:rPr>
      </w:pPr>
      <w:r w:rsidRPr="000A2D5A">
        <w:rPr>
          <w:rFonts w:ascii="Times New Roman" w:hAnsi="Times New Roman" w:cs="Times New Roman"/>
          <w:vertAlign w:val="superscript"/>
        </w:rPr>
        <w:footnoteRef/>
      </w:r>
      <w:r w:rsidRPr="000A2D5A">
        <w:rPr>
          <w:rFonts w:ascii="Times New Roman" w:hAnsi="Times New Roman" w:cs="Times New Roman"/>
        </w:rPr>
        <w:t xml:space="preserve"> </w:t>
      </w:r>
      <w:hyperlink r:id="rId10" w:anchor="3">
        <w:r w:rsidRPr="000A2D5A">
          <w:rPr>
            <w:rFonts w:ascii="Times New Roman" w:hAnsi="Times New Roman" w:cs="Times New Roman"/>
            <w:color w:val="1155CC"/>
            <w:u w:val="single"/>
          </w:rPr>
          <w:t>https://evaw-global-database.unwomen.org/en/countries/asia/tajikistan?formofviolence=e1617fa638ca4041900fea9b9194c9d4#3</w:t>
        </w:r>
      </w:hyperlink>
      <w:r w:rsidRPr="000A2D5A">
        <w:rPr>
          <w:rFonts w:ascii="Times New Roman" w:hAnsi="Times New Roman" w:cs="Times New Roman"/>
        </w:rPr>
        <w:t xml:space="preserve">  </w:t>
      </w:r>
    </w:p>
  </w:footnote>
  <w:footnote w:id="26">
    <w:p w14:paraId="79ABB2AE" w14:textId="77777777" w:rsidR="00B64DCF" w:rsidRPr="000A2D5A" w:rsidRDefault="00000000">
      <w:pPr>
        <w:spacing w:line="240" w:lineRule="auto"/>
        <w:rPr>
          <w:rFonts w:ascii="Times New Roman" w:hAnsi="Times New Roman" w:cs="Times New Roman"/>
        </w:rPr>
      </w:pPr>
      <w:r w:rsidRPr="000A2D5A">
        <w:rPr>
          <w:rFonts w:ascii="Times New Roman" w:hAnsi="Times New Roman" w:cs="Times New Roman"/>
          <w:vertAlign w:val="superscript"/>
        </w:rPr>
        <w:footnoteRef/>
      </w:r>
      <w:r w:rsidRPr="000A2D5A">
        <w:rPr>
          <w:rFonts w:ascii="Times New Roman" w:hAnsi="Times New Roman" w:cs="Times New Roman"/>
        </w:rPr>
        <w:t xml:space="preserve"> </w:t>
      </w:r>
      <w:hyperlink r:id="rId11">
        <w:r w:rsidRPr="000A2D5A">
          <w:rPr>
            <w:rFonts w:ascii="Times New Roman" w:hAnsi="Times New Roman" w:cs="Times New Roman"/>
            <w:color w:val="1155CC"/>
            <w:u w:val="single"/>
          </w:rPr>
          <w:t>https://rus.ozodi.org/a/29852532.html</w:t>
        </w:r>
      </w:hyperlink>
      <w:r w:rsidRPr="000A2D5A">
        <w:rPr>
          <w:rFonts w:ascii="Times New Roman" w:hAnsi="Times New Roman" w:cs="Times New Roman"/>
        </w:rPr>
        <w:t xml:space="preserve">  </w:t>
      </w:r>
    </w:p>
  </w:footnote>
  <w:footnote w:id="27">
    <w:p w14:paraId="4AF2C009" w14:textId="77777777" w:rsidR="00B64DCF" w:rsidRPr="000A2D5A" w:rsidRDefault="00000000">
      <w:pPr>
        <w:spacing w:line="240" w:lineRule="auto"/>
        <w:rPr>
          <w:rFonts w:ascii="Times New Roman" w:hAnsi="Times New Roman" w:cs="Times New Roman"/>
        </w:rPr>
      </w:pPr>
      <w:r w:rsidRPr="000A2D5A">
        <w:rPr>
          <w:rFonts w:ascii="Times New Roman" w:hAnsi="Times New Roman" w:cs="Times New Roman"/>
          <w:vertAlign w:val="superscript"/>
        </w:rPr>
        <w:footnoteRef/>
      </w:r>
      <w:r w:rsidRPr="000A2D5A">
        <w:rPr>
          <w:rFonts w:ascii="Times New Roman" w:hAnsi="Times New Roman" w:cs="Times New Roman"/>
        </w:rPr>
        <w:t xml:space="preserve"> </w:t>
      </w:r>
      <w:hyperlink r:id="rId12">
        <w:r w:rsidRPr="000A2D5A">
          <w:rPr>
            <w:rFonts w:ascii="Times New Roman" w:hAnsi="Times New Roman" w:cs="Times New Roman"/>
            <w:color w:val="1155CC"/>
            <w:u w:val="single"/>
          </w:rPr>
          <w:t>https://tbinternet.ohchr.org/_layouts/15/TreatyBodyExternal/DownloadDraft.aspx?key=ymB6nZIkmtMHmD4fHNtFChYCbCTIXuujvnwcvBzYsaQOcJ6X8J3+YYbBUB/3ADbvPUNQCtSaaY0qZ4fyAmg3BA==</w:t>
        </w:r>
      </w:hyperlink>
      <w:r w:rsidRPr="000A2D5A">
        <w:rPr>
          <w:rFonts w:ascii="Times New Roman" w:hAnsi="Times New Roman"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A282C" w14:textId="77777777" w:rsidR="00B64DCF" w:rsidRDefault="00B64DCF">
    <w:pPr>
      <w:spacing w:line="240" w:lineRule="auto"/>
      <w:jc w:val="center"/>
    </w:pPr>
  </w:p>
  <w:p w14:paraId="0784091D" w14:textId="77777777" w:rsidR="00B64DCF" w:rsidRDefault="00000000" w:rsidP="000A2D5A">
    <w:pPr>
      <w:spacing w:line="240" w:lineRule="auto"/>
      <w:jc w:val="center"/>
    </w:pPr>
    <w:r>
      <w:rPr>
        <w:noProof/>
      </w:rPr>
      <w:drawing>
        <wp:inline distT="0" distB="0" distL="114300" distR="114300" wp14:anchorId="72ED4820" wp14:editId="13F4D82F">
          <wp:extent cx="2586038" cy="862013"/>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586038" cy="862013"/>
                  </a:xfrm>
                  <a:prstGeom prst="rect">
                    <a:avLst/>
                  </a:prstGeom>
                  <a:ln/>
                </pic:spPr>
              </pic:pic>
            </a:graphicData>
          </a:graphic>
        </wp:inline>
      </w:drawing>
    </w:r>
    <w:r>
      <w:rPr>
        <w:noProof/>
      </w:rPr>
      <w:drawing>
        <wp:inline distT="114300" distB="114300" distL="114300" distR="114300" wp14:anchorId="33162D8F" wp14:editId="74DEA069">
          <wp:extent cx="1828800" cy="1353702"/>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
                  <a:srcRect/>
                  <a:stretch>
                    <a:fillRect/>
                  </a:stretch>
                </pic:blipFill>
                <pic:spPr>
                  <a:xfrm>
                    <a:off x="0" y="0"/>
                    <a:ext cx="1828800" cy="135370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EE7BDF"/>
    <w:multiLevelType w:val="multilevel"/>
    <w:tmpl w:val="E088550E"/>
    <w:lvl w:ilvl="0">
      <w:start w:val="1"/>
      <w:numFmt w:val="decimal"/>
      <w:lvlText w:val="%1."/>
      <w:lvlJc w:val="left"/>
      <w:pPr>
        <w:ind w:left="720" w:hanging="360"/>
      </w:pPr>
      <w:rPr>
        <w:rFonts w:ascii="Times New Roman" w:eastAsia="Times New Roman" w:hAnsi="Times New Roman" w:cs="Times New Roman"/>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F4719C3"/>
    <w:multiLevelType w:val="multilevel"/>
    <w:tmpl w:val="F51609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3F552F8"/>
    <w:multiLevelType w:val="multilevel"/>
    <w:tmpl w:val="6FD251B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016618749">
    <w:abstractNumId w:val="1"/>
  </w:num>
  <w:num w:numId="2" w16cid:durableId="1827088592">
    <w:abstractNumId w:val="2"/>
  </w:num>
  <w:num w:numId="3" w16cid:durableId="13300574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4DCF"/>
    <w:rsid w:val="000A2D5A"/>
    <w:rsid w:val="001B0077"/>
    <w:rsid w:val="00B64D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73F898C"/>
  <w15:docId w15:val="{05A7D8F1-1514-4A4C-A421-B4BB7C64F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0A2D5A"/>
    <w:pPr>
      <w:tabs>
        <w:tab w:val="center" w:pos="4680"/>
        <w:tab w:val="right" w:pos="9360"/>
      </w:tabs>
      <w:spacing w:line="240" w:lineRule="auto"/>
    </w:pPr>
  </w:style>
  <w:style w:type="character" w:customStyle="1" w:styleId="HeaderChar">
    <w:name w:val="Header Char"/>
    <w:basedOn w:val="DefaultParagraphFont"/>
    <w:link w:val="Header"/>
    <w:uiPriority w:val="99"/>
    <w:rsid w:val="000A2D5A"/>
  </w:style>
  <w:style w:type="paragraph" w:styleId="Footer">
    <w:name w:val="footer"/>
    <w:basedOn w:val="Normal"/>
    <w:link w:val="FooterChar"/>
    <w:uiPriority w:val="99"/>
    <w:unhideWhenUsed/>
    <w:rsid w:val="000A2D5A"/>
    <w:pPr>
      <w:tabs>
        <w:tab w:val="center" w:pos="4680"/>
        <w:tab w:val="right" w:pos="9360"/>
      </w:tabs>
      <w:spacing w:line="240" w:lineRule="auto"/>
    </w:pPr>
  </w:style>
  <w:style w:type="character" w:customStyle="1" w:styleId="FooterChar">
    <w:name w:val="Footer Char"/>
    <w:basedOn w:val="DefaultParagraphFont"/>
    <w:link w:val="Footer"/>
    <w:uiPriority w:val="99"/>
    <w:rsid w:val="000A2D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cedaw@ohchr.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reliefweb.int/report/tajikistan/intersection-disabilities-and-violence-against-women-and-girls-tajikistan" TargetMode="External"/><Relationship Id="rId3" Type="http://schemas.openxmlformats.org/officeDocument/2006/relationships/hyperlink" Target="https://www.facebook.com/WomenLawyersforDevelopment/" TargetMode="External"/><Relationship Id="rId7" Type="http://schemas.openxmlformats.org/officeDocument/2006/relationships/hyperlink" Target="https://www.hrw.org/report/2019/09/19/violence-every-step/weak-state-response-domestic-violence-tajikistan" TargetMode="External"/><Relationship Id="rId12" Type="http://schemas.openxmlformats.org/officeDocument/2006/relationships/hyperlink" Target="https://tbinternet.ohchr.org/_layouts/15/TreatyBodyExternal/DownloadDraft.aspx?key=ymB6nZIkmtMHmD4fHNtFChYCbCTIXuujvnwcvBzYsaQOcJ6X8J3+YYbBUB/3ADbvPUNQCtSaaY0qZ4fyAmg3BA==" TargetMode="External"/><Relationship Id="rId2" Type="http://schemas.openxmlformats.org/officeDocument/2006/relationships/hyperlink" Target="https://www.equalitynow.org/resource/roadblocks_to_justice/" TargetMode="External"/><Relationship Id="rId1" Type="http://schemas.openxmlformats.org/officeDocument/2006/relationships/hyperlink" Target="https://www.equalitynow.org/" TargetMode="External"/><Relationship Id="rId6" Type="http://schemas.openxmlformats.org/officeDocument/2006/relationships/hyperlink" Target="https://www.hrw.org/report/2019/09/19/violence-every-step/weak-state-response-domestic-violence-tajikistan" TargetMode="External"/><Relationship Id="rId11" Type="http://schemas.openxmlformats.org/officeDocument/2006/relationships/hyperlink" Target="https://rus.ozodi.org/a/29852532.html" TargetMode="External"/><Relationship Id="rId5" Type="http://schemas.openxmlformats.org/officeDocument/2006/relationships/hyperlink" Target="https://www.spotlightinitiative.org/publications/baseline-study-peoples-perception-violence-against-women-and-girls-tajikistan-within" TargetMode="External"/><Relationship Id="rId10" Type="http://schemas.openxmlformats.org/officeDocument/2006/relationships/hyperlink" Target="https://evaw-global-database.unwomen.org/en/countries/asia/tajikistan?formofviolence=e1617fa638ca4041900fea9b9194c9d4" TargetMode="External"/><Relationship Id="rId4" Type="http://schemas.openxmlformats.org/officeDocument/2006/relationships/hyperlink" Target="https://www.undp.org/sites/g/files/zskgke326/files/migration/tj/UNDP-TJK-Pub_2021_06-1_Final_SurveyRU_12102020.pdf" TargetMode="External"/><Relationship Id="rId9" Type="http://schemas.openxmlformats.org/officeDocument/2006/relationships/hyperlink" Target="https://www.weforum.org/publications/global-gender-gap-report-2023/in-ful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FxfBLT12v0WM5ilN+uIi9clHSA==">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2DBA751-6614-F04A-A0E2-5B1CD1646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4702</Words>
  <Characters>26805</Characters>
  <Application>Microsoft Office Word</Application>
  <DocSecurity>0</DocSecurity>
  <Lines>223</Lines>
  <Paragraphs>62</Paragraphs>
  <ScaleCrop>false</ScaleCrop>
  <Company/>
  <LinksUpToDate>false</LinksUpToDate>
  <CharactersWithSpaces>31445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Patsalides</cp:lastModifiedBy>
  <cp:revision>2</cp:revision>
  <dcterms:created xsi:type="dcterms:W3CDTF">2023-12-20T13:32:00Z</dcterms:created>
  <dcterms:modified xsi:type="dcterms:W3CDTF">2023-12-20T13:32:00Z</dcterms:modified>
</cp:coreProperties>
</file>