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21565" w14:textId="3916AE64" w:rsidR="00A57B46" w:rsidRDefault="005E275D" w:rsidP="00121423">
      <w:pPr>
        <w:jc w:val="both"/>
        <w:rPr>
          <w:b/>
          <w:bCs/>
        </w:rPr>
      </w:pPr>
      <w:r>
        <w:rPr>
          <w:b/>
          <w:bCs/>
          <w:noProof/>
        </w:rPr>
        <w:drawing>
          <wp:anchor distT="0" distB="0" distL="114300" distR="114300" simplePos="0" relativeHeight="251659264" behindDoc="0" locked="0" layoutInCell="1" allowOverlap="1" wp14:anchorId="71B59D7F" wp14:editId="52FEEBF6">
            <wp:simplePos x="0" y="0"/>
            <wp:positionH relativeFrom="margin">
              <wp:posOffset>-152400</wp:posOffset>
            </wp:positionH>
            <wp:positionV relativeFrom="margin">
              <wp:posOffset>-491148</wp:posOffset>
            </wp:positionV>
            <wp:extent cx="944880" cy="959196"/>
            <wp:effectExtent l="0" t="0" r="7620" b="0"/>
            <wp:wrapSquare wrapText="bothSides"/>
            <wp:docPr id="173269667" name="Picture 1" descr="A logo with people in the ce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69667" name="Picture 1" descr="A logo with people in the cent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944880" cy="959196"/>
                    </a:xfrm>
                    <a:prstGeom prst="rect">
                      <a:avLst/>
                    </a:prstGeom>
                  </pic:spPr>
                </pic:pic>
              </a:graphicData>
            </a:graphic>
          </wp:anchor>
        </w:drawing>
      </w:r>
    </w:p>
    <w:p w14:paraId="1D1EB76D" w14:textId="0FE668AF" w:rsidR="00A57B46" w:rsidRDefault="00A57B46" w:rsidP="00121423">
      <w:pPr>
        <w:jc w:val="both"/>
        <w:rPr>
          <w:b/>
          <w:bCs/>
        </w:rPr>
      </w:pPr>
    </w:p>
    <w:p w14:paraId="57E2964C" w14:textId="7CADF82C" w:rsidR="00A57B46" w:rsidRDefault="00A57B46" w:rsidP="00121423">
      <w:pPr>
        <w:jc w:val="both"/>
        <w:rPr>
          <w:b/>
          <w:bCs/>
        </w:rPr>
      </w:pPr>
    </w:p>
    <w:p w14:paraId="5F7BE5CE" w14:textId="3E6F88DF" w:rsidR="0050608C" w:rsidRPr="00976C40" w:rsidRDefault="0050608C" w:rsidP="00121423">
      <w:pPr>
        <w:pStyle w:val="Heading1"/>
        <w:jc w:val="both"/>
        <w:rPr>
          <w:sz w:val="44"/>
          <w:szCs w:val="44"/>
        </w:rPr>
      </w:pPr>
      <w:r w:rsidRPr="00976C40">
        <w:rPr>
          <w:sz w:val="44"/>
          <w:szCs w:val="44"/>
        </w:rPr>
        <w:t>Submission to the Committee on the Rights of Persons with Disabilities</w:t>
      </w:r>
    </w:p>
    <w:p w14:paraId="2F2BFA4D" w14:textId="71EC74F9" w:rsidR="0050608C" w:rsidRPr="0050608C" w:rsidRDefault="0050608C" w:rsidP="00121423">
      <w:pPr>
        <w:spacing w:after="160" w:line="278" w:lineRule="auto"/>
        <w:jc w:val="both"/>
        <w:rPr>
          <w:rStyle w:val="IntenseReference"/>
          <w:sz w:val="28"/>
          <w:szCs w:val="28"/>
        </w:rPr>
      </w:pPr>
      <w:r w:rsidRPr="0050608C">
        <w:rPr>
          <w:rStyle w:val="IntenseReference"/>
          <w:sz w:val="28"/>
          <w:szCs w:val="28"/>
        </w:rPr>
        <w:t>The Situation of Persons with Disabilities Affected by War in the Occupied Palestinian Territory</w:t>
      </w:r>
    </w:p>
    <w:p w14:paraId="172CB140" w14:textId="150964C2" w:rsidR="0050608C" w:rsidRPr="00E405E0" w:rsidRDefault="0050608C" w:rsidP="00121423">
      <w:pPr>
        <w:jc w:val="both"/>
        <w:rPr>
          <w:b/>
          <w:bCs/>
          <w:smallCaps/>
          <w:color w:val="0F4761" w:themeColor="accent1" w:themeShade="BF"/>
          <w:spacing w:val="5"/>
          <w:sz w:val="28"/>
          <w:szCs w:val="28"/>
        </w:rPr>
      </w:pPr>
      <w:r w:rsidRPr="0050608C">
        <w:rPr>
          <w:rStyle w:val="IntenseReference"/>
          <w:sz w:val="28"/>
          <w:szCs w:val="28"/>
        </w:rPr>
        <w:t>Submitted by Atfaluna Society for Deaf Children</w:t>
      </w:r>
    </w:p>
    <w:p w14:paraId="69F71463" w14:textId="77777777" w:rsidR="00E405E0" w:rsidRPr="00F82A4E" w:rsidRDefault="00E405E0" w:rsidP="00121423">
      <w:pPr>
        <w:jc w:val="both"/>
        <w:rPr>
          <w:rFonts w:ascii="Candara" w:eastAsia="Candara" w:hAnsi="Candara" w:cs="Candara"/>
          <w:b/>
          <w:u w:val="single"/>
        </w:rPr>
      </w:pPr>
      <w:r w:rsidRPr="00F82A4E">
        <w:rPr>
          <w:rFonts w:ascii="Candara" w:eastAsia="Candara" w:hAnsi="Candara" w:cs="Candara"/>
          <w:b/>
          <w:u w:val="single"/>
        </w:rPr>
        <w:t>About Atfaluna:</w:t>
      </w:r>
    </w:p>
    <w:p w14:paraId="1B6C7B30" w14:textId="6EB475F6" w:rsidR="00E405E0" w:rsidRDefault="00E405E0" w:rsidP="00121423">
      <w:pPr>
        <w:jc w:val="both"/>
        <w:rPr>
          <w:rFonts w:ascii="Candara" w:eastAsia="Candara" w:hAnsi="Candara" w:cs="Candara"/>
        </w:rPr>
      </w:pPr>
      <w:r>
        <w:rPr>
          <w:rFonts w:ascii="Candara" w:eastAsia="Candara" w:hAnsi="Candara" w:cs="Candara"/>
        </w:rPr>
        <w:t xml:space="preserve">Atfaluna Society for Deaf Children (ASDC) is a local NGO, established in 1992 in Gaza City, </w:t>
      </w:r>
      <w:proofErr w:type="gramStart"/>
      <w:r>
        <w:rPr>
          <w:rFonts w:ascii="Candara" w:eastAsia="Candara" w:hAnsi="Candara" w:cs="Candara"/>
        </w:rPr>
        <w:t>in order to</w:t>
      </w:r>
      <w:proofErr w:type="gramEnd"/>
      <w:r>
        <w:rPr>
          <w:rFonts w:ascii="Candara" w:eastAsia="Candara" w:hAnsi="Candara" w:cs="Candara"/>
        </w:rPr>
        <w:t xml:space="preserve"> help persons with hearing disability in the Gaza Strip to have their chance in life through education, rehabilitation, and job training and employment opportunities.  From its establishment as a small school for the students with hearing disability serving 27 pupils in 1992, Atfaluna now serves more than 40,000 persons with and without disabilities annually through a multitude of interventions and training programs implemented within a holistic and right-based and inclusive approaches involving children and adults with without disabilities, their families, service providers organizations, and the community-at-large.</w:t>
      </w:r>
    </w:p>
    <w:p w14:paraId="2BBEA5AC" w14:textId="77777777" w:rsidR="00E405E0" w:rsidRPr="002C2A9D" w:rsidRDefault="00E405E0" w:rsidP="00121423">
      <w:pPr>
        <w:jc w:val="both"/>
        <w:rPr>
          <w:rFonts w:ascii="Candara" w:eastAsia="Candara" w:hAnsi="Candara" w:cs="Candara"/>
          <w:b/>
          <w:bCs/>
          <w:u w:val="single"/>
        </w:rPr>
      </w:pPr>
      <w:r w:rsidRPr="002C2A9D">
        <w:rPr>
          <w:rFonts w:ascii="Candara" w:eastAsia="Candara" w:hAnsi="Candara" w:cs="Candara"/>
          <w:b/>
          <w:bCs/>
          <w:u w:val="single"/>
        </w:rPr>
        <w:t xml:space="preserve">Vision: </w:t>
      </w:r>
    </w:p>
    <w:p w14:paraId="4BE68B07" w14:textId="77777777" w:rsidR="00E405E0" w:rsidRDefault="00E405E0" w:rsidP="00121423">
      <w:pPr>
        <w:jc w:val="both"/>
        <w:rPr>
          <w:rFonts w:ascii="Candara" w:eastAsia="Candara" w:hAnsi="Candara" w:cs="Candara"/>
        </w:rPr>
      </w:pPr>
      <w:r w:rsidRPr="002C2A9D">
        <w:rPr>
          <w:rFonts w:ascii="Candara" w:eastAsia="Candara" w:hAnsi="Candara" w:cs="Candara"/>
        </w:rPr>
        <w:t xml:space="preserve">A Palestinian disability inclusive society where persons with disabilities enjoy their full rights. </w:t>
      </w:r>
    </w:p>
    <w:p w14:paraId="667079AF" w14:textId="77777777" w:rsidR="00E405E0" w:rsidRPr="002C2A9D" w:rsidRDefault="00E405E0" w:rsidP="00121423">
      <w:pPr>
        <w:jc w:val="both"/>
        <w:rPr>
          <w:rFonts w:ascii="Candara" w:eastAsia="Candara" w:hAnsi="Candara" w:cs="Candara"/>
          <w:b/>
          <w:bCs/>
          <w:u w:val="single"/>
        </w:rPr>
      </w:pPr>
      <w:r w:rsidRPr="002C2A9D">
        <w:rPr>
          <w:rFonts w:ascii="Candara" w:eastAsia="Candara" w:hAnsi="Candara" w:cs="Candara"/>
          <w:b/>
          <w:bCs/>
          <w:u w:val="single"/>
        </w:rPr>
        <w:t xml:space="preserve">Mission: </w:t>
      </w:r>
    </w:p>
    <w:p w14:paraId="03F92F3B" w14:textId="77777777" w:rsidR="00E405E0" w:rsidRDefault="00E405E0" w:rsidP="00121423">
      <w:pPr>
        <w:jc w:val="both"/>
        <w:rPr>
          <w:rFonts w:ascii="Candara" w:eastAsia="Candara" w:hAnsi="Candara" w:cs="Candara"/>
        </w:rPr>
      </w:pPr>
      <w:r w:rsidRPr="002C2A9D">
        <w:rPr>
          <w:rFonts w:ascii="Candara" w:eastAsia="Candara" w:hAnsi="Candara" w:cs="Candara"/>
        </w:rPr>
        <w:t>Atfaluna Society for Deaf Children is a non-profit organization that works to empower persons with hearing disability in the Gaza Strip within a disability-inclusive development framework to ensure quality of life</w:t>
      </w:r>
      <w:r>
        <w:rPr>
          <w:rFonts w:ascii="Candara" w:eastAsia="Candara" w:hAnsi="Candara" w:cs="Candara"/>
        </w:rPr>
        <w:t>.</w:t>
      </w:r>
    </w:p>
    <w:p w14:paraId="217D962E" w14:textId="77777777" w:rsidR="00E405E0" w:rsidRDefault="00E405E0" w:rsidP="00121423">
      <w:pPr>
        <w:jc w:val="both"/>
      </w:pPr>
    </w:p>
    <w:p w14:paraId="03C392B7" w14:textId="77777777" w:rsidR="00AE4A1D" w:rsidRDefault="00AE4A1D" w:rsidP="00121423">
      <w:pPr>
        <w:jc w:val="both"/>
      </w:pPr>
    </w:p>
    <w:p w14:paraId="3365C5CA" w14:textId="77777777" w:rsidR="00AE4A1D" w:rsidRDefault="00AE4A1D" w:rsidP="00121423">
      <w:pPr>
        <w:jc w:val="both"/>
      </w:pPr>
    </w:p>
    <w:p w14:paraId="55739D41" w14:textId="77777777" w:rsidR="00AE4A1D" w:rsidRDefault="00AE4A1D" w:rsidP="00121423">
      <w:pPr>
        <w:jc w:val="both"/>
      </w:pPr>
    </w:p>
    <w:p w14:paraId="64D09844" w14:textId="77777777" w:rsidR="00AE4A1D" w:rsidRDefault="00AE4A1D" w:rsidP="00121423">
      <w:pPr>
        <w:jc w:val="both"/>
      </w:pPr>
    </w:p>
    <w:p w14:paraId="6E99B90D" w14:textId="77777777" w:rsidR="00AE4A1D" w:rsidRDefault="00AE4A1D" w:rsidP="00121423">
      <w:pPr>
        <w:jc w:val="both"/>
      </w:pPr>
    </w:p>
    <w:p w14:paraId="03475B79" w14:textId="77777777" w:rsidR="00AE4A1D" w:rsidRDefault="00AE4A1D" w:rsidP="00121423">
      <w:pPr>
        <w:jc w:val="both"/>
      </w:pPr>
    </w:p>
    <w:p w14:paraId="3518C072" w14:textId="77777777" w:rsidR="00121423" w:rsidRDefault="00121423" w:rsidP="00121423">
      <w:pPr>
        <w:jc w:val="both"/>
      </w:pPr>
    </w:p>
    <w:p w14:paraId="18779223" w14:textId="77777777" w:rsidR="00121423" w:rsidRDefault="00121423" w:rsidP="00121423">
      <w:pPr>
        <w:jc w:val="both"/>
      </w:pPr>
    </w:p>
    <w:p w14:paraId="096984DA" w14:textId="77777777" w:rsidR="00121423" w:rsidRDefault="00121423" w:rsidP="00121423">
      <w:pPr>
        <w:jc w:val="both"/>
      </w:pPr>
    </w:p>
    <w:p w14:paraId="7A923CCB" w14:textId="77777777" w:rsidR="00121423" w:rsidRDefault="00121423" w:rsidP="00121423">
      <w:pPr>
        <w:jc w:val="both"/>
      </w:pPr>
    </w:p>
    <w:p w14:paraId="4D1693F8" w14:textId="77777777" w:rsidR="00AE4A1D" w:rsidRPr="0050608C" w:rsidRDefault="00AE4A1D" w:rsidP="00121423">
      <w:pPr>
        <w:spacing w:after="160" w:line="278" w:lineRule="auto"/>
        <w:jc w:val="both"/>
      </w:pPr>
    </w:p>
    <w:p w14:paraId="28988F43" w14:textId="77777777" w:rsidR="0050608C" w:rsidRPr="0050608C" w:rsidRDefault="0050608C" w:rsidP="00B00F13">
      <w:pPr>
        <w:shd w:val="clear" w:color="auto" w:fill="F4FDD5"/>
        <w:spacing w:after="160" w:line="278" w:lineRule="auto"/>
        <w:jc w:val="both"/>
      </w:pPr>
      <w:r w:rsidRPr="0050608C">
        <w:rPr>
          <w:b/>
          <w:bCs/>
        </w:rPr>
        <w:lastRenderedPageBreak/>
        <w:t>1. Introduction: Scope and Legal Basis</w:t>
      </w:r>
    </w:p>
    <w:p w14:paraId="7FBCBADA" w14:textId="77777777" w:rsidR="0050608C" w:rsidRPr="0050608C" w:rsidRDefault="0050608C" w:rsidP="00121423">
      <w:pPr>
        <w:spacing w:after="160" w:line="278" w:lineRule="auto"/>
        <w:jc w:val="both"/>
      </w:pPr>
      <w:r w:rsidRPr="0050608C">
        <w:t xml:space="preserve">This submission is presented by Atfaluna Society for Deaf Children (ASDC), a leading Palestinian organization providing inclusive services in the Gaza Strip since 1992. ASDC submits this report under the framework of Article 11 of the UN Convention on the Rights of Persons with Disabilities (UNCRPD), which mandates that States Parties take all necessary measures to ensure the protection and safety of </w:t>
      </w:r>
      <w:proofErr w:type="gramStart"/>
      <w:r w:rsidRPr="0050608C">
        <w:t>persons</w:t>
      </w:r>
      <w:proofErr w:type="gramEnd"/>
      <w:r w:rsidRPr="0050608C">
        <w:t xml:space="preserve"> with disabilities in situations of risk, including armed conflict and humanitarian emergencies.</w:t>
      </w:r>
    </w:p>
    <w:p w14:paraId="06594246" w14:textId="77777777" w:rsidR="0050608C" w:rsidRPr="0050608C" w:rsidRDefault="0050608C" w:rsidP="00121423">
      <w:pPr>
        <w:spacing w:after="160" w:line="278" w:lineRule="auto"/>
        <w:jc w:val="both"/>
      </w:pPr>
      <w:r w:rsidRPr="0050608C">
        <w:t>The situation in the Gaza Strip since October 2023 has evolved into a catastrophic humanitarian crisis, characterized by systematic attacks on civilians and civilian infrastructure, mass displacement, economic collapse, and a near-total breakdown of health, education, and protection systems. In this context, persons with disabilities, including children, older persons, and women and girls with disabilities, have suffered disproportionate harm and deprivation, as documented through coordinated assessments by ASDC, OCHA, WHO, ACAPS, and the Protection Cluster.</w:t>
      </w:r>
    </w:p>
    <w:p w14:paraId="0134F2DB" w14:textId="36620473" w:rsidR="0050608C" w:rsidRPr="0050608C" w:rsidRDefault="0050608C" w:rsidP="00121423">
      <w:pPr>
        <w:shd w:val="clear" w:color="auto" w:fill="C1E4F5" w:themeFill="accent1" w:themeFillTint="33"/>
        <w:spacing w:after="160" w:line="278" w:lineRule="auto"/>
        <w:jc w:val="both"/>
        <w:rPr>
          <w:b/>
          <w:bCs/>
        </w:rPr>
      </w:pPr>
      <w:r w:rsidRPr="0050608C">
        <w:rPr>
          <w:b/>
          <w:bCs/>
        </w:rPr>
        <w:t xml:space="preserve">This submission draws upon three primary sources: (1) </w:t>
      </w:r>
      <w:hyperlink r:id="rId9" w:history="1">
        <w:r w:rsidRPr="008203D6">
          <w:rPr>
            <w:rStyle w:val="Hyperlink"/>
            <w:b/>
            <w:bCs/>
          </w:rPr>
          <w:t>the July 2025 Protection Analysis Update by the Protection Cluster</w:t>
        </w:r>
      </w:hyperlink>
      <w:r w:rsidRPr="0050608C">
        <w:rPr>
          <w:b/>
          <w:bCs/>
        </w:rPr>
        <w:t>; (2)</w:t>
      </w:r>
      <w:hyperlink r:id="rId10" w:history="1">
        <w:r w:rsidRPr="007539E6">
          <w:rPr>
            <w:rStyle w:val="Hyperlink"/>
            <w:b/>
            <w:bCs/>
          </w:rPr>
          <w:t xml:space="preserve"> ASDC's Situation Report (March 2025)</w:t>
        </w:r>
      </w:hyperlink>
      <w:r w:rsidRPr="0050608C">
        <w:rPr>
          <w:b/>
          <w:bCs/>
        </w:rPr>
        <w:t xml:space="preserve">; and (3) </w:t>
      </w:r>
      <w:hyperlink r:id="rId11" w:history="1">
        <w:r w:rsidRPr="00BD2A90">
          <w:rPr>
            <w:rStyle w:val="Hyperlink"/>
            <w:b/>
            <w:bCs/>
          </w:rPr>
          <w:t>ASDC’s Education Matters Needs Assessment (July 2024)</w:t>
        </w:r>
      </w:hyperlink>
      <w:r w:rsidRPr="0050608C">
        <w:rPr>
          <w:b/>
          <w:bCs/>
        </w:rPr>
        <w:t>. All findings are referenced accordingly.</w:t>
      </w:r>
    </w:p>
    <w:p w14:paraId="67557BC5" w14:textId="77777777" w:rsidR="0050608C" w:rsidRPr="0050608C" w:rsidRDefault="0050608C" w:rsidP="00B00F13">
      <w:pPr>
        <w:shd w:val="clear" w:color="auto" w:fill="F4FDD5"/>
        <w:spacing w:after="160" w:line="278" w:lineRule="auto"/>
        <w:jc w:val="both"/>
      </w:pPr>
      <w:r w:rsidRPr="0050608C">
        <w:rPr>
          <w:b/>
          <w:bCs/>
        </w:rPr>
        <w:t>2. The Disproportionate Impact of Armed Conflict on Persons with Disabilities in Gaza</w:t>
      </w:r>
    </w:p>
    <w:p w14:paraId="557A27F5" w14:textId="50C88E75" w:rsidR="0050608C" w:rsidRPr="0050608C" w:rsidRDefault="0050608C" w:rsidP="00121423">
      <w:pPr>
        <w:spacing w:after="160" w:line="278" w:lineRule="auto"/>
        <w:jc w:val="both"/>
      </w:pPr>
      <w:r w:rsidRPr="0050608C">
        <w:t xml:space="preserve">Since 7 October 2023, </w:t>
      </w:r>
      <w:r w:rsidR="002A3522">
        <w:t>the war against the Gaza Strip</w:t>
      </w:r>
      <w:r w:rsidRPr="0050608C">
        <w:t xml:space="preserve"> resulted in over </w:t>
      </w:r>
      <w:r w:rsidR="00C4527F" w:rsidRPr="00C4527F">
        <w:t>61,158</w:t>
      </w:r>
      <w:r w:rsidR="00C4527F">
        <w:t xml:space="preserve"> </w:t>
      </w:r>
      <w:r w:rsidRPr="0050608C">
        <w:t xml:space="preserve">deaths and </w:t>
      </w:r>
      <w:r w:rsidR="000D5FD8" w:rsidRPr="000D5FD8">
        <w:t>151,442</w:t>
      </w:r>
      <w:r w:rsidR="000D5FD8">
        <w:t xml:space="preserve"> </w:t>
      </w:r>
      <w:r w:rsidRPr="0050608C">
        <w:t>injuries in Gaza, with an estimated 25% of injuries resulting in new, permanent disabilities requiring ongoing rehabilitation.</w:t>
      </w:r>
      <w:r w:rsidR="00D45C78">
        <w:rPr>
          <w:rStyle w:val="FootnoteReference"/>
        </w:rPr>
        <w:footnoteReference w:id="1"/>
      </w:r>
      <w:r w:rsidRPr="0050608C">
        <w:t xml:space="preserve"> More than 40,500 children have been injured; ten children lose one or both legs each day, and an estimated 35,000 people now live with significant hearing loss due to explosions.</w:t>
      </w:r>
      <w:r w:rsidR="00E356D2">
        <w:rPr>
          <w:rStyle w:val="FootnoteReference"/>
        </w:rPr>
        <w:footnoteReference w:id="2"/>
      </w:r>
      <w:r w:rsidRPr="0050608C">
        <w:t xml:space="preserve"> The war has left persons with disabilities facing increased exposure to injury, death, and long-term harm due to repeated forced displacement, destruction of infrastructure, inaccessibility of humanitarian aid, and separation from caregivers.</w:t>
      </w:r>
    </w:p>
    <w:p w14:paraId="3C677D76" w14:textId="5F9A5394" w:rsidR="0050608C" w:rsidRPr="0050608C" w:rsidRDefault="0050608C" w:rsidP="00620784">
      <w:pPr>
        <w:spacing w:after="160" w:line="278" w:lineRule="auto"/>
        <w:jc w:val="both"/>
      </w:pPr>
      <w:r w:rsidRPr="0050608C">
        <w:t>Despite Article 11 obligations, ensur</w:t>
      </w:r>
      <w:r w:rsidR="00620784">
        <w:t>ing</w:t>
      </w:r>
      <w:r w:rsidRPr="0050608C">
        <w:t xml:space="preserve"> protection or </w:t>
      </w:r>
      <w:proofErr w:type="gramStart"/>
      <w:r w:rsidRPr="0050608C">
        <w:t>make</w:t>
      </w:r>
      <w:proofErr w:type="gramEnd"/>
      <w:r w:rsidRPr="0050608C">
        <w:t xml:space="preserve"> reasonable accommodations for evacuation or humanitarian access</w:t>
      </w:r>
      <w:r w:rsidR="00620784">
        <w:t xml:space="preserve"> has been completely absence</w:t>
      </w:r>
      <w:r w:rsidRPr="0050608C">
        <w:t xml:space="preserve">. Many </w:t>
      </w:r>
      <w:proofErr w:type="gramStart"/>
      <w:r w:rsidRPr="0050608C">
        <w:t>persons</w:t>
      </w:r>
      <w:proofErr w:type="gramEnd"/>
      <w:r w:rsidRPr="0050608C">
        <w:t xml:space="preserve"> with disabilities have been left behind in evacuation zones, unable to flee due to inaccessible transport, destroyed assistive devices, or lack of adapted communication tools.</w:t>
      </w:r>
      <w:r w:rsidR="00E356D2">
        <w:rPr>
          <w:rStyle w:val="FootnoteReference"/>
        </w:rPr>
        <w:footnoteReference w:id="3"/>
      </w:r>
      <w:r w:rsidRPr="0050608C">
        <w:t xml:space="preserve"> The absence of inclusive evacuation protocols has exacerbated protection risks and isolation.</w:t>
      </w:r>
    </w:p>
    <w:p w14:paraId="6944E20B" w14:textId="77777777" w:rsidR="0050608C" w:rsidRPr="0050608C" w:rsidRDefault="0050608C" w:rsidP="00B00F13">
      <w:pPr>
        <w:shd w:val="clear" w:color="auto" w:fill="F4FDD5"/>
        <w:spacing w:after="160" w:line="278" w:lineRule="auto"/>
        <w:jc w:val="both"/>
      </w:pPr>
      <w:r w:rsidRPr="0050608C">
        <w:rPr>
          <w:b/>
          <w:bCs/>
        </w:rPr>
        <w:t>3. Forced Displacement and Inaccessibility of Shelters</w:t>
      </w:r>
    </w:p>
    <w:p w14:paraId="3BA414DD" w14:textId="7184B05B" w:rsidR="00836D61" w:rsidRDefault="0050608C" w:rsidP="00121423">
      <w:pPr>
        <w:spacing w:line="278" w:lineRule="auto"/>
        <w:jc w:val="both"/>
      </w:pPr>
      <w:r w:rsidRPr="0050608C">
        <w:t>More than 1.9 million people in Gaza have been forcibly displaced, many more than once. Ninety percent of Gaza’s population has experienced forced displacement without access to inclusive shelter.</w:t>
      </w:r>
      <w:r w:rsidR="00E356D2">
        <w:rPr>
          <w:rStyle w:val="FootnoteReference"/>
        </w:rPr>
        <w:footnoteReference w:id="4"/>
      </w:r>
      <w:r w:rsidRPr="0050608C">
        <w:t xml:space="preserve"> According to ASDC assessments, 91.6% of displaced families (93.3% among households </w:t>
      </w:r>
    </w:p>
    <w:p w14:paraId="563E4DAC" w14:textId="77777777" w:rsidR="00836D61" w:rsidRDefault="00836D61" w:rsidP="00121423">
      <w:pPr>
        <w:spacing w:line="278" w:lineRule="auto"/>
        <w:jc w:val="both"/>
      </w:pPr>
    </w:p>
    <w:p w14:paraId="2E607DFE" w14:textId="77777777" w:rsidR="00836D61" w:rsidRDefault="00836D61" w:rsidP="00121423">
      <w:pPr>
        <w:spacing w:line="278" w:lineRule="auto"/>
        <w:jc w:val="both"/>
      </w:pPr>
    </w:p>
    <w:p w14:paraId="12A0B975" w14:textId="3A9634AC" w:rsidR="0050608C" w:rsidRPr="0050608C" w:rsidRDefault="0050608C" w:rsidP="00121423">
      <w:pPr>
        <w:spacing w:after="160" w:line="278" w:lineRule="auto"/>
        <w:jc w:val="both"/>
      </w:pPr>
      <w:r w:rsidRPr="0050608C">
        <w:lastRenderedPageBreak/>
        <w:t>with disabilities) indicated that shelters were unsuitable and lacked privacy.</w:t>
      </w:r>
      <w:r w:rsidR="00E356D2">
        <w:rPr>
          <w:rStyle w:val="FootnoteReference"/>
        </w:rPr>
        <w:footnoteReference w:id="5"/>
      </w:r>
      <w:r w:rsidRPr="0050608C">
        <w:t xml:space="preserve"> Accessibility challenges were reported by 90.1% of </w:t>
      </w:r>
      <w:proofErr w:type="gramStart"/>
      <w:r w:rsidRPr="0050608C">
        <w:t>persons</w:t>
      </w:r>
      <w:proofErr w:type="gramEnd"/>
      <w:r w:rsidRPr="0050608C">
        <w:t xml:space="preserve"> with disabilities in shelters.</w:t>
      </w:r>
      <w:r w:rsidR="00E356D2">
        <w:rPr>
          <w:rStyle w:val="FootnoteReference"/>
        </w:rPr>
        <w:footnoteReference w:id="6"/>
      </w:r>
    </w:p>
    <w:p w14:paraId="3AF781D7" w14:textId="3974803C" w:rsidR="0050608C" w:rsidRPr="0050608C" w:rsidRDefault="0050608C" w:rsidP="00121423">
      <w:pPr>
        <w:spacing w:after="160" w:line="278" w:lineRule="auto"/>
        <w:jc w:val="both"/>
      </w:pPr>
      <w:r w:rsidRPr="0050608C">
        <w:t>Displacement shelters are overcrowded, lack electricity, and are structurally unsafe—84.9% of families with disabilities reported safety concerns.</w:t>
      </w:r>
      <w:r w:rsidR="00E356D2">
        <w:rPr>
          <w:rStyle w:val="FootnoteReference"/>
        </w:rPr>
        <w:footnoteReference w:id="7"/>
      </w:r>
      <w:r w:rsidRPr="0050608C">
        <w:t xml:space="preserve"> More than two-thirds of respondents (67.6%) indicated that latrines are inaccessible to persons with disabilities and lack privacy.</w:t>
      </w:r>
      <w:r w:rsidR="00E356D2">
        <w:rPr>
          <w:rStyle w:val="FootnoteReference"/>
        </w:rPr>
        <w:footnoteReference w:id="8"/>
      </w:r>
      <w:r w:rsidRPr="0050608C">
        <w:t xml:space="preserve"> The situation violates the right to adequate housing and personal integrity guaranteed under the UNCRPD and other international instruments.</w:t>
      </w:r>
    </w:p>
    <w:p w14:paraId="6EADA258" w14:textId="6BEF596F" w:rsidR="0050608C" w:rsidRPr="0050608C" w:rsidRDefault="0050608C" w:rsidP="00121423">
      <w:pPr>
        <w:spacing w:after="160" w:line="278" w:lineRule="auto"/>
        <w:jc w:val="both"/>
      </w:pPr>
      <w:r w:rsidRPr="0050608C">
        <w:t>The destruction or loss of assistive devices—reported by 83% of persons with disabilities—has drastically increased dependence, reduced autonomy, and exposed persons with disabilities to further neglect, abuse, and injury.</w:t>
      </w:r>
      <w:r w:rsidR="00F350ED">
        <w:rPr>
          <w:rStyle w:val="FootnoteReference"/>
        </w:rPr>
        <w:footnoteReference w:id="9"/>
      </w:r>
      <w:r w:rsidRPr="0050608C">
        <w:t xml:space="preserve"> The current emergency response lacks inclusive shelter design, accessible WASH facilities, or alternative safe spaces for women, girls, and persons with disabilities.</w:t>
      </w:r>
    </w:p>
    <w:p w14:paraId="163A0621" w14:textId="77777777" w:rsidR="0050608C" w:rsidRPr="0050608C" w:rsidRDefault="0050608C" w:rsidP="00B00F13">
      <w:pPr>
        <w:shd w:val="clear" w:color="auto" w:fill="F4FDD5"/>
        <w:spacing w:after="160" w:line="278" w:lineRule="auto"/>
        <w:jc w:val="both"/>
      </w:pPr>
      <w:r w:rsidRPr="0050608C">
        <w:rPr>
          <w:b/>
          <w:bCs/>
        </w:rPr>
        <w:t>4. Destruction of Civilian Infrastructure and Health Services</w:t>
      </w:r>
    </w:p>
    <w:p w14:paraId="4B09D2B7" w14:textId="66B9DC49" w:rsidR="0050608C" w:rsidRPr="0050608C" w:rsidRDefault="0050608C" w:rsidP="00121423">
      <w:pPr>
        <w:spacing w:after="160" w:line="278" w:lineRule="auto"/>
        <w:jc w:val="both"/>
      </w:pPr>
      <w:r w:rsidRPr="0050608C">
        <w:t>The war has destroyed more than 92% of Gaza’s housing units and 95% of its schools, depriving the population of shelter, education, and protection.</w:t>
      </w:r>
      <w:r w:rsidR="00F350ED">
        <w:rPr>
          <w:rStyle w:val="FootnoteReference"/>
        </w:rPr>
        <w:footnoteReference w:id="10"/>
      </w:r>
      <w:r w:rsidRPr="0050608C">
        <w:t xml:space="preserve"> Hospitals and health facilities have been systematically targeted. As of June 2025, only 47% of hospitals and 38% of primary health care centers are partially functional.</w:t>
      </w:r>
      <w:r w:rsidR="00F350ED">
        <w:rPr>
          <w:rStyle w:val="FootnoteReference"/>
        </w:rPr>
        <w:footnoteReference w:id="11"/>
      </w:r>
      <w:r w:rsidRPr="0050608C">
        <w:t xml:space="preserve"> At least five major rehabilitation organizations, including ASDC, have sustained irreversible damage.</w:t>
      </w:r>
      <w:r w:rsidR="00F350ED">
        <w:rPr>
          <w:rStyle w:val="FootnoteReference"/>
        </w:rPr>
        <w:footnoteReference w:id="12"/>
      </w:r>
    </w:p>
    <w:p w14:paraId="52E58F32" w14:textId="19FEC8A3" w:rsidR="0050608C" w:rsidRPr="0050608C" w:rsidRDefault="0050608C" w:rsidP="00121423">
      <w:pPr>
        <w:spacing w:after="160" w:line="278" w:lineRule="auto"/>
        <w:jc w:val="both"/>
      </w:pPr>
      <w:r w:rsidRPr="0050608C">
        <w:t>The only limb reconstruction and rehabilitation center in Gaza became non-functional in late 2023. More than 10,000 children and adults remain in urgent need of evacuation for life-threatening injuries, yet medical evacuations have declined by 94% since the Rafah border closure.</w:t>
      </w:r>
      <w:r w:rsidR="00F350ED">
        <w:rPr>
          <w:rStyle w:val="FootnoteReference"/>
        </w:rPr>
        <w:footnoteReference w:id="13"/>
      </w:r>
    </w:p>
    <w:p w14:paraId="38AD32E6" w14:textId="60B48AB1" w:rsidR="0050608C" w:rsidRPr="0050608C" w:rsidRDefault="0050608C" w:rsidP="00121423">
      <w:pPr>
        <w:spacing w:after="160" w:line="278" w:lineRule="auto"/>
        <w:jc w:val="both"/>
      </w:pPr>
      <w:r w:rsidRPr="0050608C">
        <w:t xml:space="preserve">The loss of services has especially affected persons with disabilities who need regular access to physiotherapy, audiology, speech therapy, mental health care, and medication. Eighty percent of older </w:t>
      </w:r>
      <w:proofErr w:type="gramStart"/>
      <w:r w:rsidRPr="0050608C">
        <w:t>persons</w:t>
      </w:r>
      <w:proofErr w:type="gramEnd"/>
      <w:r w:rsidRPr="0050608C">
        <w:t xml:space="preserve"> in Gaza need medical supplies, and nearly all children with disabilities lack access to basic health and rehabilitation services.</w:t>
      </w:r>
      <w:r w:rsidR="00F350ED">
        <w:rPr>
          <w:rStyle w:val="FootnoteReference"/>
        </w:rPr>
        <w:footnoteReference w:id="14"/>
      </w:r>
    </w:p>
    <w:p w14:paraId="67866A28" w14:textId="77777777" w:rsidR="0050608C" w:rsidRPr="0050608C" w:rsidRDefault="0050608C" w:rsidP="00B00F13">
      <w:pPr>
        <w:shd w:val="clear" w:color="auto" w:fill="F4FDD5"/>
        <w:spacing w:after="160" w:line="278" w:lineRule="auto"/>
        <w:jc w:val="both"/>
      </w:pPr>
      <w:r w:rsidRPr="0050608C">
        <w:rPr>
          <w:b/>
          <w:bCs/>
        </w:rPr>
        <w:t>5. Denial of Inclusive Education</w:t>
      </w:r>
    </w:p>
    <w:p w14:paraId="2AA3811C" w14:textId="1341B181" w:rsidR="0050608C" w:rsidRPr="0050608C" w:rsidRDefault="0050608C" w:rsidP="00121423">
      <w:pPr>
        <w:spacing w:after="160" w:line="278" w:lineRule="auto"/>
        <w:jc w:val="both"/>
      </w:pPr>
      <w:r w:rsidRPr="0050608C">
        <w:t>The entire education system in Gaza has collapsed. Since October 2023, more than 625,000 children are out of school; this is the third academic year disrupted by conflict in four years.</w:t>
      </w:r>
      <w:r w:rsidR="00F350ED">
        <w:rPr>
          <w:rStyle w:val="FootnoteReference"/>
        </w:rPr>
        <w:footnoteReference w:id="15"/>
      </w:r>
      <w:r w:rsidRPr="0050608C">
        <w:t xml:space="preserve"> According to OCHA and ASDC assessments, 386 schools were damaged or destroyed, and the rest have been repurposed as IDP shelters.</w:t>
      </w:r>
      <w:r w:rsidR="00F350ED">
        <w:rPr>
          <w:rStyle w:val="FootnoteReference"/>
        </w:rPr>
        <w:footnoteReference w:id="16"/>
      </w:r>
    </w:p>
    <w:p w14:paraId="5A9C903E" w14:textId="5B2DDDFC" w:rsidR="00836D61" w:rsidRPr="0050608C" w:rsidRDefault="0050608C" w:rsidP="00E05401">
      <w:pPr>
        <w:spacing w:line="278" w:lineRule="auto"/>
        <w:jc w:val="both"/>
      </w:pPr>
      <w:r w:rsidRPr="0050608C">
        <w:t xml:space="preserve">The impact on children with disabilities is severe. Eighty-seven percent of principals reported that the curriculum is not adapted to students with disabilities. Over 83% of teachers lack the capacity to apply inclusive teaching strategies, and many </w:t>
      </w:r>
      <w:proofErr w:type="gramStart"/>
      <w:r w:rsidRPr="0050608C">
        <w:t>harbor</w:t>
      </w:r>
      <w:proofErr w:type="gramEnd"/>
      <w:r w:rsidRPr="0050608C">
        <w:t xml:space="preserve"> negative attitudes toward inclusion.</w:t>
      </w:r>
      <w:r w:rsidR="00F350ED">
        <w:rPr>
          <w:rStyle w:val="FootnoteReference"/>
        </w:rPr>
        <w:footnoteReference w:id="17"/>
      </w:r>
      <w:r w:rsidRPr="0050608C">
        <w:t xml:space="preserve"> Children with disabilities </w:t>
      </w:r>
      <w:r w:rsidRPr="0050608C">
        <w:lastRenderedPageBreak/>
        <w:t>face higher rates of exclusion, peer bullying, and teacher neglect, particularly in overcrowded or unsafe learning environments.</w:t>
      </w:r>
    </w:p>
    <w:p w14:paraId="63633049" w14:textId="1DEC4601" w:rsidR="0050608C" w:rsidRPr="0050608C" w:rsidRDefault="0050608C" w:rsidP="00121423">
      <w:pPr>
        <w:spacing w:after="160" w:line="278" w:lineRule="auto"/>
        <w:jc w:val="both"/>
      </w:pPr>
      <w:r w:rsidRPr="0050608C">
        <w:t>Children with disabilities who previously relied on specialized support services—such as sign language instruction, hearing aids, or Braille materials—have lost access to these accommodations due to attacks on educational and service institutions.</w:t>
      </w:r>
      <w:r w:rsidR="00F350ED">
        <w:rPr>
          <w:rStyle w:val="FootnoteReference"/>
        </w:rPr>
        <w:footnoteReference w:id="18"/>
      </w:r>
      <w:r w:rsidRPr="0050608C">
        <w:t xml:space="preserve"> Their right to education under Article 24 of the UNCRPD has been gravely violated.</w:t>
      </w:r>
    </w:p>
    <w:p w14:paraId="6F404106" w14:textId="77777777" w:rsidR="0050608C" w:rsidRPr="0050608C" w:rsidRDefault="0050608C" w:rsidP="00B00F13">
      <w:pPr>
        <w:shd w:val="clear" w:color="auto" w:fill="F4FDD5"/>
        <w:spacing w:after="160" w:line="278" w:lineRule="auto"/>
        <w:jc w:val="both"/>
      </w:pPr>
      <w:r w:rsidRPr="0050608C">
        <w:rPr>
          <w:b/>
          <w:bCs/>
        </w:rPr>
        <w:t>6. Psychosocial Distress and Emotional Abuse</w:t>
      </w:r>
    </w:p>
    <w:p w14:paraId="0F0B8196" w14:textId="3D9FF374" w:rsidR="0050608C" w:rsidRPr="0050608C" w:rsidRDefault="0050608C" w:rsidP="00121423">
      <w:pPr>
        <w:spacing w:after="160" w:line="278" w:lineRule="auto"/>
        <w:jc w:val="both"/>
      </w:pPr>
      <w:r w:rsidRPr="0050608C">
        <w:t xml:space="preserve">War-related trauma has deeply affected children and adults, with disproportionate psychological harm among </w:t>
      </w:r>
      <w:proofErr w:type="gramStart"/>
      <w:r w:rsidRPr="0050608C">
        <w:t>persons</w:t>
      </w:r>
      <w:proofErr w:type="gramEnd"/>
      <w:r w:rsidRPr="0050608C">
        <w:t xml:space="preserve"> with disabilities. ASDC assessments found that 96.7% of children with and without disabilities suffer from panic attacks and continuous crying, while 79.8% of children with disabilities reported increased exposure to violence.</w:t>
      </w:r>
      <w:r w:rsidR="00F350ED">
        <w:rPr>
          <w:rStyle w:val="FootnoteReference"/>
        </w:rPr>
        <w:footnoteReference w:id="19"/>
      </w:r>
    </w:p>
    <w:p w14:paraId="47771B74" w14:textId="4AEE7C3E" w:rsidR="0050608C" w:rsidRPr="0050608C" w:rsidRDefault="0050608C" w:rsidP="00121423">
      <w:pPr>
        <w:spacing w:after="160" w:line="278" w:lineRule="auto"/>
        <w:jc w:val="both"/>
      </w:pPr>
      <w:r w:rsidRPr="0050608C">
        <w:t>Children with disabilities exhibit high rates of introversion, aggression, fear, and detachment. Ninety percent of children with disabilities experience bullying in displacement shelters, and over 91% lack access to any safe or recreational space.</w:t>
      </w:r>
      <w:r w:rsidR="00F350ED">
        <w:rPr>
          <w:rStyle w:val="FootnoteReference"/>
        </w:rPr>
        <w:footnoteReference w:id="20"/>
      </w:r>
      <w:r w:rsidRPr="0050608C">
        <w:t>Caregivers report resorting to violence in 87% of households with children with disabilities due to lack of support and extreme stress.</w:t>
      </w:r>
      <w:r w:rsidR="00F350ED">
        <w:rPr>
          <w:rStyle w:val="FootnoteReference"/>
        </w:rPr>
        <w:footnoteReference w:id="21"/>
      </w:r>
    </w:p>
    <w:p w14:paraId="0CAD99FA" w14:textId="74B79628" w:rsidR="0060351F" w:rsidRDefault="0050608C" w:rsidP="00121423">
      <w:pPr>
        <w:spacing w:line="278" w:lineRule="auto"/>
        <w:jc w:val="both"/>
      </w:pPr>
      <w:r w:rsidRPr="0050608C">
        <w:t>The breakdown of caregiving networks due to repeated displacement has resulted in emotional neglect, with individuals experiencing isolation and lack of support in performing basic activities. Mental health and psychosocial support (MHPSS) services are nearly absent.</w:t>
      </w:r>
      <w:r w:rsidR="00F350ED">
        <w:rPr>
          <w:rStyle w:val="FootnoteReference"/>
        </w:rPr>
        <w:footnoteReference w:id="22"/>
      </w:r>
      <w:r w:rsidRPr="0050608C">
        <w:t xml:space="preserve"> These conditions violate Article 16 (freedom from exploitation, violence, and abuse) and Article 25 (health) of the UNCRPD.</w:t>
      </w:r>
    </w:p>
    <w:p w14:paraId="7ABBD5D3" w14:textId="77777777" w:rsidR="0050608C" w:rsidRPr="0050608C" w:rsidRDefault="0050608C" w:rsidP="00B00F13">
      <w:pPr>
        <w:shd w:val="clear" w:color="auto" w:fill="F4FDD5"/>
        <w:spacing w:after="160" w:line="278" w:lineRule="auto"/>
        <w:jc w:val="both"/>
      </w:pPr>
      <w:r w:rsidRPr="0050608C">
        <w:rPr>
          <w:b/>
          <w:bCs/>
        </w:rPr>
        <w:t>7. Gender-Based Violence and Intersectional Risks</w:t>
      </w:r>
    </w:p>
    <w:p w14:paraId="130702DB" w14:textId="3EEDC3D5" w:rsidR="0050608C" w:rsidRPr="0050608C" w:rsidRDefault="0050608C" w:rsidP="00121423">
      <w:pPr>
        <w:spacing w:after="160" w:line="278" w:lineRule="auto"/>
        <w:jc w:val="both"/>
      </w:pPr>
      <w:r w:rsidRPr="0050608C">
        <w:t>Women and girls with disabilities in Gaza face layered discrimination due to the intersection of gender, disability, age, and displacement status. Prior to the conflict, they were already four times more likely to experience intimate partner violence than their non-disabled peers.</w:t>
      </w:r>
      <w:r w:rsidR="00985948">
        <w:rPr>
          <w:rStyle w:val="FootnoteReference"/>
        </w:rPr>
        <w:footnoteReference w:id="23"/>
      </w:r>
      <w:r w:rsidRPr="0050608C">
        <w:t xml:space="preserve"> Since the escalation, overcrowded and inaccessible shelters have exposed them to heightened risks of sexual and gender-based violence (SGBV), harassment, and exploitation. Ninety percent of displacement sites lack privacy for women and girls, with a near-total absence of adapted WASH facilities.</w:t>
      </w:r>
      <w:r w:rsidR="00985948">
        <w:rPr>
          <w:rStyle w:val="FootnoteReference"/>
        </w:rPr>
        <w:footnoteReference w:id="24"/>
      </w:r>
    </w:p>
    <w:p w14:paraId="0F054123" w14:textId="223E3999" w:rsidR="0050608C" w:rsidRPr="0050608C" w:rsidRDefault="0050608C" w:rsidP="00121423">
      <w:pPr>
        <w:spacing w:after="160" w:line="278" w:lineRule="auto"/>
        <w:jc w:val="both"/>
      </w:pPr>
      <w:r w:rsidRPr="0050608C">
        <w:t>Older women and widows with disabilities are particularly vulnerable to tenure-related violence and exclusion from inheritance rights, leading to unlawful eviction and economic abuse.</w:t>
      </w:r>
      <w:r w:rsidR="00985948">
        <w:rPr>
          <w:rStyle w:val="FootnoteReference"/>
        </w:rPr>
        <w:footnoteReference w:id="25"/>
      </w:r>
      <w:r w:rsidRPr="0050608C">
        <w:t xml:space="preserve"> The destruction of judicial infrastructure and lack of civil documentation among displaced populations has left many without legal recourse.</w:t>
      </w:r>
      <w:r w:rsidR="00985948">
        <w:rPr>
          <w:rStyle w:val="FootnoteReference"/>
        </w:rPr>
        <w:footnoteReference w:id="26"/>
      </w:r>
    </w:p>
    <w:p w14:paraId="1FB1F502" w14:textId="34F77BE3" w:rsidR="00836D61" w:rsidRPr="00121423" w:rsidRDefault="0050608C" w:rsidP="00121423">
      <w:pPr>
        <w:spacing w:after="160" w:line="278" w:lineRule="auto"/>
        <w:jc w:val="both"/>
      </w:pPr>
      <w:r w:rsidRPr="0050608C">
        <w:t xml:space="preserve">Limited access to SGBV services for women with disabilities further exacerbates their isolation. Communication barriers, the destruction of safe spaces, and the absence of trained staff have rendered </w:t>
      </w:r>
      <w:r w:rsidRPr="0050608C">
        <w:lastRenderedPageBreak/>
        <w:t>protection inaccessible for many survivors.</w:t>
      </w:r>
      <w:r w:rsidR="00985948">
        <w:rPr>
          <w:rStyle w:val="FootnoteReference"/>
        </w:rPr>
        <w:footnoteReference w:id="27"/>
      </w:r>
      <w:r w:rsidRPr="0050608C">
        <w:t xml:space="preserve"> The failure to ensure non-discriminatory, inclusive, and accessible response mechanisms violates Articles 6 and 16 of the UNCRPD.</w:t>
      </w:r>
    </w:p>
    <w:p w14:paraId="774A4473" w14:textId="3D2A6D5A" w:rsidR="0050608C" w:rsidRPr="0050608C" w:rsidRDefault="0050608C" w:rsidP="00B00F13">
      <w:pPr>
        <w:shd w:val="clear" w:color="auto" w:fill="F4FDD5"/>
        <w:spacing w:after="160" w:line="278" w:lineRule="auto"/>
        <w:jc w:val="both"/>
      </w:pPr>
      <w:r w:rsidRPr="0050608C">
        <w:rPr>
          <w:b/>
          <w:bCs/>
        </w:rPr>
        <w:t>8. Stigmatization, Discrimination, and Exclusion from Humanitarian Response</w:t>
      </w:r>
    </w:p>
    <w:p w14:paraId="7730F260" w14:textId="1052E4D8" w:rsidR="0050608C" w:rsidRPr="0050608C" w:rsidRDefault="0050608C" w:rsidP="00121423">
      <w:pPr>
        <w:spacing w:after="160" w:line="278" w:lineRule="auto"/>
        <w:jc w:val="both"/>
      </w:pPr>
      <w:proofErr w:type="gramStart"/>
      <w:r w:rsidRPr="0050608C">
        <w:t>Persons</w:t>
      </w:r>
      <w:proofErr w:type="gramEnd"/>
      <w:r w:rsidRPr="0050608C">
        <w:t xml:space="preserve"> with disabilities in Gaza face widespread stigmatization, which has worsened under the current crisis. According to the Protection Cluster, families increasingly view </w:t>
      </w:r>
      <w:proofErr w:type="gramStart"/>
      <w:r w:rsidRPr="0050608C">
        <w:t>persons</w:t>
      </w:r>
      <w:proofErr w:type="gramEnd"/>
      <w:r w:rsidRPr="0050608C">
        <w:t xml:space="preserve"> with disabilities as a burden.</w:t>
      </w:r>
      <w:r w:rsidR="00985948">
        <w:rPr>
          <w:rStyle w:val="FootnoteReference"/>
        </w:rPr>
        <w:footnoteReference w:id="28"/>
      </w:r>
      <w:r w:rsidRPr="0050608C">
        <w:t xml:space="preserve"> At the same time, discriminatory aid practices have excluded them from accessing essential supplies, especially at militarized distribution points that are physically dangerous and logistically inaccessible.</w:t>
      </w:r>
      <w:r w:rsidR="00985948">
        <w:rPr>
          <w:rStyle w:val="FootnoteReference"/>
        </w:rPr>
        <w:footnoteReference w:id="29"/>
      </w:r>
    </w:p>
    <w:p w14:paraId="2BCF3DCB" w14:textId="3E8536B3" w:rsidR="0050608C" w:rsidRPr="0050608C" w:rsidRDefault="0050608C" w:rsidP="00121423">
      <w:pPr>
        <w:spacing w:after="160" w:line="278" w:lineRule="auto"/>
        <w:jc w:val="both"/>
      </w:pPr>
      <w:r w:rsidRPr="0050608C">
        <w:t>UNRWA and partners report that over 10,000 persons with disabilities remain unable to access needed assistive devices, hygiene materials, or specialized food due to imposed restrictions.</w:t>
      </w:r>
      <w:r w:rsidR="00985948">
        <w:rPr>
          <w:rStyle w:val="FootnoteReference"/>
        </w:rPr>
        <w:footnoteReference w:id="30"/>
      </w:r>
      <w:r w:rsidRPr="0050608C">
        <w:t xml:space="preserve"> Nutrition-related data show 60,000 cases of severe acute malnutrition among children are expected, and persons with disabilities are at heightened risk due to dietary complications and reduced immunity.</w:t>
      </w:r>
      <w:r w:rsidR="00985948">
        <w:rPr>
          <w:rStyle w:val="FootnoteReference"/>
        </w:rPr>
        <w:footnoteReference w:id="31"/>
      </w:r>
    </w:p>
    <w:p w14:paraId="618A3913" w14:textId="3F1D2013" w:rsidR="00121423" w:rsidRPr="0050608C" w:rsidRDefault="0050608C" w:rsidP="00E05401">
      <w:pPr>
        <w:spacing w:after="160" w:line="278" w:lineRule="auto"/>
        <w:jc w:val="both"/>
      </w:pPr>
      <w:r w:rsidRPr="0050608C">
        <w:t>Information and warnings are rarely communicated in accessible formats—no Braille materials remain in Gaza, and assistive communication tools are unavailable.</w:t>
      </w:r>
      <w:r w:rsidR="00985948">
        <w:rPr>
          <w:rStyle w:val="FootnoteReference"/>
        </w:rPr>
        <w:footnoteReference w:id="32"/>
      </w:r>
      <w:r w:rsidRPr="0050608C">
        <w:t xml:space="preserve"> Persons with sensory, cognitive, or psychosocial impairments are often unable to evacuate, navigate services, or access protection pathways. This exclusion contravenes Articles 9 and 21 of the UNCRPD.</w:t>
      </w:r>
    </w:p>
    <w:p w14:paraId="6A63DD84" w14:textId="77777777" w:rsidR="0050608C" w:rsidRPr="0050608C" w:rsidRDefault="0050608C" w:rsidP="00B00F13">
      <w:pPr>
        <w:shd w:val="clear" w:color="auto" w:fill="F4FDD5"/>
        <w:spacing w:after="160" w:line="278" w:lineRule="auto"/>
        <w:jc w:val="both"/>
      </w:pPr>
      <w:r w:rsidRPr="0050608C">
        <w:rPr>
          <w:b/>
          <w:bCs/>
        </w:rPr>
        <w:t>9. Risks of Explosive Ordnance and Environmental Hazards</w:t>
      </w:r>
    </w:p>
    <w:p w14:paraId="1435F8F5" w14:textId="2F85CF4B" w:rsidR="0050608C" w:rsidRPr="0050608C" w:rsidRDefault="0050608C" w:rsidP="00121423">
      <w:pPr>
        <w:spacing w:after="160" w:line="278" w:lineRule="auto"/>
        <w:jc w:val="both"/>
      </w:pPr>
      <w:r w:rsidRPr="0050608C">
        <w:t>The risk of injury or death from unexploded ordnance is extreme and increasing. Fifty million tons of rubble—much of it contaminated—cover Gaza. At least 98 explosive ordnance incidents have already been recorded, including those involving children and persons with disabilities.</w:t>
      </w:r>
      <w:r w:rsidR="00985948">
        <w:rPr>
          <w:rStyle w:val="FootnoteReference"/>
        </w:rPr>
        <w:footnoteReference w:id="33"/>
      </w:r>
    </w:p>
    <w:p w14:paraId="759C86F9" w14:textId="23A04783" w:rsidR="0050608C" w:rsidRPr="0050608C" w:rsidRDefault="0050608C" w:rsidP="00121423">
      <w:pPr>
        <w:spacing w:after="160" w:line="278" w:lineRule="auto"/>
        <w:jc w:val="both"/>
      </w:pPr>
      <w:r w:rsidRPr="0050608C">
        <w:t xml:space="preserve">EO contamination disproportionately affects </w:t>
      </w:r>
      <w:proofErr w:type="gramStart"/>
      <w:r w:rsidRPr="0050608C">
        <w:t>persons</w:t>
      </w:r>
      <w:proofErr w:type="gramEnd"/>
      <w:r w:rsidRPr="0050608C">
        <w:t xml:space="preserve"> with physical, sensory, and cognitive impairments who cannot quickly evacuate or detect signs of danger. Sand barriers, debris, and unmarked hazards prevent mobility aid users from accessing safe routes.</w:t>
      </w:r>
      <w:r w:rsidR="00985948">
        <w:rPr>
          <w:rStyle w:val="FootnoteReference"/>
        </w:rPr>
        <w:footnoteReference w:id="34"/>
      </w:r>
      <w:r w:rsidRPr="0050608C">
        <w:t xml:space="preserve"> Mine risk education is not adapted to those with visual, auditory, or intellectual disabilities.</w:t>
      </w:r>
      <w:r w:rsidR="00985948">
        <w:rPr>
          <w:rStyle w:val="FootnoteReference"/>
        </w:rPr>
        <w:footnoteReference w:id="35"/>
      </w:r>
    </w:p>
    <w:p w14:paraId="5351A009" w14:textId="4AFFC3BF" w:rsidR="0050608C" w:rsidRPr="0050608C" w:rsidRDefault="0050608C" w:rsidP="00121423">
      <w:pPr>
        <w:spacing w:after="160" w:line="278" w:lineRule="auto"/>
        <w:jc w:val="both"/>
      </w:pPr>
      <w:r w:rsidRPr="0050608C">
        <w:t xml:space="preserve">Despite Mine Action partners’ efforts, access constraints </w:t>
      </w:r>
      <w:proofErr w:type="gramStart"/>
      <w:r w:rsidRPr="0050608C">
        <w:t>and communications</w:t>
      </w:r>
      <w:proofErr w:type="gramEnd"/>
      <w:r w:rsidRPr="0050608C">
        <w:t xml:space="preserve"> blackouts prevent outreach to the most at-risk groups. Assistive devices such as prosthetics and wheelchairs are unavailable, and hundreds of </w:t>
      </w:r>
      <w:proofErr w:type="gramStart"/>
      <w:r w:rsidRPr="0050608C">
        <w:t>persons</w:t>
      </w:r>
      <w:proofErr w:type="gramEnd"/>
      <w:r w:rsidRPr="0050608C">
        <w:t xml:space="preserve"> with amputations remain without adequate support.36 The right to life, protection, and access to risk mitigation strategies, as enshrined in Articles 10 and 11, is gravely compromised.</w:t>
      </w:r>
    </w:p>
    <w:p w14:paraId="7D756BE8" w14:textId="77777777" w:rsidR="0050608C" w:rsidRPr="0050608C" w:rsidRDefault="0050608C" w:rsidP="00B00F13">
      <w:pPr>
        <w:shd w:val="clear" w:color="auto" w:fill="F4FDD5"/>
        <w:spacing w:after="160" w:line="278" w:lineRule="auto"/>
        <w:jc w:val="both"/>
      </w:pPr>
      <w:r w:rsidRPr="0050608C">
        <w:rPr>
          <w:b/>
          <w:bCs/>
        </w:rPr>
        <w:t>10. Conclusions and Urgent Recommendations</w:t>
      </w:r>
    </w:p>
    <w:p w14:paraId="1BB0CF06" w14:textId="7B0A167F" w:rsidR="00836D61" w:rsidRPr="0050608C" w:rsidRDefault="0050608C" w:rsidP="00891670">
      <w:pPr>
        <w:spacing w:line="278" w:lineRule="auto"/>
        <w:jc w:val="both"/>
      </w:pPr>
      <w:r w:rsidRPr="0050608C">
        <w:t xml:space="preserve">The current conflict in the Gaza Strip has triggered a profound and systemic failure to protect the rights of </w:t>
      </w:r>
      <w:proofErr w:type="gramStart"/>
      <w:r w:rsidRPr="0050608C">
        <w:t>persons</w:t>
      </w:r>
      <w:proofErr w:type="gramEnd"/>
      <w:r w:rsidRPr="0050608C">
        <w:t xml:space="preserve"> with disabilities under the UNCRPD. </w:t>
      </w:r>
    </w:p>
    <w:p w14:paraId="183D63BF" w14:textId="77777777" w:rsidR="0050608C" w:rsidRPr="0050608C" w:rsidRDefault="0050608C" w:rsidP="00121423">
      <w:pPr>
        <w:spacing w:after="160" w:line="278" w:lineRule="auto"/>
        <w:jc w:val="both"/>
      </w:pPr>
      <w:r w:rsidRPr="0050608C">
        <w:lastRenderedPageBreak/>
        <w:t xml:space="preserve">The war has not only generated mass impairment and psychological trauma but has also entrenched structural discrimination, denied access to critical services, and undermined the dignity and rights of </w:t>
      </w:r>
      <w:proofErr w:type="gramStart"/>
      <w:r w:rsidRPr="0050608C">
        <w:t>persons</w:t>
      </w:r>
      <w:proofErr w:type="gramEnd"/>
      <w:r w:rsidRPr="0050608C">
        <w:t xml:space="preserve"> with disabilities. The humanitarian response has been insufficiently inclusive and largely inaccessible.</w:t>
      </w:r>
    </w:p>
    <w:p w14:paraId="06284E23" w14:textId="77777777" w:rsidR="0050608C" w:rsidRPr="0050608C" w:rsidRDefault="0050608C" w:rsidP="00121423">
      <w:pPr>
        <w:spacing w:after="160" w:line="278" w:lineRule="auto"/>
        <w:jc w:val="both"/>
      </w:pPr>
      <w:proofErr w:type="gramStart"/>
      <w:r w:rsidRPr="0050608C">
        <w:t>In light of</w:t>
      </w:r>
      <w:proofErr w:type="gramEnd"/>
      <w:r w:rsidRPr="0050608C">
        <w:t xml:space="preserve"> the evidence presented, the following urgent measures are recommended:</w:t>
      </w:r>
    </w:p>
    <w:p w14:paraId="534A4D96" w14:textId="2CB24CBC" w:rsidR="0050608C" w:rsidRPr="0050608C" w:rsidRDefault="0050608C" w:rsidP="00121423">
      <w:pPr>
        <w:numPr>
          <w:ilvl w:val="0"/>
          <w:numId w:val="24"/>
        </w:numPr>
        <w:spacing w:after="160" w:line="278" w:lineRule="auto"/>
        <w:jc w:val="both"/>
        <w:rPr>
          <w:b/>
          <w:bCs/>
        </w:rPr>
      </w:pPr>
      <w:r w:rsidRPr="0050608C">
        <w:rPr>
          <w:b/>
          <w:bCs/>
        </w:rPr>
        <w:t xml:space="preserve">The UN Committee should urge </w:t>
      </w:r>
      <w:r w:rsidR="00891670">
        <w:rPr>
          <w:b/>
          <w:bCs/>
        </w:rPr>
        <w:t>all actors</w:t>
      </w:r>
      <w:r w:rsidRPr="0050608C">
        <w:rPr>
          <w:b/>
          <w:bCs/>
        </w:rPr>
        <w:t xml:space="preserve"> to fulfill </w:t>
      </w:r>
      <w:proofErr w:type="gramStart"/>
      <w:r w:rsidRPr="0050608C">
        <w:rPr>
          <w:b/>
          <w:bCs/>
        </w:rPr>
        <w:t>its</w:t>
      </w:r>
      <w:proofErr w:type="gramEnd"/>
      <w:r w:rsidRPr="0050608C">
        <w:rPr>
          <w:b/>
          <w:bCs/>
        </w:rPr>
        <w:t xml:space="preserve"> obligations under Article 11 by ensuring inclusive protection, accessible humanitarian assistance, and immediate cessation of attacks on civilian infrastructure.</w:t>
      </w:r>
    </w:p>
    <w:p w14:paraId="648F4829" w14:textId="77777777" w:rsidR="0050608C" w:rsidRPr="0050608C" w:rsidRDefault="0050608C" w:rsidP="00121423">
      <w:pPr>
        <w:numPr>
          <w:ilvl w:val="0"/>
          <w:numId w:val="24"/>
        </w:numPr>
        <w:spacing w:after="160" w:line="278" w:lineRule="auto"/>
        <w:jc w:val="both"/>
        <w:rPr>
          <w:b/>
          <w:bCs/>
        </w:rPr>
      </w:pPr>
      <w:r w:rsidRPr="0050608C">
        <w:rPr>
          <w:b/>
          <w:bCs/>
        </w:rPr>
        <w:t>Humanitarian actors must integrate disability inclusion across all sectors, including shelter, health, food, education, WASH, protection, and livelihoods.</w:t>
      </w:r>
    </w:p>
    <w:p w14:paraId="67D03079" w14:textId="77777777" w:rsidR="0050608C" w:rsidRPr="0050608C" w:rsidRDefault="0050608C" w:rsidP="00121423">
      <w:pPr>
        <w:numPr>
          <w:ilvl w:val="0"/>
          <w:numId w:val="24"/>
        </w:numPr>
        <w:spacing w:after="160" w:line="278" w:lineRule="auto"/>
        <w:jc w:val="both"/>
        <w:rPr>
          <w:b/>
          <w:bCs/>
        </w:rPr>
      </w:pPr>
      <w:r w:rsidRPr="0050608C">
        <w:rPr>
          <w:b/>
          <w:bCs/>
        </w:rPr>
        <w:t>Assistive devices, inclusive communication, and specialized services must be prioritized and secured through unimpeded humanitarian access.</w:t>
      </w:r>
    </w:p>
    <w:p w14:paraId="38E07B28" w14:textId="77777777" w:rsidR="0050608C" w:rsidRPr="0050608C" w:rsidRDefault="0050608C" w:rsidP="00121423">
      <w:pPr>
        <w:numPr>
          <w:ilvl w:val="0"/>
          <w:numId w:val="24"/>
        </w:numPr>
        <w:spacing w:after="160" w:line="278" w:lineRule="auto"/>
        <w:jc w:val="both"/>
        <w:rPr>
          <w:b/>
          <w:bCs/>
        </w:rPr>
      </w:pPr>
      <w:r w:rsidRPr="0050608C">
        <w:rPr>
          <w:b/>
          <w:bCs/>
        </w:rPr>
        <w:t>Funding must be scaled up for Palestinian OPDs to lead inclusive response efforts and provide peer-led support.</w:t>
      </w:r>
    </w:p>
    <w:p w14:paraId="16E18846" w14:textId="77777777" w:rsidR="0050608C" w:rsidRPr="0050608C" w:rsidRDefault="0050608C" w:rsidP="00121423">
      <w:pPr>
        <w:numPr>
          <w:ilvl w:val="0"/>
          <w:numId w:val="24"/>
        </w:numPr>
        <w:spacing w:after="160" w:line="278" w:lineRule="auto"/>
        <w:jc w:val="both"/>
        <w:rPr>
          <w:b/>
          <w:bCs/>
        </w:rPr>
      </w:pPr>
      <w:r w:rsidRPr="0050608C">
        <w:rPr>
          <w:b/>
          <w:bCs/>
        </w:rPr>
        <w:t xml:space="preserve">International mechanisms should monitor, document, and address violations against </w:t>
      </w:r>
      <w:proofErr w:type="gramStart"/>
      <w:r w:rsidRPr="0050608C">
        <w:rPr>
          <w:b/>
          <w:bCs/>
        </w:rPr>
        <w:t>persons</w:t>
      </w:r>
      <w:proofErr w:type="gramEnd"/>
      <w:r w:rsidRPr="0050608C">
        <w:rPr>
          <w:b/>
          <w:bCs/>
        </w:rPr>
        <w:t xml:space="preserve"> with disabilities to ensure accountability.</w:t>
      </w:r>
    </w:p>
    <w:p w14:paraId="653597A1" w14:textId="77777777" w:rsidR="0050608C" w:rsidRPr="0050608C" w:rsidRDefault="0050608C" w:rsidP="00121423">
      <w:pPr>
        <w:spacing w:after="160" w:line="278" w:lineRule="auto"/>
        <w:jc w:val="both"/>
      </w:pPr>
      <w:r w:rsidRPr="0050608C">
        <w:t xml:space="preserve">The situation of </w:t>
      </w:r>
      <w:proofErr w:type="gramStart"/>
      <w:r w:rsidRPr="0050608C">
        <w:t>persons</w:t>
      </w:r>
      <w:proofErr w:type="gramEnd"/>
      <w:r w:rsidRPr="0050608C">
        <w:t xml:space="preserve"> with disabilities in Gaza is a test of the international community's commitment to the UNCRPD. Without urgent, inclusive, and coordinated action, the rights enshrined in Article 11 will remain unrealized for one of the most marginalized populations in the current conflict.</w:t>
      </w:r>
    </w:p>
    <w:p w14:paraId="74875C23" w14:textId="77777777" w:rsidR="0050608C" w:rsidRDefault="0050608C" w:rsidP="00121423">
      <w:pPr>
        <w:jc w:val="both"/>
      </w:pPr>
    </w:p>
    <w:p w14:paraId="34DF0639" w14:textId="77777777" w:rsidR="0050608C" w:rsidRDefault="0050608C" w:rsidP="00121423">
      <w:pPr>
        <w:jc w:val="both"/>
      </w:pPr>
    </w:p>
    <w:p w14:paraId="42268398" w14:textId="77777777" w:rsidR="0050608C" w:rsidRDefault="0050608C" w:rsidP="00121423">
      <w:pPr>
        <w:jc w:val="both"/>
      </w:pPr>
    </w:p>
    <w:p w14:paraId="5BEEB3B9" w14:textId="77777777" w:rsidR="0050608C" w:rsidRDefault="0050608C" w:rsidP="00121423">
      <w:pPr>
        <w:jc w:val="both"/>
      </w:pPr>
    </w:p>
    <w:p w14:paraId="78C45B43" w14:textId="77777777" w:rsidR="0050608C" w:rsidRDefault="0050608C" w:rsidP="00121423">
      <w:pPr>
        <w:jc w:val="both"/>
      </w:pPr>
    </w:p>
    <w:p w14:paraId="4057ED6E" w14:textId="77777777" w:rsidR="0050608C" w:rsidRPr="0050608C" w:rsidRDefault="0050608C" w:rsidP="00121423">
      <w:pPr>
        <w:spacing w:after="160" w:line="278" w:lineRule="auto"/>
        <w:jc w:val="both"/>
      </w:pPr>
    </w:p>
    <w:p w14:paraId="0D483062" w14:textId="77777777" w:rsidR="0050608C" w:rsidRPr="0050608C" w:rsidRDefault="0050608C" w:rsidP="00121423">
      <w:pPr>
        <w:jc w:val="both"/>
      </w:pPr>
    </w:p>
    <w:sectPr w:rsidR="0050608C" w:rsidRPr="0050608C">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16FA8" w14:textId="77777777" w:rsidR="00A57B46" w:rsidRDefault="00A57B46" w:rsidP="00A57B46">
      <w:pPr>
        <w:spacing w:after="0" w:line="240" w:lineRule="auto"/>
      </w:pPr>
      <w:r>
        <w:separator/>
      </w:r>
    </w:p>
  </w:endnote>
  <w:endnote w:type="continuationSeparator" w:id="0">
    <w:p w14:paraId="4BA90C97" w14:textId="77777777" w:rsidR="00A57B46" w:rsidRDefault="00A57B46" w:rsidP="00A57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546808"/>
      <w:docPartObj>
        <w:docPartGallery w:val="Page Numbers (Bottom of Page)"/>
        <w:docPartUnique/>
      </w:docPartObj>
    </w:sdtPr>
    <w:sdtEndPr>
      <w:rPr>
        <w:noProof/>
      </w:rPr>
    </w:sdtEndPr>
    <w:sdtContent>
      <w:p w14:paraId="66B6A628" w14:textId="15E17435" w:rsidR="004A4928" w:rsidRDefault="004A49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C1EACD" w14:textId="77777777" w:rsidR="004A4928" w:rsidRDefault="004A49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31B3D" w14:textId="77777777" w:rsidR="00A57B46" w:rsidRDefault="00A57B46" w:rsidP="00A57B46">
      <w:pPr>
        <w:spacing w:after="0" w:line="240" w:lineRule="auto"/>
      </w:pPr>
      <w:r>
        <w:separator/>
      </w:r>
    </w:p>
  </w:footnote>
  <w:footnote w:type="continuationSeparator" w:id="0">
    <w:p w14:paraId="0DE84D2F" w14:textId="77777777" w:rsidR="00A57B46" w:rsidRDefault="00A57B46" w:rsidP="00A57B46">
      <w:pPr>
        <w:spacing w:after="0" w:line="240" w:lineRule="auto"/>
      </w:pPr>
      <w:r>
        <w:continuationSeparator/>
      </w:r>
    </w:p>
  </w:footnote>
  <w:footnote w:id="1">
    <w:p w14:paraId="1ED5CA79" w14:textId="62FFA215" w:rsidR="00D45C78" w:rsidRPr="005E275D" w:rsidRDefault="00D45C78">
      <w:pPr>
        <w:pStyle w:val="FootnoteText"/>
        <w:rPr>
          <w:rFonts w:asciiTheme="majorHAnsi" w:hAnsiTheme="majorHAnsi"/>
          <w:sz w:val="16"/>
          <w:szCs w:val="16"/>
        </w:rPr>
      </w:pPr>
      <w:r w:rsidRPr="005E275D">
        <w:rPr>
          <w:rFonts w:asciiTheme="majorHAnsi" w:hAnsiTheme="majorHAnsi"/>
          <w:sz w:val="16"/>
          <w:szCs w:val="16"/>
        </w:rPr>
        <w:footnoteRef/>
      </w:r>
      <w:r w:rsidRPr="005E275D">
        <w:rPr>
          <w:rFonts w:asciiTheme="majorHAnsi" w:hAnsiTheme="majorHAnsi"/>
          <w:sz w:val="16"/>
          <w:szCs w:val="16"/>
        </w:rPr>
        <w:t xml:space="preserve"> </w:t>
      </w:r>
      <w:r w:rsidR="001857BA" w:rsidRPr="005E275D">
        <w:rPr>
          <w:rFonts w:asciiTheme="majorHAnsi" w:hAnsiTheme="majorHAnsi"/>
          <w:sz w:val="16"/>
          <w:szCs w:val="16"/>
        </w:rPr>
        <w:t>Protection Cluster, "Protection Analysis Update, July 2025," p. 2</w:t>
      </w:r>
    </w:p>
  </w:footnote>
  <w:footnote w:id="2">
    <w:p w14:paraId="5A8EA8FC" w14:textId="0BD8AB95" w:rsidR="00E356D2" w:rsidRPr="005E275D" w:rsidRDefault="00E356D2">
      <w:pPr>
        <w:pStyle w:val="FootnoteText"/>
        <w:rPr>
          <w:rFonts w:asciiTheme="majorHAnsi" w:hAnsiTheme="majorHAnsi"/>
          <w:sz w:val="16"/>
          <w:szCs w:val="16"/>
        </w:rPr>
      </w:pPr>
      <w:r w:rsidRPr="005E275D">
        <w:rPr>
          <w:rFonts w:asciiTheme="majorHAnsi" w:hAnsiTheme="majorHAnsi"/>
          <w:sz w:val="16"/>
          <w:szCs w:val="16"/>
        </w:rPr>
        <w:footnoteRef/>
      </w:r>
      <w:r w:rsidRPr="005E275D">
        <w:rPr>
          <w:rFonts w:asciiTheme="majorHAnsi" w:hAnsiTheme="majorHAnsi"/>
          <w:sz w:val="16"/>
          <w:szCs w:val="16"/>
        </w:rPr>
        <w:t xml:space="preserve"> </w:t>
      </w:r>
      <w:r w:rsidR="005E275D" w:rsidRPr="005E275D">
        <w:rPr>
          <w:rFonts w:asciiTheme="majorHAnsi" w:hAnsiTheme="majorHAnsi"/>
          <w:sz w:val="16"/>
          <w:szCs w:val="16"/>
        </w:rPr>
        <w:t>Ibid</w:t>
      </w:r>
    </w:p>
  </w:footnote>
  <w:footnote w:id="3">
    <w:p w14:paraId="468F6658" w14:textId="00AF8C38" w:rsidR="00E356D2" w:rsidRPr="005E275D" w:rsidRDefault="00E356D2">
      <w:pPr>
        <w:pStyle w:val="FootnoteText"/>
        <w:rPr>
          <w:rFonts w:asciiTheme="majorHAnsi" w:hAnsiTheme="majorHAnsi"/>
          <w:sz w:val="16"/>
          <w:szCs w:val="16"/>
        </w:rPr>
      </w:pPr>
      <w:r w:rsidRPr="005E275D">
        <w:rPr>
          <w:rFonts w:asciiTheme="majorHAnsi" w:hAnsiTheme="majorHAnsi"/>
          <w:sz w:val="16"/>
          <w:szCs w:val="16"/>
        </w:rPr>
        <w:footnoteRef/>
      </w:r>
      <w:r w:rsidRPr="005E275D">
        <w:rPr>
          <w:rFonts w:asciiTheme="majorHAnsi" w:hAnsiTheme="majorHAnsi"/>
          <w:sz w:val="16"/>
          <w:szCs w:val="16"/>
        </w:rPr>
        <w:t xml:space="preserve"> </w:t>
      </w:r>
      <w:r w:rsidR="005E275D" w:rsidRPr="0050608C">
        <w:rPr>
          <w:rFonts w:asciiTheme="majorHAnsi" w:hAnsiTheme="majorHAnsi"/>
          <w:sz w:val="16"/>
          <w:szCs w:val="16"/>
        </w:rPr>
        <w:t>Ibid</w:t>
      </w:r>
      <w:r w:rsidR="005E275D" w:rsidRPr="005E275D">
        <w:rPr>
          <w:rFonts w:asciiTheme="majorHAnsi" w:hAnsiTheme="majorHAnsi"/>
          <w:sz w:val="16"/>
          <w:szCs w:val="16"/>
        </w:rPr>
        <w:t>, p.4-5</w:t>
      </w:r>
    </w:p>
  </w:footnote>
  <w:footnote w:id="4">
    <w:p w14:paraId="2E4A957D" w14:textId="51709CAD" w:rsidR="005E275D" w:rsidRPr="005E275D" w:rsidRDefault="00E356D2" w:rsidP="005E275D">
      <w:pPr>
        <w:spacing w:line="278" w:lineRule="auto"/>
        <w:jc w:val="both"/>
        <w:rPr>
          <w:rFonts w:asciiTheme="majorHAnsi" w:hAnsiTheme="majorHAnsi"/>
          <w:sz w:val="16"/>
          <w:szCs w:val="16"/>
        </w:rPr>
      </w:pPr>
      <w:r w:rsidRPr="005E275D">
        <w:rPr>
          <w:rFonts w:asciiTheme="majorHAnsi" w:hAnsiTheme="majorHAnsi"/>
          <w:sz w:val="16"/>
          <w:szCs w:val="16"/>
        </w:rPr>
        <w:footnoteRef/>
      </w:r>
      <w:r w:rsidRPr="005E275D">
        <w:rPr>
          <w:rFonts w:asciiTheme="majorHAnsi" w:hAnsiTheme="majorHAnsi"/>
          <w:sz w:val="16"/>
          <w:szCs w:val="16"/>
        </w:rPr>
        <w:t xml:space="preserve"> </w:t>
      </w:r>
      <w:r w:rsidR="005E275D" w:rsidRPr="0050608C">
        <w:rPr>
          <w:rFonts w:asciiTheme="majorHAnsi" w:hAnsiTheme="majorHAnsi"/>
          <w:sz w:val="16"/>
          <w:szCs w:val="16"/>
        </w:rPr>
        <w:t xml:space="preserve"> ASDC, "Situation Report, March 2025," p. 4.</w:t>
      </w:r>
    </w:p>
    <w:p w14:paraId="0A6E8255" w14:textId="7E55A9CF" w:rsidR="00E356D2" w:rsidRDefault="00E356D2">
      <w:pPr>
        <w:pStyle w:val="FootnoteText"/>
      </w:pPr>
    </w:p>
  </w:footnote>
  <w:footnote w:id="5">
    <w:p w14:paraId="70C6247D" w14:textId="3B66C8B0" w:rsidR="00E356D2" w:rsidRPr="00E05401" w:rsidRDefault="00E356D2">
      <w:pPr>
        <w:pStyle w:val="FootnoteText"/>
        <w:rPr>
          <w:rFonts w:asciiTheme="majorHAnsi" w:hAnsiTheme="majorHAnsi"/>
          <w:sz w:val="16"/>
          <w:szCs w:val="16"/>
        </w:rPr>
      </w:pPr>
      <w:r w:rsidRPr="00E05401">
        <w:rPr>
          <w:rFonts w:asciiTheme="majorHAnsi" w:hAnsiTheme="majorHAnsi"/>
          <w:sz w:val="16"/>
          <w:szCs w:val="16"/>
        </w:rPr>
        <w:footnoteRef/>
      </w:r>
      <w:r w:rsidRPr="00E05401">
        <w:rPr>
          <w:rFonts w:asciiTheme="majorHAnsi" w:hAnsiTheme="majorHAnsi"/>
          <w:sz w:val="16"/>
          <w:szCs w:val="16"/>
        </w:rPr>
        <w:t xml:space="preserve"> </w:t>
      </w:r>
      <w:r w:rsidR="005E275D" w:rsidRPr="0050608C">
        <w:rPr>
          <w:rFonts w:asciiTheme="majorHAnsi" w:hAnsiTheme="majorHAnsi"/>
          <w:sz w:val="16"/>
          <w:szCs w:val="16"/>
        </w:rPr>
        <w:t>ASDC, "Situation Report, March 2025," p.</w:t>
      </w:r>
    </w:p>
  </w:footnote>
  <w:footnote w:id="6">
    <w:p w14:paraId="2F6F90EA" w14:textId="24B5AC55" w:rsidR="00E356D2" w:rsidRPr="00E05401" w:rsidRDefault="00E356D2">
      <w:pPr>
        <w:pStyle w:val="FootnoteText"/>
        <w:rPr>
          <w:rFonts w:asciiTheme="majorHAnsi" w:hAnsiTheme="majorHAnsi"/>
          <w:sz w:val="16"/>
          <w:szCs w:val="16"/>
        </w:rPr>
      </w:pPr>
      <w:r w:rsidRPr="00E05401">
        <w:rPr>
          <w:rFonts w:asciiTheme="majorHAnsi" w:hAnsiTheme="majorHAnsi"/>
          <w:sz w:val="16"/>
          <w:szCs w:val="16"/>
        </w:rPr>
        <w:footnoteRef/>
      </w:r>
      <w:r w:rsidRPr="00E05401">
        <w:rPr>
          <w:rFonts w:asciiTheme="majorHAnsi" w:hAnsiTheme="majorHAnsi"/>
          <w:sz w:val="16"/>
          <w:szCs w:val="16"/>
        </w:rPr>
        <w:t xml:space="preserve"> </w:t>
      </w:r>
      <w:r w:rsidR="005E275D" w:rsidRPr="0050608C">
        <w:rPr>
          <w:rFonts w:asciiTheme="majorHAnsi" w:hAnsiTheme="majorHAnsi"/>
          <w:sz w:val="16"/>
          <w:szCs w:val="16"/>
        </w:rPr>
        <w:t xml:space="preserve"> Ibid.</w:t>
      </w:r>
    </w:p>
  </w:footnote>
  <w:footnote w:id="7">
    <w:p w14:paraId="334C5221" w14:textId="79BAF736" w:rsidR="00E356D2" w:rsidRPr="00E05401" w:rsidRDefault="00E356D2">
      <w:pPr>
        <w:pStyle w:val="FootnoteText"/>
        <w:rPr>
          <w:rFonts w:asciiTheme="majorHAnsi" w:hAnsiTheme="majorHAnsi"/>
          <w:sz w:val="16"/>
          <w:szCs w:val="16"/>
        </w:rPr>
      </w:pPr>
      <w:r w:rsidRPr="00E05401">
        <w:rPr>
          <w:rFonts w:asciiTheme="majorHAnsi" w:hAnsiTheme="majorHAnsi"/>
          <w:sz w:val="16"/>
          <w:szCs w:val="16"/>
        </w:rPr>
        <w:footnoteRef/>
      </w:r>
      <w:r w:rsidRPr="00E05401">
        <w:rPr>
          <w:rFonts w:asciiTheme="majorHAnsi" w:hAnsiTheme="majorHAnsi"/>
          <w:sz w:val="16"/>
          <w:szCs w:val="16"/>
        </w:rPr>
        <w:t xml:space="preserve"> </w:t>
      </w:r>
      <w:r w:rsidR="005E275D" w:rsidRPr="0050608C">
        <w:rPr>
          <w:rFonts w:asciiTheme="majorHAnsi" w:hAnsiTheme="majorHAnsi"/>
          <w:sz w:val="16"/>
          <w:szCs w:val="16"/>
        </w:rPr>
        <w:t xml:space="preserve"> Ibid.</w:t>
      </w:r>
    </w:p>
  </w:footnote>
  <w:footnote w:id="8">
    <w:p w14:paraId="456855FD" w14:textId="788352BD" w:rsidR="00E356D2" w:rsidRPr="00E05401" w:rsidRDefault="00E356D2">
      <w:pPr>
        <w:pStyle w:val="FootnoteText"/>
        <w:rPr>
          <w:rFonts w:asciiTheme="majorHAnsi" w:hAnsiTheme="majorHAnsi"/>
          <w:sz w:val="16"/>
          <w:szCs w:val="16"/>
        </w:rPr>
      </w:pPr>
      <w:r w:rsidRPr="00E05401">
        <w:rPr>
          <w:rFonts w:asciiTheme="majorHAnsi" w:hAnsiTheme="majorHAnsi"/>
          <w:sz w:val="16"/>
          <w:szCs w:val="16"/>
        </w:rPr>
        <w:footnoteRef/>
      </w:r>
      <w:r w:rsidRPr="00E05401">
        <w:rPr>
          <w:rFonts w:asciiTheme="majorHAnsi" w:hAnsiTheme="majorHAnsi"/>
          <w:sz w:val="16"/>
          <w:szCs w:val="16"/>
        </w:rPr>
        <w:t xml:space="preserve"> </w:t>
      </w:r>
      <w:r w:rsidR="005E275D" w:rsidRPr="0050608C">
        <w:rPr>
          <w:rFonts w:asciiTheme="majorHAnsi" w:hAnsiTheme="majorHAnsi"/>
          <w:sz w:val="16"/>
          <w:szCs w:val="16"/>
        </w:rPr>
        <w:t xml:space="preserve"> Ibid., p. 7.</w:t>
      </w:r>
    </w:p>
  </w:footnote>
  <w:footnote w:id="9">
    <w:p w14:paraId="5846E4CB" w14:textId="5C8EF59E" w:rsidR="00F350ED" w:rsidRPr="00E05401" w:rsidRDefault="00F350ED">
      <w:pPr>
        <w:pStyle w:val="FootnoteText"/>
        <w:rPr>
          <w:rFonts w:asciiTheme="majorHAnsi" w:hAnsiTheme="majorHAnsi"/>
          <w:sz w:val="16"/>
          <w:szCs w:val="16"/>
        </w:rPr>
      </w:pPr>
      <w:r w:rsidRPr="00E05401">
        <w:rPr>
          <w:rFonts w:asciiTheme="majorHAnsi" w:hAnsiTheme="majorHAnsi"/>
          <w:sz w:val="16"/>
          <w:szCs w:val="16"/>
        </w:rPr>
        <w:footnoteRef/>
      </w:r>
      <w:r w:rsidRPr="00E05401">
        <w:rPr>
          <w:rFonts w:asciiTheme="majorHAnsi" w:hAnsiTheme="majorHAnsi"/>
          <w:sz w:val="16"/>
          <w:szCs w:val="16"/>
        </w:rPr>
        <w:t xml:space="preserve"> </w:t>
      </w:r>
      <w:r w:rsidR="005E275D" w:rsidRPr="0050608C">
        <w:rPr>
          <w:rFonts w:asciiTheme="majorHAnsi" w:hAnsiTheme="majorHAnsi"/>
          <w:sz w:val="16"/>
          <w:szCs w:val="16"/>
        </w:rPr>
        <w:t xml:space="preserve"> Protection Cluster, "Protection Analysis Update," p. 3.</w:t>
      </w:r>
    </w:p>
  </w:footnote>
  <w:footnote w:id="10">
    <w:p w14:paraId="372480B9" w14:textId="721C0347" w:rsidR="00F350ED" w:rsidRPr="00E05401" w:rsidRDefault="00F350ED">
      <w:pPr>
        <w:pStyle w:val="FootnoteText"/>
        <w:rPr>
          <w:rFonts w:asciiTheme="majorHAnsi" w:hAnsiTheme="majorHAnsi"/>
          <w:sz w:val="16"/>
          <w:szCs w:val="16"/>
        </w:rPr>
      </w:pPr>
      <w:r w:rsidRPr="00E05401">
        <w:rPr>
          <w:rFonts w:asciiTheme="majorHAnsi" w:hAnsiTheme="majorHAnsi"/>
          <w:sz w:val="16"/>
          <w:szCs w:val="16"/>
        </w:rPr>
        <w:footnoteRef/>
      </w:r>
      <w:r w:rsidRPr="00E05401">
        <w:rPr>
          <w:rFonts w:asciiTheme="majorHAnsi" w:hAnsiTheme="majorHAnsi"/>
          <w:sz w:val="16"/>
          <w:szCs w:val="16"/>
        </w:rPr>
        <w:t xml:space="preserve"> </w:t>
      </w:r>
      <w:r w:rsidR="005E275D" w:rsidRPr="0050608C">
        <w:rPr>
          <w:rFonts w:asciiTheme="majorHAnsi" w:hAnsiTheme="majorHAnsi"/>
          <w:sz w:val="16"/>
          <w:szCs w:val="16"/>
        </w:rPr>
        <w:t>Ibid., p. 5.</w:t>
      </w:r>
    </w:p>
  </w:footnote>
  <w:footnote w:id="11">
    <w:p w14:paraId="10536795" w14:textId="237927F9" w:rsidR="00F350ED" w:rsidRPr="00E05401" w:rsidRDefault="00F350ED">
      <w:pPr>
        <w:pStyle w:val="FootnoteText"/>
        <w:rPr>
          <w:rFonts w:asciiTheme="majorHAnsi" w:hAnsiTheme="majorHAnsi"/>
          <w:sz w:val="16"/>
          <w:szCs w:val="16"/>
        </w:rPr>
      </w:pPr>
      <w:r w:rsidRPr="00E05401">
        <w:rPr>
          <w:rFonts w:asciiTheme="majorHAnsi" w:hAnsiTheme="majorHAnsi"/>
          <w:sz w:val="16"/>
          <w:szCs w:val="16"/>
        </w:rPr>
        <w:footnoteRef/>
      </w:r>
      <w:r w:rsidRPr="00E05401">
        <w:rPr>
          <w:rFonts w:asciiTheme="majorHAnsi" w:hAnsiTheme="majorHAnsi"/>
          <w:sz w:val="16"/>
          <w:szCs w:val="16"/>
        </w:rPr>
        <w:t xml:space="preserve"> </w:t>
      </w:r>
      <w:r w:rsidR="005E275D" w:rsidRPr="0050608C">
        <w:rPr>
          <w:rFonts w:asciiTheme="majorHAnsi" w:hAnsiTheme="majorHAnsi"/>
          <w:sz w:val="16"/>
          <w:szCs w:val="16"/>
        </w:rPr>
        <w:t>Ibid.</w:t>
      </w:r>
    </w:p>
  </w:footnote>
  <w:footnote w:id="12">
    <w:p w14:paraId="0344BFF4" w14:textId="5800AC80" w:rsidR="00F350ED" w:rsidRPr="00E05401" w:rsidRDefault="00F350ED">
      <w:pPr>
        <w:pStyle w:val="FootnoteText"/>
        <w:rPr>
          <w:rFonts w:asciiTheme="majorHAnsi" w:hAnsiTheme="majorHAnsi"/>
          <w:sz w:val="16"/>
          <w:szCs w:val="16"/>
        </w:rPr>
      </w:pPr>
      <w:r w:rsidRPr="00E05401">
        <w:rPr>
          <w:rFonts w:asciiTheme="majorHAnsi" w:hAnsiTheme="majorHAnsi"/>
          <w:sz w:val="16"/>
          <w:szCs w:val="16"/>
        </w:rPr>
        <w:footnoteRef/>
      </w:r>
      <w:r w:rsidRPr="00E05401">
        <w:rPr>
          <w:rFonts w:asciiTheme="majorHAnsi" w:hAnsiTheme="majorHAnsi"/>
          <w:sz w:val="16"/>
          <w:szCs w:val="16"/>
        </w:rPr>
        <w:t xml:space="preserve"> </w:t>
      </w:r>
      <w:r w:rsidR="00E05401" w:rsidRPr="0050608C">
        <w:rPr>
          <w:rFonts w:asciiTheme="majorHAnsi" w:hAnsiTheme="majorHAnsi"/>
          <w:sz w:val="16"/>
          <w:szCs w:val="16"/>
        </w:rPr>
        <w:t>ASDC, "Situation Report," p. 5.</w:t>
      </w:r>
    </w:p>
  </w:footnote>
  <w:footnote w:id="13">
    <w:p w14:paraId="5E63D940" w14:textId="5C40C691" w:rsidR="00F350ED" w:rsidRPr="00E05401" w:rsidRDefault="00F350ED">
      <w:pPr>
        <w:pStyle w:val="FootnoteText"/>
        <w:rPr>
          <w:rFonts w:asciiTheme="majorHAnsi" w:hAnsiTheme="majorHAnsi"/>
          <w:sz w:val="16"/>
          <w:szCs w:val="16"/>
        </w:rPr>
      </w:pPr>
      <w:r w:rsidRPr="00E05401">
        <w:rPr>
          <w:rFonts w:asciiTheme="majorHAnsi" w:hAnsiTheme="majorHAnsi"/>
          <w:sz w:val="16"/>
          <w:szCs w:val="16"/>
        </w:rPr>
        <w:footnoteRef/>
      </w:r>
      <w:r w:rsidRPr="00E05401">
        <w:rPr>
          <w:rFonts w:asciiTheme="majorHAnsi" w:hAnsiTheme="majorHAnsi"/>
          <w:sz w:val="16"/>
          <w:szCs w:val="16"/>
        </w:rPr>
        <w:t xml:space="preserve"> </w:t>
      </w:r>
      <w:r w:rsidR="00E05401" w:rsidRPr="0050608C">
        <w:rPr>
          <w:rFonts w:asciiTheme="majorHAnsi" w:hAnsiTheme="majorHAnsi"/>
          <w:sz w:val="16"/>
          <w:szCs w:val="16"/>
        </w:rPr>
        <w:t>Protection Cluster, p. 6.</w:t>
      </w:r>
    </w:p>
  </w:footnote>
  <w:footnote w:id="14">
    <w:p w14:paraId="09398FD1" w14:textId="76926334" w:rsidR="00F350ED" w:rsidRPr="00E05401" w:rsidRDefault="00F350ED">
      <w:pPr>
        <w:pStyle w:val="FootnoteText"/>
        <w:rPr>
          <w:rFonts w:asciiTheme="majorHAnsi" w:hAnsiTheme="majorHAnsi"/>
          <w:sz w:val="16"/>
          <w:szCs w:val="16"/>
        </w:rPr>
      </w:pPr>
      <w:r w:rsidRPr="00E05401">
        <w:rPr>
          <w:rFonts w:asciiTheme="majorHAnsi" w:hAnsiTheme="majorHAnsi"/>
          <w:sz w:val="16"/>
          <w:szCs w:val="16"/>
        </w:rPr>
        <w:footnoteRef/>
      </w:r>
      <w:r w:rsidRPr="00E05401">
        <w:rPr>
          <w:rFonts w:asciiTheme="majorHAnsi" w:hAnsiTheme="majorHAnsi"/>
          <w:sz w:val="16"/>
          <w:szCs w:val="16"/>
        </w:rPr>
        <w:t xml:space="preserve"> </w:t>
      </w:r>
      <w:r w:rsidR="00E05401" w:rsidRPr="0050608C">
        <w:rPr>
          <w:rFonts w:asciiTheme="majorHAnsi" w:hAnsiTheme="majorHAnsi"/>
          <w:sz w:val="16"/>
          <w:szCs w:val="16"/>
        </w:rPr>
        <w:t>Ibid., pp. 6–7.</w:t>
      </w:r>
    </w:p>
  </w:footnote>
  <w:footnote w:id="15">
    <w:p w14:paraId="67C943A7" w14:textId="7048501B" w:rsidR="00F350ED" w:rsidRPr="00E05401" w:rsidRDefault="00F350ED">
      <w:pPr>
        <w:pStyle w:val="FootnoteText"/>
        <w:rPr>
          <w:rFonts w:asciiTheme="majorHAnsi" w:hAnsiTheme="majorHAnsi"/>
          <w:sz w:val="16"/>
          <w:szCs w:val="16"/>
        </w:rPr>
      </w:pPr>
      <w:r w:rsidRPr="00E05401">
        <w:rPr>
          <w:rFonts w:asciiTheme="majorHAnsi" w:hAnsiTheme="majorHAnsi"/>
          <w:sz w:val="16"/>
          <w:szCs w:val="16"/>
        </w:rPr>
        <w:footnoteRef/>
      </w:r>
      <w:r w:rsidRPr="00E05401">
        <w:rPr>
          <w:rFonts w:asciiTheme="majorHAnsi" w:hAnsiTheme="majorHAnsi"/>
          <w:sz w:val="16"/>
          <w:szCs w:val="16"/>
        </w:rPr>
        <w:t xml:space="preserve"> </w:t>
      </w:r>
      <w:r w:rsidR="00E05401" w:rsidRPr="0050608C">
        <w:rPr>
          <w:rFonts w:asciiTheme="majorHAnsi" w:hAnsiTheme="majorHAnsi"/>
          <w:sz w:val="16"/>
          <w:szCs w:val="16"/>
        </w:rPr>
        <w:t>ASDC, "Education Matters Assessment, July 2024," p. 9.</w:t>
      </w:r>
    </w:p>
  </w:footnote>
  <w:footnote w:id="16">
    <w:p w14:paraId="5A435E7B" w14:textId="33FA2F8B" w:rsidR="00F350ED" w:rsidRDefault="00F350ED">
      <w:pPr>
        <w:pStyle w:val="FootnoteText"/>
      </w:pPr>
      <w:r w:rsidRPr="00E05401">
        <w:rPr>
          <w:rFonts w:asciiTheme="majorHAnsi" w:hAnsiTheme="majorHAnsi"/>
          <w:sz w:val="16"/>
          <w:szCs w:val="16"/>
        </w:rPr>
        <w:footnoteRef/>
      </w:r>
      <w:r w:rsidRPr="00E05401">
        <w:rPr>
          <w:rFonts w:asciiTheme="majorHAnsi" w:hAnsiTheme="majorHAnsi"/>
          <w:sz w:val="16"/>
          <w:szCs w:val="16"/>
        </w:rPr>
        <w:t xml:space="preserve"> </w:t>
      </w:r>
      <w:r w:rsidR="00E05401" w:rsidRPr="0050608C">
        <w:rPr>
          <w:rFonts w:asciiTheme="majorHAnsi" w:hAnsiTheme="majorHAnsi"/>
          <w:sz w:val="16"/>
          <w:szCs w:val="16"/>
        </w:rPr>
        <w:t>1Ibid., pp. 9–10.</w:t>
      </w:r>
    </w:p>
  </w:footnote>
  <w:footnote w:id="17">
    <w:p w14:paraId="03D3A097" w14:textId="28355EBE" w:rsidR="00F350ED" w:rsidRDefault="00F350ED">
      <w:pPr>
        <w:pStyle w:val="FootnoteText"/>
      </w:pPr>
      <w:r>
        <w:rPr>
          <w:rStyle w:val="FootnoteReference"/>
        </w:rPr>
        <w:footnoteRef/>
      </w:r>
      <w:r>
        <w:t xml:space="preserve"> </w:t>
      </w:r>
      <w:r w:rsidR="00E05401" w:rsidRPr="00E05401">
        <w:rPr>
          <w:rFonts w:asciiTheme="majorHAnsi" w:hAnsiTheme="majorHAnsi"/>
          <w:sz w:val="16"/>
          <w:szCs w:val="16"/>
        </w:rPr>
        <w:t>Ibid., p. 13.</w:t>
      </w:r>
    </w:p>
  </w:footnote>
  <w:footnote w:id="18">
    <w:p w14:paraId="16E8C0F1" w14:textId="0A289C89" w:rsidR="006B60DB" w:rsidRPr="006B60DB" w:rsidRDefault="00F350ED" w:rsidP="006B60DB">
      <w:pPr>
        <w:pStyle w:val="FootnoteText"/>
        <w:rPr>
          <w:rFonts w:asciiTheme="majorHAnsi" w:hAnsiTheme="majorHAnsi"/>
          <w:sz w:val="16"/>
          <w:szCs w:val="16"/>
        </w:rPr>
      </w:pPr>
      <w:r w:rsidRPr="006B60DB">
        <w:rPr>
          <w:rFonts w:asciiTheme="majorHAnsi" w:hAnsiTheme="majorHAnsi"/>
          <w:sz w:val="16"/>
          <w:szCs w:val="16"/>
        </w:rPr>
        <w:footnoteRef/>
      </w:r>
      <w:r w:rsidRPr="006B60DB">
        <w:rPr>
          <w:rFonts w:asciiTheme="majorHAnsi" w:hAnsiTheme="majorHAnsi"/>
          <w:sz w:val="16"/>
          <w:szCs w:val="16"/>
        </w:rPr>
        <w:t xml:space="preserve"> </w:t>
      </w:r>
      <w:r w:rsidR="006B60DB" w:rsidRPr="0050608C">
        <w:rPr>
          <w:rFonts w:asciiTheme="majorHAnsi" w:hAnsiTheme="majorHAnsi"/>
          <w:sz w:val="16"/>
          <w:szCs w:val="16"/>
        </w:rPr>
        <w:t xml:space="preserve"> Ibid., p. 14. </w:t>
      </w:r>
    </w:p>
    <w:p w14:paraId="0C464E10" w14:textId="001995EA" w:rsidR="00F350ED" w:rsidRPr="006B60DB" w:rsidRDefault="006B60DB" w:rsidP="006B60DB">
      <w:pPr>
        <w:pStyle w:val="FootnoteText"/>
        <w:rPr>
          <w:rFonts w:asciiTheme="majorHAnsi" w:hAnsiTheme="majorHAnsi"/>
          <w:sz w:val="16"/>
          <w:szCs w:val="16"/>
        </w:rPr>
      </w:pPr>
      <w:r w:rsidRPr="0050608C">
        <w:rPr>
          <w:rFonts w:asciiTheme="majorHAnsi" w:hAnsiTheme="majorHAnsi"/>
          <w:sz w:val="16"/>
          <w:szCs w:val="16"/>
        </w:rPr>
        <w:t>23 Ibid.</w:t>
      </w:r>
    </w:p>
  </w:footnote>
  <w:footnote w:id="19">
    <w:p w14:paraId="3C4B7412" w14:textId="0FAA93DE" w:rsidR="00F350ED" w:rsidRPr="006B60DB" w:rsidRDefault="00F350ED">
      <w:pPr>
        <w:pStyle w:val="FootnoteText"/>
        <w:rPr>
          <w:rFonts w:asciiTheme="majorHAnsi" w:hAnsiTheme="majorHAnsi"/>
          <w:sz w:val="16"/>
          <w:szCs w:val="16"/>
        </w:rPr>
      </w:pPr>
      <w:r w:rsidRPr="006B60DB">
        <w:rPr>
          <w:rFonts w:asciiTheme="majorHAnsi" w:hAnsiTheme="majorHAnsi"/>
          <w:sz w:val="16"/>
          <w:szCs w:val="16"/>
        </w:rPr>
        <w:footnoteRef/>
      </w:r>
      <w:r w:rsidRPr="006B60DB">
        <w:rPr>
          <w:rFonts w:asciiTheme="majorHAnsi" w:hAnsiTheme="majorHAnsi"/>
          <w:sz w:val="16"/>
          <w:szCs w:val="16"/>
        </w:rPr>
        <w:t xml:space="preserve"> </w:t>
      </w:r>
      <w:r w:rsidR="006B60DB" w:rsidRPr="0050608C">
        <w:rPr>
          <w:rFonts w:asciiTheme="majorHAnsi" w:hAnsiTheme="majorHAnsi"/>
          <w:sz w:val="16"/>
          <w:szCs w:val="16"/>
        </w:rPr>
        <w:t>Ibid., p. 15.</w:t>
      </w:r>
    </w:p>
  </w:footnote>
  <w:footnote w:id="20">
    <w:p w14:paraId="70E0D52B" w14:textId="5E2E528B" w:rsidR="00F350ED" w:rsidRPr="006B60DB" w:rsidRDefault="00F350ED">
      <w:pPr>
        <w:pStyle w:val="FootnoteText"/>
        <w:rPr>
          <w:rFonts w:asciiTheme="majorHAnsi" w:hAnsiTheme="majorHAnsi"/>
          <w:sz w:val="16"/>
          <w:szCs w:val="16"/>
        </w:rPr>
      </w:pPr>
      <w:r w:rsidRPr="006B60DB">
        <w:rPr>
          <w:rFonts w:asciiTheme="majorHAnsi" w:hAnsiTheme="majorHAnsi"/>
          <w:sz w:val="16"/>
          <w:szCs w:val="16"/>
        </w:rPr>
        <w:footnoteRef/>
      </w:r>
      <w:r w:rsidRPr="006B60DB">
        <w:rPr>
          <w:rFonts w:asciiTheme="majorHAnsi" w:hAnsiTheme="majorHAnsi"/>
          <w:sz w:val="16"/>
          <w:szCs w:val="16"/>
        </w:rPr>
        <w:t xml:space="preserve"> </w:t>
      </w:r>
      <w:r w:rsidR="006B60DB" w:rsidRPr="0050608C">
        <w:rPr>
          <w:rFonts w:asciiTheme="majorHAnsi" w:hAnsiTheme="majorHAnsi"/>
          <w:sz w:val="16"/>
          <w:szCs w:val="16"/>
        </w:rPr>
        <w:t>Ibid., pp. 22–23.</w:t>
      </w:r>
    </w:p>
  </w:footnote>
  <w:footnote w:id="21">
    <w:p w14:paraId="3A2121E7" w14:textId="096A7D17" w:rsidR="00F350ED" w:rsidRPr="006B60DB" w:rsidRDefault="00F350ED">
      <w:pPr>
        <w:pStyle w:val="FootnoteText"/>
        <w:rPr>
          <w:rFonts w:asciiTheme="majorHAnsi" w:hAnsiTheme="majorHAnsi"/>
          <w:sz w:val="16"/>
          <w:szCs w:val="16"/>
        </w:rPr>
      </w:pPr>
      <w:r w:rsidRPr="006B60DB">
        <w:rPr>
          <w:rFonts w:asciiTheme="majorHAnsi" w:hAnsiTheme="majorHAnsi"/>
          <w:sz w:val="16"/>
          <w:szCs w:val="16"/>
        </w:rPr>
        <w:footnoteRef/>
      </w:r>
      <w:r w:rsidRPr="006B60DB">
        <w:rPr>
          <w:rFonts w:asciiTheme="majorHAnsi" w:hAnsiTheme="majorHAnsi"/>
          <w:sz w:val="16"/>
          <w:szCs w:val="16"/>
        </w:rPr>
        <w:t xml:space="preserve"> </w:t>
      </w:r>
      <w:r w:rsidR="006B60DB" w:rsidRPr="0050608C">
        <w:rPr>
          <w:rFonts w:asciiTheme="majorHAnsi" w:hAnsiTheme="majorHAnsi"/>
          <w:sz w:val="16"/>
          <w:szCs w:val="16"/>
        </w:rPr>
        <w:t>Ibid., p. 20.</w:t>
      </w:r>
    </w:p>
  </w:footnote>
  <w:footnote w:id="22">
    <w:p w14:paraId="42087384" w14:textId="5FF6A77F" w:rsidR="00F350ED" w:rsidRPr="006B60DB" w:rsidRDefault="00F350ED" w:rsidP="006B60DB">
      <w:pPr>
        <w:pStyle w:val="FootnoteText"/>
        <w:rPr>
          <w:rFonts w:asciiTheme="majorHAnsi" w:hAnsiTheme="majorHAnsi"/>
          <w:sz w:val="16"/>
          <w:szCs w:val="16"/>
        </w:rPr>
      </w:pPr>
      <w:r w:rsidRPr="006B60DB">
        <w:rPr>
          <w:rFonts w:asciiTheme="majorHAnsi" w:hAnsiTheme="majorHAnsi"/>
          <w:sz w:val="16"/>
          <w:szCs w:val="16"/>
        </w:rPr>
        <w:footnoteRef/>
      </w:r>
      <w:r w:rsidRPr="006B60DB">
        <w:rPr>
          <w:rFonts w:asciiTheme="majorHAnsi" w:hAnsiTheme="majorHAnsi"/>
          <w:sz w:val="16"/>
          <w:szCs w:val="16"/>
        </w:rPr>
        <w:t xml:space="preserve"> </w:t>
      </w:r>
      <w:r w:rsidR="006B60DB" w:rsidRPr="0050608C">
        <w:rPr>
          <w:rFonts w:asciiTheme="majorHAnsi" w:hAnsiTheme="majorHAnsi"/>
          <w:sz w:val="16"/>
          <w:szCs w:val="16"/>
        </w:rPr>
        <w:t>Protection Cluster, pp. 6–8.</w:t>
      </w:r>
    </w:p>
  </w:footnote>
  <w:footnote w:id="23">
    <w:p w14:paraId="6F31C798" w14:textId="6DECD63A" w:rsidR="00985948" w:rsidRPr="006B60DB" w:rsidRDefault="00985948">
      <w:pPr>
        <w:pStyle w:val="FootnoteText"/>
        <w:rPr>
          <w:rFonts w:asciiTheme="majorHAnsi" w:hAnsiTheme="majorHAnsi"/>
          <w:sz w:val="16"/>
          <w:szCs w:val="16"/>
        </w:rPr>
      </w:pPr>
      <w:r w:rsidRPr="006B60DB">
        <w:rPr>
          <w:rFonts w:asciiTheme="majorHAnsi" w:hAnsiTheme="majorHAnsi"/>
          <w:sz w:val="16"/>
          <w:szCs w:val="16"/>
        </w:rPr>
        <w:footnoteRef/>
      </w:r>
      <w:r w:rsidRPr="006B60DB">
        <w:rPr>
          <w:rFonts w:asciiTheme="majorHAnsi" w:hAnsiTheme="majorHAnsi"/>
          <w:sz w:val="16"/>
          <w:szCs w:val="16"/>
        </w:rPr>
        <w:t xml:space="preserve"> </w:t>
      </w:r>
      <w:r w:rsidR="006B60DB" w:rsidRPr="0050608C">
        <w:rPr>
          <w:rFonts w:asciiTheme="majorHAnsi" w:hAnsiTheme="majorHAnsi"/>
          <w:sz w:val="16"/>
          <w:szCs w:val="16"/>
        </w:rPr>
        <w:t>"Protection Analysis Update," p. 8.</w:t>
      </w:r>
    </w:p>
  </w:footnote>
  <w:footnote w:id="24">
    <w:p w14:paraId="427E9E9E" w14:textId="16E0C816" w:rsidR="00985948" w:rsidRPr="006B60DB" w:rsidRDefault="00985948">
      <w:pPr>
        <w:pStyle w:val="FootnoteText"/>
        <w:rPr>
          <w:rFonts w:asciiTheme="majorHAnsi" w:hAnsiTheme="majorHAnsi"/>
          <w:sz w:val="16"/>
          <w:szCs w:val="16"/>
        </w:rPr>
      </w:pPr>
      <w:r w:rsidRPr="006B60DB">
        <w:rPr>
          <w:rFonts w:asciiTheme="majorHAnsi" w:hAnsiTheme="majorHAnsi"/>
          <w:sz w:val="16"/>
          <w:szCs w:val="16"/>
        </w:rPr>
        <w:footnoteRef/>
      </w:r>
      <w:r w:rsidRPr="006B60DB">
        <w:rPr>
          <w:rFonts w:asciiTheme="majorHAnsi" w:hAnsiTheme="majorHAnsi"/>
          <w:sz w:val="16"/>
          <w:szCs w:val="16"/>
        </w:rPr>
        <w:t xml:space="preserve"> </w:t>
      </w:r>
      <w:r w:rsidR="006B60DB" w:rsidRPr="0050608C">
        <w:rPr>
          <w:rFonts w:asciiTheme="majorHAnsi" w:hAnsiTheme="majorHAnsi"/>
          <w:sz w:val="16"/>
          <w:szCs w:val="16"/>
        </w:rPr>
        <w:t>Ibid., p. 7.</w:t>
      </w:r>
    </w:p>
  </w:footnote>
  <w:footnote w:id="25">
    <w:p w14:paraId="34CDCEA8" w14:textId="6CE90996" w:rsidR="00985948" w:rsidRPr="006B60DB" w:rsidRDefault="00985948">
      <w:pPr>
        <w:pStyle w:val="FootnoteText"/>
        <w:rPr>
          <w:rFonts w:asciiTheme="majorHAnsi" w:hAnsiTheme="majorHAnsi"/>
          <w:sz w:val="16"/>
          <w:szCs w:val="16"/>
        </w:rPr>
      </w:pPr>
      <w:r w:rsidRPr="006B60DB">
        <w:rPr>
          <w:rFonts w:asciiTheme="majorHAnsi" w:hAnsiTheme="majorHAnsi"/>
          <w:sz w:val="16"/>
          <w:szCs w:val="16"/>
        </w:rPr>
        <w:footnoteRef/>
      </w:r>
      <w:r w:rsidRPr="006B60DB">
        <w:rPr>
          <w:rFonts w:asciiTheme="majorHAnsi" w:hAnsiTheme="majorHAnsi"/>
          <w:sz w:val="16"/>
          <w:szCs w:val="16"/>
        </w:rPr>
        <w:t xml:space="preserve"> </w:t>
      </w:r>
      <w:r w:rsidR="006B60DB" w:rsidRPr="0050608C">
        <w:rPr>
          <w:rFonts w:asciiTheme="majorHAnsi" w:hAnsiTheme="majorHAnsi"/>
          <w:sz w:val="16"/>
          <w:szCs w:val="16"/>
        </w:rPr>
        <w:t>Ibid., p. 9.</w:t>
      </w:r>
    </w:p>
  </w:footnote>
  <w:footnote w:id="26">
    <w:p w14:paraId="48347621" w14:textId="7440E9DD" w:rsidR="00985948" w:rsidRDefault="00985948">
      <w:pPr>
        <w:pStyle w:val="FootnoteText"/>
      </w:pPr>
      <w:r w:rsidRPr="006B60DB">
        <w:rPr>
          <w:rFonts w:asciiTheme="majorHAnsi" w:hAnsiTheme="majorHAnsi"/>
          <w:sz w:val="16"/>
          <w:szCs w:val="16"/>
        </w:rPr>
        <w:footnoteRef/>
      </w:r>
      <w:r w:rsidRPr="006B60DB">
        <w:rPr>
          <w:rFonts w:asciiTheme="majorHAnsi" w:hAnsiTheme="majorHAnsi"/>
          <w:sz w:val="16"/>
          <w:szCs w:val="16"/>
        </w:rPr>
        <w:t xml:space="preserve"> </w:t>
      </w:r>
      <w:r w:rsidR="006B60DB" w:rsidRPr="0050608C">
        <w:rPr>
          <w:rFonts w:asciiTheme="majorHAnsi" w:hAnsiTheme="majorHAnsi"/>
          <w:sz w:val="16"/>
          <w:szCs w:val="16"/>
        </w:rPr>
        <w:t>Ibid., p. 9.</w:t>
      </w:r>
    </w:p>
  </w:footnote>
  <w:footnote w:id="27">
    <w:p w14:paraId="1558945A" w14:textId="491FE879" w:rsidR="00985948" w:rsidRPr="00A13F51" w:rsidRDefault="00985948" w:rsidP="00A13F51">
      <w:pPr>
        <w:pStyle w:val="FootnoteText"/>
        <w:rPr>
          <w:rFonts w:asciiTheme="majorHAnsi" w:hAnsiTheme="majorHAnsi"/>
          <w:sz w:val="16"/>
          <w:szCs w:val="16"/>
        </w:rPr>
      </w:pPr>
      <w:r w:rsidRPr="00A13F51">
        <w:rPr>
          <w:rFonts w:asciiTheme="majorHAnsi" w:hAnsiTheme="majorHAnsi"/>
          <w:sz w:val="16"/>
          <w:szCs w:val="16"/>
        </w:rPr>
        <w:footnoteRef/>
      </w:r>
      <w:r w:rsidRPr="00A13F51">
        <w:rPr>
          <w:rFonts w:asciiTheme="majorHAnsi" w:hAnsiTheme="majorHAnsi"/>
          <w:sz w:val="16"/>
          <w:szCs w:val="16"/>
        </w:rPr>
        <w:t xml:space="preserve"> </w:t>
      </w:r>
      <w:r w:rsidR="00586928" w:rsidRPr="0050608C">
        <w:rPr>
          <w:rFonts w:asciiTheme="majorHAnsi" w:hAnsiTheme="majorHAnsi"/>
          <w:sz w:val="16"/>
          <w:szCs w:val="16"/>
        </w:rPr>
        <w:t xml:space="preserve">Ibid., pp. 8–9. </w:t>
      </w:r>
    </w:p>
  </w:footnote>
  <w:footnote w:id="28">
    <w:p w14:paraId="35DDBFD1" w14:textId="37782D4A" w:rsidR="00985948" w:rsidRPr="00A13F51" w:rsidRDefault="00985948">
      <w:pPr>
        <w:pStyle w:val="FootnoteText"/>
        <w:rPr>
          <w:rFonts w:asciiTheme="majorHAnsi" w:hAnsiTheme="majorHAnsi"/>
          <w:sz w:val="16"/>
          <w:szCs w:val="16"/>
        </w:rPr>
      </w:pPr>
      <w:r w:rsidRPr="00A13F51">
        <w:rPr>
          <w:rFonts w:asciiTheme="majorHAnsi" w:hAnsiTheme="majorHAnsi"/>
          <w:sz w:val="16"/>
          <w:szCs w:val="16"/>
        </w:rPr>
        <w:footnoteRef/>
      </w:r>
      <w:r w:rsidRPr="00A13F51">
        <w:rPr>
          <w:rFonts w:asciiTheme="majorHAnsi" w:hAnsiTheme="majorHAnsi"/>
          <w:sz w:val="16"/>
          <w:szCs w:val="16"/>
        </w:rPr>
        <w:t xml:space="preserve"> </w:t>
      </w:r>
      <w:r w:rsidR="00586928" w:rsidRPr="0050608C">
        <w:rPr>
          <w:rFonts w:asciiTheme="majorHAnsi" w:hAnsiTheme="majorHAnsi"/>
          <w:sz w:val="16"/>
          <w:szCs w:val="16"/>
        </w:rPr>
        <w:t>ASDC, "Situation Report," p. 8.</w:t>
      </w:r>
    </w:p>
  </w:footnote>
  <w:footnote w:id="29">
    <w:p w14:paraId="5721E81E" w14:textId="24494543" w:rsidR="00985948" w:rsidRPr="00A13F51" w:rsidRDefault="00985948">
      <w:pPr>
        <w:pStyle w:val="FootnoteText"/>
        <w:rPr>
          <w:rFonts w:asciiTheme="majorHAnsi" w:hAnsiTheme="majorHAnsi"/>
          <w:sz w:val="16"/>
          <w:szCs w:val="16"/>
        </w:rPr>
      </w:pPr>
      <w:r w:rsidRPr="00A13F51">
        <w:rPr>
          <w:rFonts w:asciiTheme="majorHAnsi" w:hAnsiTheme="majorHAnsi"/>
          <w:sz w:val="16"/>
          <w:szCs w:val="16"/>
        </w:rPr>
        <w:footnoteRef/>
      </w:r>
      <w:r w:rsidRPr="00A13F51">
        <w:rPr>
          <w:rFonts w:asciiTheme="majorHAnsi" w:hAnsiTheme="majorHAnsi"/>
          <w:sz w:val="16"/>
          <w:szCs w:val="16"/>
        </w:rPr>
        <w:t xml:space="preserve"> </w:t>
      </w:r>
      <w:r w:rsidR="00586928" w:rsidRPr="0050608C">
        <w:rPr>
          <w:rFonts w:asciiTheme="majorHAnsi" w:hAnsiTheme="majorHAnsi"/>
          <w:sz w:val="16"/>
          <w:szCs w:val="16"/>
        </w:rPr>
        <w:t>Protection Cluster, p. 7.</w:t>
      </w:r>
    </w:p>
  </w:footnote>
  <w:footnote w:id="30">
    <w:p w14:paraId="790AE15B" w14:textId="04AB9C8E" w:rsidR="00985948" w:rsidRPr="00A13F51" w:rsidRDefault="00985948">
      <w:pPr>
        <w:pStyle w:val="FootnoteText"/>
        <w:rPr>
          <w:rFonts w:asciiTheme="majorHAnsi" w:hAnsiTheme="majorHAnsi"/>
          <w:sz w:val="16"/>
          <w:szCs w:val="16"/>
        </w:rPr>
      </w:pPr>
      <w:r w:rsidRPr="00A13F51">
        <w:rPr>
          <w:rFonts w:asciiTheme="majorHAnsi" w:hAnsiTheme="majorHAnsi"/>
          <w:sz w:val="16"/>
          <w:szCs w:val="16"/>
        </w:rPr>
        <w:footnoteRef/>
      </w:r>
      <w:r w:rsidRPr="00A13F51">
        <w:rPr>
          <w:rFonts w:asciiTheme="majorHAnsi" w:hAnsiTheme="majorHAnsi"/>
          <w:sz w:val="16"/>
          <w:szCs w:val="16"/>
        </w:rPr>
        <w:t xml:space="preserve"> </w:t>
      </w:r>
      <w:r w:rsidR="00586928" w:rsidRPr="0050608C">
        <w:rPr>
          <w:rFonts w:asciiTheme="majorHAnsi" w:hAnsiTheme="majorHAnsi"/>
          <w:sz w:val="16"/>
          <w:szCs w:val="16"/>
        </w:rPr>
        <w:t>Ibid.</w:t>
      </w:r>
    </w:p>
  </w:footnote>
  <w:footnote w:id="31">
    <w:p w14:paraId="081501EC" w14:textId="53464E47" w:rsidR="00985948" w:rsidRPr="00A13F51" w:rsidRDefault="00985948">
      <w:pPr>
        <w:pStyle w:val="FootnoteText"/>
        <w:rPr>
          <w:rFonts w:asciiTheme="majorHAnsi" w:hAnsiTheme="majorHAnsi"/>
          <w:sz w:val="16"/>
          <w:szCs w:val="16"/>
        </w:rPr>
      </w:pPr>
      <w:r w:rsidRPr="00A13F51">
        <w:rPr>
          <w:rFonts w:asciiTheme="majorHAnsi" w:hAnsiTheme="majorHAnsi"/>
          <w:sz w:val="16"/>
          <w:szCs w:val="16"/>
        </w:rPr>
        <w:footnoteRef/>
      </w:r>
      <w:r w:rsidRPr="00A13F51">
        <w:rPr>
          <w:rFonts w:asciiTheme="majorHAnsi" w:hAnsiTheme="majorHAnsi"/>
          <w:sz w:val="16"/>
          <w:szCs w:val="16"/>
        </w:rPr>
        <w:t xml:space="preserve"> </w:t>
      </w:r>
      <w:r w:rsidR="00586928" w:rsidRPr="0050608C">
        <w:rPr>
          <w:rFonts w:asciiTheme="majorHAnsi" w:hAnsiTheme="majorHAnsi"/>
          <w:sz w:val="16"/>
          <w:szCs w:val="16"/>
        </w:rPr>
        <w:t>Ibid., p. 6.</w:t>
      </w:r>
    </w:p>
  </w:footnote>
  <w:footnote w:id="32">
    <w:p w14:paraId="5B265011" w14:textId="209FD93D" w:rsidR="00985948" w:rsidRPr="00A13F51" w:rsidRDefault="00985948">
      <w:pPr>
        <w:pStyle w:val="FootnoteText"/>
        <w:rPr>
          <w:rFonts w:asciiTheme="majorHAnsi" w:hAnsiTheme="majorHAnsi"/>
          <w:sz w:val="16"/>
          <w:szCs w:val="16"/>
        </w:rPr>
      </w:pPr>
      <w:r w:rsidRPr="00A13F51">
        <w:rPr>
          <w:rFonts w:asciiTheme="majorHAnsi" w:hAnsiTheme="majorHAnsi"/>
          <w:sz w:val="16"/>
          <w:szCs w:val="16"/>
        </w:rPr>
        <w:footnoteRef/>
      </w:r>
      <w:r w:rsidRPr="00A13F51">
        <w:rPr>
          <w:rFonts w:asciiTheme="majorHAnsi" w:hAnsiTheme="majorHAnsi"/>
          <w:sz w:val="16"/>
          <w:szCs w:val="16"/>
        </w:rPr>
        <w:t xml:space="preserve"> </w:t>
      </w:r>
      <w:r w:rsidR="00586928" w:rsidRPr="0050608C">
        <w:rPr>
          <w:rFonts w:asciiTheme="majorHAnsi" w:hAnsiTheme="majorHAnsi"/>
          <w:sz w:val="16"/>
          <w:szCs w:val="16"/>
        </w:rPr>
        <w:t>Ibid., p. 8.</w:t>
      </w:r>
    </w:p>
  </w:footnote>
  <w:footnote w:id="33">
    <w:p w14:paraId="3B6E4BBC" w14:textId="32918BAF" w:rsidR="00985948" w:rsidRPr="00A13F51" w:rsidRDefault="00985948">
      <w:pPr>
        <w:pStyle w:val="FootnoteText"/>
        <w:rPr>
          <w:rFonts w:asciiTheme="majorHAnsi" w:hAnsiTheme="majorHAnsi"/>
          <w:sz w:val="16"/>
          <w:szCs w:val="16"/>
        </w:rPr>
      </w:pPr>
      <w:r w:rsidRPr="00A13F51">
        <w:rPr>
          <w:rFonts w:asciiTheme="majorHAnsi" w:hAnsiTheme="majorHAnsi"/>
          <w:sz w:val="16"/>
          <w:szCs w:val="16"/>
        </w:rPr>
        <w:footnoteRef/>
      </w:r>
      <w:r w:rsidRPr="00A13F51">
        <w:rPr>
          <w:rFonts w:asciiTheme="majorHAnsi" w:hAnsiTheme="majorHAnsi"/>
          <w:sz w:val="16"/>
          <w:szCs w:val="16"/>
        </w:rPr>
        <w:t xml:space="preserve"> </w:t>
      </w:r>
      <w:r w:rsidR="00586928" w:rsidRPr="0050608C">
        <w:rPr>
          <w:rFonts w:asciiTheme="majorHAnsi" w:hAnsiTheme="majorHAnsi"/>
          <w:sz w:val="16"/>
          <w:szCs w:val="16"/>
        </w:rPr>
        <w:t>Ibid., p. 10.</w:t>
      </w:r>
    </w:p>
  </w:footnote>
  <w:footnote w:id="34">
    <w:p w14:paraId="2F00A7CB" w14:textId="7D08121B" w:rsidR="00985948" w:rsidRPr="00A13F51" w:rsidRDefault="00985948">
      <w:pPr>
        <w:pStyle w:val="FootnoteText"/>
        <w:rPr>
          <w:rFonts w:asciiTheme="majorHAnsi" w:hAnsiTheme="majorHAnsi"/>
          <w:sz w:val="16"/>
          <w:szCs w:val="16"/>
        </w:rPr>
      </w:pPr>
      <w:r w:rsidRPr="00A13F51">
        <w:rPr>
          <w:rFonts w:asciiTheme="majorHAnsi" w:hAnsiTheme="majorHAnsi"/>
          <w:sz w:val="16"/>
          <w:szCs w:val="16"/>
        </w:rPr>
        <w:footnoteRef/>
      </w:r>
      <w:r w:rsidRPr="00A13F51">
        <w:rPr>
          <w:rFonts w:asciiTheme="majorHAnsi" w:hAnsiTheme="majorHAnsi"/>
          <w:sz w:val="16"/>
          <w:szCs w:val="16"/>
        </w:rPr>
        <w:t xml:space="preserve"> </w:t>
      </w:r>
      <w:r w:rsidR="00586928" w:rsidRPr="0050608C">
        <w:rPr>
          <w:rFonts w:asciiTheme="majorHAnsi" w:hAnsiTheme="majorHAnsi"/>
          <w:sz w:val="16"/>
          <w:szCs w:val="16"/>
        </w:rPr>
        <w:t>Ibid.</w:t>
      </w:r>
    </w:p>
  </w:footnote>
  <w:footnote w:id="35">
    <w:p w14:paraId="56E43832" w14:textId="75E66520" w:rsidR="00985948" w:rsidRDefault="00985948">
      <w:pPr>
        <w:pStyle w:val="FootnoteText"/>
      </w:pPr>
      <w:r w:rsidRPr="00A13F51">
        <w:rPr>
          <w:rFonts w:asciiTheme="majorHAnsi" w:hAnsiTheme="majorHAnsi"/>
          <w:sz w:val="16"/>
          <w:szCs w:val="16"/>
        </w:rPr>
        <w:footnoteRef/>
      </w:r>
      <w:r w:rsidRPr="00A13F51">
        <w:rPr>
          <w:rFonts w:asciiTheme="majorHAnsi" w:hAnsiTheme="majorHAnsi"/>
          <w:sz w:val="16"/>
          <w:szCs w:val="16"/>
        </w:rPr>
        <w:t xml:space="preserve"> </w:t>
      </w:r>
      <w:r w:rsidR="00586928" w:rsidRPr="0050608C">
        <w:rPr>
          <w:rFonts w:asciiTheme="majorHAnsi" w:hAnsiTheme="majorHAnsi"/>
          <w:sz w:val="16"/>
          <w:szCs w:val="16"/>
        </w:rPr>
        <w:t>Ibid., p. 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67648"/>
    <w:multiLevelType w:val="multilevel"/>
    <w:tmpl w:val="18328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E8034C"/>
    <w:multiLevelType w:val="multilevel"/>
    <w:tmpl w:val="5C2A4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884C62"/>
    <w:multiLevelType w:val="multilevel"/>
    <w:tmpl w:val="0D70D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15DED"/>
    <w:multiLevelType w:val="multilevel"/>
    <w:tmpl w:val="4EAEB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306D60"/>
    <w:multiLevelType w:val="multilevel"/>
    <w:tmpl w:val="95E6200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7A6CA2"/>
    <w:multiLevelType w:val="multilevel"/>
    <w:tmpl w:val="B5EC9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B2174F"/>
    <w:multiLevelType w:val="multilevel"/>
    <w:tmpl w:val="D750A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967FFA"/>
    <w:multiLevelType w:val="multilevel"/>
    <w:tmpl w:val="B95ED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131448"/>
    <w:multiLevelType w:val="multilevel"/>
    <w:tmpl w:val="AB1AA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B23387"/>
    <w:multiLevelType w:val="multilevel"/>
    <w:tmpl w:val="EAB23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05247C"/>
    <w:multiLevelType w:val="multilevel"/>
    <w:tmpl w:val="C620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21087A"/>
    <w:multiLevelType w:val="multilevel"/>
    <w:tmpl w:val="DD243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B07BB6"/>
    <w:multiLevelType w:val="multilevel"/>
    <w:tmpl w:val="6D0A9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CA47710"/>
    <w:multiLevelType w:val="multilevel"/>
    <w:tmpl w:val="C5249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0A0E88"/>
    <w:multiLevelType w:val="multilevel"/>
    <w:tmpl w:val="4E1AB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0168BF"/>
    <w:multiLevelType w:val="multilevel"/>
    <w:tmpl w:val="5EDEF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AB374B"/>
    <w:multiLevelType w:val="multilevel"/>
    <w:tmpl w:val="F2FA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806D8B"/>
    <w:multiLevelType w:val="multilevel"/>
    <w:tmpl w:val="7CE267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70020A"/>
    <w:multiLevelType w:val="multilevel"/>
    <w:tmpl w:val="F2B6B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915E21"/>
    <w:multiLevelType w:val="multilevel"/>
    <w:tmpl w:val="D5BE6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B776C6"/>
    <w:multiLevelType w:val="multilevel"/>
    <w:tmpl w:val="9A9CD19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E4068C0"/>
    <w:multiLevelType w:val="multilevel"/>
    <w:tmpl w:val="BE869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395EDF"/>
    <w:multiLevelType w:val="multilevel"/>
    <w:tmpl w:val="94BC7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625A59"/>
    <w:multiLevelType w:val="multilevel"/>
    <w:tmpl w:val="ADCE3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4825387">
    <w:abstractNumId w:val="5"/>
  </w:num>
  <w:num w:numId="2" w16cid:durableId="1164511019">
    <w:abstractNumId w:val="16"/>
  </w:num>
  <w:num w:numId="3" w16cid:durableId="1237862256">
    <w:abstractNumId w:val="17"/>
  </w:num>
  <w:num w:numId="4" w16cid:durableId="1553275782">
    <w:abstractNumId w:val="19"/>
  </w:num>
  <w:num w:numId="5" w16cid:durableId="1453474386">
    <w:abstractNumId w:val="0"/>
  </w:num>
  <w:num w:numId="6" w16cid:durableId="1087576835">
    <w:abstractNumId w:val="3"/>
  </w:num>
  <w:num w:numId="7" w16cid:durableId="135953540">
    <w:abstractNumId w:val="18"/>
  </w:num>
  <w:num w:numId="8" w16cid:durableId="918095434">
    <w:abstractNumId w:val="6"/>
  </w:num>
  <w:num w:numId="9" w16cid:durableId="1418016445">
    <w:abstractNumId w:val="23"/>
  </w:num>
  <w:num w:numId="10" w16cid:durableId="1066295858">
    <w:abstractNumId w:val="7"/>
  </w:num>
  <w:num w:numId="11" w16cid:durableId="1031734186">
    <w:abstractNumId w:val="15"/>
  </w:num>
  <w:num w:numId="12" w16cid:durableId="1257521543">
    <w:abstractNumId w:val="11"/>
  </w:num>
  <w:num w:numId="13" w16cid:durableId="395007316">
    <w:abstractNumId w:val="2"/>
  </w:num>
  <w:num w:numId="14" w16cid:durableId="235238687">
    <w:abstractNumId w:val="8"/>
  </w:num>
  <w:num w:numId="15" w16cid:durableId="2064597731">
    <w:abstractNumId w:val="22"/>
  </w:num>
  <w:num w:numId="16" w16cid:durableId="1599871959">
    <w:abstractNumId w:val="14"/>
  </w:num>
  <w:num w:numId="17" w16cid:durableId="513887641">
    <w:abstractNumId w:val="10"/>
  </w:num>
  <w:num w:numId="18" w16cid:durableId="1835147152">
    <w:abstractNumId w:val="9"/>
  </w:num>
  <w:num w:numId="19" w16cid:durableId="2054691560">
    <w:abstractNumId w:val="1"/>
  </w:num>
  <w:num w:numId="20" w16cid:durableId="165167867">
    <w:abstractNumId w:val="21"/>
  </w:num>
  <w:num w:numId="21" w16cid:durableId="215824521">
    <w:abstractNumId w:val="12"/>
  </w:num>
  <w:num w:numId="22" w16cid:durableId="1267082845">
    <w:abstractNumId w:val="4"/>
  </w:num>
  <w:num w:numId="23" w16cid:durableId="663433467">
    <w:abstractNumId w:val="20"/>
  </w:num>
  <w:num w:numId="24" w16cid:durableId="207973989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F05"/>
    <w:rsid w:val="00014744"/>
    <w:rsid w:val="00026CC7"/>
    <w:rsid w:val="000D5FD8"/>
    <w:rsid w:val="000F6A04"/>
    <w:rsid w:val="00121423"/>
    <w:rsid w:val="001857BA"/>
    <w:rsid w:val="001B0B0F"/>
    <w:rsid w:val="00222FEC"/>
    <w:rsid w:val="00254A7F"/>
    <w:rsid w:val="002A3522"/>
    <w:rsid w:val="00366AC6"/>
    <w:rsid w:val="004A4928"/>
    <w:rsid w:val="0050608C"/>
    <w:rsid w:val="005325A2"/>
    <w:rsid w:val="00586928"/>
    <w:rsid w:val="005E275D"/>
    <w:rsid w:val="0060351F"/>
    <w:rsid w:val="00620784"/>
    <w:rsid w:val="00670A4D"/>
    <w:rsid w:val="006B60DB"/>
    <w:rsid w:val="006B7E4F"/>
    <w:rsid w:val="007539E6"/>
    <w:rsid w:val="008203D6"/>
    <w:rsid w:val="00836D61"/>
    <w:rsid w:val="0084501A"/>
    <w:rsid w:val="00891670"/>
    <w:rsid w:val="00894F0C"/>
    <w:rsid w:val="00976C40"/>
    <w:rsid w:val="00985948"/>
    <w:rsid w:val="00994CF3"/>
    <w:rsid w:val="009E252F"/>
    <w:rsid w:val="00A13F51"/>
    <w:rsid w:val="00A310E8"/>
    <w:rsid w:val="00A55C2F"/>
    <w:rsid w:val="00A57B46"/>
    <w:rsid w:val="00AE4A1D"/>
    <w:rsid w:val="00B00F13"/>
    <w:rsid w:val="00B64C01"/>
    <w:rsid w:val="00BA6DD8"/>
    <w:rsid w:val="00BD2A90"/>
    <w:rsid w:val="00BD477A"/>
    <w:rsid w:val="00C4527F"/>
    <w:rsid w:val="00C76FBE"/>
    <w:rsid w:val="00D45C78"/>
    <w:rsid w:val="00DB477B"/>
    <w:rsid w:val="00E05401"/>
    <w:rsid w:val="00E30E52"/>
    <w:rsid w:val="00E356D2"/>
    <w:rsid w:val="00E405E0"/>
    <w:rsid w:val="00EA0DFC"/>
    <w:rsid w:val="00F343E9"/>
    <w:rsid w:val="00F350ED"/>
    <w:rsid w:val="00FC6F0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6EA5FA4"/>
  <w15:chartTrackingRefBased/>
  <w15:docId w15:val="{5CB43B56-F976-47B8-ABCB-F80A27FCA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423"/>
  </w:style>
  <w:style w:type="paragraph" w:styleId="Heading1">
    <w:name w:val="heading 1"/>
    <w:basedOn w:val="Normal"/>
    <w:next w:val="Normal"/>
    <w:link w:val="Heading1Char"/>
    <w:uiPriority w:val="9"/>
    <w:qFormat/>
    <w:rsid w:val="00121423"/>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121423"/>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121423"/>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121423"/>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121423"/>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121423"/>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121423"/>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121423"/>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121423"/>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142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121423"/>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121423"/>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121423"/>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121423"/>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121423"/>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121423"/>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121423"/>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121423"/>
    <w:rPr>
      <w:rFonts w:asciiTheme="majorHAnsi" w:eastAsiaTheme="majorEastAsia" w:hAnsiTheme="majorHAnsi" w:cstheme="majorBidi"/>
      <w:b/>
      <w:bCs/>
      <w:i/>
      <w:iCs/>
      <w:color w:val="0E2841" w:themeColor="text2"/>
    </w:rPr>
  </w:style>
  <w:style w:type="paragraph" w:styleId="Title">
    <w:name w:val="Title"/>
    <w:basedOn w:val="Normal"/>
    <w:next w:val="Normal"/>
    <w:link w:val="TitleChar"/>
    <w:uiPriority w:val="10"/>
    <w:qFormat/>
    <w:rsid w:val="00121423"/>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TitleChar">
    <w:name w:val="Title Char"/>
    <w:basedOn w:val="DefaultParagraphFont"/>
    <w:link w:val="Title"/>
    <w:uiPriority w:val="10"/>
    <w:rsid w:val="00121423"/>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121423"/>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121423"/>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12142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121423"/>
    <w:rPr>
      <w:i/>
      <w:iCs/>
      <w:color w:val="404040" w:themeColor="text1" w:themeTint="BF"/>
    </w:rPr>
  </w:style>
  <w:style w:type="paragraph" w:styleId="ListParagraph">
    <w:name w:val="List Paragraph"/>
    <w:basedOn w:val="Normal"/>
    <w:uiPriority w:val="34"/>
    <w:qFormat/>
    <w:rsid w:val="00FC6F05"/>
    <w:pPr>
      <w:ind w:left="720"/>
      <w:contextualSpacing/>
    </w:pPr>
  </w:style>
  <w:style w:type="character" w:styleId="IntenseEmphasis">
    <w:name w:val="Intense Emphasis"/>
    <w:basedOn w:val="DefaultParagraphFont"/>
    <w:uiPriority w:val="21"/>
    <w:qFormat/>
    <w:rsid w:val="00121423"/>
    <w:rPr>
      <w:b/>
      <w:bCs/>
      <w:i/>
      <w:iCs/>
    </w:rPr>
  </w:style>
  <w:style w:type="paragraph" w:styleId="IntenseQuote">
    <w:name w:val="Intense Quote"/>
    <w:basedOn w:val="Normal"/>
    <w:next w:val="Normal"/>
    <w:link w:val="IntenseQuoteChar"/>
    <w:uiPriority w:val="30"/>
    <w:qFormat/>
    <w:rsid w:val="00121423"/>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121423"/>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121423"/>
    <w:rPr>
      <w:b/>
      <w:bCs/>
      <w:smallCaps/>
      <w:spacing w:val="5"/>
      <w:u w:val="single"/>
    </w:rPr>
  </w:style>
  <w:style w:type="character" w:styleId="Hyperlink">
    <w:name w:val="Hyperlink"/>
    <w:basedOn w:val="DefaultParagraphFont"/>
    <w:uiPriority w:val="99"/>
    <w:unhideWhenUsed/>
    <w:rsid w:val="009E252F"/>
    <w:rPr>
      <w:color w:val="467886" w:themeColor="hyperlink"/>
      <w:u w:val="single"/>
    </w:rPr>
  </w:style>
  <w:style w:type="character" w:styleId="UnresolvedMention">
    <w:name w:val="Unresolved Mention"/>
    <w:basedOn w:val="DefaultParagraphFont"/>
    <w:uiPriority w:val="99"/>
    <w:semiHidden/>
    <w:unhideWhenUsed/>
    <w:rsid w:val="009E252F"/>
    <w:rPr>
      <w:color w:val="605E5C"/>
      <w:shd w:val="clear" w:color="auto" w:fill="E1DFDD"/>
    </w:rPr>
  </w:style>
  <w:style w:type="paragraph" w:styleId="Header">
    <w:name w:val="header"/>
    <w:basedOn w:val="Normal"/>
    <w:link w:val="HeaderChar"/>
    <w:uiPriority w:val="99"/>
    <w:unhideWhenUsed/>
    <w:rsid w:val="00A57B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7B46"/>
  </w:style>
  <w:style w:type="paragraph" w:styleId="Footer">
    <w:name w:val="footer"/>
    <w:basedOn w:val="Normal"/>
    <w:link w:val="FooterChar"/>
    <w:uiPriority w:val="99"/>
    <w:unhideWhenUsed/>
    <w:rsid w:val="00A57B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7B46"/>
  </w:style>
  <w:style w:type="paragraph" w:styleId="Caption">
    <w:name w:val="caption"/>
    <w:basedOn w:val="Normal"/>
    <w:next w:val="Normal"/>
    <w:uiPriority w:val="35"/>
    <w:semiHidden/>
    <w:unhideWhenUsed/>
    <w:qFormat/>
    <w:rsid w:val="00121423"/>
    <w:pPr>
      <w:spacing w:line="240" w:lineRule="auto"/>
    </w:pPr>
    <w:rPr>
      <w:b/>
      <w:bCs/>
      <w:smallCaps/>
      <w:color w:val="595959" w:themeColor="text1" w:themeTint="A6"/>
      <w:spacing w:val="6"/>
    </w:rPr>
  </w:style>
  <w:style w:type="character" w:styleId="Strong">
    <w:name w:val="Strong"/>
    <w:basedOn w:val="DefaultParagraphFont"/>
    <w:uiPriority w:val="22"/>
    <w:qFormat/>
    <w:rsid w:val="00121423"/>
    <w:rPr>
      <w:b/>
      <w:bCs/>
    </w:rPr>
  </w:style>
  <w:style w:type="character" w:styleId="Emphasis">
    <w:name w:val="Emphasis"/>
    <w:basedOn w:val="DefaultParagraphFont"/>
    <w:uiPriority w:val="20"/>
    <w:qFormat/>
    <w:rsid w:val="00121423"/>
    <w:rPr>
      <w:i/>
      <w:iCs/>
    </w:rPr>
  </w:style>
  <w:style w:type="paragraph" w:styleId="NoSpacing">
    <w:name w:val="No Spacing"/>
    <w:uiPriority w:val="1"/>
    <w:qFormat/>
    <w:rsid w:val="00121423"/>
    <w:pPr>
      <w:spacing w:after="0" w:line="240" w:lineRule="auto"/>
    </w:pPr>
  </w:style>
  <w:style w:type="character" w:styleId="SubtleEmphasis">
    <w:name w:val="Subtle Emphasis"/>
    <w:basedOn w:val="DefaultParagraphFont"/>
    <w:uiPriority w:val="19"/>
    <w:qFormat/>
    <w:rsid w:val="00121423"/>
    <w:rPr>
      <w:i/>
      <w:iCs/>
      <w:color w:val="404040" w:themeColor="text1" w:themeTint="BF"/>
    </w:rPr>
  </w:style>
  <w:style w:type="character" w:styleId="SubtleReference">
    <w:name w:val="Subtle Reference"/>
    <w:basedOn w:val="DefaultParagraphFont"/>
    <w:uiPriority w:val="31"/>
    <w:qFormat/>
    <w:rsid w:val="00121423"/>
    <w:rPr>
      <w:smallCaps/>
      <w:color w:val="404040" w:themeColor="text1" w:themeTint="BF"/>
      <w:u w:val="single" w:color="7F7F7F" w:themeColor="text1" w:themeTint="80"/>
    </w:rPr>
  </w:style>
  <w:style w:type="character" w:styleId="BookTitle">
    <w:name w:val="Book Title"/>
    <w:basedOn w:val="DefaultParagraphFont"/>
    <w:uiPriority w:val="33"/>
    <w:qFormat/>
    <w:rsid w:val="00121423"/>
    <w:rPr>
      <w:b/>
      <w:bCs/>
      <w:smallCaps/>
    </w:rPr>
  </w:style>
  <w:style w:type="paragraph" w:styleId="TOCHeading">
    <w:name w:val="TOC Heading"/>
    <w:basedOn w:val="Heading1"/>
    <w:next w:val="Normal"/>
    <w:uiPriority w:val="39"/>
    <w:semiHidden/>
    <w:unhideWhenUsed/>
    <w:qFormat/>
    <w:rsid w:val="00121423"/>
    <w:pPr>
      <w:outlineLvl w:val="9"/>
    </w:pPr>
  </w:style>
  <w:style w:type="paragraph" w:styleId="FootnoteText">
    <w:name w:val="footnote text"/>
    <w:basedOn w:val="Normal"/>
    <w:link w:val="FootnoteTextChar"/>
    <w:uiPriority w:val="99"/>
    <w:semiHidden/>
    <w:unhideWhenUsed/>
    <w:rsid w:val="00D45C78"/>
    <w:pPr>
      <w:spacing w:after="0" w:line="240" w:lineRule="auto"/>
    </w:pPr>
  </w:style>
  <w:style w:type="character" w:customStyle="1" w:styleId="FootnoteTextChar">
    <w:name w:val="Footnote Text Char"/>
    <w:basedOn w:val="DefaultParagraphFont"/>
    <w:link w:val="FootnoteText"/>
    <w:uiPriority w:val="99"/>
    <w:semiHidden/>
    <w:rsid w:val="00D45C78"/>
  </w:style>
  <w:style w:type="character" w:styleId="FootnoteReference">
    <w:name w:val="footnote reference"/>
    <w:basedOn w:val="DefaultParagraphFont"/>
    <w:uiPriority w:val="99"/>
    <w:semiHidden/>
    <w:unhideWhenUsed/>
    <w:rsid w:val="00D45C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liefweb.int/report/occupied-palestinian-territory/education-matters-july-2024-impact-needs-assessment-halted-education-process-conflict-affected-children-and-without-disabilities"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reliefweb.int/report/occupied-palestinian-territory/reflection-gaza-war-person-and-without-disabilities-gaza-situation-report-march-2025" TargetMode="External"/><Relationship Id="rId4" Type="http://schemas.openxmlformats.org/officeDocument/2006/relationships/settings" Target="settings.xml"/><Relationship Id="rId9" Type="http://schemas.openxmlformats.org/officeDocument/2006/relationships/hyperlink" Target="https://globalprotectioncluster.org/publications/2289/reports/protection-analysis-update/opt-gaza-protection-analysis-updat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2025-08-08T14:18:11+00:00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2C1873D-9A4C-4DB4-98B4-CC6A0CF29E8B}">
  <ds:schemaRefs>
    <ds:schemaRef ds:uri="http://schemas.openxmlformats.org/officeDocument/2006/bibliography"/>
  </ds:schemaRefs>
</ds:datastoreItem>
</file>

<file path=customXml/itemProps2.xml><?xml version="1.0" encoding="utf-8"?>
<ds:datastoreItem xmlns:ds="http://schemas.openxmlformats.org/officeDocument/2006/customXml" ds:itemID="{AC906C80-3FC8-45FC-AE58-902B45C7D5CC}"/>
</file>

<file path=customXml/itemProps3.xml><?xml version="1.0" encoding="utf-8"?>
<ds:datastoreItem xmlns:ds="http://schemas.openxmlformats.org/officeDocument/2006/customXml" ds:itemID="{A91AA108-2279-4A4D-BDCB-78EA50D5C727}"/>
</file>

<file path=customXml/itemProps4.xml><?xml version="1.0" encoding="utf-8"?>
<ds:datastoreItem xmlns:ds="http://schemas.openxmlformats.org/officeDocument/2006/customXml" ds:itemID="{C73A83F7-8F15-4416-BDAA-091B286F6A89}"/>
</file>

<file path=docProps/app.xml><?xml version="1.0" encoding="utf-8"?>
<Properties xmlns="http://schemas.openxmlformats.org/officeDocument/2006/extended-properties" xmlns:vt="http://schemas.openxmlformats.org/officeDocument/2006/docPropsVTypes">
  <Template>Normal</Template>
  <TotalTime>1</TotalTime>
  <Pages>6</Pages>
  <Words>2155</Words>
  <Characters>12288</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Fidaa Shurrab</dc:creator>
  <cp:keywords/>
  <dc:description/>
  <cp:lastModifiedBy>Jorge Araya</cp:lastModifiedBy>
  <cp:revision>2</cp:revision>
  <dcterms:created xsi:type="dcterms:W3CDTF">2025-08-08T14:18:00Z</dcterms:created>
  <dcterms:modified xsi:type="dcterms:W3CDTF">2025-08-08T14:18:00Z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