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2F31D" w14:textId="345AD606" w:rsidR="00383901" w:rsidRPr="009479D5" w:rsidRDefault="00383901" w:rsidP="00C57DE5">
      <w:pPr>
        <w:rPr>
          <w:rFonts w:asciiTheme="minorHAnsi" w:hAnsiTheme="minorHAnsi" w:cstheme="minorHAnsi"/>
          <w:b/>
          <w:szCs w:val="22"/>
        </w:rPr>
      </w:pPr>
    </w:p>
    <w:p w14:paraId="088544A1" w14:textId="1BD18118" w:rsidR="00383901" w:rsidRPr="009479D5" w:rsidRDefault="00D53AE7" w:rsidP="00C57DE5">
      <w:pPr>
        <w:rPr>
          <w:rFonts w:asciiTheme="minorHAnsi" w:hAnsiTheme="minorHAnsi" w:cstheme="minorHAnsi"/>
          <w:b/>
          <w:szCs w:val="22"/>
        </w:rPr>
      </w:pPr>
      <w:r w:rsidRPr="009479D5">
        <w:rPr>
          <w:rFonts w:asciiTheme="minorHAnsi" w:hAnsiTheme="minorHAnsi" w:cstheme="minorHAnsi"/>
          <w:b/>
          <w:noProof/>
          <w:szCs w:val="22"/>
        </w:rPr>
        <w:drawing>
          <wp:anchor distT="0" distB="0" distL="114300" distR="114300" simplePos="0" relativeHeight="251669504" behindDoc="1" locked="0" layoutInCell="1" allowOverlap="1" wp14:anchorId="01679CC1" wp14:editId="4F52322F">
            <wp:simplePos x="0" y="0"/>
            <wp:positionH relativeFrom="margin">
              <wp:align>right</wp:align>
            </wp:positionH>
            <wp:positionV relativeFrom="paragraph">
              <wp:posOffset>11430</wp:posOffset>
            </wp:positionV>
            <wp:extent cx="1730375" cy="1356360"/>
            <wp:effectExtent l="0" t="0" r="3175" b="0"/>
            <wp:wrapTight wrapText="bothSides">
              <wp:wrapPolygon edited="0">
                <wp:start x="0" y="0"/>
                <wp:lineTo x="0" y="21236"/>
                <wp:lineTo x="21402" y="21236"/>
                <wp:lineTo x="214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xual_Rights_Initiative_Design fi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0375" cy="1356360"/>
                    </a:xfrm>
                    <a:prstGeom prst="rect">
                      <a:avLst/>
                    </a:prstGeom>
                  </pic:spPr>
                </pic:pic>
              </a:graphicData>
            </a:graphic>
            <wp14:sizeRelH relativeFrom="page">
              <wp14:pctWidth>0</wp14:pctWidth>
            </wp14:sizeRelH>
            <wp14:sizeRelV relativeFrom="page">
              <wp14:pctHeight>0</wp14:pctHeight>
            </wp14:sizeRelV>
          </wp:anchor>
        </w:drawing>
      </w:r>
      <w:r w:rsidRPr="009479D5">
        <w:rPr>
          <w:rFonts w:asciiTheme="minorHAnsi" w:hAnsiTheme="minorHAnsi" w:cstheme="minorHAnsi"/>
          <w:b/>
          <w:noProof/>
          <w:szCs w:val="22"/>
          <w:lang w:eastAsia="en-CA"/>
        </w:rPr>
        <w:drawing>
          <wp:anchor distT="0" distB="0" distL="114300" distR="114300" simplePos="0" relativeHeight="251658240" behindDoc="0" locked="0" layoutInCell="1" allowOverlap="1" wp14:anchorId="062634C4" wp14:editId="56F34687">
            <wp:simplePos x="0" y="0"/>
            <wp:positionH relativeFrom="margin">
              <wp:align>left</wp:align>
            </wp:positionH>
            <wp:positionV relativeFrom="paragraph">
              <wp:posOffset>221615</wp:posOffset>
            </wp:positionV>
            <wp:extent cx="3819428" cy="1000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tion Canada_Logo-hi_E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9428" cy="1000125"/>
                    </a:xfrm>
                    <a:prstGeom prst="rect">
                      <a:avLst/>
                    </a:prstGeom>
                  </pic:spPr>
                </pic:pic>
              </a:graphicData>
            </a:graphic>
            <wp14:sizeRelH relativeFrom="page">
              <wp14:pctWidth>0</wp14:pctWidth>
            </wp14:sizeRelH>
            <wp14:sizeRelV relativeFrom="page">
              <wp14:pctHeight>0</wp14:pctHeight>
            </wp14:sizeRelV>
          </wp:anchor>
        </w:drawing>
      </w:r>
    </w:p>
    <w:p w14:paraId="7BA68497" w14:textId="250CC003" w:rsidR="00383901" w:rsidRPr="009479D5" w:rsidRDefault="00383901" w:rsidP="00C57DE5">
      <w:pPr>
        <w:rPr>
          <w:rFonts w:asciiTheme="minorHAnsi" w:hAnsiTheme="minorHAnsi" w:cstheme="minorHAnsi"/>
          <w:b/>
          <w:szCs w:val="22"/>
        </w:rPr>
      </w:pPr>
    </w:p>
    <w:p w14:paraId="752EEC08" w14:textId="2F26B5E8" w:rsidR="00D53AE7" w:rsidRPr="009479D5" w:rsidRDefault="00D53AE7" w:rsidP="00C57DE5">
      <w:pPr>
        <w:rPr>
          <w:rFonts w:asciiTheme="minorHAnsi" w:hAnsiTheme="minorHAnsi" w:cstheme="minorHAnsi"/>
          <w:b/>
          <w:szCs w:val="22"/>
        </w:rPr>
      </w:pPr>
    </w:p>
    <w:p w14:paraId="7B1D499D" w14:textId="77777777" w:rsidR="00D53AE7" w:rsidRPr="009479D5" w:rsidRDefault="00D53AE7" w:rsidP="00C57DE5">
      <w:pPr>
        <w:rPr>
          <w:rFonts w:asciiTheme="minorHAnsi" w:hAnsiTheme="minorHAnsi" w:cstheme="minorHAnsi"/>
          <w:b/>
          <w:szCs w:val="22"/>
        </w:rPr>
      </w:pPr>
    </w:p>
    <w:p w14:paraId="7315A058" w14:textId="71FCB4CB" w:rsidR="00A402B9" w:rsidRPr="009479D5" w:rsidRDefault="00A402B9" w:rsidP="00C57DE5">
      <w:pPr>
        <w:rPr>
          <w:rFonts w:asciiTheme="minorHAnsi" w:hAnsiTheme="minorHAnsi" w:cstheme="minorHAnsi"/>
          <w:b/>
          <w:szCs w:val="22"/>
        </w:rPr>
      </w:pPr>
    </w:p>
    <w:p w14:paraId="1FB539B2" w14:textId="324C875C" w:rsidR="00D9243C" w:rsidRPr="009479D5" w:rsidRDefault="00AF5E92" w:rsidP="008F08C7">
      <w:pPr>
        <w:pStyle w:val="Title"/>
        <w:jc w:val="left"/>
        <w:rPr>
          <w:rFonts w:asciiTheme="minorHAnsi" w:eastAsiaTheme="minorEastAsia" w:hAnsiTheme="minorHAnsi" w:cstheme="minorHAnsi"/>
          <w:b/>
          <w:caps w:val="0"/>
          <w:color w:val="3E4752"/>
          <w:spacing w:val="0"/>
          <w:sz w:val="22"/>
          <w:szCs w:val="22"/>
        </w:rPr>
      </w:pPr>
      <w:r w:rsidRPr="009479D5">
        <w:rPr>
          <w:rFonts w:asciiTheme="minorHAnsi" w:eastAsiaTheme="minorEastAsia" w:hAnsiTheme="minorHAnsi" w:cstheme="minorHAnsi"/>
          <w:b/>
          <w:caps w:val="0"/>
          <w:color w:val="3E4752"/>
          <w:spacing w:val="0"/>
          <w:sz w:val="22"/>
          <w:szCs w:val="22"/>
        </w:rPr>
        <w:t xml:space="preserve">Submission to the UN Committee on </w:t>
      </w:r>
      <w:r w:rsidR="00082BA5" w:rsidRPr="009479D5">
        <w:rPr>
          <w:rFonts w:asciiTheme="minorHAnsi" w:eastAsiaTheme="minorEastAsia" w:hAnsiTheme="minorHAnsi" w:cstheme="minorHAnsi"/>
          <w:b/>
          <w:caps w:val="0"/>
          <w:color w:val="3E4752"/>
          <w:spacing w:val="0"/>
          <w:sz w:val="22"/>
          <w:szCs w:val="22"/>
        </w:rPr>
        <w:t xml:space="preserve">the Elimination of Discrimination Against Women </w:t>
      </w:r>
    </w:p>
    <w:p w14:paraId="38AF0DAF" w14:textId="0FBBF109" w:rsidR="00C76399" w:rsidRPr="009479D5" w:rsidRDefault="00C76399" w:rsidP="00C76399">
      <w:pPr>
        <w:rPr>
          <w:rFonts w:asciiTheme="minorHAnsi" w:hAnsiTheme="minorHAnsi" w:cstheme="minorHAnsi"/>
          <w:b/>
          <w:szCs w:val="22"/>
        </w:rPr>
      </w:pPr>
    </w:p>
    <w:p w14:paraId="381A928E" w14:textId="77777777" w:rsidR="00B460C7" w:rsidRPr="009479D5" w:rsidRDefault="00B460C7" w:rsidP="00C76399">
      <w:pPr>
        <w:rPr>
          <w:rFonts w:asciiTheme="minorHAnsi" w:hAnsiTheme="minorHAnsi" w:cstheme="minorHAnsi"/>
          <w:b/>
          <w:szCs w:val="22"/>
        </w:rPr>
      </w:pPr>
    </w:p>
    <w:p w14:paraId="117D84F3" w14:textId="68FD36E6" w:rsidR="004A7C00" w:rsidRPr="009479D5" w:rsidRDefault="004A7C00" w:rsidP="004A7C00">
      <w:pPr>
        <w:rPr>
          <w:rFonts w:asciiTheme="minorHAnsi" w:hAnsiTheme="minorHAnsi" w:cstheme="minorHAnsi"/>
          <w:b/>
          <w:szCs w:val="22"/>
        </w:rPr>
      </w:pPr>
    </w:p>
    <w:p w14:paraId="7E99E603" w14:textId="77777777" w:rsidR="00EE7F15" w:rsidRPr="009479D5" w:rsidRDefault="00EE7F15" w:rsidP="004A7C00">
      <w:pPr>
        <w:rPr>
          <w:rFonts w:asciiTheme="minorHAnsi" w:hAnsiTheme="minorHAnsi" w:cstheme="minorHAnsi"/>
          <w:b/>
          <w:szCs w:val="22"/>
        </w:rPr>
      </w:pPr>
    </w:p>
    <w:p w14:paraId="1762132E" w14:textId="77777777" w:rsidR="004A7C00" w:rsidRPr="009479D5" w:rsidRDefault="004A7C00" w:rsidP="004A7C00">
      <w:pPr>
        <w:spacing w:after="0"/>
        <w:rPr>
          <w:rFonts w:asciiTheme="minorHAnsi" w:hAnsiTheme="minorHAnsi" w:cstheme="minorHAnsi"/>
          <w:b/>
          <w:szCs w:val="22"/>
        </w:rPr>
      </w:pPr>
    </w:p>
    <w:p w14:paraId="28868854" w14:textId="77777777" w:rsidR="004A7C00" w:rsidRPr="009479D5" w:rsidRDefault="004A7C00" w:rsidP="004A7C00">
      <w:pPr>
        <w:spacing w:after="0"/>
        <w:rPr>
          <w:rFonts w:asciiTheme="minorHAnsi" w:hAnsiTheme="minorHAnsi" w:cstheme="minorHAnsi"/>
          <w:b/>
          <w:szCs w:val="22"/>
        </w:rPr>
      </w:pPr>
    </w:p>
    <w:p w14:paraId="7F2FFF7B" w14:textId="07F4533B" w:rsidR="004A7C00" w:rsidRPr="009479D5" w:rsidRDefault="004A7C00" w:rsidP="004A7C00">
      <w:pPr>
        <w:spacing w:after="0"/>
        <w:rPr>
          <w:rFonts w:asciiTheme="minorHAnsi" w:hAnsiTheme="minorHAnsi" w:cstheme="minorHAnsi"/>
          <w:b/>
          <w:szCs w:val="22"/>
        </w:rPr>
      </w:pPr>
    </w:p>
    <w:p w14:paraId="4329C624" w14:textId="34A32666" w:rsidR="0049656B" w:rsidRPr="009479D5" w:rsidRDefault="0049656B" w:rsidP="004A7C00">
      <w:pPr>
        <w:spacing w:after="0"/>
        <w:rPr>
          <w:rFonts w:asciiTheme="minorHAnsi" w:hAnsiTheme="minorHAnsi" w:cstheme="minorHAnsi"/>
          <w:b/>
          <w:szCs w:val="22"/>
        </w:rPr>
      </w:pPr>
    </w:p>
    <w:p w14:paraId="3456B93E" w14:textId="25EEFA0E" w:rsidR="000F7440" w:rsidRPr="009479D5" w:rsidRDefault="000F7440" w:rsidP="004A7C00">
      <w:pPr>
        <w:spacing w:after="0"/>
        <w:rPr>
          <w:rFonts w:asciiTheme="minorHAnsi" w:hAnsiTheme="minorHAnsi" w:cstheme="minorHAnsi"/>
          <w:b/>
          <w:szCs w:val="22"/>
        </w:rPr>
      </w:pPr>
    </w:p>
    <w:p w14:paraId="5BFBAA66" w14:textId="60C4F78D" w:rsidR="00CD2486" w:rsidRPr="009479D5" w:rsidRDefault="00CD2486" w:rsidP="004A7C00">
      <w:pPr>
        <w:spacing w:after="0"/>
        <w:rPr>
          <w:rFonts w:asciiTheme="minorHAnsi" w:hAnsiTheme="minorHAnsi" w:cstheme="minorHAnsi"/>
          <w:b/>
          <w:szCs w:val="22"/>
        </w:rPr>
      </w:pPr>
    </w:p>
    <w:p w14:paraId="7F59B6A8" w14:textId="2FC15473" w:rsidR="00CD2486" w:rsidRPr="009479D5" w:rsidRDefault="00CD2486" w:rsidP="004A7C00">
      <w:pPr>
        <w:spacing w:after="0"/>
        <w:rPr>
          <w:rFonts w:asciiTheme="minorHAnsi" w:hAnsiTheme="minorHAnsi" w:cstheme="minorHAnsi"/>
          <w:b/>
          <w:szCs w:val="22"/>
        </w:rPr>
      </w:pPr>
    </w:p>
    <w:p w14:paraId="26D19EB7" w14:textId="52C28B46" w:rsidR="00CD2486" w:rsidRPr="009479D5" w:rsidRDefault="00CD2486" w:rsidP="004A7C00">
      <w:pPr>
        <w:spacing w:after="0"/>
        <w:rPr>
          <w:rFonts w:asciiTheme="minorHAnsi" w:hAnsiTheme="minorHAnsi" w:cstheme="minorHAnsi"/>
          <w:b/>
          <w:szCs w:val="22"/>
        </w:rPr>
      </w:pPr>
    </w:p>
    <w:p w14:paraId="0C65F07F" w14:textId="77777777" w:rsidR="00CD2486" w:rsidRPr="009479D5" w:rsidRDefault="00CD2486" w:rsidP="004A7C00">
      <w:pPr>
        <w:spacing w:after="0"/>
        <w:rPr>
          <w:rFonts w:asciiTheme="minorHAnsi" w:hAnsiTheme="minorHAnsi" w:cstheme="minorHAnsi"/>
          <w:b/>
          <w:szCs w:val="22"/>
        </w:rPr>
      </w:pPr>
    </w:p>
    <w:p w14:paraId="5FA33F0C" w14:textId="77777777" w:rsidR="000F7440" w:rsidRPr="009479D5" w:rsidRDefault="000F7440" w:rsidP="004A7C00">
      <w:pPr>
        <w:spacing w:after="0"/>
        <w:rPr>
          <w:rFonts w:asciiTheme="minorHAnsi" w:hAnsiTheme="minorHAnsi" w:cstheme="minorHAnsi"/>
          <w:b/>
          <w:szCs w:val="22"/>
        </w:rPr>
      </w:pPr>
    </w:p>
    <w:p w14:paraId="6F69133B" w14:textId="7E0D4F2C" w:rsidR="004A7C00" w:rsidRPr="009479D5" w:rsidRDefault="004A7C00" w:rsidP="004A7C00">
      <w:pPr>
        <w:spacing w:after="0"/>
        <w:rPr>
          <w:rFonts w:asciiTheme="minorHAnsi" w:hAnsiTheme="minorHAnsi" w:cstheme="minorHAnsi"/>
          <w:b/>
          <w:szCs w:val="22"/>
        </w:rPr>
      </w:pPr>
      <w:r w:rsidRPr="009479D5">
        <w:rPr>
          <w:rFonts w:asciiTheme="minorHAnsi" w:hAnsiTheme="minorHAnsi" w:cstheme="minorHAnsi"/>
          <w:b/>
          <w:szCs w:val="22"/>
        </w:rPr>
        <w:t xml:space="preserve">Contact information: </w:t>
      </w:r>
    </w:p>
    <w:p w14:paraId="4D7C3319" w14:textId="564F8CB6" w:rsidR="0029289A" w:rsidRPr="009479D5" w:rsidRDefault="0029289A" w:rsidP="0029289A">
      <w:pPr>
        <w:rPr>
          <w:rFonts w:asciiTheme="minorHAnsi" w:hAnsiTheme="minorHAnsi" w:cstheme="minorHAnsi"/>
          <w:b/>
          <w:color w:val="E26F54"/>
          <w:szCs w:val="22"/>
        </w:rPr>
      </w:pPr>
      <w:r w:rsidRPr="009479D5">
        <w:rPr>
          <w:rFonts w:asciiTheme="minorHAnsi" w:hAnsiTheme="minorHAnsi" w:cstheme="minorHAnsi"/>
          <w:b/>
          <w:color w:val="E26F54"/>
          <w:szCs w:val="22"/>
        </w:rPr>
        <w:t>Meghan Doherty, Co-Director of Policy &amp; Advocacy</w:t>
      </w:r>
      <w:r w:rsidRPr="009479D5">
        <w:rPr>
          <w:rFonts w:asciiTheme="minorHAnsi" w:hAnsiTheme="minorHAnsi" w:cstheme="minorHAnsi"/>
          <w:b/>
          <w:color w:val="E26F54"/>
          <w:szCs w:val="22"/>
        </w:rPr>
        <w:br/>
      </w:r>
      <w:r w:rsidRPr="009479D5">
        <w:rPr>
          <w:rFonts w:asciiTheme="minorHAnsi" w:hAnsiTheme="minorHAnsi" w:cstheme="minorHAnsi"/>
          <w:bCs/>
          <w:color w:val="auto"/>
          <w:szCs w:val="22"/>
        </w:rPr>
        <w:t>meghan@actioncanadashr.org</w:t>
      </w:r>
      <w:r w:rsidRPr="009479D5">
        <w:rPr>
          <w:rFonts w:asciiTheme="minorHAnsi" w:hAnsiTheme="minorHAnsi" w:cstheme="minorHAnsi"/>
          <w:b/>
          <w:color w:val="E26F54"/>
          <w:szCs w:val="22"/>
        </w:rPr>
        <w:br/>
      </w:r>
    </w:p>
    <w:p w14:paraId="711A0D21" w14:textId="178E867C" w:rsidR="00EE7F15" w:rsidRPr="009479D5" w:rsidRDefault="00EE7F15" w:rsidP="00EE7F15">
      <w:pPr>
        <w:pStyle w:val="Subtitle"/>
        <w:jc w:val="left"/>
        <w:rPr>
          <w:rFonts w:asciiTheme="minorHAnsi" w:hAnsiTheme="minorHAnsi" w:cstheme="minorHAnsi"/>
          <w:color w:val="3E4752"/>
          <w:sz w:val="22"/>
          <w:szCs w:val="22"/>
        </w:rPr>
      </w:pPr>
      <w:r w:rsidRPr="009479D5">
        <w:rPr>
          <w:rFonts w:asciiTheme="minorHAnsi" w:hAnsiTheme="minorHAnsi" w:cstheme="minorHAnsi"/>
          <w:b/>
          <w:color w:val="E26F54"/>
          <w:sz w:val="22"/>
          <w:szCs w:val="22"/>
        </w:rPr>
        <w:t>Action Canada for Sexual Health &amp; Rights</w:t>
      </w:r>
      <w:r w:rsidRPr="009479D5">
        <w:rPr>
          <w:rFonts w:asciiTheme="minorHAnsi" w:hAnsiTheme="minorHAnsi" w:cstheme="minorHAnsi"/>
          <w:color w:val="3E4752"/>
          <w:sz w:val="22"/>
          <w:szCs w:val="22"/>
        </w:rPr>
        <w:t xml:space="preserve"> is a progressive, pro-choice charitable organization committed to advancing and upholding sexual and reproductive health and rights in Canada and globally. </w:t>
      </w:r>
    </w:p>
    <w:p w14:paraId="4FB4F617" w14:textId="41AC69A0" w:rsidR="000C2144" w:rsidRPr="009479D5" w:rsidRDefault="00D03EBF" w:rsidP="000C2144">
      <w:pPr>
        <w:rPr>
          <w:rFonts w:asciiTheme="minorHAnsi" w:hAnsiTheme="minorHAnsi" w:cstheme="minorHAnsi"/>
          <w:szCs w:val="22"/>
        </w:rPr>
      </w:pPr>
      <w:r w:rsidRPr="009479D5">
        <w:rPr>
          <w:rFonts w:asciiTheme="minorHAnsi" w:hAnsiTheme="minorHAnsi" w:cstheme="minorHAnsi"/>
          <w:b/>
          <w:color w:val="E26F54"/>
          <w:szCs w:val="22"/>
        </w:rPr>
        <w:t xml:space="preserve">Sexual Rights Initiative </w:t>
      </w:r>
      <w:r w:rsidR="000C2144" w:rsidRPr="009479D5">
        <w:rPr>
          <w:rFonts w:asciiTheme="minorHAnsi" w:hAnsiTheme="minorHAnsi" w:cstheme="minorHAnsi"/>
          <w:szCs w:val="22"/>
        </w:rPr>
        <w:t xml:space="preserve">is a </w:t>
      </w:r>
      <w:r w:rsidRPr="009479D5">
        <w:rPr>
          <w:rFonts w:asciiTheme="minorHAnsi" w:hAnsiTheme="minorHAnsi" w:cstheme="minorHAnsi"/>
          <w:szCs w:val="22"/>
        </w:rPr>
        <w:t xml:space="preserve">coalition of national and regional organizations that work together to advance human rights related to sexuality at the United Nations. </w:t>
      </w:r>
    </w:p>
    <w:p w14:paraId="4D996360" w14:textId="7EC2FCE8" w:rsidR="00C76399" w:rsidRPr="009479D5" w:rsidRDefault="00C76399" w:rsidP="00C76399">
      <w:pPr>
        <w:rPr>
          <w:rFonts w:asciiTheme="minorHAnsi" w:hAnsiTheme="minorHAnsi" w:cstheme="minorHAnsi"/>
          <w:szCs w:val="22"/>
        </w:rPr>
      </w:pPr>
      <w:r w:rsidRPr="009479D5">
        <w:rPr>
          <w:rStyle w:val="Heading2Char"/>
          <w:rFonts w:asciiTheme="minorHAnsi" w:hAnsiTheme="minorHAnsi" w:cstheme="minorHAnsi"/>
          <w:b/>
          <w:sz w:val="22"/>
          <w:szCs w:val="22"/>
        </w:rPr>
        <w:t xml:space="preserve">Key words: </w:t>
      </w:r>
      <w:r w:rsidRPr="009479D5">
        <w:rPr>
          <w:rFonts w:asciiTheme="minorHAnsi" w:hAnsiTheme="minorHAnsi" w:cstheme="minorHAnsi"/>
          <w:szCs w:val="22"/>
        </w:rPr>
        <w:t xml:space="preserve">right to </w:t>
      </w:r>
      <w:r w:rsidR="00E3358A" w:rsidRPr="009479D5">
        <w:rPr>
          <w:rFonts w:asciiTheme="minorHAnsi" w:hAnsiTheme="minorHAnsi" w:cstheme="minorHAnsi"/>
          <w:szCs w:val="22"/>
        </w:rPr>
        <w:t xml:space="preserve">education, comprehensive sexuality education, right to </w:t>
      </w:r>
      <w:r w:rsidRPr="009479D5">
        <w:rPr>
          <w:rFonts w:asciiTheme="minorHAnsi" w:hAnsiTheme="minorHAnsi" w:cstheme="minorHAnsi"/>
          <w:szCs w:val="22"/>
        </w:rPr>
        <w:t>health, access to abortion</w:t>
      </w:r>
      <w:r w:rsidR="00B140D0" w:rsidRPr="009479D5">
        <w:rPr>
          <w:rFonts w:asciiTheme="minorHAnsi" w:hAnsiTheme="minorHAnsi" w:cstheme="minorHAnsi"/>
          <w:szCs w:val="22"/>
        </w:rPr>
        <w:br/>
      </w:r>
    </w:p>
    <w:p w14:paraId="06F5B624" w14:textId="1E6BBAEE" w:rsidR="008D0E08" w:rsidRPr="009479D5" w:rsidRDefault="008D0E08" w:rsidP="008D0E08">
      <w:pPr>
        <w:pStyle w:val="Heading1"/>
        <w:rPr>
          <w:rFonts w:asciiTheme="minorHAnsi" w:hAnsiTheme="minorHAnsi" w:cstheme="minorHAnsi"/>
          <w:sz w:val="22"/>
          <w:szCs w:val="22"/>
        </w:rPr>
      </w:pPr>
      <w:r w:rsidRPr="009479D5">
        <w:rPr>
          <w:rFonts w:asciiTheme="minorHAnsi" w:hAnsiTheme="minorHAnsi" w:cstheme="minorHAnsi"/>
          <w:sz w:val="22"/>
          <w:szCs w:val="22"/>
        </w:rPr>
        <w:lastRenderedPageBreak/>
        <w:t xml:space="preserve">Introduction </w:t>
      </w:r>
    </w:p>
    <w:p w14:paraId="2D6E0E21" w14:textId="5367BF8B" w:rsidR="00AE07D6" w:rsidRPr="009479D5" w:rsidRDefault="00AE07D6" w:rsidP="00732750">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This report is submitted by Action Canada for Sexual Health and Rights</w:t>
      </w:r>
      <w:r w:rsidR="00781598" w:rsidRPr="009479D5">
        <w:rPr>
          <w:rFonts w:asciiTheme="minorHAnsi" w:hAnsiTheme="minorHAnsi" w:cstheme="minorHAnsi"/>
          <w:szCs w:val="22"/>
        </w:rPr>
        <w:t xml:space="preserve"> (Action Canada)</w:t>
      </w:r>
      <w:r w:rsidRPr="009479D5">
        <w:rPr>
          <w:rFonts w:asciiTheme="minorHAnsi" w:hAnsiTheme="minorHAnsi" w:cstheme="minorHAnsi"/>
          <w:szCs w:val="22"/>
        </w:rPr>
        <w:t xml:space="preserve"> </w:t>
      </w:r>
      <w:r w:rsidR="00EF576B" w:rsidRPr="009479D5">
        <w:rPr>
          <w:rFonts w:asciiTheme="minorHAnsi" w:hAnsiTheme="minorHAnsi" w:cstheme="minorHAnsi"/>
          <w:szCs w:val="22"/>
        </w:rPr>
        <w:t xml:space="preserve">and the Sexual Rights Initiative </w:t>
      </w:r>
      <w:r w:rsidRPr="009479D5">
        <w:rPr>
          <w:rFonts w:asciiTheme="minorHAnsi" w:hAnsiTheme="minorHAnsi" w:cstheme="minorHAnsi"/>
          <w:szCs w:val="22"/>
        </w:rPr>
        <w:t xml:space="preserve">in advance of Canada’s review during the </w:t>
      </w:r>
      <w:r w:rsidR="00ED6B5F" w:rsidRPr="009479D5">
        <w:rPr>
          <w:rFonts w:asciiTheme="minorHAnsi" w:hAnsiTheme="minorHAnsi" w:cstheme="minorHAnsi"/>
          <w:szCs w:val="22"/>
        </w:rPr>
        <w:t>89</w:t>
      </w:r>
      <w:r w:rsidR="00ED6B5F" w:rsidRPr="009479D5">
        <w:rPr>
          <w:rFonts w:asciiTheme="minorHAnsi" w:hAnsiTheme="minorHAnsi" w:cstheme="minorHAnsi"/>
          <w:szCs w:val="22"/>
          <w:vertAlign w:val="superscript"/>
        </w:rPr>
        <w:t>th</w:t>
      </w:r>
      <w:r w:rsidR="00ED6B5F" w:rsidRPr="009479D5">
        <w:rPr>
          <w:rFonts w:asciiTheme="minorHAnsi" w:hAnsiTheme="minorHAnsi" w:cstheme="minorHAnsi"/>
          <w:szCs w:val="22"/>
        </w:rPr>
        <w:t xml:space="preserve"> Session </w:t>
      </w:r>
      <w:r w:rsidRPr="009479D5">
        <w:rPr>
          <w:rFonts w:asciiTheme="minorHAnsi" w:hAnsiTheme="minorHAnsi" w:cstheme="minorHAnsi"/>
          <w:szCs w:val="22"/>
        </w:rPr>
        <w:t xml:space="preserve">of the UN Committee on the Elimination of Discrimination Against Women, taking place </w:t>
      </w:r>
      <w:r w:rsidR="00ED6B5F" w:rsidRPr="009479D5">
        <w:rPr>
          <w:rFonts w:asciiTheme="minorHAnsi" w:hAnsiTheme="minorHAnsi" w:cstheme="minorHAnsi"/>
          <w:szCs w:val="22"/>
        </w:rPr>
        <w:t>October 7 – 25 2024.  Th</w:t>
      </w:r>
      <w:r w:rsidR="00C935D6" w:rsidRPr="009479D5">
        <w:rPr>
          <w:rFonts w:asciiTheme="minorHAnsi" w:hAnsiTheme="minorHAnsi" w:cstheme="minorHAnsi"/>
          <w:szCs w:val="22"/>
        </w:rPr>
        <w:t>is</w:t>
      </w:r>
      <w:r w:rsidR="00ED6B5F" w:rsidRPr="009479D5">
        <w:rPr>
          <w:rFonts w:asciiTheme="minorHAnsi" w:hAnsiTheme="minorHAnsi" w:cstheme="minorHAnsi"/>
          <w:szCs w:val="22"/>
        </w:rPr>
        <w:t xml:space="preserve"> </w:t>
      </w:r>
      <w:r w:rsidRPr="009479D5">
        <w:rPr>
          <w:rFonts w:asciiTheme="minorHAnsi" w:hAnsiTheme="minorHAnsi" w:cstheme="minorHAnsi"/>
          <w:szCs w:val="22"/>
        </w:rPr>
        <w:t xml:space="preserve">report </w:t>
      </w:r>
      <w:r w:rsidR="0015565E" w:rsidRPr="009479D5">
        <w:rPr>
          <w:rFonts w:asciiTheme="minorHAnsi" w:hAnsiTheme="minorHAnsi" w:cstheme="minorHAnsi"/>
          <w:szCs w:val="22"/>
        </w:rPr>
        <w:t xml:space="preserve">supplements and </w:t>
      </w:r>
      <w:r w:rsidR="008C72E6" w:rsidRPr="009479D5">
        <w:rPr>
          <w:rFonts w:asciiTheme="minorHAnsi" w:hAnsiTheme="minorHAnsi" w:cstheme="minorHAnsi"/>
          <w:szCs w:val="22"/>
        </w:rPr>
        <w:t>provides updates to our 2018 submission</w:t>
      </w:r>
      <w:r w:rsidR="0015565E" w:rsidRPr="009479D5">
        <w:rPr>
          <w:rStyle w:val="FootnoteReference"/>
          <w:rFonts w:asciiTheme="minorHAnsi" w:hAnsiTheme="minorHAnsi" w:cstheme="minorHAnsi"/>
          <w:szCs w:val="22"/>
        </w:rPr>
        <w:footnoteReference w:id="1"/>
      </w:r>
      <w:r w:rsidR="008C72E6" w:rsidRPr="009479D5">
        <w:rPr>
          <w:rFonts w:asciiTheme="minorHAnsi" w:hAnsiTheme="minorHAnsi" w:cstheme="minorHAnsi"/>
          <w:szCs w:val="22"/>
        </w:rPr>
        <w:t xml:space="preserve"> on the List of Issues Prior to Reporting which </w:t>
      </w:r>
      <w:r w:rsidR="00C935D6" w:rsidRPr="009479D5">
        <w:rPr>
          <w:rFonts w:asciiTheme="minorHAnsi" w:hAnsiTheme="minorHAnsi" w:cstheme="minorHAnsi"/>
          <w:szCs w:val="22"/>
        </w:rPr>
        <w:t>focused on</w:t>
      </w:r>
      <w:r w:rsidRPr="009479D5">
        <w:rPr>
          <w:rFonts w:asciiTheme="minorHAnsi" w:hAnsiTheme="minorHAnsi" w:cstheme="minorHAnsi"/>
          <w:szCs w:val="22"/>
        </w:rPr>
        <w:t xml:space="preserve"> </w:t>
      </w:r>
      <w:r w:rsidR="00ED6B5F" w:rsidRPr="009479D5">
        <w:rPr>
          <w:rFonts w:asciiTheme="minorHAnsi" w:hAnsiTheme="minorHAnsi" w:cstheme="minorHAnsi"/>
          <w:szCs w:val="22"/>
        </w:rPr>
        <w:t xml:space="preserve">Canada’s compliance under </w:t>
      </w:r>
      <w:r w:rsidRPr="009479D5">
        <w:rPr>
          <w:rFonts w:asciiTheme="minorHAnsi" w:hAnsiTheme="minorHAnsi" w:cstheme="minorHAnsi"/>
          <w:szCs w:val="22"/>
        </w:rPr>
        <w:t>articles</w:t>
      </w:r>
      <w:r w:rsidR="00624E32" w:rsidRPr="009479D5">
        <w:rPr>
          <w:rFonts w:asciiTheme="minorHAnsi" w:hAnsiTheme="minorHAnsi" w:cstheme="minorHAnsi"/>
          <w:szCs w:val="22"/>
        </w:rPr>
        <w:t xml:space="preserve"> </w:t>
      </w:r>
      <w:r w:rsidR="003D5ECC" w:rsidRPr="009479D5">
        <w:rPr>
          <w:rFonts w:asciiTheme="minorHAnsi" w:hAnsiTheme="minorHAnsi" w:cstheme="minorHAnsi"/>
          <w:szCs w:val="22"/>
        </w:rPr>
        <w:t xml:space="preserve">10 </w:t>
      </w:r>
      <w:r w:rsidR="00C46BC1" w:rsidRPr="009479D5">
        <w:rPr>
          <w:rFonts w:asciiTheme="minorHAnsi" w:hAnsiTheme="minorHAnsi" w:cstheme="minorHAnsi"/>
          <w:szCs w:val="22"/>
        </w:rPr>
        <w:t xml:space="preserve">and </w:t>
      </w:r>
      <w:r w:rsidR="003D5ECC" w:rsidRPr="009479D5">
        <w:rPr>
          <w:rFonts w:asciiTheme="minorHAnsi" w:hAnsiTheme="minorHAnsi" w:cstheme="minorHAnsi"/>
          <w:szCs w:val="22"/>
        </w:rPr>
        <w:t xml:space="preserve">12 </w:t>
      </w:r>
      <w:r w:rsidR="00C46BC1" w:rsidRPr="009479D5">
        <w:rPr>
          <w:rFonts w:asciiTheme="minorHAnsi" w:hAnsiTheme="minorHAnsi" w:cstheme="minorHAnsi"/>
          <w:szCs w:val="22"/>
        </w:rPr>
        <w:t xml:space="preserve">of </w:t>
      </w:r>
      <w:r w:rsidRPr="009479D5">
        <w:rPr>
          <w:rFonts w:asciiTheme="minorHAnsi" w:hAnsiTheme="minorHAnsi" w:cstheme="minorHAnsi"/>
          <w:szCs w:val="22"/>
        </w:rPr>
        <w:t xml:space="preserve">the </w:t>
      </w:r>
      <w:r w:rsidR="00C46BC1" w:rsidRPr="009479D5">
        <w:rPr>
          <w:rFonts w:asciiTheme="minorHAnsi" w:hAnsiTheme="minorHAnsi" w:cstheme="minorHAnsi"/>
          <w:szCs w:val="22"/>
        </w:rPr>
        <w:t xml:space="preserve">Convention on the Elimination of All forms of Discrimination Against Women </w:t>
      </w:r>
      <w:r w:rsidR="00624E32" w:rsidRPr="009479D5">
        <w:rPr>
          <w:rFonts w:asciiTheme="minorHAnsi" w:hAnsiTheme="minorHAnsi" w:cstheme="minorHAnsi"/>
          <w:szCs w:val="22"/>
        </w:rPr>
        <w:t xml:space="preserve">(CEDAW) </w:t>
      </w:r>
      <w:r w:rsidRPr="009479D5">
        <w:rPr>
          <w:rFonts w:asciiTheme="minorHAnsi" w:hAnsiTheme="minorHAnsi" w:cstheme="minorHAnsi"/>
          <w:szCs w:val="22"/>
        </w:rPr>
        <w:t xml:space="preserve">with respect to </w:t>
      </w:r>
      <w:r w:rsidR="00ED6B5F" w:rsidRPr="009479D5">
        <w:rPr>
          <w:rFonts w:asciiTheme="minorHAnsi" w:hAnsiTheme="minorHAnsi" w:cstheme="minorHAnsi"/>
          <w:szCs w:val="22"/>
        </w:rPr>
        <w:t xml:space="preserve">access to comprehensive </w:t>
      </w:r>
      <w:r w:rsidRPr="009479D5">
        <w:rPr>
          <w:rFonts w:asciiTheme="minorHAnsi" w:hAnsiTheme="minorHAnsi" w:cstheme="minorHAnsi"/>
          <w:szCs w:val="22"/>
        </w:rPr>
        <w:t>sexuality education</w:t>
      </w:r>
      <w:r w:rsidR="00B140D0" w:rsidRPr="009479D5">
        <w:rPr>
          <w:rFonts w:asciiTheme="minorHAnsi" w:hAnsiTheme="minorHAnsi" w:cstheme="minorHAnsi"/>
          <w:szCs w:val="22"/>
        </w:rPr>
        <w:t xml:space="preserve">, </w:t>
      </w:r>
      <w:r w:rsidR="00781975" w:rsidRPr="009479D5">
        <w:rPr>
          <w:rFonts w:asciiTheme="minorHAnsi" w:hAnsiTheme="minorHAnsi" w:cstheme="minorHAnsi"/>
          <w:szCs w:val="22"/>
        </w:rPr>
        <w:t>safe abortion service</w:t>
      </w:r>
      <w:r w:rsidR="0015565E" w:rsidRPr="009479D5">
        <w:rPr>
          <w:rFonts w:asciiTheme="minorHAnsi" w:hAnsiTheme="minorHAnsi" w:cstheme="minorHAnsi"/>
          <w:szCs w:val="22"/>
        </w:rPr>
        <w:t>s</w:t>
      </w:r>
      <w:r w:rsidR="00B140D0" w:rsidRPr="009479D5">
        <w:rPr>
          <w:rFonts w:asciiTheme="minorHAnsi" w:hAnsiTheme="minorHAnsi" w:cstheme="minorHAnsi"/>
          <w:szCs w:val="22"/>
        </w:rPr>
        <w:t xml:space="preserve">, forced sterilization and the rights of sex workers.  </w:t>
      </w:r>
    </w:p>
    <w:p w14:paraId="000582B1" w14:textId="369BD12B" w:rsidR="000501D9" w:rsidRPr="009479D5" w:rsidRDefault="000501D9" w:rsidP="000501D9">
      <w:pPr>
        <w:pStyle w:val="Heading1"/>
        <w:rPr>
          <w:rFonts w:asciiTheme="minorHAnsi" w:hAnsiTheme="minorHAnsi" w:cstheme="minorHAnsi"/>
          <w:sz w:val="22"/>
          <w:szCs w:val="22"/>
        </w:rPr>
      </w:pPr>
      <w:r w:rsidRPr="009479D5">
        <w:rPr>
          <w:rFonts w:asciiTheme="minorHAnsi" w:hAnsiTheme="minorHAnsi" w:cstheme="minorHAnsi"/>
          <w:sz w:val="22"/>
          <w:szCs w:val="22"/>
        </w:rPr>
        <w:t xml:space="preserve">Article </w:t>
      </w:r>
      <w:r w:rsidR="0079103A" w:rsidRPr="009479D5">
        <w:rPr>
          <w:rFonts w:asciiTheme="minorHAnsi" w:hAnsiTheme="minorHAnsi" w:cstheme="minorHAnsi"/>
          <w:sz w:val="22"/>
          <w:szCs w:val="22"/>
        </w:rPr>
        <w:t>10</w:t>
      </w:r>
      <w:r w:rsidRPr="009479D5">
        <w:rPr>
          <w:rFonts w:asciiTheme="minorHAnsi" w:hAnsiTheme="minorHAnsi" w:cstheme="minorHAnsi"/>
          <w:sz w:val="22"/>
          <w:szCs w:val="22"/>
        </w:rPr>
        <w:t xml:space="preserve"> – </w:t>
      </w:r>
      <w:r w:rsidR="0079103A" w:rsidRPr="009479D5">
        <w:rPr>
          <w:rFonts w:asciiTheme="minorHAnsi" w:hAnsiTheme="minorHAnsi" w:cstheme="minorHAnsi"/>
          <w:sz w:val="22"/>
          <w:szCs w:val="22"/>
        </w:rPr>
        <w:t xml:space="preserve">Right to education </w:t>
      </w:r>
    </w:p>
    <w:p w14:paraId="320D5E5D" w14:textId="4F93D006" w:rsidR="00E962FB" w:rsidRPr="009479D5" w:rsidRDefault="00E962FB" w:rsidP="00E962FB">
      <w:pPr>
        <w:rPr>
          <w:rStyle w:val="Heading2Char"/>
          <w:rFonts w:asciiTheme="minorHAnsi" w:hAnsiTheme="minorHAnsi" w:cstheme="minorHAnsi"/>
          <w:b/>
          <w:sz w:val="22"/>
          <w:szCs w:val="22"/>
        </w:rPr>
      </w:pPr>
      <w:r w:rsidRPr="009479D5">
        <w:rPr>
          <w:rStyle w:val="Heading2Char"/>
          <w:rFonts w:asciiTheme="minorHAnsi" w:hAnsiTheme="minorHAnsi" w:cstheme="minorHAnsi"/>
          <w:b/>
          <w:sz w:val="22"/>
          <w:szCs w:val="22"/>
        </w:rPr>
        <w:t xml:space="preserve">Comprehensive sexuality education </w:t>
      </w:r>
    </w:p>
    <w:p w14:paraId="3D14B0A4" w14:textId="4B50A1C5" w:rsidR="00D73F5F" w:rsidRPr="009479D5" w:rsidRDefault="00946716" w:rsidP="00732750">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Article 10 of CEDAW requires that </w:t>
      </w:r>
      <w:r w:rsidR="00DD1387" w:rsidRPr="009479D5">
        <w:rPr>
          <w:rFonts w:asciiTheme="minorHAnsi" w:hAnsiTheme="minorHAnsi" w:cstheme="minorHAnsi"/>
          <w:szCs w:val="22"/>
        </w:rPr>
        <w:t>State</w:t>
      </w:r>
      <w:r w:rsidR="00250493" w:rsidRPr="009479D5">
        <w:rPr>
          <w:rFonts w:asciiTheme="minorHAnsi" w:hAnsiTheme="minorHAnsi" w:cstheme="minorHAnsi"/>
          <w:szCs w:val="22"/>
        </w:rPr>
        <w:t xml:space="preserve"> parties</w:t>
      </w:r>
      <w:r w:rsidR="00DD1387" w:rsidRPr="009479D5">
        <w:rPr>
          <w:rFonts w:asciiTheme="minorHAnsi" w:hAnsiTheme="minorHAnsi" w:cstheme="minorHAnsi"/>
          <w:szCs w:val="22"/>
        </w:rPr>
        <w:t xml:space="preserve"> </w:t>
      </w:r>
      <w:r w:rsidR="004D751C" w:rsidRPr="009479D5">
        <w:rPr>
          <w:rFonts w:asciiTheme="minorHAnsi" w:hAnsiTheme="minorHAnsi" w:cstheme="minorHAnsi"/>
          <w:szCs w:val="22"/>
        </w:rPr>
        <w:t xml:space="preserve">eliminate discrimination against women in the field of education by </w:t>
      </w:r>
      <w:r w:rsidRPr="009479D5">
        <w:rPr>
          <w:rFonts w:asciiTheme="minorHAnsi" w:hAnsiTheme="minorHAnsi" w:cstheme="minorHAnsi"/>
          <w:szCs w:val="22"/>
        </w:rPr>
        <w:t xml:space="preserve">eliminating </w:t>
      </w:r>
      <w:r w:rsidR="004D751C" w:rsidRPr="009479D5">
        <w:rPr>
          <w:rFonts w:asciiTheme="minorHAnsi" w:hAnsiTheme="minorHAnsi" w:cstheme="minorHAnsi"/>
          <w:szCs w:val="22"/>
        </w:rPr>
        <w:t xml:space="preserve">stereotyped </w:t>
      </w:r>
      <w:r w:rsidRPr="009479D5">
        <w:rPr>
          <w:rFonts w:asciiTheme="minorHAnsi" w:hAnsiTheme="minorHAnsi" w:cstheme="minorHAnsi"/>
          <w:szCs w:val="22"/>
        </w:rPr>
        <w:t xml:space="preserve">roles </w:t>
      </w:r>
      <w:r w:rsidR="000C7637" w:rsidRPr="009479D5">
        <w:rPr>
          <w:rFonts w:asciiTheme="minorHAnsi" w:hAnsiTheme="minorHAnsi" w:cstheme="minorHAnsi"/>
          <w:szCs w:val="22"/>
        </w:rPr>
        <w:t xml:space="preserve">and through </w:t>
      </w:r>
      <w:r w:rsidRPr="009479D5">
        <w:rPr>
          <w:rFonts w:asciiTheme="minorHAnsi" w:hAnsiTheme="minorHAnsi" w:cstheme="minorHAnsi"/>
          <w:szCs w:val="22"/>
        </w:rPr>
        <w:t xml:space="preserve">access to information </w:t>
      </w:r>
      <w:r w:rsidR="001E4EBA" w:rsidRPr="009479D5">
        <w:rPr>
          <w:rFonts w:asciiTheme="minorHAnsi" w:hAnsiTheme="minorHAnsi" w:cstheme="minorHAnsi"/>
          <w:szCs w:val="22"/>
        </w:rPr>
        <w:t xml:space="preserve">to ensure </w:t>
      </w:r>
      <w:r w:rsidRPr="009479D5">
        <w:rPr>
          <w:rFonts w:asciiTheme="minorHAnsi" w:hAnsiTheme="minorHAnsi" w:cstheme="minorHAnsi"/>
          <w:szCs w:val="22"/>
        </w:rPr>
        <w:t>health, including information on family planning.</w:t>
      </w:r>
      <w:r w:rsidR="00FA072F" w:rsidRPr="009479D5">
        <w:rPr>
          <w:rFonts w:asciiTheme="minorHAnsi" w:hAnsiTheme="minorHAnsi" w:cstheme="minorHAnsi"/>
          <w:szCs w:val="22"/>
        </w:rPr>
        <w:t xml:space="preserve"> </w:t>
      </w:r>
      <w:r w:rsidR="00B76A73" w:rsidRPr="009479D5">
        <w:rPr>
          <w:rFonts w:asciiTheme="minorHAnsi" w:hAnsiTheme="minorHAnsi" w:cstheme="minorHAnsi"/>
          <w:szCs w:val="22"/>
        </w:rPr>
        <w:t xml:space="preserve">The Committee on the Elimination of Discrimination Against Women (herein referred to as “the Committee”) in its </w:t>
      </w:r>
      <w:r w:rsidR="00B76A73" w:rsidRPr="009479D5">
        <w:rPr>
          <w:rFonts w:asciiTheme="minorHAnsi" w:hAnsiTheme="minorHAnsi" w:cstheme="minorHAnsi"/>
          <w:szCs w:val="22"/>
          <w:lang w:val="en-GB"/>
        </w:rPr>
        <w:t>General Recommendation</w:t>
      </w:r>
      <w:r w:rsidR="00C44932" w:rsidRPr="009479D5">
        <w:rPr>
          <w:rFonts w:asciiTheme="minorHAnsi" w:hAnsiTheme="minorHAnsi" w:cstheme="minorHAnsi"/>
          <w:szCs w:val="22"/>
          <w:lang w:val="en-GB"/>
        </w:rPr>
        <w:t>s</w:t>
      </w:r>
      <w:r w:rsidR="00B76A73" w:rsidRPr="009479D5">
        <w:rPr>
          <w:rFonts w:asciiTheme="minorHAnsi" w:hAnsiTheme="minorHAnsi" w:cstheme="minorHAnsi"/>
          <w:szCs w:val="22"/>
          <w:lang w:val="en-GB"/>
        </w:rPr>
        <w:t xml:space="preserve"> </w:t>
      </w:r>
      <w:r w:rsidR="00ED6B5F" w:rsidRPr="009479D5">
        <w:rPr>
          <w:rFonts w:asciiTheme="minorHAnsi" w:hAnsiTheme="minorHAnsi" w:cstheme="minorHAnsi"/>
          <w:szCs w:val="22"/>
          <w:lang w:val="en-GB"/>
        </w:rPr>
        <w:t xml:space="preserve">21, </w:t>
      </w:r>
      <w:r w:rsidR="00C44932" w:rsidRPr="009479D5">
        <w:rPr>
          <w:rFonts w:asciiTheme="minorHAnsi" w:hAnsiTheme="minorHAnsi" w:cstheme="minorHAnsi"/>
          <w:szCs w:val="22"/>
          <w:lang w:val="en-GB"/>
        </w:rPr>
        <w:t>24</w:t>
      </w:r>
      <w:r w:rsidR="00ED6B5F" w:rsidRPr="009479D5">
        <w:rPr>
          <w:rFonts w:asciiTheme="minorHAnsi" w:hAnsiTheme="minorHAnsi" w:cstheme="minorHAnsi"/>
          <w:szCs w:val="22"/>
          <w:lang w:val="en-GB"/>
        </w:rPr>
        <w:t xml:space="preserve">, 35 and 36 and through its Concluding Observations has </w:t>
      </w:r>
      <w:r w:rsidR="00D73F5F" w:rsidRPr="009479D5">
        <w:rPr>
          <w:rFonts w:asciiTheme="minorHAnsi" w:hAnsiTheme="minorHAnsi" w:cstheme="minorHAnsi"/>
          <w:szCs w:val="22"/>
          <w:lang w:val="en-GB"/>
        </w:rPr>
        <w:t xml:space="preserve">elaborated on states’ obligations </w:t>
      </w:r>
      <w:r w:rsidR="001A17A0" w:rsidRPr="009479D5">
        <w:rPr>
          <w:rFonts w:asciiTheme="minorHAnsi" w:hAnsiTheme="minorHAnsi" w:cstheme="minorHAnsi"/>
          <w:szCs w:val="22"/>
          <w:lang w:val="en-GB"/>
        </w:rPr>
        <w:t xml:space="preserve">under this article </w:t>
      </w:r>
      <w:r w:rsidR="00D73F5F" w:rsidRPr="009479D5">
        <w:rPr>
          <w:rFonts w:asciiTheme="minorHAnsi" w:hAnsiTheme="minorHAnsi" w:cstheme="minorHAnsi"/>
          <w:szCs w:val="22"/>
          <w:lang w:val="en-GB"/>
        </w:rPr>
        <w:t xml:space="preserve">to ensure access to comprehensive sexuality education.  </w:t>
      </w:r>
      <w:r w:rsidR="00B11F2A" w:rsidRPr="009479D5">
        <w:rPr>
          <w:rFonts w:asciiTheme="minorHAnsi" w:hAnsiTheme="minorHAnsi" w:cstheme="minorHAnsi"/>
          <w:szCs w:val="22"/>
          <w:lang w:val="en-GB"/>
        </w:rPr>
        <w:br/>
      </w:r>
    </w:p>
    <w:p w14:paraId="15355139" w14:textId="78E99151" w:rsidR="00A04A67" w:rsidRPr="009479D5" w:rsidRDefault="0015565E" w:rsidP="00A04A67">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Action Canada has documented discrepancies in the quality and delivery of comprehensive sexuality education curriculums in Canada in violation of Article 10</w:t>
      </w:r>
      <w:r w:rsidR="00A04A67" w:rsidRPr="009479D5">
        <w:rPr>
          <w:rStyle w:val="FootnoteReference"/>
          <w:rFonts w:asciiTheme="minorHAnsi" w:hAnsiTheme="minorHAnsi" w:cstheme="minorHAnsi"/>
          <w:szCs w:val="22"/>
        </w:rPr>
        <w:footnoteReference w:id="2"/>
      </w:r>
      <w:r w:rsidRPr="009479D5">
        <w:rPr>
          <w:rFonts w:asciiTheme="minorHAnsi" w:hAnsiTheme="minorHAnsi" w:cstheme="minorHAnsi"/>
          <w:szCs w:val="22"/>
        </w:rPr>
        <w:t xml:space="preserve">. </w:t>
      </w:r>
      <w:r w:rsidR="00A04A67" w:rsidRPr="009479D5">
        <w:rPr>
          <w:rFonts w:asciiTheme="minorHAnsi" w:hAnsiTheme="minorHAnsi" w:cstheme="minorHAnsi"/>
          <w:szCs w:val="22"/>
        </w:rPr>
        <w:t xml:space="preserve"> Through a multistakeholder process, our research found that sexuality education in Canada is not meeting international and national standards, is outdated, not comprehensive, not monitored or evaluated, and is offered by educators who </w:t>
      </w:r>
      <w:r w:rsidR="00B11F2A" w:rsidRPr="009479D5">
        <w:rPr>
          <w:rFonts w:asciiTheme="minorHAnsi" w:hAnsiTheme="minorHAnsi" w:cstheme="minorHAnsi"/>
          <w:szCs w:val="22"/>
        </w:rPr>
        <w:t xml:space="preserve">receive </w:t>
      </w:r>
      <w:r w:rsidR="00A04A67" w:rsidRPr="009479D5">
        <w:rPr>
          <w:rFonts w:asciiTheme="minorHAnsi" w:hAnsiTheme="minorHAnsi" w:cstheme="minorHAnsi"/>
          <w:szCs w:val="22"/>
        </w:rPr>
        <w:t xml:space="preserve">little or no support from provinces and education systems.  </w:t>
      </w:r>
      <w:r w:rsidR="00B11F2A" w:rsidRPr="009479D5">
        <w:rPr>
          <w:rFonts w:asciiTheme="minorHAnsi" w:hAnsiTheme="minorHAnsi" w:cstheme="minorHAnsi"/>
          <w:szCs w:val="22"/>
        </w:rPr>
        <w:br/>
      </w:r>
    </w:p>
    <w:p w14:paraId="1982F23D" w14:textId="09A14C28" w:rsidR="00D73F5F" w:rsidRPr="009479D5" w:rsidRDefault="00D73F5F" w:rsidP="00732750">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In the List of Issues prior to Canada’s Review, the Committee requested information on measures taken to ensure the availability of comprehensive sexuality education in all parts of the State and monitoring mechanisms </w:t>
      </w:r>
      <w:r w:rsidR="00D55F4C" w:rsidRPr="009479D5">
        <w:rPr>
          <w:rFonts w:asciiTheme="minorHAnsi" w:hAnsiTheme="minorHAnsi" w:cstheme="minorHAnsi"/>
          <w:szCs w:val="22"/>
        </w:rPr>
        <w:t xml:space="preserve">that have been put into place to ensure accountability from the provinces and territories on this issue.  </w:t>
      </w:r>
      <w:r w:rsidR="00B11F2A" w:rsidRPr="009479D5">
        <w:rPr>
          <w:rFonts w:asciiTheme="minorHAnsi" w:hAnsiTheme="minorHAnsi" w:cstheme="minorHAnsi"/>
          <w:szCs w:val="22"/>
        </w:rPr>
        <w:br/>
      </w:r>
    </w:p>
    <w:p w14:paraId="3226FCFC" w14:textId="3378BAE6" w:rsidR="00781598" w:rsidRPr="009479D5" w:rsidRDefault="00D55F4C" w:rsidP="00732750">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Canada’s </w:t>
      </w:r>
      <w:r w:rsidR="008C72E6" w:rsidRPr="009479D5">
        <w:rPr>
          <w:rFonts w:asciiTheme="minorHAnsi" w:hAnsiTheme="minorHAnsi" w:cstheme="minorHAnsi"/>
          <w:szCs w:val="22"/>
        </w:rPr>
        <w:t xml:space="preserve">State Party Report Under the List of Issues Prior to Reporting </w:t>
      </w:r>
      <w:r w:rsidR="001A17A0" w:rsidRPr="009479D5">
        <w:rPr>
          <w:rFonts w:asciiTheme="minorHAnsi" w:hAnsiTheme="minorHAnsi" w:cstheme="minorHAnsi"/>
          <w:szCs w:val="22"/>
        </w:rPr>
        <w:t xml:space="preserve">(LOIPR) </w:t>
      </w:r>
      <w:r w:rsidR="00781598" w:rsidRPr="009479D5">
        <w:rPr>
          <w:rFonts w:asciiTheme="minorHAnsi" w:hAnsiTheme="minorHAnsi" w:cstheme="minorHAnsi"/>
          <w:szCs w:val="22"/>
        </w:rPr>
        <w:t>states</w:t>
      </w:r>
      <w:r w:rsidR="008C72E6" w:rsidRPr="009479D5">
        <w:rPr>
          <w:rFonts w:asciiTheme="minorHAnsi" w:hAnsiTheme="minorHAnsi" w:cstheme="minorHAnsi"/>
          <w:szCs w:val="22"/>
        </w:rPr>
        <w:t xml:space="preserve"> that </w:t>
      </w:r>
      <w:r w:rsidRPr="009479D5">
        <w:rPr>
          <w:rFonts w:asciiTheme="minorHAnsi" w:hAnsiTheme="minorHAnsi" w:cstheme="minorHAnsi"/>
          <w:szCs w:val="22"/>
        </w:rPr>
        <w:t xml:space="preserve">the federal government of Canada has no direct role in decision making regarding education, including sexual health education curricula.  Canada also refers to the availability of </w:t>
      </w:r>
      <w:r w:rsidR="002D2451" w:rsidRPr="009479D5">
        <w:rPr>
          <w:rFonts w:asciiTheme="minorHAnsi" w:hAnsiTheme="minorHAnsi" w:cstheme="minorHAnsi"/>
          <w:szCs w:val="22"/>
        </w:rPr>
        <w:t xml:space="preserve">2019 SIECCAN </w:t>
      </w:r>
      <w:r w:rsidRPr="009479D5">
        <w:rPr>
          <w:rFonts w:asciiTheme="minorHAnsi" w:hAnsiTheme="minorHAnsi" w:cstheme="minorHAnsi"/>
          <w:szCs w:val="22"/>
        </w:rPr>
        <w:t>sexuality education guidelines</w:t>
      </w:r>
      <w:r w:rsidR="002D2451" w:rsidRPr="009479D5">
        <w:rPr>
          <w:rFonts w:asciiTheme="minorHAnsi" w:hAnsiTheme="minorHAnsi" w:cstheme="minorHAnsi"/>
          <w:szCs w:val="22"/>
        </w:rPr>
        <w:t xml:space="preserve">, however, provides </w:t>
      </w:r>
      <w:r w:rsidR="004E6607" w:rsidRPr="009479D5">
        <w:rPr>
          <w:rFonts w:asciiTheme="minorHAnsi" w:hAnsiTheme="minorHAnsi" w:cstheme="minorHAnsi"/>
          <w:szCs w:val="22"/>
        </w:rPr>
        <w:t xml:space="preserve">no information on how they have been promoted by the federal government to improve the availability and quality of sexuality education across the country. </w:t>
      </w:r>
      <w:r w:rsidR="00B11F2A" w:rsidRPr="009479D5">
        <w:rPr>
          <w:rFonts w:asciiTheme="minorHAnsi" w:hAnsiTheme="minorHAnsi" w:cstheme="minorHAnsi"/>
          <w:szCs w:val="22"/>
        </w:rPr>
        <w:br/>
      </w:r>
    </w:p>
    <w:p w14:paraId="7604E7ED" w14:textId="3865C8F3" w:rsidR="004E6607" w:rsidRPr="009479D5" w:rsidRDefault="004E6607" w:rsidP="004E6607">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Since Canada reported on the List of Issues, </w:t>
      </w:r>
      <w:r w:rsidR="00B11F2A" w:rsidRPr="009479D5">
        <w:rPr>
          <w:rFonts w:asciiTheme="minorHAnsi" w:hAnsiTheme="minorHAnsi" w:cstheme="minorHAnsi"/>
          <w:szCs w:val="22"/>
        </w:rPr>
        <w:t xml:space="preserve">the </w:t>
      </w:r>
      <w:r w:rsidRPr="009479D5">
        <w:rPr>
          <w:rFonts w:asciiTheme="minorHAnsi" w:hAnsiTheme="minorHAnsi" w:cstheme="minorHAnsi"/>
          <w:szCs w:val="22"/>
        </w:rPr>
        <w:t>province</w:t>
      </w:r>
      <w:r w:rsidR="00B11F2A" w:rsidRPr="009479D5">
        <w:rPr>
          <w:rFonts w:asciiTheme="minorHAnsi" w:hAnsiTheme="minorHAnsi" w:cstheme="minorHAnsi"/>
          <w:szCs w:val="22"/>
        </w:rPr>
        <w:t xml:space="preserve"> of Alberta </w:t>
      </w:r>
      <w:r w:rsidRPr="009479D5">
        <w:rPr>
          <w:rFonts w:asciiTheme="minorHAnsi" w:hAnsiTheme="minorHAnsi" w:cstheme="minorHAnsi"/>
          <w:szCs w:val="22"/>
        </w:rPr>
        <w:t>announced p</w:t>
      </w:r>
      <w:r w:rsidRPr="009479D5">
        <w:rPr>
          <w:rFonts w:asciiTheme="minorHAnsi" w:hAnsiTheme="minorHAnsi" w:cstheme="minorHAnsi"/>
          <w:szCs w:val="22"/>
        </w:rPr>
        <w:t>olicies</w:t>
      </w:r>
      <w:r w:rsidRPr="009479D5">
        <w:rPr>
          <w:rFonts w:asciiTheme="minorHAnsi" w:hAnsiTheme="minorHAnsi" w:cstheme="minorHAnsi"/>
          <w:szCs w:val="22"/>
        </w:rPr>
        <w:t xml:space="preserve"> to restrict content related to sexuality and gender within sexuality education programs</w:t>
      </w:r>
      <w:r w:rsidRPr="009479D5">
        <w:rPr>
          <w:rFonts w:asciiTheme="minorHAnsi" w:hAnsiTheme="minorHAnsi" w:cstheme="minorHAnsi"/>
          <w:szCs w:val="22"/>
        </w:rPr>
        <w:t xml:space="preserve"> and to require parental consent to opt in to such programs</w:t>
      </w:r>
      <w:r w:rsidR="00B11F2A" w:rsidRPr="009479D5">
        <w:rPr>
          <w:rStyle w:val="FootnoteReference"/>
          <w:rFonts w:asciiTheme="minorHAnsi" w:hAnsiTheme="minorHAnsi" w:cstheme="minorHAnsi"/>
          <w:szCs w:val="22"/>
        </w:rPr>
        <w:footnoteReference w:id="3"/>
      </w:r>
      <w:r w:rsidRPr="009479D5">
        <w:rPr>
          <w:rFonts w:asciiTheme="minorHAnsi" w:hAnsiTheme="minorHAnsi" w:cstheme="minorHAnsi"/>
          <w:szCs w:val="22"/>
        </w:rPr>
        <w:t xml:space="preserve">.  </w:t>
      </w:r>
      <w:r w:rsidR="00B11F2A" w:rsidRPr="009479D5">
        <w:rPr>
          <w:rFonts w:asciiTheme="minorHAnsi" w:hAnsiTheme="minorHAnsi" w:cstheme="minorHAnsi"/>
          <w:szCs w:val="22"/>
        </w:rPr>
        <w:t xml:space="preserve">Additionally, the province of New Brunswick announced changes to its educational inclusion policy which prevents young people under the age of 16 from using their preferred pronouns at school if different from </w:t>
      </w:r>
      <w:r w:rsidR="00B11F2A" w:rsidRPr="009479D5">
        <w:rPr>
          <w:rFonts w:asciiTheme="minorHAnsi" w:hAnsiTheme="minorHAnsi" w:cstheme="minorHAnsi"/>
          <w:szCs w:val="22"/>
        </w:rPr>
        <w:lastRenderedPageBreak/>
        <w:t>their birth certificate</w:t>
      </w:r>
      <w:r w:rsidR="00B11F2A" w:rsidRPr="009479D5">
        <w:rPr>
          <w:rStyle w:val="FootnoteReference"/>
          <w:rFonts w:asciiTheme="minorHAnsi" w:hAnsiTheme="minorHAnsi" w:cstheme="minorHAnsi"/>
          <w:szCs w:val="22"/>
        </w:rPr>
        <w:footnoteReference w:id="4"/>
      </w:r>
      <w:r w:rsidR="00B11F2A" w:rsidRPr="009479D5">
        <w:rPr>
          <w:rFonts w:asciiTheme="minorHAnsi" w:hAnsiTheme="minorHAnsi" w:cstheme="minorHAnsi"/>
          <w:szCs w:val="22"/>
        </w:rPr>
        <w:t xml:space="preserve">. </w:t>
      </w:r>
      <w:r w:rsidRPr="009479D5">
        <w:rPr>
          <w:rFonts w:asciiTheme="minorHAnsi" w:hAnsiTheme="minorHAnsi" w:cstheme="minorHAnsi"/>
          <w:szCs w:val="22"/>
        </w:rPr>
        <w:t xml:space="preserve">These policies have been presented within an increasingly polarized environment of misinformation and disinformation on </w:t>
      </w:r>
      <w:r w:rsidR="00B11F2A" w:rsidRPr="009479D5">
        <w:rPr>
          <w:rFonts w:asciiTheme="minorHAnsi" w:hAnsiTheme="minorHAnsi" w:cstheme="minorHAnsi"/>
          <w:szCs w:val="22"/>
        </w:rPr>
        <w:t xml:space="preserve">sexuality education and </w:t>
      </w:r>
      <w:r w:rsidRPr="009479D5">
        <w:rPr>
          <w:rFonts w:asciiTheme="minorHAnsi" w:hAnsiTheme="minorHAnsi" w:cstheme="minorHAnsi"/>
          <w:szCs w:val="22"/>
        </w:rPr>
        <w:t xml:space="preserve">the rights of trans youth which puts </w:t>
      </w:r>
      <w:r w:rsidR="00B11F2A" w:rsidRPr="009479D5">
        <w:rPr>
          <w:rFonts w:asciiTheme="minorHAnsi" w:hAnsiTheme="minorHAnsi" w:cstheme="minorHAnsi"/>
          <w:szCs w:val="22"/>
        </w:rPr>
        <w:t xml:space="preserve">all young people’s </w:t>
      </w:r>
      <w:r w:rsidRPr="009479D5">
        <w:rPr>
          <w:rFonts w:asciiTheme="minorHAnsi" w:hAnsiTheme="minorHAnsi" w:cstheme="minorHAnsi"/>
          <w:szCs w:val="22"/>
        </w:rPr>
        <w:t xml:space="preserve">health and well-being at risk.  </w:t>
      </w:r>
      <w:r w:rsidR="00B11F2A" w:rsidRPr="009479D5">
        <w:rPr>
          <w:rFonts w:asciiTheme="minorHAnsi" w:hAnsiTheme="minorHAnsi" w:cstheme="minorHAnsi"/>
          <w:szCs w:val="22"/>
        </w:rPr>
        <w:br/>
      </w:r>
    </w:p>
    <w:p w14:paraId="4061787F" w14:textId="33DAE825" w:rsidR="008C72E6" w:rsidRPr="009479D5" w:rsidRDefault="008C72E6" w:rsidP="008C72E6">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The federal government’s lack of attention to ensuring that all young people within its jurisdiction have access to evidence-based, comprehensive sexuality education has created a serious protection gap that must be urgently addressed.  </w:t>
      </w:r>
      <w:r w:rsidR="00B11F2A" w:rsidRPr="009479D5">
        <w:rPr>
          <w:rFonts w:asciiTheme="minorHAnsi" w:hAnsiTheme="minorHAnsi" w:cstheme="minorHAnsi"/>
          <w:szCs w:val="22"/>
        </w:rPr>
        <w:br/>
      </w:r>
    </w:p>
    <w:p w14:paraId="2DC549EF" w14:textId="400B92AF" w:rsidR="0036709B" w:rsidRPr="009479D5" w:rsidRDefault="00D55F4C" w:rsidP="002D2451">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Canada’s invocation of </w:t>
      </w:r>
      <w:r w:rsidR="008F22A5" w:rsidRPr="009479D5">
        <w:rPr>
          <w:rFonts w:asciiTheme="minorHAnsi" w:hAnsiTheme="minorHAnsi" w:cstheme="minorHAnsi"/>
          <w:szCs w:val="22"/>
        </w:rPr>
        <w:t xml:space="preserve">internal </w:t>
      </w:r>
      <w:r w:rsidRPr="009479D5">
        <w:rPr>
          <w:rFonts w:asciiTheme="minorHAnsi" w:hAnsiTheme="minorHAnsi" w:cstheme="minorHAnsi"/>
          <w:szCs w:val="22"/>
        </w:rPr>
        <w:t xml:space="preserve">jurisdictional challenges in meeting its treaty obligations related to sexuality education as well as other economic, social and cultural rights, </w:t>
      </w:r>
      <w:r w:rsidR="002D2451" w:rsidRPr="009479D5">
        <w:rPr>
          <w:rFonts w:asciiTheme="minorHAnsi" w:hAnsiTheme="minorHAnsi" w:cstheme="minorHAnsi"/>
          <w:szCs w:val="22"/>
        </w:rPr>
        <w:t xml:space="preserve">has been criticized by Special Procedures, treaty bodies (including this Committee) and other states through the Universal Periodic Review as being wholly unacceptable under international human rights law.  </w:t>
      </w:r>
      <w:r w:rsidR="0036709B" w:rsidRPr="009479D5">
        <w:rPr>
          <w:rFonts w:asciiTheme="minorHAnsi" w:hAnsiTheme="minorHAnsi" w:cstheme="minorHAnsi"/>
          <w:szCs w:val="22"/>
        </w:rPr>
        <w:br/>
      </w:r>
    </w:p>
    <w:p w14:paraId="790CB7E7" w14:textId="1D5497D6" w:rsidR="0036709B" w:rsidRPr="009479D5" w:rsidRDefault="0036709B" w:rsidP="0036709B">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Canada has no institutional process to effectively implement human rights recommendations or to ensure the implementation of human rights law across governmental jurisdictions, nor is there a federal ministry accountable for the implementation of UN recommendations or decisions.  The Department of Canadian Heritage is designated as the National Mechanism for Monitoring, Implementing and Follow-Up, however, this ministry holds a coordination mandate and not an implementation mandate, thereby limiting the scope of its authority.  Different committees of officials responsible for human rights at federal, provincial and territorial levels have not delivered a cohesive framework under which UN recommendations are considered, monitored and implemented nor have they put in place mechanisms for meaningful participation of civil society and Indigenous Organizations.  </w:t>
      </w:r>
    </w:p>
    <w:p w14:paraId="04F514B9" w14:textId="77777777" w:rsidR="0036709B" w:rsidRPr="009479D5" w:rsidRDefault="0036709B" w:rsidP="0036709B">
      <w:pPr>
        <w:pStyle w:val="ListParagraph"/>
        <w:ind w:left="644"/>
        <w:rPr>
          <w:rFonts w:asciiTheme="minorHAnsi" w:hAnsiTheme="minorHAnsi" w:cstheme="minorHAnsi"/>
          <w:szCs w:val="22"/>
        </w:rPr>
      </w:pPr>
    </w:p>
    <w:p w14:paraId="171227D0" w14:textId="0AE0C9D2" w:rsidR="002D2451" w:rsidRPr="009479D5" w:rsidRDefault="0036709B" w:rsidP="0036709B">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The Federal Government must establish a robust human rights accountability framework to ensure compliance with international human rights law. Such a framework or mechanism would engage all levels of government, maintain adequate resources for the implementation of human rights recommendations and Concluding Observations, incorporate regular monitoring and evaluation functions, and regularly engage civil society organizations and Indigenous peoples’ organizations towards greater implementation of and compliance with human rights law.</w:t>
      </w:r>
      <w:r w:rsidR="006973CE" w:rsidRPr="009479D5">
        <w:rPr>
          <w:rFonts w:asciiTheme="minorHAnsi" w:hAnsiTheme="minorHAnsi" w:cstheme="minorHAnsi"/>
          <w:szCs w:val="22"/>
        </w:rPr>
        <w:br/>
      </w:r>
    </w:p>
    <w:p w14:paraId="0AEBD82C" w14:textId="2F8B0BFD" w:rsidR="008C72E6" w:rsidRPr="009479D5" w:rsidRDefault="0015565E" w:rsidP="006973CE">
      <w:pPr>
        <w:pStyle w:val="ListParagraph"/>
        <w:numPr>
          <w:ilvl w:val="0"/>
          <w:numId w:val="4"/>
        </w:numPr>
        <w:rPr>
          <w:rFonts w:asciiTheme="minorHAnsi" w:hAnsiTheme="minorHAnsi" w:cstheme="minorHAnsi"/>
          <w:b/>
          <w:bCs/>
          <w:szCs w:val="22"/>
        </w:rPr>
      </w:pPr>
      <w:r w:rsidRPr="009479D5">
        <w:rPr>
          <w:rFonts w:asciiTheme="minorHAnsi" w:hAnsiTheme="minorHAnsi" w:cstheme="minorHAnsi"/>
          <w:b/>
          <w:bCs/>
          <w:szCs w:val="22"/>
        </w:rPr>
        <w:t>Recommendations</w:t>
      </w:r>
      <w:r w:rsidR="008F22A5" w:rsidRPr="009479D5">
        <w:rPr>
          <w:rFonts w:asciiTheme="minorHAnsi" w:hAnsiTheme="minorHAnsi" w:cstheme="minorHAnsi"/>
          <w:b/>
          <w:bCs/>
          <w:szCs w:val="22"/>
        </w:rPr>
        <w:t>:</w:t>
      </w:r>
    </w:p>
    <w:p w14:paraId="62C97669" w14:textId="7AD8A96E" w:rsidR="008F22A5" w:rsidRPr="009479D5" w:rsidRDefault="003970CB" w:rsidP="008F22A5">
      <w:pPr>
        <w:pStyle w:val="ListParagraph"/>
        <w:numPr>
          <w:ilvl w:val="0"/>
          <w:numId w:val="7"/>
        </w:numPr>
        <w:rPr>
          <w:rFonts w:asciiTheme="minorHAnsi" w:hAnsiTheme="minorHAnsi" w:cstheme="minorHAnsi"/>
          <w:b/>
          <w:bCs/>
          <w:szCs w:val="22"/>
        </w:rPr>
      </w:pPr>
      <w:r w:rsidRPr="009479D5">
        <w:rPr>
          <w:rFonts w:asciiTheme="minorHAnsi" w:hAnsiTheme="minorHAnsi" w:cstheme="minorHAnsi"/>
          <w:b/>
          <w:bCs/>
          <w:szCs w:val="22"/>
        </w:rPr>
        <w:t xml:space="preserve">Federal Government: </w:t>
      </w:r>
      <w:r w:rsidR="008F22A5" w:rsidRPr="009479D5">
        <w:rPr>
          <w:rFonts w:asciiTheme="minorHAnsi" w:hAnsiTheme="minorHAnsi" w:cstheme="minorHAnsi"/>
          <w:b/>
          <w:bCs/>
          <w:szCs w:val="22"/>
        </w:rPr>
        <w:t>Actively promote the 2019 SIECCAN Canadian Sexuality Education Guidelines endorsed by the Public Health Agency of Canada with the provinces and territories as well as the Canadian public.</w:t>
      </w:r>
    </w:p>
    <w:p w14:paraId="4D393446" w14:textId="0D6B00A6" w:rsidR="008F22A5" w:rsidRPr="009479D5" w:rsidRDefault="003970CB" w:rsidP="008F22A5">
      <w:pPr>
        <w:pStyle w:val="ListParagraph"/>
        <w:numPr>
          <w:ilvl w:val="0"/>
          <w:numId w:val="7"/>
        </w:numPr>
        <w:rPr>
          <w:rFonts w:asciiTheme="minorHAnsi" w:hAnsiTheme="minorHAnsi" w:cstheme="minorHAnsi"/>
          <w:b/>
          <w:bCs/>
          <w:szCs w:val="22"/>
        </w:rPr>
      </w:pPr>
      <w:r w:rsidRPr="009479D5">
        <w:rPr>
          <w:rFonts w:asciiTheme="minorHAnsi" w:hAnsiTheme="minorHAnsi" w:cstheme="minorHAnsi"/>
          <w:b/>
          <w:bCs/>
          <w:szCs w:val="22"/>
        </w:rPr>
        <w:t>Federal Government: In collaboration with the World Health Organization, provide r</w:t>
      </w:r>
      <w:r w:rsidR="008F22A5" w:rsidRPr="009479D5">
        <w:rPr>
          <w:rFonts w:asciiTheme="minorHAnsi" w:hAnsiTheme="minorHAnsi" w:cstheme="minorHAnsi"/>
          <w:b/>
          <w:bCs/>
          <w:szCs w:val="22"/>
        </w:rPr>
        <w:t>esource</w:t>
      </w:r>
      <w:r w:rsidRPr="009479D5">
        <w:rPr>
          <w:rFonts w:asciiTheme="minorHAnsi" w:hAnsiTheme="minorHAnsi" w:cstheme="minorHAnsi"/>
          <w:b/>
          <w:bCs/>
          <w:szCs w:val="22"/>
        </w:rPr>
        <w:t>s</w:t>
      </w:r>
      <w:r w:rsidR="008F22A5" w:rsidRPr="009479D5">
        <w:rPr>
          <w:rFonts w:asciiTheme="minorHAnsi" w:hAnsiTheme="minorHAnsi" w:cstheme="minorHAnsi"/>
          <w:b/>
          <w:bCs/>
          <w:szCs w:val="22"/>
        </w:rPr>
        <w:t xml:space="preserve"> Statistics Canada to conduct population level </w:t>
      </w:r>
      <w:r w:rsidRPr="009479D5">
        <w:rPr>
          <w:rFonts w:asciiTheme="minorHAnsi" w:hAnsiTheme="minorHAnsi" w:cstheme="minorHAnsi"/>
          <w:b/>
          <w:bCs/>
          <w:szCs w:val="22"/>
        </w:rPr>
        <w:t>research into adolescent knowledge, attitudes and behaviour on sexual and reproductive health to better understand gaps in sexuality education delivery and access to health services across the country.</w:t>
      </w:r>
    </w:p>
    <w:p w14:paraId="24B972BB" w14:textId="41E231E5" w:rsidR="003970CB" w:rsidRPr="009479D5" w:rsidRDefault="003970CB" w:rsidP="003970CB">
      <w:pPr>
        <w:pStyle w:val="ListParagraph"/>
        <w:numPr>
          <w:ilvl w:val="0"/>
          <w:numId w:val="7"/>
        </w:numPr>
        <w:rPr>
          <w:rFonts w:asciiTheme="minorHAnsi" w:hAnsiTheme="minorHAnsi" w:cstheme="minorHAnsi"/>
          <w:b/>
          <w:bCs/>
          <w:szCs w:val="22"/>
        </w:rPr>
      </w:pPr>
      <w:r w:rsidRPr="009479D5">
        <w:rPr>
          <w:rFonts w:asciiTheme="minorHAnsi" w:hAnsiTheme="minorHAnsi" w:cstheme="minorHAnsi"/>
          <w:b/>
          <w:bCs/>
          <w:szCs w:val="22"/>
        </w:rPr>
        <w:lastRenderedPageBreak/>
        <w:t xml:space="preserve">Provinces and Territories: Adopt, resource and report on standardized benchmarks for the delivery of comprehensive sexuality education.  </w:t>
      </w:r>
    </w:p>
    <w:p w14:paraId="26DA950D" w14:textId="169CD6FF" w:rsidR="00046EAB" w:rsidRPr="009479D5" w:rsidRDefault="003970CB" w:rsidP="00F8604F">
      <w:pPr>
        <w:pStyle w:val="ListParagraph"/>
        <w:numPr>
          <w:ilvl w:val="0"/>
          <w:numId w:val="7"/>
        </w:numPr>
        <w:rPr>
          <w:rFonts w:asciiTheme="minorHAnsi" w:hAnsiTheme="minorHAnsi" w:cstheme="minorHAnsi"/>
          <w:szCs w:val="22"/>
        </w:rPr>
      </w:pPr>
      <w:r w:rsidRPr="009479D5">
        <w:rPr>
          <w:rFonts w:asciiTheme="minorHAnsi" w:hAnsiTheme="minorHAnsi" w:cstheme="minorHAnsi"/>
          <w:b/>
          <w:bCs/>
          <w:szCs w:val="22"/>
        </w:rPr>
        <w:t xml:space="preserve">Provinces and Territories: Immediately stop the retrogression of human rights through restrictions on evidence- based comprehensive sexuality education and the implementation of discriminatory policies that put trans youth’s health, safety and well-being at risk.  </w:t>
      </w:r>
    </w:p>
    <w:p w14:paraId="738CA40F" w14:textId="122C70C2" w:rsidR="0036709B" w:rsidRPr="009479D5" w:rsidRDefault="0036709B" w:rsidP="00F8604F">
      <w:pPr>
        <w:pStyle w:val="ListParagraph"/>
        <w:numPr>
          <w:ilvl w:val="0"/>
          <w:numId w:val="7"/>
        </w:numPr>
        <w:rPr>
          <w:rFonts w:asciiTheme="minorHAnsi" w:hAnsiTheme="minorHAnsi" w:cstheme="minorHAnsi"/>
          <w:szCs w:val="22"/>
        </w:rPr>
      </w:pPr>
      <w:r w:rsidRPr="009479D5">
        <w:rPr>
          <w:rFonts w:asciiTheme="minorHAnsi" w:hAnsiTheme="minorHAnsi" w:cstheme="minorHAnsi"/>
          <w:b/>
          <w:bCs/>
          <w:szCs w:val="22"/>
        </w:rPr>
        <w:t>Federal Government: Implement a robust accountability framework for the implementation of UN human rights recommendations</w:t>
      </w:r>
    </w:p>
    <w:p w14:paraId="09805553" w14:textId="3BE4A9B1" w:rsidR="00051E79" w:rsidRPr="009479D5" w:rsidRDefault="00EE7F15" w:rsidP="00051E79">
      <w:pPr>
        <w:pStyle w:val="Heading1"/>
        <w:rPr>
          <w:rFonts w:asciiTheme="minorHAnsi" w:hAnsiTheme="minorHAnsi" w:cstheme="minorHAnsi"/>
          <w:sz w:val="22"/>
          <w:szCs w:val="22"/>
        </w:rPr>
      </w:pPr>
      <w:r w:rsidRPr="009479D5">
        <w:rPr>
          <w:rFonts w:asciiTheme="minorHAnsi" w:hAnsiTheme="minorHAnsi" w:cstheme="minorHAnsi"/>
          <w:sz w:val="22"/>
          <w:szCs w:val="22"/>
        </w:rPr>
        <w:t xml:space="preserve">Article 12 – Right to health </w:t>
      </w:r>
    </w:p>
    <w:p w14:paraId="235F89B5" w14:textId="161ADBB3" w:rsidR="00F8604F" w:rsidRPr="009479D5" w:rsidRDefault="00511084" w:rsidP="00F8604F">
      <w:pPr>
        <w:rPr>
          <w:rFonts w:asciiTheme="minorHAnsi" w:eastAsiaTheme="majorEastAsia" w:hAnsiTheme="minorHAnsi" w:cstheme="minorHAnsi"/>
          <w:b/>
          <w:szCs w:val="22"/>
        </w:rPr>
      </w:pPr>
      <w:r w:rsidRPr="009479D5">
        <w:rPr>
          <w:rStyle w:val="Heading2Char"/>
          <w:rFonts w:asciiTheme="minorHAnsi" w:hAnsiTheme="minorHAnsi" w:cstheme="minorHAnsi"/>
          <w:b/>
          <w:sz w:val="22"/>
          <w:szCs w:val="22"/>
        </w:rPr>
        <w:t>Right to a</w:t>
      </w:r>
      <w:r w:rsidR="003D4CB5" w:rsidRPr="009479D5">
        <w:rPr>
          <w:rStyle w:val="Heading2Char"/>
          <w:rFonts w:asciiTheme="minorHAnsi" w:hAnsiTheme="minorHAnsi" w:cstheme="minorHAnsi"/>
          <w:b/>
          <w:sz w:val="22"/>
          <w:szCs w:val="22"/>
        </w:rPr>
        <w:t xml:space="preserve">ccess to safe abortion services </w:t>
      </w:r>
    </w:p>
    <w:p w14:paraId="098D6FD4" w14:textId="4AD3B6E3" w:rsidR="006973CE" w:rsidRPr="009479D5" w:rsidRDefault="001F7B72" w:rsidP="00F8604F">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 xml:space="preserve">Article 12 of CEDAW requires State parties to </w:t>
      </w:r>
      <w:r w:rsidR="00A07EE1" w:rsidRPr="009479D5">
        <w:rPr>
          <w:rFonts w:asciiTheme="minorHAnsi" w:hAnsiTheme="minorHAnsi" w:cstheme="minorHAnsi"/>
          <w:szCs w:val="22"/>
        </w:rPr>
        <w:t xml:space="preserve">take measures </w:t>
      </w:r>
      <w:r w:rsidR="001D71F5" w:rsidRPr="009479D5">
        <w:rPr>
          <w:rFonts w:asciiTheme="minorHAnsi" w:hAnsiTheme="minorHAnsi" w:cstheme="minorHAnsi"/>
          <w:szCs w:val="22"/>
        </w:rPr>
        <w:t>to ensure women have access to family planning and appropriate services in connection with pregnancy</w:t>
      </w:r>
      <w:r w:rsidR="00DA2A37" w:rsidRPr="009479D5">
        <w:rPr>
          <w:rFonts w:asciiTheme="minorHAnsi" w:hAnsiTheme="minorHAnsi" w:cstheme="minorHAnsi"/>
          <w:szCs w:val="22"/>
        </w:rPr>
        <w:t>.</w:t>
      </w:r>
      <w:r w:rsidR="004256E6" w:rsidRPr="009479D5">
        <w:rPr>
          <w:rStyle w:val="FootnoteReference"/>
          <w:rFonts w:asciiTheme="minorHAnsi" w:hAnsiTheme="minorHAnsi" w:cstheme="minorHAnsi"/>
          <w:szCs w:val="22"/>
        </w:rPr>
        <w:footnoteReference w:id="5"/>
      </w:r>
      <w:r w:rsidR="000C7362" w:rsidRPr="009479D5">
        <w:rPr>
          <w:rFonts w:asciiTheme="minorHAnsi" w:hAnsiTheme="minorHAnsi" w:cstheme="minorHAnsi"/>
          <w:szCs w:val="22"/>
        </w:rPr>
        <w:t xml:space="preserve"> </w:t>
      </w:r>
      <w:r w:rsidR="003941F6" w:rsidRPr="009479D5">
        <w:rPr>
          <w:rFonts w:asciiTheme="minorHAnsi" w:hAnsiTheme="minorHAnsi" w:cstheme="minorHAnsi"/>
          <w:szCs w:val="22"/>
        </w:rPr>
        <w:t xml:space="preserve">The Committee </w:t>
      </w:r>
      <w:r w:rsidR="006973CE" w:rsidRPr="009479D5">
        <w:rPr>
          <w:rFonts w:asciiTheme="minorHAnsi" w:hAnsiTheme="minorHAnsi" w:cstheme="minorHAnsi"/>
          <w:szCs w:val="22"/>
        </w:rPr>
        <w:t xml:space="preserve">along with other treaty bodies and Special Procedures, </w:t>
      </w:r>
      <w:r w:rsidR="003941F6" w:rsidRPr="009479D5">
        <w:rPr>
          <w:rFonts w:asciiTheme="minorHAnsi" w:hAnsiTheme="minorHAnsi" w:cstheme="minorHAnsi"/>
          <w:szCs w:val="22"/>
        </w:rPr>
        <w:t>ha</w:t>
      </w:r>
      <w:r w:rsidR="006973CE" w:rsidRPr="009479D5">
        <w:rPr>
          <w:rFonts w:asciiTheme="minorHAnsi" w:hAnsiTheme="minorHAnsi" w:cstheme="minorHAnsi"/>
          <w:szCs w:val="22"/>
        </w:rPr>
        <w:t>ve</w:t>
      </w:r>
      <w:r w:rsidR="003941F6" w:rsidRPr="009479D5">
        <w:rPr>
          <w:rFonts w:asciiTheme="minorHAnsi" w:hAnsiTheme="minorHAnsi" w:cstheme="minorHAnsi"/>
          <w:szCs w:val="22"/>
        </w:rPr>
        <w:t xml:space="preserve"> outlined governments’ obligation to ensure access to safe abortion services, as part of the right to health. </w:t>
      </w:r>
      <w:r w:rsidR="006853A7" w:rsidRPr="009479D5">
        <w:rPr>
          <w:rFonts w:asciiTheme="minorHAnsi" w:hAnsiTheme="minorHAnsi" w:cstheme="minorHAnsi"/>
          <w:szCs w:val="22"/>
          <w:lang w:val="en-US"/>
        </w:rPr>
        <w:t>General Comment 22 (2016) of the Committee on Economic, Social and Cultural Rights (CESCR) affirms that “[p]</w:t>
      </w:r>
      <w:proofErr w:type="spellStart"/>
      <w:r w:rsidR="006853A7" w:rsidRPr="009479D5">
        <w:rPr>
          <w:rFonts w:asciiTheme="minorHAnsi" w:hAnsiTheme="minorHAnsi" w:cstheme="minorHAnsi"/>
          <w:szCs w:val="22"/>
          <w:lang w:val="en-US"/>
        </w:rPr>
        <w:t>hysical</w:t>
      </w:r>
      <w:proofErr w:type="spellEnd"/>
      <w:r w:rsidR="006853A7" w:rsidRPr="009479D5">
        <w:rPr>
          <w:rFonts w:asciiTheme="minorHAnsi" w:hAnsiTheme="minorHAnsi" w:cstheme="minorHAnsi"/>
          <w:szCs w:val="22"/>
          <w:lang w:val="en-US"/>
        </w:rPr>
        <w:t xml:space="preserve"> accessibility [of abortion care] should be ensured for all, especially persons belonging to disadvantaged and marginalized groups, including, but not limited to, persons living in rural and remote areas, persons with disabilities, refugees and internally displaced persons, stateless persons and persons in detention.”</w:t>
      </w:r>
      <w:r w:rsidR="006853A7" w:rsidRPr="009479D5">
        <w:rPr>
          <w:rFonts w:asciiTheme="minorHAnsi" w:hAnsiTheme="minorHAnsi" w:cstheme="minorHAnsi"/>
          <w:szCs w:val="22"/>
          <w:vertAlign w:val="superscript"/>
          <w:lang w:val="en-US"/>
        </w:rPr>
        <w:footnoteReference w:id="6"/>
      </w:r>
      <w:r w:rsidR="000F1E72" w:rsidRPr="009479D5">
        <w:rPr>
          <w:rFonts w:asciiTheme="minorHAnsi" w:hAnsiTheme="minorHAnsi" w:cstheme="minorHAnsi"/>
          <w:szCs w:val="22"/>
        </w:rPr>
        <w:br/>
      </w:r>
    </w:p>
    <w:p w14:paraId="148A46E1" w14:textId="77777777" w:rsidR="000F1E72" w:rsidRPr="000F1E72" w:rsidRDefault="000F1E72" w:rsidP="000F1E72">
      <w:pPr>
        <w:pStyle w:val="ListParagraph"/>
        <w:numPr>
          <w:ilvl w:val="0"/>
          <w:numId w:val="4"/>
        </w:numPr>
        <w:rPr>
          <w:rFonts w:asciiTheme="minorHAnsi" w:hAnsiTheme="minorHAnsi" w:cstheme="minorHAnsi"/>
          <w:szCs w:val="22"/>
          <w:lang w:val="en-US"/>
        </w:rPr>
      </w:pPr>
      <w:r w:rsidRPr="000F1E72">
        <w:rPr>
          <w:rFonts w:asciiTheme="minorHAnsi" w:hAnsiTheme="minorHAnsi" w:cstheme="minorHAnsi"/>
          <w:szCs w:val="22"/>
          <w:lang w:val="en-US"/>
        </w:rPr>
        <w:t>Abortion is a common and essential healthcare procedure. About half of all confirmed pregnancies in Canada are unintended</w:t>
      </w:r>
      <w:r w:rsidRPr="000F1E72">
        <w:rPr>
          <w:rFonts w:asciiTheme="minorHAnsi" w:hAnsiTheme="minorHAnsi" w:cstheme="minorHAnsi"/>
          <w:szCs w:val="22"/>
          <w:vertAlign w:val="superscript"/>
          <w:lang w:val="en-US"/>
        </w:rPr>
        <w:footnoteReference w:id="7"/>
      </w:r>
      <w:r w:rsidRPr="000F1E72">
        <w:rPr>
          <w:rFonts w:asciiTheme="minorHAnsi" w:hAnsiTheme="minorHAnsi" w:cstheme="minorHAnsi"/>
          <w:szCs w:val="22"/>
          <w:lang w:val="en-US"/>
        </w:rPr>
        <w:t xml:space="preserve"> and around one third of people who can become pregnant will have an abortion in their lifetime.</w:t>
      </w:r>
      <w:r w:rsidRPr="000F1E72">
        <w:rPr>
          <w:rFonts w:asciiTheme="minorHAnsi" w:hAnsiTheme="minorHAnsi" w:cstheme="minorHAnsi"/>
          <w:szCs w:val="22"/>
          <w:vertAlign w:val="superscript"/>
          <w:lang w:val="en-US"/>
        </w:rPr>
        <w:footnoteReference w:id="8"/>
      </w:r>
      <w:r w:rsidRPr="000F1E72">
        <w:rPr>
          <w:rFonts w:asciiTheme="minorHAnsi" w:hAnsiTheme="minorHAnsi" w:cstheme="minorHAnsi"/>
          <w:szCs w:val="22"/>
          <w:lang w:val="en-US"/>
        </w:rPr>
        <w:t xml:space="preserve"> Abortion access is a crucial component of a broader sexual and reproductive rights framework, which encompasses “the right to a pleasurable, satisfying and safe sex life free from discrimination, coercion and violence; and the freedom to decide whether, when and how often to reproduce, as well as the right to have the information and means to make this decision.”</w:t>
      </w:r>
      <w:r w:rsidRPr="000F1E72">
        <w:rPr>
          <w:rFonts w:asciiTheme="minorHAnsi" w:hAnsiTheme="minorHAnsi" w:cstheme="minorHAnsi"/>
          <w:szCs w:val="22"/>
          <w:vertAlign w:val="superscript"/>
          <w:lang w:val="en-US"/>
        </w:rPr>
        <w:footnoteReference w:id="9"/>
      </w:r>
      <w:r w:rsidRPr="000F1E72">
        <w:rPr>
          <w:rFonts w:asciiTheme="minorHAnsi" w:hAnsiTheme="minorHAnsi" w:cstheme="minorHAnsi"/>
          <w:szCs w:val="22"/>
          <w:lang w:val="en-US"/>
        </w:rPr>
        <w:t xml:space="preserve"> </w:t>
      </w:r>
    </w:p>
    <w:p w14:paraId="17CDE74E" w14:textId="77777777" w:rsidR="000F1E72" w:rsidRPr="000F1E72" w:rsidRDefault="000F1E72" w:rsidP="000F1E72">
      <w:pPr>
        <w:pStyle w:val="ListParagraph"/>
        <w:rPr>
          <w:rFonts w:asciiTheme="minorHAnsi" w:hAnsiTheme="minorHAnsi" w:cstheme="minorHAnsi"/>
          <w:szCs w:val="22"/>
          <w:lang w:val="en-US"/>
        </w:rPr>
      </w:pPr>
    </w:p>
    <w:p w14:paraId="798D365A" w14:textId="77777777" w:rsidR="006853A7" w:rsidRPr="009479D5" w:rsidRDefault="000F1E72" w:rsidP="00B140D0">
      <w:pPr>
        <w:pStyle w:val="ListParagraph"/>
        <w:numPr>
          <w:ilvl w:val="0"/>
          <w:numId w:val="4"/>
        </w:numPr>
        <w:rPr>
          <w:rFonts w:asciiTheme="minorHAnsi" w:hAnsiTheme="minorHAnsi" w:cstheme="minorHAnsi"/>
          <w:szCs w:val="22"/>
          <w:lang w:val="en-US"/>
        </w:rPr>
      </w:pPr>
      <w:r w:rsidRPr="000F1E72">
        <w:rPr>
          <w:rFonts w:asciiTheme="minorHAnsi" w:hAnsiTheme="minorHAnsi" w:cstheme="minorHAnsi"/>
          <w:szCs w:val="22"/>
          <w:lang w:val="en-US"/>
        </w:rPr>
        <w:t xml:space="preserve">We welcome the advances that </w:t>
      </w:r>
      <w:r w:rsidR="006853A7" w:rsidRPr="009479D5">
        <w:rPr>
          <w:rFonts w:asciiTheme="minorHAnsi" w:hAnsiTheme="minorHAnsi" w:cstheme="minorHAnsi"/>
          <w:szCs w:val="22"/>
          <w:lang w:val="en-US"/>
        </w:rPr>
        <w:t xml:space="preserve">Canada </w:t>
      </w:r>
      <w:r w:rsidRPr="009479D5">
        <w:rPr>
          <w:rFonts w:asciiTheme="minorHAnsi" w:hAnsiTheme="minorHAnsi" w:cstheme="minorHAnsi"/>
          <w:szCs w:val="22"/>
          <w:lang w:val="en-US"/>
        </w:rPr>
        <w:t xml:space="preserve">has </w:t>
      </w:r>
      <w:r w:rsidRPr="000F1E72">
        <w:rPr>
          <w:rFonts w:asciiTheme="minorHAnsi" w:hAnsiTheme="minorHAnsi" w:cstheme="minorHAnsi"/>
          <w:szCs w:val="22"/>
          <w:lang w:val="en-US"/>
        </w:rPr>
        <w:t xml:space="preserve">made </w:t>
      </w:r>
      <w:r w:rsidR="006853A7" w:rsidRPr="009479D5">
        <w:rPr>
          <w:rFonts w:asciiTheme="minorHAnsi" w:hAnsiTheme="minorHAnsi" w:cstheme="minorHAnsi"/>
          <w:szCs w:val="22"/>
          <w:lang w:val="en-US"/>
        </w:rPr>
        <w:t xml:space="preserve">in this area </w:t>
      </w:r>
      <w:r w:rsidRPr="009479D5">
        <w:rPr>
          <w:rFonts w:asciiTheme="minorHAnsi" w:hAnsiTheme="minorHAnsi" w:cstheme="minorHAnsi"/>
          <w:szCs w:val="22"/>
          <w:lang w:val="en-US"/>
        </w:rPr>
        <w:t>over the last six years</w:t>
      </w:r>
      <w:r w:rsidRPr="000F1E72">
        <w:rPr>
          <w:rFonts w:asciiTheme="minorHAnsi" w:hAnsiTheme="minorHAnsi" w:cstheme="minorHAnsi"/>
          <w:szCs w:val="22"/>
          <w:lang w:val="en-US"/>
        </w:rPr>
        <w:t xml:space="preserve"> including vocal leadership on</w:t>
      </w:r>
      <w:r w:rsidRPr="009479D5">
        <w:rPr>
          <w:rFonts w:asciiTheme="minorHAnsi" w:hAnsiTheme="minorHAnsi" w:cstheme="minorHAnsi"/>
          <w:szCs w:val="22"/>
          <w:lang w:val="en-US"/>
        </w:rPr>
        <w:t xml:space="preserve"> sexual and reproductive health and rights, </w:t>
      </w:r>
      <w:r w:rsidRPr="000F1E72">
        <w:rPr>
          <w:rFonts w:asciiTheme="minorHAnsi" w:hAnsiTheme="minorHAnsi" w:cstheme="minorHAnsi"/>
          <w:szCs w:val="22"/>
          <w:lang w:val="en-US"/>
        </w:rPr>
        <w:t>new and expanded funding</w:t>
      </w:r>
      <w:r w:rsidRPr="009479D5">
        <w:rPr>
          <w:rFonts w:asciiTheme="minorHAnsi" w:hAnsiTheme="minorHAnsi" w:cstheme="minorHAnsi"/>
          <w:szCs w:val="22"/>
          <w:lang w:val="en-US"/>
        </w:rPr>
        <w:t xml:space="preserve"> to non-governmental organizations to connect people to </w:t>
      </w:r>
      <w:r w:rsidR="006853A7" w:rsidRPr="009479D5">
        <w:rPr>
          <w:rFonts w:asciiTheme="minorHAnsi" w:hAnsiTheme="minorHAnsi" w:cstheme="minorHAnsi"/>
          <w:szCs w:val="22"/>
          <w:lang w:val="en-US"/>
        </w:rPr>
        <w:t xml:space="preserve">safe </w:t>
      </w:r>
      <w:r w:rsidRPr="009479D5">
        <w:rPr>
          <w:rFonts w:asciiTheme="minorHAnsi" w:hAnsiTheme="minorHAnsi" w:cstheme="minorHAnsi"/>
          <w:szCs w:val="22"/>
          <w:lang w:val="en-US"/>
        </w:rPr>
        <w:t>abortion services</w:t>
      </w:r>
      <w:r w:rsidRPr="000F1E72">
        <w:rPr>
          <w:rFonts w:asciiTheme="minorHAnsi" w:hAnsiTheme="minorHAnsi" w:cstheme="minorHAnsi"/>
          <w:szCs w:val="22"/>
          <w:lang w:val="en-US"/>
        </w:rPr>
        <w:t xml:space="preserve">, and the facilitation of greater access to medication abortion. </w:t>
      </w:r>
      <w:r w:rsidRPr="009479D5">
        <w:rPr>
          <w:rFonts w:asciiTheme="minorHAnsi" w:hAnsiTheme="minorHAnsi" w:cstheme="minorHAnsi"/>
          <w:szCs w:val="22"/>
          <w:lang w:val="en-US"/>
        </w:rPr>
        <w:t>However, a</w:t>
      </w:r>
      <w:r w:rsidRPr="009479D5">
        <w:rPr>
          <w:rFonts w:asciiTheme="minorHAnsi" w:hAnsiTheme="minorHAnsi" w:cstheme="minorHAnsi"/>
          <w:szCs w:val="22"/>
          <w:lang w:val="en-US"/>
        </w:rPr>
        <w:t>lthough abortion is a decriminalized healthcare service</w:t>
      </w:r>
      <w:r w:rsidRPr="009479D5">
        <w:rPr>
          <w:rFonts w:asciiTheme="minorHAnsi" w:hAnsiTheme="minorHAnsi" w:cstheme="minorHAnsi"/>
          <w:szCs w:val="22"/>
          <w:lang w:val="en-US"/>
        </w:rPr>
        <w:t xml:space="preserve"> in Canada</w:t>
      </w:r>
      <w:r w:rsidR="00B140D0" w:rsidRPr="009479D5">
        <w:rPr>
          <w:rFonts w:asciiTheme="minorHAnsi" w:hAnsiTheme="minorHAnsi" w:cstheme="minorHAnsi"/>
          <w:szCs w:val="22"/>
          <w:lang w:val="en-US"/>
        </w:rPr>
        <w:t xml:space="preserve"> and widely supported by the Canadian public</w:t>
      </w:r>
      <w:r w:rsidRPr="009479D5">
        <w:rPr>
          <w:rFonts w:asciiTheme="minorHAnsi" w:hAnsiTheme="minorHAnsi" w:cstheme="minorHAnsi"/>
          <w:szCs w:val="22"/>
          <w:lang w:val="en-US"/>
        </w:rPr>
        <w:t>,</w:t>
      </w:r>
      <w:r w:rsidRPr="009479D5">
        <w:rPr>
          <w:rFonts w:asciiTheme="minorHAnsi" w:hAnsiTheme="minorHAnsi" w:cstheme="minorHAnsi"/>
          <w:szCs w:val="22"/>
          <w:lang w:val="en-US"/>
        </w:rPr>
        <w:t xml:space="preserve"> barriers to access persist as</w:t>
      </w:r>
      <w:r w:rsidRPr="009479D5">
        <w:rPr>
          <w:rFonts w:asciiTheme="minorHAnsi" w:hAnsiTheme="minorHAnsi" w:cstheme="minorHAnsi"/>
          <w:szCs w:val="22"/>
          <w:lang w:val="en-US"/>
        </w:rPr>
        <w:t xml:space="preserve"> many people lack access to the public health system entirely and others face prohibitive barriers to abortion care.</w:t>
      </w:r>
    </w:p>
    <w:p w14:paraId="396B016C" w14:textId="77777777" w:rsidR="006853A7" w:rsidRPr="009479D5" w:rsidRDefault="006853A7" w:rsidP="006853A7">
      <w:pPr>
        <w:pStyle w:val="ListParagraph"/>
        <w:rPr>
          <w:rFonts w:asciiTheme="minorHAnsi" w:hAnsiTheme="minorHAnsi" w:cstheme="minorHAnsi"/>
          <w:szCs w:val="22"/>
        </w:rPr>
      </w:pPr>
    </w:p>
    <w:p w14:paraId="30497293" w14:textId="6B9FF20A" w:rsidR="006853A7" w:rsidRPr="009479D5" w:rsidRDefault="006853A7" w:rsidP="006853A7">
      <w:pPr>
        <w:pStyle w:val="ListParagraph"/>
        <w:numPr>
          <w:ilvl w:val="0"/>
          <w:numId w:val="4"/>
        </w:numPr>
        <w:rPr>
          <w:rFonts w:asciiTheme="minorHAnsi" w:hAnsiTheme="minorHAnsi" w:cstheme="minorHAnsi"/>
          <w:szCs w:val="22"/>
          <w:lang w:val="en-US"/>
        </w:rPr>
      </w:pPr>
      <w:r w:rsidRPr="00B140D0">
        <w:rPr>
          <w:rFonts w:asciiTheme="minorHAnsi" w:hAnsiTheme="minorHAnsi" w:cstheme="minorHAnsi"/>
          <w:bCs/>
          <w:szCs w:val="22"/>
          <w:lang w:val="en-US"/>
        </w:rPr>
        <w:lastRenderedPageBreak/>
        <w:t>Action Canada</w:t>
      </w:r>
      <w:r w:rsidRPr="00B140D0">
        <w:rPr>
          <w:rFonts w:asciiTheme="minorHAnsi" w:hAnsiTheme="minorHAnsi" w:cstheme="minorHAnsi"/>
          <w:b/>
          <w:szCs w:val="22"/>
          <w:lang w:val="en-US"/>
        </w:rPr>
        <w:t xml:space="preserve"> </w:t>
      </w:r>
      <w:r w:rsidRPr="00B140D0">
        <w:rPr>
          <w:rFonts w:asciiTheme="minorHAnsi" w:hAnsiTheme="minorHAnsi" w:cstheme="minorHAnsi"/>
          <w:szCs w:val="22"/>
          <w:lang w:val="en-US"/>
        </w:rPr>
        <w:t>runs the Access Line, a national informational telephone and text service for those seeking information and services related to sexual and reproductive health.  We also manage the Norma Scarborough Emergency Fund (NSEF), which helps people facing financial barriers in accessing abortion. These services provide unique insights into the barriers people face when seeking healthcare information.</w:t>
      </w:r>
      <w:r w:rsidRPr="009479D5">
        <w:rPr>
          <w:rFonts w:asciiTheme="minorHAnsi" w:hAnsiTheme="minorHAnsi" w:cstheme="minorHAnsi"/>
          <w:szCs w:val="22"/>
          <w:lang w:val="en-US"/>
        </w:rPr>
        <w:t xml:space="preserve">  </w:t>
      </w:r>
      <w:r w:rsidRPr="00B140D0">
        <w:rPr>
          <w:rFonts w:asciiTheme="minorHAnsi" w:hAnsiTheme="minorHAnsi" w:cstheme="minorHAnsi"/>
          <w:szCs w:val="22"/>
          <w:lang w:val="en-US"/>
        </w:rPr>
        <w:t>In 2022, the Access Line received an average of 400 calls per month from across Canada, the vast majority of which were related to abortion care. Over 70 percent of callers faced major barriers to abortion, including travel costs, long wait times, precarious housing, immigration status, and intimate partner violence.</w:t>
      </w:r>
      <w:r w:rsidRPr="009479D5">
        <w:rPr>
          <w:rFonts w:asciiTheme="minorHAnsi" w:hAnsiTheme="minorHAnsi" w:cstheme="minorHAnsi"/>
          <w:szCs w:val="22"/>
          <w:lang w:val="en-US"/>
        </w:rPr>
        <w:t xml:space="preserve">  </w:t>
      </w:r>
      <w:r w:rsidRPr="00B140D0">
        <w:rPr>
          <w:rFonts w:asciiTheme="minorHAnsi" w:hAnsiTheme="minorHAnsi" w:cstheme="minorHAnsi"/>
          <w:szCs w:val="22"/>
          <w:lang w:val="en-US"/>
        </w:rPr>
        <w:t>On average, about 40 percent of the people Action Canada supports through our financial assistance program are uninsured.</w:t>
      </w:r>
    </w:p>
    <w:p w14:paraId="25BCCC71" w14:textId="77777777" w:rsidR="006853A7" w:rsidRPr="009479D5" w:rsidRDefault="006853A7" w:rsidP="006853A7">
      <w:pPr>
        <w:pStyle w:val="ListParagraph"/>
        <w:rPr>
          <w:rFonts w:asciiTheme="minorHAnsi" w:hAnsiTheme="minorHAnsi" w:cstheme="minorHAnsi"/>
          <w:szCs w:val="22"/>
          <w:lang w:val="en-US"/>
        </w:rPr>
      </w:pPr>
    </w:p>
    <w:p w14:paraId="5D7A5D15" w14:textId="0FA01FF6" w:rsidR="006973CE" w:rsidRPr="009479D5" w:rsidRDefault="006853A7" w:rsidP="006853A7">
      <w:pPr>
        <w:pStyle w:val="ListParagraph"/>
        <w:numPr>
          <w:ilvl w:val="0"/>
          <w:numId w:val="4"/>
        </w:numPr>
        <w:rPr>
          <w:rFonts w:asciiTheme="minorHAnsi" w:hAnsiTheme="minorHAnsi" w:cstheme="minorHAnsi"/>
          <w:szCs w:val="22"/>
          <w:lang w:val="en-US"/>
        </w:rPr>
      </w:pPr>
      <w:r w:rsidRPr="00B140D0">
        <w:rPr>
          <w:rFonts w:asciiTheme="minorHAnsi" w:hAnsiTheme="minorHAnsi" w:cstheme="minorHAnsi"/>
          <w:szCs w:val="22"/>
          <w:lang w:val="en-US"/>
        </w:rPr>
        <w:t xml:space="preserve">Demand for </w:t>
      </w:r>
      <w:r w:rsidRPr="009479D5">
        <w:rPr>
          <w:rFonts w:asciiTheme="minorHAnsi" w:hAnsiTheme="minorHAnsi" w:cstheme="minorHAnsi"/>
          <w:szCs w:val="22"/>
          <w:lang w:val="en-US"/>
        </w:rPr>
        <w:t xml:space="preserve">our </w:t>
      </w:r>
      <w:r w:rsidRPr="00B140D0">
        <w:rPr>
          <w:rFonts w:asciiTheme="minorHAnsi" w:hAnsiTheme="minorHAnsi" w:cstheme="minorHAnsi"/>
          <w:szCs w:val="22"/>
          <w:lang w:val="en-US"/>
        </w:rPr>
        <w:t xml:space="preserve">services has accelerated, indicating that </w:t>
      </w:r>
      <w:r w:rsidRPr="009479D5">
        <w:rPr>
          <w:rFonts w:asciiTheme="minorHAnsi" w:hAnsiTheme="minorHAnsi" w:cstheme="minorHAnsi"/>
          <w:szCs w:val="22"/>
          <w:lang w:val="en-US"/>
        </w:rPr>
        <w:t xml:space="preserve">civil society </w:t>
      </w:r>
      <w:r w:rsidRPr="00B140D0">
        <w:rPr>
          <w:rFonts w:asciiTheme="minorHAnsi" w:hAnsiTheme="minorHAnsi" w:cstheme="minorHAnsi"/>
          <w:szCs w:val="22"/>
          <w:lang w:val="en-US"/>
        </w:rPr>
        <w:t>organizations are facing increased pressures because of otherwise unmet needs for information and services.</w:t>
      </w:r>
      <w:r w:rsidRPr="00B140D0">
        <w:rPr>
          <w:rFonts w:asciiTheme="minorHAnsi" w:hAnsiTheme="minorHAnsi" w:cstheme="minorHAnsi"/>
          <w:szCs w:val="22"/>
          <w:vertAlign w:val="superscript"/>
          <w:lang w:val="en-US"/>
        </w:rPr>
        <w:footnoteReference w:id="10"/>
      </w:r>
      <w:r w:rsidRPr="00B140D0">
        <w:rPr>
          <w:rFonts w:asciiTheme="minorHAnsi" w:hAnsiTheme="minorHAnsi" w:cstheme="minorHAnsi"/>
          <w:szCs w:val="22"/>
          <w:lang w:val="en-US"/>
        </w:rPr>
        <w:t xml:space="preserve"> In 2022, the Access Line saw an overall 65 percent rise in calls compared to 2021.</w:t>
      </w:r>
      <w:r w:rsidRPr="00B140D0">
        <w:rPr>
          <w:rFonts w:asciiTheme="minorHAnsi" w:hAnsiTheme="minorHAnsi" w:cstheme="minorHAnsi"/>
          <w:szCs w:val="22"/>
          <w:vertAlign w:val="superscript"/>
          <w:lang w:val="en-US"/>
        </w:rPr>
        <w:footnoteReference w:id="11"/>
      </w:r>
      <w:r w:rsidRPr="00B140D0">
        <w:rPr>
          <w:rFonts w:asciiTheme="minorHAnsi" w:hAnsiTheme="minorHAnsi" w:cstheme="minorHAnsi"/>
          <w:szCs w:val="22"/>
          <w:lang w:val="en-US"/>
        </w:rPr>
        <w:t xml:space="preserve"> We have also seen a 181 percent increase in the number of people supported by our fund from 2021 to 2022 and a 300 percent increase in the financial support provided. In 2022, over 45 percent of those receiving our financial and logistical assistance were migrants without documentation or with precarious status.</w:t>
      </w:r>
      <w:r w:rsidRPr="00B140D0">
        <w:rPr>
          <w:rFonts w:asciiTheme="minorHAnsi" w:hAnsiTheme="minorHAnsi" w:cstheme="minorHAnsi"/>
          <w:szCs w:val="22"/>
          <w:vertAlign w:val="superscript"/>
          <w:lang w:val="en-US"/>
        </w:rPr>
        <w:t xml:space="preserve"> </w:t>
      </w:r>
      <w:r w:rsidRPr="00B140D0">
        <w:rPr>
          <w:rFonts w:asciiTheme="minorHAnsi" w:hAnsiTheme="minorHAnsi" w:cstheme="minorHAnsi"/>
          <w:szCs w:val="22"/>
          <w:lang w:val="en-US"/>
        </w:rPr>
        <w:t>During the COVID-19 pandemic, we found that most people who were ultimately unable to access abortion in Canada had precarious immigration status or were undocumented.</w:t>
      </w:r>
      <w:r w:rsidRPr="00B140D0">
        <w:rPr>
          <w:rFonts w:asciiTheme="minorHAnsi" w:hAnsiTheme="minorHAnsi" w:cstheme="minorHAnsi"/>
          <w:szCs w:val="22"/>
          <w:vertAlign w:val="superscript"/>
          <w:lang w:val="en-US"/>
        </w:rPr>
        <w:footnoteReference w:id="12"/>
      </w:r>
      <w:r w:rsidRPr="00B140D0">
        <w:rPr>
          <w:rFonts w:asciiTheme="minorHAnsi" w:hAnsiTheme="minorHAnsi" w:cstheme="minorHAnsi"/>
          <w:szCs w:val="22"/>
          <w:lang w:val="en-US"/>
        </w:rPr>
        <w:t xml:space="preserve"> </w:t>
      </w:r>
      <w:r w:rsidR="006973CE" w:rsidRPr="009479D5">
        <w:rPr>
          <w:rFonts w:asciiTheme="minorHAnsi" w:hAnsiTheme="minorHAnsi" w:cstheme="minorHAnsi"/>
          <w:szCs w:val="22"/>
        </w:rPr>
        <w:br/>
      </w:r>
    </w:p>
    <w:p w14:paraId="0ABC7978" w14:textId="34B4F9AB" w:rsidR="006973CE" w:rsidRPr="009479D5" w:rsidRDefault="006973CE" w:rsidP="006973CE">
      <w:pPr>
        <w:pStyle w:val="ListParagraph"/>
        <w:numPr>
          <w:ilvl w:val="0"/>
          <w:numId w:val="4"/>
        </w:numPr>
        <w:rPr>
          <w:rFonts w:asciiTheme="minorHAnsi" w:hAnsiTheme="minorHAnsi" w:cstheme="minorHAnsi"/>
          <w:szCs w:val="22"/>
        </w:rPr>
      </w:pPr>
      <w:r w:rsidRPr="009479D5">
        <w:rPr>
          <w:rFonts w:asciiTheme="minorHAnsi" w:hAnsiTheme="minorHAnsi" w:cstheme="minorHAnsi"/>
          <w:szCs w:val="22"/>
        </w:rPr>
        <w:t>Across the country, abortions are frequently only available in urban centres, and access is sparse or</w:t>
      </w:r>
      <w:r w:rsidRPr="009479D5">
        <w:rPr>
          <w:rFonts w:asciiTheme="minorHAnsi" w:hAnsiTheme="minorHAnsi" w:cstheme="minorHAnsi"/>
          <w:szCs w:val="22"/>
        </w:rPr>
        <w:t xml:space="preserve"> </w:t>
      </w:r>
      <w:r w:rsidRPr="009479D5">
        <w:rPr>
          <w:rFonts w:asciiTheme="minorHAnsi" w:hAnsiTheme="minorHAnsi" w:cstheme="minorHAnsi"/>
          <w:szCs w:val="22"/>
        </w:rPr>
        <w:t>absent in rural and Northern communities. As gestational terms increase so too do barriers;</w:t>
      </w:r>
      <w:r w:rsidRPr="009479D5">
        <w:rPr>
          <w:rFonts w:asciiTheme="minorHAnsi" w:hAnsiTheme="minorHAnsi" w:cstheme="minorHAnsi"/>
          <w:szCs w:val="22"/>
        </w:rPr>
        <w:t xml:space="preserve"> </w:t>
      </w:r>
      <w:r w:rsidRPr="009479D5">
        <w:rPr>
          <w:rFonts w:asciiTheme="minorHAnsi" w:hAnsiTheme="minorHAnsi" w:cstheme="minorHAnsi"/>
          <w:szCs w:val="22"/>
        </w:rPr>
        <w:t>medical abortion is approved only until nine weeks and in many jurisdictions surgical abortion is</w:t>
      </w:r>
      <w:r w:rsidRPr="009479D5">
        <w:rPr>
          <w:rFonts w:asciiTheme="minorHAnsi" w:hAnsiTheme="minorHAnsi" w:cstheme="minorHAnsi"/>
          <w:szCs w:val="22"/>
        </w:rPr>
        <w:t xml:space="preserve"> </w:t>
      </w:r>
      <w:r w:rsidRPr="009479D5">
        <w:rPr>
          <w:rFonts w:asciiTheme="minorHAnsi" w:hAnsiTheme="minorHAnsi" w:cstheme="minorHAnsi"/>
          <w:szCs w:val="22"/>
        </w:rPr>
        <w:t>only available in limited hospital settings, sometimes only until twelve to thirteen weeks. Very</w:t>
      </w:r>
      <w:r w:rsidRPr="009479D5">
        <w:rPr>
          <w:rFonts w:asciiTheme="minorHAnsi" w:hAnsiTheme="minorHAnsi" w:cstheme="minorHAnsi"/>
          <w:szCs w:val="22"/>
        </w:rPr>
        <w:t xml:space="preserve"> </w:t>
      </w:r>
      <w:r w:rsidRPr="009479D5">
        <w:rPr>
          <w:rFonts w:asciiTheme="minorHAnsi" w:hAnsiTheme="minorHAnsi" w:cstheme="minorHAnsi"/>
          <w:szCs w:val="22"/>
        </w:rPr>
        <w:t>often, people must travel to access abortion, which entails additional expenses related to</w:t>
      </w:r>
      <w:r w:rsidRPr="009479D5">
        <w:rPr>
          <w:rFonts w:asciiTheme="minorHAnsi" w:hAnsiTheme="minorHAnsi" w:cstheme="minorHAnsi"/>
          <w:szCs w:val="22"/>
        </w:rPr>
        <w:t xml:space="preserve"> </w:t>
      </w:r>
      <w:r w:rsidRPr="009479D5">
        <w:rPr>
          <w:rFonts w:asciiTheme="minorHAnsi" w:hAnsiTheme="minorHAnsi" w:cstheme="minorHAnsi"/>
          <w:szCs w:val="22"/>
        </w:rPr>
        <w:t>transportation, accommodation, food, childcare, and lost wages.</w:t>
      </w:r>
      <w:r w:rsidR="000F1E72" w:rsidRPr="009479D5">
        <w:rPr>
          <w:rFonts w:asciiTheme="minorHAnsi" w:hAnsiTheme="minorHAnsi" w:cstheme="minorHAnsi"/>
          <w:szCs w:val="22"/>
        </w:rPr>
        <w:br/>
      </w:r>
    </w:p>
    <w:p w14:paraId="315EE626" w14:textId="77777777" w:rsidR="006853A7" w:rsidRPr="009479D5" w:rsidRDefault="000F1E72" w:rsidP="00B140D0">
      <w:pPr>
        <w:pStyle w:val="ListParagraph"/>
        <w:numPr>
          <w:ilvl w:val="0"/>
          <w:numId w:val="4"/>
        </w:numPr>
        <w:rPr>
          <w:rFonts w:asciiTheme="minorHAnsi" w:hAnsiTheme="minorHAnsi" w:cstheme="minorHAnsi"/>
          <w:szCs w:val="22"/>
          <w:lang w:val="en-US"/>
        </w:rPr>
      </w:pPr>
      <w:r w:rsidRPr="000F1E72">
        <w:rPr>
          <w:rFonts w:asciiTheme="minorHAnsi" w:hAnsiTheme="minorHAnsi" w:cstheme="minorHAnsi"/>
          <w:szCs w:val="22"/>
          <w:lang w:val="en-US"/>
        </w:rPr>
        <w:t>Costs associated with accessing care can inhibit access, especially for those who are “uninsured.” Residents must register with the healthcare insurance plan in their province, but the criteria of residency and requirements for coverage vary. Recent immigrants, undocumented migrants, and international students are frequently ineligible for these plans. Those without active health cards in their province of residence, which can include people experiencing homelessness or intimate partner violence, are eligible but may face difficulties registering or be turned away from services. For people experiencing homelessness, lack of a health card or other identification is often cited as the largest barrier to care.</w:t>
      </w:r>
      <w:r w:rsidRPr="000F1E72">
        <w:rPr>
          <w:rFonts w:asciiTheme="minorHAnsi" w:hAnsiTheme="minorHAnsi" w:cstheme="minorHAnsi"/>
          <w:szCs w:val="22"/>
          <w:vertAlign w:val="superscript"/>
          <w:lang w:val="en-US"/>
        </w:rPr>
        <w:footnoteReference w:id="13"/>
      </w:r>
      <w:r w:rsidRPr="000F1E72">
        <w:rPr>
          <w:rFonts w:asciiTheme="minorHAnsi" w:hAnsiTheme="minorHAnsi" w:cstheme="minorHAnsi"/>
          <w:szCs w:val="22"/>
          <w:lang w:val="en-US"/>
        </w:rPr>
        <w:t xml:space="preserve"> For those without access to the public health system, who disproportionately already experience financial strain, out-of-pocket procedure costs alone can vary from CAD 500 to 3200. This often culminates in prohibitive financial hardship</w:t>
      </w:r>
      <w:r w:rsidR="00B140D0" w:rsidRPr="009479D5">
        <w:rPr>
          <w:rFonts w:asciiTheme="minorHAnsi" w:hAnsiTheme="minorHAnsi" w:cstheme="minorHAnsi"/>
          <w:szCs w:val="22"/>
          <w:lang w:val="en-US"/>
        </w:rPr>
        <w:t xml:space="preserve"> in contravention of the right to health as well as the principles of universal health coverage.  </w:t>
      </w:r>
    </w:p>
    <w:p w14:paraId="31DE9078" w14:textId="77777777" w:rsidR="00B140D0" w:rsidRPr="00B140D0" w:rsidRDefault="00B140D0" w:rsidP="006853A7">
      <w:pPr>
        <w:pStyle w:val="ListParagraph"/>
        <w:rPr>
          <w:rFonts w:asciiTheme="minorHAnsi" w:hAnsiTheme="minorHAnsi" w:cstheme="minorHAnsi"/>
          <w:szCs w:val="22"/>
          <w:lang w:val="en-US"/>
        </w:rPr>
      </w:pPr>
    </w:p>
    <w:p w14:paraId="7A796058" w14:textId="3851B802" w:rsidR="00B140D0" w:rsidRPr="009479D5" w:rsidRDefault="00B140D0" w:rsidP="00F8604F">
      <w:pPr>
        <w:pStyle w:val="ListParagraph"/>
        <w:numPr>
          <w:ilvl w:val="0"/>
          <w:numId w:val="4"/>
        </w:numPr>
        <w:rPr>
          <w:rFonts w:asciiTheme="minorHAnsi" w:hAnsiTheme="minorHAnsi" w:cstheme="minorHAnsi"/>
          <w:szCs w:val="22"/>
          <w:lang w:val="en-US"/>
        </w:rPr>
      </w:pPr>
      <w:r w:rsidRPr="00B140D0">
        <w:rPr>
          <w:rFonts w:asciiTheme="minorHAnsi" w:hAnsiTheme="minorHAnsi" w:cstheme="minorHAnsi"/>
          <w:szCs w:val="22"/>
          <w:lang w:val="en-US"/>
        </w:rPr>
        <w:lastRenderedPageBreak/>
        <w:t xml:space="preserve">While the experience of accessing healthcare in Canada for migrants is varied, many experience generalized precarity rooted in their migration status and poor </w:t>
      </w:r>
      <w:proofErr w:type="spellStart"/>
      <w:r w:rsidRPr="00B140D0">
        <w:rPr>
          <w:rFonts w:asciiTheme="minorHAnsi" w:hAnsiTheme="minorHAnsi" w:cstheme="minorHAnsi"/>
          <w:szCs w:val="22"/>
          <w:lang w:val="en-US"/>
        </w:rPr>
        <w:t>labour</w:t>
      </w:r>
      <w:proofErr w:type="spellEnd"/>
      <w:r w:rsidRPr="00B140D0">
        <w:rPr>
          <w:rFonts w:asciiTheme="minorHAnsi" w:hAnsiTheme="minorHAnsi" w:cstheme="minorHAnsi"/>
          <w:szCs w:val="22"/>
          <w:lang w:val="en-US"/>
        </w:rPr>
        <w:t xml:space="preserve"> protections. They face intensified barriers related to their exclusion from the public health system, economic marginalization, lack of independent access to transportation or other material supports, lack of accessible information, and the isolated contexts in which many live and work. These barriers intersect with and amplify one another and are further aggravated by racism and xenophobia “embedded in countries’ immigration laws, policies, institutions and practices, which often subject migrants to dangerous conditions or impose obstacles to health services and resources.”</w:t>
      </w:r>
      <w:r w:rsidRPr="00B140D0">
        <w:rPr>
          <w:rFonts w:asciiTheme="minorHAnsi" w:hAnsiTheme="minorHAnsi" w:cstheme="minorHAnsi"/>
          <w:szCs w:val="22"/>
          <w:vertAlign w:val="superscript"/>
          <w:lang w:val="en-US"/>
        </w:rPr>
        <w:footnoteReference w:id="14"/>
      </w:r>
      <w:r w:rsidRPr="00B140D0">
        <w:rPr>
          <w:rFonts w:asciiTheme="minorHAnsi" w:hAnsiTheme="minorHAnsi" w:cstheme="minorHAnsi"/>
          <w:szCs w:val="22"/>
          <w:lang w:val="en-US"/>
        </w:rPr>
        <w:t xml:space="preserve"> </w:t>
      </w:r>
      <w:r w:rsidRPr="009479D5">
        <w:rPr>
          <w:rFonts w:asciiTheme="minorHAnsi" w:hAnsiTheme="minorHAnsi" w:cstheme="minorHAnsi"/>
          <w:szCs w:val="22"/>
          <w:lang w:val="en-US"/>
        </w:rPr>
        <w:br/>
      </w:r>
    </w:p>
    <w:p w14:paraId="64C50BF6" w14:textId="2BA6279F" w:rsidR="00F8604F" w:rsidRPr="009479D5" w:rsidRDefault="00F8604F" w:rsidP="00F8604F">
      <w:pPr>
        <w:pStyle w:val="ListParagraph"/>
        <w:numPr>
          <w:ilvl w:val="0"/>
          <w:numId w:val="4"/>
        </w:numPr>
        <w:rPr>
          <w:rFonts w:asciiTheme="minorHAnsi" w:hAnsiTheme="minorHAnsi" w:cstheme="minorHAnsi"/>
          <w:b/>
          <w:bCs/>
          <w:szCs w:val="22"/>
          <w:lang w:val="en-US"/>
        </w:rPr>
      </w:pPr>
      <w:r w:rsidRPr="009479D5">
        <w:rPr>
          <w:rFonts w:asciiTheme="minorHAnsi" w:hAnsiTheme="minorHAnsi" w:cstheme="minorHAnsi"/>
          <w:b/>
          <w:bCs/>
          <w:szCs w:val="22"/>
          <w:lang w:val="en-US"/>
        </w:rPr>
        <w:t>Recommendations</w:t>
      </w:r>
    </w:p>
    <w:p w14:paraId="6187BA54" w14:textId="4551DD8C" w:rsidR="00F8604F" w:rsidRPr="009479D5" w:rsidRDefault="00F8604F" w:rsidP="00F8604F">
      <w:pPr>
        <w:pStyle w:val="ListParagraph"/>
        <w:numPr>
          <w:ilvl w:val="1"/>
          <w:numId w:val="4"/>
        </w:numPr>
        <w:rPr>
          <w:rFonts w:asciiTheme="minorHAnsi" w:hAnsiTheme="minorHAnsi" w:cstheme="minorHAnsi"/>
          <w:b/>
          <w:bCs/>
          <w:szCs w:val="22"/>
          <w:lang w:val="en-US"/>
        </w:rPr>
      </w:pPr>
      <w:r w:rsidRPr="009479D5">
        <w:rPr>
          <w:rFonts w:asciiTheme="minorHAnsi" w:hAnsiTheme="minorHAnsi" w:cstheme="minorHAnsi"/>
          <w:b/>
          <w:bCs/>
          <w:szCs w:val="22"/>
          <w:lang w:val="en-US"/>
        </w:rPr>
        <w:t xml:space="preserve">All Jurisdictions: </w:t>
      </w:r>
      <w:r w:rsidRPr="009479D5">
        <w:rPr>
          <w:rFonts w:asciiTheme="minorHAnsi" w:hAnsiTheme="minorHAnsi" w:cstheme="minorHAnsi"/>
          <w:b/>
          <w:bCs/>
          <w:szCs w:val="22"/>
          <w:lang w:val="en-US"/>
        </w:rPr>
        <w:t xml:space="preserve">Recognizing that people in Canada experiencing intersectional forms of discrimination have the least access to abortion care, </w:t>
      </w:r>
      <w:r w:rsidRPr="009479D5">
        <w:rPr>
          <w:rFonts w:asciiTheme="minorHAnsi" w:hAnsiTheme="minorHAnsi" w:cstheme="minorHAnsi"/>
          <w:b/>
          <w:bCs/>
          <w:szCs w:val="22"/>
          <w:lang w:val="en-US"/>
        </w:rPr>
        <w:t xml:space="preserve">all jurisdictions in Canada must turn their efforts towards </w:t>
      </w:r>
      <w:r w:rsidRPr="000F1E72">
        <w:rPr>
          <w:rFonts w:asciiTheme="minorHAnsi" w:hAnsiTheme="minorHAnsi" w:cstheme="minorHAnsi"/>
          <w:b/>
          <w:bCs/>
          <w:szCs w:val="22"/>
          <w:lang w:val="en-US"/>
        </w:rPr>
        <w:t>establish</w:t>
      </w:r>
      <w:r w:rsidRPr="009479D5">
        <w:rPr>
          <w:rFonts w:asciiTheme="minorHAnsi" w:hAnsiTheme="minorHAnsi" w:cstheme="minorHAnsi"/>
          <w:b/>
          <w:bCs/>
          <w:szCs w:val="22"/>
          <w:lang w:val="en-US"/>
        </w:rPr>
        <w:t>ing</w:t>
      </w:r>
      <w:r w:rsidRPr="000F1E72">
        <w:rPr>
          <w:rFonts w:asciiTheme="minorHAnsi" w:hAnsiTheme="minorHAnsi" w:cstheme="minorHAnsi"/>
          <w:b/>
          <w:bCs/>
          <w:szCs w:val="22"/>
          <w:lang w:val="en-US"/>
        </w:rPr>
        <w:t xml:space="preserve"> low-barrier pathways to abortion care. </w:t>
      </w:r>
    </w:p>
    <w:p w14:paraId="5E4004E2" w14:textId="137F41FD" w:rsidR="00F8604F" w:rsidRPr="009479D5" w:rsidRDefault="00F8604F" w:rsidP="00F8604F">
      <w:pPr>
        <w:pStyle w:val="ListParagraph"/>
        <w:numPr>
          <w:ilvl w:val="1"/>
          <w:numId w:val="4"/>
        </w:numPr>
        <w:rPr>
          <w:rFonts w:asciiTheme="minorHAnsi" w:hAnsiTheme="minorHAnsi" w:cstheme="minorHAnsi"/>
          <w:b/>
          <w:bCs/>
          <w:szCs w:val="22"/>
          <w:lang w:val="en-US"/>
        </w:rPr>
      </w:pPr>
      <w:r w:rsidRPr="009479D5">
        <w:rPr>
          <w:rFonts w:asciiTheme="minorHAnsi" w:hAnsiTheme="minorHAnsi" w:cstheme="minorHAnsi"/>
          <w:b/>
          <w:bCs/>
          <w:szCs w:val="22"/>
          <w:lang w:val="en-US"/>
        </w:rPr>
        <w:t xml:space="preserve">Federal Government: Provide resources for research on the reproductive health needs and experiences of people who face intensified systemic barriers.  </w:t>
      </w:r>
      <w:r w:rsidRPr="000F1E72">
        <w:rPr>
          <w:rFonts w:asciiTheme="minorHAnsi" w:hAnsiTheme="minorHAnsi" w:cstheme="minorHAnsi"/>
          <w:b/>
          <w:bCs/>
          <w:szCs w:val="22"/>
          <w:lang w:val="en-US"/>
        </w:rPr>
        <w:t>This is vital to inform effective resourcing, planning, and service delivery by healthcare and civil society organizations</w:t>
      </w:r>
      <w:r w:rsidRPr="009479D5">
        <w:rPr>
          <w:rFonts w:asciiTheme="minorHAnsi" w:hAnsiTheme="minorHAnsi" w:cstheme="minorHAnsi"/>
          <w:b/>
          <w:bCs/>
          <w:szCs w:val="22"/>
          <w:lang w:val="en-US"/>
        </w:rPr>
        <w:t xml:space="preserve"> and ensuring</w:t>
      </w:r>
      <w:r w:rsidR="0036709B" w:rsidRPr="009479D5">
        <w:rPr>
          <w:rFonts w:asciiTheme="minorHAnsi" w:hAnsiTheme="minorHAnsi" w:cstheme="minorHAnsi"/>
          <w:b/>
          <w:bCs/>
          <w:szCs w:val="22"/>
          <w:lang w:val="en-US"/>
        </w:rPr>
        <w:t xml:space="preserve"> </w:t>
      </w:r>
      <w:r w:rsidRPr="009479D5">
        <w:rPr>
          <w:rFonts w:asciiTheme="minorHAnsi" w:hAnsiTheme="minorHAnsi" w:cstheme="minorHAnsi"/>
          <w:b/>
          <w:bCs/>
          <w:szCs w:val="22"/>
          <w:lang w:val="en-US"/>
        </w:rPr>
        <w:t xml:space="preserve">equitable access. </w:t>
      </w:r>
    </w:p>
    <w:p w14:paraId="01E644C8" w14:textId="77777777" w:rsidR="0036709B" w:rsidRPr="009479D5" w:rsidRDefault="00F8604F" w:rsidP="0036709B">
      <w:pPr>
        <w:pStyle w:val="ListParagraph"/>
        <w:numPr>
          <w:ilvl w:val="1"/>
          <w:numId w:val="4"/>
        </w:numPr>
        <w:rPr>
          <w:rFonts w:asciiTheme="minorHAnsi" w:hAnsiTheme="minorHAnsi" w:cstheme="minorHAnsi"/>
          <w:b/>
          <w:bCs/>
          <w:szCs w:val="22"/>
          <w:lang w:val="en-US"/>
        </w:rPr>
      </w:pPr>
      <w:r w:rsidRPr="009479D5">
        <w:rPr>
          <w:rFonts w:asciiTheme="minorHAnsi" w:hAnsiTheme="minorHAnsi" w:cstheme="minorHAnsi"/>
          <w:b/>
          <w:bCs/>
          <w:szCs w:val="22"/>
          <w:lang w:val="en-US"/>
        </w:rPr>
        <w:t xml:space="preserve">Federal Government: </w:t>
      </w:r>
      <w:r w:rsidR="0036709B" w:rsidRPr="009479D5">
        <w:rPr>
          <w:rFonts w:asciiTheme="minorHAnsi" w:hAnsiTheme="minorHAnsi" w:cstheme="minorHAnsi"/>
          <w:b/>
          <w:bCs/>
          <w:szCs w:val="22"/>
          <w:lang w:val="en-US"/>
        </w:rPr>
        <w:t>Make permanent and increase resources to Health Canada’s Sexual and Reproductive Health Fund to address barriers to access and provide essential core funding to civil society organizations.</w:t>
      </w:r>
    </w:p>
    <w:p w14:paraId="79E95EA1" w14:textId="581A52EF" w:rsidR="0036709B" w:rsidRPr="0036709B" w:rsidRDefault="0036709B" w:rsidP="0036709B">
      <w:pPr>
        <w:pStyle w:val="ListParagraph"/>
        <w:numPr>
          <w:ilvl w:val="1"/>
          <w:numId w:val="4"/>
        </w:numPr>
        <w:rPr>
          <w:rFonts w:asciiTheme="minorHAnsi" w:hAnsiTheme="minorHAnsi" w:cstheme="minorHAnsi"/>
          <w:b/>
          <w:bCs/>
          <w:szCs w:val="22"/>
          <w:lang w:val="en-US"/>
        </w:rPr>
      </w:pPr>
      <w:r w:rsidRPr="009479D5">
        <w:rPr>
          <w:rFonts w:asciiTheme="minorHAnsi" w:hAnsiTheme="minorHAnsi" w:cstheme="minorHAnsi"/>
          <w:b/>
          <w:bCs/>
          <w:szCs w:val="22"/>
          <w:lang w:val="en-US"/>
        </w:rPr>
        <w:t xml:space="preserve">Federal Government: </w:t>
      </w:r>
      <w:r w:rsidRPr="0036709B">
        <w:rPr>
          <w:rFonts w:asciiTheme="minorHAnsi" w:hAnsiTheme="minorHAnsi" w:cstheme="minorHAnsi"/>
          <w:b/>
          <w:bCs/>
          <w:szCs w:val="22"/>
          <w:lang w:val="en-US"/>
        </w:rPr>
        <w:t xml:space="preserve">Strengthen compliance with the Canada Health Act by establishing benchmarks for the availability and accessibility </w:t>
      </w:r>
      <w:proofErr w:type="gramStart"/>
      <w:r w:rsidRPr="0036709B">
        <w:rPr>
          <w:rFonts w:asciiTheme="minorHAnsi" w:hAnsiTheme="minorHAnsi" w:cstheme="minorHAnsi"/>
          <w:b/>
          <w:bCs/>
          <w:szCs w:val="22"/>
          <w:lang w:val="en-US"/>
        </w:rPr>
        <w:t>of  abortion</w:t>
      </w:r>
      <w:proofErr w:type="gramEnd"/>
      <w:r w:rsidRPr="0036709B">
        <w:rPr>
          <w:rFonts w:asciiTheme="minorHAnsi" w:hAnsiTheme="minorHAnsi" w:cstheme="minorHAnsi"/>
          <w:b/>
          <w:bCs/>
          <w:szCs w:val="22"/>
          <w:lang w:val="en-US"/>
        </w:rPr>
        <w:t xml:space="preserve"> care through the public health system, and holding provinces to account.</w:t>
      </w:r>
    </w:p>
    <w:p w14:paraId="08E04C9E" w14:textId="1262BC18" w:rsidR="0036709B" w:rsidRPr="0036709B" w:rsidRDefault="0036709B" w:rsidP="0036709B">
      <w:pPr>
        <w:pStyle w:val="ListParagraph"/>
        <w:numPr>
          <w:ilvl w:val="1"/>
          <w:numId w:val="4"/>
        </w:numPr>
        <w:rPr>
          <w:rFonts w:asciiTheme="minorHAnsi" w:hAnsiTheme="minorHAnsi" w:cstheme="minorHAnsi"/>
          <w:b/>
          <w:bCs/>
          <w:szCs w:val="22"/>
          <w:lang w:val="en-US"/>
        </w:rPr>
      </w:pPr>
      <w:r w:rsidRPr="009479D5">
        <w:rPr>
          <w:rFonts w:asciiTheme="minorHAnsi" w:hAnsiTheme="minorHAnsi" w:cstheme="minorHAnsi"/>
          <w:b/>
          <w:bCs/>
          <w:szCs w:val="22"/>
          <w:lang w:val="en-US"/>
        </w:rPr>
        <w:t>Federal Government:</w:t>
      </w:r>
      <w:r w:rsidRPr="009479D5">
        <w:rPr>
          <w:rFonts w:asciiTheme="minorHAnsi" w:hAnsiTheme="minorHAnsi" w:cstheme="minorHAnsi"/>
          <w:b/>
          <w:bCs/>
          <w:szCs w:val="22"/>
          <w:lang w:val="en-US"/>
        </w:rPr>
        <w:t xml:space="preserve"> </w:t>
      </w:r>
      <w:r w:rsidRPr="0036709B">
        <w:rPr>
          <w:rFonts w:asciiTheme="minorHAnsi" w:hAnsiTheme="minorHAnsi" w:cstheme="minorHAnsi"/>
          <w:b/>
          <w:bCs/>
          <w:szCs w:val="22"/>
          <w:lang w:val="en-US"/>
        </w:rPr>
        <w:t xml:space="preserve">Increase Federal Health Transfers with ties to the expansion of reproductive and sexual health services, with emphasis on facilitating equal access to abortion, across the country. </w:t>
      </w:r>
    </w:p>
    <w:p w14:paraId="7C51B95D" w14:textId="77777777" w:rsidR="0036709B" w:rsidRPr="0036709B" w:rsidRDefault="0036709B" w:rsidP="0036709B">
      <w:pPr>
        <w:pStyle w:val="ListParagraph"/>
        <w:ind w:left="1440"/>
        <w:rPr>
          <w:rFonts w:asciiTheme="minorHAnsi" w:hAnsiTheme="minorHAnsi" w:cstheme="minorHAnsi"/>
          <w:b/>
          <w:bCs/>
          <w:szCs w:val="22"/>
          <w:lang w:val="en-US"/>
        </w:rPr>
      </w:pPr>
      <w:r w:rsidRPr="0036709B">
        <w:rPr>
          <w:rFonts w:asciiTheme="minorHAnsi" w:hAnsiTheme="minorHAnsi" w:cstheme="minorHAnsi"/>
          <w:b/>
          <w:bCs/>
          <w:szCs w:val="22"/>
          <w:lang w:val="en-US"/>
        </w:rPr>
        <w:t>Guarantee the provision of healthcare to undocumented people and migrant workers through a no-exclusions regularization program granting full and permanent immigration status.</w:t>
      </w:r>
    </w:p>
    <w:p w14:paraId="28385BBD" w14:textId="1FE7F2D6" w:rsidR="00F8604F" w:rsidRPr="009479D5" w:rsidRDefault="00F8604F" w:rsidP="0036709B">
      <w:pPr>
        <w:pStyle w:val="ListParagraph"/>
        <w:ind w:left="1440"/>
        <w:rPr>
          <w:rFonts w:asciiTheme="minorHAnsi" w:hAnsiTheme="minorHAnsi" w:cstheme="minorHAnsi"/>
          <w:b/>
          <w:bCs/>
          <w:szCs w:val="22"/>
          <w:lang w:val="en-US"/>
        </w:rPr>
      </w:pPr>
    </w:p>
    <w:p w14:paraId="6EFD64CD" w14:textId="77777777" w:rsidR="00F8604F" w:rsidRPr="009479D5" w:rsidRDefault="00F8604F" w:rsidP="00F8604F">
      <w:pPr>
        <w:rPr>
          <w:rFonts w:asciiTheme="minorHAnsi" w:hAnsiTheme="minorHAnsi" w:cstheme="minorHAnsi"/>
          <w:b/>
          <w:bCs/>
          <w:szCs w:val="22"/>
          <w:lang w:val="en-US"/>
        </w:rPr>
      </w:pPr>
    </w:p>
    <w:p w14:paraId="7108DD47" w14:textId="77777777" w:rsidR="003B2EE7" w:rsidRPr="009479D5" w:rsidRDefault="003B2EE7" w:rsidP="003B2EE7">
      <w:pPr>
        <w:pStyle w:val="ListParagraph"/>
        <w:rPr>
          <w:rFonts w:asciiTheme="minorHAnsi" w:hAnsiTheme="minorHAnsi" w:cstheme="minorHAnsi"/>
          <w:szCs w:val="22"/>
        </w:rPr>
      </w:pPr>
    </w:p>
    <w:p w14:paraId="6C182B17" w14:textId="77777777" w:rsidR="00001881" w:rsidRPr="009479D5" w:rsidRDefault="00001881" w:rsidP="00001881">
      <w:pPr>
        <w:pStyle w:val="ListParagraph"/>
        <w:rPr>
          <w:rFonts w:asciiTheme="minorHAnsi" w:hAnsiTheme="minorHAnsi" w:cstheme="minorHAnsi"/>
          <w:szCs w:val="22"/>
        </w:rPr>
      </w:pPr>
    </w:p>
    <w:p w14:paraId="033E4520" w14:textId="2D2CC49E" w:rsidR="0013228E" w:rsidRPr="009479D5" w:rsidRDefault="0013228E" w:rsidP="0013228E">
      <w:pPr>
        <w:rPr>
          <w:rFonts w:asciiTheme="minorHAnsi" w:hAnsiTheme="minorHAnsi" w:cstheme="minorHAnsi"/>
          <w:szCs w:val="22"/>
        </w:rPr>
      </w:pPr>
    </w:p>
    <w:p w14:paraId="24C4F70A" w14:textId="6E7C0463" w:rsidR="0013228E" w:rsidRPr="009479D5" w:rsidRDefault="0013228E" w:rsidP="0013228E">
      <w:pPr>
        <w:rPr>
          <w:rFonts w:asciiTheme="minorHAnsi" w:hAnsiTheme="minorHAnsi" w:cstheme="minorHAnsi"/>
          <w:szCs w:val="22"/>
        </w:rPr>
      </w:pPr>
    </w:p>
    <w:p w14:paraId="1D33F531" w14:textId="6CE7BC63" w:rsidR="0013228E" w:rsidRPr="009479D5" w:rsidRDefault="0013228E" w:rsidP="0013228E">
      <w:pPr>
        <w:rPr>
          <w:rFonts w:asciiTheme="minorHAnsi" w:hAnsiTheme="minorHAnsi" w:cstheme="minorHAnsi"/>
          <w:szCs w:val="22"/>
        </w:rPr>
      </w:pPr>
    </w:p>
    <w:p w14:paraId="3A3AD429" w14:textId="77777777" w:rsidR="006853A7" w:rsidRPr="009479D5" w:rsidRDefault="006853A7" w:rsidP="0013228E">
      <w:pPr>
        <w:rPr>
          <w:rFonts w:asciiTheme="minorHAnsi" w:hAnsiTheme="minorHAnsi" w:cstheme="minorHAnsi"/>
          <w:szCs w:val="22"/>
        </w:rPr>
      </w:pPr>
    </w:p>
    <w:sectPr w:rsidR="006853A7" w:rsidRPr="009479D5" w:rsidSect="000028EE">
      <w:footerReference w:type="default" r:id="rId10"/>
      <w:pgSz w:w="12240" w:h="15840"/>
      <w:pgMar w:top="720"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8EA77" w14:textId="77777777" w:rsidR="00982D42" w:rsidRDefault="00982D42" w:rsidP="00C57DE5">
      <w:pPr>
        <w:spacing w:after="0" w:line="240" w:lineRule="auto"/>
      </w:pPr>
      <w:r>
        <w:separator/>
      </w:r>
    </w:p>
  </w:endnote>
  <w:endnote w:type="continuationSeparator" w:id="0">
    <w:p w14:paraId="586351DB" w14:textId="77777777" w:rsidR="00982D42" w:rsidRDefault="00982D42" w:rsidP="00C5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dobe garamond">
    <w:altName w:val="Cambria"/>
    <w:panose1 w:val="020B0604020202020204"/>
    <w:charset w:val="00"/>
    <w:family w:val="roman"/>
    <w:notTrueType/>
    <w:pitch w:val="default"/>
  </w:font>
  <w:font w:name="Adobe Garamond Pro">
    <w:altName w:val="Garamond"/>
    <w:panose1 w:val="020B0604020202020204"/>
    <w:charset w:val="00"/>
    <w:family w:val="roma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Gotham Rounded Bold">
    <w:altName w:val="Calibri"/>
    <w:panose1 w:val="020B0604020202020204"/>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EB Garamond">
    <w:panose1 w:val="00000500000000000000"/>
    <w:charset w:val="00"/>
    <w:family w:val="auto"/>
    <w:pitch w:val="variable"/>
    <w:sig w:usb0="E00002FF" w:usb1="020004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56274" w14:textId="60C0250B" w:rsidR="00A07EE1" w:rsidRDefault="00A07EE1">
    <w:pPr>
      <w:pStyle w:val="Footer"/>
      <w:pBdr>
        <w:top w:val="single" w:sz="4" w:space="1" w:color="D9D9D9" w:themeColor="background1" w:themeShade="D9"/>
      </w:pBdr>
      <w:jc w:val="right"/>
    </w:pPr>
    <w:r>
      <w:rPr>
        <w:noProof/>
        <w:color w:val="7F7F7F" w:themeColor="background1" w:themeShade="7F"/>
        <w:spacing w:val="60"/>
        <w:lang w:eastAsia="en-CA"/>
      </w:rPr>
      <w:drawing>
        <wp:anchor distT="0" distB="0" distL="114300" distR="114300" simplePos="0" relativeHeight="251658240" behindDoc="0" locked="0" layoutInCell="1" allowOverlap="1" wp14:anchorId="0F1088C6" wp14:editId="152FED44">
          <wp:simplePos x="0" y="0"/>
          <wp:positionH relativeFrom="margin">
            <wp:posOffset>0</wp:posOffset>
          </wp:positionH>
          <wp:positionV relativeFrom="paragraph">
            <wp:posOffset>118257</wp:posOffset>
          </wp:positionV>
          <wp:extent cx="357505" cy="357505"/>
          <wp:effectExtent l="0" t="0" r="4445" b="4445"/>
          <wp:wrapNone/>
          <wp:docPr id="5" name="Picture 5" descr="C:\Users\Ani\AppData\Local\Microsoft\Windows\INetCache\Content.Word\ava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i\AppData\Local\Microsoft\Windows\INetCache\Content.Word\avata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22ADBE" w14:textId="39E351A6" w:rsidR="00A07EE1" w:rsidRDefault="00000000">
    <w:pPr>
      <w:pStyle w:val="Footer"/>
      <w:pBdr>
        <w:top w:val="single" w:sz="4" w:space="1" w:color="D9D9D9" w:themeColor="background1" w:themeShade="D9"/>
      </w:pBdr>
      <w:jc w:val="right"/>
    </w:pPr>
    <w:sdt>
      <w:sdtPr>
        <w:id w:val="1974944597"/>
        <w:docPartObj>
          <w:docPartGallery w:val="Page Numbers (Bottom of Page)"/>
          <w:docPartUnique/>
        </w:docPartObj>
      </w:sdtPr>
      <w:sdtEndPr>
        <w:rPr>
          <w:color w:val="7F7F7F" w:themeColor="background1" w:themeShade="7F"/>
          <w:spacing w:val="60"/>
        </w:rPr>
      </w:sdtEndPr>
      <w:sdtContent>
        <w:r w:rsidR="00A07EE1" w:rsidRPr="00306D4F">
          <w:rPr>
            <w:color w:val="E26F54"/>
          </w:rPr>
          <w:fldChar w:fldCharType="begin"/>
        </w:r>
        <w:r w:rsidR="00A07EE1" w:rsidRPr="00306D4F">
          <w:rPr>
            <w:color w:val="E26F54"/>
          </w:rPr>
          <w:instrText xml:space="preserve"> PAGE   \* MERGEFORMAT </w:instrText>
        </w:r>
        <w:r w:rsidR="00A07EE1" w:rsidRPr="00306D4F">
          <w:rPr>
            <w:color w:val="E26F54"/>
          </w:rPr>
          <w:fldChar w:fldCharType="separate"/>
        </w:r>
        <w:r w:rsidR="00A07EE1">
          <w:rPr>
            <w:noProof/>
            <w:color w:val="E26F54"/>
          </w:rPr>
          <w:t>8</w:t>
        </w:r>
        <w:r w:rsidR="00A07EE1" w:rsidRPr="00306D4F">
          <w:rPr>
            <w:noProof/>
            <w:color w:val="E26F54"/>
          </w:rPr>
          <w:fldChar w:fldCharType="end"/>
        </w:r>
        <w:r w:rsidR="00A07EE1" w:rsidRPr="00306D4F">
          <w:rPr>
            <w:color w:val="E26F54"/>
          </w:rPr>
          <w:t xml:space="preserve"> | </w:t>
        </w:r>
        <w:r w:rsidR="00A07EE1">
          <w:rPr>
            <w:color w:val="7F7F7F" w:themeColor="background1" w:themeShade="7F"/>
            <w:spacing w:val="60"/>
          </w:rPr>
          <w:t>Page</w:t>
        </w:r>
      </w:sdtContent>
    </w:sdt>
  </w:p>
  <w:p w14:paraId="516DAB6F" w14:textId="25041411" w:rsidR="00A07EE1" w:rsidRDefault="00A07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DE3D3" w14:textId="77777777" w:rsidR="00982D42" w:rsidRDefault="00982D42" w:rsidP="00C57DE5">
      <w:pPr>
        <w:spacing w:after="0" w:line="240" w:lineRule="auto"/>
      </w:pPr>
      <w:r>
        <w:separator/>
      </w:r>
    </w:p>
  </w:footnote>
  <w:footnote w:type="continuationSeparator" w:id="0">
    <w:p w14:paraId="3C7C283D" w14:textId="77777777" w:rsidR="00982D42" w:rsidRDefault="00982D42" w:rsidP="00C57DE5">
      <w:pPr>
        <w:spacing w:after="0" w:line="240" w:lineRule="auto"/>
      </w:pPr>
      <w:r>
        <w:continuationSeparator/>
      </w:r>
    </w:p>
  </w:footnote>
  <w:footnote w:id="1">
    <w:p w14:paraId="400810A7" w14:textId="13CBA6E1" w:rsidR="0015565E" w:rsidRPr="00F8604F" w:rsidRDefault="0015565E">
      <w:pPr>
        <w:pStyle w:val="FootnoteText"/>
        <w:rPr>
          <w:rFonts w:asciiTheme="minorHAnsi" w:hAnsiTheme="minorHAnsi" w:cstheme="minorHAnsi"/>
          <w:sz w:val="16"/>
          <w:szCs w:val="16"/>
          <w:lang w:val="en-CA"/>
        </w:rPr>
      </w:pPr>
      <w:r w:rsidRPr="00F8604F">
        <w:rPr>
          <w:rStyle w:val="FootnoteReference"/>
          <w:rFonts w:asciiTheme="minorHAnsi" w:hAnsiTheme="minorHAnsi" w:cstheme="minorHAnsi"/>
          <w:sz w:val="16"/>
          <w:szCs w:val="16"/>
        </w:rPr>
        <w:footnoteRef/>
      </w:r>
      <w:r w:rsidRPr="00F8604F">
        <w:rPr>
          <w:rFonts w:asciiTheme="minorHAnsi" w:hAnsiTheme="minorHAnsi" w:cstheme="minorHAnsi"/>
          <w:sz w:val="16"/>
          <w:szCs w:val="16"/>
        </w:rPr>
        <w:t>https://tbinternet.ohchr.org/_layouts/15/treatybodyexternal/Download.aspx?symbolno=INT%2FCEDAW%2FICS%2FCAN%2F37366&amp;Lang=en</w:t>
      </w:r>
    </w:p>
  </w:footnote>
  <w:footnote w:id="2">
    <w:p w14:paraId="35E55C27" w14:textId="7C195D32" w:rsidR="00A04A67" w:rsidRPr="00F8604F" w:rsidRDefault="00A04A67">
      <w:pPr>
        <w:pStyle w:val="FootnoteText"/>
        <w:rPr>
          <w:rFonts w:asciiTheme="minorHAnsi" w:hAnsiTheme="minorHAnsi" w:cstheme="minorHAnsi"/>
          <w:sz w:val="16"/>
          <w:szCs w:val="16"/>
          <w:lang w:val="en-CA"/>
        </w:rPr>
      </w:pPr>
      <w:r w:rsidRPr="00F8604F">
        <w:rPr>
          <w:rStyle w:val="FootnoteReference"/>
          <w:rFonts w:asciiTheme="minorHAnsi" w:hAnsiTheme="minorHAnsi" w:cstheme="minorHAnsi"/>
          <w:sz w:val="16"/>
          <w:szCs w:val="16"/>
        </w:rPr>
        <w:footnoteRef/>
      </w:r>
      <w:r w:rsidRPr="00F8604F">
        <w:rPr>
          <w:rFonts w:asciiTheme="minorHAnsi" w:hAnsiTheme="minorHAnsi" w:cstheme="minorHAnsi"/>
          <w:sz w:val="16"/>
          <w:szCs w:val="16"/>
        </w:rPr>
        <w:t xml:space="preserve"> </w:t>
      </w:r>
      <w:r w:rsidRPr="00F8604F">
        <w:rPr>
          <w:rFonts w:asciiTheme="minorHAnsi" w:hAnsiTheme="minorHAnsi" w:cstheme="minorHAnsi"/>
          <w:sz w:val="16"/>
          <w:szCs w:val="16"/>
        </w:rPr>
        <w:t>https://www.actioncanadashr.org/sites/default/files/2020-04/8039_AC_StateofSexEd-2ndEd_F-Web_0.pdf</w:t>
      </w:r>
    </w:p>
  </w:footnote>
  <w:footnote w:id="3">
    <w:p w14:paraId="531523DD" w14:textId="66B18DD2" w:rsidR="00B11F2A" w:rsidRPr="00F8604F" w:rsidRDefault="00B11F2A">
      <w:pPr>
        <w:pStyle w:val="FootnoteText"/>
        <w:rPr>
          <w:rFonts w:asciiTheme="minorHAnsi" w:hAnsiTheme="minorHAnsi" w:cstheme="minorHAnsi"/>
          <w:sz w:val="16"/>
          <w:szCs w:val="16"/>
          <w:lang w:val="en-CA"/>
        </w:rPr>
      </w:pPr>
      <w:r w:rsidRPr="00F8604F">
        <w:rPr>
          <w:rStyle w:val="FootnoteReference"/>
          <w:rFonts w:asciiTheme="minorHAnsi" w:hAnsiTheme="minorHAnsi" w:cstheme="minorHAnsi"/>
          <w:sz w:val="16"/>
          <w:szCs w:val="16"/>
        </w:rPr>
        <w:footnoteRef/>
      </w:r>
      <w:r w:rsidRPr="00F8604F">
        <w:rPr>
          <w:rFonts w:asciiTheme="minorHAnsi" w:hAnsiTheme="minorHAnsi" w:cstheme="minorHAnsi"/>
          <w:sz w:val="16"/>
          <w:szCs w:val="16"/>
        </w:rPr>
        <w:t xml:space="preserve"> </w:t>
      </w:r>
      <w:r w:rsidRPr="00F8604F">
        <w:rPr>
          <w:rFonts w:asciiTheme="minorHAnsi" w:hAnsiTheme="minorHAnsi" w:cstheme="minorHAnsi"/>
          <w:sz w:val="16"/>
          <w:szCs w:val="16"/>
        </w:rPr>
        <w:t>https://www.cbc.ca/news/canada/edmonton/opt-in-sex-education-policies-coming-to-alberta-classrooms-this-fall-province-says-1.7311607</w:t>
      </w:r>
    </w:p>
  </w:footnote>
  <w:footnote w:id="4">
    <w:p w14:paraId="27BD0038" w14:textId="0C9486C2" w:rsidR="00B11F2A" w:rsidRPr="00F8604F" w:rsidRDefault="00B11F2A">
      <w:pPr>
        <w:pStyle w:val="FootnoteText"/>
        <w:rPr>
          <w:rFonts w:asciiTheme="minorHAnsi" w:hAnsiTheme="minorHAnsi" w:cstheme="minorHAnsi"/>
          <w:lang w:val="en-CA"/>
        </w:rPr>
      </w:pPr>
      <w:r w:rsidRPr="00F8604F">
        <w:rPr>
          <w:rStyle w:val="FootnoteReference"/>
          <w:rFonts w:asciiTheme="minorHAnsi" w:hAnsiTheme="minorHAnsi" w:cstheme="minorHAnsi"/>
          <w:sz w:val="16"/>
          <w:szCs w:val="16"/>
        </w:rPr>
        <w:footnoteRef/>
      </w:r>
      <w:r w:rsidRPr="00F8604F">
        <w:rPr>
          <w:rFonts w:asciiTheme="minorHAnsi" w:hAnsiTheme="minorHAnsi" w:cstheme="minorHAnsi"/>
          <w:sz w:val="16"/>
          <w:szCs w:val="16"/>
        </w:rPr>
        <w:t xml:space="preserve"> </w:t>
      </w:r>
      <w:r w:rsidRPr="00F8604F">
        <w:rPr>
          <w:rFonts w:asciiTheme="minorHAnsi" w:hAnsiTheme="minorHAnsi" w:cstheme="minorHAnsi"/>
          <w:sz w:val="16"/>
          <w:szCs w:val="16"/>
        </w:rPr>
        <w:t>https://ccla.org/major-cases-and-reports/policy-713/</w:t>
      </w:r>
    </w:p>
  </w:footnote>
  <w:footnote w:id="5">
    <w:p w14:paraId="24D6AF8E" w14:textId="5B506C03" w:rsidR="00A07EE1" w:rsidRPr="009479D5" w:rsidRDefault="00A07EE1" w:rsidP="009479D5">
      <w:pPr>
        <w:pStyle w:val="FootnoteText"/>
        <w:rPr>
          <w:rFonts w:asciiTheme="minorHAnsi" w:hAnsiTheme="minorHAnsi" w:cstheme="minorHAnsi"/>
          <w:color w:val="000000" w:themeColor="text1"/>
          <w:sz w:val="16"/>
          <w:szCs w:val="16"/>
        </w:rPr>
      </w:pPr>
      <w:r w:rsidRPr="009479D5">
        <w:rPr>
          <w:rStyle w:val="FootnoteReference"/>
          <w:rFonts w:asciiTheme="minorHAnsi" w:hAnsiTheme="minorHAnsi" w:cstheme="minorHAnsi"/>
          <w:color w:val="000000" w:themeColor="text1"/>
          <w:sz w:val="16"/>
          <w:szCs w:val="16"/>
        </w:rPr>
        <w:footnoteRef/>
      </w:r>
      <w:r w:rsidRPr="009479D5">
        <w:rPr>
          <w:rFonts w:asciiTheme="minorHAnsi" w:hAnsiTheme="minorHAnsi" w:cstheme="minorHAnsi"/>
          <w:color w:val="000000" w:themeColor="text1"/>
          <w:sz w:val="16"/>
          <w:szCs w:val="16"/>
        </w:rPr>
        <w:t xml:space="preserve"> </w:t>
      </w:r>
      <w:r w:rsidR="008F7A92" w:rsidRPr="009479D5">
        <w:rPr>
          <w:rFonts w:asciiTheme="minorHAnsi" w:hAnsiTheme="minorHAnsi" w:cstheme="minorHAnsi"/>
          <w:color w:val="000000" w:themeColor="text1"/>
          <w:sz w:val="16"/>
          <w:szCs w:val="16"/>
        </w:rPr>
        <w:t>CEDAW</w:t>
      </w:r>
      <w:r w:rsidRPr="009479D5">
        <w:rPr>
          <w:rFonts w:asciiTheme="minorHAnsi" w:hAnsiTheme="minorHAnsi" w:cstheme="minorHAnsi"/>
          <w:color w:val="000000" w:themeColor="text1"/>
          <w:sz w:val="16"/>
          <w:szCs w:val="16"/>
        </w:rPr>
        <w:t>. General Recommendation 24 on women and health. (1999).</w:t>
      </w:r>
    </w:p>
  </w:footnote>
  <w:footnote w:id="6">
    <w:p w14:paraId="30CB2E97" w14:textId="77777777" w:rsidR="006853A7" w:rsidRPr="009479D5" w:rsidRDefault="006853A7" w:rsidP="009479D5">
      <w:pPr>
        <w:pBdr>
          <w:top w:val="nil"/>
          <w:left w:val="nil"/>
          <w:bottom w:val="nil"/>
          <w:right w:val="nil"/>
          <w:between w:val="nil"/>
        </w:pBdr>
        <w:spacing w:after="0" w:line="240" w:lineRule="auto"/>
        <w:rPr>
          <w:rFonts w:asciiTheme="minorHAnsi" w:eastAsia="EB Garamond" w:hAnsiTheme="minorHAnsi" w:cstheme="minorHAnsi"/>
          <w:color w:val="000000" w:themeColor="text1"/>
          <w:sz w:val="16"/>
          <w:szCs w:val="16"/>
        </w:rPr>
      </w:pPr>
      <w:r w:rsidRPr="009479D5">
        <w:rPr>
          <w:rFonts w:asciiTheme="minorHAnsi" w:hAnsiTheme="minorHAnsi" w:cstheme="minorHAnsi"/>
          <w:color w:val="000000" w:themeColor="text1"/>
          <w:sz w:val="16"/>
          <w:szCs w:val="16"/>
          <w:vertAlign w:val="superscript"/>
        </w:rPr>
        <w:footnoteRef/>
      </w:r>
      <w:r w:rsidRPr="009479D5">
        <w:rPr>
          <w:rFonts w:asciiTheme="minorHAnsi" w:eastAsia="EB Garamond" w:hAnsiTheme="minorHAnsi" w:cstheme="minorHAnsi"/>
          <w:color w:val="000000" w:themeColor="text1"/>
          <w:sz w:val="16"/>
          <w:szCs w:val="16"/>
          <w:vertAlign w:val="superscript"/>
        </w:rPr>
        <w:t xml:space="preserve"> </w:t>
      </w:r>
      <w:r w:rsidRPr="009479D5">
        <w:rPr>
          <w:rFonts w:asciiTheme="minorHAnsi" w:eastAsia="EB Garamond" w:hAnsiTheme="minorHAnsi" w:cstheme="minorHAnsi"/>
          <w:color w:val="000000" w:themeColor="text1"/>
          <w:sz w:val="16"/>
          <w:szCs w:val="16"/>
        </w:rPr>
        <w:t xml:space="preserve">United Nations Committee on Economic, Social and Cultural Rights (UN CESCR). 2016. </w:t>
      </w:r>
      <w:r w:rsidRPr="009479D5">
        <w:rPr>
          <w:rFonts w:asciiTheme="minorHAnsi" w:eastAsia="EB Garamond" w:hAnsiTheme="minorHAnsi" w:cstheme="minorHAnsi"/>
          <w:i/>
          <w:color w:val="000000" w:themeColor="text1"/>
          <w:sz w:val="16"/>
          <w:szCs w:val="16"/>
        </w:rPr>
        <w:t xml:space="preserve">General Comment 22 on the Right to sexual and reproductive health (Article 12 of the International Covenant on Economic, Social and Cultural Rights.) </w:t>
      </w:r>
      <w:r w:rsidRPr="009479D5">
        <w:rPr>
          <w:rFonts w:asciiTheme="minorHAnsi" w:eastAsia="EB Garamond" w:hAnsiTheme="minorHAnsi" w:cstheme="minorHAnsi"/>
          <w:color w:val="000000" w:themeColor="text1"/>
          <w:sz w:val="16"/>
          <w:szCs w:val="16"/>
        </w:rPr>
        <w:t>para. 16. Retrieved from: http://docstore.ohchr.org/SelfServices/FilesHandler.ashx?enc=4slQ6QSmlBEDzFEovLCuW1a0Szab0oXTdImnsJZZVQfQejF41Tob4CvIjeTiAP6sGFQktiae1vlbbOAekmaOwDOWsUe7N8TLm%2BP3HJPzxjHySkUoHMavD%2Fpyfcp3Ylzg</w:t>
      </w:r>
    </w:p>
  </w:footnote>
  <w:footnote w:id="7">
    <w:p w14:paraId="2A45EEF9" w14:textId="77777777" w:rsidR="000F1E72" w:rsidRPr="009479D5" w:rsidRDefault="000F1E72" w:rsidP="009479D5">
      <w:pPr>
        <w:pBdr>
          <w:top w:val="nil"/>
          <w:left w:val="nil"/>
          <w:bottom w:val="nil"/>
          <w:right w:val="nil"/>
          <w:between w:val="nil"/>
        </w:pBdr>
        <w:spacing w:after="0" w:line="240" w:lineRule="auto"/>
        <w:rPr>
          <w:rFonts w:asciiTheme="minorHAnsi" w:eastAsia="EB Garamond" w:hAnsiTheme="minorHAnsi" w:cstheme="minorHAnsi"/>
          <w:color w:val="000000" w:themeColor="text1"/>
          <w:sz w:val="16"/>
          <w:szCs w:val="16"/>
        </w:rPr>
      </w:pPr>
      <w:r w:rsidRPr="009479D5">
        <w:rPr>
          <w:rFonts w:asciiTheme="minorHAnsi" w:hAnsiTheme="minorHAnsi" w:cstheme="minorHAnsi"/>
          <w:color w:val="000000" w:themeColor="text1"/>
          <w:sz w:val="16"/>
          <w:szCs w:val="16"/>
          <w:vertAlign w:val="superscript"/>
        </w:rPr>
        <w:footnoteRef/>
      </w:r>
      <w:r w:rsidRPr="009479D5">
        <w:rPr>
          <w:rFonts w:asciiTheme="minorHAnsi" w:eastAsia="EB Garamond" w:hAnsiTheme="minorHAnsi" w:cstheme="minorHAnsi"/>
          <w:color w:val="000000" w:themeColor="text1"/>
          <w:sz w:val="16"/>
          <w:szCs w:val="16"/>
          <w:vertAlign w:val="superscript"/>
        </w:rPr>
        <w:t xml:space="preserve"> </w:t>
      </w:r>
      <w:r w:rsidRPr="009479D5">
        <w:rPr>
          <w:rFonts w:asciiTheme="minorHAnsi" w:eastAsia="EB Garamond" w:hAnsiTheme="minorHAnsi" w:cstheme="minorHAnsi"/>
          <w:color w:val="000000" w:themeColor="text1"/>
          <w:sz w:val="16"/>
          <w:szCs w:val="16"/>
        </w:rPr>
        <w:t>Public Health Agency of Canada (PHAC). 2017. “Chapter 2: Preconception Care” in Family-centred maternity and newborn care: National guidelines. Retrieved from https://www.canada.ca/en/public-health/services/publications/healthy-living/maternity-newborn-care-guidelines-chapter-2.html</w:t>
      </w:r>
    </w:p>
  </w:footnote>
  <w:footnote w:id="8">
    <w:p w14:paraId="57ED9355" w14:textId="77777777" w:rsidR="000F1E72" w:rsidRPr="009479D5" w:rsidRDefault="000F1E72" w:rsidP="009479D5">
      <w:pPr>
        <w:pBdr>
          <w:top w:val="nil"/>
          <w:left w:val="nil"/>
          <w:bottom w:val="nil"/>
          <w:right w:val="nil"/>
          <w:between w:val="nil"/>
        </w:pBdr>
        <w:spacing w:after="0" w:line="240" w:lineRule="auto"/>
        <w:rPr>
          <w:rFonts w:asciiTheme="minorHAnsi" w:eastAsia="EB Garamond" w:hAnsiTheme="minorHAnsi" w:cstheme="minorHAnsi"/>
          <w:color w:val="000000" w:themeColor="text1"/>
          <w:sz w:val="16"/>
          <w:szCs w:val="16"/>
        </w:rPr>
      </w:pPr>
      <w:r w:rsidRPr="009479D5">
        <w:rPr>
          <w:rFonts w:asciiTheme="minorHAnsi" w:hAnsiTheme="minorHAnsi" w:cstheme="minorHAnsi"/>
          <w:color w:val="000000" w:themeColor="text1"/>
          <w:sz w:val="16"/>
          <w:szCs w:val="16"/>
          <w:vertAlign w:val="superscript"/>
        </w:rPr>
        <w:footnoteRef/>
      </w:r>
      <w:r w:rsidRPr="009479D5">
        <w:rPr>
          <w:rFonts w:asciiTheme="minorHAnsi" w:eastAsia="EB Garamond" w:hAnsiTheme="minorHAnsi" w:cstheme="minorHAnsi"/>
          <w:color w:val="000000" w:themeColor="text1"/>
          <w:sz w:val="16"/>
          <w:szCs w:val="16"/>
          <w:vertAlign w:val="superscript"/>
        </w:rPr>
        <w:t xml:space="preserve"> </w:t>
      </w:r>
      <w:r w:rsidRPr="009479D5">
        <w:rPr>
          <w:rFonts w:asciiTheme="minorHAnsi" w:eastAsia="EB Garamond" w:hAnsiTheme="minorHAnsi" w:cstheme="minorHAnsi"/>
          <w:color w:val="000000" w:themeColor="text1"/>
          <w:sz w:val="16"/>
          <w:szCs w:val="16"/>
        </w:rPr>
        <w:t xml:space="preserve">Norman, W. 2012. Induced abortion in Canada 1974-2005: Trends over the first generation with legal access. </w:t>
      </w:r>
      <w:r w:rsidRPr="009479D5">
        <w:rPr>
          <w:rFonts w:asciiTheme="minorHAnsi" w:eastAsia="EB Garamond" w:hAnsiTheme="minorHAnsi" w:cstheme="minorHAnsi"/>
          <w:i/>
          <w:color w:val="000000" w:themeColor="text1"/>
          <w:sz w:val="16"/>
          <w:szCs w:val="16"/>
        </w:rPr>
        <w:t>Contraception</w:t>
      </w:r>
      <w:r w:rsidRPr="009479D5">
        <w:rPr>
          <w:rFonts w:asciiTheme="minorHAnsi" w:eastAsia="EB Garamond" w:hAnsiTheme="minorHAnsi" w:cstheme="minorHAnsi"/>
          <w:color w:val="000000" w:themeColor="text1"/>
          <w:sz w:val="16"/>
          <w:szCs w:val="16"/>
        </w:rPr>
        <w:t>, 85, 185–191.</w:t>
      </w:r>
    </w:p>
  </w:footnote>
  <w:footnote w:id="9">
    <w:p w14:paraId="503A0BA7" w14:textId="77777777" w:rsidR="000F1E72" w:rsidRPr="00F8604F" w:rsidRDefault="000F1E72" w:rsidP="009479D5">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9479D5">
        <w:rPr>
          <w:rFonts w:asciiTheme="minorHAnsi" w:hAnsiTheme="minorHAnsi" w:cstheme="minorHAnsi"/>
          <w:color w:val="000000" w:themeColor="text1"/>
          <w:sz w:val="16"/>
          <w:szCs w:val="16"/>
          <w:vertAlign w:val="superscript"/>
        </w:rPr>
        <w:footnoteRef/>
      </w:r>
      <w:r w:rsidRPr="009479D5">
        <w:rPr>
          <w:rFonts w:asciiTheme="minorHAnsi" w:eastAsia="EB Garamond" w:hAnsiTheme="minorHAnsi" w:cstheme="minorHAnsi"/>
          <w:color w:val="000000" w:themeColor="text1"/>
          <w:sz w:val="16"/>
          <w:szCs w:val="16"/>
          <w:vertAlign w:val="superscript"/>
        </w:rPr>
        <w:t xml:space="preserve"> </w:t>
      </w:r>
      <w:proofErr w:type="spellStart"/>
      <w:r w:rsidRPr="009479D5">
        <w:rPr>
          <w:rFonts w:asciiTheme="minorHAnsi" w:eastAsia="EB Garamond" w:hAnsiTheme="minorHAnsi" w:cstheme="minorHAnsi"/>
          <w:color w:val="000000" w:themeColor="text1"/>
          <w:sz w:val="16"/>
          <w:szCs w:val="16"/>
        </w:rPr>
        <w:t>Tlaleng</w:t>
      </w:r>
      <w:proofErr w:type="spellEnd"/>
      <w:r w:rsidRPr="009479D5">
        <w:rPr>
          <w:rFonts w:asciiTheme="minorHAnsi" w:eastAsia="EB Garamond" w:hAnsiTheme="minorHAnsi" w:cstheme="minorHAnsi"/>
          <w:color w:val="000000" w:themeColor="text1"/>
          <w:sz w:val="16"/>
          <w:szCs w:val="16"/>
        </w:rPr>
        <w:t xml:space="preserve"> Mofokeng, Special Rapporteur on the right of everyone to the enjoyment of the highest attainable standard of physical and mental health. 2021. </w:t>
      </w:r>
      <w:r w:rsidRPr="009479D5">
        <w:rPr>
          <w:rFonts w:asciiTheme="minorHAnsi" w:eastAsia="EB Garamond" w:hAnsiTheme="minorHAnsi" w:cstheme="minorHAnsi"/>
          <w:i/>
          <w:color w:val="000000" w:themeColor="text1"/>
          <w:sz w:val="16"/>
          <w:szCs w:val="16"/>
        </w:rPr>
        <w:t>Report of the Special Rapporteur on the right of everyone to the enjoyment of the highest attainable standard of physical and mental health - Sexual and reproductive health rights: challenges and opportunities during the COVID-19 pandemic.</w:t>
      </w:r>
      <w:r w:rsidRPr="009479D5">
        <w:rPr>
          <w:rFonts w:asciiTheme="minorHAnsi" w:eastAsia="EB Garamond" w:hAnsiTheme="minorHAnsi" w:cstheme="minorHAnsi"/>
          <w:color w:val="000000" w:themeColor="text1"/>
          <w:sz w:val="16"/>
          <w:szCs w:val="16"/>
        </w:rPr>
        <w:t xml:space="preserve"> A/76/172, para 18. Retrieved from: </w:t>
      </w:r>
      <w:hyperlink r:id="rId1">
        <w:r w:rsidRPr="009479D5">
          <w:rPr>
            <w:rFonts w:asciiTheme="minorHAnsi" w:eastAsia="EB Garamond" w:hAnsiTheme="minorHAnsi" w:cstheme="minorHAnsi"/>
            <w:color w:val="000000" w:themeColor="text1"/>
            <w:sz w:val="16"/>
            <w:szCs w:val="16"/>
          </w:rPr>
          <w:t>https://www.ohchr.org/en/documents/thematic-reports/a76172-report-special-rapporteur-right-everyone-enjoyment-highest</w:t>
        </w:r>
      </w:hyperlink>
      <w:r w:rsidRPr="009479D5">
        <w:rPr>
          <w:rFonts w:asciiTheme="minorHAnsi" w:eastAsia="EB Garamond" w:hAnsiTheme="minorHAnsi" w:cstheme="minorHAnsi"/>
          <w:color w:val="000000" w:themeColor="text1"/>
          <w:sz w:val="16"/>
          <w:szCs w:val="16"/>
        </w:rPr>
        <w:t xml:space="preserve"> </w:t>
      </w:r>
    </w:p>
  </w:footnote>
  <w:footnote w:id="10">
    <w:p w14:paraId="2D045622" w14:textId="77777777" w:rsidR="006853A7" w:rsidRPr="009479D5" w:rsidRDefault="006853A7" w:rsidP="00F8604F">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9479D5">
        <w:rPr>
          <w:rFonts w:asciiTheme="minorHAnsi" w:hAnsiTheme="minorHAnsi" w:cstheme="minorHAnsi"/>
          <w:sz w:val="16"/>
          <w:szCs w:val="16"/>
          <w:vertAlign w:val="superscript"/>
        </w:rPr>
        <w:footnoteRef/>
      </w:r>
      <w:r w:rsidRPr="009479D5">
        <w:rPr>
          <w:rFonts w:asciiTheme="minorHAnsi" w:eastAsia="EB Garamond" w:hAnsiTheme="minorHAnsi" w:cstheme="minorHAnsi"/>
          <w:color w:val="000000"/>
          <w:sz w:val="16"/>
          <w:szCs w:val="16"/>
          <w:vertAlign w:val="superscript"/>
        </w:rPr>
        <w:t xml:space="preserve"> </w:t>
      </w:r>
      <w:r w:rsidRPr="009479D5">
        <w:rPr>
          <w:rFonts w:asciiTheme="minorHAnsi" w:eastAsia="EB Garamond" w:hAnsiTheme="minorHAnsi" w:cstheme="minorHAnsi"/>
          <w:color w:val="000000"/>
          <w:sz w:val="16"/>
          <w:szCs w:val="16"/>
          <w:highlight w:val="white"/>
        </w:rPr>
        <w:t>The rise in calls likely does not imply an increase in people seeking abortion care but rather increased awareness of our services.</w:t>
      </w:r>
    </w:p>
  </w:footnote>
  <w:footnote w:id="11">
    <w:p w14:paraId="1A690EED" w14:textId="77777777" w:rsidR="006853A7" w:rsidRPr="009479D5" w:rsidRDefault="006853A7" w:rsidP="00F8604F">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9479D5">
        <w:rPr>
          <w:rFonts w:asciiTheme="minorHAnsi" w:hAnsiTheme="minorHAnsi" w:cstheme="minorHAnsi"/>
          <w:sz w:val="16"/>
          <w:szCs w:val="16"/>
          <w:vertAlign w:val="superscript"/>
        </w:rPr>
        <w:footnoteRef/>
      </w:r>
      <w:r w:rsidRPr="009479D5">
        <w:rPr>
          <w:rFonts w:asciiTheme="minorHAnsi" w:eastAsia="EB Garamond" w:hAnsiTheme="minorHAnsi" w:cstheme="minorHAnsi"/>
          <w:color w:val="000000"/>
          <w:sz w:val="16"/>
          <w:szCs w:val="16"/>
        </w:rPr>
        <w:t>See “</w:t>
      </w:r>
      <w:r w:rsidRPr="009479D5">
        <w:rPr>
          <w:rFonts w:asciiTheme="minorHAnsi" w:eastAsia="EB Garamond" w:hAnsiTheme="minorHAnsi" w:cstheme="minorHAnsi"/>
          <w:i/>
          <w:color w:val="000000"/>
          <w:sz w:val="16"/>
          <w:szCs w:val="16"/>
        </w:rPr>
        <w:t>Trends in barriers to abortion care</w:t>
      </w:r>
      <w:r w:rsidRPr="009479D5">
        <w:rPr>
          <w:rFonts w:asciiTheme="minorHAnsi" w:eastAsia="EB Garamond" w:hAnsiTheme="minorHAnsi" w:cstheme="minorHAnsi"/>
          <w:color w:val="000000"/>
          <w:sz w:val="16"/>
          <w:szCs w:val="16"/>
        </w:rPr>
        <w:t>” for a detailed account: https://www.actioncanadashr.org/resources/reports-analysis/2022-12-14-trends-barriers-abortion-care</w:t>
      </w:r>
    </w:p>
  </w:footnote>
  <w:footnote w:id="12">
    <w:p w14:paraId="74FB7852" w14:textId="77777777" w:rsidR="006853A7" w:rsidRPr="009479D5" w:rsidRDefault="006853A7" w:rsidP="00F8604F">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9479D5">
        <w:rPr>
          <w:rFonts w:asciiTheme="minorHAnsi" w:hAnsiTheme="minorHAnsi" w:cstheme="minorHAnsi"/>
          <w:sz w:val="16"/>
          <w:szCs w:val="16"/>
          <w:vertAlign w:val="superscript"/>
        </w:rPr>
        <w:footnoteRef/>
      </w:r>
      <w:r w:rsidRPr="009479D5">
        <w:rPr>
          <w:rFonts w:asciiTheme="minorHAnsi" w:eastAsia="EB Garamond" w:hAnsiTheme="minorHAnsi" w:cstheme="minorHAnsi"/>
          <w:color w:val="000000"/>
          <w:sz w:val="16"/>
          <w:szCs w:val="16"/>
        </w:rPr>
        <w:t xml:space="preserve"> Chabot, </w:t>
      </w:r>
      <w:proofErr w:type="spellStart"/>
      <w:r w:rsidRPr="009479D5">
        <w:rPr>
          <w:rFonts w:asciiTheme="minorHAnsi" w:eastAsia="EB Garamond" w:hAnsiTheme="minorHAnsi" w:cstheme="minorHAnsi"/>
          <w:color w:val="000000"/>
          <w:sz w:val="16"/>
          <w:szCs w:val="16"/>
        </w:rPr>
        <w:t>Frédérique</w:t>
      </w:r>
      <w:proofErr w:type="spellEnd"/>
      <w:r w:rsidRPr="009479D5">
        <w:rPr>
          <w:rFonts w:asciiTheme="minorHAnsi" w:eastAsia="EB Garamond" w:hAnsiTheme="minorHAnsi" w:cstheme="minorHAnsi"/>
          <w:color w:val="000000"/>
          <w:sz w:val="16"/>
          <w:szCs w:val="16"/>
        </w:rPr>
        <w:t xml:space="preserve">. 2021. “Access to Abortion for Undocumented Persons During the COVID-19 Pandemic.” </w:t>
      </w:r>
      <w:r w:rsidRPr="009479D5">
        <w:rPr>
          <w:rFonts w:asciiTheme="minorHAnsi" w:eastAsia="EB Garamond" w:hAnsiTheme="minorHAnsi" w:cstheme="minorHAnsi"/>
          <w:i/>
          <w:color w:val="000000"/>
          <w:sz w:val="16"/>
          <w:szCs w:val="16"/>
        </w:rPr>
        <w:t>The Statelessness &amp; Citizenship Review</w:t>
      </w:r>
      <w:r w:rsidRPr="009479D5">
        <w:rPr>
          <w:rFonts w:asciiTheme="minorHAnsi" w:eastAsia="EB Garamond" w:hAnsiTheme="minorHAnsi" w:cstheme="minorHAnsi"/>
          <w:color w:val="000000"/>
          <w:sz w:val="16"/>
          <w:szCs w:val="16"/>
        </w:rPr>
        <w:t xml:space="preserve"> 3 (1), 142-47. Retrieved from: https://statelessnessandcitizenshipreview.com/index.php/journal/article/view/305.</w:t>
      </w:r>
    </w:p>
  </w:footnote>
  <w:footnote w:id="13">
    <w:p w14:paraId="10690A26" w14:textId="77777777" w:rsidR="000F1E72" w:rsidRPr="00F8604F" w:rsidRDefault="000F1E72" w:rsidP="000F1E72">
      <w:pPr>
        <w:pBdr>
          <w:top w:val="nil"/>
          <w:left w:val="nil"/>
          <w:bottom w:val="nil"/>
          <w:right w:val="nil"/>
          <w:between w:val="nil"/>
        </w:pBdr>
        <w:spacing w:line="276" w:lineRule="auto"/>
        <w:rPr>
          <w:rFonts w:asciiTheme="minorHAnsi" w:eastAsia="EB Garamond" w:hAnsiTheme="minorHAnsi" w:cstheme="minorHAnsi"/>
          <w:color w:val="000000"/>
        </w:rPr>
      </w:pPr>
      <w:r w:rsidRPr="009479D5">
        <w:rPr>
          <w:rFonts w:asciiTheme="minorHAnsi" w:hAnsiTheme="minorHAnsi" w:cstheme="minorHAnsi"/>
          <w:sz w:val="16"/>
          <w:szCs w:val="16"/>
          <w:vertAlign w:val="superscript"/>
        </w:rPr>
        <w:footnoteRef/>
      </w:r>
      <w:r w:rsidRPr="009479D5">
        <w:rPr>
          <w:rFonts w:asciiTheme="minorHAnsi" w:eastAsia="EB Garamond" w:hAnsiTheme="minorHAnsi" w:cstheme="minorHAnsi"/>
          <w:color w:val="000000"/>
          <w:sz w:val="16"/>
          <w:szCs w:val="16"/>
        </w:rPr>
        <w:t xml:space="preserve">Homeless Hub. n.d. </w:t>
      </w:r>
      <w:r w:rsidRPr="009479D5">
        <w:rPr>
          <w:rFonts w:asciiTheme="minorHAnsi" w:eastAsia="EB Garamond" w:hAnsiTheme="minorHAnsi" w:cstheme="minorHAnsi"/>
          <w:i/>
          <w:color w:val="000000"/>
          <w:sz w:val="16"/>
          <w:szCs w:val="16"/>
        </w:rPr>
        <w:t>Public Health Care &amp; Service Delivery.</w:t>
      </w:r>
      <w:r w:rsidRPr="009479D5">
        <w:rPr>
          <w:rFonts w:asciiTheme="minorHAnsi" w:eastAsia="EB Garamond" w:hAnsiTheme="minorHAnsi" w:cstheme="minorHAnsi"/>
          <w:color w:val="000000"/>
          <w:sz w:val="16"/>
          <w:szCs w:val="16"/>
        </w:rPr>
        <w:t xml:space="preserve"> Retrieved from: https://www.homelesshub.ca/about-homelessness/service-provision/public-health-care-service-delivery</w:t>
      </w:r>
    </w:p>
  </w:footnote>
  <w:footnote w:id="14">
    <w:p w14:paraId="414B58F9" w14:textId="77777777" w:rsidR="00B140D0" w:rsidRPr="009479D5" w:rsidRDefault="00B140D0" w:rsidP="00B140D0">
      <w:pPr>
        <w:pBdr>
          <w:top w:val="nil"/>
          <w:left w:val="nil"/>
          <w:bottom w:val="nil"/>
          <w:right w:val="nil"/>
          <w:between w:val="nil"/>
        </w:pBdr>
        <w:spacing w:line="276" w:lineRule="auto"/>
        <w:rPr>
          <w:rFonts w:asciiTheme="minorHAnsi" w:eastAsia="EB Garamond" w:hAnsiTheme="minorHAnsi" w:cstheme="minorHAnsi"/>
          <w:color w:val="000000"/>
          <w:sz w:val="16"/>
          <w:szCs w:val="16"/>
        </w:rPr>
      </w:pPr>
      <w:r w:rsidRPr="00F8604F">
        <w:rPr>
          <w:rFonts w:asciiTheme="minorHAnsi" w:hAnsiTheme="minorHAnsi" w:cstheme="minorHAnsi"/>
          <w:vertAlign w:val="superscript"/>
        </w:rPr>
        <w:footnoteRef/>
      </w:r>
      <w:r w:rsidRPr="00F8604F">
        <w:rPr>
          <w:rFonts w:asciiTheme="minorHAnsi" w:eastAsia="EB Garamond" w:hAnsiTheme="minorHAnsi" w:cstheme="minorHAnsi"/>
          <w:color w:val="000000"/>
          <w:sz w:val="20"/>
          <w:szCs w:val="20"/>
          <w:vertAlign w:val="superscript"/>
        </w:rPr>
        <w:t xml:space="preserve"> </w:t>
      </w:r>
      <w:proofErr w:type="spellStart"/>
      <w:r w:rsidRPr="009479D5">
        <w:rPr>
          <w:rFonts w:asciiTheme="minorHAnsi" w:eastAsia="EB Garamond" w:hAnsiTheme="minorHAnsi" w:cstheme="minorHAnsi"/>
          <w:color w:val="000000"/>
          <w:sz w:val="16"/>
          <w:szCs w:val="16"/>
        </w:rPr>
        <w:t>Tlaleng</w:t>
      </w:r>
      <w:proofErr w:type="spellEnd"/>
      <w:r w:rsidRPr="009479D5">
        <w:rPr>
          <w:rFonts w:asciiTheme="minorHAnsi" w:eastAsia="EB Garamond" w:hAnsiTheme="minorHAnsi" w:cstheme="minorHAnsi"/>
          <w:color w:val="000000"/>
          <w:sz w:val="16"/>
          <w:szCs w:val="16"/>
        </w:rPr>
        <w:t xml:space="preserve"> Mofokeng, Special Rapporteur on the right of everyone to the enjoyment of the highest attainable standard of physical and mental health. 2022. </w:t>
      </w:r>
      <w:r w:rsidRPr="009479D5">
        <w:rPr>
          <w:rFonts w:asciiTheme="minorHAnsi" w:eastAsia="EB Garamond" w:hAnsiTheme="minorHAnsi" w:cstheme="minorHAnsi"/>
          <w:i/>
          <w:color w:val="000000"/>
          <w:sz w:val="16"/>
          <w:szCs w:val="16"/>
        </w:rPr>
        <w:t>Report by the Special Rapporteur on the right of everyone to the enjoyment of the highest attainable standard of physical and mental health - Racism and the right to health.</w:t>
      </w:r>
      <w:r w:rsidRPr="009479D5">
        <w:rPr>
          <w:rFonts w:asciiTheme="minorHAnsi" w:eastAsia="EB Garamond" w:hAnsiTheme="minorHAnsi" w:cstheme="minorHAnsi"/>
          <w:color w:val="000000"/>
          <w:sz w:val="16"/>
          <w:szCs w:val="16"/>
        </w:rPr>
        <w:t xml:space="preserve"> A/77/197, para 28. Retrieved from: https://www.ohchr.org/en/documents/thematic-reports/a77197-report-special-rapporteur-right-everyone-enjoyment-highest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62C98"/>
    <w:multiLevelType w:val="hybridMultilevel"/>
    <w:tmpl w:val="6FF688B8"/>
    <w:lvl w:ilvl="0" w:tplc="8592C3DC">
      <w:start w:val="1"/>
      <w:numFmt w:val="decimal"/>
      <w:lvlText w:val="%1."/>
      <w:lvlJc w:val="left"/>
      <w:pPr>
        <w:ind w:left="720" w:hanging="360"/>
      </w:pPr>
      <w:rPr>
        <w:rFonts w:hint="eastAsia"/>
        <w:b/>
        <w:color w:val="3E475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66B6D1B"/>
    <w:multiLevelType w:val="hybridMultilevel"/>
    <w:tmpl w:val="FB883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61678DC"/>
    <w:multiLevelType w:val="multilevel"/>
    <w:tmpl w:val="D464A8E8"/>
    <w:lvl w:ilvl="0">
      <w:start w:val="1"/>
      <w:numFmt w:val="decimal"/>
      <w:lvlText w:val="%1."/>
      <w:lvlJc w:val="left"/>
      <w:pPr>
        <w:ind w:left="502"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1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1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13"/>
      </w:pPr>
      <w:rPr>
        <w:smallCaps w:val="0"/>
        <w:strike w:val="0"/>
        <w:shd w:val="clear" w:color="auto" w:fill="auto"/>
        <w:vertAlign w:val="baseline"/>
      </w:rPr>
    </w:lvl>
  </w:abstractNum>
  <w:abstractNum w:abstractNumId="3" w15:restartNumberingAfterBreak="0">
    <w:nsid w:val="47930884"/>
    <w:multiLevelType w:val="multilevel"/>
    <w:tmpl w:val="AB6A6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FF43AF"/>
    <w:multiLevelType w:val="hybridMultilevel"/>
    <w:tmpl w:val="92729CD8"/>
    <w:lvl w:ilvl="0" w:tplc="8E1AFFEE">
      <w:start w:val="1"/>
      <w:numFmt w:val="decimal"/>
      <w:lvlText w:val="%1."/>
      <w:lvlJc w:val="left"/>
      <w:pPr>
        <w:ind w:left="644" w:hanging="360"/>
      </w:pPr>
      <w:rPr>
        <w:rFonts w:ascii="Adobe garamond" w:hAnsi="Adobe garamond" w:hint="default"/>
        <w:sz w:val="20"/>
        <w:szCs w:val="2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848029B"/>
    <w:multiLevelType w:val="hybridMultilevel"/>
    <w:tmpl w:val="10C84DFE"/>
    <w:lvl w:ilvl="0" w:tplc="10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FA04861"/>
    <w:multiLevelType w:val="multilevel"/>
    <w:tmpl w:val="F3247558"/>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49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49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493"/>
      </w:pPr>
      <w:rPr>
        <w:smallCaps w:val="0"/>
        <w:strike w:val="0"/>
        <w:shd w:val="clear" w:color="auto" w:fill="auto"/>
        <w:vertAlign w:val="baseline"/>
      </w:rPr>
    </w:lvl>
  </w:abstractNum>
  <w:abstractNum w:abstractNumId="7" w15:restartNumberingAfterBreak="0">
    <w:nsid w:val="6AA769DB"/>
    <w:multiLevelType w:val="hybridMultilevel"/>
    <w:tmpl w:val="80BC135C"/>
    <w:lvl w:ilvl="0" w:tplc="10090001">
      <w:start w:val="1"/>
      <w:numFmt w:val="bullet"/>
      <w:lvlText w:val=""/>
      <w:lvlJc w:val="left"/>
      <w:pPr>
        <w:ind w:left="720" w:hanging="360"/>
      </w:pPr>
      <w:rPr>
        <w:rFonts w:ascii="Symbol" w:hAnsi="Symbol"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1326D61"/>
    <w:multiLevelType w:val="hybridMultilevel"/>
    <w:tmpl w:val="7DF0DF6C"/>
    <w:lvl w:ilvl="0" w:tplc="4D5C50EA">
      <w:numFmt w:val="bullet"/>
      <w:lvlText w:val="-"/>
      <w:lvlJc w:val="left"/>
      <w:pPr>
        <w:ind w:left="720" w:hanging="360"/>
      </w:pPr>
      <w:rPr>
        <w:rFonts w:ascii="Adobe Garamond Pro" w:eastAsiaTheme="minorEastAsia" w:hAnsi="Adobe Garamond Pr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9108416">
    <w:abstractNumId w:val="7"/>
  </w:num>
  <w:num w:numId="2" w16cid:durableId="190649752">
    <w:abstractNumId w:val="1"/>
  </w:num>
  <w:num w:numId="3" w16cid:durableId="886837700">
    <w:abstractNumId w:val="0"/>
  </w:num>
  <w:num w:numId="4" w16cid:durableId="1715350217">
    <w:abstractNumId w:val="4"/>
  </w:num>
  <w:num w:numId="5" w16cid:durableId="1848521774">
    <w:abstractNumId w:val="3"/>
  </w:num>
  <w:num w:numId="6" w16cid:durableId="644553299">
    <w:abstractNumId w:val="8"/>
  </w:num>
  <w:num w:numId="7" w16cid:durableId="1176649553">
    <w:abstractNumId w:val="5"/>
  </w:num>
  <w:num w:numId="8" w16cid:durableId="323819496">
    <w:abstractNumId w:val="2"/>
  </w:num>
  <w:num w:numId="9" w16cid:durableId="34957451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D2C"/>
    <w:rsid w:val="000006B9"/>
    <w:rsid w:val="00001881"/>
    <w:rsid w:val="00001D4E"/>
    <w:rsid w:val="00002178"/>
    <w:rsid w:val="000028EE"/>
    <w:rsid w:val="00004302"/>
    <w:rsid w:val="0000456E"/>
    <w:rsid w:val="00005697"/>
    <w:rsid w:val="00007248"/>
    <w:rsid w:val="00011169"/>
    <w:rsid w:val="0001407F"/>
    <w:rsid w:val="000155E2"/>
    <w:rsid w:val="00015A25"/>
    <w:rsid w:val="000164F2"/>
    <w:rsid w:val="00016990"/>
    <w:rsid w:val="00017519"/>
    <w:rsid w:val="00017DAB"/>
    <w:rsid w:val="0002020E"/>
    <w:rsid w:val="00020E68"/>
    <w:rsid w:val="000226E4"/>
    <w:rsid w:val="000229DC"/>
    <w:rsid w:val="00024B31"/>
    <w:rsid w:val="00034A94"/>
    <w:rsid w:val="000366DF"/>
    <w:rsid w:val="0003700A"/>
    <w:rsid w:val="00042580"/>
    <w:rsid w:val="00044131"/>
    <w:rsid w:val="000454AC"/>
    <w:rsid w:val="000456DE"/>
    <w:rsid w:val="00045F6C"/>
    <w:rsid w:val="00046EAB"/>
    <w:rsid w:val="00047264"/>
    <w:rsid w:val="00047A74"/>
    <w:rsid w:val="000501D9"/>
    <w:rsid w:val="000502C0"/>
    <w:rsid w:val="00051E79"/>
    <w:rsid w:val="00051F82"/>
    <w:rsid w:val="000526C3"/>
    <w:rsid w:val="00055098"/>
    <w:rsid w:val="00055697"/>
    <w:rsid w:val="00055890"/>
    <w:rsid w:val="00056464"/>
    <w:rsid w:val="00057852"/>
    <w:rsid w:val="000613B5"/>
    <w:rsid w:val="000617EC"/>
    <w:rsid w:val="0006196F"/>
    <w:rsid w:val="00062E47"/>
    <w:rsid w:val="000630CB"/>
    <w:rsid w:val="00066CFC"/>
    <w:rsid w:val="00076631"/>
    <w:rsid w:val="00082BA5"/>
    <w:rsid w:val="00087F70"/>
    <w:rsid w:val="00090412"/>
    <w:rsid w:val="00093E86"/>
    <w:rsid w:val="00094335"/>
    <w:rsid w:val="00096DBA"/>
    <w:rsid w:val="00096FB8"/>
    <w:rsid w:val="000A0E66"/>
    <w:rsid w:val="000A223E"/>
    <w:rsid w:val="000A3905"/>
    <w:rsid w:val="000A4E71"/>
    <w:rsid w:val="000A596F"/>
    <w:rsid w:val="000A7155"/>
    <w:rsid w:val="000A7DCF"/>
    <w:rsid w:val="000B094A"/>
    <w:rsid w:val="000B0CA7"/>
    <w:rsid w:val="000B2C1D"/>
    <w:rsid w:val="000B7A37"/>
    <w:rsid w:val="000C03C5"/>
    <w:rsid w:val="000C11D6"/>
    <w:rsid w:val="000C1822"/>
    <w:rsid w:val="000C2144"/>
    <w:rsid w:val="000C2956"/>
    <w:rsid w:val="000C394A"/>
    <w:rsid w:val="000C7362"/>
    <w:rsid w:val="000C7637"/>
    <w:rsid w:val="000C764A"/>
    <w:rsid w:val="000D088D"/>
    <w:rsid w:val="000D0F16"/>
    <w:rsid w:val="000D1F5A"/>
    <w:rsid w:val="000D2F97"/>
    <w:rsid w:val="000D38BF"/>
    <w:rsid w:val="000D4221"/>
    <w:rsid w:val="000D4D5E"/>
    <w:rsid w:val="000E2063"/>
    <w:rsid w:val="000E4D43"/>
    <w:rsid w:val="000E635B"/>
    <w:rsid w:val="000E74D1"/>
    <w:rsid w:val="000F1873"/>
    <w:rsid w:val="000F1E72"/>
    <w:rsid w:val="000F210A"/>
    <w:rsid w:val="000F2A9A"/>
    <w:rsid w:val="000F33E3"/>
    <w:rsid w:val="000F3800"/>
    <w:rsid w:val="000F4524"/>
    <w:rsid w:val="000F5B56"/>
    <w:rsid w:val="000F60BC"/>
    <w:rsid w:val="000F6A3F"/>
    <w:rsid w:val="000F7440"/>
    <w:rsid w:val="000F7D16"/>
    <w:rsid w:val="00100AF7"/>
    <w:rsid w:val="00102AF1"/>
    <w:rsid w:val="001033E1"/>
    <w:rsid w:val="0010431C"/>
    <w:rsid w:val="00105CE6"/>
    <w:rsid w:val="00111442"/>
    <w:rsid w:val="00113772"/>
    <w:rsid w:val="0011398B"/>
    <w:rsid w:val="00113A50"/>
    <w:rsid w:val="00115623"/>
    <w:rsid w:val="001167CC"/>
    <w:rsid w:val="00116A0E"/>
    <w:rsid w:val="00116A37"/>
    <w:rsid w:val="00117E42"/>
    <w:rsid w:val="00120883"/>
    <w:rsid w:val="00120A23"/>
    <w:rsid w:val="00121DA5"/>
    <w:rsid w:val="00125EA9"/>
    <w:rsid w:val="00131F03"/>
    <w:rsid w:val="0013228E"/>
    <w:rsid w:val="001334B8"/>
    <w:rsid w:val="00133D7C"/>
    <w:rsid w:val="00133DC6"/>
    <w:rsid w:val="00135028"/>
    <w:rsid w:val="0013561E"/>
    <w:rsid w:val="00135B0D"/>
    <w:rsid w:val="001361BD"/>
    <w:rsid w:val="00137FA6"/>
    <w:rsid w:val="00141887"/>
    <w:rsid w:val="00141D96"/>
    <w:rsid w:val="00144037"/>
    <w:rsid w:val="001459E7"/>
    <w:rsid w:val="001463CE"/>
    <w:rsid w:val="00146663"/>
    <w:rsid w:val="00150252"/>
    <w:rsid w:val="00150632"/>
    <w:rsid w:val="0015277B"/>
    <w:rsid w:val="00154AD1"/>
    <w:rsid w:val="0015565E"/>
    <w:rsid w:val="00155A71"/>
    <w:rsid w:val="00155BB1"/>
    <w:rsid w:val="00157532"/>
    <w:rsid w:val="001601AE"/>
    <w:rsid w:val="001603AB"/>
    <w:rsid w:val="001621EB"/>
    <w:rsid w:val="00162F8B"/>
    <w:rsid w:val="0016432B"/>
    <w:rsid w:val="0016445C"/>
    <w:rsid w:val="00165D1A"/>
    <w:rsid w:val="00165F26"/>
    <w:rsid w:val="00166919"/>
    <w:rsid w:val="00166A7F"/>
    <w:rsid w:val="0016727B"/>
    <w:rsid w:val="00171250"/>
    <w:rsid w:val="00174BA0"/>
    <w:rsid w:val="0017729A"/>
    <w:rsid w:val="00180397"/>
    <w:rsid w:val="00180B98"/>
    <w:rsid w:val="0018142B"/>
    <w:rsid w:val="00190701"/>
    <w:rsid w:val="00191C76"/>
    <w:rsid w:val="00192E01"/>
    <w:rsid w:val="00194431"/>
    <w:rsid w:val="00196040"/>
    <w:rsid w:val="00196CCE"/>
    <w:rsid w:val="001971D4"/>
    <w:rsid w:val="001A0343"/>
    <w:rsid w:val="001A17A0"/>
    <w:rsid w:val="001A272E"/>
    <w:rsid w:val="001A35C3"/>
    <w:rsid w:val="001A3894"/>
    <w:rsid w:val="001A3DFF"/>
    <w:rsid w:val="001A670C"/>
    <w:rsid w:val="001B057C"/>
    <w:rsid w:val="001B0840"/>
    <w:rsid w:val="001B60BC"/>
    <w:rsid w:val="001B6AE8"/>
    <w:rsid w:val="001C0C46"/>
    <w:rsid w:val="001C34C7"/>
    <w:rsid w:val="001C606A"/>
    <w:rsid w:val="001C7D28"/>
    <w:rsid w:val="001D06F2"/>
    <w:rsid w:val="001D2DD7"/>
    <w:rsid w:val="001D3DE7"/>
    <w:rsid w:val="001D453F"/>
    <w:rsid w:val="001D52F0"/>
    <w:rsid w:val="001D5728"/>
    <w:rsid w:val="001D71B1"/>
    <w:rsid w:val="001D71F5"/>
    <w:rsid w:val="001D77CF"/>
    <w:rsid w:val="001D7F2A"/>
    <w:rsid w:val="001E063A"/>
    <w:rsid w:val="001E2FE6"/>
    <w:rsid w:val="001E4EBA"/>
    <w:rsid w:val="001E78A4"/>
    <w:rsid w:val="001F01DC"/>
    <w:rsid w:val="001F01F2"/>
    <w:rsid w:val="001F1BB9"/>
    <w:rsid w:val="001F59DF"/>
    <w:rsid w:val="001F67BA"/>
    <w:rsid w:val="001F67D7"/>
    <w:rsid w:val="001F7780"/>
    <w:rsid w:val="001F7B72"/>
    <w:rsid w:val="00201A75"/>
    <w:rsid w:val="0020298F"/>
    <w:rsid w:val="00206ECA"/>
    <w:rsid w:val="002079B3"/>
    <w:rsid w:val="0021136E"/>
    <w:rsid w:val="002119AF"/>
    <w:rsid w:val="00214493"/>
    <w:rsid w:val="002146F9"/>
    <w:rsid w:val="00214AAB"/>
    <w:rsid w:val="002158AE"/>
    <w:rsid w:val="00216A01"/>
    <w:rsid w:val="00216D20"/>
    <w:rsid w:val="0021793C"/>
    <w:rsid w:val="00222C3F"/>
    <w:rsid w:val="00223E06"/>
    <w:rsid w:val="00224F66"/>
    <w:rsid w:val="00225623"/>
    <w:rsid w:val="0022650B"/>
    <w:rsid w:val="00230731"/>
    <w:rsid w:val="00231C3D"/>
    <w:rsid w:val="00234345"/>
    <w:rsid w:val="00235F72"/>
    <w:rsid w:val="0024129A"/>
    <w:rsid w:val="00241A6B"/>
    <w:rsid w:val="00241B48"/>
    <w:rsid w:val="00244452"/>
    <w:rsid w:val="00250493"/>
    <w:rsid w:val="00250590"/>
    <w:rsid w:val="00251300"/>
    <w:rsid w:val="0025202B"/>
    <w:rsid w:val="00254A76"/>
    <w:rsid w:val="002565A5"/>
    <w:rsid w:val="0026203D"/>
    <w:rsid w:val="00262CBD"/>
    <w:rsid w:val="00262EBB"/>
    <w:rsid w:val="00265717"/>
    <w:rsid w:val="0026591D"/>
    <w:rsid w:val="00267FAB"/>
    <w:rsid w:val="00271480"/>
    <w:rsid w:val="00271513"/>
    <w:rsid w:val="002719C5"/>
    <w:rsid w:val="00271B21"/>
    <w:rsid w:val="00274A2D"/>
    <w:rsid w:val="0027539F"/>
    <w:rsid w:val="002755D0"/>
    <w:rsid w:val="0028011A"/>
    <w:rsid w:val="00281659"/>
    <w:rsid w:val="0028186A"/>
    <w:rsid w:val="00285A86"/>
    <w:rsid w:val="00285B9F"/>
    <w:rsid w:val="00285CE9"/>
    <w:rsid w:val="00287498"/>
    <w:rsid w:val="00287F80"/>
    <w:rsid w:val="0029289A"/>
    <w:rsid w:val="002937D3"/>
    <w:rsid w:val="002940C0"/>
    <w:rsid w:val="00295D8C"/>
    <w:rsid w:val="002967F8"/>
    <w:rsid w:val="002971F1"/>
    <w:rsid w:val="00297CD4"/>
    <w:rsid w:val="002A4A07"/>
    <w:rsid w:val="002A77A1"/>
    <w:rsid w:val="002B0164"/>
    <w:rsid w:val="002B248B"/>
    <w:rsid w:val="002B2680"/>
    <w:rsid w:val="002B4A53"/>
    <w:rsid w:val="002B4D30"/>
    <w:rsid w:val="002B7291"/>
    <w:rsid w:val="002C029F"/>
    <w:rsid w:val="002C4EEB"/>
    <w:rsid w:val="002D0654"/>
    <w:rsid w:val="002D2451"/>
    <w:rsid w:val="002D272B"/>
    <w:rsid w:val="002D525E"/>
    <w:rsid w:val="002D5306"/>
    <w:rsid w:val="002D5FBB"/>
    <w:rsid w:val="002D6533"/>
    <w:rsid w:val="002D75ED"/>
    <w:rsid w:val="002D78DC"/>
    <w:rsid w:val="002E16AB"/>
    <w:rsid w:val="002E179F"/>
    <w:rsid w:val="002E2FB9"/>
    <w:rsid w:val="002E3180"/>
    <w:rsid w:val="002E3798"/>
    <w:rsid w:val="002E57B9"/>
    <w:rsid w:val="002E71D9"/>
    <w:rsid w:val="002F078C"/>
    <w:rsid w:val="002F150A"/>
    <w:rsid w:val="002F1F1C"/>
    <w:rsid w:val="002F4CCC"/>
    <w:rsid w:val="002F6139"/>
    <w:rsid w:val="002F669E"/>
    <w:rsid w:val="002F7BF5"/>
    <w:rsid w:val="00300D54"/>
    <w:rsid w:val="00301405"/>
    <w:rsid w:val="00301BD8"/>
    <w:rsid w:val="00306580"/>
    <w:rsid w:val="00306D4F"/>
    <w:rsid w:val="00311975"/>
    <w:rsid w:val="00311AD4"/>
    <w:rsid w:val="0032103E"/>
    <w:rsid w:val="0032228D"/>
    <w:rsid w:val="003224AE"/>
    <w:rsid w:val="00323019"/>
    <w:rsid w:val="003242CF"/>
    <w:rsid w:val="00325478"/>
    <w:rsid w:val="00326B71"/>
    <w:rsid w:val="003302FF"/>
    <w:rsid w:val="003311A1"/>
    <w:rsid w:val="00332222"/>
    <w:rsid w:val="00332F60"/>
    <w:rsid w:val="00335276"/>
    <w:rsid w:val="00335D5C"/>
    <w:rsid w:val="00337300"/>
    <w:rsid w:val="00340561"/>
    <w:rsid w:val="003431F4"/>
    <w:rsid w:val="003438E5"/>
    <w:rsid w:val="003443E3"/>
    <w:rsid w:val="00344505"/>
    <w:rsid w:val="00345F40"/>
    <w:rsid w:val="0034776A"/>
    <w:rsid w:val="00355376"/>
    <w:rsid w:val="00355A3F"/>
    <w:rsid w:val="00356364"/>
    <w:rsid w:val="0036023E"/>
    <w:rsid w:val="00360C2F"/>
    <w:rsid w:val="00361A01"/>
    <w:rsid w:val="00361A72"/>
    <w:rsid w:val="0036709B"/>
    <w:rsid w:val="003677E5"/>
    <w:rsid w:val="00370B32"/>
    <w:rsid w:val="00371A86"/>
    <w:rsid w:val="00371E7A"/>
    <w:rsid w:val="00372364"/>
    <w:rsid w:val="003748E7"/>
    <w:rsid w:val="0037537D"/>
    <w:rsid w:val="00376A16"/>
    <w:rsid w:val="00376F9B"/>
    <w:rsid w:val="00381E94"/>
    <w:rsid w:val="0038303C"/>
    <w:rsid w:val="00383901"/>
    <w:rsid w:val="003844A3"/>
    <w:rsid w:val="00384B7D"/>
    <w:rsid w:val="00385458"/>
    <w:rsid w:val="00386068"/>
    <w:rsid w:val="003914E4"/>
    <w:rsid w:val="00391F9B"/>
    <w:rsid w:val="003924A8"/>
    <w:rsid w:val="00393605"/>
    <w:rsid w:val="003939EB"/>
    <w:rsid w:val="003941F6"/>
    <w:rsid w:val="00395548"/>
    <w:rsid w:val="00395BDD"/>
    <w:rsid w:val="003961B3"/>
    <w:rsid w:val="003970CB"/>
    <w:rsid w:val="00397AA0"/>
    <w:rsid w:val="003A0EB7"/>
    <w:rsid w:val="003A22B4"/>
    <w:rsid w:val="003A3B09"/>
    <w:rsid w:val="003A4612"/>
    <w:rsid w:val="003A7A23"/>
    <w:rsid w:val="003A7FDC"/>
    <w:rsid w:val="003B115E"/>
    <w:rsid w:val="003B23BE"/>
    <w:rsid w:val="003B25CD"/>
    <w:rsid w:val="003B2EE7"/>
    <w:rsid w:val="003B4DB4"/>
    <w:rsid w:val="003B7F0A"/>
    <w:rsid w:val="003C22B7"/>
    <w:rsid w:val="003C6EAC"/>
    <w:rsid w:val="003C762C"/>
    <w:rsid w:val="003D0D6A"/>
    <w:rsid w:val="003D1FA1"/>
    <w:rsid w:val="003D2F6D"/>
    <w:rsid w:val="003D3C7E"/>
    <w:rsid w:val="003D4CB5"/>
    <w:rsid w:val="003D57B7"/>
    <w:rsid w:val="003D5ECC"/>
    <w:rsid w:val="003D6A68"/>
    <w:rsid w:val="003D7F23"/>
    <w:rsid w:val="003E021C"/>
    <w:rsid w:val="003E1129"/>
    <w:rsid w:val="003E1491"/>
    <w:rsid w:val="003E3739"/>
    <w:rsid w:val="003E5C76"/>
    <w:rsid w:val="003E6D46"/>
    <w:rsid w:val="003E75B3"/>
    <w:rsid w:val="003F0378"/>
    <w:rsid w:val="003F0D0B"/>
    <w:rsid w:val="003F0FD9"/>
    <w:rsid w:val="003F6C8B"/>
    <w:rsid w:val="003F6CAE"/>
    <w:rsid w:val="003F7B2C"/>
    <w:rsid w:val="00401627"/>
    <w:rsid w:val="00402B2B"/>
    <w:rsid w:val="0040351C"/>
    <w:rsid w:val="00403DA4"/>
    <w:rsid w:val="00404AB2"/>
    <w:rsid w:val="00405F9D"/>
    <w:rsid w:val="004068AF"/>
    <w:rsid w:val="0041021F"/>
    <w:rsid w:val="0041072F"/>
    <w:rsid w:val="00412AE9"/>
    <w:rsid w:val="00413407"/>
    <w:rsid w:val="00414367"/>
    <w:rsid w:val="00415B8E"/>
    <w:rsid w:val="00420DD5"/>
    <w:rsid w:val="00421FA1"/>
    <w:rsid w:val="00422813"/>
    <w:rsid w:val="004252BE"/>
    <w:rsid w:val="00425475"/>
    <w:rsid w:val="0042565C"/>
    <w:rsid w:val="004256E6"/>
    <w:rsid w:val="0042607B"/>
    <w:rsid w:val="00426B80"/>
    <w:rsid w:val="00426F08"/>
    <w:rsid w:val="00426FBB"/>
    <w:rsid w:val="00432B8B"/>
    <w:rsid w:val="0043386C"/>
    <w:rsid w:val="004346D7"/>
    <w:rsid w:val="004378BF"/>
    <w:rsid w:val="00437DF3"/>
    <w:rsid w:val="00437EF7"/>
    <w:rsid w:val="00442015"/>
    <w:rsid w:val="00442CF9"/>
    <w:rsid w:val="00442E76"/>
    <w:rsid w:val="00443DDC"/>
    <w:rsid w:val="004452A8"/>
    <w:rsid w:val="00445411"/>
    <w:rsid w:val="00445570"/>
    <w:rsid w:val="00445C9C"/>
    <w:rsid w:val="00446834"/>
    <w:rsid w:val="00446A23"/>
    <w:rsid w:val="00447408"/>
    <w:rsid w:val="004477B5"/>
    <w:rsid w:val="004547EC"/>
    <w:rsid w:val="004549AB"/>
    <w:rsid w:val="00454CB6"/>
    <w:rsid w:val="00455F54"/>
    <w:rsid w:val="00456335"/>
    <w:rsid w:val="00456FF9"/>
    <w:rsid w:val="004574B8"/>
    <w:rsid w:val="00460763"/>
    <w:rsid w:val="004613E8"/>
    <w:rsid w:val="00462840"/>
    <w:rsid w:val="00465953"/>
    <w:rsid w:val="00465C8B"/>
    <w:rsid w:val="00467194"/>
    <w:rsid w:val="004703A4"/>
    <w:rsid w:val="00471AB6"/>
    <w:rsid w:val="00473D83"/>
    <w:rsid w:val="00474291"/>
    <w:rsid w:val="00482445"/>
    <w:rsid w:val="00483752"/>
    <w:rsid w:val="00485D63"/>
    <w:rsid w:val="004900E0"/>
    <w:rsid w:val="00491737"/>
    <w:rsid w:val="00492376"/>
    <w:rsid w:val="004935C1"/>
    <w:rsid w:val="0049656B"/>
    <w:rsid w:val="004A11C0"/>
    <w:rsid w:val="004A3245"/>
    <w:rsid w:val="004A4467"/>
    <w:rsid w:val="004A6621"/>
    <w:rsid w:val="004A7966"/>
    <w:rsid w:val="004A7C00"/>
    <w:rsid w:val="004B01C4"/>
    <w:rsid w:val="004B160F"/>
    <w:rsid w:val="004B1EF5"/>
    <w:rsid w:val="004B2DE2"/>
    <w:rsid w:val="004B44D0"/>
    <w:rsid w:val="004B44DC"/>
    <w:rsid w:val="004B5707"/>
    <w:rsid w:val="004B7E4E"/>
    <w:rsid w:val="004B7E9C"/>
    <w:rsid w:val="004C2359"/>
    <w:rsid w:val="004C3044"/>
    <w:rsid w:val="004C376D"/>
    <w:rsid w:val="004C6193"/>
    <w:rsid w:val="004C6B1A"/>
    <w:rsid w:val="004C7104"/>
    <w:rsid w:val="004C7426"/>
    <w:rsid w:val="004C7E7F"/>
    <w:rsid w:val="004D0777"/>
    <w:rsid w:val="004D1B6B"/>
    <w:rsid w:val="004D2EBD"/>
    <w:rsid w:val="004D2FBF"/>
    <w:rsid w:val="004D3962"/>
    <w:rsid w:val="004D4386"/>
    <w:rsid w:val="004D6D28"/>
    <w:rsid w:val="004D7434"/>
    <w:rsid w:val="004D751C"/>
    <w:rsid w:val="004E3D24"/>
    <w:rsid w:val="004E4F47"/>
    <w:rsid w:val="004E6607"/>
    <w:rsid w:val="004E6ADC"/>
    <w:rsid w:val="004E6D6C"/>
    <w:rsid w:val="004F0853"/>
    <w:rsid w:val="004F1461"/>
    <w:rsid w:val="004F390C"/>
    <w:rsid w:val="004F40DF"/>
    <w:rsid w:val="004F4849"/>
    <w:rsid w:val="004F6F91"/>
    <w:rsid w:val="004F7845"/>
    <w:rsid w:val="00502135"/>
    <w:rsid w:val="00506210"/>
    <w:rsid w:val="005073B5"/>
    <w:rsid w:val="00507991"/>
    <w:rsid w:val="00507B1C"/>
    <w:rsid w:val="00511084"/>
    <w:rsid w:val="00511C83"/>
    <w:rsid w:val="00512359"/>
    <w:rsid w:val="0051463E"/>
    <w:rsid w:val="00515497"/>
    <w:rsid w:val="00516998"/>
    <w:rsid w:val="00520EC4"/>
    <w:rsid w:val="005241FE"/>
    <w:rsid w:val="00527DE7"/>
    <w:rsid w:val="0053011C"/>
    <w:rsid w:val="00531FCE"/>
    <w:rsid w:val="00532599"/>
    <w:rsid w:val="00532D4E"/>
    <w:rsid w:val="00533195"/>
    <w:rsid w:val="00536BC0"/>
    <w:rsid w:val="00537995"/>
    <w:rsid w:val="00540A28"/>
    <w:rsid w:val="00541E15"/>
    <w:rsid w:val="00545062"/>
    <w:rsid w:val="00545A65"/>
    <w:rsid w:val="00547C92"/>
    <w:rsid w:val="00550402"/>
    <w:rsid w:val="005504C3"/>
    <w:rsid w:val="00551A5F"/>
    <w:rsid w:val="005579E4"/>
    <w:rsid w:val="00557E0A"/>
    <w:rsid w:val="00560426"/>
    <w:rsid w:val="0056087F"/>
    <w:rsid w:val="00561F60"/>
    <w:rsid w:val="005634B4"/>
    <w:rsid w:val="0056403D"/>
    <w:rsid w:val="00565188"/>
    <w:rsid w:val="00566FAF"/>
    <w:rsid w:val="00567AAD"/>
    <w:rsid w:val="00572939"/>
    <w:rsid w:val="00573924"/>
    <w:rsid w:val="00574BDD"/>
    <w:rsid w:val="0057591F"/>
    <w:rsid w:val="0057596A"/>
    <w:rsid w:val="005763C6"/>
    <w:rsid w:val="005776FA"/>
    <w:rsid w:val="00580A4F"/>
    <w:rsid w:val="00580B50"/>
    <w:rsid w:val="005819F5"/>
    <w:rsid w:val="00581C8C"/>
    <w:rsid w:val="00582A91"/>
    <w:rsid w:val="00582B57"/>
    <w:rsid w:val="00583EF8"/>
    <w:rsid w:val="005840D1"/>
    <w:rsid w:val="0058573D"/>
    <w:rsid w:val="00586AE3"/>
    <w:rsid w:val="005940DB"/>
    <w:rsid w:val="0059423F"/>
    <w:rsid w:val="005A1AEA"/>
    <w:rsid w:val="005A216F"/>
    <w:rsid w:val="005A2D76"/>
    <w:rsid w:val="005A31FA"/>
    <w:rsid w:val="005B04D2"/>
    <w:rsid w:val="005B0C55"/>
    <w:rsid w:val="005B6AED"/>
    <w:rsid w:val="005C20DA"/>
    <w:rsid w:val="005C4719"/>
    <w:rsid w:val="005C482C"/>
    <w:rsid w:val="005C5CA2"/>
    <w:rsid w:val="005C5D87"/>
    <w:rsid w:val="005C62A1"/>
    <w:rsid w:val="005C659D"/>
    <w:rsid w:val="005C73E2"/>
    <w:rsid w:val="005D19E7"/>
    <w:rsid w:val="005D26D6"/>
    <w:rsid w:val="005D2CCC"/>
    <w:rsid w:val="005D386C"/>
    <w:rsid w:val="005D3CEB"/>
    <w:rsid w:val="005D408F"/>
    <w:rsid w:val="005D6658"/>
    <w:rsid w:val="005D77F7"/>
    <w:rsid w:val="005E0486"/>
    <w:rsid w:val="005E1629"/>
    <w:rsid w:val="005E2411"/>
    <w:rsid w:val="005E2619"/>
    <w:rsid w:val="005E4128"/>
    <w:rsid w:val="005E442F"/>
    <w:rsid w:val="005F0A78"/>
    <w:rsid w:val="005F12F7"/>
    <w:rsid w:val="005F1C37"/>
    <w:rsid w:val="005F3AC9"/>
    <w:rsid w:val="005F4664"/>
    <w:rsid w:val="005F5794"/>
    <w:rsid w:val="005F5A4E"/>
    <w:rsid w:val="005F609F"/>
    <w:rsid w:val="005F6604"/>
    <w:rsid w:val="005F740B"/>
    <w:rsid w:val="00601AFE"/>
    <w:rsid w:val="00601B92"/>
    <w:rsid w:val="006032D7"/>
    <w:rsid w:val="00605576"/>
    <w:rsid w:val="0060597A"/>
    <w:rsid w:val="00606ECF"/>
    <w:rsid w:val="006076B5"/>
    <w:rsid w:val="006076E0"/>
    <w:rsid w:val="006076FF"/>
    <w:rsid w:val="006169E7"/>
    <w:rsid w:val="00617C85"/>
    <w:rsid w:val="00617D90"/>
    <w:rsid w:val="006212DF"/>
    <w:rsid w:val="006223EF"/>
    <w:rsid w:val="00624E32"/>
    <w:rsid w:val="00632071"/>
    <w:rsid w:val="0063573E"/>
    <w:rsid w:val="006367CD"/>
    <w:rsid w:val="0063748C"/>
    <w:rsid w:val="00637BB8"/>
    <w:rsid w:val="00640CBA"/>
    <w:rsid w:val="00642754"/>
    <w:rsid w:val="00643872"/>
    <w:rsid w:val="00646E7F"/>
    <w:rsid w:val="00650F2B"/>
    <w:rsid w:val="00651368"/>
    <w:rsid w:val="006521DC"/>
    <w:rsid w:val="006529B1"/>
    <w:rsid w:val="006547C8"/>
    <w:rsid w:val="0065499F"/>
    <w:rsid w:val="00657E33"/>
    <w:rsid w:val="00661393"/>
    <w:rsid w:val="00661A5A"/>
    <w:rsid w:val="006634C5"/>
    <w:rsid w:val="00664709"/>
    <w:rsid w:val="00666098"/>
    <w:rsid w:val="00667A70"/>
    <w:rsid w:val="0067471E"/>
    <w:rsid w:val="00675DF7"/>
    <w:rsid w:val="00676FBF"/>
    <w:rsid w:val="00677036"/>
    <w:rsid w:val="006810BF"/>
    <w:rsid w:val="00681D1B"/>
    <w:rsid w:val="006853A7"/>
    <w:rsid w:val="00691467"/>
    <w:rsid w:val="0069171D"/>
    <w:rsid w:val="006924D3"/>
    <w:rsid w:val="00693B51"/>
    <w:rsid w:val="006942F2"/>
    <w:rsid w:val="006964B7"/>
    <w:rsid w:val="006973CE"/>
    <w:rsid w:val="0069771B"/>
    <w:rsid w:val="006A053B"/>
    <w:rsid w:val="006A1356"/>
    <w:rsid w:val="006A2A13"/>
    <w:rsid w:val="006A31CD"/>
    <w:rsid w:val="006A34EA"/>
    <w:rsid w:val="006A3E79"/>
    <w:rsid w:val="006A3F32"/>
    <w:rsid w:val="006A4359"/>
    <w:rsid w:val="006A4DA8"/>
    <w:rsid w:val="006A636D"/>
    <w:rsid w:val="006A706B"/>
    <w:rsid w:val="006A741D"/>
    <w:rsid w:val="006A7D7E"/>
    <w:rsid w:val="006B0E5A"/>
    <w:rsid w:val="006B39BC"/>
    <w:rsid w:val="006B5469"/>
    <w:rsid w:val="006B5B62"/>
    <w:rsid w:val="006B5E83"/>
    <w:rsid w:val="006C168E"/>
    <w:rsid w:val="006C1779"/>
    <w:rsid w:val="006C732F"/>
    <w:rsid w:val="006D160B"/>
    <w:rsid w:val="006D2316"/>
    <w:rsid w:val="006D6251"/>
    <w:rsid w:val="006E2DC4"/>
    <w:rsid w:val="006E3217"/>
    <w:rsid w:val="006E601E"/>
    <w:rsid w:val="006E6D94"/>
    <w:rsid w:val="006E795A"/>
    <w:rsid w:val="006F0376"/>
    <w:rsid w:val="006F0817"/>
    <w:rsid w:val="006F0BD7"/>
    <w:rsid w:val="006F0C9A"/>
    <w:rsid w:val="006F1BE3"/>
    <w:rsid w:val="006F3796"/>
    <w:rsid w:val="006F3CE9"/>
    <w:rsid w:val="006F592D"/>
    <w:rsid w:val="006F5A20"/>
    <w:rsid w:val="00700E4C"/>
    <w:rsid w:val="0070378B"/>
    <w:rsid w:val="00705E19"/>
    <w:rsid w:val="00712734"/>
    <w:rsid w:val="00712D9A"/>
    <w:rsid w:val="00713DEA"/>
    <w:rsid w:val="00714354"/>
    <w:rsid w:val="00715C6B"/>
    <w:rsid w:val="0072065D"/>
    <w:rsid w:val="00725829"/>
    <w:rsid w:val="00725E80"/>
    <w:rsid w:val="0072622B"/>
    <w:rsid w:val="00730CDC"/>
    <w:rsid w:val="007311B1"/>
    <w:rsid w:val="00731344"/>
    <w:rsid w:val="007314D9"/>
    <w:rsid w:val="007320FB"/>
    <w:rsid w:val="00732750"/>
    <w:rsid w:val="00733489"/>
    <w:rsid w:val="00734DCF"/>
    <w:rsid w:val="007362FF"/>
    <w:rsid w:val="00742E5B"/>
    <w:rsid w:val="00742FFA"/>
    <w:rsid w:val="00743AF1"/>
    <w:rsid w:val="00743F08"/>
    <w:rsid w:val="0074689D"/>
    <w:rsid w:val="007468B7"/>
    <w:rsid w:val="00746E08"/>
    <w:rsid w:val="0075125C"/>
    <w:rsid w:val="007516FC"/>
    <w:rsid w:val="0075341A"/>
    <w:rsid w:val="00754538"/>
    <w:rsid w:val="00754B46"/>
    <w:rsid w:val="00757354"/>
    <w:rsid w:val="007608BC"/>
    <w:rsid w:val="00761E4F"/>
    <w:rsid w:val="0076351F"/>
    <w:rsid w:val="0076398E"/>
    <w:rsid w:val="00764627"/>
    <w:rsid w:val="007651C0"/>
    <w:rsid w:val="007652B3"/>
    <w:rsid w:val="00766BAC"/>
    <w:rsid w:val="00772138"/>
    <w:rsid w:val="007739D0"/>
    <w:rsid w:val="00774134"/>
    <w:rsid w:val="0077455A"/>
    <w:rsid w:val="00775E88"/>
    <w:rsid w:val="00776564"/>
    <w:rsid w:val="00776E4D"/>
    <w:rsid w:val="00777704"/>
    <w:rsid w:val="00781598"/>
    <w:rsid w:val="00781975"/>
    <w:rsid w:val="00782D39"/>
    <w:rsid w:val="0078362F"/>
    <w:rsid w:val="0079103A"/>
    <w:rsid w:val="007918F9"/>
    <w:rsid w:val="00792910"/>
    <w:rsid w:val="00794ADE"/>
    <w:rsid w:val="0079579C"/>
    <w:rsid w:val="00796D4A"/>
    <w:rsid w:val="00797F95"/>
    <w:rsid w:val="007A28E2"/>
    <w:rsid w:val="007A4E4F"/>
    <w:rsid w:val="007A7575"/>
    <w:rsid w:val="007A7B0D"/>
    <w:rsid w:val="007B05DA"/>
    <w:rsid w:val="007B1B7F"/>
    <w:rsid w:val="007B259B"/>
    <w:rsid w:val="007B28BE"/>
    <w:rsid w:val="007B5482"/>
    <w:rsid w:val="007B5C35"/>
    <w:rsid w:val="007B76D0"/>
    <w:rsid w:val="007C3DE3"/>
    <w:rsid w:val="007C491B"/>
    <w:rsid w:val="007C4D80"/>
    <w:rsid w:val="007C6EFB"/>
    <w:rsid w:val="007C70AB"/>
    <w:rsid w:val="007C7617"/>
    <w:rsid w:val="007C7790"/>
    <w:rsid w:val="007C7C7D"/>
    <w:rsid w:val="007D0B2A"/>
    <w:rsid w:val="007D1D0D"/>
    <w:rsid w:val="007D1F70"/>
    <w:rsid w:val="007D226B"/>
    <w:rsid w:val="007D39AA"/>
    <w:rsid w:val="007D400B"/>
    <w:rsid w:val="007D422A"/>
    <w:rsid w:val="007D4EED"/>
    <w:rsid w:val="007D557A"/>
    <w:rsid w:val="007D6708"/>
    <w:rsid w:val="007D6E06"/>
    <w:rsid w:val="007D7910"/>
    <w:rsid w:val="007D7FF0"/>
    <w:rsid w:val="007E2487"/>
    <w:rsid w:val="007E4183"/>
    <w:rsid w:val="007E47C9"/>
    <w:rsid w:val="007E4EF5"/>
    <w:rsid w:val="007E51D5"/>
    <w:rsid w:val="007E6544"/>
    <w:rsid w:val="007E7545"/>
    <w:rsid w:val="007F12A8"/>
    <w:rsid w:val="007F3205"/>
    <w:rsid w:val="007F3348"/>
    <w:rsid w:val="007F3378"/>
    <w:rsid w:val="007F40FD"/>
    <w:rsid w:val="007F411C"/>
    <w:rsid w:val="007F4D9D"/>
    <w:rsid w:val="007F4EC4"/>
    <w:rsid w:val="007F61A2"/>
    <w:rsid w:val="007F7E21"/>
    <w:rsid w:val="008027AB"/>
    <w:rsid w:val="00804261"/>
    <w:rsid w:val="00805D9F"/>
    <w:rsid w:val="0081285F"/>
    <w:rsid w:val="008128CD"/>
    <w:rsid w:val="00813362"/>
    <w:rsid w:val="008137C5"/>
    <w:rsid w:val="0082249E"/>
    <w:rsid w:val="00822AA6"/>
    <w:rsid w:val="0082556F"/>
    <w:rsid w:val="00825937"/>
    <w:rsid w:val="00827CDB"/>
    <w:rsid w:val="00830A3B"/>
    <w:rsid w:val="00831DE9"/>
    <w:rsid w:val="00834CE2"/>
    <w:rsid w:val="0083514C"/>
    <w:rsid w:val="00835317"/>
    <w:rsid w:val="00836A57"/>
    <w:rsid w:val="0084044F"/>
    <w:rsid w:val="00841631"/>
    <w:rsid w:val="0084412F"/>
    <w:rsid w:val="00845F07"/>
    <w:rsid w:val="008475D3"/>
    <w:rsid w:val="008509E9"/>
    <w:rsid w:val="0085384A"/>
    <w:rsid w:val="00853F57"/>
    <w:rsid w:val="008559A9"/>
    <w:rsid w:val="00857796"/>
    <w:rsid w:val="00857C33"/>
    <w:rsid w:val="00857C70"/>
    <w:rsid w:val="00861A8E"/>
    <w:rsid w:val="00862030"/>
    <w:rsid w:val="00862BF0"/>
    <w:rsid w:val="00862DF4"/>
    <w:rsid w:val="0086400B"/>
    <w:rsid w:val="008651DA"/>
    <w:rsid w:val="00870929"/>
    <w:rsid w:val="00872D4B"/>
    <w:rsid w:val="008735F6"/>
    <w:rsid w:val="0088114A"/>
    <w:rsid w:val="00881C85"/>
    <w:rsid w:val="00882F64"/>
    <w:rsid w:val="00886FE2"/>
    <w:rsid w:val="0089043E"/>
    <w:rsid w:val="00892482"/>
    <w:rsid w:val="00892916"/>
    <w:rsid w:val="008950FC"/>
    <w:rsid w:val="00895D18"/>
    <w:rsid w:val="00896588"/>
    <w:rsid w:val="008A2946"/>
    <w:rsid w:val="008A3A49"/>
    <w:rsid w:val="008A4C9F"/>
    <w:rsid w:val="008A4E96"/>
    <w:rsid w:val="008A61E3"/>
    <w:rsid w:val="008A63EA"/>
    <w:rsid w:val="008A6614"/>
    <w:rsid w:val="008A6A7E"/>
    <w:rsid w:val="008B243B"/>
    <w:rsid w:val="008B5751"/>
    <w:rsid w:val="008B57D6"/>
    <w:rsid w:val="008B5878"/>
    <w:rsid w:val="008B6432"/>
    <w:rsid w:val="008B6995"/>
    <w:rsid w:val="008C052C"/>
    <w:rsid w:val="008C0CAA"/>
    <w:rsid w:val="008C16C8"/>
    <w:rsid w:val="008C1DB9"/>
    <w:rsid w:val="008C24E6"/>
    <w:rsid w:val="008C2D86"/>
    <w:rsid w:val="008C5D32"/>
    <w:rsid w:val="008C620F"/>
    <w:rsid w:val="008C72BD"/>
    <w:rsid w:val="008C72E6"/>
    <w:rsid w:val="008D0910"/>
    <w:rsid w:val="008D0E08"/>
    <w:rsid w:val="008D0E21"/>
    <w:rsid w:val="008D0EF6"/>
    <w:rsid w:val="008D17A2"/>
    <w:rsid w:val="008D2646"/>
    <w:rsid w:val="008D2BA1"/>
    <w:rsid w:val="008D2D8B"/>
    <w:rsid w:val="008D42AF"/>
    <w:rsid w:val="008D4CBB"/>
    <w:rsid w:val="008D4D21"/>
    <w:rsid w:val="008D4E56"/>
    <w:rsid w:val="008D4E82"/>
    <w:rsid w:val="008D6FEF"/>
    <w:rsid w:val="008D731B"/>
    <w:rsid w:val="008D772F"/>
    <w:rsid w:val="008E0512"/>
    <w:rsid w:val="008E0A90"/>
    <w:rsid w:val="008E3866"/>
    <w:rsid w:val="008E645F"/>
    <w:rsid w:val="008E70C9"/>
    <w:rsid w:val="008F016A"/>
    <w:rsid w:val="008F08C7"/>
    <w:rsid w:val="008F1DB0"/>
    <w:rsid w:val="008F22A5"/>
    <w:rsid w:val="008F30C9"/>
    <w:rsid w:val="008F3BF3"/>
    <w:rsid w:val="008F3D1E"/>
    <w:rsid w:val="008F58E3"/>
    <w:rsid w:val="008F6B46"/>
    <w:rsid w:val="008F6D36"/>
    <w:rsid w:val="008F76D3"/>
    <w:rsid w:val="008F7A92"/>
    <w:rsid w:val="00900537"/>
    <w:rsid w:val="00910215"/>
    <w:rsid w:val="009124D4"/>
    <w:rsid w:val="00914D3F"/>
    <w:rsid w:val="009155BD"/>
    <w:rsid w:val="00915DF7"/>
    <w:rsid w:val="00917810"/>
    <w:rsid w:val="00917FB2"/>
    <w:rsid w:val="00920AFA"/>
    <w:rsid w:val="009245FF"/>
    <w:rsid w:val="00925A64"/>
    <w:rsid w:val="00927FA4"/>
    <w:rsid w:val="00931C57"/>
    <w:rsid w:val="00934B7C"/>
    <w:rsid w:val="00935358"/>
    <w:rsid w:val="00935C34"/>
    <w:rsid w:val="00935D2C"/>
    <w:rsid w:val="00935D31"/>
    <w:rsid w:val="00935E19"/>
    <w:rsid w:val="0093670C"/>
    <w:rsid w:val="009415CA"/>
    <w:rsid w:val="0094290B"/>
    <w:rsid w:val="009429DA"/>
    <w:rsid w:val="009433F7"/>
    <w:rsid w:val="00943586"/>
    <w:rsid w:val="009452CD"/>
    <w:rsid w:val="00946716"/>
    <w:rsid w:val="00946785"/>
    <w:rsid w:val="009479D5"/>
    <w:rsid w:val="00947A79"/>
    <w:rsid w:val="0095105A"/>
    <w:rsid w:val="00952956"/>
    <w:rsid w:val="00955B91"/>
    <w:rsid w:val="009563EF"/>
    <w:rsid w:val="00957544"/>
    <w:rsid w:val="00957708"/>
    <w:rsid w:val="00957A43"/>
    <w:rsid w:val="00960AD4"/>
    <w:rsid w:val="00960BE5"/>
    <w:rsid w:val="00961D95"/>
    <w:rsid w:val="009628E1"/>
    <w:rsid w:val="00963CEF"/>
    <w:rsid w:val="00966109"/>
    <w:rsid w:val="0096690F"/>
    <w:rsid w:val="00971C13"/>
    <w:rsid w:val="00972972"/>
    <w:rsid w:val="009731A2"/>
    <w:rsid w:val="009739E1"/>
    <w:rsid w:val="00973D0F"/>
    <w:rsid w:val="00975638"/>
    <w:rsid w:val="00975925"/>
    <w:rsid w:val="00975BC4"/>
    <w:rsid w:val="00976245"/>
    <w:rsid w:val="00982045"/>
    <w:rsid w:val="00982B8C"/>
    <w:rsid w:val="00982C62"/>
    <w:rsid w:val="00982D42"/>
    <w:rsid w:val="00990448"/>
    <w:rsid w:val="00990FF6"/>
    <w:rsid w:val="0099172A"/>
    <w:rsid w:val="00991EB3"/>
    <w:rsid w:val="00992494"/>
    <w:rsid w:val="00995833"/>
    <w:rsid w:val="0099743E"/>
    <w:rsid w:val="00997FED"/>
    <w:rsid w:val="009A2EAB"/>
    <w:rsid w:val="009A32AD"/>
    <w:rsid w:val="009A4A8A"/>
    <w:rsid w:val="009A4F4F"/>
    <w:rsid w:val="009A6565"/>
    <w:rsid w:val="009A6ED8"/>
    <w:rsid w:val="009B3402"/>
    <w:rsid w:val="009B4861"/>
    <w:rsid w:val="009B5198"/>
    <w:rsid w:val="009B5A30"/>
    <w:rsid w:val="009B647A"/>
    <w:rsid w:val="009B73D0"/>
    <w:rsid w:val="009C0107"/>
    <w:rsid w:val="009C09D2"/>
    <w:rsid w:val="009C09F1"/>
    <w:rsid w:val="009C0B5F"/>
    <w:rsid w:val="009C0B8D"/>
    <w:rsid w:val="009C1452"/>
    <w:rsid w:val="009C49E5"/>
    <w:rsid w:val="009C5AF9"/>
    <w:rsid w:val="009C6C36"/>
    <w:rsid w:val="009C799B"/>
    <w:rsid w:val="009D1724"/>
    <w:rsid w:val="009D1FBC"/>
    <w:rsid w:val="009D2D15"/>
    <w:rsid w:val="009D6768"/>
    <w:rsid w:val="009D6BD6"/>
    <w:rsid w:val="009E0050"/>
    <w:rsid w:val="009E006C"/>
    <w:rsid w:val="009E0E3B"/>
    <w:rsid w:val="009E254E"/>
    <w:rsid w:val="009E2964"/>
    <w:rsid w:val="009E6174"/>
    <w:rsid w:val="009F076F"/>
    <w:rsid w:val="009F1164"/>
    <w:rsid w:val="009F3D3E"/>
    <w:rsid w:val="009F545D"/>
    <w:rsid w:val="009F6087"/>
    <w:rsid w:val="009F76AA"/>
    <w:rsid w:val="00A02DB2"/>
    <w:rsid w:val="00A04A67"/>
    <w:rsid w:val="00A04E0F"/>
    <w:rsid w:val="00A0502A"/>
    <w:rsid w:val="00A06564"/>
    <w:rsid w:val="00A06647"/>
    <w:rsid w:val="00A06CB9"/>
    <w:rsid w:val="00A07EE1"/>
    <w:rsid w:val="00A10A8D"/>
    <w:rsid w:val="00A10C15"/>
    <w:rsid w:val="00A117FB"/>
    <w:rsid w:val="00A11D87"/>
    <w:rsid w:val="00A12425"/>
    <w:rsid w:val="00A139F6"/>
    <w:rsid w:val="00A16E67"/>
    <w:rsid w:val="00A17E45"/>
    <w:rsid w:val="00A21468"/>
    <w:rsid w:val="00A21E91"/>
    <w:rsid w:val="00A22120"/>
    <w:rsid w:val="00A22FB0"/>
    <w:rsid w:val="00A230DE"/>
    <w:rsid w:val="00A2526A"/>
    <w:rsid w:val="00A2740E"/>
    <w:rsid w:val="00A325F1"/>
    <w:rsid w:val="00A32A56"/>
    <w:rsid w:val="00A340CA"/>
    <w:rsid w:val="00A34EB7"/>
    <w:rsid w:val="00A3744D"/>
    <w:rsid w:val="00A402B9"/>
    <w:rsid w:val="00A40424"/>
    <w:rsid w:val="00A40A76"/>
    <w:rsid w:val="00A40E66"/>
    <w:rsid w:val="00A4197E"/>
    <w:rsid w:val="00A4284E"/>
    <w:rsid w:val="00A42B14"/>
    <w:rsid w:val="00A44E00"/>
    <w:rsid w:val="00A45948"/>
    <w:rsid w:val="00A45C89"/>
    <w:rsid w:val="00A467A1"/>
    <w:rsid w:val="00A50392"/>
    <w:rsid w:val="00A51A32"/>
    <w:rsid w:val="00A5251A"/>
    <w:rsid w:val="00A535F4"/>
    <w:rsid w:val="00A53F65"/>
    <w:rsid w:val="00A557FE"/>
    <w:rsid w:val="00A568A1"/>
    <w:rsid w:val="00A56957"/>
    <w:rsid w:val="00A60400"/>
    <w:rsid w:val="00A61796"/>
    <w:rsid w:val="00A64D0A"/>
    <w:rsid w:val="00A65848"/>
    <w:rsid w:val="00A67300"/>
    <w:rsid w:val="00A701A1"/>
    <w:rsid w:val="00A71DD8"/>
    <w:rsid w:val="00A7203B"/>
    <w:rsid w:val="00A72CCA"/>
    <w:rsid w:val="00A730D9"/>
    <w:rsid w:val="00A73A98"/>
    <w:rsid w:val="00A73C20"/>
    <w:rsid w:val="00A73F11"/>
    <w:rsid w:val="00A750E6"/>
    <w:rsid w:val="00A76661"/>
    <w:rsid w:val="00A7788A"/>
    <w:rsid w:val="00A819CF"/>
    <w:rsid w:val="00A81A72"/>
    <w:rsid w:val="00A86717"/>
    <w:rsid w:val="00A87870"/>
    <w:rsid w:val="00A91B78"/>
    <w:rsid w:val="00A9362C"/>
    <w:rsid w:val="00A944A2"/>
    <w:rsid w:val="00A94CB6"/>
    <w:rsid w:val="00A95734"/>
    <w:rsid w:val="00A958C1"/>
    <w:rsid w:val="00A95A3C"/>
    <w:rsid w:val="00A97469"/>
    <w:rsid w:val="00AA0668"/>
    <w:rsid w:val="00AA1AC0"/>
    <w:rsid w:val="00AA2176"/>
    <w:rsid w:val="00AA4882"/>
    <w:rsid w:val="00AA5069"/>
    <w:rsid w:val="00AA5F7F"/>
    <w:rsid w:val="00AA75C4"/>
    <w:rsid w:val="00AB003E"/>
    <w:rsid w:val="00AB0C39"/>
    <w:rsid w:val="00AB1147"/>
    <w:rsid w:val="00AB2B23"/>
    <w:rsid w:val="00AB3584"/>
    <w:rsid w:val="00AB513B"/>
    <w:rsid w:val="00AB7784"/>
    <w:rsid w:val="00AC1578"/>
    <w:rsid w:val="00AC1886"/>
    <w:rsid w:val="00AC1C3C"/>
    <w:rsid w:val="00AC2CE0"/>
    <w:rsid w:val="00AC315F"/>
    <w:rsid w:val="00AC333B"/>
    <w:rsid w:val="00AC658A"/>
    <w:rsid w:val="00AC6D13"/>
    <w:rsid w:val="00AC751A"/>
    <w:rsid w:val="00AC7BEB"/>
    <w:rsid w:val="00AC7EB7"/>
    <w:rsid w:val="00AD3632"/>
    <w:rsid w:val="00AD67A2"/>
    <w:rsid w:val="00AD7416"/>
    <w:rsid w:val="00AD7947"/>
    <w:rsid w:val="00AE07D6"/>
    <w:rsid w:val="00AE4B9D"/>
    <w:rsid w:val="00AF0D16"/>
    <w:rsid w:val="00AF0D4A"/>
    <w:rsid w:val="00AF2134"/>
    <w:rsid w:val="00AF2D5B"/>
    <w:rsid w:val="00AF536C"/>
    <w:rsid w:val="00AF5E92"/>
    <w:rsid w:val="00AF6116"/>
    <w:rsid w:val="00AF7390"/>
    <w:rsid w:val="00AF7BA5"/>
    <w:rsid w:val="00AF7BBE"/>
    <w:rsid w:val="00B04BCF"/>
    <w:rsid w:val="00B0503D"/>
    <w:rsid w:val="00B063DB"/>
    <w:rsid w:val="00B10360"/>
    <w:rsid w:val="00B1064C"/>
    <w:rsid w:val="00B107B6"/>
    <w:rsid w:val="00B10D14"/>
    <w:rsid w:val="00B11A39"/>
    <w:rsid w:val="00B11F2A"/>
    <w:rsid w:val="00B132FD"/>
    <w:rsid w:val="00B140D0"/>
    <w:rsid w:val="00B1487D"/>
    <w:rsid w:val="00B15678"/>
    <w:rsid w:val="00B157E0"/>
    <w:rsid w:val="00B178B8"/>
    <w:rsid w:val="00B21DF0"/>
    <w:rsid w:val="00B23DA8"/>
    <w:rsid w:val="00B24272"/>
    <w:rsid w:val="00B24861"/>
    <w:rsid w:val="00B253B8"/>
    <w:rsid w:val="00B26C96"/>
    <w:rsid w:val="00B3394A"/>
    <w:rsid w:val="00B339D4"/>
    <w:rsid w:val="00B358CD"/>
    <w:rsid w:val="00B35F11"/>
    <w:rsid w:val="00B36ACF"/>
    <w:rsid w:val="00B405EE"/>
    <w:rsid w:val="00B40E29"/>
    <w:rsid w:val="00B41696"/>
    <w:rsid w:val="00B41E83"/>
    <w:rsid w:val="00B424DF"/>
    <w:rsid w:val="00B45013"/>
    <w:rsid w:val="00B46073"/>
    <w:rsid w:val="00B460C7"/>
    <w:rsid w:val="00B47378"/>
    <w:rsid w:val="00B474FF"/>
    <w:rsid w:val="00B4793B"/>
    <w:rsid w:val="00B512A6"/>
    <w:rsid w:val="00B5350A"/>
    <w:rsid w:val="00B53E1B"/>
    <w:rsid w:val="00B54581"/>
    <w:rsid w:val="00B56A17"/>
    <w:rsid w:val="00B61403"/>
    <w:rsid w:val="00B61F4A"/>
    <w:rsid w:val="00B63A80"/>
    <w:rsid w:val="00B64009"/>
    <w:rsid w:val="00B654E0"/>
    <w:rsid w:val="00B65C75"/>
    <w:rsid w:val="00B6670B"/>
    <w:rsid w:val="00B72D70"/>
    <w:rsid w:val="00B74229"/>
    <w:rsid w:val="00B74B68"/>
    <w:rsid w:val="00B757B5"/>
    <w:rsid w:val="00B758A4"/>
    <w:rsid w:val="00B76490"/>
    <w:rsid w:val="00B76A73"/>
    <w:rsid w:val="00B76F3E"/>
    <w:rsid w:val="00B81111"/>
    <w:rsid w:val="00B819BA"/>
    <w:rsid w:val="00B91140"/>
    <w:rsid w:val="00B920C4"/>
    <w:rsid w:val="00B95EDC"/>
    <w:rsid w:val="00B96BBE"/>
    <w:rsid w:val="00BA100C"/>
    <w:rsid w:val="00BA1C5B"/>
    <w:rsid w:val="00BA2051"/>
    <w:rsid w:val="00BA2E18"/>
    <w:rsid w:val="00BA3600"/>
    <w:rsid w:val="00BA4244"/>
    <w:rsid w:val="00BA65C4"/>
    <w:rsid w:val="00BA65EC"/>
    <w:rsid w:val="00BA7B4C"/>
    <w:rsid w:val="00BB4692"/>
    <w:rsid w:val="00BB477E"/>
    <w:rsid w:val="00BC0DD0"/>
    <w:rsid w:val="00BC1737"/>
    <w:rsid w:val="00BC24FF"/>
    <w:rsid w:val="00BC26BB"/>
    <w:rsid w:val="00BC34FD"/>
    <w:rsid w:val="00BC3736"/>
    <w:rsid w:val="00BC6403"/>
    <w:rsid w:val="00BD061B"/>
    <w:rsid w:val="00BD0718"/>
    <w:rsid w:val="00BD09B3"/>
    <w:rsid w:val="00BD146D"/>
    <w:rsid w:val="00BD2055"/>
    <w:rsid w:val="00BD2B2A"/>
    <w:rsid w:val="00BD31F1"/>
    <w:rsid w:val="00BD513E"/>
    <w:rsid w:val="00BD73A9"/>
    <w:rsid w:val="00BD76DA"/>
    <w:rsid w:val="00BD7F75"/>
    <w:rsid w:val="00BE1C62"/>
    <w:rsid w:val="00BE1E01"/>
    <w:rsid w:val="00BE3695"/>
    <w:rsid w:val="00BE42C5"/>
    <w:rsid w:val="00BE5A44"/>
    <w:rsid w:val="00BE5E36"/>
    <w:rsid w:val="00BF2F13"/>
    <w:rsid w:val="00BF3A53"/>
    <w:rsid w:val="00BF4615"/>
    <w:rsid w:val="00C01D6C"/>
    <w:rsid w:val="00C02723"/>
    <w:rsid w:val="00C03BB0"/>
    <w:rsid w:val="00C107F4"/>
    <w:rsid w:val="00C116AA"/>
    <w:rsid w:val="00C11DBE"/>
    <w:rsid w:val="00C14EBF"/>
    <w:rsid w:val="00C1671C"/>
    <w:rsid w:val="00C1787A"/>
    <w:rsid w:val="00C21643"/>
    <w:rsid w:val="00C2176E"/>
    <w:rsid w:val="00C23C2D"/>
    <w:rsid w:val="00C2459F"/>
    <w:rsid w:val="00C253A1"/>
    <w:rsid w:val="00C25B71"/>
    <w:rsid w:val="00C25E6E"/>
    <w:rsid w:val="00C26DA6"/>
    <w:rsid w:val="00C27DF3"/>
    <w:rsid w:val="00C308C9"/>
    <w:rsid w:val="00C31E81"/>
    <w:rsid w:val="00C33138"/>
    <w:rsid w:val="00C33F34"/>
    <w:rsid w:val="00C3479F"/>
    <w:rsid w:val="00C372B2"/>
    <w:rsid w:val="00C37528"/>
    <w:rsid w:val="00C40056"/>
    <w:rsid w:val="00C42F0D"/>
    <w:rsid w:val="00C436F6"/>
    <w:rsid w:val="00C44932"/>
    <w:rsid w:val="00C46AE1"/>
    <w:rsid w:val="00C46BC1"/>
    <w:rsid w:val="00C50758"/>
    <w:rsid w:val="00C5263E"/>
    <w:rsid w:val="00C526D2"/>
    <w:rsid w:val="00C53DD3"/>
    <w:rsid w:val="00C56EDF"/>
    <w:rsid w:val="00C57A1E"/>
    <w:rsid w:val="00C57DE5"/>
    <w:rsid w:val="00C60168"/>
    <w:rsid w:val="00C61A20"/>
    <w:rsid w:val="00C63037"/>
    <w:rsid w:val="00C63B0B"/>
    <w:rsid w:val="00C67DC2"/>
    <w:rsid w:val="00C70FD9"/>
    <w:rsid w:val="00C71974"/>
    <w:rsid w:val="00C724B9"/>
    <w:rsid w:val="00C735D8"/>
    <w:rsid w:val="00C73B32"/>
    <w:rsid w:val="00C76399"/>
    <w:rsid w:val="00C80860"/>
    <w:rsid w:val="00C810FC"/>
    <w:rsid w:val="00C84D3F"/>
    <w:rsid w:val="00C8554B"/>
    <w:rsid w:val="00C914B2"/>
    <w:rsid w:val="00C92A7F"/>
    <w:rsid w:val="00C92C43"/>
    <w:rsid w:val="00C935D6"/>
    <w:rsid w:val="00C95D08"/>
    <w:rsid w:val="00C95E37"/>
    <w:rsid w:val="00CA0BF2"/>
    <w:rsid w:val="00CA1202"/>
    <w:rsid w:val="00CA12AE"/>
    <w:rsid w:val="00CA2096"/>
    <w:rsid w:val="00CA2C5C"/>
    <w:rsid w:val="00CA34E8"/>
    <w:rsid w:val="00CA4E88"/>
    <w:rsid w:val="00CA560E"/>
    <w:rsid w:val="00CB0A1C"/>
    <w:rsid w:val="00CB5681"/>
    <w:rsid w:val="00CB652D"/>
    <w:rsid w:val="00CB71D2"/>
    <w:rsid w:val="00CC05A1"/>
    <w:rsid w:val="00CC35AF"/>
    <w:rsid w:val="00CC6E04"/>
    <w:rsid w:val="00CD175E"/>
    <w:rsid w:val="00CD2486"/>
    <w:rsid w:val="00CD294C"/>
    <w:rsid w:val="00CD2E90"/>
    <w:rsid w:val="00CD3B37"/>
    <w:rsid w:val="00CE4FE2"/>
    <w:rsid w:val="00CE648B"/>
    <w:rsid w:val="00CE6AD7"/>
    <w:rsid w:val="00CE6FA0"/>
    <w:rsid w:val="00CF429E"/>
    <w:rsid w:val="00CF5117"/>
    <w:rsid w:val="00CF62C4"/>
    <w:rsid w:val="00CF715B"/>
    <w:rsid w:val="00D02AA2"/>
    <w:rsid w:val="00D02C8A"/>
    <w:rsid w:val="00D0316F"/>
    <w:rsid w:val="00D03EBF"/>
    <w:rsid w:val="00D04523"/>
    <w:rsid w:val="00D05C45"/>
    <w:rsid w:val="00D06F77"/>
    <w:rsid w:val="00D07CC6"/>
    <w:rsid w:val="00D10633"/>
    <w:rsid w:val="00D11C50"/>
    <w:rsid w:val="00D12FA2"/>
    <w:rsid w:val="00D13554"/>
    <w:rsid w:val="00D1627E"/>
    <w:rsid w:val="00D16B75"/>
    <w:rsid w:val="00D2005D"/>
    <w:rsid w:val="00D214EB"/>
    <w:rsid w:val="00D22F79"/>
    <w:rsid w:val="00D24BB2"/>
    <w:rsid w:val="00D24DAA"/>
    <w:rsid w:val="00D25E52"/>
    <w:rsid w:val="00D30BFF"/>
    <w:rsid w:val="00D330A2"/>
    <w:rsid w:val="00D34105"/>
    <w:rsid w:val="00D34E96"/>
    <w:rsid w:val="00D41096"/>
    <w:rsid w:val="00D41264"/>
    <w:rsid w:val="00D4161C"/>
    <w:rsid w:val="00D43CFB"/>
    <w:rsid w:val="00D460F5"/>
    <w:rsid w:val="00D46831"/>
    <w:rsid w:val="00D52D43"/>
    <w:rsid w:val="00D537D5"/>
    <w:rsid w:val="00D53AE7"/>
    <w:rsid w:val="00D5449A"/>
    <w:rsid w:val="00D55F4C"/>
    <w:rsid w:val="00D571D5"/>
    <w:rsid w:val="00D57B6D"/>
    <w:rsid w:val="00D57BE4"/>
    <w:rsid w:val="00D57F28"/>
    <w:rsid w:val="00D60340"/>
    <w:rsid w:val="00D607DE"/>
    <w:rsid w:val="00D6685C"/>
    <w:rsid w:val="00D66A6A"/>
    <w:rsid w:val="00D70111"/>
    <w:rsid w:val="00D713FE"/>
    <w:rsid w:val="00D717EE"/>
    <w:rsid w:val="00D71F56"/>
    <w:rsid w:val="00D723EC"/>
    <w:rsid w:val="00D72BFF"/>
    <w:rsid w:val="00D73F5F"/>
    <w:rsid w:val="00D74826"/>
    <w:rsid w:val="00D74EE2"/>
    <w:rsid w:val="00D806E8"/>
    <w:rsid w:val="00D81AB2"/>
    <w:rsid w:val="00D81D9E"/>
    <w:rsid w:val="00D823F7"/>
    <w:rsid w:val="00D83E7F"/>
    <w:rsid w:val="00D83EB4"/>
    <w:rsid w:val="00D8740D"/>
    <w:rsid w:val="00D9243C"/>
    <w:rsid w:val="00D93B79"/>
    <w:rsid w:val="00D94749"/>
    <w:rsid w:val="00D94F7A"/>
    <w:rsid w:val="00D97214"/>
    <w:rsid w:val="00DA02E7"/>
    <w:rsid w:val="00DA0580"/>
    <w:rsid w:val="00DA0B84"/>
    <w:rsid w:val="00DA2A37"/>
    <w:rsid w:val="00DA4B15"/>
    <w:rsid w:val="00DA64E9"/>
    <w:rsid w:val="00DA7A8A"/>
    <w:rsid w:val="00DB1635"/>
    <w:rsid w:val="00DB182C"/>
    <w:rsid w:val="00DB3591"/>
    <w:rsid w:val="00DB73D8"/>
    <w:rsid w:val="00DC00A2"/>
    <w:rsid w:val="00DC1BF2"/>
    <w:rsid w:val="00DC2B35"/>
    <w:rsid w:val="00DC51D4"/>
    <w:rsid w:val="00DC56C2"/>
    <w:rsid w:val="00DD1387"/>
    <w:rsid w:val="00DD3CC9"/>
    <w:rsid w:val="00DD53BC"/>
    <w:rsid w:val="00DD6049"/>
    <w:rsid w:val="00DD6B01"/>
    <w:rsid w:val="00DD6F19"/>
    <w:rsid w:val="00DE0393"/>
    <w:rsid w:val="00DE0B81"/>
    <w:rsid w:val="00DE3DE5"/>
    <w:rsid w:val="00DF00E2"/>
    <w:rsid w:val="00DF0895"/>
    <w:rsid w:val="00DF0B38"/>
    <w:rsid w:val="00DF0ECB"/>
    <w:rsid w:val="00DF1C2E"/>
    <w:rsid w:val="00DF21A8"/>
    <w:rsid w:val="00DF34F3"/>
    <w:rsid w:val="00DF3E8A"/>
    <w:rsid w:val="00DF3E92"/>
    <w:rsid w:val="00DF4518"/>
    <w:rsid w:val="00DF670E"/>
    <w:rsid w:val="00E017A6"/>
    <w:rsid w:val="00E04B8D"/>
    <w:rsid w:val="00E051AE"/>
    <w:rsid w:val="00E06D85"/>
    <w:rsid w:val="00E07343"/>
    <w:rsid w:val="00E07845"/>
    <w:rsid w:val="00E07D79"/>
    <w:rsid w:val="00E142ED"/>
    <w:rsid w:val="00E154CD"/>
    <w:rsid w:val="00E16E91"/>
    <w:rsid w:val="00E20D61"/>
    <w:rsid w:val="00E2125C"/>
    <w:rsid w:val="00E21B4A"/>
    <w:rsid w:val="00E21CF7"/>
    <w:rsid w:val="00E22BAC"/>
    <w:rsid w:val="00E24399"/>
    <w:rsid w:val="00E25C14"/>
    <w:rsid w:val="00E26D15"/>
    <w:rsid w:val="00E27CCD"/>
    <w:rsid w:val="00E27E4F"/>
    <w:rsid w:val="00E30373"/>
    <w:rsid w:val="00E304A2"/>
    <w:rsid w:val="00E3358A"/>
    <w:rsid w:val="00E367FA"/>
    <w:rsid w:val="00E40DEF"/>
    <w:rsid w:val="00E43222"/>
    <w:rsid w:val="00E43939"/>
    <w:rsid w:val="00E45E4E"/>
    <w:rsid w:val="00E4687C"/>
    <w:rsid w:val="00E5022E"/>
    <w:rsid w:val="00E5078D"/>
    <w:rsid w:val="00E51230"/>
    <w:rsid w:val="00E5384D"/>
    <w:rsid w:val="00E53870"/>
    <w:rsid w:val="00E54050"/>
    <w:rsid w:val="00E54884"/>
    <w:rsid w:val="00E554BC"/>
    <w:rsid w:val="00E5790B"/>
    <w:rsid w:val="00E601F9"/>
    <w:rsid w:val="00E620A1"/>
    <w:rsid w:val="00E6280E"/>
    <w:rsid w:val="00E62BC5"/>
    <w:rsid w:val="00E64679"/>
    <w:rsid w:val="00E654CA"/>
    <w:rsid w:val="00E654F6"/>
    <w:rsid w:val="00E67110"/>
    <w:rsid w:val="00E67679"/>
    <w:rsid w:val="00E67BFD"/>
    <w:rsid w:val="00E67DA9"/>
    <w:rsid w:val="00E72C97"/>
    <w:rsid w:val="00E72F96"/>
    <w:rsid w:val="00E7550D"/>
    <w:rsid w:val="00E75879"/>
    <w:rsid w:val="00E76B0D"/>
    <w:rsid w:val="00E76C40"/>
    <w:rsid w:val="00E803BC"/>
    <w:rsid w:val="00E80E45"/>
    <w:rsid w:val="00E81D36"/>
    <w:rsid w:val="00E81E17"/>
    <w:rsid w:val="00E82D9C"/>
    <w:rsid w:val="00E8597E"/>
    <w:rsid w:val="00E90D7E"/>
    <w:rsid w:val="00E911E3"/>
    <w:rsid w:val="00E94D92"/>
    <w:rsid w:val="00E9595B"/>
    <w:rsid w:val="00E961E5"/>
    <w:rsid w:val="00E962FB"/>
    <w:rsid w:val="00E96F02"/>
    <w:rsid w:val="00E96F04"/>
    <w:rsid w:val="00E97622"/>
    <w:rsid w:val="00E97D87"/>
    <w:rsid w:val="00EA1E1F"/>
    <w:rsid w:val="00EA2CB3"/>
    <w:rsid w:val="00EA34C9"/>
    <w:rsid w:val="00EA47AF"/>
    <w:rsid w:val="00EA520E"/>
    <w:rsid w:val="00EA596C"/>
    <w:rsid w:val="00EA5AF2"/>
    <w:rsid w:val="00EA718A"/>
    <w:rsid w:val="00EB1CF3"/>
    <w:rsid w:val="00EB1E6F"/>
    <w:rsid w:val="00EB39CB"/>
    <w:rsid w:val="00EB43AA"/>
    <w:rsid w:val="00EB5DC1"/>
    <w:rsid w:val="00EB65E7"/>
    <w:rsid w:val="00EC05A5"/>
    <w:rsid w:val="00EC14F3"/>
    <w:rsid w:val="00EC1F73"/>
    <w:rsid w:val="00EC426E"/>
    <w:rsid w:val="00EC475F"/>
    <w:rsid w:val="00EC5780"/>
    <w:rsid w:val="00EC5A70"/>
    <w:rsid w:val="00ED0134"/>
    <w:rsid w:val="00ED3C41"/>
    <w:rsid w:val="00ED3D55"/>
    <w:rsid w:val="00ED52C6"/>
    <w:rsid w:val="00ED6B5F"/>
    <w:rsid w:val="00EE075E"/>
    <w:rsid w:val="00EE111D"/>
    <w:rsid w:val="00EE1CA9"/>
    <w:rsid w:val="00EE313F"/>
    <w:rsid w:val="00EE43DC"/>
    <w:rsid w:val="00EE6AF6"/>
    <w:rsid w:val="00EE78BA"/>
    <w:rsid w:val="00EE7F15"/>
    <w:rsid w:val="00EF19E1"/>
    <w:rsid w:val="00EF36E7"/>
    <w:rsid w:val="00EF3E48"/>
    <w:rsid w:val="00EF3ECE"/>
    <w:rsid w:val="00EF576B"/>
    <w:rsid w:val="00EF58DC"/>
    <w:rsid w:val="00F0105F"/>
    <w:rsid w:val="00F044A5"/>
    <w:rsid w:val="00F061D1"/>
    <w:rsid w:val="00F0704F"/>
    <w:rsid w:val="00F07EDB"/>
    <w:rsid w:val="00F12CEC"/>
    <w:rsid w:val="00F13E87"/>
    <w:rsid w:val="00F16B54"/>
    <w:rsid w:val="00F1714E"/>
    <w:rsid w:val="00F2176D"/>
    <w:rsid w:val="00F25717"/>
    <w:rsid w:val="00F2734D"/>
    <w:rsid w:val="00F27415"/>
    <w:rsid w:val="00F3160D"/>
    <w:rsid w:val="00F317B0"/>
    <w:rsid w:val="00F3319E"/>
    <w:rsid w:val="00F333E4"/>
    <w:rsid w:val="00F34865"/>
    <w:rsid w:val="00F420B6"/>
    <w:rsid w:val="00F43E1F"/>
    <w:rsid w:val="00F44B50"/>
    <w:rsid w:val="00F45E57"/>
    <w:rsid w:val="00F46DE6"/>
    <w:rsid w:val="00F47535"/>
    <w:rsid w:val="00F50979"/>
    <w:rsid w:val="00F55D40"/>
    <w:rsid w:val="00F56EDB"/>
    <w:rsid w:val="00F660E9"/>
    <w:rsid w:val="00F66713"/>
    <w:rsid w:val="00F71080"/>
    <w:rsid w:val="00F74D9F"/>
    <w:rsid w:val="00F75306"/>
    <w:rsid w:val="00F757EB"/>
    <w:rsid w:val="00F77BA4"/>
    <w:rsid w:val="00F80665"/>
    <w:rsid w:val="00F81259"/>
    <w:rsid w:val="00F81657"/>
    <w:rsid w:val="00F836B3"/>
    <w:rsid w:val="00F84EEC"/>
    <w:rsid w:val="00F858CE"/>
    <w:rsid w:val="00F8604F"/>
    <w:rsid w:val="00F86431"/>
    <w:rsid w:val="00F87C32"/>
    <w:rsid w:val="00F936AB"/>
    <w:rsid w:val="00F95152"/>
    <w:rsid w:val="00F96188"/>
    <w:rsid w:val="00F97A0A"/>
    <w:rsid w:val="00FA072F"/>
    <w:rsid w:val="00FA2204"/>
    <w:rsid w:val="00FA42A5"/>
    <w:rsid w:val="00FA5861"/>
    <w:rsid w:val="00FA5AFE"/>
    <w:rsid w:val="00FA6CA6"/>
    <w:rsid w:val="00FA7798"/>
    <w:rsid w:val="00FB0BC0"/>
    <w:rsid w:val="00FB35BC"/>
    <w:rsid w:val="00FB4739"/>
    <w:rsid w:val="00FB4AC1"/>
    <w:rsid w:val="00FB4EE9"/>
    <w:rsid w:val="00FB5DEE"/>
    <w:rsid w:val="00FB7219"/>
    <w:rsid w:val="00FC01C4"/>
    <w:rsid w:val="00FC113F"/>
    <w:rsid w:val="00FC18CC"/>
    <w:rsid w:val="00FC2672"/>
    <w:rsid w:val="00FC369F"/>
    <w:rsid w:val="00FC36EA"/>
    <w:rsid w:val="00FC7126"/>
    <w:rsid w:val="00FC740C"/>
    <w:rsid w:val="00FD17B7"/>
    <w:rsid w:val="00FD3BF1"/>
    <w:rsid w:val="00FD6C3C"/>
    <w:rsid w:val="00FE0DFD"/>
    <w:rsid w:val="00FE321A"/>
    <w:rsid w:val="00FE5314"/>
    <w:rsid w:val="00FE579D"/>
    <w:rsid w:val="00FE658B"/>
    <w:rsid w:val="00FE7D06"/>
    <w:rsid w:val="00FF14AF"/>
    <w:rsid w:val="00FF274C"/>
    <w:rsid w:val="00FF4AE7"/>
    <w:rsid w:val="00FF6E94"/>
    <w:rsid w:val="00FF7C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74EF7"/>
  <w15:chartTrackingRefBased/>
  <w15:docId w15:val="{C1F6777F-2704-4775-854F-C8A63061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CA"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8C7"/>
    <w:rPr>
      <w:rFonts w:ascii="Adobe Garamond Pro" w:hAnsi="Adobe Garamond Pro"/>
      <w:color w:val="3E4752"/>
      <w:sz w:val="22"/>
    </w:rPr>
  </w:style>
  <w:style w:type="paragraph" w:styleId="Heading1">
    <w:name w:val="heading 1"/>
    <w:basedOn w:val="Normal"/>
    <w:next w:val="Normal"/>
    <w:link w:val="Heading1Char"/>
    <w:uiPriority w:val="9"/>
    <w:qFormat/>
    <w:rsid w:val="008F08C7"/>
    <w:pPr>
      <w:keepNext/>
      <w:keepLines/>
      <w:spacing w:before="320" w:after="80" w:line="240" w:lineRule="auto"/>
      <w:outlineLvl w:val="0"/>
    </w:pPr>
    <w:rPr>
      <w:rFonts w:ascii="Gotham Rounded Bold" w:eastAsiaTheme="majorEastAsia" w:hAnsi="Gotham Rounded Bold" w:cstheme="majorBidi"/>
      <w:color w:val="E26F54"/>
      <w:sz w:val="28"/>
      <w:szCs w:val="40"/>
    </w:rPr>
  </w:style>
  <w:style w:type="paragraph" w:styleId="Heading2">
    <w:name w:val="heading 2"/>
    <w:basedOn w:val="Normal"/>
    <w:next w:val="Normal"/>
    <w:link w:val="Heading2Char"/>
    <w:uiPriority w:val="9"/>
    <w:unhideWhenUsed/>
    <w:qFormat/>
    <w:rsid w:val="008F08C7"/>
    <w:pPr>
      <w:keepNext/>
      <w:keepLines/>
      <w:spacing w:before="160" w:after="40" w:line="240" w:lineRule="auto"/>
      <w:jc w:val="center"/>
      <w:outlineLvl w:val="1"/>
    </w:pPr>
    <w:rPr>
      <w:rFonts w:ascii="Gotham Rounded Bold" w:eastAsiaTheme="majorEastAsia" w:hAnsi="Gotham Rounded Bold" w:cstheme="majorBidi"/>
      <w:sz w:val="24"/>
      <w:szCs w:val="32"/>
    </w:rPr>
  </w:style>
  <w:style w:type="paragraph" w:styleId="Heading3">
    <w:name w:val="heading 3"/>
    <w:basedOn w:val="Normal"/>
    <w:next w:val="Normal"/>
    <w:link w:val="Heading3Char"/>
    <w:uiPriority w:val="9"/>
    <w:unhideWhenUsed/>
    <w:qFormat/>
    <w:rsid w:val="008F08C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F08C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F08C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F08C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F08C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F08C7"/>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8F08C7"/>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D2C"/>
    <w:rPr>
      <w:color w:val="0000FF"/>
      <w:u w:val="single"/>
    </w:rPr>
  </w:style>
  <w:style w:type="paragraph" w:styleId="NormalWeb">
    <w:name w:val="Normal (Web)"/>
    <w:basedOn w:val="Normal"/>
    <w:uiPriority w:val="99"/>
    <w:unhideWhenUsed/>
    <w:rsid w:val="00C57DE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57DE5"/>
    <w:pPr>
      <w:ind w:left="720"/>
      <w:contextualSpacing/>
    </w:pPr>
  </w:style>
  <w:style w:type="paragraph" w:styleId="Header">
    <w:name w:val="header"/>
    <w:basedOn w:val="Normal"/>
    <w:link w:val="HeaderChar"/>
    <w:uiPriority w:val="99"/>
    <w:unhideWhenUsed/>
    <w:rsid w:val="00C5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DE5"/>
  </w:style>
  <w:style w:type="paragraph" w:styleId="Footer">
    <w:name w:val="footer"/>
    <w:basedOn w:val="Normal"/>
    <w:link w:val="FooterChar"/>
    <w:uiPriority w:val="99"/>
    <w:unhideWhenUsed/>
    <w:rsid w:val="00C5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DE5"/>
  </w:style>
  <w:style w:type="character" w:styleId="FootnoteReference">
    <w:name w:val="footnote reference"/>
    <w:basedOn w:val="DefaultParagraphFont"/>
    <w:uiPriority w:val="99"/>
    <w:rsid w:val="007D1F70"/>
    <w:rPr>
      <w:vertAlign w:val="superscript"/>
    </w:rPr>
  </w:style>
  <w:style w:type="paragraph" w:styleId="FootnoteText">
    <w:name w:val="footnote text"/>
    <w:basedOn w:val="Normal"/>
    <w:link w:val="FootnoteTextChar"/>
    <w:uiPriority w:val="99"/>
    <w:rsid w:val="007D1F70"/>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7D1F70"/>
    <w:rPr>
      <w:rFonts w:ascii="Times New Roman" w:eastAsia="Times New Roman" w:hAnsi="Times New Roman" w:cs="Times New Roman"/>
      <w:sz w:val="20"/>
      <w:szCs w:val="20"/>
      <w:lang w:val="en-US"/>
    </w:rPr>
  </w:style>
  <w:style w:type="paragraph" w:styleId="Title">
    <w:name w:val="Title"/>
    <w:basedOn w:val="Normal"/>
    <w:next w:val="Normal"/>
    <w:link w:val="TitleChar"/>
    <w:uiPriority w:val="10"/>
    <w:qFormat/>
    <w:rsid w:val="008F08C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F08C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F08C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F08C7"/>
    <w:rPr>
      <w:color w:val="44546A" w:themeColor="text2"/>
      <w:sz w:val="28"/>
      <w:szCs w:val="28"/>
    </w:rPr>
  </w:style>
  <w:style w:type="character" w:customStyle="1" w:styleId="Heading1Char">
    <w:name w:val="Heading 1 Char"/>
    <w:basedOn w:val="DefaultParagraphFont"/>
    <w:link w:val="Heading1"/>
    <w:uiPriority w:val="9"/>
    <w:rsid w:val="008F08C7"/>
    <w:rPr>
      <w:rFonts w:ascii="Gotham Rounded Bold" w:eastAsiaTheme="majorEastAsia" w:hAnsi="Gotham Rounded Bold" w:cstheme="majorBidi"/>
      <w:color w:val="E26F54"/>
      <w:sz w:val="28"/>
      <w:szCs w:val="40"/>
    </w:rPr>
  </w:style>
  <w:style w:type="character" w:styleId="CommentReference">
    <w:name w:val="annotation reference"/>
    <w:basedOn w:val="DefaultParagraphFont"/>
    <w:uiPriority w:val="99"/>
    <w:semiHidden/>
    <w:rsid w:val="00361A01"/>
    <w:rPr>
      <w:rFonts w:cs="Times New Roman"/>
      <w:sz w:val="16"/>
      <w:szCs w:val="16"/>
    </w:rPr>
  </w:style>
  <w:style w:type="paragraph" w:styleId="CommentText">
    <w:name w:val="annotation text"/>
    <w:basedOn w:val="Normal"/>
    <w:link w:val="CommentTextChar"/>
    <w:uiPriority w:val="99"/>
    <w:rsid w:val="00361A01"/>
    <w:pPr>
      <w:spacing w:after="200" w:line="276" w:lineRule="auto"/>
    </w:pPr>
    <w:rPr>
      <w:rFonts w:ascii="Calibri" w:eastAsia="SimSun" w:hAnsi="Calibri" w:cs="Arial"/>
      <w:sz w:val="20"/>
      <w:szCs w:val="20"/>
      <w:lang w:val="en-US" w:eastAsia="zh-CN"/>
    </w:rPr>
  </w:style>
  <w:style w:type="character" w:customStyle="1" w:styleId="CommentTextChar">
    <w:name w:val="Comment Text Char"/>
    <w:basedOn w:val="DefaultParagraphFont"/>
    <w:link w:val="CommentText"/>
    <w:uiPriority w:val="99"/>
    <w:rsid w:val="00361A01"/>
    <w:rPr>
      <w:rFonts w:ascii="Calibri" w:eastAsia="SimSun" w:hAnsi="Calibri" w:cs="Arial"/>
      <w:sz w:val="20"/>
      <w:szCs w:val="20"/>
      <w:lang w:val="en-US" w:eastAsia="zh-CN"/>
    </w:rPr>
  </w:style>
  <w:style w:type="paragraph" w:styleId="BalloonText">
    <w:name w:val="Balloon Text"/>
    <w:basedOn w:val="Normal"/>
    <w:link w:val="BalloonTextChar"/>
    <w:uiPriority w:val="99"/>
    <w:semiHidden/>
    <w:unhideWhenUsed/>
    <w:rsid w:val="0036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01"/>
    <w:rPr>
      <w:rFonts w:ascii="Segoe UI" w:hAnsi="Segoe UI" w:cs="Segoe UI"/>
      <w:sz w:val="18"/>
      <w:szCs w:val="18"/>
    </w:rPr>
  </w:style>
  <w:style w:type="character" w:customStyle="1" w:styleId="InternetLink">
    <w:name w:val="Internet Link"/>
    <w:basedOn w:val="DefaultParagraphFont"/>
    <w:uiPriority w:val="99"/>
    <w:unhideWhenUsed/>
    <w:rsid w:val="00F317B0"/>
    <w:rPr>
      <w:color w:val="0563C1" w:themeColor="hyperlink"/>
      <w:u w:val="single"/>
    </w:rPr>
  </w:style>
  <w:style w:type="character" w:customStyle="1" w:styleId="FootnoteAnchor">
    <w:name w:val="Footnote Anchor"/>
    <w:rsid w:val="00F317B0"/>
    <w:rPr>
      <w:vertAlign w:val="superscript"/>
    </w:rPr>
  </w:style>
  <w:style w:type="paragraph" w:customStyle="1" w:styleId="Footnote">
    <w:name w:val="Footnote"/>
    <w:basedOn w:val="Normal"/>
    <w:rsid w:val="00F317B0"/>
    <w:pPr>
      <w:suppressAutoHyphens/>
      <w:spacing w:after="200" w:line="276" w:lineRule="auto"/>
    </w:pPr>
  </w:style>
  <w:style w:type="character" w:customStyle="1" w:styleId="Heading2Char">
    <w:name w:val="Heading 2 Char"/>
    <w:basedOn w:val="DefaultParagraphFont"/>
    <w:link w:val="Heading2"/>
    <w:uiPriority w:val="9"/>
    <w:rsid w:val="008F08C7"/>
    <w:rPr>
      <w:rFonts w:ascii="Gotham Rounded Bold" w:eastAsiaTheme="majorEastAsia" w:hAnsi="Gotham Rounded Bold" w:cstheme="majorBidi"/>
      <w:color w:val="3E4752"/>
      <w:sz w:val="24"/>
      <w:szCs w:val="32"/>
    </w:rPr>
  </w:style>
  <w:style w:type="character" w:customStyle="1" w:styleId="apple-converted-space">
    <w:name w:val="apple-converted-space"/>
    <w:basedOn w:val="DefaultParagraphFont"/>
    <w:rsid w:val="00CD2E90"/>
  </w:style>
  <w:style w:type="paragraph" w:styleId="CommentSubject">
    <w:name w:val="annotation subject"/>
    <w:basedOn w:val="CommentText"/>
    <w:next w:val="CommentText"/>
    <w:link w:val="CommentSubjectChar"/>
    <w:uiPriority w:val="99"/>
    <w:semiHidden/>
    <w:unhideWhenUsed/>
    <w:rsid w:val="00287498"/>
    <w:pPr>
      <w:spacing w:after="160" w:line="240" w:lineRule="auto"/>
    </w:pPr>
    <w:rPr>
      <w:rFonts w:asciiTheme="minorHAnsi" w:eastAsiaTheme="minorHAnsi" w:hAnsiTheme="minorHAnsi" w:cstheme="minorBidi"/>
      <w:b/>
      <w:bCs/>
      <w:lang w:val="en-CA" w:eastAsia="en-US"/>
    </w:rPr>
  </w:style>
  <w:style w:type="character" w:customStyle="1" w:styleId="CommentSubjectChar">
    <w:name w:val="Comment Subject Char"/>
    <w:basedOn w:val="CommentTextChar"/>
    <w:link w:val="CommentSubject"/>
    <w:uiPriority w:val="99"/>
    <w:semiHidden/>
    <w:rsid w:val="00287498"/>
    <w:rPr>
      <w:rFonts w:ascii="Calibri" w:eastAsia="SimSun" w:hAnsi="Calibri" w:cs="Arial"/>
      <w:b/>
      <w:bCs/>
      <w:sz w:val="20"/>
      <w:szCs w:val="20"/>
      <w:lang w:val="en-US" w:eastAsia="zh-CN"/>
    </w:rPr>
  </w:style>
  <w:style w:type="paragraph" w:styleId="Revision">
    <w:name w:val="Revision"/>
    <w:hidden/>
    <w:uiPriority w:val="99"/>
    <w:semiHidden/>
    <w:rsid w:val="00A60400"/>
    <w:pPr>
      <w:spacing w:after="0" w:line="240" w:lineRule="auto"/>
    </w:pPr>
  </w:style>
  <w:style w:type="paragraph" w:styleId="EndnoteText">
    <w:name w:val="endnote text"/>
    <w:basedOn w:val="Normal"/>
    <w:link w:val="EndnoteTextChar"/>
    <w:uiPriority w:val="99"/>
    <w:unhideWhenUsed/>
    <w:rsid w:val="00DF0895"/>
    <w:pPr>
      <w:spacing w:after="0" w:line="240" w:lineRule="auto"/>
    </w:pPr>
    <w:rPr>
      <w:sz w:val="20"/>
      <w:szCs w:val="20"/>
    </w:rPr>
  </w:style>
  <w:style w:type="character" w:customStyle="1" w:styleId="EndnoteTextChar">
    <w:name w:val="Endnote Text Char"/>
    <w:basedOn w:val="DefaultParagraphFont"/>
    <w:link w:val="EndnoteText"/>
    <w:uiPriority w:val="99"/>
    <w:rsid w:val="00DF0895"/>
    <w:rPr>
      <w:sz w:val="20"/>
      <w:szCs w:val="20"/>
    </w:rPr>
  </w:style>
  <w:style w:type="character" w:styleId="EndnoteReference">
    <w:name w:val="endnote reference"/>
    <w:basedOn w:val="DefaultParagraphFont"/>
    <w:uiPriority w:val="99"/>
    <w:unhideWhenUsed/>
    <w:rsid w:val="00DF0895"/>
    <w:rPr>
      <w:vertAlign w:val="superscript"/>
    </w:rPr>
  </w:style>
  <w:style w:type="character" w:customStyle="1" w:styleId="Heading3Char">
    <w:name w:val="Heading 3 Char"/>
    <w:basedOn w:val="DefaultParagraphFont"/>
    <w:link w:val="Heading3"/>
    <w:uiPriority w:val="9"/>
    <w:rsid w:val="008F08C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F08C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F08C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F08C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F08C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F08C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F08C7"/>
    <w:rPr>
      <w:b/>
      <w:bCs/>
      <w:i/>
      <w:iCs/>
    </w:rPr>
  </w:style>
  <w:style w:type="paragraph" w:styleId="Caption">
    <w:name w:val="caption"/>
    <w:basedOn w:val="Normal"/>
    <w:next w:val="Normal"/>
    <w:uiPriority w:val="35"/>
    <w:semiHidden/>
    <w:unhideWhenUsed/>
    <w:qFormat/>
    <w:rsid w:val="008F08C7"/>
    <w:pPr>
      <w:spacing w:line="240" w:lineRule="auto"/>
    </w:pPr>
    <w:rPr>
      <w:b/>
      <w:bCs/>
      <w:color w:val="404040" w:themeColor="text1" w:themeTint="BF"/>
      <w:sz w:val="16"/>
      <w:szCs w:val="16"/>
    </w:rPr>
  </w:style>
  <w:style w:type="character" w:styleId="Strong">
    <w:name w:val="Strong"/>
    <w:basedOn w:val="DefaultParagraphFont"/>
    <w:uiPriority w:val="22"/>
    <w:qFormat/>
    <w:rsid w:val="008F08C7"/>
    <w:rPr>
      <w:b/>
      <w:bCs/>
    </w:rPr>
  </w:style>
  <w:style w:type="character" w:styleId="Emphasis">
    <w:name w:val="Emphasis"/>
    <w:basedOn w:val="DefaultParagraphFont"/>
    <w:uiPriority w:val="20"/>
    <w:qFormat/>
    <w:rsid w:val="008F08C7"/>
    <w:rPr>
      <w:i/>
      <w:iCs/>
      <w:color w:val="000000" w:themeColor="text1"/>
    </w:rPr>
  </w:style>
  <w:style w:type="paragraph" w:styleId="NoSpacing">
    <w:name w:val="No Spacing"/>
    <w:uiPriority w:val="1"/>
    <w:qFormat/>
    <w:rsid w:val="008F08C7"/>
    <w:pPr>
      <w:spacing w:after="0" w:line="240" w:lineRule="auto"/>
    </w:pPr>
  </w:style>
  <w:style w:type="paragraph" w:styleId="Quote">
    <w:name w:val="Quote"/>
    <w:basedOn w:val="Normal"/>
    <w:next w:val="Normal"/>
    <w:link w:val="QuoteChar"/>
    <w:uiPriority w:val="29"/>
    <w:qFormat/>
    <w:rsid w:val="008F08C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F08C7"/>
    <w:rPr>
      <w:i/>
      <w:iCs/>
      <w:color w:val="7B7B7B" w:themeColor="accent3" w:themeShade="BF"/>
      <w:sz w:val="24"/>
      <w:szCs w:val="24"/>
    </w:rPr>
  </w:style>
  <w:style w:type="paragraph" w:styleId="IntenseQuote">
    <w:name w:val="Intense Quote"/>
    <w:basedOn w:val="Normal"/>
    <w:next w:val="Normal"/>
    <w:link w:val="IntenseQuoteChar"/>
    <w:uiPriority w:val="30"/>
    <w:qFormat/>
    <w:rsid w:val="008F08C7"/>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8F08C7"/>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8F08C7"/>
    <w:rPr>
      <w:i/>
      <w:iCs/>
      <w:color w:val="595959" w:themeColor="text1" w:themeTint="A6"/>
    </w:rPr>
  </w:style>
  <w:style w:type="character" w:styleId="IntenseEmphasis">
    <w:name w:val="Intense Emphasis"/>
    <w:basedOn w:val="DefaultParagraphFont"/>
    <w:uiPriority w:val="21"/>
    <w:qFormat/>
    <w:rsid w:val="008F08C7"/>
    <w:rPr>
      <w:b/>
      <w:bCs/>
      <w:i/>
      <w:iCs/>
      <w:color w:val="auto"/>
    </w:rPr>
  </w:style>
  <w:style w:type="character" w:styleId="SubtleReference">
    <w:name w:val="Subtle Reference"/>
    <w:basedOn w:val="DefaultParagraphFont"/>
    <w:uiPriority w:val="31"/>
    <w:qFormat/>
    <w:rsid w:val="008F08C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F08C7"/>
    <w:rPr>
      <w:b/>
      <w:bCs/>
      <w:caps w:val="0"/>
      <w:smallCaps/>
      <w:color w:val="auto"/>
      <w:spacing w:val="0"/>
      <w:u w:val="single"/>
    </w:rPr>
  </w:style>
  <w:style w:type="character" w:styleId="BookTitle">
    <w:name w:val="Book Title"/>
    <w:basedOn w:val="DefaultParagraphFont"/>
    <w:uiPriority w:val="33"/>
    <w:qFormat/>
    <w:rsid w:val="008F08C7"/>
    <w:rPr>
      <w:b/>
      <w:bCs/>
      <w:caps w:val="0"/>
      <w:smallCaps/>
      <w:spacing w:val="0"/>
    </w:rPr>
  </w:style>
  <w:style w:type="paragraph" w:styleId="TOCHeading">
    <w:name w:val="TOC Heading"/>
    <w:basedOn w:val="Heading1"/>
    <w:next w:val="Normal"/>
    <w:uiPriority w:val="39"/>
    <w:semiHidden/>
    <w:unhideWhenUsed/>
    <w:qFormat/>
    <w:rsid w:val="008F08C7"/>
    <w:pPr>
      <w:outlineLvl w:val="9"/>
    </w:pPr>
  </w:style>
  <w:style w:type="character" w:customStyle="1" w:styleId="5yl5">
    <w:name w:val="_5yl5"/>
    <w:basedOn w:val="DefaultParagraphFont"/>
    <w:rsid w:val="00C3479F"/>
  </w:style>
  <w:style w:type="character" w:customStyle="1" w:styleId="relative-date">
    <w:name w:val="relative-date"/>
    <w:basedOn w:val="DefaultParagraphFont"/>
    <w:rsid w:val="00E962FB"/>
  </w:style>
  <w:style w:type="character" w:customStyle="1" w:styleId="published-date">
    <w:name w:val="published-date"/>
    <w:basedOn w:val="DefaultParagraphFont"/>
    <w:rsid w:val="00090412"/>
  </w:style>
  <w:style w:type="paragraph" w:customStyle="1" w:styleId="SingleTxtG">
    <w:name w:val="_ Single Txt_G"/>
    <w:basedOn w:val="Normal"/>
    <w:link w:val="SingleTxtGChar"/>
    <w:qFormat/>
    <w:rsid w:val="0060597A"/>
    <w:pPr>
      <w:suppressAutoHyphens/>
      <w:spacing w:after="120" w:line="240" w:lineRule="atLeast"/>
      <w:ind w:left="1134" w:right="1134"/>
      <w:jc w:val="both"/>
    </w:pPr>
    <w:rPr>
      <w:rFonts w:ascii="Times New Roman" w:eastAsia="Times New Roman" w:hAnsi="Times New Roman" w:cs="Times New Roman"/>
      <w:color w:val="auto"/>
      <w:sz w:val="20"/>
      <w:szCs w:val="20"/>
      <w:lang w:val="en-GB"/>
    </w:rPr>
  </w:style>
  <w:style w:type="paragraph" w:customStyle="1" w:styleId="SingleTxt">
    <w:name w:val="__Single Txt"/>
    <w:basedOn w:val="Normal"/>
    <w:rsid w:val="00E646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color w:val="auto"/>
      <w:spacing w:val="4"/>
      <w:w w:val="103"/>
      <w:kern w:val="14"/>
      <w:sz w:val="20"/>
      <w:szCs w:val="20"/>
      <w:lang w:val="en-GB" w:eastAsia="en-GB"/>
    </w:rPr>
  </w:style>
  <w:style w:type="character" w:customStyle="1" w:styleId="highlight">
    <w:name w:val="highlight"/>
    <w:basedOn w:val="DefaultParagraphFont"/>
    <w:rsid w:val="00020E68"/>
  </w:style>
  <w:style w:type="paragraph" w:customStyle="1" w:styleId="HM">
    <w:name w:val="_ H __M"/>
    <w:basedOn w:val="Normal"/>
    <w:next w:val="Normal"/>
    <w:rsid w:val="00AE4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60" w:lineRule="exact"/>
      <w:outlineLvl w:val="0"/>
    </w:pPr>
    <w:rPr>
      <w:rFonts w:ascii="Times New Roman" w:eastAsia="Times New Roman" w:hAnsi="Times New Roman" w:cs="Times New Roman"/>
      <w:b/>
      <w:color w:val="auto"/>
      <w:spacing w:val="-3"/>
      <w:w w:val="99"/>
      <w:kern w:val="14"/>
      <w:sz w:val="34"/>
      <w:szCs w:val="20"/>
      <w:lang w:val="en-GB"/>
    </w:rPr>
  </w:style>
  <w:style w:type="character" w:styleId="FollowedHyperlink">
    <w:name w:val="FollowedHyperlink"/>
    <w:basedOn w:val="DefaultParagraphFont"/>
    <w:uiPriority w:val="99"/>
    <w:semiHidden/>
    <w:unhideWhenUsed/>
    <w:rsid w:val="003D0D6A"/>
    <w:rPr>
      <w:color w:val="954F72" w:themeColor="followedHyperlink"/>
      <w:u w:val="single"/>
    </w:rPr>
  </w:style>
  <w:style w:type="character" w:styleId="UnresolvedMention">
    <w:name w:val="Unresolved Mention"/>
    <w:basedOn w:val="DefaultParagraphFont"/>
    <w:uiPriority w:val="99"/>
    <w:semiHidden/>
    <w:unhideWhenUsed/>
    <w:rsid w:val="009A4A8A"/>
    <w:rPr>
      <w:color w:val="605E5C"/>
      <w:shd w:val="clear" w:color="auto" w:fill="E1DFDD"/>
    </w:rPr>
  </w:style>
  <w:style w:type="character" w:customStyle="1" w:styleId="fontstyle01">
    <w:name w:val="fontstyle01"/>
    <w:basedOn w:val="DefaultParagraphFont"/>
    <w:rsid w:val="001D5728"/>
    <w:rPr>
      <w:rFonts w:ascii="Times New Roman" w:hAnsi="Times New Roman" w:cs="Times New Roman" w:hint="default"/>
      <w:b/>
      <w:bCs/>
      <w:i w:val="0"/>
      <w:iCs w:val="0"/>
      <w:color w:val="000000"/>
      <w:sz w:val="20"/>
      <w:szCs w:val="20"/>
    </w:rPr>
  </w:style>
  <w:style w:type="character" w:customStyle="1" w:styleId="SingleTxtGChar">
    <w:name w:val="_ Single Txt_G Char"/>
    <w:basedOn w:val="DefaultParagraphFont"/>
    <w:link w:val="SingleTxtG"/>
    <w:locked/>
    <w:rsid w:val="00370B3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0893">
      <w:bodyDiv w:val="1"/>
      <w:marLeft w:val="0"/>
      <w:marRight w:val="0"/>
      <w:marTop w:val="0"/>
      <w:marBottom w:val="0"/>
      <w:divBdr>
        <w:top w:val="none" w:sz="0" w:space="0" w:color="auto"/>
        <w:left w:val="none" w:sz="0" w:space="0" w:color="auto"/>
        <w:bottom w:val="none" w:sz="0" w:space="0" w:color="auto"/>
        <w:right w:val="none" w:sz="0" w:space="0" w:color="auto"/>
      </w:divBdr>
    </w:div>
    <w:div w:id="58940675">
      <w:bodyDiv w:val="1"/>
      <w:marLeft w:val="0"/>
      <w:marRight w:val="0"/>
      <w:marTop w:val="0"/>
      <w:marBottom w:val="0"/>
      <w:divBdr>
        <w:top w:val="none" w:sz="0" w:space="0" w:color="auto"/>
        <w:left w:val="none" w:sz="0" w:space="0" w:color="auto"/>
        <w:bottom w:val="none" w:sz="0" w:space="0" w:color="auto"/>
        <w:right w:val="none" w:sz="0" w:space="0" w:color="auto"/>
      </w:divBdr>
      <w:divsChild>
        <w:div w:id="886069664">
          <w:marLeft w:val="0"/>
          <w:marRight w:val="0"/>
          <w:marTop w:val="0"/>
          <w:marBottom w:val="0"/>
          <w:divBdr>
            <w:top w:val="none" w:sz="0" w:space="0" w:color="auto"/>
            <w:left w:val="none" w:sz="0" w:space="0" w:color="auto"/>
            <w:bottom w:val="none" w:sz="0" w:space="0" w:color="auto"/>
            <w:right w:val="none" w:sz="0" w:space="0" w:color="auto"/>
          </w:divBdr>
          <w:divsChild>
            <w:div w:id="1868174686">
              <w:marLeft w:val="0"/>
              <w:marRight w:val="0"/>
              <w:marTop w:val="0"/>
              <w:marBottom w:val="0"/>
              <w:divBdr>
                <w:top w:val="none" w:sz="0" w:space="0" w:color="auto"/>
                <w:left w:val="none" w:sz="0" w:space="0" w:color="auto"/>
                <w:bottom w:val="none" w:sz="0" w:space="0" w:color="auto"/>
                <w:right w:val="none" w:sz="0" w:space="0" w:color="auto"/>
              </w:divBdr>
              <w:divsChild>
                <w:div w:id="7401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8012">
      <w:bodyDiv w:val="1"/>
      <w:marLeft w:val="0"/>
      <w:marRight w:val="0"/>
      <w:marTop w:val="0"/>
      <w:marBottom w:val="0"/>
      <w:divBdr>
        <w:top w:val="none" w:sz="0" w:space="0" w:color="auto"/>
        <w:left w:val="none" w:sz="0" w:space="0" w:color="auto"/>
        <w:bottom w:val="none" w:sz="0" w:space="0" w:color="auto"/>
        <w:right w:val="none" w:sz="0" w:space="0" w:color="auto"/>
      </w:divBdr>
    </w:div>
    <w:div w:id="340743221">
      <w:bodyDiv w:val="1"/>
      <w:marLeft w:val="0"/>
      <w:marRight w:val="0"/>
      <w:marTop w:val="0"/>
      <w:marBottom w:val="0"/>
      <w:divBdr>
        <w:top w:val="none" w:sz="0" w:space="0" w:color="auto"/>
        <w:left w:val="none" w:sz="0" w:space="0" w:color="auto"/>
        <w:bottom w:val="none" w:sz="0" w:space="0" w:color="auto"/>
        <w:right w:val="none" w:sz="0" w:space="0" w:color="auto"/>
      </w:divBdr>
    </w:div>
    <w:div w:id="493834129">
      <w:bodyDiv w:val="1"/>
      <w:marLeft w:val="0"/>
      <w:marRight w:val="0"/>
      <w:marTop w:val="0"/>
      <w:marBottom w:val="0"/>
      <w:divBdr>
        <w:top w:val="none" w:sz="0" w:space="0" w:color="auto"/>
        <w:left w:val="none" w:sz="0" w:space="0" w:color="auto"/>
        <w:bottom w:val="none" w:sz="0" w:space="0" w:color="auto"/>
        <w:right w:val="none" w:sz="0" w:space="0" w:color="auto"/>
      </w:divBdr>
    </w:div>
    <w:div w:id="619457718">
      <w:bodyDiv w:val="1"/>
      <w:marLeft w:val="0"/>
      <w:marRight w:val="0"/>
      <w:marTop w:val="0"/>
      <w:marBottom w:val="0"/>
      <w:divBdr>
        <w:top w:val="none" w:sz="0" w:space="0" w:color="auto"/>
        <w:left w:val="none" w:sz="0" w:space="0" w:color="auto"/>
        <w:bottom w:val="none" w:sz="0" w:space="0" w:color="auto"/>
        <w:right w:val="none" w:sz="0" w:space="0" w:color="auto"/>
      </w:divBdr>
      <w:divsChild>
        <w:div w:id="2141220389">
          <w:marLeft w:val="1799"/>
          <w:marRight w:val="0"/>
          <w:marTop w:val="0"/>
          <w:marBottom w:val="0"/>
          <w:divBdr>
            <w:top w:val="none" w:sz="0" w:space="0" w:color="auto"/>
            <w:left w:val="none" w:sz="0" w:space="0" w:color="auto"/>
            <w:bottom w:val="none" w:sz="0" w:space="0" w:color="auto"/>
            <w:right w:val="none" w:sz="0" w:space="0" w:color="auto"/>
          </w:divBdr>
        </w:div>
      </w:divsChild>
    </w:div>
    <w:div w:id="942880838">
      <w:bodyDiv w:val="1"/>
      <w:marLeft w:val="0"/>
      <w:marRight w:val="0"/>
      <w:marTop w:val="0"/>
      <w:marBottom w:val="0"/>
      <w:divBdr>
        <w:top w:val="none" w:sz="0" w:space="0" w:color="auto"/>
        <w:left w:val="none" w:sz="0" w:space="0" w:color="auto"/>
        <w:bottom w:val="none" w:sz="0" w:space="0" w:color="auto"/>
        <w:right w:val="none" w:sz="0" w:space="0" w:color="auto"/>
      </w:divBdr>
    </w:div>
    <w:div w:id="1085227660">
      <w:bodyDiv w:val="1"/>
      <w:marLeft w:val="0"/>
      <w:marRight w:val="0"/>
      <w:marTop w:val="0"/>
      <w:marBottom w:val="0"/>
      <w:divBdr>
        <w:top w:val="none" w:sz="0" w:space="0" w:color="auto"/>
        <w:left w:val="none" w:sz="0" w:space="0" w:color="auto"/>
        <w:bottom w:val="none" w:sz="0" w:space="0" w:color="auto"/>
        <w:right w:val="none" w:sz="0" w:space="0" w:color="auto"/>
      </w:divBdr>
    </w:div>
    <w:div w:id="1247611033">
      <w:bodyDiv w:val="1"/>
      <w:marLeft w:val="0"/>
      <w:marRight w:val="0"/>
      <w:marTop w:val="0"/>
      <w:marBottom w:val="0"/>
      <w:divBdr>
        <w:top w:val="none" w:sz="0" w:space="0" w:color="auto"/>
        <w:left w:val="none" w:sz="0" w:space="0" w:color="auto"/>
        <w:bottom w:val="none" w:sz="0" w:space="0" w:color="auto"/>
        <w:right w:val="none" w:sz="0" w:space="0" w:color="auto"/>
      </w:divBdr>
    </w:div>
    <w:div w:id="1248268782">
      <w:bodyDiv w:val="1"/>
      <w:marLeft w:val="0"/>
      <w:marRight w:val="0"/>
      <w:marTop w:val="0"/>
      <w:marBottom w:val="0"/>
      <w:divBdr>
        <w:top w:val="none" w:sz="0" w:space="0" w:color="auto"/>
        <w:left w:val="none" w:sz="0" w:space="0" w:color="auto"/>
        <w:bottom w:val="none" w:sz="0" w:space="0" w:color="auto"/>
        <w:right w:val="none" w:sz="0" w:space="0" w:color="auto"/>
      </w:divBdr>
    </w:div>
    <w:div w:id="1450853611">
      <w:bodyDiv w:val="1"/>
      <w:marLeft w:val="0"/>
      <w:marRight w:val="0"/>
      <w:marTop w:val="0"/>
      <w:marBottom w:val="0"/>
      <w:divBdr>
        <w:top w:val="none" w:sz="0" w:space="0" w:color="auto"/>
        <w:left w:val="none" w:sz="0" w:space="0" w:color="auto"/>
        <w:bottom w:val="none" w:sz="0" w:space="0" w:color="auto"/>
        <w:right w:val="none" w:sz="0" w:space="0" w:color="auto"/>
      </w:divBdr>
    </w:div>
    <w:div w:id="1461607626">
      <w:bodyDiv w:val="1"/>
      <w:marLeft w:val="0"/>
      <w:marRight w:val="0"/>
      <w:marTop w:val="0"/>
      <w:marBottom w:val="0"/>
      <w:divBdr>
        <w:top w:val="none" w:sz="0" w:space="0" w:color="auto"/>
        <w:left w:val="none" w:sz="0" w:space="0" w:color="auto"/>
        <w:bottom w:val="none" w:sz="0" w:space="0" w:color="auto"/>
        <w:right w:val="none" w:sz="0" w:space="0" w:color="auto"/>
      </w:divBdr>
    </w:div>
    <w:div w:id="1482624503">
      <w:bodyDiv w:val="1"/>
      <w:marLeft w:val="0"/>
      <w:marRight w:val="0"/>
      <w:marTop w:val="0"/>
      <w:marBottom w:val="0"/>
      <w:divBdr>
        <w:top w:val="none" w:sz="0" w:space="0" w:color="auto"/>
        <w:left w:val="none" w:sz="0" w:space="0" w:color="auto"/>
        <w:bottom w:val="none" w:sz="0" w:space="0" w:color="auto"/>
        <w:right w:val="none" w:sz="0" w:space="0" w:color="auto"/>
      </w:divBdr>
    </w:div>
    <w:div w:id="1746878332">
      <w:bodyDiv w:val="1"/>
      <w:marLeft w:val="0"/>
      <w:marRight w:val="0"/>
      <w:marTop w:val="0"/>
      <w:marBottom w:val="0"/>
      <w:divBdr>
        <w:top w:val="none" w:sz="0" w:space="0" w:color="auto"/>
        <w:left w:val="none" w:sz="0" w:space="0" w:color="auto"/>
        <w:bottom w:val="none" w:sz="0" w:space="0" w:color="auto"/>
        <w:right w:val="none" w:sz="0" w:space="0" w:color="auto"/>
      </w:divBdr>
      <w:divsChild>
        <w:div w:id="1135175428">
          <w:marLeft w:val="0"/>
          <w:marRight w:val="0"/>
          <w:marTop w:val="0"/>
          <w:marBottom w:val="0"/>
          <w:divBdr>
            <w:top w:val="none" w:sz="0" w:space="0" w:color="auto"/>
            <w:left w:val="none" w:sz="0" w:space="0" w:color="auto"/>
            <w:bottom w:val="none" w:sz="0" w:space="0" w:color="auto"/>
            <w:right w:val="none" w:sz="0" w:space="0" w:color="auto"/>
          </w:divBdr>
          <w:divsChild>
            <w:div w:id="421418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262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372126">
      <w:bodyDiv w:val="1"/>
      <w:marLeft w:val="0"/>
      <w:marRight w:val="0"/>
      <w:marTop w:val="0"/>
      <w:marBottom w:val="0"/>
      <w:divBdr>
        <w:top w:val="none" w:sz="0" w:space="0" w:color="auto"/>
        <w:left w:val="none" w:sz="0" w:space="0" w:color="auto"/>
        <w:bottom w:val="none" w:sz="0" w:space="0" w:color="auto"/>
        <w:right w:val="none" w:sz="0" w:space="0" w:color="auto"/>
      </w:divBdr>
      <w:divsChild>
        <w:div w:id="1937975875">
          <w:marLeft w:val="1799"/>
          <w:marRight w:val="0"/>
          <w:marTop w:val="0"/>
          <w:marBottom w:val="0"/>
          <w:divBdr>
            <w:top w:val="none" w:sz="0" w:space="0" w:color="auto"/>
            <w:left w:val="none" w:sz="0" w:space="0" w:color="auto"/>
            <w:bottom w:val="none" w:sz="0" w:space="0" w:color="auto"/>
            <w:right w:val="none" w:sz="0" w:space="0" w:color="auto"/>
          </w:divBdr>
        </w:div>
      </w:divsChild>
    </w:div>
    <w:div w:id="208110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documents/thematic-reports/a76172-report-special-rapporteur-right-everyone-enjoyment-high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0788DF-82A5-44F3-A3E1-7A8734D01FEC}">
  <ds:schemaRefs>
    <ds:schemaRef ds:uri="http://schemas.openxmlformats.org/officeDocument/2006/bibliography"/>
  </ds:schemaRefs>
</ds:datastoreItem>
</file>

<file path=customXml/itemProps2.xml><?xml version="1.0" encoding="utf-8"?>
<ds:datastoreItem xmlns:ds="http://schemas.openxmlformats.org/officeDocument/2006/customXml" ds:itemID="{6F3755A4-0006-459C-AFDB-82CD38171647}"/>
</file>

<file path=customXml/itemProps3.xml><?xml version="1.0" encoding="utf-8"?>
<ds:datastoreItem xmlns:ds="http://schemas.openxmlformats.org/officeDocument/2006/customXml" ds:itemID="{63DDE65B-7C5D-4FA4-A39C-31FB83337264}"/>
</file>

<file path=docProps/app.xml><?xml version="1.0" encoding="utf-8"?>
<Properties xmlns="http://schemas.openxmlformats.org/officeDocument/2006/extended-properties" xmlns:vt="http://schemas.openxmlformats.org/officeDocument/2006/docPropsVTypes">
  <Template>Normal.dotm</Template>
  <TotalTime>212</TotalTime>
  <Pages>6</Pages>
  <Words>2162</Words>
  <Characters>12328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Kennell</dc:creator>
  <cp:keywords/>
  <dc:description/>
  <cp:lastModifiedBy>Meghan Doherty</cp:lastModifiedBy>
  <cp:revision>4</cp:revision>
  <cp:lastPrinted>2015-09-23T14:32:00Z</cp:lastPrinted>
  <dcterms:created xsi:type="dcterms:W3CDTF">2024-09-09T16:18:00Z</dcterms:created>
  <dcterms:modified xsi:type="dcterms:W3CDTF">2024-09-09T21:36:00Z</dcterms:modified>
</cp:coreProperties>
</file>