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2A7A0" w14:textId="77777777" w:rsidR="00DA482A" w:rsidRPr="0061404A" w:rsidRDefault="00DA482A" w:rsidP="00DA482A">
      <w:pPr>
        <w:pStyle w:val="Heading2"/>
      </w:pPr>
      <w:r w:rsidRPr="0061404A">
        <w:t xml:space="preserve">Discurso de Apertura </w:t>
      </w:r>
      <w:r w:rsidRPr="001B56A7">
        <w:t>del Estado Peruano ante el Comité de los Derechos del Niño</w:t>
      </w:r>
    </w:p>
    <w:p w14:paraId="72656F4D" w14:textId="77777777" w:rsidR="00DA482A" w:rsidRPr="00113C1F" w:rsidRDefault="00DA482A" w:rsidP="00DA482A">
      <w:pPr>
        <w:pStyle w:val="NoSpacing"/>
        <w:rPr>
          <w:rFonts w:asciiTheme="minorHAnsi" w:hAnsiTheme="minorHAnsi" w:cstheme="minorHAnsi"/>
        </w:rPr>
      </w:pPr>
    </w:p>
    <w:p w14:paraId="386BD66F" w14:textId="77777777" w:rsidR="00DA482A" w:rsidRPr="0030733B" w:rsidRDefault="00DA482A" w:rsidP="00DA482A">
      <w:pPr>
        <w:pStyle w:val="NoSpacing"/>
        <w:rPr>
          <w:rFonts w:asciiTheme="minorHAnsi" w:hAnsiTheme="minorHAnsi" w:cstheme="minorHAnsi"/>
          <w:lang w:eastAsia="es-PE"/>
        </w:rPr>
      </w:pPr>
      <w:r w:rsidRPr="0030733B">
        <w:rPr>
          <w:rFonts w:asciiTheme="minorHAnsi" w:hAnsiTheme="minorHAnsi" w:cstheme="minorHAnsi"/>
          <w:noProof/>
        </w:rPr>
        <mc:AlternateContent>
          <mc:Choice Requires="wps">
            <w:drawing>
              <wp:anchor distT="4294967293" distB="4294967293" distL="114300" distR="114300" simplePos="0" relativeHeight="251659264" behindDoc="0" locked="0" layoutInCell="1" allowOverlap="1" wp14:anchorId="0896C36A" wp14:editId="1AD365F1">
                <wp:simplePos x="0" y="0"/>
                <wp:positionH relativeFrom="margin">
                  <wp:align>right</wp:align>
                </wp:positionH>
                <wp:positionV relativeFrom="paragraph">
                  <wp:posOffset>28331</wp:posOffset>
                </wp:positionV>
                <wp:extent cx="5650523" cy="16119"/>
                <wp:effectExtent l="0" t="19050" r="45720" b="41275"/>
                <wp:wrapNone/>
                <wp:docPr id="24"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50523" cy="16119"/>
                        </a:xfrm>
                        <a:prstGeom prst="line">
                          <a:avLst/>
                        </a:prstGeom>
                        <a:noFill/>
                        <a:ln w="57150" cap="flat" cmpd="thinThick" algn="ctr">
                          <a:solidFill>
                            <a:srgbClr val="FF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09780B4" id="Conector recto 1" o:spid="_x0000_s1026" style="position:absolute;z-index:251659264;visibility:visible;mso-wrap-style:square;mso-width-percent:0;mso-height-percent:0;mso-wrap-distance-left:9pt;mso-wrap-distance-top:-8e-5mm;mso-wrap-distance-right:9pt;mso-wrap-distance-bottom:-8e-5mm;mso-position-horizontal:right;mso-position-horizontal-relative:margin;mso-position-vertical:absolute;mso-position-vertical-relative:text;mso-width-percent:0;mso-height-percent:0;mso-width-relative:page;mso-height-relative:page" from="393.7pt,2.25pt" to="838.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" strokecolor="red" strokeweight="4.5pt">
                <v:stroke linestyle="thinThick" joinstyle="miter"/>
                <o:lock v:ext="edit" shapetype="f"/>
                <w10:wrap anchorx="margin"/>
              </v:line>
            </w:pict>
          </mc:Fallback>
        </mc:AlternateContent>
      </w:r>
    </w:p>
    <w:p w14:paraId="1C0E24BC" w14:textId="77777777" w:rsidR="00DA482A" w:rsidRDefault="00DA482A" w:rsidP="00DA482A">
      <w:pPr>
        <w:spacing w:after="0" w:line="240" w:lineRule="auto"/>
        <w:jc w:val="both"/>
        <w:rPr>
          <w:rFonts w:cstheme="minorHAnsi"/>
          <w:sz w:val="28"/>
          <w:szCs w:val="28"/>
        </w:rPr>
      </w:pPr>
    </w:p>
    <w:p w14:paraId="65A413EA" w14:textId="77777777" w:rsidR="00DA482A" w:rsidRDefault="00DA482A" w:rsidP="00DA482A">
      <w:pPr>
        <w:spacing w:after="0" w:line="240" w:lineRule="auto"/>
        <w:jc w:val="both"/>
        <w:rPr>
          <w:rFonts w:cstheme="minorHAnsi"/>
          <w:sz w:val="28"/>
          <w:szCs w:val="28"/>
        </w:rPr>
      </w:pPr>
      <w:r>
        <w:rPr>
          <w:rFonts w:cstheme="minorHAnsi"/>
          <w:sz w:val="28"/>
          <w:szCs w:val="28"/>
        </w:rPr>
        <w:t xml:space="preserve">Señora </w:t>
      </w:r>
      <w:r w:rsidRPr="001B56A7">
        <w:rPr>
          <w:rFonts w:cstheme="minorHAnsi"/>
          <w:sz w:val="28"/>
          <w:szCs w:val="28"/>
        </w:rPr>
        <w:t>Presidenta Ann Marie Skelton</w:t>
      </w:r>
      <w:r>
        <w:rPr>
          <w:rFonts w:cstheme="minorHAnsi"/>
          <w:sz w:val="28"/>
          <w:szCs w:val="28"/>
        </w:rPr>
        <w:t xml:space="preserve">, </w:t>
      </w:r>
    </w:p>
    <w:p w14:paraId="629CED1E" w14:textId="77777777" w:rsidR="00DA482A" w:rsidRDefault="00DA482A" w:rsidP="00DA482A">
      <w:pPr>
        <w:spacing w:after="0" w:line="240" w:lineRule="auto"/>
        <w:jc w:val="both"/>
        <w:rPr>
          <w:rFonts w:cstheme="minorHAnsi"/>
          <w:sz w:val="28"/>
          <w:szCs w:val="28"/>
        </w:rPr>
      </w:pPr>
    </w:p>
    <w:p w14:paraId="3941946E" w14:textId="77777777" w:rsidR="00DA482A" w:rsidRPr="001B56A7" w:rsidRDefault="00DA482A" w:rsidP="00DA482A">
      <w:pPr>
        <w:spacing w:after="0" w:line="240" w:lineRule="auto"/>
        <w:jc w:val="both"/>
        <w:rPr>
          <w:rFonts w:cstheme="minorHAnsi"/>
          <w:sz w:val="28"/>
          <w:szCs w:val="28"/>
        </w:rPr>
      </w:pPr>
      <w:r>
        <w:rPr>
          <w:rFonts w:cstheme="minorHAnsi"/>
          <w:sz w:val="28"/>
          <w:szCs w:val="28"/>
        </w:rPr>
        <w:t xml:space="preserve">Señores miembros del Comité </w:t>
      </w:r>
    </w:p>
    <w:p w14:paraId="23E81575" w14:textId="77777777" w:rsidR="00DA482A" w:rsidRDefault="00DA482A" w:rsidP="00DA482A">
      <w:pPr>
        <w:spacing w:after="0" w:line="360" w:lineRule="auto"/>
        <w:jc w:val="both"/>
        <w:rPr>
          <w:rFonts w:cstheme="minorHAnsi"/>
          <w:sz w:val="28"/>
          <w:szCs w:val="28"/>
        </w:rPr>
      </w:pPr>
    </w:p>
    <w:p w14:paraId="198BE6A6" w14:textId="77777777" w:rsidR="00DA482A" w:rsidRDefault="00DA482A" w:rsidP="00DA482A">
      <w:pPr>
        <w:spacing w:after="0" w:line="360" w:lineRule="auto"/>
        <w:jc w:val="both"/>
        <w:rPr>
          <w:rFonts w:cstheme="minorHAnsi"/>
          <w:sz w:val="28"/>
          <w:szCs w:val="28"/>
        </w:rPr>
      </w:pPr>
      <w:r>
        <w:rPr>
          <w:rFonts w:cstheme="minorHAnsi"/>
          <w:sz w:val="28"/>
          <w:szCs w:val="28"/>
        </w:rPr>
        <w:t xml:space="preserve">Buenas Tardes, </w:t>
      </w:r>
    </w:p>
    <w:p w14:paraId="271C2A2D" w14:textId="77777777" w:rsidR="00DA482A" w:rsidRPr="009D2985" w:rsidRDefault="00DA482A" w:rsidP="00DA482A">
      <w:pPr>
        <w:spacing w:after="0" w:line="360" w:lineRule="auto"/>
        <w:jc w:val="both"/>
        <w:rPr>
          <w:rFonts w:cstheme="minorHAnsi"/>
          <w:sz w:val="28"/>
          <w:szCs w:val="28"/>
        </w:rPr>
      </w:pPr>
      <w:r w:rsidRPr="009D2985">
        <w:rPr>
          <w:rFonts w:cstheme="minorHAnsi"/>
          <w:sz w:val="28"/>
          <w:szCs w:val="28"/>
        </w:rPr>
        <w:t>Me presento ante ustedes en mi calidad de Ministra de la Mujer y Poblaciones Vulnerables, entidad rectora del Sistema Nacional de Atención Integral de la Niña, Niño y Adolescente en la República del Perú. En esta ocasión, tengo el honor de liderar la delegación peruana encargada de la presentación del Sexto y Séptimo Informe Periódico Combinado del Perú ante el Comité de los Derechos del Niño."</w:t>
      </w:r>
    </w:p>
    <w:p w14:paraId="7E8AB8D7" w14:textId="77777777" w:rsidR="00DA482A" w:rsidRDefault="00DA482A" w:rsidP="00DA482A">
      <w:pPr>
        <w:spacing w:after="0" w:line="360" w:lineRule="auto"/>
        <w:jc w:val="both"/>
        <w:rPr>
          <w:rFonts w:cstheme="minorHAnsi"/>
          <w:sz w:val="28"/>
          <w:szCs w:val="28"/>
        </w:rPr>
      </w:pPr>
    </w:p>
    <w:p w14:paraId="2AE20EA9" w14:textId="77777777" w:rsidR="00DA482A" w:rsidRPr="0020673C" w:rsidRDefault="00DA482A" w:rsidP="00DA482A">
      <w:pPr>
        <w:spacing w:after="0" w:line="360" w:lineRule="auto"/>
        <w:jc w:val="both"/>
        <w:rPr>
          <w:rFonts w:cstheme="minorHAnsi"/>
          <w:sz w:val="28"/>
          <w:szCs w:val="28"/>
        </w:rPr>
      </w:pPr>
      <w:r w:rsidRPr="009D2985">
        <w:rPr>
          <w:rFonts w:cstheme="minorHAnsi"/>
          <w:sz w:val="28"/>
          <w:szCs w:val="28"/>
        </w:rPr>
        <w:t xml:space="preserve">El Estado peruano, consciente de las obligaciones asumidas tras la adopción y ratificación de la Convención sobre los Derechos del Niño cumple con su compromiso de informar oralmente ante este Comité sobre las medidas adoptadas para garantizar el goce de los derechos a todas las niñas, niños y adolescentes en el Perú, durante el periodo comprendido entre enero de 2013 y enero de 2024. </w:t>
      </w:r>
      <w:r w:rsidRPr="0020673C">
        <w:rPr>
          <w:rFonts w:cstheme="minorHAnsi"/>
          <w:sz w:val="28"/>
          <w:szCs w:val="28"/>
        </w:rPr>
        <w:t>El Informe escrito, fue recibido por el Comité el 21 de marzo de 2024.</w:t>
      </w:r>
    </w:p>
    <w:p w14:paraId="3D593B4B" w14:textId="77777777" w:rsidR="00DA482A" w:rsidRDefault="00DA482A" w:rsidP="00DA482A">
      <w:pPr>
        <w:spacing w:after="0" w:line="360" w:lineRule="auto"/>
        <w:jc w:val="both"/>
        <w:rPr>
          <w:rFonts w:cstheme="minorHAnsi"/>
          <w:sz w:val="28"/>
          <w:szCs w:val="28"/>
        </w:rPr>
      </w:pPr>
    </w:p>
    <w:p w14:paraId="2344742E" w14:textId="77777777" w:rsidR="00DA482A" w:rsidRPr="009D2985" w:rsidRDefault="00DA482A" w:rsidP="00DA482A">
      <w:pPr>
        <w:spacing w:after="0" w:line="360" w:lineRule="auto"/>
        <w:jc w:val="both"/>
        <w:rPr>
          <w:rFonts w:cstheme="minorHAnsi"/>
          <w:sz w:val="28"/>
          <w:szCs w:val="28"/>
        </w:rPr>
      </w:pPr>
      <w:r w:rsidRPr="009D2985">
        <w:rPr>
          <w:rFonts w:cstheme="minorHAnsi"/>
          <w:sz w:val="28"/>
          <w:szCs w:val="28"/>
        </w:rPr>
        <w:t xml:space="preserve">Es fundamental resaltar que el Sexto y Séptimo Informe Periódico Combinado del Perú ante el Comité de los Derechos del Niño ha integrado de manera formal las voces y opiniones de nuestras niñas, niños y adolescentes, a través de los Consejos Consultivos y Participativos de Niñas, Niños y Adolescentes (CCONNA). </w:t>
      </w:r>
      <w:r w:rsidRPr="009D2985">
        <w:rPr>
          <w:rFonts w:cstheme="minorHAnsi"/>
          <w:sz w:val="28"/>
          <w:szCs w:val="28"/>
        </w:rPr>
        <w:lastRenderedPageBreak/>
        <w:t>Este esfuerzo refleja nuestro compromiso de garantizar que sus perspectivas sean escuchadas y tenidas en cuenta en la toma de decisiones que afectan su bienestar.</w:t>
      </w:r>
    </w:p>
    <w:p w14:paraId="1429CA93" w14:textId="77777777" w:rsidR="00DA482A" w:rsidRDefault="00DA482A" w:rsidP="00DA482A">
      <w:pPr>
        <w:pStyle w:val="NormalWeb"/>
        <w:spacing w:before="0" w:beforeAutospacing="0" w:after="0" w:afterAutospacing="0" w:line="360" w:lineRule="auto"/>
        <w:jc w:val="both"/>
        <w:rPr>
          <w:rFonts w:asciiTheme="minorHAnsi" w:hAnsiTheme="minorHAnsi" w:cstheme="minorHAnsi"/>
          <w:sz w:val="28"/>
          <w:szCs w:val="28"/>
        </w:rPr>
      </w:pPr>
    </w:p>
    <w:p w14:paraId="224D3648" w14:textId="77777777" w:rsidR="00DA482A" w:rsidRPr="009D2985" w:rsidRDefault="00DA482A" w:rsidP="00DA482A">
      <w:pPr>
        <w:pStyle w:val="NormalWeb"/>
        <w:spacing w:before="0" w:beforeAutospacing="0" w:after="0" w:afterAutospacing="0" w:line="360" w:lineRule="auto"/>
        <w:jc w:val="both"/>
        <w:rPr>
          <w:rFonts w:asciiTheme="minorHAnsi" w:hAnsiTheme="minorHAnsi" w:cstheme="minorHAnsi"/>
          <w:sz w:val="28"/>
          <w:szCs w:val="28"/>
        </w:rPr>
      </w:pPr>
      <w:r w:rsidRPr="009D2985">
        <w:rPr>
          <w:rFonts w:asciiTheme="minorHAnsi" w:hAnsiTheme="minorHAnsi" w:cstheme="minorHAnsi"/>
          <w:sz w:val="28"/>
          <w:szCs w:val="28"/>
        </w:rPr>
        <w:t>Es fundamental subrayar que el Estado peruano ha adoptado medidas concretas para la protección y promoción de los derechos de nuestras niñas, niños y adolescentes. Entre los avances legislativos y administrativos destacan:</w:t>
      </w:r>
    </w:p>
    <w:p w14:paraId="07282993" w14:textId="77777777" w:rsidR="00DA482A" w:rsidRPr="009D2985" w:rsidRDefault="00DA482A" w:rsidP="00DA482A">
      <w:pPr>
        <w:pStyle w:val="NormalWeb"/>
        <w:numPr>
          <w:ilvl w:val="0"/>
          <w:numId w:val="1"/>
        </w:numPr>
        <w:spacing w:before="0" w:beforeAutospacing="0" w:after="0" w:afterAutospacing="0" w:line="360" w:lineRule="auto"/>
        <w:jc w:val="both"/>
        <w:rPr>
          <w:rFonts w:asciiTheme="minorHAnsi" w:hAnsiTheme="minorHAnsi" w:cstheme="minorHAnsi"/>
          <w:sz w:val="28"/>
          <w:szCs w:val="28"/>
        </w:rPr>
      </w:pPr>
      <w:r w:rsidRPr="009D2985">
        <w:rPr>
          <w:rFonts w:asciiTheme="minorHAnsi" w:hAnsiTheme="minorHAnsi" w:cstheme="minorHAnsi"/>
          <w:sz w:val="28"/>
          <w:szCs w:val="28"/>
        </w:rPr>
        <w:t>La Ley de Promoción del Uso Seguro y Responsable de las Tecnologías de la Información y Comunicaciones por parte de niñas, niños y adolescentes, una medida clave para salvaguardar su seguridad y bienestar en el entorno digital.</w:t>
      </w:r>
    </w:p>
    <w:p w14:paraId="2ACF8F78" w14:textId="77777777" w:rsidR="00DA482A" w:rsidRPr="009D2985" w:rsidRDefault="00DA482A" w:rsidP="00DA482A">
      <w:pPr>
        <w:pStyle w:val="NormalWeb"/>
        <w:numPr>
          <w:ilvl w:val="0"/>
          <w:numId w:val="1"/>
        </w:numPr>
        <w:spacing w:before="0" w:beforeAutospacing="0" w:after="0" w:afterAutospacing="0" w:line="360" w:lineRule="auto"/>
        <w:jc w:val="both"/>
        <w:rPr>
          <w:rFonts w:asciiTheme="minorHAnsi" w:hAnsiTheme="minorHAnsi" w:cstheme="minorHAnsi"/>
          <w:sz w:val="28"/>
          <w:szCs w:val="28"/>
        </w:rPr>
      </w:pPr>
      <w:r w:rsidRPr="009D2985">
        <w:rPr>
          <w:rFonts w:asciiTheme="minorHAnsi" w:hAnsiTheme="minorHAnsi" w:cstheme="minorHAnsi"/>
          <w:sz w:val="28"/>
          <w:szCs w:val="28"/>
        </w:rPr>
        <w:t>La Ley que establece los parámetros y garantías procesales para asegurar que el interés superior del niño sea una prioridad en todos los procesos, procedimientos y demás actuaciones del Estado o de entidades privadas.</w:t>
      </w:r>
    </w:p>
    <w:p w14:paraId="77BFC8BB" w14:textId="77777777" w:rsidR="00DA482A" w:rsidRPr="009D2985" w:rsidRDefault="00DA482A" w:rsidP="00DA482A">
      <w:pPr>
        <w:pStyle w:val="NormalWeb"/>
        <w:numPr>
          <w:ilvl w:val="0"/>
          <w:numId w:val="1"/>
        </w:numPr>
        <w:spacing w:before="0" w:beforeAutospacing="0" w:after="0" w:afterAutospacing="0" w:line="360" w:lineRule="auto"/>
        <w:jc w:val="both"/>
        <w:rPr>
          <w:rFonts w:asciiTheme="minorHAnsi" w:hAnsiTheme="minorHAnsi" w:cstheme="minorHAnsi"/>
          <w:sz w:val="28"/>
          <w:szCs w:val="28"/>
        </w:rPr>
      </w:pPr>
      <w:r w:rsidRPr="009D2985">
        <w:rPr>
          <w:rFonts w:asciiTheme="minorHAnsi" w:hAnsiTheme="minorHAnsi" w:cstheme="minorHAnsi"/>
          <w:sz w:val="28"/>
          <w:szCs w:val="28"/>
        </w:rPr>
        <w:t>El Decreto Legislativo para la protección de niñas, niños y adolescentes sin cuidados parentales o en riesgo de perderlos, asegurando que cada niño y niña reciba la protección que necesita para su desarrollo integral.</w:t>
      </w:r>
    </w:p>
    <w:p w14:paraId="13849B7B" w14:textId="77777777" w:rsidR="00DA482A" w:rsidRPr="009D2985" w:rsidRDefault="00DA482A" w:rsidP="00DA482A">
      <w:pPr>
        <w:pStyle w:val="NormalWeb"/>
        <w:numPr>
          <w:ilvl w:val="0"/>
          <w:numId w:val="1"/>
        </w:numPr>
        <w:spacing w:before="0" w:beforeAutospacing="0" w:after="0" w:afterAutospacing="0" w:line="360" w:lineRule="auto"/>
        <w:jc w:val="both"/>
        <w:rPr>
          <w:rFonts w:asciiTheme="minorHAnsi" w:hAnsiTheme="minorHAnsi" w:cstheme="minorHAnsi"/>
          <w:sz w:val="28"/>
          <w:szCs w:val="28"/>
        </w:rPr>
      </w:pPr>
      <w:r w:rsidRPr="009D2985">
        <w:rPr>
          <w:rFonts w:asciiTheme="minorHAnsi" w:hAnsiTheme="minorHAnsi" w:cstheme="minorHAnsi"/>
          <w:sz w:val="28"/>
          <w:szCs w:val="28"/>
        </w:rPr>
        <w:t>El Código de Responsabilidad Penal de Adolescentes que establece medidas adecuadas para el tratamiento de los adolescentes en conflicto con la ley, promoviendo su rehabilitación y reintegración plena a la sociedad.</w:t>
      </w:r>
    </w:p>
    <w:p w14:paraId="614D86BD" w14:textId="77777777" w:rsidR="00DA482A" w:rsidRPr="009D2985" w:rsidRDefault="00DA482A" w:rsidP="00DA482A">
      <w:pPr>
        <w:pStyle w:val="NormalWeb"/>
        <w:numPr>
          <w:ilvl w:val="0"/>
          <w:numId w:val="1"/>
        </w:numPr>
        <w:spacing w:before="0" w:beforeAutospacing="0" w:after="0" w:afterAutospacing="0" w:line="360" w:lineRule="auto"/>
        <w:jc w:val="both"/>
        <w:rPr>
          <w:rFonts w:asciiTheme="minorHAnsi" w:hAnsiTheme="minorHAnsi" w:cstheme="minorHAnsi"/>
          <w:sz w:val="28"/>
          <w:szCs w:val="28"/>
        </w:rPr>
      </w:pPr>
      <w:r w:rsidRPr="009D2985">
        <w:rPr>
          <w:rFonts w:asciiTheme="minorHAnsi" w:hAnsiTheme="minorHAnsi" w:cstheme="minorHAnsi"/>
          <w:sz w:val="28"/>
          <w:szCs w:val="28"/>
        </w:rPr>
        <w:t xml:space="preserve">La Ley que prohíbe el matrimonio de personas menores de 18 años, un avance fundamental en la lucha contra la violencia y la explotación infantil, que reafirma nuestro compromiso con la protección de las </w:t>
      </w:r>
      <w:r w:rsidRPr="009D2985">
        <w:rPr>
          <w:rFonts w:asciiTheme="minorHAnsi" w:hAnsiTheme="minorHAnsi" w:cstheme="minorHAnsi"/>
          <w:sz w:val="28"/>
          <w:szCs w:val="28"/>
        </w:rPr>
        <w:lastRenderedPageBreak/>
        <w:t>niñas y adolescentes, garantizando que puedan desarrollar su potencial plenamente.</w:t>
      </w:r>
    </w:p>
    <w:p w14:paraId="7636DE51" w14:textId="77777777" w:rsidR="00DA482A" w:rsidRPr="009D2985" w:rsidRDefault="00DA482A" w:rsidP="00DA482A">
      <w:pPr>
        <w:pStyle w:val="NormalWeb"/>
        <w:numPr>
          <w:ilvl w:val="0"/>
          <w:numId w:val="1"/>
        </w:numPr>
        <w:spacing w:before="0" w:beforeAutospacing="0" w:after="0" w:afterAutospacing="0" w:line="360" w:lineRule="auto"/>
        <w:jc w:val="both"/>
        <w:rPr>
          <w:rFonts w:asciiTheme="minorHAnsi" w:hAnsiTheme="minorHAnsi" w:cstheme="minorHAnsi"/>
          <w:sz w:val="28"/>
          <w:szCs w:val="28"/>
        </w:rPr>
      </w:pPr>
      <w:r w:rsidRPr="009D2985">
        <w:rPr>
          <w:rFonts w:asciiTheme="minorHAnsi" w:hAnsiTheme="minorHAnsi" w:cstheme="minorHAnsi"/>
          <w:sz w:val="28"/>
          <w:szCs w:val="28"/>
        </w:rPr>
        <w:t xml:space="preserve">La Ley que establece medidas para la atención de casos de desaparición de personas en situación de vulnerabilidad, una herramienta crucial para prevenir y atender de manera prioritaria la desaparición de nuestros </w:t>
      </w:r>
      <w:proofErr w:type="gramStart"/>
      <w:r w:rsidRPr="009D2985">
        <w:rPr>
          <w:rFonts w:asciiTheme="minorHAnsi" w:hAnsiTheme="minorHAnsi" w:cstheme="minorHAnsi"/>
          <w:sz w:val="28"/>
          <w:szCs w:val="28"/>
        </w:rPr>
        <w:t>niños y niñas</w:t>
      </w:r>
      <w:proofErr w:type="gramEnd"/>
      <w:r w:rsidRPr="009D2985">
        <w:rPr>
          <w:rFonts w:asciiTheme="minorHAnsi" w:hAnsiTheme="minorHAnsi" w:cstheme="minorHAnsi"/>
          <w:sz w:val="28"/>
          <w:szCs w:val="28"/>
        </w:rPr>
        <w:t>, asegurando su protección en situaciones de alto riesgo y fortaleciendo el compromiso del Estado en su búsqueda y resguardo.</w:t>
      </w:r>
    </w:p>
    <w:p w14:paraId="31FBCB94" w14:textId="77777777" w:rsidR="00DA482A" w:rsidRPr="009D2985" w:rsidRDefault="00DA482A" w:rsidP="00DA482A">
      <w:pPr>
        <w:pStyle w:val="NormalWeb"/>
        <w:numPr>
          <w:ilvl w:val="0"/>
          <w:numId w:val="1"/>
        </w:numPr>
        <w:spacing w:before="0" w:beforeAutospacing="0" w:after="0" w:afterAutospacing="0" w:line="360" w:lineRule="auto"/>
        <w:jc w:val="both"/>
        <w:rPr>
          <w:rFonts w:asciiTheme="minorHAnsi" w:hAnsiTheme="minorHAnsi" w:cstheme="minorHAnsi"/>
          <w:sz w:val="28"/>
          <w:szCs w:val="28"/>
        </w:rPr>
      </w:pPr>
      <w:r w:rsidRPr="009D2985">
        <w:rPr>
          <w:rFonts w:asciiTheme="minorHAnsi" w:hAnsiTheme="minorHAnsi" w:cstheme="minorHAnsi"/>
          <w:sz w:val="28"/>
          <w:szCs w:val="28"/>
        </w:rPr>
        <w:t>La Ley que aprobó la entrega de asistencia económica para niñas, niños y adolescentes en orfandad durante la emergencia sanitaria por COVID-19, reconociendo el impacto devastador de la pandemia en la infancia.</w:t>
      </w:r>
    </w:p>
    <w:p w14:paraId="23BDB3E0" w14:textId="77777777" w:rsidR="00DA482A" w:rsidRDefault="00DA482A" w:rsidP="00DA482A">
      <w:pPr>
        <w:pStyle w:val="NormalWeb"/>
        <w:spacing w:before="0" w:beforeAutospacing="0" w:after="0" w:afterAutospacing="0" w:line="360" w:lineRule="auto"/>
        <w:jc w:val="both"/>
        <w:rPr>
          <w:rFonts w:asciiTheme="minorHAnsi" w:hAnsiTheme="minorHAnsi" w:cstheme="minorHAnsi"/>
          <w:sz w:val="28"/>
          <w:szCs w:val="28"/>
        </w:rPr>
      </w:pPr>
    </w:p>
    <w:p w14:paraId="3FAA5A50" w14:textId="77777777" w:rsidR="00DA482A" w:rsidRDefault="00DA482A" w:rsidP="00DA482A">
      <w:pPr>
        <w:pStyle w:val="NormalWeb"/>
        <w:spacing w:before="0" w:beforeAutospacing="0" w:after="0" w:afterAutospacing="0" w:line="360" w:lineRule="auto"/>
        <w:jc w:val="both"/>
        <w:rPr>
          <w:rFonts w:asciiTheme="minorHAnsi" w:hAnsiTheme="minorHAnsi" w:cstheme="minorHAnsi"/>
          <w:sz w:val="28"/>
          <w:szCs w:val="28"/>
        </w:rPr>
      </w:pPr>
      <w:r w:rsidRPr="009D2985">
        <w:rPr>
          <w:rFonts w:asciiTheme="minorHAnsi" w:hAnsiTheme="minorHAnsi" w:cstheme="minorHAnsi"/>
          <w:sz w:val="28"/>
          <w:szCs w:val="28"/>
        </w:rPr>
        <w:t>El Perú, al igual que el mundo entero, enfrentó los graves desafíos que la pandemia del COVID-19 impuso a nuestras niñas, niños y adolescentes. Ante esta situación, el Estado adoptó acciones para mitigar sus efectos, priorizando su bienestar, entre ellas:</w:t>
      </w:r>
    </w:p>
    <w:p w14:paraId="055782E9" w14:textId="77777777" w:rsidR="00DA482A" w:rsidRPr="009D2985" w:rsidRDefault="00DA482A" w:rsidP="00DA482A">
      <w:pPr>
        <w:pStyle w:val="NormalWeb"/>
        <w:spacing w:before="0" w:beforeAutospacing="0" w:after="0" w:afterAutospacing="0" w:line="360" w:lineRule="auto"/>
        <w:jc w:val="both"/>
        <w:rPr>
          <w:rFonts w:asciiTheme="minorHAnsi" w:hAnsiTheme="minorHAnsi" w:cstheme="minorHAnsi"/>
          <w:sz w:val="28"/>
          <w:szCs w:val="28"/>
        </w:rPr>
      </w:pPr>
    </w:p>
    <w:p w14:paraId="0945E1F1" w14:textId="77777777" w:rsidR="00DA482A" w:rsidRPr="009D2985" w:rsidRDefault="00DA482A" w:rsidP="00DA482A">
      <w:pPr>
        <w:pStyle w:val="NormalWeb"/>
        <w:numPr>
          <w:ilvl w:val="0"/>
          <w:numId w:val="2"/>
        </w:numPr>
        <w:spacing w:before="0" w:beforeAutospacing="0" w:after="0" w:afterAutospacing="0" w:line="360" w:lineRule="auto"/>
        <w:jc w:val="both"/>
        <w:rPr>
          <w:rFonts w:asciiTheme="minorHAnsi" w:hAnsiTheme="minorHAnsi" w:cstheme="minorHAnsi"/>
          <w:sz w:val="28"/>
          <w:szCs w:val="28"/>
        </w:rPr>
      </w:pPr>
      <w:r w:rsidRPr="009D2985">
        <w:rPr>
          <w:rFonts w:asciiTheme="minorHAnsi" w:hAnsiTheme="minorHAnsi" w:cstheme="minorHAnsi"/>
          <w:sz w:val="28"/>
          <w:szCs w:val="28"/>
        </w:rPr>
        <w:t>La estrategia 'Aprendo en casa', que garantizó la continuidad educativa a través de medios accesibles como televisión, radio e internet.</w:t>
      </w:r>
    </w:p>
    <w:p w14:paraId="58F97DFE" w14:textId="77777777" w:rsidR="00DA482A" w:rsidRPr="009D2985" w:rsidRDefault="00DA482A" w:rsidP="00DA482A">
      <w:pPr>
        <w:pStyle w:val="NormalWeb"/>
        <w:numPr>
          <w:ilvl w:val="0"/>
          <w:numId w:val="2"/>
        </w:numPr>
        <w:spacing w:before="0" w:beforeAutospacing="0" w:after="0" w:afterAutospacing="0" w:line="360" w:lineRule="auto"/>
        <w:jc w:val="both"/>
        <w:rPr>
          <w:rFonts w:asciiTheme="minorHAnsi" w:hAnsiTheme="minorHAnsi" w:cstheme="minorHAnsi"/>
          <w:sz w:val="28"/>
          <w:szCs w:val="28"/>
        </w:rPr>
      </w:pPr>
      <w:r w:rsidRPr="009D2985">
        <w:rPr>
          <w:rFonts w:asciiTheme="minorHAnsi" w:hAnsiTheme="minorHAnsi" w:cstheme="minorHAnsi"/>
          <w:sz w:val="28"/>
          <w:szCs w:val="28"/>
        </w:rPr>
        <w:t xml:space="preserve">La Ley que aprobó la entrega de asistencia económica para niñas, niños y adolescentes en orfandad durante la emergencia sanitaria por COVID-19, una política que no solo atendió el impacto devastador de la pandemia, sino que también ha sido ampliada para apoyar a los huérfanos en situación de pobreza. Actualmente beneficia a </w:t>
      </w:r>
      <w:r w:rsidRPr="003941C4">
        <w:rPr>
          <w:rFonts w:asciiTheme="minorHAnsi" w:hAnsiTheme="minorHAnsi" w:cstheme="minorHAnsi"/>
          <w:sz w:val="28"/>
          <w:szCs w:val="28"/>
        </w:rPr>
        <w:t xml:space="preserve">103,644 </w:t>
      </w:r>
      <w:r w:rsidRPr="009D2985">
        <w:rPr>
          <w:rFonts w:asciiTheme="minorHAnsi" w:hAnsiTheme="minorHAnsi" w:cstheme="minorHAnsi"/>
          <w:sz w:val="28"/>
          <w:szCs w:val="28"/>
        </w:rPr>
        <w:lastRenderedPageBreak/>
        <w:t>huérfanos, asegurando su bienestar y protección hasta que alcancen la mayoría de edad, con un seguimiento continuo a sus familias.</w:t>
      </w:r>
    </w:p>
    <w:p w14:paraId="76634FE3" w14:textId="77777777" w:rsidR="00DA482A" w:rsidRDefault="00DA482A" w:rsidP="00DA482A">
      <w:pPr>
        <w:pStyle w:val="NormalWeb"/>
        <w:numPr>
          <w:ilvl w:val="0"/>
          <w:numId w:val="2"/>
        </w:numPr>
        <w:spacing w:before="0" w:beforeAutospacing="0" w:after="0" w:afterAutospacing="0" w:line="360" w:lineRule="auto"/>
        <w:jc w:val="both"/>
        <w:rPr>
          <w:rFonts w:asciiTheme="minorHAnsi" w:hAnsiTheme="minorHAnsi" w:cstheme="minorHAnsi"/>
          <w:sz w:val="28"/>
          <w:szCs w:val="28"/>
        </w:rPr>
      </w:pPr>
      <w:r w:rsidRPr="009D2985">
        <w:rPr>
          <w:rFonts w:asciiTheme="minorHAnsi" w:hAnsiTheme="minorHAnsi" w:cstheme="minorHAnsi"/>
          <w:sz w:val="28"/>
          <w:szCs w:val="28"/>
        </w:rPr>
        <w:t>El Decreto Legislativo que declaró los servicios de atención y protección a niñas, niños y adolescentes víctimas de violencia como servicios esenciales, asegurando su acceso prioritario.</w:t>
      </w:r>
    </w:p>
    <w:p w14:paraId="5AFCB6C4" w14:textId="77777777" w:rsidR="00DA482A" w:rsidRPr="009D2985" w:rsidRDefault="00DA482A" w:rsidP="00DA482A">
      <w:pPr>
        <w:pStyle w:val="NormalWeb"/>
        <w:spacing w:before="0" w:beforeAutospacing="0" w:after="0" w:afterAutospacing="0" w:line="360" w:lineRule="auto"/>
        <w:ind w:left="720"/>
        <w:jc w:val="both"/>
        <w:rPr>
          <w:rFonts w:asciiTheme="minorHAnsi" w:hAnsiTheme="minorHAnsi" w:cstheme="minorHAnsi"/>
          <w:sz w:val="28"/>
          <w:szCs w:val="28"/>
        </w:rPr>
      </w:pPr>
    </w:p>
    <w:p w14:paraId="2BFC6E6C" w14:textId="77777777" w:rsidR="00DA482A" w:rsidRPr="009D2985" w:rsidRDefault="00DA482A" w:rsidP="00DA482A">
      <w:pPr>
        <w:pStyle w:val="NormalWeb"/>
        <w:spacing w:before="0" w:beforeAutospacing="0" w:after="0" w:afterAutospacing="0" w:line="360" w:lineRule="auto"/>
        <w:jc w:val="both"/>
        <w:rPr>
          <w:rFonts w:asciiTheme="minorHAnsi" w:hAnsiTheme="minorHAnsi" w:cstheme="minorHAnsi"/>
          <w:sz w:val="28"/>
          <w:szCs w:val="28"/>
        </w:rPr>
      </w:pPr>
      <w:r w:rsidRPr="009D2985">
        <w:rPr>
          <w:rFonts w:asciiTheme="minorHAnsi" w:hAnsiTheme="minorHAnsi" w:cstheme="minorHAnsi"/>
          <w:sz w:val="28"/>
          <w:szCs w:val="28"/>
        </w:rPr>
        <w:t xml:space="preserve">El 2021, el Gobierno peruano aprobó la Política Nacional Multisectorial para las Niñas, Niños y Adolescentes al 2030, con el objetivo de garantizar el pleno ejercicio de sus derechos, y lograr, para 2030 que disfruten de bienestar físico, mental y social. La política tiene cinco ejes prioritarios: mejorar las condiciones de vida saludable, fortalecer la autonomía y capacidad de toma de decisiones, reducir los riesgos de desprotección, promover su </w:t>
      </w:r>
      <w:proofErr w:type="gramStart"/>
      <w:r w:rsidRPr="009D2985">
        <w:rPr>
          <w:rFonts w:asciiTheme="minorHAnsi" w:hAnsiTheme="minorHAnsi" w:cstheme="minorHAnsi"/>
          <w:sz w:val="28"/>
          <w:szCs w:val="28"/>
        </w:rPr>
        <w:t>participación activa</w:t>
      </w:r>
      <w:proofErr w:type="gramEnd"/>
      <w:r w:rsidRPr="009D2985">
        <w:rPr>
          <w:rFonts w:asciiTheme="minorHAnsi" w:hAnsiTheme="minorHAnsi" w:cstheme="minorHAnsi"/>
          <w:sz w:val="28"/>
          <w:szCs w:val="28"/>
        </w:rPr>
        <w:t xml:space="preserve"> en los espacios que definen su futuro y optimizar la gobernanza para garantizar el respeto y ejercicio de sus derechos.</w:t>
      </w:r>
    </w:p>
    <w:p w14:paraId="0E24EA52" w14:textId="77777777" w:rsidR="00DA482A" w:rsidRDefault="00DA482A" w:rsidP="00DA482A">
      <w:pPr>
        <w:spacing w:after="0" w:line="360" w:lineRule="auto"/>
        <w:jc w:val="both"/>
        <w:rPr>
          <w:rFonts w:eastAsia="Times New Roman" w:cstheme="minorHAnsi"/>
          <w:sz w:val="28"/>
          <w:szCs w:val="28"/>
          <w:lang w:eastAsia="es-PE"/>
        </w:rPr>
      </w:pPr>
    </w:p>
    <w:p w14:paraId="393E1166" w14:textId="77777777" w:rsidR="00DA482A" w:rsidRPr="009D2985" w:rsidRDefault="00DA482A" w:rsidP="00DA482A">
      <w:pPr>
        <w:spacing w:after="0" w:line="360" w:lineRule="auto"/>
        <w:jc w:val="both"/>
        <w:rPr>
          <w:rFonts w:eastAsia="Times New Roman" w:cstheme="minorHAnsi"/>
          <w:sz w:val="28"/>
          <w:szCs w:val="28"/>
          <w:lang w:eastAsia="es-PE"/>
        </w:rPr>
      </w:pPr>
      <w:r w:rsidRPr="009D2985">
        <w:rPr>
          <w:rFonts w:eastAsia="Times New Roman" w:cstheme="minorHAnsi"/>
          <w:sz w:val="28"/>
          <w:szCs w:val="28"/>
          <w:lang w:eastAsia="es-PE"/>
        </w:rPr>
        <w:t>Su cumplimiento al año 2023 destaca los siguientes logros:</w:t>
      </w:r>
    </w:p>
    <w:p w14:paraId="1D2E4615" w14:textId="77777777" w:rsidR="00DA482A" w:rsidRPr="009D2985" w:rsidRDefault="00DA482A" w:rsidP="00DA482A">
      <w:pPr>
        <w:numPr>
          <w:ilvl w:val="0"/>
          <w:numId w:val="3"/>
        </w:numPr>
        <w:spacing w:after="0" w:line="360" w:lineRule="auto"/>
        <w:rPr>
          <w:rFonts w:eastAsia="Times New Roman" w:cstheme="minorHAnsi"/>
          <w:sz w:val="28"/>
          <w:szCs w:val="28"/>
          <w:lang w:eastAsia="es-PE"/>
        </w:rPr>
      </w:pPr>
      <w:r w:rsidRPr="009D2985">
        <w:rPr>
          <w:rFonts w:eastAsia="Times New Roman" w:cstheme="minorHAnsi"/>
          <w:sz w:val="28"/>
          <w:szCs w:val="28"/>
          <w:lang w:eastAsia="es-PE"/>
        </w:rPr>
        <w:t>Ocho de cada diez gestantes atendidas por el Ministerio de Salud han recibido cinco o más controles prenatales.</w:t>
      </w:r>
    </w:p>
    <w:p w14:paraId="134346CF" w14:textId="77777777" w:rsidR="00DA482A" w:rsidRPr="009D2985" w:rsidRDefault="00DA482A" w:rsidP="00DA482A">
      <w:pPr>
        <w:numPr>
          <w:ilvl w:val="0"/>
          <w:numId w:val="3"/>
        </w:numPr>
        <w:spacing w:after="0" w:line="360" w:lineRule="auto"/>
        <w:rPr>
          <w:rFonts w:eastAsia="Times New Roman" w:cstheme="minorHAnsi"/>
          <w:sz w:val="28"/>
          <w:szCs w:val="28"/>
          <w:lang w:eastAsia="es-PE"/>
        </w:rPr>
      </w:pPr>
      <w:r w:rsidRPr="009D2985">
        <w:rPr>
          <w:rFonts w:eastAsia="Times New Roman" w:cstheme="minorHAnsi"/>
          <w:sz w:val="28"/>
          <w:szCs w:val="28"/>
          <w:lang w:eastAsia="es-PE"/>
        </w:rPr>
        <w:t>Siete de cada diez niñas y niños menores de un año han recibido las vacunas básicas completas según su edad.</w:t>
      </w:r>
    </w:p>
    <w:p w14:paraId="17002900" w14:textId="77777777" w:rsidR="00DA482A" w:rsidRPr="009D2985" w:rsidRDefault="00DA482A" w:rsidP="00DA482A">
      <w:pPr>
        <w:numPr>
          <w:ilvl w:val="0"/>
          <w:numId w:val="3"/>
        </w:numPr>
        <w:spacing w:after="0" w:line="360" w:lineRule="auto"/>
        <w:rPr>
          <w:rFonts w:eastAsia="Times New Roman" w:cstheme="minorHAnsi"/>
          <w:sz w:val="28"/>
          <w:szCs w:val="28"/>
          <w:lang w:eastAsia="es-PE"/>
        </w:rPr>
      </w:pPr>
      <w:r w:rsidRPr="009D2985">
        <w:rPr>
          <w:rFonts w:eastAsia="Times New Roman" w:cstheme="minorHAnsi"/>
          <w:sz w:val="28"/>
          <w:szCs w:val="28"/>
          <w:lang w:eastAsia="es-PE"/>
        </w:rPr>
        <w:t>Nueve de cada diez niños entre 3 y 5 años se encuentran matriculados en el sistema educativo.</w:t>
      </w:r>
    </w:p>
    <w:p w14:paraId="7C31A882" w14:textId="77777777" w:rsidR="00DA482A" w:rsidRPr="009D2985" w:rsidRDefault="00DA482A" w:rsidP="00DA482A">
      <w:pPr>
        <w:numPr>
          <w:ilvl w:val="0"/>
          <w:numId w:val="3"/>
        </w:numPr>
        <w:spacing w:after="0" w:line="360" w:lineRule="auto"/>
        <w:rPr>
          <w:rFonts w:eastAsia="Times New Roman" w:cstheme="minorHAnsi"/>
          <w:sz w:val="28"/>
          <w:szCs w:val="28"/>
          <w:lang w:eastAsia="es-PE"/>
        </w:rPr>
      </w:pPr>
      <w:r w:rsidRPr="009D2985">
        <w:rPr>
          <w:rFonts w:eastAsia="Times New Roman" w:cstheme="minorHAnsi"/>
          <w:sz w:val="28"/>
          <w:szCs w:val="28"/>
          <w:lang w:eastAsia="es-PE"/>
        </w:rPr>
        <w:t>Ocho de cada diez adolescentes de 17 y 18 años han concluido la educación secundaria.</w:t>
      </w:r>
    </w:p>
    <w:p w14:paraId="181A7652" w14:textId="77777777" w:rsidR="00DA482A" w:rsidRDefault="00DA482A" w:rsidP="00DA482A">
      <w:pPr>
        <w:pStyle w:val="NormalWeb"/>
        <w:spacing w:before="0" w:beforeAutospacing="0" w:after="0" w:afterAutospacing="0" w:line="360" w:lineRule="auto"/>
        <w:jc w:val="both"/>
        <w:rPr>
          <w:rFonts w:asciiTheme="minorHAnsi" w:hAnsiTheme="minorHAnsi" w:cstheme="minorHAnsi"/>
          <w:sz w:val="28"/>
          <w:szCs w:val="28"/>
        </w:rPr>
      </w:pPr>
    </w:p>
    <w:p w14:paraId="4A39DB44" w14:textId="77777777" w:rsidR="00DA482A" w:rsidRDefault="00DA482A" w:rsidP="00DA482A">
      <w:pPr>
        <w:pStyle w:val="NormalWeb"/>
        <w:spacing w:before="0" w:beforeAutospacing="0" w:after="0" w:afterAutospacing="0" w:line="360" w:lineRule="auto"/>
        <w:jc w:val="both"/>
        <w:rPr>
          <w:rFonts w:asciiTheme="minorHAnsi" w:hAnsiTheme="minorHAnsi" w:cstheme="minorHAnsi"/>
          <w:sz w:val="28"/>
          <w:szCs w:val="28"/>
        </w:rPr>
      </w:pPr>
      <w:r w:rsidRPr="009D2985">
        <w:rPr>
          <w:rFonts w:asciiTheme="minorHAnsi" w:hAnsiTheme="minorHAnsi" w:cstheme="minorHAnsi"/>
          <w:sz w:val="28"/>
          <w:szCs w:val="28"/>
        </w:rPr>
        <w:lastRenderedPageBreak/>
        <w:t xml:space="preserve">Es fundamental resaltar </w:t>
      </w:r>
      <w:r w:rsidRPr="009D2985">
        <w:rPr>
          <w:rFonts w:asciiTheme="minorHAnsi" w:hAnsiTheme="minorHAnsi" w:cstheme="minorHAnsi"/>
          <w:b/>
          <w:sz w:val="28"/>
          <w:szCs w:val="28"/>
        </w:rPr>
        <w:t>la incorporación del principio del interés superior del niño en todas las políticas públicas,</w:t>
      </w:r>
      <w:r w:rsidRPr="009D2985">
        <w:rPr>
          <w:rFonts w:asciiTheme="minorHAnsi" w:hAnsiTheme="minorHAnsi" w:cstheme="minorHAnsi"/>
          <w:sz w:val="28"/>
          <w:szCs w:val="28"/>
        </w:rPr>
        <w:t xml:space="preserve"> ubicando sus derechos y bienestar en el centro de las decisiones del Estado, y asegurando que, en cada ámbito, se prioricen </w:t>
      </w:r>
      <w:r>
        <w:rPr>
          <w:rFonts w:asciiTheme="minorHAnsi" w:hAnsiTheme="minorHAnsi" w:cstheme="minorHAnsi"/>
          <w:sz w:val="28"/>
          <w:szCs w:val="28"/>
        </w:rPr>
        <w:t>sus</w:t>
      </w:r>
      <w:r w:rsidRPr="009D2985">
        <w:rPr>
          <w:rFonts w:asciiTheme="minorHAnsi" w:hAnsiTheme="minorHAnsi" w:cstheme="minorHAnsi"/>
          <w:sz w:val="28"/>
          <w:szCs w:val="28"/>
        </w:rPr>
        <w:t xml:space="preserve"> necesidades y derechos. Este principio orienta las políticas en áreas como: migración, igualdad, salud, gestión de gobierno, discapacidad, trata de personas, población afroperuana, desarrollo nacional, seguridad ciudadana y desarrollo e inclusión social.</w:t>
      </w:r>
    </w:p>
    <w:p w14:paraId="289D9160" w14:textId="77777777" w:rsidR="00DA482A" w:rsidRPr="009D2985" w:rsidRDefault="00DA482A" w:rsidP="00DA482A">
      <w:pPr>
        <w:pStyle w:val="NormalWeb"/>
        <w:spacing w:before="0" w:beforeAutospacing="0" w:after="0" w:afterAutospacing="0" w:line="360" w:lineRule="auto"/>
        <w:jc w:val="both"/>
        <w:rPr>
          <w:rFonts w:asciiTheme="minorHAnsi" w:hAnsiTheme="minorHAnsi" w:cstheme="minorHAnsi"/>
          <w:sz w:val="28"/>
          <w:szCs w:val="28"/>
        </w:rPr>
      </w:pPr>
    </w:p>
    <w:p w14:paraId="3FDEE944" w14:textId="77777777" w:rsidR="00DA482A" w:rsidRPr="009D2985" w:rsidRDefault="00DA482A" w:rsidP="00DA482A">
      <w:pPr>
        <w:pStyle w:val="NormalWeb"/>
        <w:spacing w:before="0" w:beforeAutospacing="0" w:after="0" w:afterAutospacing="0" w:line="360" w:lineRule="auto"/>
        <w:jc w:val="both"/>
        <w:rPr>
          <w:rFonts w:asciiTheme="minorHAnsi" w:hAnsiTheme="minorHAnsi" w:cstheme="minorHAnsi"/>
          <w:sz w:val="28"/>
          <w:szCs w:val="28"/>
        </w:rPr>
      </w:pPr>
      <w:r w:rsidRPr="009D2985">
        <w:rPr>
          <w:rFonts w:asciiTheme="minorHAnsi" w:hAnsiTheme="minorHAnsi" w:cstheme="minorHAnsi"/>
          <w:sz w:val="28"/>
          <w:szCs w:val="28"/>
        </w:rPr>
        <w:t>El Perú ha implementado una metodología sólida para la estimación del Gasto Público en Niñas, Niños y Adolescentes, lo que refleja un compromiso claro con su bienestar. Entre los años 2016 y 2023, hemos logrado un incremento sostenido del presupuesto nacional en este ámbito, pasando de ocho mil seiscientos ochenta y cinco millones de dólares a trece mil novecientos noventa y tres millones de dólares, esto es un incremento del 38%. Lo que demuestra el esfuerzo del Estado por garantizar el acceso a sus derechos y mejorar su calidad de vida.</w:t>
      </w:r>
    </w:p>
    <w:p w14:paraId="65A7A3ED" w14:textId="77777777" w:rsidR="00DA482A" w:rsidRDefault="00DA482A" w:rsidP="00DA482A">
      <w:pPr>
        <w:pStyle w:val="NormalWeb"/>
        <w:spacing w:before="0" w:beforeAutospacing="0" w:after="0" w:afterAutospacing="0" w:line="360" w:lineRule="auto"/>
        <w:jc w:val="both"/>
        <w:rPr>
          <w:rFonts w:asciiTheme="minorHAnsi" w:hAnsiTheme="minorHAnsi" w:cstheme="minorHAnsi"/>
          <w:sz w:val="28"/>
          <w:szCs w:val="28"/>
        </w:rPr>
      </w:pPr>
    </w:p>
    <w:p w14:paraId="6B48AD36" w14:textId="77777777" w:rsidR="00DA482A" w:rsidRPr="009D2985" w:rsidRDefault="00DA482A" w:rsidP="00DA482A">
      <w:pPr>
        <w:pStyle w:val="NormalWeb"/>
        <w:spacing w:before="0" w:beforeAutospacing="0" w:after="0" w:afterAutospacing="0" w:line="360" w:lineRule="auto"/>
        <w:jc w:val="both"/>
        <w:rPr>
          <w:rFonts w:asciiTheme="minorHAnsi" w:eastAsia="Calibri" w:hAnsiTheme="minorHAnsi" w:cstheme="minorHAnsi"/>
          <w:sz w:val="28"/>
          <w:szCs w:val="28"/>
          <w:lang w:eastAsia="en-US"/>
        </w:rPr>
      </w:pPr>
      <w:r w:rsidRPr="009D2985">
        <w:rPr>
          <w:rFonts w:asciiTheme="minorHAnsi" w:hAnsiTheme="minorHAnsi" w:cstheme="minorHAnsi"/>
          <w:sz w:val="28"/>
          <w:szCs w:val="28"/>
        </w:rPr>
        <w:t>La violencia sexual, que afecta principalmente a niñas y adolescentes mujeres, es una de las problemáticas más graves que enfrenta nuestra sociedad. Según la Organización Mundial de la Salud, este flagelo deja cicatrices físicas y provoca serias consecuencias en la salud mental, trastornos de conducta y aumenta el riesgo de sufrir abusos futuros. Tiene un alto índice de subregistro, dejando a muchas víctimas sin la protección, el apoyo y la justicia que requieren</w:t>
      </w:r>
    </w:p>
    <w:p w14:paraId="5E29E2F5" w14:textId="77777777" w:rsidR="00DA482A" w:rsidRDefault="00DA482A" w:rsidP="00DA482A">
      <w:pPr>
        <w:pStyle w:val="NormalWeb"/>
        <w:spacing w:before="0" w:beforeAutospacing="0" w:after="0" w:afterAutospacing="0" w:line="360" w:lineRule="auto"/>
        <w:jc w:val="both"/>
        <w:rPr>
          <w:rFonts w:asciiTheme="minorHAnsi" w:eastAsia="Calibri" w:hAnsiTheme="minorHAnsi" w:cstheme="minorHAnsi"/>
          <w:sz w:val="28"/>
          <w:szCs w:val="28"/>
          <w:lang w:eastAsia="en-US"/>
        </w:rPr>
      </w:pPr>
    </w:p>
    <w:p w14:paraId="07F4B20A" w14:textId="77777777" w:rsidR="00DA482A" w:rsidRDefault="00DA482A" w:rsidP="00DA482A">
      <w:pPr>
        <w:pStyle w:val="NormalWeb"/>
        <w:spacing w:before="0" w:beforeAutospacing="0" w:after="0" w:afterAutospacing="0" w:line="360" w:lineRule="auto"/>
        <w:jc w:val="both"/>
        <w:rPr>
          <w:rFonts w:asciiTheme="minorHAnsi" w:eastAsia="Calibri" w:hAnsiTheme="minorHAnsi" w:cstheme="minorHAnsi"/>
          <w:sz w:val="28"/>
          <w:szCs w:val="28"/>
          <w:lang w:eastAsia="en-US"/>
        </w:rPr>
      </w:pPr>
      <w:r w:rsidRPr="009D2985">
        <w:rPr>
          <w:rFonts w:asciiTheme="minorHAnsi" w:eastAsia="Calibri" w:hAnsiTheme="minorHAnsi" w:cstheme="minorHAnsi"/>
          <w:sz w:val="28"/>
          <w:szCs w:val="28"/>
          <w:lang w:eastAsia="en-US"/>
        </w:rPr>
        <w:t>En ese marco, el Estado Peruano ha implementado acciones concretas para hacer frente a esta grave problemática, como:</w:t>
      </w:r>
    </w:p>
    <w:p w14:paraId="515EE5B9" w14:textId="77777777" w:rsidR="00DA482A" w:rsidRPr="009D2985" w:rsidRDefault="00DA482A" w:rsidP="00DA482A">
      <w:pPr>
        <w:pStyle w:val="NormalWeb"/>
        <w:spacing w:before="0" w:beforeAutospacing="0" w:after="0" w:afterAutospacing="0" w:line="360" w:lineRule="auto"/>
        <w:jc w:val="both"/>
        <w:rPr>
          <w:rFonts w:asciiTheme="minorHAnsi" w:eastAsia="Calibri" w:hAnsiTheme="minorHAnsi" w:cstheme="minorHAnsi"/>
          <w:sz w:val="28"/>
          <w:szCs w:val="28"/>
          <w:lang w:eastAsia="en-US"/>
        </w:rPr>
      </w:pPr>
    </w:p>
    <w:p w14:paraId="409FDDF9" w14:textId="77777777" w:rsidR="00DA482A" w:rsidRPr="009D2985" w:rsidRDefault="00DA482A" w:rsidP="00DA482A">
      <w:pPr>
        <w:pStyle w:val="NormalWeb"/>
        <w:numPr>
          <w:ilvl w:val="0"/>
          <w:numId w:val="4"/>
        </w:numPr>
        <w:spacing w:before="0" w:beforeAutospacing="0" w:after="0" w:afterAutospacing="0" w:line="360" w:lineRule="auto"/>
        <w:jc w:val="both"/>
        <w:rPr>
          <w:rFonts w:asciiTheme="minorHAnsi" w:eastAsia="Calibri" w:hAnsiTheme="minorHAnsi" w:cstheme="minorHAnsi"/>
          <w:sz w:val="28"/>
          <w:szCs w:val="28"/>
          <w:lang w:eastAsia="en-US"/>
        </w:rPr>
      </w:pPr>
      <w:r w:rsidRPr="009D2985">
        <w:rPr>
          <w:rFonts w:asciiTheme="minorHAnsi" w:eastAsia="Calibri" w:hAnsiTheme="minorHAnsi" w:cstheme="minorHAnsi"/>
          <w:sz w:val="28"/>
          <w:szCs w:val="28"/>
          <w:lang w:eastAsia="en-US"/>
        </w:rPr>
        <w:t>La Encuesta Nacional sobre Relaciones Sociales (ENARES) del Instituto Nacional de Estadística del Perú, en su edición más reciente de 2019, muestra que, al comparar los años 2013, 2015 y 2019, se observa una disminución de 8.3 puntos porcentuales en el porcentaje de adolescentes que experimentaron algún tipo de violencia sexual en el último año. Entre 2015 y 2019, esta reducción fue de 1.2 puntos porcentuales.</w:t>
      </w:r>
    </w:p>
    <w:p w14:paraId="50136549" w14:textId="77777777" w:rsidR="00DA482A" w:rsidRPr="009D2985" w:rsidRDefault="00DA482A" w:rsidP="00DA482A">
      <w:pPr>
        <w:pStyle w:val="NormalWeb"/>
        <w:numPr>
          <w:ilvl w:val="0"/>
          <w:numId w:val="4"/>
        </w:numPr>
        <w:spacing w:before="0" w:beforeAutospacing="0" w:after="0" w:afterAutospacing="0" w:line="360" w:lineRule="auto"/>
        <w:jc w:val="both"/>
        <w:rPr>
          <w:rFonts w:asciiTheme="minorHAnsi" w:eastAsia="Calibri" w:hAnsiTheme="minorHAnsi" w:cstheme="minorHAnsi"/>
          <w:sz w:val="28"/>
          <w:szCs w:val="28"/>
          <w:lang w:eastAsia="en-US"/>
        </w:rPr>
      </w:pPr>
      <w:r w:rsidRPr="009D2985">
        <w:rPr>
          <w:rFonts w:asciiTheme="minorHAnsi" w:eastAsia="Calibri" w:hAnsiTheme="minorHAnsi" w:cstheme="minorHAnsi"/>
          <w:sz w:val="28"/>
          <w:szCs w:val="28"/>
          <w:lang w:eastAsia="en-US"/>
        </w:rPr>
        <w:t>El fortalecimiento de servicios especializados, interdisciplinarios y gratuitos, como el Programa Nacional Aurora.</w:t>
      </w:r>
    </w:p>
    <w:p w14:paraId="13217478" w14:textId="77777777" w:rsidR="00DA482A" w:rsidRPr="009D2985" w:rsidRDefault="00DA482A" w:rsidP="00DA482A">
      <w:pPr>
        <w:pStyle w:val="NormalWeb"/>
        <w:numPr>
          <w:ilvl w:val="0"/>
          <w:numId w:val="4"/>
        </w:numPr>
        <w:spacing w:before="0" w:beforeAutospacing="0" w:after="0" w:afterAutospacing="0" w:line="360" w:lineRule="auto"/>
        <w:jc w:val="both"/>
        <w:rPr>
          <w:rFonts w:asciiTheme="minorHAnsi" w:eastAsia="Calibri" w:hAnsiTheme="minorHAnsi" w:cstheme="minorHAnsi"/>
          <w:sz w:val="28"/>
          <w:szCs w:val="28"/>
          <w:lang w:eastAsia="en-US"/>
        </w:rPr>
      </w:pPr>
      <w:r w:rsidRPr="009D2985">
        <w:rPr>
          <w:rFonts w:asciiTheme="minorHAnsi" w:eastAsia="Calibri" w:hAnsiTheme="minorHAnsi" w:cstheme="minorHAnsi"/>
          <w:sz w:val="28"/>
          <w:szCs w:val="28"/>
          <w:lang w:eastAsia="en-US"/>
        </w:rPr>
        <w:t>El lanzamiento, en 2024, de la intervención “Prevenir para proteger”, que promueve la adopción de actitudes favorables para prevenir la violencia sexual en niñas, niños y adolescentes.</w:t>
      </w:r>
    </w:p>
    <w:p w14:paraId="057DD5FF" w14:textId="77777777" w:rsidR="00DA482A" w:rsidRPr="009D2985" w:rsidRDefault="00DA482A" w:rsidP="00DA482A">
      <w:pPr>
        <w:pStyle w:val="NormalWeb"/>
        <w:numPr>
          <w:ilvl w:val="0"/>
          <w:numId w:val="4"/>
        </w:numPr>
        <w:spacing w:before="0" w:beforeAutospacing="0" w:after="0" w:afterAutospacing="0" w:line="360" w:lineRule="auto"/>
        <w:jc w:val="both"/>
        <w:rPr>
          <w:rFonts w:asciiTheme="minorHAnsi" w:eastAsia="Calibri" w:hAnsiTheme="minorHAnsi" w:cstheme="minorHAnsi"/>
          <w:sz w:val="28"/>
          <w:szCs w:val="28"/>
          <w:lang w:eastAsia="en-US"/>
        </w:rPr>
      </w:pPr>
      <w:r w:rsidRPr="009D2985">
        <w:rPr>
          <w:rFonts w:asciiTheme="minorHAnsi" w:eastAsia="Calibri" w:hAnsiTheme="minorHAnsi" w:cstheme="minorHAnsi"/>
          <w:sz w:val="28"/>
          <w:szCs w:val="28"/>
          <w:lang w:eastAsia="en-US"/>
        </w:rPr>
        <w:t>En el marco del compromiso asumido por el Estado Peruano en la Primera Conferencia Ministerial Mundial para Erradicar la Violencia contra las Niñas, Niños y Adolescentes, el 22 de noviembre de 2024 se publicó la Estrategia Multisectorial “Prevenir para Proteger” para la prevención de la violencia sexual que les afecta. Su objetivo es reducir significativamente la prevalencia de la violencia sexual y fortalecer el bienestar integral de niñas, niños y adolescentes, asegurándoles un entorno más seguro y protector para su desarrollo.</w:t>
      </w:r>
    </w:p>
    <w:p w14:paraId="4787462B" w14:textId="77777777" w:rsidR="00DA482A" w:rsidRDefault="00DA482A" w:rsidP="00DA482A">
      <w:pPr>
        <w:pStyle w:val="NormalWeb"/>
        <w:spacing w:before="0" w:beforeAutospacing="0" w:after="0" w:afterAutospacing="0" w:line="360" w:lineRule="auto"/>
        <w:jc w:val="both"/>
        <w:rPr>
          <w:rFonts w:asciiTheme="minorHAnsi" w:eastAsia="Calibri" w:hAnsiTheme="minorHAnsi" w:cstheme="minorHAnsi"/>
          <w:sz w:val="28"/>
          <w:szCs w:val="28"/>
          <w:lang w:eastAsia="en-US"/>
        </w:rPr>
      </w:pPr>
    </w:p>
    <w:p w14:paraId="2B9BB1BE" w14:textId="77777777" w:rsidR="00DA482A" w:rsidRPr="009D2985" w:rsidRDefault="00DA482A" w:rsidP="00DA482A">
      <w:pPr>
        <w:pStyle w:val="NormalWeb"/>
        <w:spacing w:before="0" w:beforeAutospacing="0" w:after="0" w:afterAutospacing="0" w:line="360" w:lineRule="auto"/>
        <w:jc w:val="both"/>
        <w:rPr>
          <w:rFonts w:asciiTheme="minorHAnsi" w:eastAsia="Calibri" w:hAnsiTheme="minorHAnsi" w:cstheme="minorHAnsi"/>
          <w:sz w:val="28"/>
          <w:szCs w:val="28"/>
          <w:lang w:eastAsia="en-US"/>
        </w:rPr>
      </w:pPr>
      <w:r w:rsidRPr="009D2985">
        <w:rPr>
          <w:rFonts w:asciiTheme="minorHAnsi" w:eastAsia="Calibri" w:hAnsiTheme="minorHAnsi" w:cstheme="minorHAnsi"/>
          <w:sz w:val="28"/>
          <w:szCs w:val="28"/>
          <w:lang w:eastAsia="en-US"/>
        </w:rPr>
        <w:t xml:space="preserve">Con un horizonte hacia el año 2030, el Estado Peruano reafirma su compromiso de continuar desplegando todos los esfuerzos necesarios para reducir la prevalencia de la violencia sexual y promover el bienestar integral de las niñas, niños y adolescentes en todo el país. Para ello, se trabajará en una mejor coordinación y articulación entre los distintos </w:t>
      </w:r>
      <w:r w:rsidRPr="009D2985">
        <w:rPr>
          <w:rFonts w:asciiTheme="minorHAnsi" w:eastAsia="Calibri" w:hAnsiTheme="minorHAnsi" w:cstheme="minorHAnsi"/>
          <w:sz w:val="28"/>
          <w:szCs w:val="28"/>
          <w:lang w:eastAsia="en-US"/>
        </w:rPr>
        <w:lastRenderedPageBreak/>
        <w:t>sectores e instituciones del Estado, así como con los gobiernos regionales y locales, garantizando una acción conjunta y eficaz en la implementación de las políticas públicas y de las Estrategias como Prevenir para proteger.</w:t>
      </w:r>
    </w:p>
    <w:p w14:paraId="0EFEA2DD" w14:textId="77777777" w:rsidR="00DA482A" w:rsidRDefault="00DA482A" w:rsidP="00DA482A">
      <w:pPr>
        <w:pStyle w:val="NormalWeb"/>
        <w:spacing w:before="0" w:beforeAutospacing="0" w:after="0" w:afterAutospacing="0" w:line="360" w:lineRule="auto"/>
        <w:jc w:val="both"/>
        <w:rPr>
          <w:rFonts w:asciiTheme="minorHAnsi" w:eastAsia="Calibri" w:hAnsiTheme="minorHAnsi" w:cstheme="minorHAnsi"/>
          <w:sz w:val="28"/>
          <w:szCs w:val="28"/>
          <w:lang w:eastAsia="en-US"/>
        </w:rPr>
      </w:pPr>
    </w:p>
    <w:p w14:paraId="59BAADC8" w14:textId="77777777" w:rsidR="00DA482A" w:rsidRPr="009D2985" w:rsidRDefault="00DA482A" w:rsidP="00DA482A">
      <w:pPr>
        <w:pStyle w:val="NormalWeb"/>
        <w:spacing w:before="0" w:beforeAutospacing="0" w:after="0" w:afterAutospacing="0" w:line="360" w:lineRule="auto"/>
        <w:jc w:val="both"/>
        <w:rPr>
          <w:rFonts w:asciiTheme="minorHAnsi" w:eastAsia="Calibri" w:hAnsiTheme="minorHAnsi" w:cstheme="minorHAnsi"/>
          <w:sz w:val="28"/>
          <w:szCs w:val="28"/>
          <w:lang w:eastAsia="en-US"/>
        </w:rPr>
      </w:pPr>
      <w:r w:rsidRPr="009D2985">
        <w:rPr>
          <w:rFonts w:asciiTheme="minorHAnsi" w:eastAsia="Calibri" w:hAnsiTheme="minorHAnsi" w:cstheme="minorHAnsi"/>
          <w:sz w:val="28"/>
          <w:szCs w:val="28"/>
          <w:lang w:eastAsia="en-US"/>
        </w:rPr>
        <w:t>En este contexto, es importante resaltar que el Perú cuenta con servicios especializados para brindar protección y cuidado a niñas, niños y adolescentes como: i) 433 Centros de Emergencia Mujer, desplegados en todo el territorio nacional que cuentan con personal entrenado,   ii) 25 Unidades de Protección Especial, que intervienen en casos de desprotección familiar, dictando medidas de protección para garantizar el ejercicio pleno de sus derechos y restituir aquellos que hayan sido vulnerados; iii) 1711 Defensorías Municipales de Niñas, Niños y Adolescentes, que contribuyen al ejercicio de sus derechos,  a nivel local, a través de la promoción y defensa, iv) 240 Centros de Acogida Residencial para niñas, niños y adolescentes sin cuidados parentales o en riesgo de perderlos</w:t>
      </w:r>
      <w:r w:rsidRPr="009D2985">
        <w:rPr>
          <w:rFonts w:asciiTheme="minorHAnsi" w:hAnsiTheme="minorHAnsi" w:cstheme="minorHAnsi"/>
          <w:sz w:val="28"/>
          <w:szCs w:val="28"/>
        </w:rPr>
        <w:t xml:space="preserve"> </w:t>
      </w:r>
      <w:r w:rsidRPr="009D2985">
        <w:rPr>
          <w:rFonts w:asciiTheme="minorHAnsi" w:eastAsia="Calibri" w:hAnsiTheme="minorHAnsi" w:cstheme="minorHAnsi"/>
          <w:sz w:val="28"/>
          <w:szCs w:val="28"/>
          <w:lang w:eastAsia="en-US"/>
        </w:rPr>
        <w:t xml:space="preserve">que les brinda protección y cuidado integral, y,) 316 servicios de educación y cuidado diurno con atención integral para niñas y niños de 12 a 36 meses en Cunas y Cuna Jardín Públicas. </w:t>
      </w:r>
    </w:p>
    <w:p w14:paraId="69A9C605" w14:textId="77777777" w:rsidR="00DA482A" w:rsidRPr="009D2985" w:rsidRDefault="00DA482A" w:rsidP="00DA482A">
      <w:pPr>
        <w:pStyle w:val="NormalWeb"/>
        <w:spacing w:before="0" w:beforeAutospacing="0" w:after="0" w:afterAutospacing="0" w:line="360" w:lineRule="auto"/>
        <w:jc w:val="both"/>
        <w:rPr>
          <w:rFonts w:asciiTheme="minorHAnsi" w:eastAsia="Calibri" w:hAnsiTheme="minorHAnsi" w:cstheme="minorHAnsi"/>
          <w:sz w:val="28"/>
          <w:szCs w:val="28"/>
          <w:lang w:eastAsia="en-US"/>
        </w:rPr>
      </w:pPr>
    </w:p>
    <w:p w14:paraId="311E8B07" w14:textId="77777777" w:rsidR="00DA482A" w:rsidRPr="009D2985" w:rsidRDefault="00DA482A" w:rsidP="00DA482A">
      <w:pPr>
        <w:spacing w:after="0" w:line="360" w:lineRule="auto"/>
        <w:jc w:val="both"/>
        <w:rPr>
          <w:rFonts w:cstheme="minorHAnsi"/>
          <w:sz w:val="28"/>
          <w:szCs w:val="28"/>
        </w:rPr>
      </w:pPr>
      <w:r w:rsidRPr="009D2985">
        <w:rPr>
          <w:rFonts w:cstheme="minorHAnsi"/>
          <w:sz w:val="28"/>
          <w:szCs w:val="28"/>
        </w:rPr>
        <w:t>El Perú es un país amplio y diverso. Frente ello, las niñas, niños y adolescentes pueden enfrentar particulares situaciones de vulneraciones de derechos. Un claro ejemplo de ello es la grave incidencia de casos de violencia sexual en la Provincia de Condorcanqui en la región Amazonas, problemática que nos genera desafíos de orden multidimensional.</w:t>
      </w:r>
    </w:p>
    <w:p w14:paraId="7BC863E1" w14:textId="77777777" w:rsidR="00DA482A" w:rsidRDefault="00DA482A" w:rsidP="00DA482A">
      <w:pPr>
        <w:spacing w:after="0" w:line="360" w:lineRule="auto"/>
        <w:jc w:val="both"/>
        <w:rPr>
          <w:rFonts w:cstheme="minorHAnsi"/>
          <w:sz w:val="28"/>
          <w:szCs w:val="28"/>
        </w:rPr>
      </w:pPr>
    </w:p>
    <w:p w14:paraId="51ACB4DC" w14:textId="77777777" w:rsidR="00DA482A" w:rsidRPr="009D2985" w:rsidRDefault="00DA482A" w:rsidP="00DA482A">
      <w:pPr>
        <w:spacing w:after="0" w:line="360" w:lineRule="auto"/>
        <w:jc w:val="both"/>
        <w:rPr>
          <w:rFonts w:cstheme="minorHAnsi"/>
          <w:sz w:val="28"/>
          <w:szCs w:val="28"/>
        </w:rPr>
      </w:pPr>
      <w:r w:rsidRPr="009D2985">
        <w:rPr>
          <w:rFonts w:cstheme="minorHAnsi"/>
          <w:sz w:val="28"/>
          <w:szCs w:val="28"/>
        </w:rPr>
        <w:t xml:space="preserve">Ante la gravedad de esta situación, el Poder Ejecutivo ha desplegado una acción articulada en el territorio. En agosto de 2024, aprobamos el "Plan de Acción </w:t>
      </w:r>
      <w:r w:rsidRPr="009D2985">
        <w:rPr>
          <w:rFonts w:cstheme="minorHAnsi"/>
          <w:sz w:val="28"/>
          <w:szCs w:val="28"/>
        </w:rPr>
        <w:lastRenderedPageBreak/>
        <w:t>Intersectorial para abordar la violencia sexual contra niñas, niños y adolescentes en la provincia de Condorcanqui, Amazonas", que contempla un conjunto de acciones en cinco ejes clave: salud, educación, protección, participación y articulación intergubernamental. Esta es una respuesta integral, decidida y comprometida para erradicar la violencia y garantizar un futuro seguro para nuestras niñas, niños y adolescentes de Amazonas.</w:t>
      </w:r>
    </w:p>
    <w:p w14:paraId="69A33B27" w14:textId="77777777" w:rsidR="00DA482A" w:rsidRDefault="00DA482A" w:rsidP="00DA482A">
      <w:pPr>
        <w:spacing w:after="0" w:line="360" w:lineRule="auto"/>
        <w:jc w:val="both"/>
        <w:rPr>
          <w:rFonts w:eastAsia="Times New Roman" w:cstheme="minorHAnsi"/>
          <w:sz w:val="28"/>
          <w:szCs w:val="28"/>
          <w:lang w:eastAsia="es-PE"/>
        </w:rPr>
      </w:pPr>
    </w:p>
    <w:p w14:paraId="36214233" w14:textId="77777777" w:rsidR="00DA482A" w:rsidRPr="009D2985" w:rsidRDefault="00DA482A" w:rsidP="00DA482A">
      <w:pPr>
        <w:spacing w:after="0" w:line="360" w:lineRule="auto"/>
        <w:jc w:val="both"/>
        <w:rPr>
          <w:rFonts w:eastAsia="Times New Roman" w:cstheme="minorHAnsi"/>
          <w:sz w:val="28"/>
          <w:szCs w:val="28"/>
          <w:lang w:eastAsia="es-PE"/>
        </w:rPr>
      </w:pPr>
      <w:r w:rsidRPr="009D2985">
        <w:rPr>
          <w:rFonts w:eastAsia="Times New Roman" w:cstheme="minorHAnsi"/>
          <w:sz w:val="28"/>
          <w:szCs w:val="28"/>
          <w:lang w:eastAsia="es-PE"/>
        </w:rPr>
        <w:t>El desarrollo y bienestar de niñas, niños y adolescentes es una prioridad fundamental para el Perú. Desde la ratificación de la Convención sobre los Derechos del Niño en 1990, hemos logrado avances significativos en la implementación de políticas y servicios especializados. Sin embargo, persistiremos en este esfuerzo hasta erradicar la violencia y la indefensión que aún afectan a miles de niñas, niños y adolescentes. Nos comprometemos plenamente a reducir las brechas en el acceso a sus derechos, especialmente en lo relacionado con las metas de nuestras políticas públicas.</w:t>
      </w:r>
    </w:p>
    <w:p w14:paraId="34F5821C" w14:textId="77777777" w:rsidR="00DA482A" w:rsidRDefault="00DA482A" w:rsidP="00DA482A">
      <w:pPr>
        <w:spacing w:after="0" w:line="360" w:lineRule="auto"/>
        <w:jc w:val="both"/>
        <w:rPr>
          <w:rFonts w:eastAsia="Times New Roman" w:cstheme="minorHAnsi"/>
          <w:sz w:val="28"/>
          <w:szCs w:val="28"/>
          <w:lang w:eastAsia="es-PE"/>
        </w:rPr>
      </w:pPr>
    </w:p>
    <w:p w14:paraId="498D2F02" w14:textId="77777777" w:rsidR="00DA482A" w:rsidRPr="009D2985" w:rsidRDefault="00DA482A" w:rsidP="00DA482A">
      <w:pPr>
        <w:spacing w:after="0" w:line="360" w:lineRule="auto"/>
        <w:jc w:val="both"/>
        <w:rPr>
          <w:rFonts w:eastAsia="Times New Roman" w:cstheme="minorHAnsi"/>
          <w:sz w:val="28"/>
          <w:szCs w:val="28"/>
          <w:lang w:eastAsia="es-PE"/>
        </w:rPr>
      </w:pPr>
      <w:r w:rsidRPr="009D2985">
        <w:rPr>
          <w:rFonts w:eastAsia="Times New Roman" w:cstheme="minorHAnsi"/>
          <w:sz w:val="28"/>
          <w:szCs w:val="28"/>
          <w:lang w:eastAsia="es-PE"/>
        </w:rPr>
        <w:t>La delegación peruana, integrada por los sectores Mujer y Poblaciones Vulnerables, Salud, Justicia y Derechos Humanos y el Registro Nacional de Identificación y Estado Civil, presentes aquí en el Palacio Wilson y los sectores e instituciones competentes en la materia conectados desde Lima, agradece su atención y se pone a disposición para continuar con un diálogo constructivo, con el firme propósito de garantizar el pleno ejercicio de los derechos de todas las niñas, niños y adolescentes en el Perú, sin discriminación ni violencia.</w:t>
      </w:r>
    </w:p>
    <w:p w14:paraId="48513A77" w14:textId="77777777" w:rsidR="00DA482A" w:rsidRDefault="00DA482A" w:rsidP="00DA482A">
      <w:pPr>
        <w:spacing w:after="0" w:line="360" w:lineRule="auto"/>
        <w:jc w:val="both"/>
        <w:rPr>
          <w:rFonts w:cstheme="minorHAnsi"/>
          <w:sz w:val="28"/>
          <w:szCs w:val="28"/>
        </w:rPr>
      </w:pPr>
    </w:p>
    <w:p w14:paraId="6F3CBFCB" w14:textId="77777777" w:rsidR="00DA482A" w:rsidRPr="009D2985" w:rsidRDefault="00DA482A" w:rsidP="00DA482A">
      <w:pPr>
        <w:spacing w:after="0" w:line="360" w:lineRule="auto"/>
        <w:jc w:val="both"/>
        <w:rPr>
          <w:rFonts w:cstheme="minorHAnsi"/>
          <w:sz w:val="28"/>
          <w:szCs w:val="28"/>
          <w:lang w:val="es-MX"/>
        </w:rPr>
      </w:pPr>
      <w:r w:rsidRPr="009D2985">
        <w:rPr>
          <w:rFonts w:cstheme="minorHAnsi"/>
          <w:sz w:val="28"/>
          <w:szCs w:val="28"/>
        </w:rPr>
        <w:t>Muchas gracias</w:t>
      </w:r>
    </w:p>
    <w:p w14:paraId="33037DA2" w14:textId="77777777" w:rsidR="00983F96" w:rsidRDefault="00983F96"/>
    <w:sectPr w:rsidR="00983F9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05B4B"/>
    <w:multiLevelType w:val="multilevel"/>
    <w:tmpl w:val="50788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9319BD"/>
    <w:multiLevelType w:val="hybridMultilevel"/>
    <w:tmpl w:val="5B36B31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32017E8D"/>
    <w:multiLevelType w:val="hybridMultilevel"/>
    <w:tmpl w:val="46DE060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3A27382A"/>
    <w:multiLevelType w:val="multilevel"/>
    <w:tmpl w:val="D4DCA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82A"/>
    <w:rsid w:val="00402CC8"/>
    <w:rsid w:val="009719CA"/>
    <w:rsid w:val="00983F96"/>
    <w:rsid w:val="00DA482A"/>
    <w:rsid w:val="00E42A2A"/>
    <w:rsid w:val="00E771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CDA8E"/>
  <w15:chartTrackingRefBased/>
  <w15:docId w15:val="{E54DF706-2CE0-4495-9587-87B527128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82A"/>
    <w:pPr>
      <w:spacing w:line="259" w:lineRule="auto"/>
    </w:pPr>
    <w:rPr>
      <w:rFonts w:ascii="Calibri" w:eastAsia="Calibri" w:hAnsi="Calibri" w:cs="Times New Roman"/>
      <w:kern w:val="0"/>
      <w:sz w:val="22"/>
      <w:szCs w:val="22"/>
      <w:lang w:val="es-PE"/>
      <w14:ligatures w14:val="none"/>
    </w:rPr>
  </w:style>
  <w:style w:type="paragraph" w:styleId="Heading1">
    <w:name w:val="heading 1"/>
    <w:basedOn w:val="Normal"/>
    <w:next w:val="Normal"/>
    <w:link w:val="Heading1Char"/>
    <w:uiPriority w:val="9"/>
    <w:qFormat/>
    <w:rsid w:val="00DA48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48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48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48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48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48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48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48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48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8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48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48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48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48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48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48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48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482A"/>
    <w:rPr>
      <w:rFonts w:eastAsiaTheme="majorEastAsia" w:cstheme="majorBidi"/>
      <w:color w:val="272727" w:themeColor="text1" w:themeTint="D8"/>
    </w:rPr>
  </w:style>
  <w:style w:type="paragraph" w:styleId="Title">
    <w:name w:val="Title"/>
    <w:basedOn w:val="Normal"/>
    <w:next w:val="Normal"/>
    <w:link w:val="TitleChar"/>
    <w:uiPriority w:val="10"/>
    <w:qFormat/>
    <w:rsid w:val="00DA48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8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48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48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482A"/>
    <w:pPr>
      <w:spacing w:before="160"/>
      <w:jc w:val="center"/>
    </w:pPr>
    <w:rPr>
      <w:i/>
      <w:iCs/>
      <w:color w:val="404040" w:themeColor="text1" w:themeTint="BF"/>
    </w:rPr>
  </w:style>
  <w:style w:type="character" w:customStyle="1" w:styleId="QuoteChar">
    <w:name w:val="Quote Char"/>
    <w:basedOn w:val="DefaultParagraphFont"/>
    <w:link w:val="Quote"/>
    <w:uiPriority w:val="29"/>
    <w:rsid w:val="00DA482A"/>
    <w:rPr>
      <w:i/>
      <w:iCs/>
      <w:color w:val="404040" w:themeColor="text1" w:themeTint="BF"/>
    </w:rPr>
  </w:style>
  <w:style w:type="paragraph" w:styleId="ListParagraph">
    <w:name w:val="List Paragraph"/>
    <w:basedOn w:val="Normal"/>
    <w:uiPriority w:val="34"/>
    <w:qFormat/>
    <w:rsid w:val="00DA482A"/>
    <w:pPr>
      <w:ind w:left="720"/>
      <w:contextualSpacing/>
    </w:pPr>
  </w:style>
  <w:style w:type="character" w:styleId="IntenseEmphasis">
    <w:name w:val="Intense Emphasis"/>
    <w:basedOn w:val="DefaultParagraphFont"/>
    <w:uiPriority w:val="21"/>
    <w:qFormat/>
    <w:rsid w:val="00DA482A"/>
    <w:rPr>
      <w:i/>
      <w:iCs/>
      <w:color w:val="0F4761" w:themeColor="accent1" w:themeShade="BF"/>
    </w:rPr>
  </w:style>
  <w:style w:type="paragraph" w:styleId="IntenseQuote">
    <w:name w:val="Intense Quote"/>
    <w:basedOn w:val="Normal"/>
    <w:next w:val="Normal"/>
    <w:link w:val="IntenseQuoteChar"/>
    <w:uiPriority w:val="30"/>
    <w:qFormat/>
    <w:rsid w:val="00DA48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482A"/>
    <w:rPr>
      <w:i/>
      <w:iCs/>
      <w:color w:val="0F4761" w:themeColor="accent1" w:themeShade="BF"/>
    </w:rPr>
  </w:style>
  <w:style w:type="character" w:styleId="IntenseReference">
    <w:name w:val="Intense Reference"/>
    <w:basedOn w:val="DefaultParagraphFont"/>
    <w:uiPriority w:val="32"/>
    <w:qFormat/>
    <w:rsid w:val="00DA482A"/>
    <w:rPr>
      <w:b/>
      <w:bCs/>
      <w:smallCaps/>
      <w:color w:val="0F4761" w:themeColor="accent1" w:themeShade="BF"/>
      <w:spacing w:val="5"/>
    </w:rPr>
  </w:style>
  <w:style w:type="paragraph" w:styleId="NoSpacing">
    <w:name w:val="No Spacing"/>
    <w:link w:val="NoSpacingChar"/>
    <w:uiPriority w:val="1"/>
    <w:qFormat/>
    <w:rsid w:val="00DA482A"/>
    <w:pPr>
      <w:spacing w:after="0" w:line="240" w:lineRule="auto"/>
    </w:pPr>
    <w:rPr>
      <w:rFonts w:ascii="Calibri" w:eastAsia="Calibri" w:hAnsi="Calibri" w:cs="Times New Roman"/>
      <w:kern w:val="0"/>
      <w:sz w:val="22"/>
      <w:szCs w:val="22"/>
      <w:lang w:val="es-PE"/>
      <w14:ligatures w14:val="none"/>
    </w:rPr>
  </w:style>
  <w:style w:type="character" w:customStyle="1" w:styleId="NoSpacingChar">
    <w:name w:val="No Spacing Char"/>
    <w:link w:val="NoSpacing"/>
    <w:uiPriority w:val="1"/>
    <w:rsid w:val="00DA482A"/>
    <w:rPr>
      <w:rFonts w:ascii="Calibri" w:eastAsia="Calibri" w:hAnsi="Calibri" w:cs="Times New Roman"/>
      <w:kern w:val="0"/>
      <w:sz w:val="22"/>
      <w:szCs w:val="22"/>
      <w:lang w:val="es-PE"/>
      <w14:ligatures w14:val="none"/>
    </w:rPr>
  </w:style>
  <w:style w:type="paragraph" w:styleId="NormalWeb">
    <w:name w:val="Normal (Web)"/>
    <w:basedOn w:val="Normal"/>
    <w:uiPriority w:val="99"/>
    <w:unhideWhenUsed/>
    <w:rsid w:val="00DA482A"/>
    <w:pPr>
      <w:spacing w:before="100" w:beforeAutospacing="1" w:after="100" w:afterAutospacing="1" w:line="240" w:lineRule="auto"/>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1801</Words>
  <Characters>10270</Characters>
  <Application>Microsoft Office Word</Application>
  <DocSecurity>0</DocSecurity>
  <Lines>85</Lines>
  <Paragraphs>24</Paragraphs>
  <ScaleCrop>false</ScaleCrop>
  <Company/>
  <LinksUpToDate>false</LinksUpToDate>
  <CharactersWithSpaces>12047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Juniza Castillo</dc:creator>
  <cp:keywords/>
  <dc:description/>
  <cp:lastModifiedBy>juniza castillo</cp:lastModifiedBy>
  <cp:revision>2</cp:revision>
  <dcterms:created xsi:type="dcterms:W3CDTF">2025-01-20T09:44:00Z</dcterms:created>
  <dcterms:modified xsi:type="dcterms:W3CDTF">2025-01-20T09:44:00Z</dcterms:modified>
</cp:coreProperties>
</file>