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customXml/itemProps2.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46B3DF" w14:textId="77777777" w:rsidR="00FE28B4" w:rsidRPr="00D81388" w:rsidRDefault="00FE28B4" w:rsidP="00D51E64">
      <w:pPr>
        <w:pStyle w:val="NoSpacing"/>
        <w:jc w:val="center"/>
        <w:rPr>
          <w:rFonts w:ascii="Arial Narrow" w:hAnsi="Arial Narrow"/>
          <w:b/>
          <w:sz w:val="24"/>
          <w:szCs w:val="24"/>
        </w:rPr>
      </w:pPr>
      <w:bookmarkStart w:id="0" w:name="_GoBack"/>
      <w:bookmarkEnd w:id="0"/>
      <w:r w:rsidRPr="00D81388">
        <w:rPr>
          <w:rFonts w:ascii="Arial Narrow" w:hAnsi="Arial Narrow"/>
          <w:b/>
          <w:sz w:val="24"/>
          <w:szCs w:val="24"/>
        </w:rPr>
        <w:t>Informe Combinado 5º y 6º del Estado de Guatemala al Comité de los Derechos del Niño</w:t>
      </w:r>
    </w:p>
    <w:p w14:paraId="3546B3E0" w14:textId="77777777" w:rsidR="00FE28B4" w:rsidRPr="0011224E" w:rsidRDefault="00FE28B4" w:rsidP="00FE28B4">
      <w:pPr>
        <w:pStyle w:val="NoSpacing"/>
        <w:jc w:val="center"/>
        <w:rPr>
          <w:rFonts w:ascii="Arial Narrow" w:hAnsi="Arial Narrow"/>
          <w:b/>
        </w:rPr>
      </w:pPr>
      <w:r>
        <w:rPr>
          <w:rFonts w:ascii="Arial Narrow" w:hAnsi="Arial Narrow"/>
          <w:b/>
        </w:rPr>
        <w:t>“</w:t>
      </w:r>
      <w:r w:rsidRPr="0011224E">
        <w:rPr>
          <w:rFonts w:ascii="Arial Narrow" w:hAnsi="Arial Narrow"/>
          <w:b/>
        </w:rPr>
        <w:t>Consulta a la Niñez</w:t>
      </w:r>
      <w:r>
        <w:rPr>
          <w:rFonts w:ascii="Arial Narrow" w:hAnsi="Arial Narrow"/>
          <w:b/>
        </w:rPr>
        <w:t xml:space="preserve"> y Adolescencia”</w:t>
      </w:r>
    </w:p>
    <w:p w14:paraId="3546B3E1" w14:textId="77777777" w:rsidR="00FE28B4" w:rsidRPr="0011224E" w:rsidRDefault="00FE28B4" w:rsidP="00FE28B4">
      <w:pPr>
        <w:pStyle w:val="NoSpacing"/>
        <w:jc w:val="center"/>
        <w:rPr>
          <w:rFonts w:ascii="Arial Narrow" w:hAnsi="Arial Narrow"/>
          <w:b/>
        </w:rPr>
      </w:pPr>
      <w:r w:rsidRPr="0011224E">
        <w:rPr>
          <w:rFonts w:ascii="Arial Narrow" w:hAnsi="Arial Narrow"/>
          <w:b/>
        </w:rPr>
        <w:t>2010-2015</w:t>
      </w:r>
    </w:p>
    <w:p w14:paraId="3546B3E2" w14:textId="77777777" w:rsidR="00FE28B4" w:rsidRPr="007F78B7" w:rsidRDefault="00FE28B4" w:rsidP="00FE28B4">
      <w:pPr>
        <w:pStyle w:val="NoSpacing"/>
        <w:jc w:val="center"/>
        <w:rPr>
          <w:rFonts w:ascii="Arial Narrow" w:hAnsi="Arial Narrow"/>
          <w:b/>
          <w:sz w:val="23"/>
          <w:szCs w:val="23"/>
        </w:rPr>
      </w:pPr>
      <w:r w:rsidRPr="007F78B7">
        <w:rPr>
          <w:rFonts w:ascii="Arial Narrow" w:hAnsi="Arial Narrow"/>
          <w:b/>
          <w:sz w:val="23"/>
          <w:szCs w:val="23"/>
        </w:rPr>
        <w:t>Seguimiento a las recomendaciones emanadas del 3º y 4º Informe de Estado</w:t>
      </w:r>
    </w:p>
    <w:p w14:paraId="3546B3E3" w14:textId="77777777" w:rsidR="00FE28B4" w:rsidRPr="007F78B7" w:rsidRDefault="00093A0A" w:rsidP="00FE28B4">
      <w:pPr>
        <w:pStyle w:val="NoSpacing"/>
        <w:rPr>
          <w:rFonts w:ascii="Arial Narrow" w:hAnsi="Arial Narrow"/>
          <w:sz w:val="23"/>
          <w:szCs w:val="23"/>
        </w:rPr>
      </w:pPr>
      <w:r>
        <w:rPr>
          <w:rFonts w:ascii="Arial Narrow" w:hAnsi="Arial Narrow"/>
          <w:noProof/>
          <w:sz w:val="23"/>
          <w:szCs w:val="23"/>
          <w:lang w:val="es-ES" w:eastAsia="es-ES"/>
        </w:rPr>
        <w:pict w14:anchorId="3546B42E">
          <v:shapetype id="_x0000_t32" coordsize="21600,21600" o:spt="32" o:oned="t" path="m,l21600,21600e" filled="f">
            <v:path arrowok="t" fillok="f" o:connecttype="none"/>
            <o:lock v:ext="edit" shapetype="t"/>
          </v:shapetype>
          <v:shape id="_x0000_s1026" type="#_x0000_t32" style="position:absolute;margin-left:.7pt;margin-top:8.15pt;width:439.75pt;height:0;z-index:251660288" o:connectortype="straight" strokeweight="1.5pt"/>
        </w:pict>
      </w:r>
    </w:p>
    <w:p w14:paraId="3546B3E4" w14:textId="77777777" w:rsidR="007F78B7" w:rsidRPr="007F78B7" w:rsidRDefault="007F78B7" w:rsidP="007F78B7">
      <w:pPr>
        <w:pStyle w:val="NoSpacing"/>
        <w:ind w:left="360"/>
        <w:jc w:val="both"/>
        <w:rPr>
          <w:rFonts w:ascii="Arial Narrow" w:hAnsi="Arial Narrow"/>
          <w:b/>
          <w:sz w:val="23"/>
          <w:szCs w:val="23"/>
        </w:rPr>
      </w:pPr>
      <w:r w:rsidRPr="007F78B7">
        <w:rPr>
          <w:rFonts w:ascii="Arial Narrow" w:hAnsi="Arial Narrow"/>
          <w:b/>
          <w:sz w:val="23"/>
          <w:szCs w:val="23"/>
        </w:rPr>
        <w:t>Implementación de los Protocolos Facultativos a la Convención de los Derechos del Niño.</w:t>
      </w:r>
    </w:p>
    <w:p w14:paraId="3546B3E5" w14:textId="77777777" w:rsidR="007F78B7" w:rsidRPr="007F78B7" w:rsidRDefault="007F78B7" w:rsidP="007F78B7">
      <w:pPr>
        <w:pStyle w:val="NoSpacing"/>
        <w:ind w:left="720"/>
        <w:jc w:val="both"/>
        <w:rPr>
          <w:rFonts w:ascii="Arial Narrow" w:hAnsi="Arial Narrow"/>
          <w:b/>
          <w:sz w:val="23"/>
          <w:szCs w:val="23"/>
        </w:rPr>
      </w:pPr>
    </w:p>
    <w:p w14:paraId="3546B3E6" w14:textId="77777777" w:rsidR="007F78B7" w:rsidRPr="007F78B7" w:rsidRDefault="007F78B7" w:rsidP="007F78B7">
      <w:pPr>
        <w:pStyle w:val="NoSpacing"/>
        <w:ind w:left="1276" w:hanging="567"/>
        <w:jc w:val="both"/>
        <w:rPr>
          <w:rFonts w:ascii="Arial Narrow" w:hAnsi="Arial Narrow"/>
          <w:b/>
          <w:sz w:val="23"/>
          <w:szCs w:val="23"/>
        </w:rPr>
      </w:pPr>
      <w:r w:rsidRPr="007F78B7">
        <w:rPr>
          <w:rFonts w:ascii="Arial Narrow" w:hAnsi="Arial Narrow"/>
          <w:b/>
          <w:sz w:val="23"/>
          <w:szCs w:val="23"/>
        </w:rPr>
        <w:t>I</w:t>
      </w:r>
      <w:r>
        <w:rPr>
          <w:rFonts w:ascii="Arial Narrow" w:hAnsi="Arial Narrow"/>
          <w:b/>
          <w:sz w:val="23"/>
          <w:szCs w:val="23"/>
        </w:rPr>
        <w:t>.</w:t>
      </w:r>
      <w:r w:rsidRPr="007F78B7">
        <w:rPr>
          <w:rFonts w:ascii="Arial Narrow" w:hAnsi="Arial Narrow"/>
          <w:b/>
          <w:sz w:val="23"/>
          <w:szCs w:val="23"/>
        </w:rPr>
        <w:tab/>
        <w:t>Protocolo Facultativo relativo a la Venta de Niños, la Prostitución Infantil y la utilización de Niños en Pornografía.</w:t>
      </w:r>
    </w:p>
    <w:p w14:paraId="3546B3E7" w14:textId="77777777" w:rsidR="007F78B7" w:rsidRPr="007F78B7" w:rsidRDefault="007F78B7" w:rsidP="007F78B7">
      <w:pPr>
        <w:pStyle w:val="NoSpacing"/>
        <w:jc w:val="both"/>
        <w:rPr>
          <w:rFonts w:ascii="Arial Narrow" w:hAnsi="Arial Narrow"/>
          <w:b/>
          <w:sz w:val="23"/>
          <w:szCs w:val="23"/>
        </w:rPr>
      </w:pPr>
      <w:r w:rsidRPr="007F78B7">
        <w:rPr>
          <w:rFonts w:ascii="Arial Narrow" w:hAnsi="Arial Narrow"/>
          <w:b/>
          <w:sz w:val="23"/>
          <w:szCs w:val="23"/>
        </w:rPr>
        <w:tab/>
      </w:r>
      <w:r w:rsidRPr="007F78B7">
        <w:rPr>
          <w:rFonts w:ascii="Arial Narrow" w:hAnsi="Arial Narrow"/>
          <w:b/>
          <w:sz w:val="23"/>
          <w:szCs w:val="23"/>
        </w:rPr>
        <w:tab/>
      </w:r>
    </w:p>
    <w:p w14:paraId="3546B3E8" w14:textId="77777777" w:rsidR="007F78B7" w:rsidRPr="007F78B7" w:rsidRDefault="007F78B7" w:rsidP="007F78B7">
      <w:pPr>
        <w:pStyle w:val="NoSpacing"/>
        <w:ind w:hanging="426"/>
        <w:jc w:val="both"/>
        <w:rPr>
          <w:rFonts w:ascii="Arial Narrow" w:hAnsi="Arial Narrow"/>
          <w:sz w:val="23"/>
          <w:szCs w:val="23"/>
        </w:rPr>
      </w:pPr>
      <w:r w:rsidRPr="007F78B7">
        <w:rPr>
          <w:rFonts w:ascii="Arial Narrow" w:hAnsi="Arial Narrow"/>
          <w:sz w:val="23"/>
          <w:szCs w:val="23"/>
        </w:rPr>
        <w:t>398. El Estado de Guatemala, en atención al presente Protocolo Facultativo, ha tomado medidas para atender las recomendaciones, con el fin de velar por el pleno cumplimiento de los derechos. Tomado las siguientes medidas para contrarrestar los efectos de la presente problemática con las siguientes acciones emprendidas.</w:t>
      </w:r>
    </w:p>
    <w:p w14:paraId="3546B3E9" w14:textId="77777777" w:rsidR="007F78B7" w:rsidRPr="007F78B7" w:rsidRDefault="007F78B7" w:rsidP="007F78B7">
      <w:pPr>
        <w:pStyle w:val="NoSpacing"/>
        <w:jc w:val="both"/>
        <w:rPr>
          <w:rFonts w:ascii="Arial Narrow" w:hAnsi="Arial Narrow"/>
          <w:sz w:val="23"/>
          <w:szCs w:val="23"/>
        </w:rPr>
      </w:pPr>
    </w:p>
    <w:p w14:paraId="3546B3EA" w14:textId="77777777" w:rsidR="007F78B7" w:rsidRPr="007F78B7" w:rsidRDefault="007F78B7" w:rsidP="007F78B7">
      <w:pPr>
        <w:pStyle w:val="NoSpacing"/>
        <w:ind w:hanging="426"/>
        <w:jc w:val="both"/>
        <w:rPr>
          <w:rFonts w:ascii="Arial Narrow" w:hAnsi="Arial Narrow"/>
          <w:sz w:val="23"/>
          <w:szCs w:val="23"/>
        </w:rPr>
      </w:pPr>
      <w:r w:rsidRPr="007F78B7">
        <w:rPr>
          <w:rFonts w:ascii="Arial Narrow" w:hAnsi="Arial Narrow"/>
          <w:sz w:val="23"/>
          <w:szCs w:val="23"/>
        </w:rPr>
        <w:t>399. En noviembre de 2013 se creó la Mesa Nacional de Prevención y Protección de niños, niñas y adolescentes en actividades a viajes y turismo denominada -MENACENNA-</w:t>
      </w:r>
      <w:r w:rsidRPr="007F78B7">
        <w:rPr>
          <w:rStyle w:val="FootnoteReference"/>
          <w:rFonts w:ascii="Arial Narrow" w:hAnsi="Arial Narrow" w:cstheme="minorHAnsi"/>
          <w:sz w:val="23"/>
          <w:szCs w:val="23"/>
        </w:rPr>
        <w:footnoteReference w:id="1"/>
      </w:r>
      <w:r w:rsidRPr="007F78B7">
        <w:rPr>
          <w:rFonts w:ascii="Arial Narrow" w:hAnsi="Arial Narrow"/>
          <w:sz w:val="23"/>
          <w:szCs w:val="23"/>
        </w:rPr>
        <w:t>.</w:t>
      </w:r>
    </w:p>
    <w:p w14:paraId="3546B3EB" w14:textId="77777777" w:rsidR="007F78B7" w:rsidRPr="007F78B7" w:rsidRDefault="007F78B7" w:rsidP="007F78B7">
      <w:pPr>
        <w:pStyle w:val="NoSpacing"/>
        <w:jc w:val="both"/>
        <w:rPr>
          <w:rFonts w:ascii="Arial Narrow" w:hAnsi="Arial Narrow"/>
          <w:sz w:val="23"/>
          <w:szCs w:val="23"/>
        </w:rPr>
      </w:pPr>
    </w:p>
    <w:p w14:paraId="3546B3EC" w14:textId="77777777" w:rsidR="007F78B7" w:rsidRPr="007F78B7" w:rsidRDefault="007F78B7" w:rsidP="007F78B7">
      <w:pPr>
        <w:pStyle w:val="NoSpacing"/>
        <w:ind w:hanging="426"/>
        <w:jc w:val="both"/>
        <w:rPr>
          <w:rFonts w:ascii="Arial Narrow" w:hAnsi="Arial Narrow"/>
          <w:sz w:val="23"/>
          <w:szCs w:val="23"/>
        </w:rPr>
      </w:pPr>
      <w:r w:rsidRPr="007F78B7">
        <w:rPr>
          <w:rFonts w:ascii="Arial Narrow" w:hAnsi="Arial Narrow"/>
          <w:sz w:val="23"/>
          <w:szCs w:val="23"/>
        </w:rPr>
        <w:t xml:space="preserve">400. La SVET, en 2015 se integró a la CONAPETI. Así mismo a través de la SVET se conforman redes departamentales quienes, realizaron 375 capacitaciones a estudiantes en los departamentos de Sacatepéquez y Escuintla. </w:t>
      </w:r>
    </w:p>
    <w:p w14:paraId="3546B3ED" w14:textId="77777777" w:rsidR="007F78B7" w:rsidRPr="007F78B7" w:rsidRDefault="007F78B7" w:rsidP="007F78B7">
      <w:pPr>
        <w:pStyle w:val="NoSpacing"/>
        <w:jc w:val="both"/>
        <w:rPr>
          <w:rFonts w:ascii="Arial Narrow" w:hAnsi="Arial Narrow"/>
          <w:sz w:val="23"/>
          <w:szCs w:val="23"/>
        </w:rPr>
      </w:pPr>
    </w:p>
    <w:p w14:paraId="3546B3EE" w14:textId="77777777" w:rsidR="007F78B7" w:rsidRPr="007F78B7" w:rsidRDefault="007F78B7" w:rsidP="007F78B7">
      <w:pPr>
        <w:pStyle w:val="NoSpacing"/>
        <w:ind w:hanging="426"/>
        <w:jc w:val="both"/>
        <w:rPr>
          <w:rFonts w:ascii="Arial Narrow" w:hAnsi="Arial Narrow"/>
          <w:sz w:val="23"/>
          <w:szCs w:val="23"/>
        </w:rPr>
      </w:pPr>
      <w:r w:rsidRPr="007F78B7">
        <w:rPr>
          <w:rFonts w:ascii="Arial Narrow" w:hAnsi="Arial Narrow"/>
          <w:sz w:val="23"/>
          <w:szCs w:val="23"/>
        </w:rPr>
        <w:t>401. Se aprobó la Política Pública contra la Trata de Personas y Protección Integral a las Victimas 2014-2024</w:t>
      </w:r>
      <w:r w:rsidRPr="007F78B7">
        <w:rPr>
          <w:rStyle w:val="FootnoteReference"/>
          <w:rFonts w:ascii="Arial Narrow" w:hAnsi="Arial Narrow" w:cstheme="minorHAnsi"/>
          <w:sz w:val="23"/>
          <w:szCs w:val="23"/>
        </w:rPr>
        <w:footnoteReference w:id="2"/>
      </w:r>
      <w:r w:rsidRPr="007F78B7">
        <w:rPr>
          <w:rFonts w:ascii="Arial Narrow" w:hAnsi="Arial Narrow"/>
          <w:sz w:val="23"/>
          <w:szCs w:val="23"/>
        </w:rPr>
        <w:t>. Con ello se implementaron dos albergues temporales especializados para víctimas de trata de personas menores de edad y uno especializado para menores de 14 años embarazadas y víctimas de violencia sexual</w:t>
      </w:r>
      <w:r w:rsidRPr="007F78B7">
        <w:rPr>
          <w:rStyle w:val="FootnoteReference"/>
          <w:rFonts w:ascii="Arial Narrow" w:hAnsi="Arial Narrow"/>
          <w:sz w:val="23"/>
          <w:szCs w:val="23"/>
        </w:rPr>
        <w:footnoteReference w:id="3"/>
      </w:r>
    </w:p>
    <w:p w14:paraId="3546B3EF" w14:textId="77777777" w:rsidR="007F78B7" w:rsidRPr="007F78B7" w:rsidRDefault="007F78B7" w:rsidP="007F78B7">
      <w:pPr>
        <w:pStyle w:val="NoSpacing"/>
        <w:jc w:val="both"/>
        <w:rPr>
          <w:rFonts w:ascii="Arial Narrow" w:hAnsi="Arial Narrow"/>
          <w:sz w:val="23"/>
          <w:szCs w:val="23"/>
        </w:rPr>
      </w:pPr>
    </w:p>
    <w:p w14:paraId="3546B3F0" w14:textId="77777777" w:rsidR="007F78B7" w:rsidRPr="007F78B7" w:rsidRDefault="007F78B7" w:rsidP="007F78B7">
      <w:pPr>
        <w:pStyle w:val="NoSpacing"/>
        <w:ind w:hanging="426"/>
        <w:jc w:val="both"/>
        <w:rPr>
          <w:rFonts w:ascii="Arial Narrow" w:hAnsi="Arial Narrow"/>
          <w:sz w:val="23"/>
          <w:szCs w:val="23"/>
        </w:rPr>
      </w:pPr>
      <w:r w:rsidRPr="007F78B7">
        <w:rPr>
          <w:rFonts w:ascii="Arial Narrow" w:hAnsi="Arial Narrow"/>
          <w:sz w:val="23"/>
          <w:szCs w:val="23"/>
        </w:rPr>
        <w:t>402. El CNA como parte de las acciones que ha realizado a favor de la niñez, ha intensificado las políticas y programas desde el 2010 en donde se aprueban los “Estándares de calidad para la atención de niños, niñas y adolescentes en entidades de abrigo temporal”</w:t>
      </w:r>
      <w:r w:rsidRPr="007F78B7">
        <w:rPr>
          <w:rStyle w:val="FootnoteReference"/>
          <w:rFonts w:ascii="Arial Narrow" w:hAnsi="Arial Narrow"/>
          <w:sz w:val="23"/>
          <w:szCs w:val="23"/>
        </w:rPr>
        <w:footnoteReference w:id="4"/>
      </w:r>
      <w:r w:rsidRPr="007F78B7">
        <w:rPr>
          <w:rFonts w:ascii="Arial Narrow" w:hAnsi="Arial Narrow"/>
          <w:sz w:val="23"/>
          <w:szCs w:val="23"/>
        </w:rPr>
        <w:t xml:space="preserve"> los que respetan la opinión de los niños y adolescentes abrigados en hogares de protección abrigo y bajo una medida de protección, implementando acciones como:</w:t>
      </w:r>
    </w:p>
    <w:p w14:paraId="3546B3F1" w14:textId="77777777" w:rsidR="007F78B7" w:rsidRPr="007F78B7" w:rsidRDefault="007F78B7" w:rsidP="007F78B7">
      <w:pPr>
        <w:pStyle w:val="NoSpacing"/>
        <w:numPr>
          <w:ilvl w:val="0"/>
          <w:numId w:val="49"/>
        </w:numPr>
        <w:jc w:val="both"/>
        <w:rPr>
          <w:rFonts w:ascii="Arial Narrow" w:hAnsi="Arial Narrow"/>
          <w:sz w:val="23"/>
          <w:szCs w:val="23"/>
        </w:rPr>
      </w:pPr>
      <w:r w:rsidRPr="007F78B7">
        <w:rPr>
          <w:rFonts w:ascii="Arial Narrow" w:hAnsi="Arial Narrow"/>
          <w:sz w:val="23"/>
          <w:szCs w:val="23"/>
        </w:rPr>
        <w:t>Supervisión a los hogares de protección privados evaluando la implementación de los estándares mencionados anteriormente.</w:t>
      </w:r>
    </w:p>
    <w:p w14:paraId="3546B3F2" w14:textId="77777777" w:rsidR="007F78B7" w:rsidRPr="007F78B7" w:rsidRDefault="007F78B7" w:rsidP="007F78B7">
      <w:pPr>
        <w:pStyle w:val="NoSpacing"/>
        <w:numPr>
          <w:ilvl w:val="0"/>
          <w:numId w:val="49"/>
        </w:numPr>
        <w:jc w:val="both"/>
        <w:rPr>
          <w:rFonts w:ascii="Arial Narrow" w:hAnsi="Arial Narrow"/>
          <w:sz w:val="23"/>
          <w:szCs w:val="23"/>
        </w:rPr>
      </w:pPr>
      <w:r w:rsidRPr="007F78B7">
        <w:rPr>
          <w:rFonts w:ascii="Arial Narrow" w:hAnsi="Arial Narrow"/>
          <w:sz w:val="23"/>
          <w:szCs w:val="23"/>
        </w:rPr>
        <w:t xml:space="preserve">En el periodo del 2010 al 2013 se implementó el concurso de cuentos y/o dibujos por año en donde el objetivo principal era que los niños se pudieran expresar, entre los temas trabajados los siguientes: Elaboración de cuento” (basado en su propia vida); “Que Quiero Ser cuando Sea </w:t>
      </w:r>
      <w:r w:rsidRPr="007F78B7">
        <w:rPr>
          <w:rFonts w:ascii="Arial Narrow" w:hAnsi="Arial Narrow"/>
          <w:sz w:val="23"/>
          <w:szCs w:val="23"/>
        </w:rPr>
        <w:lastRenderedPageBreak/>
        <w:t>Grande”; “Viviendo y Creciendo en Armonía” y “La Realización de Mis Derechos Asegura Mi Futuro”.</w:t>
      </w:r>
    </w:p>
    <w:p w14:paraId="3546B3F3" w14:textId="77777777" w:rsidR="007F78B7" w:rsidRPr="007F78B7" w:rsidRDefault="007F78B7" w:rsidP="007F78B7">
      <w:pPr>
        <w:pStyle w:val="NoSpacing"/>
        <w:jc w:val="both"/>
        <w:rPr>
          <w:rFonts w:ascii="Arial Narrow" w:hAnsi="Arial Narrow"/>
          <w:sz w:val="23"/>
          <w:szCs w:val="23"/>
        </w:rPr>
      </w:pPr>
    </w:p>
    <w:p w14:paraId="3546B3F4" w14:textId="77777777" w:rsidR="007F78B7" w:rsidRPr="007F78B7" w:rsidRDefault="007F78B7" w:rsidP="007F78B7">
      <w:pPr>
        <w:ind w:hanging="426"/>
        <w:jc w:val="both"/>
        <w:rPr>
          <w:rFonts w:ascii="Arial Narrow" w:eastAsia="Times New Roman" w:hAnsi="Arial Narrow"/>
          <w:sz w:val="23"/>
          <w:szCs w:val="23"/>
          <w:lang w:val="es-GT" w:eastAsia="es-GT"/>
        </w:rPr>
      </w:pPr>
      <w:r w:rsidRPr="007F78B7">
        <w:rPr>
          <w:rFonts w:ascii="Arial Narrow" w:eastAsia="Times New Roman" w:hAnsi="Arial Narrow"/>
          <w:sz w:val="23"/>
          <w:szCs w:val="23"/>
          <w:lang w:val="es-GT" w:eastAsia="es-GT"/>
        </w:rPr>
        <w:t>403. El MINEDUC en contribución con el programa denominado Comité de Educadores en Prevención del Sida –COEPSIDA-, programa por medio del cual se implementa la Estrategia de Educación Integral de Sexualidad, con el propósito de promover conocimientos básicos que permitan incidir en la disminución de los embarazos en adolescentes menores de 14 años.</w:t>
      </w:r>
    </w:p>
    <w:p w14:paraId="3546B3F5" w14:textId="77777777" w:rsidR="007F78B7" w:rsidRPr="007F78B7" w:rsidRDefault="007F78B7" w:rsidP="007F78B7">
      <w:pPr>
        <w:jc w:val="both"/>
        <w:rPr>
          <w:rFonts w:ascii="Arial Narrow" w:eastAsia="Times New Roman" w:hAnsi="Arial Narrow"/>
          <w:sz w:val="23"/>
          <w:szCs w:val="23"/>
          <w:lang w:val="es-GT" w:eastAsia="es-GT"/>
        </w:rPr>
      </w:pPr>
    </w:p>
    <w:p w14:paraId="3546B3F6" w14:textId="77777777" w:rsidR="007F78B7" w:rsidRPr="007F78B7" w:rsidRDefault="007F78B7" w:rsidP="007F78B7">
      <w:pPr>
        <w:pStyle w:val="ListParagraph"/>
        <w:numPr>
          <w:ilvl w:val="0"/>
          <w:numId w:val="49"/>
        </w:numPr>
        <w:autoSpaceDE w:val="0"/>
        <w:autoSpaceDN w:val="0"/>
        <w:adjustRightInd w:val="0"/>
        <w:spacing w:after="0" w:line="240" w:lineRule="auto"/>
        <w:jc w:val="both"/>
        <w:rPr>
          <w:rFonts w:ascii="Arial Narrow" w:hAnsi="Arial Narrow" w:cs="ArialMT"/>
          <w:color w:val="000000"/>
          <w:sz w:val="23"/>
          <w:szCs w:val="23"/>
          <w:lang w:val="es-ES"/>
        </w:rPr>
      </w:pPr>
      <w:r w:rsidRPr="007F78B7">
        <w:rPr>
          <w:rFonts w:ascii="Arial Narrow" w:hAnsi="Arial Narrow" w:cs="Arial-BoldMT"/>
          <w:bCs/>
          <w:color w:val="000000"/>
          <w:sz w:val="23"/>
          <w:szCs w:val="23"/>
          <w:lang w:val="es-ES"/>
        </w:rPr>
        <w:t>3,456</w:t>
      </w:r>
      <w:r w:rsidRPr="007F78B7">
        <w:rPr>
          <w:rFonts w:ascii="Arial Narrow" w:hAnsi="Arial Narrow" w:cs="Arial-BoldMT"/>
          <w:b/>
          <w:bCs/>
          <w:color w:val="000000"/>
          <w:sz w:val="23"/>
          <w:szCs w:val="23"/>
          <w:lang w:val="es-ES"/>
        </w:rPr>
        <w:t xml:space="preserve"> </w:t>
      </w:r>
      <w:r w:rsidRPr="007F78B7">
        <w:rPr>
          <w:rFonts w:ascii="Arial Narrow" w:hAnsi="Arial Narrow" w:cs="ArialMT"/>
          <w:color w:val="000000"/>
          <w:sz w:val="23"/>
          <w:szCs w:val="23"/>
          <w:lang w:val="es-ES"/>
        </w:rPr>
        <w:t xml:space="preserve">estudiantes de 6 direcciones departamentales de educación participan en espacios lúdicos de reflexión sobre el embarazo en adolescentes, en el marco de la educación integral en sexualidad y prevención de la violencia. </w:t>
      </w:r>
    </w:p>
    <w:p w14:paraId="3546B3F7" w14:textId="77777777" w:rsidR="007F78B7" w:rsidRPr="007F78B7" w:rsidRDefault="007F78B7" w:rsidP="007F78B7">
      <w:pPr>
        <w:pStyle w:val="ListParagraph"/>
        <w:numPr>
          <w:ilvl w:val="0"/>
          <w:numId w:val="49"/>
        </w:numPr>
        <w:autoSpaceDE w:val="0"/>
        <w:autoSpaceDN w:val="0"/>
        <w:adjustRightInd w:val="0"/>
        <w:spacing w:after="0" w:line="240" w:lineRule="auto"/>
        <w:jc w:val="both"/>
        <w:rPr>
          <w:rFonts w:ascii="Arial Narrow" w:hAnsi="Arial Narrow" w:cs="ArialMT"/>
          <w:color w:val="000000"/>
          <w:sz w:val="23"/>
          <w:szCs w:val="23"/>
          <w:lang w:val="es-ES"/>
        </w:rPr>
      </w:pPr>
      <w:r w:rsidRPr="007F78B7">
        <w:rPr>
          <w:rFonts w:ascii="Arial Narrow" w:hAnsi="Arial Narrow" w:cs="Arial-BoldMT"/>
          <w:bCs/>
          <w:color w:val="000000"/>
          <w:sz w:val="23"/>
          <w:szCs w:val="23"/>
          <w:lang w:val="es-ES"/>
        </w:rPr>
        <w:t>5,400</w:t>
      </w:r>
      <w:r w:rsidRPr="007F78B7">
        <w:rPr>
          <w:rFonts w:ascii="Arial Narrow" w:hAnsi="Arial Narrow" w:cs="Arial-BoldMT"/>
          <w:b/>
          <w:bCs/>
          <w:color w:val="000000"/>
          <w:sz w:val="23"/>
          <w:szCs w:val="23"/>
          <w:lang w:val="es-ES"/>
        </w:rPr>
        <w:t xml:space="preserve"> </w:t>
      </w:r>
      <w:r w:rsidRPr="007F78B7">
        <w:rPr>
          <w:rFonts w:ascii="Arial Narrow" w:hAnsi="Arial Narrow" w:cs="ArialMT"/>
          <w:color w:val="000000"/>
          <w:sz w:val="23"/>
          <w:szCs w:val="23"/>
          <w:lang w:val="es-ES"/>
        </w:rPr>
        <w:t xml:space="preserve">estudiantes a nivel nacional participan en actividades lúdicas de reflexión para el desarrollo del pensamiento crítico que les permita elaborar su plan de vida. </w:t>
      </w:r>
    </w:p>
    <w:p w14:paraId="3546B3F8" w14:textId="77777777" w:rsidR="007F78B7" w:rsidRPr="007F78B7" w:rsidRDefault="007F78B7" w:rsidP="007F78B7">
      <w:pPr>
        <w:pStyle w:val="ListParagraph"/>
        <w:numPr>
          <w:ilvl w:val="0"/>
          <w:numId w:val="49"/>
        </w:numPr>
        <w:autoSpaceDE w:val="0"/>
        <w:autoSpaceDN w:val="0"/>
        <w:adjustRightInd w:val="0"/>
        <w:spacing w:after="0" w:line="240" w:lineRule="auto"/>
        <w:jc w:val="both"/>
        <w:rPr>
          <w:rFonts w:ascii="Arial Narrow" w:hAnsi="Arial Narrow" w:cs="ArialMT"/>
          <w:color w:val="000000"/>
          <w:sz w:val="23"/>
          <w:szCs w:val="23"/>
          <w:lang w:val="es-ES"/>
        </w:rPr>
      </w:pPr>
      <w:r w:rsidRPr="007F78B7">
        <w:rPr>
          <w:rFonts w:ascii="Arial Narrow" w:hAnsi="Arial Narrow" w:cs="ArialMT"/>
          <w:color w:val="000000"/>
          <w:sz w:val="23"/>
          <w:szCs w:val="23"/>
          <w:lang w:val="es-ES"/>
        </w:rPr>
        <w:t xml:space="preserve">Dotación de materiales educativos a los </w:t>
      </w:r>
      <w:r w:rsidRPr="007F78B7">
        <w:rPr>
          <w:rFonts w:ascii="Arial Narrow" w:hAnsi="Arial Narrow" w:cs="Arial-BoldMT"/>
          <w:bCs/>
          <w:color w:val="000000"/>
          <w:sz w:val="23"/>
          <w:szCs w:val="23"/>
          <w:lang w:val="es-ES"/>
        </w:rPr>
        <w:t>25</w:t>
      </w:r>
      <w:r w:rsidRPr="007F78B7">
        <w:rPr>
          <w:rFonts w:ascii="Arial Narrow" w:hAnsi="Arial Narrow" w:cs="Arial-BoldMT"/>
          <w:b/>
          <w:bCs/>
          <w:color w:val="000000"/>
          <w:sz w:val="23"/>
          <w:szCs w:val="23"/>
          <w:lang w:val="es-ES"/>
        </w:rPr>
        <w:t xml:space="preserve"> </w:t>
      </w:r>
      <w:r w:rsidRPr="007F78B7">
        <w:rPr>
          <w:rFonts w:ascii="Arial Narrow" w:hAnsi="Arial Narrow" w:cs="ArialMT"/>
          <w:color w:val="000000"/>
          <w:sz w:val="23"/>
          <w:szCs w:val="23"/>
          <w:lang w:val="es-ES"/>
        </w:rPr>
        <w:t xml:space="preserve">delegados departamentales del programa COEPSIDA, para su distribución y entrega técnica a nivel departamental. </w:t>
      </w:r>
    </w:p>
    <w:p w14:paraId="3546B3F9" w14:textId="77777777" w:rsidR="007F78B7" w:rsidRPr="007F78B7" w:rsidRDefault="007F78B7" w:rsidP="007F78B7">
      <w:pPr>
        <w:pStyle w:val="ListParagraph"/>
        <w:numPr>
          <w:ilvl w:val="0"/>
          <w:numId w:val="49"/>
        </w:numPr>
        <w:autoSpaceDE w:val="0"/>
        <w:autoSpaceDN w:val="0"/>
        <w:adjustRightInd w:val="0"/>
        <w:spacing w:after="0" w:line="240" w:lineRule="auto"/>
        <w:jc w:val="both"/>
        <w:rPr>
          <w:rFonts w:ascii="Arial Narrow" w:hAnsi="Arial Narrow" w:cs="ArialMT"/>
          <w:color w:val="000000"/>
          <w:sz w:val="23"/>
          <w:szCs w:val="23"/>
          <w:lang w:val="es-ES"/>
        </w:rPr>
      </w:pPr>
      <w:r w:rsidRPr="007F78B7">
        <w:rPr>
          <w:rFonts w:ascii="Arial Narrow" w:hAnsi="Arial Narrow" w:cs="Arial-BoldMT"/>
          <w:bCs/>
          <w:color w:val="000000"/>
          <w:sz w:val="23"/>
          <w:szCs w:val="23"/>
          <w:lang w:val="es-ES"/>
        </w:rPr>
        <w:t>30,000</w:t>
      </w:r>
      <w:r w:rsidRPr="007F78B7">
        <w:rPr>
          <w:rFonts w:ascii="Arial Narrow" w:hAnsi="Arial Narrow" w:cs="Arial-BoldMT"/>
          <w:b/>
          <w:bCs/>
          <w:color w:val="000000"/>
          <w:sz w:val="23"/>
          <w:szCs w:val="23"/>
          <w:lang w:val="es-ES"/>
        </w:rPr>
        <w:t xml:space="preserve"> </w:t>
      </w:r>
      <w:r w:rsidRPr="007F78B7">
        <w:rPr>
          <w:rFonts w:ascii="Arial Narrow" w:hAnsi="Arial Narrow" w:cs="ArialMT"/>
          <w:color w:val="000000"/>
          <w:sz w:val="23"/>
          <w:szCs w:val="23"/>
          <w:lang w:val="es-ES"/>
        </w:rPr>
        <w:t xml:space="preserve">afiches de identificación de casos de violencia para docentes del nivel primario y del ciclo básico del nivel medio distribuidos. </w:t>
      </w:r>
      <w:r w:rsidRPr="007F78B7">
        <w:rPr>
          <w:rFonts w:ascii="Arial Narrow" w:hAnsi="Arial Narrow" w:cs="Arial-BoldMT"/>
          <w:bCs/>
          <w:color w:val="000000"/>
          <w:sz w:val="23"/>
          <w:szCs w:val="23"/>
          <w:lang w:val="es-ES"/>
        </w:rPr>
        <w:t>13,000</w:t>
      </w:r>
      <w:r w:rsidRPr="007F78B7">
        <w:rPr>
          <w:rFonts w:ascii="Arial Narrow" w:hAnsi="Arial Narrow" w:cs="Arial-BoldMT"/>
          <w:b/>
          <w:bCs/>
          <w:color w:val="000000"/>
          <w:sz w:val="23"/>
          <w:szCs w:val="23"/>
          <w:lang w:val="es-ES"/>
        </w:rPr>
        <w:t xml:space="preserve"> </w:t>
      </w:r>
      <w:r w:rsidRPr="007F78B7">
        <w:rPr>
          <w:rFonts w:ascii="Arial Narrow" w:hAnsi="Arial Narrow" w:cs="ArialMT"/>
          <w:color w:val="000000"/>
          <w:sz w:val="23"/>
          <w:szCs w:val="23"/>
          <w:lang w:val="es-ES"/>
        </w:rPr>
        <w:t xml:space="preserve">ejemplares distribuidos del cómic ¿Por qué somos como somos?. </w:t>
      </w:r>
    </w:p>
    <w:p w14:paraId="3546B3FA" w14:textId="77777777" w:rsidR="007F78B7" w:rsidRPr="007F78B7" w:rsidRDefault="007F78B7" w:rsidP="007F78B7">
      <w:pPr>
        <w:ind w:hanging="426"/>
        <w:jc w:val="both"/>
        <w:rPr>
          <w:rFonts w:ascii="Arial Narrow" w:eastAsia="Times New Roman" w:hAnsi="Arial Narrow"/>
          <w:sz w:val="23"/>
          <w:szCs w:val="23"/>
          <w:lang w:val="es-GT" w:eastAsia="es-GT"/>
        </w:rPr>
      </w:pPr>
      <w:r w:rsidRPr="007F78B7">
        <w:rPr>
          <w:rFonts w:ascii="Arial Narrow" w:eastAsia="Times New Roman" w:hAnsi="Arial Narrow"/>
          <w:sz w:val="23"/>
          <w:szCs w:val="23"/>
          <w:lang w:val="es-GT" w:eastAsia="es-GT"/>
        </w:rPr>
        <w:t xml:space="preserve">404. El MSPAS en 2009 creó de manera conjunta con otras instituciones el Protocolo de Atención a Víctimas-/Sobrevivientes de Violencia Sexual, consiste en una serie de procedimientos a realizarse de tratamientos médicos, psicológicos y sociales con el fin que se pueda dar respuesta y propiciar una oportuna y adecuada atención, tanto en el sistema de salud como en los órganos jurisdiccionales y de investigación.     </w:t>
      </w:r>
    </w:p>
    <w:p w14:paraId="3546B3FB" w14:textId="77777777" w:rsidR="007F78B7" w:rsidRPr="007F78B7" w:rsidRDefault="007F78B7" w:rsidP="007F78B7">
      <w:pPr>
        <w:jc w:val="both"/>
        <w:rPr>
          <w:rFonts w:ascii="Arial Narrow" w:eastAsia="Times New Roman" w:hAnsi="Arial Narrow"/>
          <w:sz w:val="23"/>
          <w:szCs w:val="23"/>
          <w:lang w:val="es-GT" w:eastAsia="es-GT"/>
        </w:rPr>
      </w:pPr>
    </w:p>
    <w:p w14:paraId="3546B3FC" w14:textId="77777777" w:rsidR="007F78B7" w:rsidRPr="007F78B7" w:rsidRDefault="007F78B7" w:rsidP="007F78B7">
      <w:pPr>
        <w:ind w:hanging="426"/>
        <w:jc w:val="both"/>
        <w:rPr>
          <w:rFonts w:ascii="Arial Narrow" w:eastAsia="Times New Roman" w:hAnsi="Arial Narrow"/>
          <w:sz w:val="23"/>
          <w:szCs w:val="23"/>
          <w:lang w:val="es-GT" w:eastAsia="es-GT"/>
        </w:rPr>
      </w:pPr>
      <w:r w:rsidRPr="007F78B7">
        <w:rPr>
          <w:rFonts w:ascii="Arial Narrow" w:eastAsia="Times New Roman" w:hAnsi="Arial Narrow"/>
          <w:sz w:val="23"/>
          <w:szCs w:val="23"/>
          <w:lang w:val="es-GT" w:eastAsia="es-GT"/>
        </w:rPr>
        <w:t>405. Por parte del MSPAS, existen los Comités de Atención a la Violencia, los cuales tienen como función denunciar los casos que presenten sospecha de maltrato infantil a la autoridad competente en la localidad en donde se encuentren, con el fin de proteger al niño, niña y adolescente.</w:t>
      </w:r>
    </w:p>
    <w:p w14:paraId="3546B3FD" w14:textId="77777777" w:rsidR="007F78B7" w:rsidRPr="007F78B7" w:rsidRDefault="007F78B7" w:rsidP="007F78B7">
      <w:pPr>
        <w:pStyle w:val="NoSpacing"/>
        <w:rPr>
          <w:rFonts w:ascii="Arial Narrow" w:hAnsi="Arial Narrow"/>
          <w:sz w:val="23"/>
          <w:szCs w:val="23"/>
          <w:lang w:eastAsia="es-GT"/>
        </w:rPr>
      </w:pPr>
    </w:p>
    <w:p w14:paraId="3546B3FE" w14:textId="77777777" w:rsidR="007F78B7" w:rsidRPr="007F78B7" w:rsidRDefault="007F78B7" w:rsidP="007F78B7">
      <w:pPr>
        <w:pStyle w:val="NoSpacing"/>
        <w:ind w:left="1276" w:hanging="567"/>
        <w:jc w:val="both"/>
        <w:rPr>
          <w:rFonts w:ascii="Arial Narrow" w:hAnsi="Arial Narrow"/>
          <w:b/>
          <w:sz w:val="23"/>
          <w:szCs w:val="23"/>
        </w:rPr>
      </w:pPr>
      <w:r w:rsidRPr="007F78B7">
        <w:rPr>
          <w:rFonts w:ascii="Arial Narrow" w:hAnsi="Arial Narrow"/>
          <w:b/>
          <w:sz w:val="23"/>
          <w:szCs w:val="23"/>
        </w:rPr>
        <w:t>II</w:t>
      </w:r>
      <w:r>
        <w:rPr>
          <w:rFonts w:ascii="Arial Narrow" w:hAnsi="Arial Narrow"/>
          <w:b/>
          <w:sz w:val="23"/>
          <w:szCs w:val="23"/>
        </w:rPr>
        <w:t>.</w:t>
      </w:r>
      <w:r w:rsidRPr="007F78B7">
        <w:rPr>
          <w:rFonts w:ascii="Arial Narrow" w:hAnsi="Arial Narrow"/>
          <w:b/>
          <w:sz w:val="23"/>
          <w:szCs w:val="23"/>
        </w:rPr>
        <w:tab/>
        <w:t>Protocolo Facultativo relativo a la Participación de Niños en Conflictos Armados.</w:t>
      </w:r>
    </w:p>
    <w:p w14:paraId="3546B3FF" w14:textId="77777777" w:rsidR="007F78B7" w:rsidRPr="007F78B7" w:rsidRDefault="007F78B7" w:rsidP="007F78B7">
      <w:pPr>
        <w:pStyle w:val="NoSpacing"/>
        <w:jc w:val="both"/>
        <w:rPr>
          <w:rFonts w:ascii="Arial Narrow" w:hAnsi="Arial Narrow"/>
          <w:b/>
          <w:sz w:val="23"/>
          <w:szCs w:val="23"/>
        </w:rPr>
      </w:pPr>
    </w:p>
    <w:p w14:paraId="3546B400" w14:textId="77777777" w:rsidR="007F78B7" w:rsidRPr="007F78B7" w:rsidRDefault="007F78B7" w:rsidP="007F78B7">
      <w:pPr>
        <w:pStyle w:val="NoSpacing"/>
        <w:ind w:hanging="426"/>
        <w:jc w:val="both"/>
        <w:rPr>
          <w:rFonts w:ascii="Arial Narrow" w:hAnsi="Arial Narrow"/>
          <w:sz w:val="23"/>
          <w:szCs w:val="23"/>
        </w:rPr>
      </w:pPr>
      <w:r w:rsidRPr="007F78B7">
        <w:rPr>
          <w:rFonts w:ascii="Arial Narrow" w:hAnsi="Arial Narrow"/>
          <w:sz w:val="23"/>
          <w:szCs w:val="23"/>
        </w:rPr>
        <w:t>406. Dentro de éste Protocolo Facultativo, es importante destacar que a partir de la firma de la paz en el año 1996, no existe un enfrentamiento armado, sin embargo existe la violencia y la delincuencia organizada tema en el cual se han visto involucrados niñas y adolescentes.  Por tal motivo, el Estado de Guatemala ha emprendido las siguientes acciones con el objeto de eliminar ésta problemática.</w:t>
      </w:r>
    </w:p>
    <w:p w14:paraId="3546B401" w14:textId="77777777" w:rsidR="007F78B7" w:rsidRPr="007F78B7" w:rsidRDefault="007F78B7" w:rsidP="007F78B7">
      <w:pPr>
        <w:pStyle w:val="NoSpacing"/>
        <w:jc w:val="both"/>
        <w:rPr>
          <w:rFonts w:ascii="Arial Narrow" w:hAnsi="Arial Narrow"/>
          <w:sz w:val="23"/>
          <w:szCs w:val="23"/>
        </w:rPr>
      </w:pPr>
    </w:p>
    <w:p w14:paraId="3546B402" w14:textId="77777777" w:rsidR="007F78B7" w:rsidRPr="007F78B7" w:rsidRDefault="007F78B7" w:rsidP="007F78B7">
      <w:pPr>
        <w:pStyle w:val="NoSpacing"/>
        <w:ind w:hanging="426"/>
        <w:jc w:val="both"/>
        <w:rPr>
          <w:rFonts w:ascii="Arial Narrow" w:hAnsi="Arial Narrow"/>
          <w:sz w:val="23"/>
          <w:szCs w:val="23"/>
        </w:rPr>
      </w:pPr>
      <w:r w:rsidRPr="007F78B7">
        <w:rPr>
          <w:rFonts w:ascii="Arial Narrow" w:hAnsi="Arial Narrow"/>
          <w:sz w:val="23"/>
          <w:szCs w:val="23"/>
        </w:rPr>
        <w:t>407. El MINGOB a través de la Subdirección General de Prevención del Delito con el fin de cumplir al mantenimiento de la paz, el orden público, la seguridad de las personas y sus bienes cuenta con los siguientes proyectos y/o programas:</w:t>
      </w:r>
    </w:p>
    <w:p w14:paraId="3546B403" w14:textId="77777777" w:rsidR="007F78B7" w:rsidRPr="007F78B7" w:rsidRDefault="007F78B7" w:rsidP="007F78B7">
      <w:pPr>
        <w:pStyle w:val="NoSpacing"/>
        <w:jc w:val="both"/>
        <w:rPr>
          <w:rFonts w:ascii="Arial Narrow" w:hAnsi="Arial Narrow"/>
          <w:sz w:val="23"/>
          <w:szCs w:val="23"/>
        </w:rPr>
      </w:pPr>
    </w:p>
    <w:p w14:paraId="3546B404" w14:textId="77777777" w:rsidR="007F78B7" w:rsidRPr="007F78B7" w:rsidRDefault="007F78B7" w:rsidP="007F78B7">
      <w:pPr>
        <w:pStyle w:val="NoSpacing"/>
        <w:numPr>
          <w:ilvl w:val="0"/>
          <w:numId w:val="49"/>
        </w:numPr>
        <w:jc w:val="both"/>
        <w:rPr>
          <w:rFonts w:ascii="Arial Narrow" w:hAnsi="Arial Narrow"/>
          <w:sz w:val="23"/>
          <w:szCs w:val="23"/>
        </w:rPr>
      </w:pPr>
      <w:r w:rsidRPr="007F78B7">
        <w:rPr>
          <w:rFonts w:ascii="Arial Narrow" w:hAnsi="Arial Narrow"/>
          <w:b/>
          <w:sz w:val="23"/>
          <w:szCs w:val="23"/>
        </w:rPr>
        <w:t>Escuelas Seguras</w:t>
      </w:r>
      <w:r w:rsidRPr="007F78B7">
        <w:rPr>
          <w:rStyle w:val="FootnoteReference"/>
          <w:rFonts w:ascii="Arial Narrow" w:hAnsi="Arial Narrow"/>
          <w:sz w:val="23"/>
          <w:szCs w:val="23"/>
        </w:rPr>
        <w:footnoteReference w:id="5"/>
      </w:r>
      <w:r w:rsidRPr="007F78B7">
        <w:rPr>
          <w:rFonts w:ascii="Arial Narrow" w:hAnsi="Arial Narrow"/>
          <w:sz w:val="23"/>
          <w:szCs w:val="23"/>
        </w:rPr>
        <w:t>: enfocando en la juventud guatemalteca en prevención de la violencia, con el objetivo de disuadir hechos delictivos provocados por los alumnos, también como por personas ajenas al mismo, como pandillas, delincuencia común y organizada ya sea dentro y fuera del centro educativo, cubriendo 34 centros educativos en la ciudad capital y uno en el departamento de Chimaltenango.</w:t>
      </w:r>
    </w:p>
    <w:p w14:paraId="3546B405" w14:textId="77777777" w:rsidR="007F78B7" w:rsidRPr="007F78B7" w:rsidRDefault="007F78B7" w:rsidP="007F78B7">
      <w:pPr>
        <w:pStyle w:val="NoSpacing"/>
        <w:numPr>
          <w:ilvl w:val="0"/>
          <w:numId w:val="49"/>
        </w:numPr>
        <w:jc w:val="both"/>
        <w:rPr>
          <w:rFonts w:ascii="Arial Narrow" w:hAnsi="Arial Narrow"/>
          <w:sz w:val="23"/>
          <w:szCs w:val="23"/>
        </w:rPr>
      </w:pPr>
      <w:r w:rsidRPr="007F78B7">
        <w:rPr>
          <w:rFonts w:ascii="Arial Narrow" w:hAnsi="Arial Narrow"/>
          <w:b/>
          <w:sz w:val="23"/>
          <w:szCs w:val="23"/>
        </w:rPr>
        <w:t>Programas de la junta de participación juvenil</w:t>
      </w:r>
      <w:r w:rsidRPr="007F78B7">
        <w:rPr>
          <w:rFonts w:ascii="Arial Narrow" w:hAnsi="Arial Narrow"/>
          <w:sz w:val="23"/>
          <w:szCs w:val="23"/>
        </w:rPr>
        <w:t xml:space="preserve">: a través de la Sección de Participación y Organización Juvenil, con el fin que los jóvenes cuenten con un espacio y oportunidades dentro de sus comunidades. En este programa se realizan diferentes actividades, deportivas, culturales, artísticas, lúdicas, de medio ambiente y de formación y capacitación. </w:t>
      </w:r>
    </w:p>
    <w:p w14:paraId="3546B406" w14:textId="77777777" w:rsidR="007F78B7" w:rsidRPr="007F78B7" w:rsidRDefault="007F78B7" w:rsidP="007F78B7">
      <w:pPr>
        <w:pStyle w:val="NoSpacing"/>
        <w:numPr>
          <w:ilvl w:val="0"/>
          <w:numId w:val="49"/>
        </w:numPr>
        <w:jc w:val="both"/>
        <w:rPr>
          <w:rFonts w:ascii="Arial Narrow" w:hAnsi="Arial Narrow"/>
          <w:sz w:val="23"/>
          <w:szCs w:val="23"/>
        </w:rPr>
      </w:pPr>
      <w:r w:rsidRPr="007F78B7">
        <w:rPr>
          <w:rFonts w:ascii="Arial Narrow" w:hAnsi="Arial Narrow"/>
          <w:b/>
          <w:sz w:val="23"/>
          <w:szCs w:val="23"/>
        </w:rPr>
        <w:t>Programa de Servicio Cívico Social</w:t>
      </w:r>
      <w:r w:rsidRPr="007F78B7">
        <w:rPr>
          <w:rFonts w:ascii="Arial Narrow" w:hAnsi="Arial Narrow"/>
          <w:sz w:val="23"/>
          <w:szCs w:val="23"/>
        </w:rPr>
        <w:t>: por medio de este programa se involucran a jóvenes de 18 a 24 años participando cada año en la mejora de los proyectos en distintas temáticas que impulsan los ministerios, para una mejora en el desarrollo en sus comunidades.</w:t>
      </w:r>
    </w:p>
    <w:p w14:paraId="3546B407" w14:textId="77777777" w:rsidR="007F78B7" w:rsidRPr="007F78B7" w:rsidRDefault="007F78B7" w:rsidP="007F78B7">
      <w:pPr>
        <w:pStyle w:val="NoSpacing"/>
        <w:jc w:val="both"/>
        <w:rPr>
          <w:rFonts w:ascii="Arial Narrow" w:hAnsi="Arial Narrow"/>
          <w:sz w:val="23"/>
          <w:szCs w:val="23"/>
        </w:rPr>
      </w:pPr>
    </w:p>
    <w:p w14:paraId="3546B408" w14:textId="77777777" w:rsidR="007F78B7" w:rsidRPr="007F78B7" w:rsidRDefault="007F78B7" w:rsidP="007F78B7">
      <w:pPr>
        <w:pStyle w:val="NoSpacing"/>
        <w:ind w:hanging="426"/>
        <w:jc w:val="both"/>
        <w:rPr>
          <w:rFonts w:ascii="Arial Narrow" w:hAnsi="Arial Narrow"/>
          <w:sz w:val="23"/>
          <w:szCs w:val="23"/>
          <w:lang w:eastAsia="es-GT"/>
        </w:rPr>
      </w:pPr>
      <w:r w:rsidRPr="007F78B7">
        <w:rPr>
          <w:rFonts w:ascii="Arial Narrow" w:hAnsi="Arial Narrow"/>
          <w:sz w:val="23"/>
          <w:szCs w:val="23"/>
          <w:lang w:eastAsia="es-GT"/>
        </w:rPr>
        <w:t>408. UNICEF junto a otras agencias del Sistema de Naciones Unidas colaboran con el MINGOB para apoyar los temas relacionados con niñez víctima y adolescentes en conflicto. De manera específica, se apoya la creación de la Unidad de Atención a la Niñez dentro de la PNC. Sus funciones específicas son la atención a la víctima, la prevención del delito y la investigación criminal en casos de violencia contra niños.</w:t>
      </w:r>
    </w:p>
    <w:p w14:paraId="3546B409" w14:textId="77777777" w:rsidR="007F78B7" w:rsidRPr="007F78B7" w:rsidRDefault="007F78B7" w:rsidP="007F78B7">
      <w:pPr>
        <w:pStyle w:val="NoSpacing"/>
        <w:jc w:val="both"/>
        <w:rPr>
          <w:rFonts w:ascii="Arial Narrow" w:hAnsi="Arial Narrow"/>
          <w:sz w:val="23"/>
          <w:szCs w:val="23"/>
          <w:lang w:eastAsia="es-GT"/>
        </w:rPr>
      </w:pPr>
    </w:p>
    <w:p w14:paraId="3546B40A" w14:textId="77777777" w:rsidR="007F78B7" w:rsidRPr="007F78B7" w:rsidRDefault="007F78B7" w:rsidP="007F78B7">
      <w:pPr>
        <w:pStyle w:val="NoSpacing"/>
        <w:ind w:hanging="426"/>
        <w:jc w:val="both"/>
        <w:rPr>
          <w:rFonts w:ascii="Arial Narrow" w:hAnsi="Arial Narrow"/>
          <w:sz w:val="23"/>
          <w:szCs w:val="23"/>
          <w:lang w:eastAsia="es-GT"/>
        </w:rPr>
      </w:pPr>
      <w:r w:rsidRPr="007F78B7">
        <w:rPr>
          <w:rFonts w:ascii="Arial Narrow" w:hAnsi="Arial Narrow"/>
          <w:sz w:val="23"/>
          <w:szCs w:val="23"/>
          <w:lang w:eastAsia="es-GT"/>
        </w:rPr>
        <w:t>409. En el caso de adolescentes en conflicto con la ley en los procedimientos judiciales, UNICEF tiene suscrito un convenio con el OJ para capacitar a Jueces de Instancia de la niñez y adolescencia, que es la nueva figura que crea la Ley PINA. Con esto el proyecto ha dado frutos evidentes pues los Jueces utilizan el procedimiento que establece la Ley PINA, enmiendan las deficiencias que encuentran en su mismo operar y las discuten con otros Jueces.</w:t>
      </w:r>
    </w:p>
    <w:p w14:paraId="3546B40B" w14:textId="77777777" w:rsidR="007F78B7" w:rsidRPr="007F78B7" w:rsidRDefault="007F78B7" w:rsidP="007F78B7">
      <w:pPr>
        <w:pStyle w:val="NoSpacing"/>
        <w:jc w:val="both"/>
        <w:rPr>
          <w:rFonts w:ascii="Arial Narrow" w:hAnsi="Arial Narrow"/>
          <w:sz w:val="23"/>
          <w:szCs w:val="23"/>
          <w:lang w:eastAsia="es-GT"/>
        </w:rPr>
      </w:pPr>
    </w:p>
    <w:p w14:paraId="3546B40C" w14:textId="77777777" w:rsidR="007F78B7" w:rsidRPr="007F78B7" w:rsidRDefault="007F78B7" w:rsidP="007F78B7">
      <w:pPr>
        <w:pStyle w:val="NoSpacing"/>
        <w:ind w:hanging="426"/>
        <w:jc w:val="both"/>
        <w:rPr>
          <w:rFonts w:ascii="Arial Narrow" w:hAnsi="Arial Narrow"/>
          <w:sz w:val="23"/>
          <w:szCs w:val="23"/>
          <w:lang w:eastAsia="es-GT"/>
        </w:rPr>
      </w:pPr>
      <w:r w:rsidRPr="007F78B7">
        <w:rPr>
          <w:rFonts w:ascii="Arial Narrow" w:hAnsi="Arial Narrow"/>
          <w:sz w:val="23"/>
          <w:szCs w:val="23"/>
          <w:lang w:eastAsia="es-GT"/>
        </w:rPr>
        <w:t xml:space="preserve">410. El OJ junto a UNICEF trabajan en la implementación de procesos penales para adolescentes en conflicto con la ley, según los principios de la Convención de los Derechos del Niño, promoviendo el uso de sanciones alternativas a la privación de libertad. Se ha implementado el Programa de Libertad Asistida en cinco regiones del país y el Programa de Servicio Comunitario en otras tres regiones de Guatemala. El Programa de Libertad Asistida fue institucionalizado por la Secretaría de Bienestar Social en 2003 con fondos gubernamentales. </w:t>
      </w:r>
    </w:p>
    <w:p w14:paraId="3546B40D" w14:textId="77777777" w:rsidR="007F78B7" w:rsidRPr="007F78B7" w:rsidRDefault="007F78B7" w:rsidP="007F78B7">
      <w:pPr>
        <w:pStyle w:val="NoSpacing"/>
        <w:jc w:val="both"/>
        <w:rPr>
          <w:rFonts w:ascii="Arial Narrow" w:hAnsi="Arial Narrow"/>
          <w:sz w:val="23"/>
          <w:szCs w:val="23"/>
          <w:lang w:eastAsia="es-GT"/>
        </w:rPr>
      </w:pPr>
    </w:p>
    <w:p w14:paraId="3546B40E" w14:textId="77777777" w:rsidR="007F78B7" w:rsidRPr="007F78B7" w:rsidRDefault="007F78B7" w:rsidP="007F78B7">
      <w:pPr>
        <w:pStyle w:val="NoSpacing"/>
        <w:ind w:hanging="426"/>
        <w:jc w:val="both"/>
        <w:rPr>
          <w:rFonts w:ascii="Arial Narrow" w:hAnsi="Arial Narrow"/>
          <w:sz w:val="23"/>
          <w:szCs w:val="23"/>
        </w:rPr>
      </w:pPr>
      <w:r w:rsidRPr="007F78B7">
        <w:rPr>
          <w:rFonts w:ascii="Arial Narrow" w:hAnsi="Arial Narrow"/>
          <w:sz w:val="23"/>
          <w:szCs w:val="23"/>
        </w:rPr>
        <w:t xml:space="preserve">411. A través de la Subdirección General de Previsión del Delito de la PNC, desarrolla, coordina y ejecuta programas de educación preventiva con la niñez y adolescencia, creando para ello el </w:t>
      </w:r>
      <w:r w:rsidRPr="007F78B7">
        <w:rPr>
          <w:rFonts w:ascii="Arial Narrow" w:hAnsi="Arial Narrow"/>
          <w:i/>
          <w:sz w:val="23"/>
          <w:szCs w:val="23"/>
        </w:rPr>
        <w:t>Departamento Especializado en Niñez y Adolescencia (DENA).</w:t>
      </w:r>
    </w:p>
    <w:p w14:paraId="3546B40F" w14:textId="77777777" w:rsidR="007F78B7" w:rsidRPr="007F78B7" w:rsidRDefault="007F78B7" w:rsidP="007F78B7">
      <w:pPr>
        <w:pStyle w:val="NoSpacing"/>
        <w:jc w:val="both"/>
        <w:rPr>
          <w:rFonts w:ascii="Arial Narrow" w:hAnsi="Arial Narrow"/>
          <w:b/>
          <w:sz w:val="23"/>
          <w:szCs w:val="23"/>
        </w:rPr>
      </w:pPr>
    </w:p>
    <w:p w14:paraId="3546B410" w14:textId="77777777" w:rsidR="007F78B7" w:rsidRPr="007F78B7" w:rsidRDefault="007F78B7" w:rsidP="007F78B7">
      <w:pPr>
        <w:pStyle w:val="NoSpacing"/>
        <w:ind w:hanging="426"/>
        <w:jc w:val="both"/>
        <w:rPr>
          <w:rFonts w:ascii="Arial Narrow" w:hAnsi="Arial Narrow"/>
          <w:sz w:val="23"/>
          <w:szCs w:val="23"/>
        </w:rPr>
      </w:pPr>
      <w:r w:rsidRPr="007F78B7">
        <w:rPr>
          <w:rFonts w:ascii="Arial Narrow" w:hAnsi="Arial Narrow"/>
          <w:sz w:val="23"/>
          <w:szCs w:val="23"/>
        </w:rPr>
        <w:t>412. En 2015, se implementaron dos proyectos de capacitación y sensibilización para el personal, en materia de Derechos Humanos, Niñez y Adolescencia, como el abordaje de las actuaciones con procedimientos policiales en dichas materias, siendo estos:</w:t>
      </w:r>
    </w:p>
    <w:p w14:paraId="3546B411" w14:textId="77777777" w:rsidR="007F78B7" w:rsidRPr="007F78B7" w:rsidRDefault="007F78B7" w:rsidP="007F78B7">
      <w:pPr>
        <w:pStyle w:val="NoSpacing"/>
        <w:jc w:val="both"/>
        <w:rPr>
          <w:rFonts w:ascii="Arial Narrow" w:hAnsi="Arial Narrow"/>
          <w:sz w:val="23"/>
          <w:szCs w:val="23"/>
        </w:rPr>
      </w:pPr>
    </w:p>
    <w:p w14:paraId="3546B412" w14:textId="77777777" w:rsidR="007F78B7" w:rsidRPr="007F78B7" w:rsidRDefault="007F78B7" w:rsidP="007F78B7">
      <w:pPr>
        <w:pStyle w:val="NoSpacing"/>
        <w:numPr>
          <w:ilvl w:val="0"/>
          <w:numId w:val="50"/>
        </w:numPr>
        <w:jc w:val="both"/>
        <w:rPr>
          <w:rFonts w:ascii="Arial Narrow" w:hAnsi="Arial Narrow"/>
          <w:b/>
          <w:sz w:val="23"/>
          <w:szCs w:val="23"/>
        </w:rPr>
      </w:pPr>
      <w:r w:rsidRPr="007F78B7">
        <w:rPr>
          <w:rFonts w:ascii="Arial Narrow" w:hAnsi="Arial Narrow"/>
          <w:b/>
          <w:sz w:val="23"/>
          <w:szCs w:val="23"/>
        </w:rPr>
        <w:t>Proyecto Namahan Carmona</w:t>
      </w:r>
    </w:p>
    <w:p w14:paraId="3546B413" w14:textId="77777777" w:rsidR="007F78B7" w:rsidRPr="007F78B7" w:rsidRDefault="007F78B7" w:rsidP="007F78B7">
      <w:pPr>
        <w:pStyle w:val="NoSpacing"/>
        <w:jc w:val="both"/>
        <w:rPr>
          <w:rFonts w:ascii="Arial Narrow" w:hAnsi="Arial Narrow"/>
          <w:sz w:val="23"/>
          <w:szCs w:val="23"/>
        </w:rPr>
      </w:pPr>
    </w:p>
    <w:p w14:paraId="3546B414" w14:textId="77777777" w:rsidR="007F78B7" w:rsidRPr="007F78B7" w:rsidRDefault="007F78B7" w:rsidP="007F78B7">
      <w:pPr>
        <w:pStyle w:val="NoSpacing"/>
        <w:ind w:hanging="426"/>
        <w:jc w:val="both"/>
        <w:rPr>
          <w:rFonts w:ascii="Arial Narrow" w:hAnsi="Arial Narrow"/>
          <w:sz w:val="23"/>
          <w:szCs w:val="23"/>
        </w:rPr>
      </w:pPr>
      <w:r w:rsidRPr="007F78B7">
        <w:rPr>
          <w:rFonts w:ascii="Arial Narrow" w:hAnsi="Arial Narrow"/>
          <w:sz w:val="23"/>
          <w:szCs w:val="23"/>
        </w:rPr>
        <w:t>413. La PNC es la Institución garante del respeto a los Derechos Humanos de la Niñez y Adolescencia y responsable de proteger la vida y la integridad física de los menores, garantizando las condiciones para que ellos ejerciten sus derechos fundamentales y libertades, así como prevenir delitos contra este sector altamente vulnerable, por lo anterior se tiene capacitación constante, dando lineamientos en Derechos Humanos a funcionarios policiales sensibilizando y proporcionando el descernimiento necesario sobre derechos de la Niñez y Adolescencia, haciendo uso de la Hora de Academia. El proyecto es ejecutado por los Delegados del Departamento Especializado en Niñez y Adolescencia en las 27 comisarías, realizadas en las sedes de las subestaciones y otras unidades de la Comisaria.</w:t>
      </w:r>
    </w:p>
    <w:p w14:paraId="3546B415" w14:textId="77777777" w:rsidR="007F78B7" w:rsidRPr="007F78B7" w:rsidRDefault="007F78B7" w:rsidP="007F78B7">
      <w:pPr>
        <w:pStyle w:val="NoSpacing"/>
        <w:jc w:val="both"/>
        <w:rPr>
          <w:rFonts w:ascii="Arial Narrow" w:hAnsi="Arial Narrow"/>
          <w:sz w:val="23"/>
          <w:szCs w:val="23"/>
        </w:rPr>
      </w:pPr>
    </w:p>
    <w:p w14:paraId="3546B416" w14:textId="77777777" w:rsidR="007F78B7" w:rsidRPr="007F78B7" w:rsidRDefault="007F78B7" w:rsidP="007F78B7">
      <w:pPr>
        <w:pStyle w:val="NoSpacing"/>
        <w:numPr>
          <w:ilvl w:val="0"/>
          <w:numId w:val="50"/>
        </w:numPr>
        <w:jc w:val="both"/>
        <w:rPr>
          <w:rFonts w:ascii="Arial Narrow" w:hAnsi="Arial Narrow"/>
          <w:b/>
          <w:sz w:val="23"/>
          <w:szCs w:val="23"/>
        </w:rPr>
      </w:pPr>
      <w:r w:rsidRPr="007F78B7">
        <w:rPr>
          <w:rFonts w:ascii="Arial Narrow" w:hAnsi="Arial Narrow"/>
          <w:b/>
          <w:sz w:val="23"/>
          <w:szCs w:val="23"/>
        </w:rPr>
        <w:t>Proyecto Capacitación</w:t>
      </w:r>
    </w:p>
    <w:p w14:paraId="3546B417" w14:textId="77777777" w:rsidR="007F78B7" w:rsidRPr="007F78B7" w:rsidRDefault="007F78B7" w:rsidP="007F78B7">
      <w:pPr>
        <w:pStyle w:val="NoSpacing"/>
        <w:ind w:left="720"/>
        <w:jc w:val="both"/>
        <w:rPr>
          <w:rFonts w:ascii="Arial Narrow" w:hAnsi="Arial Narrow"/>
          <w:b/>
          <w:sz w:val="23"/>
          <w:szCs w:val="23"/>
        </w:rPr>
      </w:pPr>
    </w:p>
    <w:p w14:paraId="3546B418" w14:textId="77777777" w:rsidR="007F78B7" w:rsidRPr="007F78B7" w:rsidRDefault="007F78B7" w:rsidP="007F78B7">
      <w:pPr>
        <w:pStyle w:val="NoSpacing"/>
        <w:ind w:hanging="426"/>
        <w:jc w:val="both"/>
        <w:rPr>
          <w:rFonts w:ascii="Arial Narrow" w:hAnsi="Arial Narrow"/>
          <w:sz w:val="23"/>
          <w:szCs w:val="23"/>
        </w:rPr>
      </w:pPr>
      <w:r w:rsidRPr="007F78B7">
        <w:rPr>
          <w:rFonts w:ascii="Arial Narrow" w:hAnsi="Arial Narrow"/>
          <w:sz w:val="23"/>
          <w:szCs w:val="23"/>
        </w:rPr>
        <w:t xml:space="preserve">414. Este proyecto dota a Funcionarios Policiales Operativos en comisarías de las herramientas conceptuales y procedimientos para brindar un servicio legal especializado a los niños y adolescentes que por algún motivo requieren de las actuaciones policiales nacionales e internacionales, asumidas por el Estado. Resguardando la seguridad y la victimización de los delitos de Violencia Sexual, Explotación y trata de personas y el protocolo a seguir al enfrentarse a estos casos, en el marco del respeto a los derechos humanos de la niñez y adolescencia.  Mediante talleres con temáticas sobre la Ley VET y su relación con la Ley PINA, Ley del Sistema Alerta Alba-Keneth, impartidos en Centros Educativos como sectores vulnerables y sociedad civil, logrando con ello la sensibilización de la sociedad, para promover una cultura de denuncia y disminuir la incidencia criminal. </w:t>
      </w:r>
    </w:p>
    <w:p w14:paraId="3546B419" w14:textId="77777777" w:rsidR="007F78B7" w:rsidRPr="007F78B7" w:rsidRDefault="007F78B7" w:rsidP="007F78B7">
      <w:pPr>
        <w:pStyle w:val="NoSpacing"/>
        <w:jc w:val="both"/>
        <w:rPr>
          <w:rFonts w:ascii="Arial Narrow" w:hAnsi="Arial Narrow"/>
          <w:sz w:val="23"/>
          <w:szCs w:val="23"/>
          <w:lang w:eastAsia="es-GT"/>
        </w:rPr>
      </w:pPr>
    </w:p>
    <w:p w14:paraId="3546B41A" w14:textId="77777777" w:rsidR="007F78B7" w:rsidRPr="007F78B7" w:rsidRDefault="007F78B7" w:rsidP="007F78B7">
      <w:pPr>
        <w:pStyle w:val="NoSpacing"/>
        <w:ind w:hanging="426"/>
        <w:jc w:val="both"/>
        <w:rPr>
          <w:rFonts w:ascii="Arial Narrow" w:hAnsi="Arial Narrow"/>
          <w:sz w:val="23"/>
          <w:szCs w:val="23"/>
          <w:lang w:eastAsia="es-GT"/>
        </w:rPr>
      </w:pPr>
      <w:r w:rsidRPr="007F78B7">
        <w:rPr>
          <w:rFonts w:ascii="Arial Narrow" w:hAnsi="Arial Narrow"/>
          <w:sz w:val="23"/>
          <w:szCs w:val="23"/>
          <w:lang w:eastAsia="es-GT"/>
        </w:rPr>
        <w:t>415. El Sistema de Alerta Alba-Keneth</w:t>
      </w:r>
      <w:r w:rsidRPr="007F78B7">
        <w:rPr>
          <w:rStyle w:val="FootnoteReference"/>
          <w:rFonts w:ascii="Arial Narrow" w:hAnsi="Arial Narrow"/>
          <w:sz w:val="23"/>
          <w:szCs w:val="23"/>
          <w:lang w:eastAsia="es-GT"/>
        </w:rPr>
        <w:footnoteReference w:id="6"/>
      </w:r>
      <w:r w:rsidRPr="007F78B7">
        <w:rPr>
          <w:rFonts w:ascii="Arial Narrow" w:hAnsi="Arial Narrow"/>
          <w:sz w:val="23"/>
          <w:szCs w:val="23"/>
          <w:lang w:eastAsia="es-GT"/>
        </w:rPr>
        <w:t xml:space="preserve"> cuyo objetivo es la localización y resguardo inmediato de niños sustraídos o desaparecidos, realizando acciones en conjunto con otras instituciones públicas que permita agilizar la localización y el resguardo del niño, niña o adolescente, que ha sido sustraído o se encuentre desaparecido y la recuperación y resguardo del mismo. </w:t>
      </w:r>
    </w:p>
    <w:p w14:paraId="3546B41B" w14:textId="77777777" w:rsidR="007F78B7" w:rsidRPr="007F78B7" w:rsidRDefault="007F78B7" w:rsidP="007F78B7">
      <w:pPr>
        <w:pStyle w:val="NoSpacing"/>
        <w:jc w:val="both"/>
        <w:rPr>
          <w:rFonts w:ascii="Arial Narrow" w:hAnsi="Arial Narrow"/>
          <w:sz w:val="23"/>
          <w:szCs w:val="23"/>
          <w:lang w:eastAsia="es-GT"/>
        </w:rPr>
      </w:pPr>
    </w:p>
    <w:p w14:paraId="3546B41C" w14:textId="77777777" w:rsidR="007F78B7" w:rsidRPr="007F78B7" w:rsidRDefault="007F78B7" w:rsidP="007F78B7">
      <w:pPr>
        <w:pStyle w:val="NoSpacing"/>
        <w:ind w:hanging="426"/>
        <w:jc w:val="both"/>
        <w:rPr>
          <w:rFonts w:ascii="Arial Narrow" w:hAnsi="Arial Narrow"/>
          <w:sz w:val="23"/>
          <w:szCs w:val="23"/>
          <w:lang w:eastAsia="es-GT"/>
        </w:rPr>
      </w:pPr>
      <w:r w:rsidRPr="007F78B7">
        <w:rPr>
          <w:rFonts w:ascii="Arial Narrow" w:hAnsi="Arial Narrow"/>
          <w:sz w:val="23"/>
          <w:szCs w:val="23"/>
          <w:lang w:eastAsia="es-GT"/>
        </w:rPr>
        <w:t>416. La Coordinadora Nacional del Sistema Alerta Alba-Keneth está integrada por la PGN, la PNC, la DGM, la Secretaria de Comunicación Social de la Presidencia de la República y el MP.</w:t>
      </w:r>
    </w:p>
    <w:p w14:paraId="3546B41D" w14:textId="77777777" w:rsidR="007F78B7" w:rsidRPr="007F78B7" w:rsidRDefault="007F78B7" w:rsidP="007F78B7">
      <w:pPr>
        <w:pStyle w:val="NoSpacing"/>
        <w:jc w:val="both"/>
        <w:rPr>
          <w:rFonts w:ascii="Arial Narrow" w:hAnsi="Arial Narrow"/>
          <w:sz w:val="23"/>
          <w:szCs w:val="23"/>
          <w:lang w:eastAsia="es-GT"/>
        </w:rPr>
      </w:pPr>
    </w:p>
    <w:p w14:paraId="3546B41E" w14:textId="77777777" w:rsidR="007F78B7" w:rsidRPr="007F78B7" w:rsidRDefault="007F78B7" w:rsidP="007F78B7">
      <w:pPr>
        <w:pStyle w:val="NoSpacing"/>
        <w:ind w:hanging="426"/>
        <w:jc w:val="both"/>
        <w:rPr>
          <w:rFonts w:ascii="Arial Narrow" w:hAnsi="Arial Narrow"/>
          <w:sz w:val="23"/>
          <w:szCs w:val="23"/>
          <w:lang w:eastAsia="es-GT"/>
        </w:rPr>
      </w:pPr>
      <w:r w:rsidRPr="007F78B7">
        <w:rPr>
          <w:rFonts w:ascii="Arial Narrow" w:hAnsi="Arial Narrow"/>
          <w:sz w:val="23"/>
          <w:szCs w:val="23"/>
          <w:lang w:eastAsia="es-GT"/>
        </w:rPr>
        <w:t>417. Por otro lado y basado en ley, el MINDEF señala que es punible la organización de grupos armados que no estén regulados por legislación nacional, es importante resaltar que el Estado de Guatemala prohíben el reclutamiento de menores de dieciocho años de edad dentro de las fuerzas armadas, reguladas por medio de ley en este caso el Ejército de Guatemala, esto a través medidas legislativas.</w:t>
      </w:r>
    </w:p>
    <w:p w14:paraId="3546B41F" w14:textId="77777777" w:rsidR="007F78B7" w:rsidRPr="007F78B7" w:rsidRDefault="007F78B7" w:rsidP="007F78B7">
      <w:pPr>
        <w:pStyle w:val="NoSpacing"/>
        <w:jc w:val="both"/>
        <w:rPr>
          <w:rFonts w:ascii="Arial Narrow" w:hAnsi="Arial Narrow"/>
          <w:sz w:val="23"/>
          <w:szCs w:val="23"/>
          <w:lang w:eastAsia="es-GT"/>
        </w:rPr>
      </w:pPr>
    </w:p>
    <w:p w14:paraId="3546B420" w14:textId="77777777" w:rsidR="007F78B7" w:rsidRPr="007F78B7" w:rsidRDefault="007F78B7" w:rsidP="007F78B7">
      <w:pPr>
        <w:pStyle w:val="NoSpacing"/>
        <w:numPr>
          <w:ilvl w:val="0"/>
          <w:numId w:val="50"/>
        </w:numPr>
        <w:jc w:val="both"/>
        <w:rPr>
          <w:rFonts w:ascii="Arial Narrow" w:hAnsi="Arial Narrow"/>
          <w:sz w:val="23"/>
          <w:szCs w:val="23"/>
        </w:rPr>
      </w:pPr>
      <w:r w:rsidRPr="007F78B7">
        <w:rPr>
          <w:rFonts w:ascii="Arial Narrow" w:hAnsi="Arial Narrow"/>
          <w:sz w:val="23"/>
          <w:szCs w:val="23"/>
        </w:rPr>
        <w:t>La Constitución Política de la República de Guatemala, establece que son ciudadanos los guatemaltecos mayores de dieciocho años de edad, que dentro de los derechos y deberes de los guatemaltecos se encuentran el prestar servicio social y militar siempre de acuerdo en ley y que es punible toda organización y funcionamiento de grupos armados no regulados por ley.</w:t>
      </w:r>
    </w:p>
    <w:p w14:paraId="3546B421" w14:textId="77777777" w:rsidR="007F78B7" w:rsidRPr="007F78B7" w:rsidRDefault="007F78B7" w:rsidP="007F78B7">
      <w:pPr>
        <w:pStyle w:val="NoSpacing"/>
        <w:numPr>
          <w:ilvl w:val="0"/>
          <w:numId w:val="51"/>
        </w:numPr>
        <w:jc w:val="both"/>
        <w:rPr>
          <w:rFonts w:ascii="Arial Narrow" w:hAnsi="Arial Narrow"/>
          <w:sz w:val="23"/>
          <w:szCs w:val="23"/>
          <w:lang w:eastAsia="es-GT"/>
        </w:rPr>
      </w:pPr>
      <w:r w:rsidRPr="007F78B7">
        <w:rPr>
          <w:rFonts w:ascii="Arial Narrow" w:hAnsi="Arial Narrow"/>
          <w:sz w:val="23"/>
          <w:szCs w:val="23"/>
          <w:lang w:eastAsia="es-GT"/>
        </w:rPr>
        <w:t>Ley Constitutiva del Ejército de Guatemala</w:t>
      </w:r>
      <w:r w:rsidRPr="007F78B7">
        <w:rPr>
          <w:rStyle w:val="FootnoteReference"/>
          <w:rFonts w:ascii="Arial Narrow" w:hAnsi="Arial Narrow"/>
          <w:sz w:val="23"/>
          <w:szCs w:val="23"/>
          <w:lang w:eastAsia="es-GT"/>
        </w:rPr>
        <w:footnoteReference w:id="7"/>
      </w:r>
      <w:r w:rsidRPr="007F78B7">
        <w:rPr>
          <w:rFonts w:ascii="Arial Narrow" w:hAnsi="Arial Narrow"/>
          <w:sz w:val="23"/>
          <w:szCs w:val="23"/>
          <w:lang w:eastAsia="es-GT"/>
        </w:rPr>
        <w:t>, la cual establece que de preferencia sean varones y que tengan dieciocho años de edad, para poder obtener su constancia de inscripción militar.</w:t>
      </w:r>
    </w:p>
    <w:p w14:paraId="3546B422" w14:textId="77777777" w:rsidR="007F78B7" w:rsidRPr="007F78B7" w:rsidRDefault="007F78B7" w:rsidP="007F78B7">
      <w:pPr>
        <w:pStyle w:val="NoSpacing"/>
        <w:numPr>
          <w:ilvl w:val="0"/>
          <w:numId w:val="51"/>
        </w:numPr>
        <w:jc w:val="both"/>
        <w:rPr>
          <w:rFonts w:ascii="Arial Narrow" w:hAnsi="Arial Narrow"/>
          <w:sz w:val="23"/>
          <w:szCs w:val="23"/>
          <w:lang w:eastAsia="es-GT"/>
        </w:rPr>
      </w:pPr>
      <w:r w:rsidRPr="007F78B7">
        <w:rPr>
          <w:rFonts w:ascii="Arial Narrow" w:hAnsi="Arial Narrow"/>
          <w:sz w:val="23"/>
          <w:szCs w:val="23"/>
          <w:lang w:eastAsia="es-GT"/>
        </w:rPr>
        <w:t>De igual manera la Ley del Servicio Cívico</w:t>
      </w:r>
      <w:r w:rsidRPr="007F78B7">
        <w:rPr>
          <w:rStyle w:val="FootnoteReference"/>
          <w:rFonts w:ascii="Arial Narrow" w:hAnsi="Arial Narrow"/>
          <w:sz w:val="23"/>
          <w:szCs w:val="23"/>
          <w:lang w:eastAsia="es-GT"/>
        </w:rPr>
        <w:footnoteReference w:id="8"/>
      </w:r>
      <w:r w:rsidRPr="007F78B7">
        <w:rPr>
          <w:rFonts w:ascii="Arial Narrow" w:hAnsi="Arial Narrow"/>
          <w:sz w:val="23"/>
          <w:szCs w:val="23"/>
          <w:lang w:eastAsia="es-GT"/>
        </w:rPr>
        <w:t xml:space="preserve">, establece que los ciudadanos comprendidos entre las edades de 18 a 24, prestaran servicio cívico, optando por las modalidades de </w:t>
      </w:r>
      <w:r w:rsidRPr="007F78B7">
        <w:rPr>
          <w:rFonts w:ascii="Arial Narrow" w:hAnsi="Arial Narrow" w:cs="Arial"/>
          <w:sz w:val="23"/>
          <w:szCs w:val="23"/>
        </w:rPr>
        <w:t>Servicio Social” o “Servicio Militar”, el cual puede ser en la fuerza permanente o en las reservas militares y que su participación en este servicio, se regirá exclusivamente por las leyes y reglamentos de la institución castrense.</w:t>
      </w:r>
    </w:p>
    <w:p w14:paraId="3546B423" w14:textId="77777777" w:rsidR="007F78B7" w:rsidRPr="007F78B7" w:rsidRDefault="007F78B7" w:rsidP="007F78B7">
      <w:pPr>
        <w:numPr>
          <w:ilvl w:val="0"/>
          <w:numId w:val="51"/>
        </w:numPr>
        <w:jc w:val="both"/>
        <w:rPr>
          <w:rFonts w:ascii="Arial Narrow" w:hAnsi="Arial Narrow" w:cs="Arial"/>
          <w:sz w:val="23"/>
          <w:szCs w:val="23"/>
        </w:rPr>
      </w:pPr>
      <w:r w:rsidRPr="007F78B7">
        <w:rPr>
          <w:rFonts w:ascii="Arial Narrow" w:hAnsi="Arial Narrow" w:cs="Arial"/>
          <w:sz w:val="23"/>
          <w:szCs w:val="23"/>
        </w:rPr>
        <w:t>El</w:t>
      </w:r>
      <w:r w:rsidRPr="007F78B7">
        <w:rPr>
          <w:rFonts w:ascii="Arial Narrow" w:hAnsi="Arial Narrow" w:cs="Arial"/>
          <w:color w:val="000000"/>
          <w:sz w:val="23"/>
          <w:szCs w:val="23"/>
        </w:rPr>
        <w:t xml:space="preserve"> Reglamento para la Prestación del Servicio Cívico Militar</w:t>
      </w:r>
      <w:r w:rsidRPr="007F78B7">
        <w:rPr>
          <w:rStyle w:val="FootnoteReference"/>
          <w:rFonts w:ascii="Arial Narrow" w:hAnsi="Arial Narrow" w:cs="Arial"/>
          <w:color w:val="000000"/>
          <w:sz w:val="23"/>
          <w:szCs w:val="23"/>
        </w:rPr>
        <w:footnoteReference w:id="9"/>
      </w:r>
      <w:r w:rsidRPr="007F78B7">
        <w:rPr>
          <w:rFonts w:ascii="Arial Narrow" w:hAnsi="Arial Narrow" w:cs="Arial"/>
          <w:color w:val="000000"/>
          <w:sz w:val="23"/>
          <w:szCs w:val="23"/>
        </w:rPr>
        <w:t>, regula que el Servicio Cívico Militar deberán prestarlo los guatemaltecos aptos, comprendidos entre los dieciocho y veinticuatro años de edad para la Fuerza Permanente y para las reservas militares.</w:t>
      </w:r>
    </w:p>
    <w:p w14:paraId="3546B424" w14:textId="77777777" w:rsidR="007F78B7" w:rsidRPr="007F78B7" w:rsidRDefault="007F78B7" w:rsidP="007F78B7">
      <w:pPr>
        <w:jc w:val="both"/>
        <w:rPr>
          <w:rFonts w:ascii="Arial Narrow" w:hAnsi="Arial Narrow" w:cs="Arial"/>
          <w:color w:val="000000"/>
          <w:sz w:val="23"/>
          <w:szCs w:val="23"/>
        </w:rPr>
      </w:pPr>
    </w:p>
    <w:p w14:paraId="3546B425" w14:textId="77777777" w:rsidR="007F78B7" w:rsidRPr="007F78B7" w:rsidRDefault="007F78B7" w:rsidP="007F78B7">
      <w:pPr>
        <w:ind w:hanging="426"/>
        <w:jc w:val="both"/>
        <w:rPr>
          <w:rFonts w:ascii="Arial Narrow" w:hAnsi="Arial Narrow" w:cs="Arial"/>
          <w:color w:val="000000"/>
          <w:sz w:val="23"/>
          <w:szCs w:val="23"/>
        </w:rPr>
      </w:pPr>
      <w:r w:rsidRPr="007F78B7">
        <w:rPr>
          <w:rFonts w:ascii="Arial Narrow" w:hAnsi="Arial Narrow" w:cs="Arial"/>
          <w:color w:val="000000"/>
          <w:sz w:val="23"/>
          <w:szCs w:val="23"/>
        </w:rPr>
        <w:t xml:space="preserve">418. En un esfuerzo interinstitucional el MINEDUC, MCD y MINGOB a través del Viceministerio de Prevención de la Violencia y el Delito, implementaron el Plan Piloto Interinstitucional denominado “Modelo de Convivencia Ciudadana” operando en Villa Nueva y Villa Canales, el cual se trabaja en tres niveles, siendo el primero trabajando con jóvenes no escolarizados, en los niveles segundo y tercero, estarán dirigidos a padres de familia, maestros, alumnos y comunitarios. </w:t>
      </w:r>
    </w:p>
    <w:p w14:paraId="3546B426" w14:textId="77777777" w:rsidR="007F78B7" w:rsidRPr="007F78B7" w:rsidRDefault="007F78B7" w:rsidP="007F78B7">
      <w:pPr>
        <w:jc w:val="both"/>
        <w:rPr>
          <w:rFonts w:ascii="Arial Narrow" w:hAnsi="Arial Narrow" w:cs="Arial"/>
          <w:color w:val="000000"/>
          <w:sz w:val="23"/>
          <w:szCs w:val="23"/>
        </w:rPr>
      </w:pPr>
    </w:p>
    <w:p w14:paraId="3546B427" w14:textId="77777777" w:rsidR="007F78B7" w:rsidRPr="007F78B7" w:rsidRDefault="007F78B7" w:rsidP="007F78B7">
      <w:pPr>
        <w:ind w:hanging="426"/>
        <w:jc w:val="both"/>
        <w:rPr>
          <w:rFonts w:ascii="Arial Narrow" w:hAnsi="Arial Narrow" w:cs="Arial"/>
          <w:sz w:val="23"/>
          <w:szCs w:val="23"/>
        </w:rPr>
      </w:pPr>
      <w:r w:rsidRPr="007F78B7">
        <w:rPr>
          <w:rFonts w:ascii="Arial Narrow" w:hAnsi="Arial Narrow" w:cs="Arial"/>
          <w:color w:val="000000"/>
          <w:sz w:val="23"/>
          <w:szCs w:val="23"/>
        </w:rPr>
        <w:t>419. Cifras del presente programa piloto reporta que dentro de 2012-2015 se evitó que 560 jóvenes fueran reclutados por bandas delincuenciales que operan en los municipios anteriormente mencionados, del total de jóvenes se logró que 54 se insertaran en el sistema educativo formal, 61 en una ocupación, 10 fueron alfabetizados, 46 culminaron escolaridad a nivel primaria, 126 a nivel básico y 263 en formación laboral.</w:t>
      </w:r>
    </w:p>
    <w:p w14:paraId="3546B428" w14:textId="77777777" w:rsidR="007F78B7" w:rsidRPr="007F78B7" w:rsidRDefault="007F78B7" w:rsidP="007F78B7">
      <w:pPr>
        <w:pStyle w:val="NoSpacing"/>
        <w:jc w:val="both"/>
        <w:rPr>
          <w:rFonts w:ascii="Arial Narrow" w:hAnsi="Arial Narrow"/>
          <w:sz w:val="23"/>
          <w:szCs w:val="23"/>
        </w:rPr>
      </w:pPr>
    </w:p>
    <w:p w14:paraId="3546B429" w14:textId="77777777" w:rsidR="007F78B7" w:rsidRPr="007F78B7" w:rsidRDefault="007F78B7" w:rsidP="007F78B7">
      <w:pPr>
        <w:pStyle w:val="NoSpacing"/>
        <w:ind w:hanging="426"/>
        <w:jc w:val="both"/>
        <w:rPr>
          <w:rFonts w:ascii="Arial Narrow" w:hAnsi="Arial Narrow"/>
          <w:b/>
          <w:sz w:val="23"/>
          <w:szCs w:val="23"/>
        </w:rPr>
      </w:pPr>
      <w:r w:rsidRPr="007F78B7">
        <w:rPr>
          <w:rFonts w:ascii="Arial Narrow" w:hAnsi="Arial Narrow"/>
          <w:sz w:val="23"/>
          <w:szCs w:val="23"/>
        </w:rPr>
        <w:t>420.</w:t>
      </w:r>
      <w:r w:rsidRPr="007F78B7">
        <w:rPr>
          <w:rFonts w:ascii="Arial Narrow" w:hAnsi="Arial Narrow"/>
          <w:b/>
          <w:sz w:val="23"/>
          <w:szCs w:val="23"/>
        </w:rPr>
        <w:t xml:space="preserve"> En la consulta a la niñez y adolescencia respecto al tema de seguridad expresan </w:t>
      </w:r>
      <w:r w:rsidRPr="007F78B7">
        <w:rPr>
          <w:rFonts w:ascii="Arial Narrow" w:hAnsi="Arial Narrow"/>
          <w:b/>
          <w:i/>
          <w:sz w:val="23"/>
          <w:szCs w:val="23"/>
        </w:rPr>
        <w:t>“A los adolescentes los ubicamos en el cementerio antes que en la escuela, porque a muchos a los 17 años ya los han matado</w:t>
      </w:r>
      <w:r w:rsidRPr="007F78B7">
        <w:rPr>
          <w:rFonts w:ascii="Arial Narrow" w:hAnsi="Arial Narrow"/>
          <w:b/>
          <w:sz w:val="23"/>
          <w:szCs w:val="23"/>
        </w:rPr>
        <w:t>”.</w:t>
      </w:r>
    </w:p>
    <w:p w14:paraId="3546B42A" w14:textId="77777777" w:rsidR="007F78B7" w:rsidRPr="007F78B7" w:rsidRDefault="007F78B7" w:rsidP="007F78B7">
      <w:pPr>
        <w:pStyle w:val="NoSpacing"/>
        <w:ind w:hanging="426"/>
        <w:jc w:val="both"/>
        <w:rPr>
          <w:rFonts w:ascii="Arial Narrow" w:hAnsi="Arial Narrow"/>
          <w:b/>
          <w:sz w:val="23"/>
          <w:szCs w:val="23"/>
        </w:rPr>
      </w:pPr>
    </w:p>
    <w:p w14:paraId="3546B42B" w14:textId="77777777" w:rsidR="00801106" w:rsidRPr="00801106" w:rsidRDefault="00801106" w:rsidP="00801106">
      <w:pPr>
        <w:rPr>
          <w:rFonts w:ascii="Arial Narrow" w:hAnsi="Arial Narrow"/>
          <w:sz w:val="21"/>
          <w:szCs w:val="21"/>
        </w:rPr>
      </w:pPr>
    </w:p>
    <w:p w14:paraId="3546B42C" w14:textId="77777777" w:rsidR="00801106" w:rsidRPr="00801106" w:rsidRDefault="00801106" w:rsidP="00801106">
      <w:pPr>
        <w:rPr>
          <w:rFonts w:ascii="Arial Narrow" w:hAnsi="Arial Narrow"/>
          <w:sz w:val="21"/>
          <w:szCs w:val="21"/>
        </w:rPr>
      </w:pPr>
    </w:p>
    <w:p w14:paraId="3546B42D" w14:textId="77777777" w:rsidR="00801106" w:rsidRPr="00801106" w:rsidRDefault="00801106" w:rsidP="00801106">
      <w:pPr>
        <w:rPr>
          <w:rFonts w:ascii="Arial Narrow" w:hAnsi="Arial Narrow"/>
          <w:sz w:val="21"/>
          <w:szCs w:val="21"/>
        </w:rPr>
      </w:pPr>
    </w:p>
    <w:sectPr w:rsidR="00801106" w:rsidRPr="00801106" w:rsidSect="00BC0375">
      <w:headerReference w:type="default" r:id="rId12"/>
      <w:footerReference w:type="default" r:id="rId13"/>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46B431" w14:textId="77777777" w:rsidR="004D7E24" w:rsidRDefault="004D7E24" w:rsidP="000316A7">
      <w:r>
        <w:separator/>
      </w:r>
    </w:p>
  </w:endnote>
  <w:endnote w:type="continuationSeparator" w:id="0">
    <w:p w14:paraId="3546B432" w14:textId="77777777" w:rsidR="004D7E24" w:rsidRDefault="004D7E24" w:rsidP="00031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Narrow" w:hAnsi="Arial Narrow"/>
        <w:sz w:val="16"/>
        <w:szCs w:val="16"/>
      </w:rPr>
      <w:id w:val="8304363"/>
      <w:docPartObj>
        <w:docPartGallery w:val="Page Numbers (Bottom of Page)"/>
        <w:docPartUnique/>
      </w:docPartObj>
    </w:sdtPr>
    <w:sdtEndPr/>
    <w:sdtContent>
      <w:sdt>
        <w:sdtPr>
          <w:rPr>
            <w:rFonts w:ascii="Arial Narrow" w:hAnsi="Arial Narrow"/>
            <w:sz w:val="16"/>
            <w:szCs w:val="16"/>
          </w:rPr>
          <w:id w:val="216747541"/>
          <w:docPartObj>
            <w:docPartGallery w:val="Page Numbers (Top of Page)"/>
            <w:docPartUnique/>
          </w:docPartObj>
        </w:sdtPr>
        <w:sdtEndPr/>
        <w:sdtContent>
          <w:p w14:paraId="3546B434" w14:textId="77777777" w:rsidR="005825AF" w:rsidRPr="004E187B" w:rsidRDefault="005825AF">
            <w:pPr>
              <w:pStyle w:val="Footer"/>
              <w:jc w:val="center"/>
              <w:rPr>
                <w:rFonts w:ascii="Arial Narrow" w:hAnsi="Arial Narrow"/>
                <w:sz w:val="16"/>
                <w:szCs w:val="16"/>
              </w:rPr>
            </w:pPr>
            <w:r w:rsidRPr="004E187B">
              <w:rPr>
                <w:rFonts w:ascii="Arial Narrow" w:hAnsi="Arial Narrow"/>
                <w:noProof/>
                <w:sz w:val="16"/>
                <w:szCs w:val="16"/>
                <w:lang w:val="en-GB" w:eastAsia="en-GB"/>
              </w:rPr>
              <w:drawing>
                <wp:inline distT="0" distB="0" distL="0" distR="0" wp14:anchorId="3546B438" wp14:editId="3546B439">
                  <wp:extent cx="5609853" cy="617516"/>
                  <wp:effectExtent l="19050" t="0" r="0" b="0"/>
                  <wp:docPr id="4" name="1 Imagen" descr="comunicac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comunicacion2.jpg"/>
                          <pic:cNvPicPr>
                            <a:picLocks noChangeAspect="1" noChangeArrowheads="1"/>
                          </pic:cNvPicPr>
                        </pic:nvPicPr>
                        <pic:blipFill>
                          <a:blip r:embed="rId1"/>
                          <a:srcRect t="20645" b="12258"/>
                          <a:stretch>
                            <a:fillRect/>
                          </a:stretch>
                        </pic:blipFill>
                        <pic:spPr bwMode="auto">
                          <a:xfrm>
                            <a:off x="0" y="0"/>
                            <a:ext cx="5609853" cy="617516"/>
                          </a:xfrm>
                          <a:prstGeom prst="rect">
                            <a:avLst/>
                          </a:prstGeom>
                          <a:noFill/>
                          <a:ln w="9525">
                            <a:noFill/>
                            <a:miter lim="800000"/>
                            <a:headEnd/>
                            <a:tailEnd/>
                          </a:ln>
                        </pic:spPr>
                      </pic:pic>
                    </a:graphicData>
                  </a:graphic>
                </wp:inline>
              </w:drawing>
            </w:r>
          </w:p>
          <w:p w14:paraId="3546B435" w14:textId="77777777" w:rsidR="005825AF" w:rsidRPr="004E187B" w:rsidRDefault="005825AF">
            <w:pPr>
              <w:pStyle w:val="Footer"/>
              <w:jc w:val="center"/>
              <w:rPr>
                <w:rFonts w:ascii="Arial Narrow" w:hAnsi="Arial Narrow"/>
                <w:sz w:val="16"/>
                <w:szCs w:val="16"/>
              </w:rPr>
            </w:pPr>
            <w:r w:rsidRPr="004E187B">
              <w:rPr>
                <w:rFonts w:ascii="Arial Narrow" w:hAnsi="Arial Narrow"/>
                <w:sz w:val="16"/>
                <w:szCs w:val="16"/>
              </w:rPr>
              <w:t xml:space="preserve">Página </w:t>
            </w:r>
            <w:r w:rsidRPr="004E187B">
              <w:rPr>
                <w:rFonts w:ascii="Arial Narrow" w:hAnsi="Arial Narrow"/>
                <w:b/>
                <w:sz w:val="16"/>
                <w:szCs w:val="16"/>
              </w:rPr>
              <w:fldChar w:fldCharType="begin"/>
            </w:r>
            <w:r w:rsidRPr="004E187B">
              <w:rPr>
                <w:rFonts w:ascii="Arial Narrow" w:hAnsi="Arial Narrow"/>
                <w:b/>
                <w:sz w:val="16"/>
                <w:szCs w:val="16"/>
              </w:rPr>
              <w:instrText>PAGE</w:instrText>
            </w:r>
            <w:r w:rsidRPr="004E187B">
              <w:rPr>
                <w:rFonts w:ascii="Arial Narrow" w:hAnsi="Arial Narrow"/>
                <w:b/>
                <w:sz w:val="16"/>
                <w:szCs w:val="16"/>
              </w:rPr>
              <w:fldChar w:fldCharType="separate"/>
            </w:r>
            <w:r w:rsidR="00093A0A">
              <w:rPr>
                <w:rFonts w:ascii="Arial Narrow" w:hAnsi="Arial Narrow"/>
                <w:b/>
                <w:noProof/>
                <w:sz w:val="16"/>
                <w:szCs w:val="16"/>
              </w:rPr>
              <w:t>1</w:t>
            </w:r>
            <w:r w:rsidRPr="004E187B">
              <w:rPr>
                <w:rFonts w:ascii="Arial Narrow" w:hAnsi="Arial Narrow"/>
                <w:b/>
                <w:sz w:val="16"/>
                <w:szCs w:val="16"/>
              </w:rPr>
              <w:fldChar w:fldCharType="end"/>
            </w:r>
            <w:r w:rsidRPr="004E187B">
              <w:rPr>
                <w:rFonts w:ascii="Arial Narrow" w:hAnsi="Arial Narrow"/>
                <w:sz w:val="16"/>
                <w:szCs w:val="16"/>
              </w:rPr>
              <w:t xml:space="preserve"> de </w:t>
            </w:r>
            <w:r w:rsidRPr="004E187B">
              <w:rPr>
                <w:rFonts w:ascii="Arial Narrow" w:hAnsi="Arial Narrow"/>
                <w:b/>
                <w:sz w:val="16"/>
                <w:szCs w:val="16"/>
              </w:rPr>
              <w:fldChar w:fldCharType="begin"/>
            </w:r>
            <w:r w:rsidRPr="004E187B">
              <w:rPr>
                <w:rFonts w:ascii="Arial Narrow" w:hAnsi="Arial Narrow"/>
                <w:b/>
                <w:sz w:val="16"/>
                <w:szCs w:val="16"/>
              </w:rPr>
              <w:instrText>NUMPAGES</w:instrText>
            </w:r>
            <w:r w:rsidRPr="004E187B">
              <w:rPr>
                <w:rFonts w:ascii="Arial Narrow" w:hAnsi="Arial Narrow"/>
                <w:b/>
                <w:sz w:val="16"/>
                <w:szCs w:val="16"/>
              </w:rPr>
              <w:fldChar w:fldCharType="separate"/>
            </w:r>
            <w:r w:rsidR="00093A0A">
              <w:rPr>
                <w:rFonts w:ascii="Arial Narrow" w:hAnsi="Arial Narrow"/>
                <w:b/>
                <w:noProof/>
                <w:sz w:val="16"/>
                <w:szCs w:val="16"/>
              </w:rPr>
              <w:t>5</w:t>
            </w:r>
            <w:r w:rsidRPr="004E187B">
              <w:rPr>
                <w:rFonts w:ascii="Arial Narrow" w:hAnsi="Arial Narrow"/>
                <w:b/>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46B42F" w14:textId="77777777" w:rsidR="004D7E24" w:rsidRDefault="004D7E24" w:rsidP="000316A7">
      <w:r>
        <w:separator/>
      </w:r>
    </w:p>
  </w:footnote>
  <w:footnote w:type="continuationSeparator" w:id="0">
    <w:p w14:paraId="3546B430" w14:textId="77777777" w:rsidR="004D7E24" w:rsidRDefault="004D7E24" w:rsidP="000316A7">
      <w:r>
        <w:continuationSeparator/>
      </w:r>
    </w:p>
  </w:footnote>
  <w:footnote w:id="1">
    <w:p w14:paraId="3546B43A" w14:textId="77777777" w:rsidR="007F78B7" w:rsidRPr="00734A93" w:rsidRDefault="007F78B7" w:rsidP="007F78B7">
      <w:pPr>
        <w:pStyle w:val="FootnoteText"/>
        <w:jc w:val="both"/>
        <w:rPr>
          <w:rFonts w:ascii="Arial Narrow" w:hAnsi="Arial Narrow"/>
          <w:sz w:val="16"/>
          <w:szCs w:val="16"/>
          <w:lang w:val="es-ES"/>
        </w:rPr>
      </w:pPr>
      <w:r w:rsidRPr="00734A93">
        <w:rPr>
          <w:rStyle w:val="FootnoteReference"/>
          <w:rFonts w:ascii="Arial Narrow" w:hAnsi="Arial Narrow"/>
          <w:sz w:val="16"/>
          <w:szCs w:val="16"/>
        </w:rPr>
        <w:footnoteRef/>
      </w:r>
      <w:r w:rsidRPr="00734A93">
        <w:rPr>
          <w:rFonts w:ascii="Arial Narrow" w:hAnsi="Arial Narrow"/>
          <w:sz w:val="16"/>
          <w:szCs w:val="16"/>
        </w:rPr>
        <w:t xml:space="preserve"> La cual tiene como objeto la ejecución de acciones para la protección de niños, niñas y adolescentes en sectores de viajes y turismo. </w:t>
      </w:r>
    </w:p>
  </w:footnote>
  <w:footnote w:id="2">
    <w:p w14:paraId="3546B43B" w14:textId="77777777" w:rsidR="007F78B7" w:rsidRPr="00734A93" w:rsidRDefault="007F78B7" w:rsidP="007F78B7">
      <w:pPr>
        <w:pStyle w:val="FootnoteText"/>
        <w:jc w:val="both"/>
        <w:rPr>
          <w:rFonts w:ascii="Arial Narrow" w:hAnsi="Arial Narrow"/>
          <w:sz w:val="16"/>
          <w:szCs w:val="16"/>
          <w:lang w:val="es-ES"/>
        </w:rPr>
      </w:pPr>
      <w:r w:rsidRPr="00734A93">
        <w:rPr>
          <w:rStyle w:val="FootnoteReference"/>
          <w:rFonts w:ascii="Arial Narrow" w:hAnsi="Arial Narrow"/>
          <w:sz w:val="16"/>
          <w:szCs w:val="16"/>
        </w:rPr>
        <w:footnoteRef/>
      </w:r>
      <w:r w:rsidRPr="00734A93">
        <w:rPr>
          <w:rFonts w:ascii="Arial Narrow" w:hAnsi="Arial Narrow"/>
          <w:sz w:val="16"/>
          <w:szCs w:val="16"/>
        </w:rPr>
        <w:t xml:space="preserve"> Mediante Acuerdo Gubernativo 306-2014.</w:t>
      </w:r>
    </w:p>
  </w:footnote>
  <w:footnote w:id="3">
    <w:p w14:paraId="3546B43C" w14:textId="77777777" w:rsidR="007F78B7" w:rsidRPr="0012579F" w:rsidRDefault="007F78B7" w:rsidP="007F78B7">
      <w:pPr>
        <w:pStyle w:val="FootnoteText"/>
        <w:jc w:val="both"/>
        <w:rPr>
          <w:rFonts w:ascii="Arial Narrow" w:hAnsi="Arial Narrow"/>
          <w:sz w:val="16"/>
          <w:szCs w:val="16"/>
        </w:rPr>
      </w:pPr>
      <w:r w:rsidRPr="0012579F">
        <w:rPr>
          <w:rStyle w:val="FootnoteReference"/>
          <w:rFonts w:ascii="Arial Narrow" w:hAnsi="Arial Narrow"/>
          <w:sz w:val="16"/>
          <w:szCs w:val="16"/>
        </w:rPr>
        <w:footnoteRef/>
      </w:r>
      <w:r w:rsidRPr="0012579F">
        <w:rPr>
          <w:rFonts w:ascii="Arial Narrow" w:hAnsi="Arial Narrow"/>
          <w:sz w:val="16"/>
          <w:szCs w:val="16"/>
        </w:rPr>
        <w:t xml:space="preserve"> Anexo Tablas y Graficas. Tabla 12 Albergues.</w:t>
      </w:r>
    </w:p>
  </w:footnote>
  <w:footnote w:id="4">
    <w:p w14:paraId="3546B43D" w14:textId="77777777" w:rsidR="007F78B7" w:rsidRPr="006B6965" w:rsidRDefault="007F78B7" w:rsidP="007F78B7">
      <w:pPr>
        <w:pStyle w:val="FootnoteText"/>
        <w:jc w:val="both"/>
        <w:rPr>
          <w:rFonts w:ascii="Arial Narrow" w:hAnsi="Arial Narrow"/>
          <w:sz w:val="16"/>
          <w:szCs w:val="16"/>
          <w:lang w:val="es-ES"/>
        </w:rPr>
      </w:pPr>
      <w:r w:rsidRPr="00734A93">
        <w:rPr>
          <w:rStyle w:val="FootnoteReference"/>
          <w:rFonts w:ascii="Arial Narrow" w:hAnsi="Arial Narrow"/>
          <w:sz w:val="16"/>
          <w:szCs w:val="16"/>
        </w:rPr>
        <w:footnoteRef/>
      </w:r>
      <w:r w:rsidRPr="00734A93">
        <w:rPr>
          <w:rFonts w:ascii="Arial Narrow" w:hAnsi="Arial Narrow"/>
          <w:sz w:val="16"/>
          <w:szCs w:val="16"/>
        </w:rPr>
        <w:t xml:space="preserve"> Con procedimientos de Evaluación Biopsicosocial y procedimiento, Convivencia Armónica, práctica operativa mínima, y “Sugerencias, denuncias y quejas”.</w:t>
      </w:r>
    </w:p>
  </w:footnote>
  <w:footnote w:id="5">
    <w:p w14:paraId="3546B43E" w14:textId="77777777" w:rsidR="007F78B7" w:rsidRPr="00FF4306" w:rsidRDefault="007F78B7" w:rsidP="007F78B7">
      <w:pPr>
        <w:pStyle w:val="FootnoteText"/>
        <w:jc w:val="both"/>
        <w:rPr>
          <w:rFonts w:ascii="Arial Narrow" w:hAnsi="Arial Narrow"/>
          <w:sz w:val="16"/>
          <w:szCs w:val="16"/>
          <w:lang w:val="es-ES"/>
        </w:rPr>
      </w:pPr>
      <w:r w:rsidRPr="00FF4306">
        <w:rPr>
          <w:rStyle w:val="FootnoteReference"/>
          <w:rFonts w:ascii="Arial Narrow" w:hAnsi="Arial Narrow"/>
          <w:sz w:val="16"/>
          <w:szCs w:val="16"/>
        </w:rPr>
        <w:footnoteRef/>
      </w:r>
      <w:r w:rsidRPr="00FF4306">
        <w:rPr>
          <w:rFonts w:ascii="Arial Narrow" w:hAnsi="Arial Narrow"/>
          <w:sz w:val="16"/>
          <w:szCs w:val="16"/>
          <w:lang w:val="es-ES"/>
        </w:rPr>
        <w:t xml:space="preserve">Creado el 1 de julio del 2009. </w:t>
      </w:r>
    </w:p>
  </w:footnote>
  <w:footnote w:id="6">
    <w:p w14:paraId="3546B43F" w14:textId="77777777" w:rsidR="007F78B7" w:rsidRPr="00594EA4" w:rsidRDefault="007F78B7" w:rsidP="007F78B7">
      <w:pPr>
        <w:pStyle w:val="FootnoteText"/>
        <w:jc w:val="both"/>
        <w:rPr>
          <w:rFonts w:ascii="Arial Narrow" w:hAnsi="Arial Narrow"/>
          <w:sz w:val="16"/>
          <w:szCs w:val="16"/>
          <w:lang w:val="es-ES"/>
        </w:rPr>
      </w:pPr>
      <w:r w:rsidRPr="00594EA4">
        <w:rPr>
          <w:rStyle w:val="FootnoteReference"/>
          <w:rFonts w:ascii="Arial Narrow" w:hAnsi="Arial Narrow"/>
          <w:sz w:val="16"/>
          <w:szCs w:val="16"/>
        </w:rPr>
        <w:footnoteRef/>
      </w:r>
      <w:r w:rsidRPr="00594EA4">
        <w:rPr>
          <w:rFonts w:ascii="Arial Narrow" w:hAnsi="Arial Narrow"/>
          <w:sz w:val="16"/>
          <w:szCs w:val="16"/>
          <w:lang w:val="es-ES"/>
        </w:rPr>
        <w:t xml:space="preserve">Ley del Sistema de Alerta Alba-Keneth, decreto 28-2010. </w:t>
      </w:r>
    </w:p>
  </w:footnote>
  <w:footnote w:id="7">
    <w:p w14:paraId="3546B440" w14:textId="77777777" w:rsidR="007F78B7" w:rsidRPr="00170585" w:rsidRDefault="007F78B7" w:rsidP="007F78B7">
      <w:pPr>
        <w:pStyle w:val="NoSpacing"/>
        <w:jc w:val="both"/>
        <w:rPr>
          <w:rFonts w:ascii="Arial Narrow" w:hAnsi="Arial Narrow"/>
          <w:sz w:val="16"/>
          <w:szCs w:val="16"/>
        </w:rPr>
      </w:pPr>
      <w:r w:rsidRPr="00170585">
        <w:rPr>
          <w:rStyle w:val="FootnoteReference"/>
          <w:rFonts w:ascii="Arial Narrow" w:hAnsi="Arial Narrow"/>
          <w:sz w:val="16"/>
          <w:szCs w:val="16"/>
        </w:rPr>
        <w:footnoteRef/>
      </w:r>
      <w:r w:rsidRPr="00170585">
        <w:rPr>
          <w:rFonts w:ascii="Arial Narrow" w:hAnsi="Arial Narrow"/>
          <w:sz w:val="16"/>
          <w:szCs w:val="16"/>
        </w:rPr>
        <w:t xml:space="preserve"> Decreto 72-90.</w:t>
      </w:r>
    </w:p>
  </w:footnote>
  <w:footnote w:id="8">
    <w:p w14:paraId="3546B441" w14:textId="77777777" w:rsidR="007F78B7" w:rsidRPr="00170585" w:rsidRDefault="007F78B7" w:rsidP="007F78B7">
      <w:pPr>
        <w:pStyle w:val="NoSpacing"/>
        <w:jc w:val="both"/>
        <w:rPr>
          <w:rFonts w:ascii="Arial Narrow" w:hAnsi="Arial Narrow"/>
          <w:sz w:val="16"/>
          <w:szCs w:val="16"/>
        </w:rPr>
      </w:pPr>
      <w:r w:rsidRPr="00170585">
        <w:rPr>
          <w:rStyle w:val="FootnoteReference"/>
          <w:rFonts w:ascii="Arial Narrow" w:hAnsi="Arial Narrow"/>
          <w:sz w:val="16"/>
          <w:szCs w:val="16"/>
        </w:rPr>
        <w:footnoteRef/>
      </w:r>
      <w:r w:rsidRPr="00170585">
        <w:rPr>
          <w:rFonts w:ascii="Arial Narrow" w:hAnsi="Arial Narrow"/>
          <w:sz w:val="16"/>
          <w:szCs w:val="16"/>
        </w:rPr>
        <w:t xml:space="preserve"> Decreto 20-2003. </w:t>
      </w:r>
    </w:p>
  </w:footnote>
  <w:footnote w:id="9">
    <w:p w14:paraId="3546B442" w14:textId="77777777" w:rsidR="007F78B7" w:rsidRPr="00CB6737" w:rsidRDefault="007F78B7" w:rsidP="007F78B7">
      <w:pPr>
        <w:pStyle w:val="NoSpacing"/>
        <w:jc w:val="both"/>
        <w:rPr>
          <w:lang w:val="es-ES"/>
        </w:rPr>
      </w:pPr>
      <w:r w:rsidRPr="00170585">
        <w:rPr>
          <w:rStyle w:val="FootnoteReference"/>
          <w:rFonts w:ascii="Arial Narrow" w:hAnsi="Arial Narrow"/>
          <w:sz w:val="16"/>
          <w:szCs w:val="16"/>
        </w:rPr>
        <w:footnoteRef/>
      </w:r>
      <w:r w:rsidRPr="00170585">
        <w:rPr>
          <w:rFonts w:ascii="Arial Narrow" w:hAnsi="Arial Narrow"/>
          <w:sz w:val="16"/>
          <w:szCs w:val="16"/>
        </w:rPr>
        <w:t xml:space="preserve"> Acuerdo Gubernativo No. 102-2012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46B433" w14:textId="77777777" w:rsidR="005825AF" w:rsidRDefault="005825AF">
    <w:pPr>
      <w:pStyle w:val="Header"/>
    </w:pPr>
    <w:r w:rsidRPr="00A66E2F">
      <w:rPr>
        <w:noProof/>
        <w:lang w:val="en-GB" w:eastAsia="en-GB"/>
      </w:rPr>
      <w:drawing>
        <wp:inline distT="0" distB="0" distL="0" distR="0" wp14:anchorId="3546B436" wp14:editId="3546B437">
          <wp:extent cx="5609853" cy="1175657"/>
          <wp:effectExtent l="19050" t="0" r="0" b="0"/>
          <wp:docPr id="2" name="Imagen 1" descr="DIRECCION DE INVESTIGACIÓN E INFO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RECCION DE INVESTIGACIÓN E INFORMES"/>
                  <pic:cNvPicPr>
                    <a:picLocks noChangeAspect="1" noChangeArrowheads="1"/>
                  </pic:cNvPicPr>
                </pic:nvPicPr>
                <pic:blipFill>
                  <a:blip r:embed="rId1"/>
                  <a:srcRect t="6525"/>
                  <a:stretch>
                    <a:fillRect/>
                  </a:stretch>
                </pic:blipFill>
                <pic:spPr bwMode="auto">
                  <a:xfrm>
                    <a:off x="0" y="0"/>
                    <a:ext cx="5609853" cy="1175657"/>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00A0003"/>
    <w:lvl w:ilvl="0">
      <w:start w:val="1"/>
      <w:numFmt w:val="bullet"/>
      <w:lvlText w:val="o"/>
      <w:lvlJc w:val="left"/>
      <w:pPr>
        <w:ind w:left="720" w:hanging="360"/>
      </w:pPr>
      <w:rPr>
        <w:rFonts w:ascii="Courier New" w:hAnsi="Courier New" w:cs="Courier New" w:hint="default"/>
      </w:rPr>
    </w:lvl>
  </w:abstractNum>
  <w:abstractNum w:abstractNumId="1">
    <w:nsid w:val="020701DA"/>
    <w:multiLevelType w:val="hybridMultilevel"/>
    <w:tmpl w:val="353E05C8"/>
    <w:lvl w:ilvl="0" w:tplc="10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367EA8"/>
    <w:multiLevelType w:val="hybridMultilevel"/>
    <w:tmpl w:val="D3B6A15A"/>
    <w:lvl w:ilvl="0" w:tplc="10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3A211BF"/>
    <w:multiLevelType w:val="hybridMultilevel"/>
    <w:tmpl w:val="2564AEC8"/>
    <w:lvl w:ilvl="0" w:tplc="B4BACB92">
      <w:start w:val="206"/>
      <w:numFmt w:val="decimal"/>
      <w:lvlText w:val="%1."/>
      <w:lvlJc w:val="left"/>
      <w:pPr>
        <w:ind w:left="360" w:hanging="360"/>
      </w:pPr>
      <w:rPr>
        <w:rFonts w:hint="default"/>
        <w:b w:val="0"/>
        <w:i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nsid w:val="055D6BAC"/>
    <w:multiLevelType w:val="hybridMultilevel"/>
    <w:tmpl w:val="F58A5CB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7FC7364"/>
    <w:multiLevelType w:val="hybridMultilevel"/>
    <w:tmpl w:val="328223EE"/>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nsid w:val="0B7D598E"/>
    <w:multiLevelType w:val="hybridMultilevel"/>
    <w:tmpl w:val="62BEAD38"/>
    <w:lvl w:ilvl="0" w:tplc="F6B416F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BBE2267"/>
    <w:multiLevelType w:val="hybridMultilevel"/>
    <w:tmpl w:val="5C72D9C4"/>
    <w:lvl w:ilvl="0" w:tplc="100A001B">
      <w:start w:val="1"/>
      <w:numFmt w:val="lowerRoman"/>
      <w:lvlText w:val="%1."/>
      <w:lvlJc w:val="right"/>
      <w:pPr>
        <w:ind w:left="1080" w:hanging="360"/>
      </w:pPr>
      <w:rPr>
        <w:rFont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nsid w:val="0C8E4717"/>
    <w:multiLevelType w:val="hybridMultilevel"/>
    <w:tmpl w:val="B8E4B70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nsid w:val="0E533EF6"/>
    <w:multiLevelType w:val="hybridMultilevel"/>
    <w:tmpl w:val="46D235E0"/>
    <w:lvl w:ilvl="0" w:tplc="10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102A4D06"/>
    <w:multiLevelType w:val="hybridMultilevel"/>
    <w:tmpl w:val="17FA23B6"/>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nsid w:val="13880A80"/>
    <w:multiLevelType w:val="multilevel"/>
    <w:tmpl w:val="D994B45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13C052B5"/>
    <w:multiLevelType w:val="hybridMultilevel"/>
    <w:tmpl w:val="204EA764"/>
    <w:lvl w:ilvl="0" w:tplc="100A001B">
      <w:start w:val="1"/>
      <w:numFmt w:val="lowerRoman"/>
      <w:lvlText w:val="%1."/>
      <w:lvlJc w:val="right"/>
      <w:pPr>
        <w:ind w:left="1440" w:hanging="360"/>
      </w:pPr>
      <w:rPr>
        <w:rFont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nsid w:val="13DE4CDF"/>
    <w:multiLevelType w:val="hybridMultilevel"/>
    <w:tmpl w:val="9DB0E652"/>
    <w:lvl w:ilvl="0" w:tplc="0C0A0013">
      <w:start w:val="1"/>
      <w:numFmt w:val="upperRoman"/>
      <w:lvlText w:val="%1."/>
      <w:lvlJc w:val="right"/>
      <w:pPr>
        <w:ind w:left="720" w:hanging="360"/>
      </w:pPr>
      <w:rPr>
        <w:rFonts w:hint="default"/>
      </w:rPr>
    </w:lvl>
    <w:lvl w:ilvl="1" w:tplc="100A001B">
      <w:start w:val="1"/>
      <w:numFmt w:val="lowerRoman"/>
      <w:lvlText w:val="%2."/>
      <w:lvlJc w:val="right"/>
      <w:pPr>
        <w:ind w:left="1440" w:hanging="360"/>
      </w:pPr>
      <w:rPr>
        <w:rFont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4454B83"/>
    <w:multiLevelType w:val="hybridMultilevel"/>
    <w:tmpl w:val="119E26C6"/>
    <w:lvl w:ilvl="0" w:tplc="10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nsid w:val="15592DDD"/>
    <w:multiLevelType w:val="hybridMultilevel"/>
    <w:tmpl w:val="E228BD32"/>
    <w:lvl w:ilvl="0" w:tplc="0C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168A69FF"/>
    <w:multiLevelType w:val="hybridMultilevel"/>
    <w:tmpl w:val="87265D66"/>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
    <w:nsid w:val="176079BD"/>
    <w:multiLevelType w:val="hybridMultilevel"/>
    <w:tmpl w:val="50F4237A"/>
    <w:lvl w:ilvl="0" w:tplc="100A0003">
      <w:start w:val="1"/>
      <w:numFmt w:val="bullet"/>
      <w:lvlText w:val="o"/>
      <w:lvlJc w:val="left"/>
      <w:pPr>
        <w:ind w:left="1035" w:hanging="360"/>
      </w:pPr>
      <w:rPr>
        <w:rFonts w:ascii="Courier New" w:hAnsi="Courier New" w:cs="Courier New" w:hint="default"/>
      </w:rPr>
    </w:lvl>
    <w:lvl w:ilvl="1" w:tplc="0C0A0003" w:tentative="1">
      <w:start w:val="1"/>
      <w:numFmt w:val="bullet"/>
      <w:lvlText w:val="o"/>
      <w:lvlJc w:val="left"/>
      <w:pPr>
        <w:ind w:left="1755" w:hanging="360"/>
      </w:pPr>
      <w:rPr>
        <w:rFonts w:ascii="Courier New" w:hAnsi="Courier New" w:cs="Courier New" w:hint="default"/>
      </w:rPr>
    </w:lvl>
    <w:lvl w:ilvl="2" w:tplc="0C0A0005" w:tentative="1">
      <w:start w:val="1"/>
      <w:numFmt w:val="bullet"/>
      <w:lvlText w:val=""/>
      <w:lvlJc w:val="left"/>
      <w:pPr>
        <w:ind w:left="2475" w:hanging="360"/>
      </w:pPr>
      <w:rPr>
        <w:rFonts w:ascii="Wingdings" w:hAnsi="Wingdings" w:hint="default"/>
      </w:rPr>
    </w:lvl>
    <w:lvl w:ilvl="3" w:tplc="0C0A0001" w:tentative="1">
      <w:start w:val="1"/>
      <w:numFmt w:val="bullet"/>
      <w:lvlText w:val=""/>
      <w:lvlJc w:val="left"/>
      <w:pPr>
        <w:ind w:left="3195" w:hanging="360"/>
      </w:pPr>
      <w:rPr>
        <w:rFonts w:ascii="Symbol" w:hAnsi="Symbol" w:hint="default"/>
      </w:rPr>
    </w:lvl>
    <w:lvl w:ilvl="4" w:tplc="0C0A0003" w:tentative="1">
      <w:start w:val="1"/>
      <w:numFmt w:val="bullet"/>
      <w:lvlText w:val="o"/>
      <w:lvlJc w:val="left"/>
      <w:pPr>
        <w:ind w:left="3915" w:hanging="360"/>
      </w:pPr>
      <w:rPr>
        <w:rFonts w:ascii="Courier New" w:hAnsi="Courier New" w:cs="Courier New" w:hint="default"/>
      </w:rPr>
    </w:lvl>
    <w:lvl w:ilvl="5" w:tplc="0C0A0005" w:tentative="1">
      <w:start w:val="1"/>
      <w:numFmt w:val="bullet"/>
      <w:lvlText w:val=""/>
      <w:lvlJc w:val="left"/>
      <w:pPr>
        <w:ind w:left="4635" w:hanging="360"/>
      </w:pPr>
      <w:rPr>
        <w:rFonts w:ascii="Wingdings" w:hAnsi="Wingdings" w:hint="default"/>
      </w:rPr>
    </w:lvl>
    <w:lvl w:ilvl="6" w:tplc="0C0A0001" w:tentative="1">
      <w:start w:val="1"/>
      <w:numFmt w:val="bullet"/>
      <w:lvlText w:val=""/>
      <w:lvlJc w:val="left"/>
      <w:pPr>
        <w:ind w:left="5355" w:hanging="360"/>
      </w:pPr>
      <w:rPr>
        <w:rFonts w:ascii="Symbol" w:hAnsi="Symbol" w:hint="default"/>
      </w:rPr>
    </w:lvl>
    <w:lvl w:ilvl="7" w:tplc="0C0A0003" w:tentative="1">
      <w:start w:val="1"/>
      <w:numFmt w:val="bullet"/>
      <w:lvlText w:val="o"/>
      <w:lvlJc w:val="left"/>
      <w:pPr>
        <w:ind w:left="6075" w:hanging="360"/>
      </w:pPr>
      <w:rPr>
        <w:rFonts w:ascii="Courier New" w:hAnsi="Courier New" w:cs="Courier New" w:hint="default"/>
      </w:rPr>
    </w:lvl>
    <w:lvl w:ilvl="8" w:tplc="0C0A0005" w:tentative="1">
      <w:start w:val="1"/>
      <w:numFmt w:val="bullet"/>
      <w:lvlText w:val=""/>
      <w:lvlJc w:val="left"/>
      <w:pPr>
        <w:ind w:left="6795" w:hanging="360"/>
      </w:pPr>
      <w:rPr>
        <w:rFonts w:ascii="Wingdings" w:hAnsi="Wingdings" w:hint="default"/>
      </w:rPr>
    </w:lvl>
  </w:abstractNum>
  <w:abstractNum w:abstractNumId="18">
    <w:nsid w:val="1E857D96"/>
    <w:multiLevelType w:val="hybridMultilevel"/>
    <w:tmpl w:val="14CC287A"/>
    <w:lvl w:ilvl="0" w:tplc="100A0001">
      <w:start w:val="1"/>
      <w:numFmt w:val="bullet"/>
      <w:lvlText w:val=""/>
      <w:lvlJc w:val="left"/>
      <w:pPr>
        <w:ind w:left="720" w:hanging="360"/>
      </w:pPr>
      <w:rPr>
        <w:rFonts w:ascii="Symbol" w:hAnsi="Symbol" w:hint="default"/>
      </w:rPr>
    </w:lvl>
    <w:lvl w:ilvl="1" w:tplc="100A0019">
      <w:start w:val="1"/>
      <w:numFmt w:val="lowerLetter"/>
      <w:lvlText w:val="%2."/>
      <w:lvlJc w:val="left"/>
      <w:pPr>
        <w:ind w:left="1440" w:hanging="360"/>
      </w:pPr>
    </w:lvl>
    <w:lvl w:ilvl="2" w:tplc="F2A09D08">
      <w:start w:val="1"/>
      <w:numFmt w:val="decimal"/>
      <w:lvlText w:val="%3."/>
      <w:lvlJc w:val="left"/>
      <w:pPr>
        <w:ind w:left="2340" w:hanging="360"/>
      </w:pPr>
      <w:rPr>
        <w:rFonts w:hint="default"/>
      </w:r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nsid w:val="1F9E3444"/>
    <w:multiLevelType w:val="hybridMultilevel"/>
    <w:tmpl w:val="6F94F292"/>
    <w:lvl w:ilvl="0" w:tplc="10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1410019"/>
    <w:multiLevelType w:val="hybridMultilevel"/>
    <w:tmpl w:val="0A6AF4BC"/>
    <w:lvl w:ilvl="0" w:tplc="68EA3E68">
      <w:start w:val="1"/>
      <w:numFmt w:val="lowerLetter"/>
      <w:lvlText w:val="%1)"/>
      <w:lvlJc w:val="left"/>
      <w:pPr>
        <w:ind w:left="720" w:hanging="360"/>
      </w:pPr>
      <w:rPr>
        <w:rFonts w:hint="default"/>
        <w:sz w:val="22"/>
        <w:szCs w:val="22"/>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nsid w:val="25421666"/>
    <w:multiLevelType w:val="hybridMultilevel"/>
    <w:tmpl w:val="182A63F8"/>
    <w:lvl w:ilvl="0" w:tplc="10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8980A0B"/>
    <w:multiLevelType w:val="hybridMultilevel"/>
    <w:tmpl w:val="82CAECEE"/>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3">
    <w:nsid w:val="2A2F06BE"/>
    <w:multiLevelType w:val="hybridMultilevel"/>
    <w:tmpl w:val="9D08A812"/>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2E386482"/>
    <w:multiLevelType w:val="hybridMultilevel"/>
    <w:tmpl w:val="FADEAAEA"/>
    <w:lvl w:ilvl="0" w:tplc="864487FC">
      <w:start w:val="1"/>
      <w:numFmt w:val="lowerRoman"/>
      <w:lvlText w:val="%1."/>
      <w:lvlJc w:val="left"/>
      <w:pPr>
        <w:ind w:left="720" w:hanging="360"/>
      </w:pPr>
      <w:rPr>
        <w:rFonts w:ascii="Arial Narrow" w:eastAsiaTheme="minorHAnsi" w:hAnsi="Arial Narrow" w:cstheme="minorBidi"/>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2F494A61"/>
    <w:multiLevelType w:val="hybridMultilevel"/>
    <w:tmpl w:val="02D0416A"/>
    <w:lvl w:ilvl="0" w:tplc="CB5AF738">
      <w:start w:val="1"/>
      <w:numFmt w:val="upperRoman"/>
      <w:lvlText w:val="%1."/>
      <w:lvlJc w:val="right"/>
      <w:pPr>
        <w:ind w:left="720" w:hanging="360"/>
      </w:pPr>
      <w:rPr>
        <w:rFonts w:ascii="Arial Narrow" w:hAnsi="Arial Narrow"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11F26FF"/>
    <w:multiLevelType w:val="hybridMultilevel"/>
    <w:tmpl w:val="EB1AD180"/>
    <w:lvl w:ilvl="0" w:tplc="10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31CE5CA7"/>
    <w:multiLevelType w:val="hybridMultilevel"/>
    <w:tmpl w:val="599AD746"/>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
    <w:nsid w:val="3277449E"/>
    <w:multiLevelType w:val="hybridMultilevel"/>
    <w:tmpl w:val="AAE49648"/>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9">
    <w:nsid w:val="37A331B9"/>
    <w:multiLevelType w:val="hybridMultilevel"/>
    <w:tmpl w:val="FCCA8CDA"/>
    <w:lvl w:ilvl="0" w:tplc="CBD687E6">
      <w:start w:val="9"/>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0">
    <w:nsid w:val="3AD82A74"/>
    <w:multiLevelType w:val="hybridMultilevel"/>
    <w:tmpl w:val="21784768"/>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1">
    <w:nsid w:val="3E0343FD"/>
    <w:multiLevelType w:val="hybridMultilevel"/>
    <w:tmpl w:val="347AB114"/>
    <w:lvl w:ilvl="0" w:tplc="100A0003">
      <w:start w:val="1"/>
      <w:numFmt w:val="bullet"/>
      <w:lvlText w:val="o"/>
      <w:lvlJc w:val="left"/>
      <w:pPr>
        <w:ind w:left="720"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4186622B"/>
    <w:multiLevelType w:val="hybridMultilevel"/>
    <w:tmpl w:val="915E6AE6"/>
    <w:lvl w:ilvl="0" w:tplc="0C0A0019">
      <w:start w:val="9"/>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46154FEB"/>
    <w:multiLevelType w:val="hybridMultilevel"/>
    <w:tmpl w:val="5966FEE4"/>
    <w:lvl w:ilvl="0" w:tplc="10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484B2B04"/>
    <w:multiLevelType w:val="hybridMultilevel"/>
    <w:tmpl w:val="8790FF8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49AC0999"/>
    <w:multiLevelType w:val="hybridMultilevel"/>
    <w:tmpl w:val="7FDC8174"/>
    <w:lvl w:ilvl="0" w:tplc="10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4E63606F"/>
    <w:multiLevelType w:val="hybridMultilevel"/>
    <w:tmpl w:val="B5E2403C"/>
    <w:lvl w:ilvl="0" w:tplc="10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4FD444F2"/>
    <w:multiLevelType w:val="hybridMultilevel"/>
    <w:tmpl w:val="0C7C5032"/>
    <w:lvl w:ilvl="0" w:tplc="10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5CBD781F"/>
    <w:multiLevelType w:val="multilevel"/>
    <w:tmpl w:val="330CD0D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9">
    <w:nsid w:val="5EFA74F9"/>
    <w:multiLevelType w:val="hybridMultilevel"/>
    <w:tmpl w:val="F072F408"/>
    <w:lvl w:ilvl="0" w:tplc="10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0E31CCE"/>
    <w:multiLevelType w:val="hybridMultilevel"/>
    <w:tmpl w:val="0EA2BE82"/>
    <w:lvl w:ilvl="0" w:tplc="0C0A000F">
      <w:start w:val="20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619A0F1C"/>
    <w:multiLevelType w:val="hybridMultilevel"/>
    <w:tmpl w:val="348067E4"/>
    <w:lvl w:ilvl="0" w:tplc="10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1B06B00"/>
    <w:multiLevelType w:val="hybridMultilevel"/>
    <w:tmpl w:val="3B14CA36"/>
    <w:lvl w:ilvl="0" w:tplc="10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4E86685"/>
    <w:multiLevelType w:val="hybridMultilevel"/>
    <w:tmpl w:val="385EED96"/>
    <w:lvl w:ilvl="0" w:tplc="10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65FA7EC9"/>
    <w:multiLevelType w:val="hybridMultilevel"/>
    <w:tmpl w:val="C324C484"/>
    <w:lvl w:ilvl="0" w:tplc="9F7616FE">
      <w:start w:val="2"/>
      <w:numFmt w:val="decimal"/>
      <w:lvlText w:val="%1."/>
      <w:lvlJc w:val="left"/>
      <w:pPr>
        <w:ind w:left="360" w:hanging="360"/>
      </w:pPr>
      <w:rPr>
        <w:rFonts w:hint="default"/>
        <w:b w:val="0"/>
        <w:i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nsid w:val="67C6587A"/>
    <w:multiLevelType w:val="hybridMultilevel"/>
    <w:tmpl w:val="2F94CA06"/>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6">
    <w:nsid w:val="68A83834"/>
    <w:multiLevelType w:val="hybridMultilevel"/>
    <w:tmpl w:val="1414A27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69385AE2"/>
    <w:multiLevelType w:val="hybridMultilevel"/>
    <w:tmpl w:val="7096830E"/>
    <w:lvl w:ilvl="0" w:tplc="003C73F8">
      <w:start w:val="5"/>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8">
    <w:nsid w:val="69C62553"/>
    <w:multiLevelType w:val="hybridMultilevel"/>
    <w:tmpl w:val="8DF69D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100A001B">
      <w:start w:val="1"/>
      <w:numFmt w:val="lowerRoman"/>
      <w:lvlText w:val="%5."/>
      <w:lvlJc w:val="right"/>
      <w:pPr>
        <w:ind w:left="3600" w:hanging="360"/>
      </w:pPr>
      <w:rPr>
        <w:rFont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6F4A487C"/>
    <w:multiLevelType w:val="hybridMultilevel"/>
    <w:tmpl w:val="72A49AEE"/>
    <w:lvl w:ilvl="0" w:tplc="3F9252DC">
      <w:start w:val="101"/>
      <w:numFmt w:val="decimal"/>
      <w:lvlText w:val="%1."/>
      <w:lvlJc w:val="left"/>
      <w:pPr>
        <w:ind w:left="360" w:hanging="360"/>
      </w:pPr>
      <w:rPr>
        <w:rFonts w:hint="default"/>
        <w:b w:val="0"/>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71313C98"/>
    <w:multiLevelType w:val="hybridMultilevel"/>
    <w:tmpl w:val="4D9A62AC"/>
    <w:lvl w:ilvl="0" w:tplc="100A0003">
      <w:start w:val="1"/>
      <w:numFmt w:val="bullet"/>
      <w:lvlText w:val="o"/>
      <w:lvlJc w:val="left"/>
      <w:pPr>
        <w:ind w:left="360" w:hanging="360"/>
      </w:pPr>
      <w:rPr>
        <w:rFonts w:ascii="Courier New" w:hAnsi="Courier New" w:cs="Courier New"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51">
    <w:nsid w:val="71906DFA"/>
    <w:multiLevelType w:val="hybridMultilevel"/>
    <w:tmpl w:val="2FD6A454"/>
    <w:lvl w:ilvl="0" w:tplc="10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74512A1F"/>
    <w:multiLevelType w:val="hybridMultilevel"/>
    <w:tmpl w:val="3A8C8230"/>
    <w:lvl w:ilvl="0" w:tplc="03843F88">
      <w:start w:val="1"/>
      <w:numFmt w:val="bullet"/>
      <w:lvlText w:val="o"/>
      <w:lvlJc w:val="left"/>
      <w:pPr>
        <w:ind w:left="720" w:hanging="360"/>
      </w:pPr>
      <w:rPr>
        <w:rFonts w:ascii="Courier New" w:hAnsi="Courier New" w:cs="Courier New"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3">
    <w:nsid w:val="74565826"/>
    <w:multiLevelType w:val="hybridMultilevel"/>
    <w:tmpl w:val="7B3E661A"/>
    <w:lvl w:ilvl="0" w:tplc="10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746E0163"/>
    <w:multiLevelType w:val="hybridMultilevel"/>
    <w:tmpl w:val="2640B8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7527296B"/>
    <w:multiLevelType w:val="hybridMultilevel"/>
    <w:tmpl w:val="08421D5E"/>
    <w:lvl w:ilvl="0" w:tplc="10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nsid w:val="7746008E"/>
    <w:multiLevelType w:val="hybridMultilevel"/>
    <w:tmpl w:val="EBF6E438"/>
    <w:lvl w:ilvl="0" w:tplc="100A001B">
      <w:start w:val="1"/>
      <w:numFmt w:val="lowerRoman"/>
      <w:lvlText w:val="%1."/>
      <w:lvlJc w:val="righ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7">
    <w:nsid w:val="7A0E42ED"/>
    <w:multiLevelType w:val="hybridMultilevel"/>
    <w:tmpl w:val="EC6C92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nsid w:val="7BE72466"/>
    <w:multiLevelType w:val="hybridMultilevel"/>
    <w:tmpl w:val="CF0A51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100A001B">
      <w:start w:val="1"/>
      <w:numFmt w:val="lowerRoman"/>
      <w:lvlText w:val="%3."/>
      <w:lvlJc w:val="righ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nsid w:val="7CC015C5"/>
    <w:multiLevelType w:val="hybridMultilevel"/>
    <w:tmpl w:val="A4CEF52A"/>
    <w:lvl w:ilvl="0" w:tplc="04090003">
      <w:start w:val="1"/>
      <w:numFmt w:val="bullet"/>
      <w:lvlText w:val="o"/>
      <w:lvlJc w:val="left"/>
      <w:pPr>
        <w:ind w:left="1440" w:hanging="360"/>
      </w:pPr>
      <w:rPr>
        <w:rFonts w:ascii="Courier New" w:hAnsi="Courier New" w:cs="Courier New"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num w:numId="1">
    <w:abstractNumId w:val="25"/>
  </w:num>
  <w:num w:numId="2">
    <w:abstractNumId w:val="11"/>
  </w:num>
  <w:num w:numId="3">
    <w:abstractNumId w:val="44"/>
  </w:num>
  <w:num w:numId="4">
    <w:abstractNumId w:val="7"/>
  </w:num>
  <w:num w:numId="5">
    <w:abstractNumId w:val="18"/>
  </w:num>
  <w:num w:numId="6">
    <w:abstractNumId w:val="34"/>
  </w:num>
  <w:num w:numId="7">
    <w:abstractNumId w:val="57"/>
  </w:num>
  <w:num w:numId="8">
    <w:abstractNumId w:val="19"/>
  </w:num>
  <w:num w:numId="9">
    <w:abstractNumId w:val="41"/>
  </w:num>
  <w:num w:numId="10">
    <w:abstractNumId w:val="54"/>
  </w:num>
  <w:num w:numId="11">
    <w:abstractNumId w:val="37"/>
  </w:num>
  <w:num w:numId="12">
    <w:abstractNumId w:val="20"/>
  </w:num>
  <w:num w:numId="13">
    <w:abstractNumId w:val="36"/>
  </w:num>
  <w:num w:numId="14">
    <w:abstractNumId w:val="58"/>
  </w:num>
  <w:num w:numId="15">
    <w:abstractNumId w:val="2"/>
  </w:num>
  <w:num w:numId="16">
    <w:abstractNumId w:val="49"/>
  </w:num>
  <w:num w:numId="17">
    <w:abstractNumId w:val="16"/>
  </w:num>
  <w:num w:numId="18">
    <w:abstractNumId w:val="21"/>
  </w:num>
  <w:num w:numId="19">
    <w:abstractNumId w:val="51"/>
  </w:num>
  <w:num w:numId="20">
    <w:abstractNumId w:val="39"/>
  </w:num>
  <w:num w:numId="21">
    <w:abstractNumId w:val="1"/>
  </w:num>
  <w:num w:numId="22">
    <w:abstractNumId w:val="4"/>
  </w:num>
  <w:num w:numId="23">
    <w:abstractNumId w:val="12"/>
  </w:num>
  <w:num w:numId="24">
    <w:abstractNumId w:val="55"/>
  </w:num>
  <w:num w:numId="25">
    <w:abstractNumId w:val="23"/>
  </w:num>
  <w:num w:numId="26">
    <w:abstractNumId w:val="28"/>
  </w:num>
  <w:num w:numId="27">
    <w:abstractNumId w:val="35"/>
  </w:num>
  <w:num w:numId="28">
    <w:abstractNumId w:val="33"/>
  </w:num>
  <w:num w:numId="29">
    <w:abstractNumId w:val="50"/>
  </w:num>
  <w:num w:numId="30">
    <w:abstractNumId w:val="13"/>
  </w:num>
  <w:num w:numId="31">
    <w:abstractNumId w:val="42"/>
  </w:num>
  <w:num w:numId="32">
    <w:abstractNumId w:val="3"/>
  </w:num>
  <w:num w:numId="33">
    <w:abstractNumId w:val="40"/>
  </w:num>
  <w:num w:numId="34">
    <w:abstractNumId w:val="5"/>
  </w:num>
  <w:num w:numId="35">
    <w:abstractNumId w:val="0"/>
  </w:num>
  <w:num w:numId="36">
    <w:abstractNumId w:val="8"/>
  </w:num>
  <w:num w:numId="37">
    <w:abstractNumId w:val="43"/>
  </w:num>
  <w:num w:numId="38">
    <w:abstractNumId w:val="45"/>
  </w:num>
  <w:num w:numId="39">
    <w:abstractNumId w:val="15"/>
  </w:num>
  <w:num w:numId="40">
    <w:abstractNumId w:val="9"/>
  </w:num>
  <w:num w:numId="41">
    <w:abstractNumId w:val="14"/>
  </w:num>
  <w:num w:numId="42">
    <w:abstractNumId w:val="31"/>
  </w:num>
  <w:num w:numId="43">
    <w:abstractNumId w:val="46"/>
  </w:num>
  <w:num w:numId="44">
    <w:abstractNumId w:val="17"/>
  </w:num>
  <w:num w:numId="45">
    <w:abstractNumId w:val="52"/>
  </w:num>
  <w:num w:numId="46">
    <w:abstractNumId w:val="27"/>
  </w:num>
  <w:num w:numId="47">
    <w:abstractNumId w:val="53"/>
  </w:num>
  <w:num w:numId="48">
    <w:abstractNumId w:val="47"/>
  </w:num>
  <w:num w:numId="49">
    <w:abstractNumId w:val="22"/>
  </w:num>
  <w:num w:numId="50">
    <w:abstractNumId w:val="30"/>
  </w:num>
  <w:num w:numId="51">
    <w:abstractNumId w:val="10"/>
  </w:num>
  <w:num w:numId="52">
    <w:abstractNumId w:val="26"/>
  </w:num>
  <w:num w:numId="53">
    <w:abstractNumId w:val="48"/>
  </w:num>
  <w:num w:numId="54">
    <w:abstractNumId w:val="56"/>
  </w:num>
  <w:num w:numId="55">
    <w:abstractNumId w:val="38"/>
  </w:num>
  <w:num w:numId="56">
    <w:abstractNumId w:val="59"/>
  </w:num>
  <w:num w:numId="57">
    <w:abstractNumId w:val="24"/>
  </w:num>
  <w:num w:numId="58">
    <w:abstractNumId w:val="29"/>
  </w:num>
  <w:num w:numId="59">
    <w:abstractNumId w:val="32"/>
  </w:num>
  <w:num w:numId="60">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08"/>
  <w:hyphenationZone w:val="425"/>
  <w:drawingGridHorizontalSpacing w:val="110"/>
  <w:displayHorizontalDrawingGridEvery w:val="2"/>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2"/>
  </w:compat>
  <w:rsids>
    <w:rsidRoot w:val="000316A7"/>
    <w:rsid w:val="00004946"/>
    <w:rsid w:val="00017D5D"/>
    <w:rsid w:val="000316A7"/>
    <w:rsid w:val="00037CDD"/>
    <w:rsid w:val="00043F8C"/>
    <w:rsid w:val="00054693"/>
    <w:rsid w:val="00056ACF"/>
    <w:rsid w:val="000612ED"/>
    <w:rsid w:val="00076932"/>
    <w:rsid w:val="0008054F"/>
    <w:rsid w:val="00083F2D"/>
    <w:rsid w:val="00086899"/>
    <w:rsid w:val="00093A0A"/>
    <w:rsid w:val="000A2F7D"/>
    <w:rsid w:val="000A4FF0"/>
    <w:rsid w:val="000B05B8"/>
    <w:rsid w:val="000E5267"/>
    <w:rsid w:val="000E7B4A"/>
    <w:rsid w:val="000F54AC"/>
    <w:rsid w:val="00101713"/>
    <w:rsid w:val="00101989"/>
    <w:rsid w:val="001114DF"/>
    <w:rsid w:val="0011529A"/>
    <w:rsid w:val="00116AB2"/>
    <w:rsid w:val="00117012"/>
    <w:rsid w:val="00121A70"/>
    <w:rsid w:val="00121FCC"/>
    <w:rsid w:val="00137D59"/>
    <w:rsid w:val="00180ED4"/>
    <w:rsid w:val="0018661E"/>
    <w:rsid w:val="001A0AC2"/>
    <w:rsid w:val="001B30B2"/>
    <w:rsid w:val="001B32BA"/>
    <w:rsid w:val="001C0EF7"/>
    <w:rsid w:val="001E020E"/>
    <w:rsid w:val="001E1215"/>
    <w:rsid w:val="001E4D86"/>
    <w:rsid w:val="002017D7"/>
    <w:rsid w:val="0021213F"/>
    <w:rsid w:val="00220BD6"/>
    <w:rsid w:val="002216F7"/>
    <w:rsid w:val="00221B36"/>
    <w:rsid w:val="00251566"/>
    <w:rsid w:val="002548A9"/>
    <w:rsid w:val="002549AF"/>
    <w:rsid w:val="002713DC"/>
    <w:rsid w:val="002724F7"/>
    <w:rsid w:val="0027456F"/>
    <w:rsid w:val="0029686D"/>
    <w:rsid w:val="00297019"/>
    <w:rsid w:val="002B1647"/>
    <w:rsid w:val="002B34F6"/>
    <w:rsid w:val="002B5DA6"/>
    <w:rsid w:val="002C17A8"/>
    <w:rsid w:val="002C7316"/>
    <w:rsid w:val="002D53EE"/>
    <w:rsid w:val="002D6E8C"/>
    <w:rsid w:val="002F58A2"/>
    <w:rsid w:val="002F762B"/>
    <w:rsid w:val="00304274"/>
    <w:rsid w:val="00307BAA"/>
    <w:rsid w:val="00310A01"/>
    <w:rsid w:val="00313CBC"/>
    <w:rsid w:val="0032426F"/>
    <w:rsid w:val="0032694E"/>
    <w:rsid w:val="00333010"/>
    <w:rsid w:val="00342423"/>
    <w:rsid w:val="00347F35"/>
    <w:rsid w:val="00353D39"/>
    <w:rsid w:val="003540BE"/>
    <w:rsid w:val="003709DA"/>
    <w:rsid w:val="00391BCA"/>
    <w:rsid w:val="00392FA4"/>
    <w:rsid w:val="0039323F"/>
    <w:rsid w:val="0039661C"/>
    <w:rsid w:val="00397E52"/>
    <w:rsid w:val="003A40EC"/>
    <w:rsid w:val="003C1FA2"/>
    <w:rsid w:val="003C3525"/>
    <w:rsid w:val="003D5C19"/>
    <w:rsid w:val="003D71A0"/>
    <w:rsid w:val="003E34D8"/>
    <w:rsid w:val="003F2227"/>
    <w:rsid w:val="0041003A"/>
    <w:rsid w:val="00417ABD"/>
    <w:rsid w:val="004549AD"/>
    <w:rsid w:val="00465EEA"/>
    <w:rsid w:val="00471EC3"/>
    <w:rsid w:val="00474566"/>
    <w:rsid w:val="00493E24"/>
    <w:rsid w:val="004978E7"/>
    <w:rsid w:val="004B370D"/>
    <w:rsid w:val="004B5F8B"/>
    <w:rsid w:val="004C5586"/>
    <w:rsid w:val="004C5799"/>
    <w:rsid w:val="004D5F32"/>
    <w:rsid w:val="004D705A"/>
    <w:rsid w:val="004D7E24"/>
    <w:rsid w:val="004E187B"/>
    <w:rsid w:val="004E5820"/>
    <w:rsid w:val="004E6F47"/>
    <w:rsid w:val="004F2E13"/>
    <w:rsid w:val="004F3DB8"/>
    <w:rsid w:val="00502E82"/>
    <w:rsid w:val="0050575E"/>
    <w:rsid w:val="00522159"/>
    <w:rsid w:val="00527792"/>
    <w:rsid w:val="00547C20"/>
    <w:rsid w:val="00550901"/>
    <w:rsid w:val="0055298F"/>
    <w:rsid w:val="00561167"/>
    <w:rsid w:val="005825AF"/>
    <w:rsid w:val="00584C14"/>
    <w:rsid w:val="00587432"/>
    <w:rsid w:val="00590048"/>
    <w:rsid w:val="0059242F"/>
    <w:rsid w:val="005A490D"/>
    <w:rsid w:val="005A4E33"/>
    <w:rsid w:val="005A57AD"/>
    <w:rsid w:val="005A71A7"/>
    <w:rsid w:val="005B2CF6"/>
    <w:rsid w:val="005B2F7C"/>
    <w:rsid w:val="005B5F78"/>
    <w:rsid w:val="005C6F48"/>
    <w:rsid w:val="005D13E4"/>
    <w:rsid w:val="005E32B4"/>
    <w:rsid w:val="005F15D2"/>
    <w:rsid w:val="006045FE"/>
    <w:rsid w:val="00610A2A"/>
    <w:rsid w:val="00613B71"/>
    <w:rsid w:val="00622383"/>
    <w:rsid w:val="00625B3E"/>
    <w:rsid w:val="006413E6"/>
    <w:rsid w:val="006508E6"/>
    <w:rsid w:val="0066143B"/>
    <w:rsid w:val="00667B94"/>
    <w:rsid w:val="00684E43"/>
    <w:rsid w:val="00686C9A"/>
    <w:rsid w:val="00692E4B"/>
    <w:rsid w:val="006A17E3"/>
    <w:rsid w:val="006A1CFC"/>
    <w:rsid w:val="006A2F30"/>
    <w:rsid w:val="006A4850"/>
    <w:rsid w:val="006A59DE"/>
    <w:rsid w:val="006C557A"/>
    <w:rsid w:val="006C5FBC"/>
    <w:rsid w:val="006E0403"/>
    <w:rsid w:val="006E25F1"/>
    <w:rsid w:val="006E31E4"/>
    <w:rsid w:val="006E4AC7"/>
    <w:rsid w:val="006E53F5"/>
    <w:rsid w:val="006E6744"/>
    <w:rsid w:val="006F2AF9"/>
    <w:rsid w:val="006F5773"/>
    <w:rsid w:val="00712185"/>
    <w:rsid w:val="007165D1"/>
    <w:rsid w:val="007210FC"/>
    <w:rsid w:val="00723D5D"/>
    <w:rsid w:val="00725E44"/>
    <w:rsid w:val="00731B79"/>
    <w:rsid w:val="00735E24"/>
    <w:rsid w:val="007558DA"/>
    <w:rsid w:val="00767C8C"/>
    <w:rsid w:val="00771BC8"/>
    <w:rsid w:val="00781F72"/>
    <w:rsid w:val="007B4816"/>
    <w:rsid w:val="007B5F17"/>
    <w:rsid w:val="007B72C4"/>
    <w:rsid w:val="007D4DDA"/>
    <w:rsid w:val="007D7107"/>
    <w:rsid w:val="007E2E86"/>
    <w:rsid w:val="007E6A12"/>
    <w:rsid w:val="007F78B7"/>
    <w:rsid w:val="007F7DA7"/>
    <w:rsid w:val="00801106"/>
    <w:rsid w:val="00813631"/>
    <w:rsid w:val="00827F83"/>
    <w:rsid w:val="0083313F"/>
    <w:rsid w:val="00853126"/>
    <w:rsid w:val="0086584F"/>
    <w:rsid w:val="00867B9F"/>
    <w:rsid w:val="008716B6"/>
    <w:rsid w:val="008723B7"/>
    <w:rsid w:val="00883625"/>
    <w:rsid w:val="008868AE"/>
    <w:rsid w:val="0089322E"/>
    <w:rsid w:val="008959B6"/>
    <w:rsid w:val="008A5644"/>
    <w:rsid w:val="008B2438"/>
    <w:rsid w:val="008B7DBE"/>
    <w:rsid w:val="008C6D75"/>
    <w:rsid w:val="008D6D29"/>
    <w:rsid w:val="008D726C"/>
    <w:rsid w:val="008F331A"/>
    <w:rsid w:val="008F6B6C"/>
    <w:rsid w:val="00920CEF"/>
    <w:rsid w:val="00923DCF"/>
    <w:rsid w:val="009249C6"/>
    <w:rsid w:val="00933777"/>
    <w:rsid w:val="00950D58"/>
    <w:rsid w:val="009602F0"/>
    <w:rsid w:val="009625D9"/>
    <w:rsid w:val="009766C5"/>
    <w:rsid w:val="009824A0"/>
    <w:rsid w:val="009850B3"/>
    <w:rsid w:val="0099397D"/>
    <w:rsid w:val="00993B8E"/>
    <w:rsid w:val="009955A6"/>
    <w:rsid w:val="009A4CA6"/>
    <w:rsid w:val="009A6292"/>
    <w:rsid w:val="009B23B1"/>
    <w:rsid w:val="009C248C"/>
    <w:rsid w:val="009F38B2"/>
    <w:rsid w:val="00A04381"/>
    <w:rsid w:val="00A07D5B"/>
    <w:rsid w:val="00A1599B"/>
    <w:rsid w:val="00A17ABD"/>
    <w:rsid w:val="00A25BE1"/>
    <w:rsid w:val="00A25E0D"/>
    <w:rsid w:val="00A341A6"/>
    <w:rsid w:val="00A34837"/>
    <w:rsid w:val="00A409D7"/>
    <w:rsid w:val="00A416E8"/>
    <w:rsid w:val="00A46758"/>
    <w:rsid w:val="00A46777"/>
    <w:rsid w:val="00A55A60"/>
    <w:rsid w:val="00A6384E"/>
    <w:rsid w:val="00A66E2F"/>
    <w:rsid w:val="00A74257"/>
    <w:rsid w:val="00A775F8"/>
    <w:rsid w:val="00A8788A"/>
    <w:rsid w:val="00A91E1B"/>
    <w:rsid w:val="00AA5046"/>
    <w:rsid w:val="00AB618E"/>
    <w:rsid w:val="00AC2673"/>
    <w:rsid w:val="00AC54B6"/>
    <w:rsid w:val="00AD03DB"/>
    <w:rsid w:val="00AD0B77"/>
    <w:rsid w:val="00AD26B8"/>
    <w:rsid w:val="00AD41CB"/>
    <w:rsid w:val="00AD4647"/>
    <w:rsid w:val="00AE559C"/>
    <w:rsid w:val="00AE6B58"/>
    <w:rsid w:val="00AF24DE"/>
    <w:rsid w:val="00AF6F91"/>
    <w:rsid w:val="00B01C45"/>
    <w:rsid w:val="00B21291"/>
    <w:rsid w:val="00B308A8"/>
    <w:rsid w:val="00B31155"/>
    <w:rsid w:val="00B32B65"/>
    <w:rsid w:val="00B32CDD"/>
    <w:rsid w:val="00B40910"/>
    <w:rsid w:val="00B6047E"/>
    <w:rsid w:val="00B62133"/>
    <w:rsid w:val="00B72DCF"/>
    <w:rsid w:val="00B80E6B"/>
    <w:rsid w:val="00B854B0"/>
    <w:rsid w:val="00B86533"/>
    <w:rsid w:val="00B94487"/>
    <w:rsid w:val="00BA2367"/>
    <w:rsid w:val="00BA2B84"/>
    <w:rsid w:val="00BC0375"/>
    <w:rsid w:val="00BC0644"/>
    <w:rsid w:val="00BC2A64"/>
    <w:rsid w:val="00BF0DAB"/>
    <w:rsid w:val="00C01A8D"/>
    <w:rsid w:val="00C03119"/>
    <w:rsid w:val="00C03C1B"/>
    <w:rsid w:val="00C119C1"/>
    <w:rsid w:val="00C1255D"/>
    <w:rsid w:val="00C16692"/>
    <w:rsid w:val="00C26F21"/>
    <w:rsid w:val="00C46BB0"/>
    <w:rsid w:val="00C75A0C"/>
    <w:rsid w:val="00C77E58"/>
    <w:rsid w:val="00C85165"/>
    <w:rsid w:val="00C85FC4"/>
    <w:rsid w:val="00CD3C4D"/>
    <w:rsid w:val="00CF69E3"/>
    <w:rsid w:val="00D05859"/>
    <w:rsid w:val="00D11AAF"/>
    <w:rsid w:val="00D16A0C"/>
    <w:rsid w:val="00D213DB"/>
    <w:rsid w:val="00D26B3A"/>
    <w:rsid w:val="00D26DD2"/>
    <w:rsid w:val="00D51E64"/>
    <w:rsid w:val="00D713FF"/>
    <w:rsid w:val="00D81977"/>
    <w:rsid w:val="00D84D45"/>
    <w:rsid w:val="00D96B35"/>
    <w:rsid w:val="00DC0D3F"/>
    <w:rsid w:val="00DC7C62"/>
    <w:rsid w:val="00E053B0"/>
    <w:rsid w:val="00E11616"/>
    <w:rsid w:val="00E1196A"/>
    <w:rsid w:val="00E14023"/>
    <w:rsid w:val="00E153C1"/>
    <w:rsid w:val="00E50B9B"/>
    <w:rsid w:val="00E53ECD"/>
    <w:rsid w:val="00E70691"/>
    <w:rsid w:val="00E71948"/>
    <w:rsid w:val="00E80AF4"/>
    <w:rsid w:val="00EB2FDA"/>
    <w:rsid w:val="00EB3984"/>
    <w:rsid w:val="00EC736A"/>
    <w:rsid w:val="00ED5359"/>
    <w:rsid w:val="00EE0579"/>
    <w:rsid w:val="00EE4C6C"/>
    <w:rsid w:val="00EE6DE3"/>
    <w:rsid w:val="00F33D97"/>
    <w:rsid w:val="00F41BBA"/>
    <w:rsid w:val="00F45E11"/>
    <w:rsid w:val="00F54D29"/>
    <w:rsid w:val="00F83438"/>
    <w:rsid w:val="00F853BA"/>
    <w:rsid w:val="00F85D54"/>
    <w:rsid w:val="00FA1C55"/>
    <w:rsid w:val="00FA713B"/>
    <w:rsid w:val="00FC4259"/>
    <w:rsid w:val="00FC7536"/>
    <w:rsid w:val="00FD5C5D"/>
    <w:rsid w:val="00FD774D"/>
    <w:rsid w:val="00FD7BAA"/>
    <w:rsid w:val="00FE28B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4753"/>
    <o:shapelayout v:ext="edit">
      <o:idmap v:ext="edit" data="1"/>
      <o:rules v:ext="edit">
        <o:r id="V:Rule2" type="connector" idref="#_x0000_s1026"/>
      </o:rules>
    </o:shapelayout>
  </w:shapeDefaults>
  <w:decimalSymbol w:val="."/>
  <w:listSeparator w:val=","/>
  <w14:docId w14:val="3546B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8B4"/>
    <w:pPr>
      <w:spacing w:after="0" w:line="240" w:lineRule="auto"/>
    </w:pPr>
    <w:rPr>
      <w:rFonts w:ascii="Cambria" w:eastAsia="Cambria" w:hAnsi="Cambria" w:cs="Times New Roman"/>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16A7"/>
    <w:rPr>
      <w:rFonts w:ascii="Tahoma" w:hAnsi="Tahoma" w:cs="Tahoma"/>
      <w:sz w:val="16"/>
      <w:szCs w:val="16"/>
    </w:rPr>
  </w:style>
  <w:style w:type="character" w:customStyle="1" w:styleId="BalloonTextChar">
    <w:name w:val="Balloon Text Char"/>
    <w:basedOn w:val="DefaultParagraphFont"/>
    <w:link w:val="BalloonText"/>
    <w:uiPriority w:val="99"/>
    <w:semiHidden/>
    <w:rsid w:val="000316A7"/>
    <w:rPr>
      <w:rFonts w:ascii="Tahoma" w:hAnsi="Tahoma" w:cs="Tahoma"/>
      <w:sz w:val="16"/>
      <w:szCs w:val="16"/>
    </w:rPr>
  </w:style>
  <w:style w:type="paragraph" w:styleId="Header">
    <w:name w:val="header"/>
    <w:basedOn w:val="Normal"/>
    <w:link w:val="HeaderChar"/>
    <w:uiPriority w:val="99"/>
    <w:semiHidden/>
    <w:unhideWhenUsed/>
    <w:rsid w:val="000316A7"/>
    <w:pPr>
      <w:tabs>
        <w:tab w:val="center" w:pos="4419"/>
        <w:tab w:val="right" w:pos="8838"/>
      </w:tabs>
    </w:pPr>
  </w:style>
  <w:style w:type="character" w:customStyle="1" w:styleId="HeaderChar">
    <w:name w:val="Header Char"/>
    <w:basedOn w:val="DefaultParagraphFont"/>
    <w:link w:val="Header"/>
    <w:uiPriority w:val="99"/>
    <w:semiHidden/>
    <w:rsid w:val="000316A7"/>
  </w:style>
  <w:style w:type="paragraph" w:styleId="Footer">
    <w:name w:val="footer"/>
    <w:basedOn w:val="Normal"/>
    <w:link w:val="FooterChar"/>
    <w:uiPriority w:val="99"/>
    <w:unhideWhenUsed/>
    <w:rsid w:val="000316A7"/>
    <w:pPr>
      <w:tabs>
        <w:tab w:val="center" w:pos="4419"/>
        <w:tab w:val="right" w:pos="8838"/>
      </w:tabs>
    </w:pPr>
  </w:style>
  <w:style w:type="character" w:customStyle="1" w:styleId="FooterChar">
    <w:name w:val="Footer Char"/>
    <w:basedOn w:val="DefaultParagraphFont"/>
    <w:link w:val="Footer"/>
    <w:uiPriority w:val="99"/>
    <w:rsid w:val="000316A7"/>
  </w:style>
  <w:style w:type="paragraph" w:styleId="NoSpacing">
    <w:name w:val="No Spacing"/>
    <w:uiPriority w:val="1"/>
    <w:qFormat/>
    <w:rsid w:val="00B86533"/>
    <w:pPr>
      <w:spacing w:after="0" w:line="240" w:lineRule="auto"/>
    </w:pPr>
  </w:style>
  <w:style w:type="paragraph" w:styleId="ListParagraph">
    <w:name w:val="List Paragraph"/>
    <w:basedOn w:val="Normal"/>
    <w:link w:val="ListParagraphChar"/>
    <w:uiPriority w:val="72"/>
    <w:qFormat/>
    <w:rsid w:val="00FE28B4"/>
    <w:pPr>
      <w:spacing w:after="200" w:line="276"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72"/>
    <w:locked/>
    <w:rsid w:val="00FE28B4"/>
    <w:rPr>
      <w:lang w:val="es-ES_tradnl"/>
    </w:rPr>
  </w:style>
  <w:style w:type="character" w:styleId="FootnoteReference">
    <w:name w:val="footnote reference"/>
    <w:basedOn w:val="DefaultParagraphFont"/>
    <w:uiPriority w:val="99"/>
    <w:semiHidden/>
    <w:unhideWhenUsed/>
    <w:rsid w:val="00FE28B4"/>
    <w:rPr>
      <w:vertAlign w:val="superscript"/>
    </w:rPr>
  </w:style>
  <w:style w:type="paragraph" w:styleId="BodyText">
    <w:name w:val="Body Text"/>
    <w:basedOn w:val="Normal"/>
    <w:link w:val="BodyTextChar"/>
    <w:uiPriority w:val="99"/>
    <w:unhideWhenUsed/>
    <w:rsid w:val="008868AE"/>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rsid w:val="008868AE"/>
    <w:rPr>
      <w:lang w:val="es-ES_tradnl"/>
    </w:rPr>
  </w:style>
  <w:style w:type="character" w:styleId="CommentReference">
    <w:name w:val="annotation reference"/>
    <w:basedOn w:val="DefaultParagraphFont"/>
    <w:uiPriority w:val="99"/>
    <w:semiHidden/>
    <w:unhideWhenUsed/>
    <w:rsid w:val="006E53F5"/>
    <w:rPr>
      <w:sz w:val="16"/>
      <w:szCs w:val="16"/>
    </w:rPr>
  </w:style>
  <w:style w:type="paragraph" w:styleId="CommentText">
    <w:name w:val="annotation text"/>
    <w:basedOn w:val="Normal"/>
    <w:link w:val="CommentTextChar"/>
    <w:uiPriority w:val="99"/>
    <w:semiHidden/>
    <w:unhideWhenUsed/>
    <w:rsid w:val="006E53F5"/>
    <w:rPr>
      <w:sz w:val="20"/>
      <w:szCs w:val="20"/>
    </w:rPr>
  </w:style>
  <w:style w:type="character" w:customStyle="1" w:styleId="CommentTextChar">
    <w:name w:val="Comment Text Char"/>
    <w:basedOn w:val="DefaultParagraphFont"/>
    <w:link w:val="CommentText"/>
    <w:uiPriority w:val="99"/>
    <w:semiHidden/>
    <w:rsid w:val="006E53F5"/>
    <w:rPr>
      <w:rFonts w:ascii="Cambria" w:eastAsia="Cambria" w:hAnsi="Cambria" w:cs="Times New Roman"/>
      <w:sz w:val="20"/>
      <w:szCs w:val="20"/>
      <w:lang w:val="es-ES_tradnl"/>
    </w:rPr>
  </w:style>
  <w:style w:type="table" w:styleId="TableGrid">
    <w:name w:val="Table Grid"/>
    <w:basedOn w:val="TableNormal"/>
    <w:uiPriority w:val="59"/>
    <w:rsid w:val="004F3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F3DB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4F3DB8"/>
    <w:rPr>
      <w:sz w:val="20"/>
      <w:szCs w:val="20"/>
      <w:lang w:val="es-ES_tradnl"/>
    </w:rPr>
  </w:style>
  <w:style w:type="character" w:styleId="Strong">
    <w:name w:val="Strong"/>
    <w:basedOn w:val="DefaultParagraphFont"/>
    <w:uiPriority w:val="22"/>
    <w:qFormat/>
    <w:rsid w:val="00BC0644"/>
    <w:rPr>
      <w:b/>
      <w:bCs/>
    </w:rPr>
  </w:style>
  <w:style w:type="paragraph" w:styleId="NormalWeb">
    <w:name w:val="Normal (Web)"/>
    <w:basedOn w:val="Normal"/>
    <w:uiPriority w:val="99"/>
    <w:unhideWhenUsed/>
    <w:rsid w:val="00BC0644"/>
    <w:pPr>
      <w:spacing w:before="100" w:beforeAutospacing="1" w:after="100" w:afterAutospacing="1"/>
    </w:pPr>
    <w:rPr>
      <w:rFonts w:ascii="Times New Roman" w:eastAsia="Times New Roman" w:hAnsi="Times New Roman"/>
      <w:lang w:val="es-GT" w:eastAsia="es-GT"/>
    </w:rPr>
  </w:style>
  <w:style w:type="paragraph" w:styleId="CommentSubject">
    <w:name w:val="annotation subject"/>
    <w:basedOn w:val="CommentText"/>
    <w:next w:val="CommentText"/>
    <w:link w:val="CommentSubjectChar"/>
    <w:uiPriority w:val="99"/>
    <w:semiHidden/>
    <w:unhideWhenUsed/>
    <w:rsid w:val="00017D5D"/>
    <w:rPr>
      <w:b/>
      <w:bCs/>
    </w:rPr>
  </w:style>
  <w:style w:type="character" w:customStyle="1" w:styleId="CommentSubjectChar">
    <w:name w:val="Comment Subject Char"/>
    <w:basedOn w:val="CommentTextChar"/>
    <w:link w:val="CommentSubject"/>
    <w:uiPriority w:val="99"/>
    <w:semiHidden/>
    <w:rsid w:val="00017D5D"/>
    <w:rPr>
      <w:rFonts w:ascii="Cambria" w:eastAsia="Cambria" w:hAnsi="Cambria" w:cs="Times New Roman"/>
      <w:b/>
      <w:bCs/>
      <w:sz w:val="20"/>
      <w:szCs w:val="20"/>
      <w:lang w:val="es-ES_tradnl"/>
    </w:rPr>
  </w:style>
  <w:style w:type="character" w:customStyle="1" w:styleId="apple-converted-space">
    <w:name w:val="apple-converted-space"/>
    <w:basedOn w:val="DefaultParagraphFont"/>
    <w:rsid w:val="00017D5D"/>
  </w:style>
  <w:style w:type="paragraph" w:styleId="BodyTextFirstIndent">
    <w:name w:val="Body Text First Indent"/>
    <w:basedOn w:val="BodyText"/>
    <w:link w:val="BodyTextFirstIndentChar"/>
    <w:uiPriority w:val="99"/>
    <w:semiHidden/>
    <w:unhideWhenUsed/>
    <w:rsid w:val="00DC7C62"/>
    <w:pPr>
      <w:spacing w:after="0" w:line="240" w:lineRule="auto"/>
      <w:ind w:firstLine="360"/>
    </w:pPr>
    <w:rPr>
      <w:rFonts w:ascii="Cambria" w:eastAsia="Cambria" w:hAnsi="Cambria" w:cs="Times New Roman"/>
      <w:sz w:val="24"/>
      <w:szCs w:val="24"/>
    </w:rPr>
  </w:style>
  <w:style w:type="character" w:customStyle="1" w:styleId="BodyTextFirstIndentChar">
    <w:name w:val="Body Text First Indent Char"/>
    <w:basedOn w:val="BodyTextChar"/>
    <w:link w:val="BodyTextFirstIndent"/>
    <w:uiPriority w:val="99"/>
    <w:semiHidden/>
    <w:rsid w:val="00DC7C62"/>
    <w:rPr>
      <w:rFonts w:ascii="Cambria" w:eastAsia="Cambria" w:hAnsi="Cambria" w:cs="Times New Roman"/>
      <w:sz w:val="24"/>
      <w:szCs w:val="24"/>
      <w:lang w:val="es-ES_tradnl"/>
    </w:rPr>
  </w:style>
  <w:style w:type="paragraph" w:styleId="ListBullet">
    <w:name w:val="List Bullet"/>
    <w:basedOn w:val="Normal"/>
    <w:uiPriority w:val="99"/>
    <w:unhideWhenUsed/>
    <w:rsid w:val="003D5C19"/>
    <w:pPr>
      <w:spacing w:after="200" w:line="276" w:lineRule="auto"/>
      <w:contextualSpacing/>
    </w:pPr>
    <w:rPr>
      <w:rFonts w:asciiTheme="minorHAnsi" w:eastAsiaTheme="minorHAnsi" w:hAnsiTheme="minorHAnsi" w:cstheme="minorBidi"/>
      <w:sz w:val="22"/>
      <w:szCs w:val="22"/>
    </w:rPr>
  </w:style>
  <w:style w:type="paragraph" w:styleId="BodyTextIndent">
    <w:name w:val="Body Text Indent"/>
    <w:basedOn w:val="Normal"/>
    <w:link w:val="BodyTextIndentChar"/>
    <w:uiPriority w:val="99"/>
    <w:semiHidden/>
    <w:unhideWhenUsed/>
    <w:rsid w:val="00AF24DE"/>
    <w:pPr>
      <w:spacing w:after="120"/>
      <w:ind w:left="283"/>
    </w:pPr>
  </w:style>
  <w:style w:type="character" w:customStyle="1" w:styleId="BodyTextIndentChar">
    <w:name w:val="Body Text Indent Char"/>
    <w:basedOn w:val="DefaultParagraphFont"/>
    <w:link w:val="BodyTextIndent"/>
    <w:uiPriority w:val="99"/>
    <w:semiHidden/>
    <w:rsid w:val="00AF24DE"/>
    <w:rPr>
      <w:rFonts w:ascii="Cambria" w:eastAsia="Cambria" w:hAnsi="Cambria" w:cs="Times New Roman"/>
      <w:sz w:val="24"/>
      <w:szCs w:val="24"/>
      <w:lang w:val="es-ES_tradnl"/>
    </w:rPr>
  </w:style>
  <w:style w:type="paragraph" w:styleId="BodyTextFirstIndent2">
    <w:name w:val="Body Text First Indent 2"/>
    <w:basedOn w:val="BodyTextIndent"/>
    <w:link w:val="BodyTextFirstIndent2Char"/>
    <w:uiPriority w:val="99"/>
    <w:unhideWhenUsed/>
    <w:rsid w:val="00AF24DE"/>
    <w:pPr>
      <w:spacing w:after="0"/>
      <w:ind w:left="360" w:firstLine="360"/>
    </w:pPr>
  </w:style>
  <w:style w:type="character" w:customStyle="1" w:styleId="BodyTextFirstIndent2Char">
    <w:name w:val="Body Text First Indent 2 Char"/>
    <w:basedOn w:val="BodyTextIndentChar"/>
    <w:link w:val="BodyTextFirstIndent2"/>
    <w:uiPriority w:val="99"/>
    <w:rsid w:val="00AF24DE"/>
    <w:rPr>
      <w:rFonts w:ascii="Cambria" w:eastAsia="Cambria" w:hAnsi="Cambria" w:cs="Times New Roman"/>
      <w:sz w:val="24"/>
      <w:szCs w:val="24"/>
      <w:lang w:val="es-ES_tradnl"/>
    </w:rPr>
  </w:style>
  <w:style w:type="paragraph" w:styleId="List">
    <w:name w:val="List"/>
    <w:basedOn w:val="Normal"/>
    <w:uiPriority w:val="99"/>
    <w:unhideWhenUsed/>
    <w:rsid w:val="00391BCA"/>
    <w:pPr>
      <w:spacing w:after="200" w:line="276" w:lineRule="auto"/>
      <w:ind w:left="283" w:hanging="283"/>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CA8DB5-6B06-4250-8557-7F5965E58DC3}"/>
</file>

<file path=customXml/itemProps2.xml><?xml version="1.0" encoding="utf-8"?>
<ds:datastoreItem xmlns:ds="http://schemas.openxmlformats.org/officeDocument/2006/customXml" ds:itemID="{AC18CBAC-F122-466B-8B4B-791F06BFD281}"/>
</file>

<file path=customXml/itemProps3.xml><?xml version="1.0" encoding="utf-8"?>
<ds:datastoreItem xmlns:ds="http://schemas.openxmlformats.org/officeDocument/2006/customXml" ds:itemID="{649C7214-CB28-41FC-91BF-68A0215AD704}"/>
</file>

<file path=customXml/itemProps4.xml><?xml version="1.0" encoding="utf-8"?>
<ds:datastoreItem xmlns:ds="http://schemas.openxmlformats.org/officeDocument/2006/customXml" ds:itemID="{3B4DA0D9-3EBB-44BF-999B-AAE4B492B65D}"/>
</file>

<file path=docProps/app.xml><?xml version="1.0" encoding="utf-8"?>
<Properties xmlns="http://schemas.openxmlformats.org/officeDocument/2006/extended-properties" xmlns:vt="http://schemas.openxmlformats.org/officeDocument/2006/docPropsVTypes">
  <Template>Normal.dotm</Template>
  <TotalTime>1</TotalTime>
  <Pages>5</Pages>
  <Words>1999</Words>
  <Characters>10836</Characters>
  <Application>Microsoft Office Word</Application>
  <DocSecurity>0</DocSecurity>
  <Lines>193</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dc:creator>
  <cp:lastModifiedBy>Boit James</cp:lastModifiedBy>
  <cp:revision>2</cp:revision>
  <cp:lastPrinted>2016-09-26T18:40:00Z</cp:lastPrinted>
  <dcterms:created xsi:type="dcterms:W3CDTF">2017-01-13T18:35:00Z</dcterms:created>
  <dcterms:modified xsi:type="dcterms:W3CDTF">2017-01-13T18:35:00Z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