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8828"/>
      </w:tblGrid>
      <w:tr w:rsidR="00DE3305" w:rsidRPr="00E8613C" w14:paraId="59A9AD22" w14:textId="77777777" w:rsidTr="00A33DB3">
        <w:tc>
          <w:tcPr>
            <w:tcW w:w="8828" w:type="dxa"/>
            <w:shd w:val="clear" w:color="auto" w:fill="CC99FF"/>
          </w:tcPr>
          <w:p w14:paraId="37972886" w14:textId="7E778B36" w:rsidR="00604BBC" w:rsidRDefault="00DE3305" w:rsidP="00604BBC">
            <w:pPr>
              <w:jc w:val="center"/>
              <w:rPr>
                <w:rFonts w:ascii="Arial" w:eastAsia="Times New Roman" w:hAnsi="Arial" w:cs="Arial"/>
                <w:b/>
                <w:bCs/>
                <w:sz w:val="24"/>
                <w:szCs w:val="24"/>
              </w:rPr>
            </w:pPr>
            <w:bookmarkStart w:id="0" w:name="_Hlk198322591"/>
            <w:r w:rsidRPr="00DE3305">
              <w:rPr>
                <w:rFonts w:ascii="Arial" w:eastAsia="Times New Roman" w:hAnsi="Arial" w:cs="Arial"/>
                <w:b/>
                <w:bCs/>
                <w:sz w:val="24"/>
                <w:szCs w:val="24"/>
              </w:rPr>
              <w:t>Tipificación y protocolo de feminicidio. Un abismo de la ley a su aplicación</w:t>
            </w:r>
            <w:r w:rsidR="00604BBC">
              <w:rPr>
                <w:rFonts w:ascii="Arial" w:eastAsia="Times New Roman" w:hAnsi="Arial" w:cs="Arial"/>
                <w:b/>
                <w:bCs/>
                <w:sz w:val="24"/>
                <w:szCs w:val="24"/>
              </w:rPr>
              <w:t xml:space="preserve"> y el caso de la medida correctiva 33 en la AVGM de Zacatecas </w:t>
            </w:r>
          </w:p>
          <w:p w14:paraId="544238E7" w14:textId="77777777" w:rsidR="00604BBC" w:rsidRDefault="00604BBC" w:rsidP="00604BBC">
            <w:pPr>
              <w:jc w:val="center"/>
              <w:rPr>
                <w:rFonts w:ascii="Arial" w:eastAsia="Times New Roman" w:hAnsi="Arial" w:cs="Arial"/>
                <w:b/>
                <w:bCs/>
                <w:sz w:val="24"/>
                <w:szCs w:val="24"/>
              </w:rPr>
            </w:pPr>
          </w:p>
          <w:p w14:paraId="3D012655" w14:textId="2A77236F" w:rsidR="00DE3305" w:rsidRPr="00A33DB3" w:rsidRDefault="00DE3305" w:rsidP="00FA4049">
            <w:pPr>
              <w:jc w:val="center"/>
              <w:rPr>
                <w:rFonts w:ascii="Times New Roman" w:eastAsia="Times New Roman" w:hAnsi="Times New Roman"/>
                <w:b/>
              </w:rPr>
            </w:pPr>
            <w:r w:rsidRPr="00DE3305">
              <w:rPr>
                <w:rFonts w:ascii="Arial" w:eastAsia="Times New Roman" w:hAnsi="Arial" w:cs="Arial"/>
                <w:b/>
                <w:bCs/>
                <w:sz w:val="24"/>
                <w:szCs w:val="24"/>
              </w:rPr>
              <w:t xml:space="preserve"> Informe sombra </w:t>
            </w:r>
            <w:r w:rsidR="00DB47AA">
              <w:rPr>
                <w:rFonts w:ascii="Arial" w:eastAsia="Times New Roman" w:hAnsi="Arial" w:cs="Arial"/>
                <w:b/>
                <w:bCs/>
                <w:sz w:val="24"/>
                <w:szCs w:val="24"/>
              </w:rPr>
              <w:t>e</w:t>
            </w:r>
            <w:r w:rsidRPr="00A33DB3">
              <w:rPr>
                <w:rFonts w:ascii="Arial" w:eastAsia="Times New Roman" w:hAnsi="Arial" w:cs="Arial"/>
                <w:b/>
                <w:color w:val="000000"/>
              </w:rPr>
              <w:t>n seguimiento de las recomendaciones del Comité CEDAW al Estado Mexicano en ocasión del X informe de México</w:t>
            </w:r>
            <w:r w:rsidRPr="00A33DB3">
              <w:rPr>
                <w:rFonts w:ascii="Calibri" w:eastAsia="Times New Roman" w:hAnsi="Calibri" w:cs="Calibri"/>
                <w:b/>
                <w:color w:val="000000"/>
              </w:rPr>
              <w:t>.</w:t>
            </w:r>
          </w:p>
          <w:p w14:paraId="70286B4F" w14:textId="77777777" w:rsidR="00DE3305" w:rsidRPr="00E8613C" w:rsidRDefault="00DE3305" w:rsidP="00FA4049">
            <w:pPr>
              <w:tabs>
                <w:tab w:val="left" w:pos="3480"/>
                <w:tab w:val="center" w:pos="4419"/>
              </w:tabs>
              <w:rPr>
                <w:rFonts w:ascii="Calibri" w:eastAsia="Times New Roman" w:hAnsi="Calibri" w:cs="Calibri"/>
                <w:color w:val="000000"/>
              </w:rPr>
            </w:pPr>
          </w:p>
        </w:tc>
      </w:tr>
      <w:bookmarkEnd w:id="0"/>
    </w:tbl>
    <w:p w14:paraId="4B3D032D" w14:textId="6C9A3038" w:rsidR="00DE3305" w:rsidRDefault="00DE3305" w:rsidP="00133009"/>
    <w:p w14:paraId="072AF0EE" w14:textId="77777777" w:rsidR="00DE3305" w:rsidRPr="00DB47AA" w:rsidRDefault="00DE3305" w:rsidP="00A33DB3">
      <w:pPr>
        <w:spacing w:line="276" w:lineRule="auto"/>
        <w:jc w:val="center"/>
        <w:rPr>
          <w:rFonts w:ascii="Arial" w:eastAsia="Times New Roman" w:hAnsi="Arial" w:cs="Arial"/>
          <w:kern w:val="0"/>
          <w:sz w:val="20"/>
          <w:szCs w:val="20"/>
          <w:lang w:eastAsia="es-MX"/>
          <w14:ligatures w14:val="none"/>
        </w:rPr>
      </w:pPr>
      <w:r w:rsidRPr="00DB47AA">
        <w:rPr>
          <w:rFonts w:ascii="Arial" w:eastAsia="Times New Roman" w:hAnsi="Arial" w:cs="Arial"/>
          <w:b/>
          <w:bCs/>
          <w:color w:val="000000"/>
          <w:kern w:val="0"/>
          <w:sz w:val="20"/>
          <w:szCs w:val="20"/>
          <w:lang w:eastAsia="es-MX"/>
          <w14:ligatures w14:val="none"/>
        </w:rPr>
        <w:t>Este documento puede ser publicado en la página web del ACNUDH relativa a la CEDAW con fines de divulgación pública</w:t>
      </w:r>
    </w:p>
    <w:p w14:paraId="15698373" w14:textId="77777777" w:rsidR="00DE3305" w:rsidRPr="00DB47AA" w:rsidRDefault="00DE3305" w:rsidP="00DE3305">
      <w:pPr>
        <w:spacing w:after="0" w:line="276" w:lineRule="auto"/>
        <w:jc w:val="both"/>
        <w:rPr>
          <w:rFonts w:ascii="Arial" w:eastAsia="Times New Roman" w:hAnsi="Arial" w:cs="Arial"/>
          <w:kern w:val="0"/>
          <w:sz w:val="16"/>
          <w:szCs w:val="16"/>
          <w:lang w:eastAsia="es-MX"/>
          <w14:ligatures w14:val="none"/>
        </w:rPr>
      </w:pPr>
    </w:p>
    <w:p w14:paraId="7B620219" w14:textId="267B56E4" w:rsidR="005E2E46" w:rsidRPr="00DB47AA" w:rsidRDefault="005E2E46" w:rsidP="00DB47AA">
      <w:pPr>
        <w:spacing w:line="240" w:lineRule="auto"/>
        <w:jc w:val="both"/>
        <w:rPr>
          <w:rFonts w:ascii="Arial" w:eastAsia="Times New Roman" w:hAnsi="Arial" w:cs="Arial"/>
          <w:sz w:val="20"/>
          <w:szCs w:val="20"/>
        </w:rPr>
      </w:pPr>
      <w:r w:rsidRPr="00DB47AA">
        <w:rPr>
          <w:rFonts w:ascii="Arial" w:eastAsia="Times New Roman" w:hAnsi="Arial" w:cs="Arial"/>
          <w:color w:val="000000"/>
          <w:sz w:val="20"/>
          <w:szCs w:val="20"/>
        </w:rPr>
        <w:t>El presente informe lo envía</w:t>
      </w:r>
      <w:r w:rsidR="00694D92">
        <w:rPr>
          <w:rFonts w:ascii="Arial" w:eastAsia="Times New Roman" w:hAnsi="Arial" w:cs="Arial"/>
          <w:color w:val="000000"/>
          <w:sz w:val="20"/>
          <w:szCs w:val="20"/>
        </w:rPr>
        <w:t xml:space="preserve"> </w:t>
      </w:r>
      <w:r w:rsidRPr="00DB47AA">
        <w:rPr>
          <w:rFonts w:ascii="Arial" w:eastAsia="Times New Roman" w:hAnsi="Arial" w:cs="Arial"/>
          <w:color w:val="000000"/>
          <w:sz w:val="20"/>
          <w:szCs w:val="20"/>
        </w:rPr>
        <w:t xml:space="preserve"> la </w:t>
      </w:r>
      <w:r w:rsidR="00C270D2">
        <w:rPr>
          <w:rFonts w:ascii="Arial" w:eastAsia="Times New Roman" w:hAnsi="Arial" w:cs="Arial"/>
          <w:color w:val="000000"/>
          <w:sz w:val="20"/>
          <w:szCs w:val="20"/>
        </w:rPr>
        <w:t xml:space="preserve"> </w:t>
      </w:r>
      <w:r w:rsidRPr="00DB47AA">
        <w:rPr>
          <w:rFonts w:ascii="Arial" w:eastAsia="Times New Roman" w:hAnsi="Arial" w:cs="Arial"/>
          <w:color w:val="000000"/>
          <w:sz w:val="20"/>
          <w:szCs w:val="20"/>
        </w:rPr>
        <w:t xml:space="preserve">Red Nacional de Alertistas (RNA), la Cátedra UNESCO de Derechos Humanos de la UNAM y la Federación Mexicana de Universitarias (FEMU) AC. </w:t>
      </w:r>
    </w:p>
    <w:p w14:paraId="79F78292" w14:textId="77777777" w:rsidR="005E2E46" w:rsidRDefault="005E2E46" w:rsidP="00DB47AA">
      <w:pPr>
        <w:spacing w:after="0" w:line="240" w:lineRule="auto"/>
        <w:jc w:val="both"/>
        <w:rPr>
          <w:rFonts w:ascii="Arial" w:hAnsi="Arial" w:cs="Arial"/>
          <w:b/>
          <w:sz w:val="20"/>
          <w:szCs w:val="20"/>
        </w:rPr>
      </w:pPr>
      <w:r w:rsidRPr="00DB47AA">
        <w:rPr>
          <w:rFonts w:ascii="Arial" w:hAnsi="Arial" w:cs="Arial"/>
          <w:b/>
          <w:sz w:val="20"/>
          <w:szCs w:val="20"/>
        </w:rPr>
        <w:t>Coordinación:</w:t>
      </w:r>
    </w:p>
    <w:p w14:paraId="55EFFF08" w14:textId="77777777" w:rsidR="00C270D2" w:rsidRPr="00DB47AA" w:rsidRDefault="00C270D2" w:rsidP="00DB47AA">
      <w:pPr>
        <w:spacing w:after="0" w:line="240" w:lineRule="auto"/>
        <w:jc w:val="both"/>
        <w:rPr>
          <w:rFonts w:ascii="Arial" w:hAnsi="Arial" w:cs="Arial"/>
          <w:b/>
          <w:sz w:val="20"/>
          <w:szCs w:val="20"/>
        </w:rPr>
      </w:pPr>
    </w:p>
    <w:p w14:paraId="2242D695" w14:textId="0B36F7DD" w:rsidR="005E2E46" w:rsidRDefault="005E2E46" w:rsidP="00DB47AA">
      <w:pPr>
        <w:spacing w:after="0" w:line="240" w:lineRule="auto"/>
        <w:jc w:val="both"/>
        <w:rPr>
          <w:rFonts w:ascii="Arial" w:hAnsi="Arial" w:cs="Arial"/>
          <w:b/>
          <w:sz w:val="20"/>
          <w:szCs w:val="20"/>
        </w:rPr>
      </w:pPr>
      <w:r w:rsidRPr="00DB47AA">
        <w:rPr>
          <w:rFonts w:ascii="Arial" w:hAnsi="Arial" w:cs="Arial"/>
          <w:sz w:val="20"/>
          <w:szCs w:val="20"/>
        </w:rPr>
        <w:t xml:space="preserve">Dra. Gloria Ramírez Hernández. </w:t>
      </w:r>
      <w:r w:rsidRPr="00DB47AA">
        <w:rPr>
          <w:rFonts w:ascii="Arial" w:hAnsi="Arial" w:cs="Arial"/>
          <w:b/>
          <w:sz w:val="20"/>
          <w:szCs w:val="20"/>
        </w:rPr>
        <w:t xml:space="preserve">Cátedra UNESCO de Derechos Humanos de la UNAM/Federación Mexicana de Universitarias A.C. </w:t>
      </w:r>
    </w:p>
    <w:p w14:paraId="48EF3546" w14:textId="77777777" w:rsidR="00C270D2" w:rsidRPr="00DB47AA" w:rsidRDefault="00C270D2" w:rsidP="00DB47AA">
      <w:pPr>
        <w:spacing w:after="0" w:line="240" w:lineRule="auto"/>
        <w:jc w:val="both"/>
        <w:rPr>
          <w:rFonts w:ascii="Arial" w:hAnsi="Arial" w:cs="Arial"/>
          <w:sz w:val="20"/>
          <w:szCs w:val="20"/>
        </w:rPr>
      </w:pPr>
    </w:p>
    <w:p w14:paraId="1245BE26" w14:textId="6A1F1360" w:rsidR="005E2E46" w:rsidRPr="00DB47AA" w:rsidRDefault="00C270D2" w:rsidP="00DB47AA">
      <w:pPr>
        <w:spacing w:after="0" w:line="240" w:lineRule="auto"/>
        <w:jc w:val="both"/>
        <w:rPr>
          <w:rFonts w:ascii="Arial" w:hAnsi="Arial" w:cs="Arial"/>
          <w:sz w:val="20"/>
          <w:szCs w:val="20"/>
        </w:rPr>
      </w:pPr>
      <w:r>
        <w:rPr>
          <w:rFonts w:ascii="Arial" w:hAnsi="Arial" w:cs="Arial"/>
          <w:sz w:val="20"/>
          <w:szCs w:val="20"/>
        </w:rPr>
        <w:t>Mtra</w:t>
      </w:r>
      <w:r w:rsidR="005E2E46" w:rsidRPr="00DB47AA">
        <w:rPr>
          <w:rFonts w:ascii="Arial" w:hAnsi="Arial" w:cs="Arial"/>
          <w:sz w:val="20"/>
          <w:szCs w:val="20"/>
        </w:rPr>
        <w:t xml:space="preserve">. Marina Reyna Aguilar, </w:t>
      </w:r>
      <w:r w:rsidR="000659CA">
        <w:rPr>
          <w:rFonts w:ascii="Arial" w:hAnsi="Arial" w:cs="Arial"/>
          <w:sz w:val="20"/>
          <w:szCs w:val="20"/>
        </w:rPr>
        <w:t>Mtra Ma Luisa Sosa</w:t>
      </w:r>
      <w:r w:rsidR="00F07ECC">
        <w:rPr>
          <w:rFonts w:ascii="Arial" w:hAnsi="Arial" w:cs="Arial"/>
          <w:sz w:val="20"/>
          <w:szCs w:val="20"/>
        </w:rPr>
        <w:t xml:space="preserve"> de la Torre</w:t>
      </w:r>
      <w:r w:rsidR="000659CA">
        <w:rPr>
          <w:rFonts w:ascii="Arial" w:eastAsia="Times New Roman" w:hAnsi="Arial" w:cs="Arial"/>
          <w:color w:val="000000"/>
          <w:sz w:val="20"/>
          <w:szCs w:val="20"/>
        </w:rPr>
        <w:t xml:space="preserve">, </w:t>
      </w:r>
      <w:r>
        <w:rPr>
          <w:rFonts w:ascii="Arial" w:hAnsi="Arial" w:cs="Arial"/>
          <w:sz w:val="20"/>
          <w:szCs w:val="20"/>
        </w:rPr>
        <w:t>Dra</w:t>
      </w:r>
      <w:r w:rsidR="005E2E46" w:rsidRPr="00DB47AA">
        <w:rPr>
          <w:rFonts w:ascii="Arial" w:hAnsi="Arial" w:cs="Arial"/>
          <w:sz w:val="20"/>
          <w:szCs w:val="20"/>
        </w:rPr>
        <w:t>. Evangelina Flores Ceceña</w:t>
      </w:r>
      <w:r w:rsidR="000659CA">
        <w:rPr>
          <w:rFonts w:ascii="Arial" w:hAnsi="Arial" w:cs="Arial"/>
          <w:sz w:val="20"/>
          <w:szCs w:val="20"/>
        </w:rPr>
        <w:t xml:space="preserve"> y </w:t>
      </w:r>
      <w:r w:rsidR="000659CA" w:rsidRPr="00DB47AA">
        <w:rPr>
          <w:rFonts w:ascii="Arial" w:hAnsi="Arial" w:cs="Arial"/>
          <w:sz w:val="20"/>
          <w:szCs w:val="20"/>
        </w:rPr>
        <w:t>Lic. Leticia Burgos</w:t>
      </w:r>
      <w:r w:rsidR="00F07ECC">
        <w:rPr>
          <w:rFonts w:ascii="Arial" w:hAnsi="Arial" w:cs="Arial"/>
          <w:sz w:val="20"/>
          <w:szCs w:val="20"/>
        </w:rPr>
        <w:t xml:space="preserve"> Ochoa</w:t>
      </w:r>
      <w:r w:rsidR="000659CA">
        <w:rPr>
          <w:rFonts w:ascii="Arial" w:hAnsi="Arial" w:cs="Arial"/>
          <w:sz w:val="20"/>
          <w:szCs w:val="20"/>
        </w:rPr>
        <w:t>.</w:t>
      </w:r>
      <w:r w:rsidR="000659CA" w:rsidRPr="00DB47AA">
        <w:rPr>
          <w:rFonts w:ascii="Arial" w:hAnsi="Arial" w:cs="Arial"/>
          <w:sz w:val="20"/>
          <w:szCs w:val="20"/>
        </w:rPr>
        <w:t xml:space="preserve"> </w:t>
      </w:r>
      <w:r w:rsidR="005E2E46" w:rsidRPr="00DB47AA">
        <w:rPr>
          <w:rFonts w:ascii="Arial" w:hAnsi="Arial" w:cs="Arial"/>
          <w:b/>
          <w:sz w:val="20"/>
          <w:szCs w:val="20"/>
        </w:rPr>
        <w:t>Red Nacional de Alertistas</w:t>
      </w:r>
    </w:p>
    <w:p w14:paraId="189C69A2" w14:textId="4F68E68B" w:rsidR="005E2E46" w:rsidRPr="00DB47AA" w:rsidRDefault="005E2E46" w:rsidP="005E2E46">
      <w:pPr>
        <w:spacing w:line="360" w:lineRule="auto"/>
        <w:jc w:val="both"/>
        <w:rPr>
          <w:sz w:val="16"/>
          <w:szCs w:val="16"/>
        </w:rPr>
      </w:pPr>
    </w:p>
    <w:p w14:paraId="7407E2DC" w14:textId="07CA8133" w:rsidR="00DB47AA" w:rsidRPr="00694D92" w:rsidRDefault="00DB47AA" w:rsidP="005E2E46">
      <w:pPr>
        <w:spacing w:line="360" w:lineRule="auto"/>
        <w:jc w:val="both"/>
        <w:rPr>
          <w:rFonts w:ascii="Arial" w:hAnsi="Arial" w:cs="Arial"/>
          <w:sz w:val="14"/>
          <w:szCs w:val="14"/>
        </w:rPr>
      </w:pPr>
      <w:r w:rsidRPr="00C270D2">
        <w:rPr>
          <w:rFonts w:ascii="Arial" w:hAnsi="Arial" w:cs="Arial"/>
          <w:b/>
          <w:bCs/>
          <w:sz w:val="14"/>
          <w:szCs w:val="14"/>
        </w:rPr>
        <w:t>Integrantes de la Red Nacional de Alertistas:  A</w:t>
      </w:r>
      <w:r w:rsidRPr="00DB47AA">
        <w:rPr>
          <w:rFonts w:ascii="Arial" w:hAnsi="Arial" w:cs="Arial"/>
          <w:sz w:val="14"/>
          <w:szCs w:val="14"/>
        </w:rPr>
        <w:t>guascalientes: Centro de Capacitación para el desarrollo Comunitario, A.C. Campeche: Red de Mujeres y Hombres por una Opinión Pública con Perspectiva de Género A.C.; Observatorio de Violencia Social y de Género de Campeche; Ciudad de México: Las del Aquelarre, mujeres por la paz, l</w:t>
      </w:r>
      <w:r w:rsidR="007841E8">
        <w:rPr>
          <w:rFonts w:ascii="Arial" w:hAnsi="Arial" w:cs="Arial"/>
          <w:sz w:val="14"/>
          <w:szCs w:val="14"/>
        </w:rPr>
        <w:t xml:space="preserve">a libertad y la justicia A. C.; </w:t>
      </w:r>
      <w:r w:rsidRPr="00DB47AA">
        <w:rPr>
          <w:rFonts w:ascii="Arial" w:hAnsi="Arial" w:cs="Arial"/>
          <w:sz w:val="14"/>
          <w:szCs w:val="14"/>
        </w:rPr>
        <w:t>Chihuahua: Movimiento Igualitario LGBTTTI Chihuahuense; Centro de Intervención en Crisis Alma Calma A.C.; Colima: Fundación Ius Género A.C.; Durango: Fundación por la Promoción el Desarrollo y el Empoderamiento de las Mujeres A.C.; Mujeres Tejiendo el Género y Bordando Redes A.C.; Estado de México: Tejiendo un Sueño, A.C.; Guerrero: Asociación Guerrerense contra la Violencia hacia las Mujeres A.C.; Grupo Interdisciplinario para la Igualdad A.C., Red de Periodistas Guerrerenses con Visión de Género, Nayarit: Uka Nauiwame, A.C.; Puebla: Todos para Todos A.C.; Querétaro: Comité Promotor de la AVGM e integrante del Centro Latinoamericano para la Paz, la C</w:t>
      </w:r>
      <w:r w:rsidR="007841E8">
        <w:rPr>
          <w:rFonts w:ascii="Arial" w:hAnsi="Arial" w:cs="Arial"/>
          <w:sz w:val="14"/>
          <w:szCs w:val="14"/>
        </w:rPr>
        <w:t>ooperación y el Desarrollo S.C.</w:t>
      </w:r>
      <w:r w:rsidRPr="00DB47AA">
        <w:rPr>
          <w:rFonts w:ascii="Arial" w:hAnsi="Arial" w:cs="Arial"/>
          <w:sz w:val="14"/>
          <w:szCs w:val="14"/>
        </w:rPr>
        <w:t>;Comité Promotor de la AVGM en Querétaro ;Red Civil en Equidad de Género, Desarrollo Comunitario para la Transformación Social A.C..; Quintana Roo: Consejo Estatal de Mujeres de Quintana Roo A.C.; Conciencia Humana Mira para los Demás A.C. ;San Luis Potosí: Colegio de San Luis, Universidad Autónoma de SLP y Mesa Ciudadana de Seguimiento a la AVGM y Feminicidio en SLP.; Sinaloa: Colectivo de Mujeres Activas de Sinaloa A.C.; Sonora: Alternativa Cultural por la Equidad de Género A.C ; Yo Observo Cajeme y Red Feminista Sonorense.; Tabasco: Universidad Juárez Autónoma de Tabasco. Tlaxcala: Todos para Todos A.C.; Zacatecas, Coordinación Feminista Olimpia de Gouges A.C.</w:t>
      </w:r>
    </w:p>
    <w:p w14:paraId="2C41AAAC" w14:textId="77777777" w:rsidR="00120FA7" w:rsidRDefault="00120FA7" w:rsidP="005E2E46">
      <w:pPr>
        <w:spacing w:after="0" w:line="360" w:lineRule="auto"/>
        <w:jc w:val="both"/>
        <w:rPr>
          <w:rFonts w:ascii="Arial" w:hAnsi="Arial" w:cs="Arial"/>
          <w:b/>
          <w:sz w:val="18"/>
          <w:szCs w:val="18"/>
        </w:rPr>
      </w:pPr>
    </w:p>
    <w:p w14:paraId="438D3DAC" w14:textId="28F3CE64" w:rsidR="005E2E46" w:rsidRPr="006D62DF" w:rsidRDefault="005E2E46" w:rsidP="005E2E46">
      <w:pPr>
        <w:spacing w:after="0" w:line="360" w:lineRule="auto"/>
        <w:jc w:val="both"/>
        <w:rPr>
          <w:rFonts w:ascii="Arial" w:hAnsi="Arial" w:cs="Arial"/>
          <w:b/>
          <w:sz w:val="18"/>
          <w:szCs w:val="18"/>
        </w:rPr>
      </w:pPr>
      <w:r w:rsidRPr="006D62DF">
        <w:rPr>
          <w:rFonts w:ascii="Arial" w:hAnsi="Arial" w:cs="Arial"/>
          <w:b/>
          <w:sz w:val="18"/>
          <w:szCs w:val="18"/>
        </w:rPr>
        <w:t xml:space="preserve">Con la participación de: </w:t>
      </w:r>
    </w:p>
    <w:p w14:paraId="1C83D6D0" w14:textId="77777777" w:rsidR="005E2E46" w:rsidRPr="006D62DF" w:rsidRDefault="005E2E46" w:rsidP="005E2E46">
      <w:pPr>
        <w:spacing w:after="0" w:line="360" w:lineRule="auto"/>
        <w:jc w:val="both"/>
        <w:rPr>
          <w:rFonts w:ascii="Arial" w:hAnsi="Arial" w:cs="Arial"/>
          <w:sz w:val="18"/>
          <w:szCs w:val="18"/>
        </w:rPr>
      </w:pPr>
      <w:r w:rsidRPr="006D62DF">
        <w:rPr>
          <w:rFonts w:ascii="Arial" w:hAnsi="Arial" w:cs="Arial"/>
          <w:sz w:val="18"/>
          <w:szCs w:val="18"/>
        </w:rPr>
        <w:t>Azucena Enríquez García, Secretaria académica de la CUDH-UNAM</w:t>
      </w:r>
    </w:p>
    <w:p w14:paraId="32E37EE1" w14:textId="0184F605" w:rsidR="005E2E46" w:rsidRPr="00604BBC" w:rsidRDefault="00DE6B4E" w:rsidP="00604BBC">
      <w:pPr>
        <w:spacing w:after="0" w:line="240" w:lineRule="auto"/>
        <w:jc w:val="both"/>
        <w:rPr>
          <w:rFonts w:ascii="Arial" w:hAnsi="Arial" w:cs="Arial"/>
          <w:b/>
          <w:sz w:val="18"/>
          <w:szCs w:val="18"/>
        </w:rPr>
      </w:pPr>
      <w:r w:rsidRPr="006D62DF">
        <w:rPr>
          <w:rFonts w:ascii="Arial" w:hAnsi="Arial" w:cs="Arial"/>
          <w:sz w:val="18"/>
          <w:szCs w:val="18"/>
        </w:rPr>
        <w:t>Jessica Hernández Narcizo y Valeria Fernanda Dorantes Romero, becarias de la CUDH-UNAM</w:t>
      </w:r>
    </w:p>
    <w:p w14:paraId="5C875614" w14:textId="77777777" w:rsidR="005E2E46" w:rsidRPr="006D62DF" w:rsidRDefault="005E2E46" w:rsidP="005E2E46">
      <w:pPr>
        <w:spacing w:after="0" w:line="360" w:lineRule="auto"/>
        <w:jc w:val="both"/>
        <w:rPr>
          <w:rStyle w:val="Hipervnculo"/>
          <w:rFonts w:ascii="Arial" w:hAnsi="Arial" w:cs="Arial"/>
          <w:sz w:val="18"/>
          <w:szCs w:val="18"/>
        </w:rPr>
      </w:pPr>
      <w:r w:rsidRPr="006D62DF">
        <w:rPr>
          <w:rFonts w:ascii="Arial" w:hAnsi="Arial" w:cs="Arial"/>
          <w:sz w:val="18"/>
          <w:szCs w:val="18"/>
        </w:rPr>
        <w:t xml:space="preserve">Comunicación: </w:t>
      </w:r>
      <w:hyperlink r:id="rId8" w:history="1">
        <w:r w:rsidRPr="006D62DF">
          <w:rPr>
            <w:rStyle w:val="Hipervnculo"/>
            <w:rFonts w:ascii="Arial" w:hAnsi="Arial" w:cs="Arial"/>
            <w:sz w:val="18"/>
            <w:szCs w:val="18"/>
          </w:rPr>
          <w:t>cedawciudadanas@gmail.com</w:t>
        </w:r>
      </w:hyperlink>
    </w:p>
    <w:p w14:paraId="38050278" w14:textId="4926ADC0" w:rsidR="005E2E46" w:rsidRPr="006D62DF" w:rsidRDefault="000823FD" w:rsidP="00DB47AA">
      <w:pPr>
        <w:spacing w:after="0" w:line="360" w:lineRule="auto"/>
        <w:jc w:val="both"/>
        <w:rPr>
          <w:rFonts w:ascii="Arial" w:hAnsi="Arial" w:cs="Arial"/>
          <w:sz w:val="18"/>
          <w:szCs w:val="18"/>
        </w:rPr>
      </w:pPr>
      <w:hyperlink r:id="rId9" w:history="1">
        <w:r w:rsidR="00DB47AA" w:rsidRPr="006D62DF">
          <w:rPr>
            <w:rStyle w:val="Hipervnculo"/>
            <w:rFonts w:ascii="Arial" w:hAnsi="Arial" w:cs="Arial"/>
            <w:sz w:val="18"/>
            <w:szCs w:val="18"/>
          </w:rPr>
          <w:t>https://catedraunescodh.unam.mx/catedra/catedra/</w:t>
        </w:r>
      </w:hyperlink>
    </w:p>
    <w:p w14:paraId="36E5AFED" w14:textId="77777777" w:rsidR="00DB47AA" w:rsidRPr="006D62DF" w:rsidRDefault="00DB47AA" w:rsidP="00DB47AA">
      <w:pPr>
        <w:spacing w:after="0" w:line="360" w:lineRule="auto"/>
        <w:jc w:val="both"/>
        <w:rPr>
          <w:rFonts w:ascii="Arial" w:hAnsi="Arial" w:cs="Arial"/>
          <w:sz w:val="18"/>
          <w:szCs w:val="18"/>
        </w:rPr>
      </w:pPr>
    </w:p>
    <w:p w14:paraId="3F1533D3" w14:textId="77777777" w:rsidR="00120FA7" w:rsidRDefault="00120FA7" w:rsidP="005E2E46">
      <w:pPr>
        <w:spacing w:before="200" w:line="360" w:lineRule="auto"/>
        <w:jc w:val="center"/>
        <w:rPr>
          <w:rFonts w:ascii="Arial" w:hAnsi="Arial" w:cs="Arial"/>
          <w:sz w:val="18"/>
          <w:szCs w:val="18"/>
        </w:rPr>
      </w:pPr>
    </w:p>
    <w:p w14:paraId="043DB758" w14:textId="6E3D41E1" w:rsidR="005E2E46" w:rsidRDefault="005E2E46" w:rsidP="005E2E46">
      <w:pPr>
        <w:spacing w:before="200" w:line="360" w:lineRule="auto"/>
        <w:jc w:val="center"/>
        <w:rPr>
          <w:rFonts w:ascii="Arial" w:hAnsi="Arial" w:cs="Arial"/>
          <w:sz w:val="18"/>
          <w:szCs w:val="18"/>
        </w:rPr>
      </w:pPr>
      <w:r w:rsidRPr="006D62DF">
        <w:rPr>
          <w:rFonts w:ascii="Arial" w:hAnsi="Arial" w:cs="Arial"/>
          <w:sz w:val="18"/>
          <w:szCs w:val="18"/>
        </w:rPr>
        <w:t>Con apoyo del Proyecto PAPIIT IN302023 “25 años de informes ante la CEDAW en México. Balance, evaluación, resultados y avances”</w:t>
      </w:r>
    </w:p>
    <w:p w14:paraId="7238D7FD" w14:textId="6ADED99A" w:rsidR="00DE3305" w:rsidRPr="00604BBC" w:rsidRDefault="00604BBC" w:rsidP="00604BBC">
      <w:pPr>
        <w:spacing w:before="200" w:line="360" w:lineRule="auto"/>
        <w:jc w:val="center"/>
        <w:rPr>
          <w:rFonts w:ascii="Arial" w:hAnsi="Arial" w:cs="Arial"/>
          <w:sz w:val="18"/>
          <w:szCs w:val="18"/>
        </w:rPr>
      </w:pPr>
      <w:r>
        <w:rPr>
          <w:rFonts w:ascii="Arial" w:hAnsi="Arial" w:cs="Arial"/>
          <w:sz w:val="18"/>
          <w:szCs w:val="18"/>
        </w:rPr>
        <w:t>18 de mayo 2025</w:t>
      </w:r>
      <w:r w:rsidR="00DE3305" w:rsidRPr="00DB47AA">
        <w:rPr>
          <w:sz w:val="22"/>
          <w:szCs w:val="22"/>
        </w:rPr>
        <w:br w:type="page"/>
      </w:r>
    </w:p>
    <w:p w14:paraId="54FD0E73" w14:textId="77777777" w:rsidR="00377E9A" w:rsidRDefault="00377E9A" w:rsidP="005D5669">
      <w:pPr>
        <w:jc w:val="center"/>
        <w:rPr>
          <w:rFonts w:ascii="Arial" w:hAnsi="Arial" w:cs="Arial"/>
          <w:b/>
          <w:bCs/>
        </w:rPr>
      </w:pPr>
    </w:p>
    <w:p w14:paraId="07F0B414" w14:textId="2B04631C" w:rsidR="00377E9A" w:rsidRDefault="00DE3305" w:rsidP="005D5669">
      <w:pPr>
        <w:jc w:val="center"/>
        <w:rPr>
          <w:rFonts w:ascii="Arial" w:hAnsi="Arial" w:cs="Arial"/>
          <w:b/>
          <w:bCs/>
        </w:rPr>
      </w:pPr>
      <w:r w:rsidRPr="005D5669">
        <w:rPr>
          <w:rFonts w:ascii="Arial" w:hAnsi="Arial" w:cs="Arial"/>
          <w:b/>
          <w:bCs/>
        </w:rPr>
        <w:t>Tipificación y protocolo de feminicidio. Un abismo de la ley a su aplicación</w:t>
      </w:r>
      <w:r w:rsidR="00377E9A">
        <w:rPr>
          <w:rFonts w:ascii="Arial" w:hAnsi="Arial" w:cs="Arial"/>
          <w:b/>
          <w:bCs/>
        </w:rPr>
        <w:t xml:space="preserve"> y</w:t>
      </w:r>
    </w:p>
    <w:p w14:paraId="73C25103" w14:textId="2D721091" w:rsidR="00377E9A" w:rsidRDefault="00377E9A" w:rsidP="00377E9A">
      <w:pPr>
        <w:jc w:val="center"/>
        <w:rPr>
          <w:rFonts w:ascii="Arial" w:eastAsia="Times New Roman" w:hAnsi="Arial" w:cs="Arial"/>
          <w:b/>
          <w:bCs/>
        </w:rPr>
      </w:pPr>
      <w:r>
        <w:rPr>
          <w:rFonts w:ascii="Arial" w:eastAsia="Times New Roman" w:hAnsi="Arial" w:cs="Arial"/>
          <w:b/>
          <w:bCs/>
        </w:rPr>
        <w:t xml:space="preserve">el caso de la medida correctiva 33 en la AVGM de Zacatecas </w:t>
      </w:r>
    </w:p>
    <w:p w14:paraId="00AAD402" w14:textId="77777777" w:rsidR="00377E9A" w:rsidRDefault="00377E9A" w:rsidP="00377E9A">
      <w:pPr>
        <w:jc w:val="center"/>
        <w:rPr>
          <w:rFonts w:ascii="Arial" w:eastAsia="Times New Roman" w:hAnsi="Arial" w:cs="Arial"/>
          <w:b/>
          <w:bCs/>
        </w:rPr>
      </w:pPr>
    </w:p>
    <w:p w14:paraId="551723B9" w14:textId="77777777" w:rsidR="00377E9A" w:rsidRDefault="00377E9A" w:rsidP="005D5669">
      <w:pPr>
        <w:jc w:val="center"/>
        <w:rPr>
          <w:rFonts w:ascii="Arial" w:hAnsi="Arial" w:cs="Arial"/>
          <w:b/>
          <w:bCs/>
        </w:rPr>
      </w:pPr>
    </w:p>
    <w:p w14:paraId="08F10578" w14:textId="767F2D10" w:rsidR="005D5669" w:rsidRPr="005D5669" w:rsidRDefault="005D5669" w:rsidP="005D5669">
      <w:pPr>
        <w:jc w:val="center"/>
        <w:rPr>
          <w:rFonts w:ascii="Times New Roman" w:eastAsia="Times New Roman" w:hAnsi="Times New Roman"/>
          <w:b/>
        </w:rPr>
      </w:pPr>
      <w:r w:rsidRPr="005D5669">
        <w:rPr>
          <w:rFonts w:ascii="Arial" w:eastAsia="Times New Roman" w:hAnsi="Arial" w:cs="Arial"/>
          <w:b/>
          <w:bCs/>
        </w:rPr>
        <w:t>Informe sombra e</w:t>
      </w:r>
      <w:r w:rsidRPr="005D5669">
        <w:rPr>
          <w:rFonts w:ascii="Arial" w:eastAsia="Times New Roman" w:hAnsi="Arial" w:cs="Arial"/>
          <w:b/>
          <w:color w:val="000000"/>
        </w:rPr>
        <w:t>n seguimiento de las recomendaciones del Comité CEDAW al Estado Mexicano en ocasión del X informe de México</w:t>
      </w:r>
      <w:r w:rsidRPr="005D5669">
        <w:rPr>
          <w:rFonts w:ascii="Calibri" w:eastAsia="Times New Roman" w:hAnsi="Calibri" w:cs="Calibri"/>
          <w:b/>
          <w:color w:val="000000"/>
        </w:rPr>
        <w:t>.</w:t>
      </w:r>
    </w:p>
    <w:p w14:paraId="40ACB11F" w14:textId="79326CE6" w:rsidR="00DE3305" w:rsidRPr="00DE3305" w:rsidRDefault="00DE3305" w:rsidP="005D5669">
      <w:pPr>
        <w:rPr>
          <w:b/>
          <w:bCs/>
          <w:sz w:val="18"/>
          <w:szCs w:val="18"/>
        </w:rPr>
      </w:pPr>
    </w:p>
    <w:p w14:paraId="0D280AB2" w14:textId="1845DD07" w:rsidR="00133009" w:rsidRPr="00A766AD" w:rsidRDefault="00133009" w:rsidP="00A766AD">
      <w:pPr>
        <w:spacing w:line="360" w:lineRule="auto"/>
        <w:jc w:val="both"/>
        <w:rPr>
          <w:rFonts w:ascii="Arial" w:hAnsi="Arial" w:cs="Arial"/>
        </w:rPr>
      </w:pPr>
      <w:r w:rsidRPr="00A766AD">
        <w:rPr>
          <w:rFonts w:ascii="Arial" w:hAnsi="Arial" w:cs="Arial"/>
        </w:rPr>
        <w:t>Recomendación 24 inciso c) al Noveno informe Periódico de México sobre violencia de género contra las mujeres.</w:t>
      </w:r>
    </w:p>
    <w:p w14:paraId="542F1698" w14:textId="77777777" w:rsidR="00133009" w:rsidRPr="00A766AD" w:rsidRDefault="00133009" w:rsidP="00CC647C">
      <w:pPr>
        <w:spacing w:line="360" w:lineRule="auto"/>
        <w:ind w:left="708"/>
        <w:jc w:val="both"/>
        <w:rPr>
          <w:rFonts w:ascii="Arial" w:hAnsi="Arial" w:cs="Arial"/>
        </w:rPr>
      </w:pPr>
      <w:r w:rsidRPr="00A766AD">
        <w:rPr>
          <w:rFonts w:ascii="Arial" w:hAnsi="Arial" w:cs="Arial"/>
        </w:rPr>
        <w:t>24. El Comité recuerda su recomendación general núm. 35 (2017) sobre la violencia por razón de género contra la mujer, por la que se actualiza la recomendación general núm. 19, y reitera su recomendación al Estado parte de que:</w:t>
      </w:r>
    </w:p>
    <w:p w14:paraId="21B727A5" w14:textId="5286C1E5" w:rsidR="00604BBC" w:rsidRPr="00A766AD" w:rsidRDefault="00133009" w:rsidP="00120FA7">
      <w:pPr>
        <w:spacing w:line="360" w:lineRule="auto"/>
        <w:ind w:left="708"/>
        <w:jc w:val="both"/>
        <w:rPr>
          <w:rFonts w:ascii="Arial" w:hAnsi="Arial" w:cs="Arial"/>
        </w:rPr>
      </w:pPr>
      <w:r w:rsidRPr="00A766AD">
        <w:rPr>
          <w:rFonts w:ascii="Arial" w:hAnsi="Arial" w:cs="Arial"/>
        </w:rPr>
        <w:t>c) Vele por que se tipifique como delito el feminicidio en todos los códigos penales estatales de conformidad con la Ley General de Acceso de las Mujeres a una Vida Libre de Violencia, normalice los protocolos de investigación policial del feminicidio</w:t>
      </w:r>
      <w:r w:rsidR="00A33DB3">
        <w:rPr>
          <w:rFonts w:ascii="Arial" w:hAnsi="Arial" w:cs="Arial"/>
        </w:rPr>
        <w:t xml:space="preserve"> </w:t>
      </w:r>
      <w:r w:rsidRPr="00A766AD">
        <w:rPr>
          <w:rFonts w:ascii="Arial" w:hAnsi="Arial" w:cs="Arial"/>
        </w:rPr>
        <w:t>en todo el Estado parte y garantice la aplicación efectiva de las disposiciones del derecho penal sobre el feminicidio.</w:t>
      </w:r>
      <w:r w:rsidR="00120FA7">
        <w:rPr>
          <w:rFonts w:ascii="Arial" w:hAnsi="Arial" w:cs="Arial"/>
        </w:rPr>
        <w:t xml:space="preserve"> </w:t>
      </w:r>
    </w:p>
    <w:p w14:paraId="79B4F397" w14:textId="430B203D" w:rsidR="0038689C" w:rsidRPr="00D308F1" w:rsidRDefault="0038689C" w:rsidP="00A766AD">
      <w:pPr>
        <w:spacing w:line="360" w:lineRule="auto"/>
        <w:jc w:val="both"/>
        <w:rPr>
          <w:rFonts w:ascii="Arial" w:hAnsi="Arial" w:cs="Arial"/>
          <w:b/>
          <w:bCs/>
        </w:rPr>
      </w:pPr>
      <w:r w:rsidRPr="00D308F1">
        <w:rPr>
          <w:rFonts w:ascii="Arial" w:hAnsi="Arial" w:cs="Arial"/>
          <w:b/>
          <w:bCs/>
        </w:rPr>
        <w:t>Contexto estadístico</w:t>
      </w:r>
    </w:p>
    <w:p w14:paraId="596C473C" w14:textId="11B11912" w:rsidR="00604BBC" w:rsidRDefault="00FD2B30" w:rsidP="00FD2B30">
      <w:pPr>
        <w:spacing w:line="360" w:lineRule="auto"/>
        <w:jc w:val="both"/>
        <w:rPr>
          <w:rFonts w:ascii="Arial" w:hAnsi="Arial" w:cs="Arial"/>
        </w:rPr>
      </w:pPr>
      <w:r w:rsidRPr="00FD2B30">
        <w:rPr>
          <w:rFonts w:ascii="Arial" w:hAnsi="Arial" w:cs="Arial"/>
        </w:rPr>
        <w:t xml:space="preserve">De acuerdo con cifras </w:t>
      </w:r>
      <w:r w:rsidR="00FF014F">
        <w:rPr>
          <w:rFonts w:ascii="Arial" w:hAnsi="Arial" w:cs="Arial"/>
        </w:rPr>
        <w:t xml:space="preserve">Centro de Estudios para el logro de la </w:t>
      </w:r>
      <w:r w:rsidR="00710E4E">
        <w:rPr>
          <w:rFonts w:ascii="Arial" w:hAnsi="Arial" w:cs="Arial"/>
        </w:rPr>
        <w:t>Igualdad de Género, la tendencia nacional de presuntos delitos de feminicidio en 10 años se ha incrementado 93.0%</w:t>
      </w:r>
      <w:r w:rsidR="00A93063">
        <w:rPr>
          <w:rFonts w:ascii="Arial" w:hAnsi="Arial" w:cs="Arial"/>
        </w:rPr>
        <w:t>, con una cantidad de 8,127 delitos de enero de 2015 a diciembre de 2024</w:t>
      </w:r>
      <w:r w:rsidR="002556C5">
        <w:rPr>
          <w:rStyle w:val="Refdenotaalpie"/>
          <w:rFonts w:ascii="Arial" w:hAnsi="Arial" w:cs="Arial"/>
        </w:rPr>
        <w:footnoteReference w:id="1"/>
      </w:r>
      <w:r w:rsidR="00A93063">
        <w:rPr>
          <w:rFonts w:ascii="Arial" w:hAnsi="Arial" w:cs="Arial"/>
        </w:rPr>
        <w:t xml:space="preserve">. </w:t>
      </w:r>
      <w:r w:rsidR="00B91025">
        <w:rPr>
          <w:rFonts w:ascii="Arial" w:hAnsi="Arial" w:cs="Arial"/>
        </w:rPr>
        <w:t xml:space="preserve">Cifras más recientes, conforme a </w:t>
      </w:r>
      <w:r w:rsidRPr="00FD2B30">
        <w:rPr>
          <w:rFonts w:ascii="Arial" w:hAnsi="Arial" w:cs="Arial"/>
        </w:rPr>
        <w:t>el Secretariado Ejecutivo del Sistema Nacional de Seguridad Pública en su Informe</w:t>
      </w:r>
      <w:r>
        <w:rPr>
          <w:rFonts w:ascii="Arial" w:hAnsi="Arial" w:cs="Arial"/>
        </w:rPr>
        <w:t xml:space="preserve"> </w:t>
      </w:r>
      <w:r w:rsidRPr="00FD2B30">
        <w:rPr>
          <w:rFonts w:ascii="Arial" w:hAnsi="Arial" w:cs="Arial"/>
        </w:rPr>
        <w:t>sobre violencia contra las mujere</w:t>
      </w:r>
      <w:r w:rsidR="00ED3D35">
        <w:rPr>
          <w:rFonts w:ascii="Arial" w:hAnsi="Arial" w:cs="Arial"/>
        </w:rPr>
        <w:t>s</w:t>
      </w:r>
      <w:r w:rsidRPr="00FD2B30">
        <w:rPr>
          <w:rFonts w:ascii="Arial" w:hAnsi="Arial" w:cs="Arial"/>
        </w:rPr>
        <w:t xml:space="preserve">, con corte de enero </w:t>
      </w:r>
      <w:r w:rsidR="00862A67">
        <w:rPr>
          <w:rFonts w:ascii="Arial" w:hAnsi="Arial" w:cs="Arial"/>
        </w:rPr>
        <w:t xml:space="preserve">de 2015 </w:t>
      </w:r>
      <w:r w:rsidRPr="00FD2B30">
        <w:rPr>
          <w:rFonts w:ascii="Arial" w:hAnsi="Arial" w:cs="Arial"/>
        </w:rPr>
        <w:t xml:space="preserve">a </w:t>
      </w:r>
      <w:r w:rsidR="00862A67">
        <w:rPr>
          <w:rFonts w:ascii="Arial" w:hAnsi="Arial" w:cs="Arial"/>
        </w:rPr>
        <w:t>marzo</w:t>
      </w:r>
      <w:r w:rsidRPr="00FD2B30">
        <w:rPr>
          <w:rFonts w:ascii="Arial" w:hAnsi="Arial" w:cs="Arial"/>
        </w:rPr>
        <w:t xml:space="preserve"> de 202</w:t>
      </w:r>
      <w:r w:rsidR="00862A67">
        <w:rPr>
          <w:rFonts w:ascii="Arial" w:hAnsi="Arial" w:cs="Arial"/>
        </w:rPr>
        <w:t>5</w:t>
      </w:r>
      <w:r w:rsidR="00E42A72">
        <w:rPr>
          <w:rFonts w:ascii="Arial" w:hAnsi="Arial" w:cs="Arial"/>
        </w:rPr>
        <w:t xml:space="preserve"> </w:t>
      </w:r>
      <w:r w:rsidR="00E42A72">
        <w:rPr>
          <w:rStyle w:val="Refdenotaalpie"/>
          <w:rFonts w:ascii="Arial" w:hAnsi="Arial" w:cs="Arial"/>
        </w:rPr>
        <w:footnoteReference w:id="2"/>
      </w:r>
      <w:r w:rsidRPr="00FD2B30">
        <w:rPr>
          <w:rFonts w:ascii="Arial" w:hAnsi="Arial" w:cs="Arial"/>
        </w:rPr>
        <w:t>.</w:t>
      </w:r>
      <w:r>
        <w:rPr>
          <w:rFonts w:ascii="Arial" w:hAnsi="Arial" w:cs="Arial"/>
        </w:rPr>
        <w:t xml:space="preserve"> </w:t>
      </w:r>
      <w:r w:rsidR="00862A67">
        <w:rPr>
          <w:rFonts w:ascii="Arial" w:hAnsi="Arial" w:cs="Arial"/>
        </w:rPr>
        <w:t xml:space="preserve">La </w:t>
      </w:r>
      <w:r w:rsidRPr="00FD2B30">
        <w:rPr>
          <w:rFonts w:ascii="Arial" w:hAnsi="Arial" w:cs="Arial"/>
        </w:rPr>
        <w:t>tendencia nacional contempló</w:t>
      </w:r>
      <w:r w:rsidR="00D84FCB">
        <w:rPr>
          <w:rFonts w:ascii="Arial" w:hAnsi="Arial" w:cs="Arial"/>
        </w:rPr>
        <w:t xml:space="preserve"> que la tenencia más alta de victimas mujeres de feminicidio de 1,021</w:t>
      </w:r>
      <w:r w:rsidR="00FD5E7C">
        <w:rPr>
          <w:rFonts w:ascii="Arial" w:hAnsi="Arial" w:cs="Arial"/>
        </w:rPr>
        <w:t xml:space="preserve"> en 2021, posteriormente se identifica un comportamiento </w:t>
      </w:r>
      <w:r w:rsidR="00FD5E7C">
        <w:rPr>
          <w:rFonts w:ascii="Arial" w:hAnsi="Arial" w:cs="Arial"/>
        </w:rPr>
        <w:lastRenderedPageBreak/>
        <w:t xml:space="preserve">a la baja, </w:t>
      </w:r>
      <w:r w:rsidR="00907DA0">
        <w:rPr>
          <w:rFonts w:ascii="Arial" w:hAnsi="Arial" w:cs="Arial"/>
        </w:rPr>
        <w:t xml:space="preserve">pues en 2022, es de 981, es importante que </w:t>
      </w:r>
      <w:r w:rsidR="00893799">
        <w:rPr>
          <w:rFonts w:ascii="Arial" w:hAnsi="Arial" w:cs="Arial"/>
        </w:rPr>
        <w:t>aun</w:t>
      </w:r>
      <w:r w:rsidR="00907DA0">
        <w:rPr>
          <w:rFonts w:ascii="Arial" w:hAnsi="Arial" w:cs="Arial"/>
        </w:rPr>
        <w:t xml:space="preserve"> así </w:t>
      </w:r>
      <w:r w:rsidR="00156885">
        <w:rPr>
          <w:rFonts w:ascii="Arial" w:hAnsi="Arial" w:cs="Arial"/>
        </w:rPr>
        <w:t xml:space="preserve">es </w:t>
      </w:r>
      <w:r w:rsidR="00893799">
        <w:rPr>
          <w:rFonts w:ascii="Arial" w:hAnsi="Arial" w:cs="Arial"/>
        </w:rPr>
        <w:t>más</w:t>
      </w:r>
      <w:r w:rsidR="004D1465">
        <w:rPr>
          <w:rFonts w:ascii="Arial" w:hAnsi="Arial" w:cs="Arial"/>
        </w:rPr>
        <w:t xml:space="preserve"> que los años pasados, pues de 2025 a 2020 oscila de 428 a 972. Se identifica </w:t>
      </w:r>
      <w:r w:rsidR="00893799">
        <w:rPr>
          <w:rFonts w:ascii="Arial" w:hAnsi="Arial" w:cs="Arial"/>
        </w:rPr>
        <w:t>que,</w:t>
      </w:r>
      <w:r w:rsidR="004D1465">
        <w:rPr>
          <w:rFonts w:ascii="Arial" w:hAnsi="Arial" w:cs="Arial"/>
        </w:rPr>
        <w:t xml:space="preserve"> aunque ha</w:t>
      </w:r>
      <w:r w:rsidR="00A73466">
        <w:rPr>
          <w:rFonts w:ascii="Arial" w:hAnsi="Arial" w:cs="Arial"/>
        </w:rPr>
        <w:t xml:space="preserve"> bajado el registro </w:t>
      </w:r>
      <w:r w:rsidR="002E709F">
        <w:rPr>
          <w:rFonts w:ascii="Arial" w:hAnsi="Arial" w:cs="Arial"/>
        </w:rPr>
        <w:t>continúa</w:t>
      </w:r>
      <w:r w:rsidR="00A73466">
        <w:rPr>
          <w:rFonts w:ascii="Arial" w:hAnsi="Arial" w:cs="Arial"/>
        </w:rPr>
        <w:t xml:space="preserve"> siendo muy alta la tendencia.</w:t>
      </w:r>
      <w:r w:rsidR="002E709F">
        <w:rPr>
          <w:rFonts w:ascii="Arial" w:hAnsi="Arial" w:cs="Arial"/>
        </w:rPr>
        <w:t xml:space="preserve"> </w:t>
      </w:r>
    </w:p>
    <w:p w14:paraId="70E89292" w14:textId="79501703" w:rsidR="00E16F29" w:rsidRDefault="00045FD5" w:rsidP="00580517">
      <w:pPr>
        <w:spacing w:line="360" w:lineRule="auto"/>
        <w:jc w:val="both"/>
        <w:rPr>
          <w:rFonts w:ascii="Arial" w:hAnsi="Arial" w:cs="Arial"/>
        </w:rPr>
      </w:pPr>
      <w:r>
        <w:rPr>
          <w:rFonts w:ascii="Arial" w:hAnsi="Arial" w:cs="Arial"/>
        </w:rPr>
        <w:t>Asimismo, la</w:t>
      </w:r>
      <w:r w:rsidR="00E42A72">
        <w:rPr>
          <w:rFonts w:ascii="Arial" w:hAnsi="Arial" w:cs="Arial"/>
        </w:rPr>
        <w:t xml:space="preserve">s víctimas de feminicidio por entidad de enero a marzo </w:t>
      </w:r>
      <w:r w:rsidR="003620CF">
        <w:rPr>
          <w:rFonts w:ascii="Arial" w:hAnsi="Arial" w:cs="Arial"/>
        </w:rPr>
        <w:t xml:space="preserve">2025, </w:t>
      </w:r>
      <w:r w:rsidR="00FA5F6B">
        <w:rPr>
          <w:rFonts w:ascii="Arial" w:hAnsi="Arial" w:cs="Arial"/>
        </w:rPr>
        <w:t>la tendencia nacional es de 164. E</w:t>
      </w:r>
      <w:r w:rsidR="003620CF">
        <w:rPr>
          <w:rFonts w:ascii="Arial" w:hAnsi="Arial" w:cs="Arial"/>
        </w:rPr>
        <w:t>l Estado de México continua como la entidad con el mayor porcentaje de víctimas</w:t>
      </w:r>
      <w:r w:rsidR="00FA5F6B">
        <w:rPr>
          <w:rFonts w:ascii="Arial" w:hAnsi="Arial" w:cs="Arial"/>
        </w:rPr>
        <w:t>, con un 11.1%</w:t>
      </w:r>
      <w:r w:rsidR="00F611BC">
        <w:rPr>
          <w:rFonts w:ascii="Arial" w:hAnsi="Arial" w:cs="Arial"/>
        </w:rPr>
        <w:t xml:space="preserve">, después continua Hidalgo con 4.9%, Jalisco con </w:t>
      </w:r>
      <w:r w:rsidR="00152B13">
        <w:rPr>
          <w:rFonts w:ascii="Arial" w:hAnsi="Arial" w:cs="Arial"/>
        </w:rPr>
        <w:t xml:space="preserve">4.9%, Morelos 4.9%, Puebla 4.9%, </w:t>
      </w:r>
      <w:r w:rsidR="00E16F29">
        <w:rPr>
          <w:rFonts w:ascii="Arial" w:hAnsi="Arial" w:cs="Arial"/>
        </w:rPr>
        <w:t xml:space="preserve">Tamaulipas con 4.3%, por otra parte, el estado con menor porcentaje es </w:t>
      </w:r>
      <w:r w:rsidR="00BE0080">
        <w:rPr>
          <w:rFonts w:ascii="Arial" w:hAnsi="Arial" w:cs="Arial"/>
        </w:rPr>
        <w:t>Durango con 0.6%.</w:t>
      </w:r>
      <w:r w:rsidR="00811EF9">
        <w:rPr>
          <w:rFonts w:ascii="Arial" w:hAnsi="Arial" w:cs="Arial"/>
        </w:rPr>
        <w:t xml:space="preserve"> </w:t>
      </w:r>
    </w:p>
    <w:p w14:paraId="7848C0A6" w14:textId="367A626F" w:rsidR="00811EF9" w:rsidRPr="00A766AD" w:rsidRDefault="00811EF9" w:rsidP="00580517">
      <w:pPr>
        <w:spacing w:line="360" w:lineRule="auto"/>
        <w:jc w:val="both"/>
        <w:rPr>
          <w:rFonts w:ascii="Arial" w:hAnsi="Arial" w:cs="Arial"/>
        </w:rPr>
      </w:pPr>
      <w:r>
        <w:rPr>
          <w:rFonts w:ascii="Arial" w:hAnsi="Arial" w:cs="Arial"/>
        </w:rPr>
        <w:t>El informe, también menciona que el 31.2% de los delitos a nivel nacional se concentran en 20 municipios</w:t>
      </w:r>
      <w:r w:rsidR="0099220A">
        <w:rPr>
          <w:rFonts w:ascii="Arial" w:hAnsi="Arial" w:cs="Arial"/>
        </w:rPr>
        <w:t xml:space="preserve"> con más delitos de femin</w:t>
      </w:r>
      <w:r w:rsidR="00A33DB3">
        <w:rPr>
          <w:rFonts w:ascii="Arial" w:hAnsi="Arial" w:cs="Arial"/>
        </w:rPr>
        <w:t>i</w:t>
      </w:r>
      <w:r w:rsidR="0099220A">
        <w:rPr>
          <w:rFonts w:ascii="Arial" w:hAnsi="Arial" w:cs="Arial"/>
        </w:rPr>
        <w:t>cidio</w:t>
      </w:r>
      <w:r w:rsidR="006048E5">
        <w:rPr>
          <w:rFonts w:ascii="Arial" w:hAnsi="Arial" w:cs="Arial"/>
        </w:rPr>
        <w:t>: Juárez, Tijuana, C</w:t>
      </w:r>
      <w:r w:rsidR="004775A4">
        <w:rPr>
          <w:rFonts w:ascii="Arial" w:hAnsi="Arial" w:cs="Arial"/>
        </w:rPr>
        <w:t xml:space="preserve">entro, Culiacán, Morelia, Yautepec, Ahome, Amealco de Bonfil, Ayala, Chalco, Comalco, Compostela, </w:t>
      </w:r>
      <w:r w:rsidR="00DC3A88">
        <w:rPr>
          <w:rFonts w:ascii="Arial" w:hAnsi="Arial" w:cs="Arial"/>
        </w:rPr>
        <w:t xml:space="preserve">Cuautitlán Izcalli, Ecatepec de Morelos, Ensenada, Irapuato, </w:t>
      </w:r>
      <w:r w:rsidR="00DC05EA">
        <w:rPr>
          <w:rFonts w:ascii="Arial" w:hAnsi="Arial" w:cs="Arial"/>
        </w:rPr>
        <w:t>Milpa Alta</w:t>
      </w:r>
      <w:r w:rsidR="00DC3A88">
        <w:rPr>
          <w:rFonts w:ascii="Arial" w:hAnsi="Arial" w:cs="Arial"/>
        </w:rPr>
        <w:t xml:space="preserve">, </w:t>
      </w:r>
      <w:r w:rsidR="00DC05EA">
        <w:rPr>
          <w:rFonts w:ascii="Arial" w:hAnsi="Arial" w:cs="Arial"/>
        </w:rPr>
        <w:t xml:space="preserve">Mineral de la </w:t>
      </w:r>
      <w:r w:rsidR="00753C42">
        <w:rPr>
          <w:rFonts w:ascii="Arial" w:hAnsi="Arial" w:cs="Arial"/>
        </w:rPr>
        <w:t>Reforma</w:t>
      </w:r>
      <w:r w:rsidR="00DC05EA">
        <w:rPr>
          <w:rFonts w:ascii="Arial" w:hAnsi="Arial" w:cs="Arial"/>
        </w:rPr>
        <w:t>, Querétaro y Reynosa.</w:t>
      </w:r>
    </w:p>
    <w:p w14:paraId="7433500E" w14:textId="20B76CC1" w:rsidR="0098187A" w:rsidRPr="0098187A" w:rsidRDefault="0098187A" w:rsidP="0098187A">
      <w:pPr>
        <w:spacing w:line="360" w:lineRule="auto"/>
        <w:jc w:val="both"/>
        <w:rPr>
          <w:rFonts w:ascii="Arial" w:hAnsi="Arial" w:cs="Arial"/>
          <w:b/>
        </w:rPr>
      </w:pPr>
      <w:r w:rsidRPr="0098187A">
        <w:rPr>
          <w:rFonts w:ascii="Arial" w:hAnsi="Arial" w:cs="Arial"/>
          <w:b/>
        </w:rPr>
        <w:t>Tipificación del Feminicidio</w:t>
      </w:r>
    </w:p>
    <w:p w14:paraId="4E76F181" w14:textId="18C2E4FB" w:rsidR="0098187A" w:rsidRPr="0098187A" w:rsidRDefault="0098187A" w:rsidP="00A766AD">
      <w:pPr>
        <w:spacing w:line="360" w:lineRule="auto"/>
        <w:jc w:val="both"/>
        <w:rPr>
          <w:rFonts w:ascii="Arial" w:hAnsi="Arial" w:cs="Arial"/>
        </w:rPr>
      </w:pPr>
      <w:r w:rsidRPr="00A766AD">
        <w:rPr>
          <w:rFonts w:ascii="Arial" w:hAnsi="Arial" w:cs="Arial"/>
        </w:rPr>
        <w:t>Conforme a la publicación de la LGAMVLV en 2007 y a las distintas recomendaciones internacionales, la figura jurídica del feminicidio se tipificó en México en el año 2012 en el Código Penal</w:t>
      </w:r>
      <w:r>
        <w:rPr>
          <w:rFonts w:ascii="Arial" w:hAnsi="Arial" w:cs="Arial"/>
        </w:rPr>
        <w:t xml:space="preserve"> </w:t>
      </w:r>
      <w:r w:rsidRPr="00A766AD">
        <w:rPr>
          <w:rFonts w:ascii="Arial" w:hAnsi="Arial" w:cs="Arial"/>
        </w:rPr>
        <w:t>Federal, en el capítulo V Feminicidio, artícul</w:t>
      </w:r>
      <w:r w:rsidR="007841E8">
        <w:rPr>
          <w:rFonts w:ascii="Arial" w:hAnsi="Arial" w:cs="Arial"/>
        </w:rPr>
        <w:t>o 325, donde se establecen 8</w:t>
      </w:r>
      <w:r w:rsidRPr="00A766AD">
        <w:rPr>
          <w:rFonts w:ascii="Arial" w:hAnsi="Arial" w:cs="Arial"/>
        </w:rPr>
        <w:t xml:space="preserve"> causales de género para el delito de feminicidio. Sin embargo, hasta ahora, es importante señalar que cada entidad cuenta con su propia tipificación de acuerdo con sus códigos penales estatales, sin embargo, en lo general, no hay una homologación con la tipificación a nivel federal, además, cuentan con</w:t>
      </w:r>
      <w:r>
        <w:rPr>
          <w:rFonts w:ascii="Arial" w:hAnsi="Arial" w:cs="Arial"/>
        </w:rPr>
        <w:t xml:space="preserve"> </w:t>
      </w:r>
      <w:r w:rsidRPr="00A766AD">
        <w:rPr>
          <w:rFonts w:ascii="Arial" w:hAnsi="Arial" w:cs="Arial"/>
        </w:rPr>
        <w:t>diferentes definiciones y razones de género para acreditar el delito.</w:t>
      </w:r>
    </w:p>
    <w:p w14:paraId="070DE041" w14:textId="0DF6C1D6" w:rsidR="006954D0" w:rsidRPr="00A766AD" w:rsidRDefault="003F3306" w:rsidP="00A766AD">
      <w:pPr>
        <w:spacing w:line="360" w:lineRule="auto"/>
        <w:jc w:val="both"/>
        <w:rPr>
          <w:rFonts w:ascii="Arial" w:hAnsi="Arial" w:cs="Arial"/>
          <w:b/>
          <w:bCs/>
        </w:rPr>
      </w:pPr>
      <w:r w:rsidRPr="00A766AD">
        <w:rPr>
          <w:rFonts w:ascii="Arial" w:hAnsi="Arial" w:cs="Arial"/>
          <w:b/>
          <w:bCs/>
        </w:rPr>
        <w:t>Tipificación del Feminicidio a Nivel Estatal</w:t>
      </w:r>
      <w:r w:rsidR="003F59C4">
        <w:rPr>
          <w:rStyle w:val="Refdenotaalpie"/>
          <w:rFonts w:ascii="Arial" w:hAnsi="Arial" w:cs="Arial"/>
          <w:b/>
          <w:bCs/>
        </w:rPr>
        <w:footnoteReference w:id="3"/>
      </w:r>
    </w:p>
    <w:p w14:paraId="2833B40B" w14:textId="05785776" w:rsidR="004C49C1" w:rsidRDefault="004C49C1" w:rsidP="004C49C1">
      <w:pPr>
        <w:spacing w:line="360" w:lineRule="auto"/>
        <w:jc w:val="both"/>
        <w:rPr>
          <w:rFonts w:ascii="Arial" w:hAnsi="Arial" w:cs="Arial"/>
        </w:rPr>
      </w:pPr>
      <w:r w:rsidRPr="004C49C1">
        <w:rPr>
          <w:rFonts w:ascii="Arial" w:hAnsi="Arial" w:cs="Arial"/>
        </w:rPr>
        <w:t xml:space="preserve">En las 32 entidades del país, el delito de feminicidio está formalmente tipificado. Sin embargo, existen importantes diferencias en su definición, penas, agravantes, elementos probatorios y procedimientos. La diversidad legislativa ha derivado en una aplicación desigual del tipo penal, generando obstáculos para su homologación, lo que ha sido </w:t>
      </w:r>
      <w:r w:rsidRPr="004C49C1">
        <w:rPr>
          <w:rFonts w:ascii="Arial" w:hAnsi="Arial" w:cs="Arial"/>
        </w:rPr>
        <w:lastRenderedPageBreak/>
        <w:t>reiteradamente señalado por organismos internacionales como el Comité CEDAW y por organizaciones nacionales de derechos humanos.</w:t>
      </w:r>
    </w:p>
    <w:p w14:paraId="23FC67EE" w14:textId="6E5215C6" w:rsidR="00133009" w:rsidRDefault="00133009" w:rsidP="00A766AD">
      <w:pPr>
        <w:spacing w:line="360" w:lineRule="auto"/>
        <w:jc w:val="both"/>
        <w:rPr>
          <w:rFonts w:ascii="Arial" w:hAnsi="Arial" w:cs="Arial"/>
        </w:rPr>
      </w:pPr>
      <w:r w:rsidRPr="00A766AD">
        <w:rPr>
          <w:rFonts w:ascii="Arial" w:hAnsi="Arial" w:cs="Arial"/>
        </w:rPr>
        <w:t>El primer estado en tipificar el delito de feminicidio fue Guerrero en el año 2010 y Chihuahua</w:t>
      </w:r>
      <w:r w:rsidR="00607383">
        <w:rPr>
          <w:rFonts w:ascii="Arial" w:hAnsi="Arial" w:cs="Arial"/>
        </w:rPr>
        <w:t xml:space="preserve"> </w:t>
      </w:r>
      <w:r w:rsidRPr="00A766AD">
        <w:rPr>
          <w:rFonts w:ascii="Arial" w:hAnsi="Arial" w:cs="Arial"/>
        </w:rPr>
        <w:t>fue la última entidad en 2020. Hay estados que no han hecho reformas a la tipificación, mientras que otros han llegado a tener hasta 3 reformas. Asimismo, los elementos que acreditan las razones de género varían de una entidad a otra, recientemente en la Ciudad de México, Michoacán y Tlaxcala aumentaron de cinco razones de género a ocho (CDMX 2019, Michoacán 2021, Tlaxcala, 2022), mientras que Jalisco es la entidad que presenta el mayor número con once, mientras que el promedio es de siete.</w:t>
      </w:r>
    </w:p>
    <w:p w14:paraId="7C892B02" w14:textId="04D740C4" w:rsidR="00335B89" w:rsidRDefault="005D1846" w:rsidP="003B3A2F">
      <w:pPr>
        <w:spacing w:line="360" w:lineRule="auto"/>
        <w:jc w:val="both"/>
        <w:rPr>
          <w:rFonts w:ascii="Arial" w:hAnsi="Arial" w:cs="Arial"/>
        </w:rPr>
      </w:pPr>
      <w:r w:rsidRPr="005D1846">
        <w:rPr>
          <w:rFonts w:ascii="Arial" w:hAnsi="Arial" w:cs="Arial"/>
        </w:rPr>
        <w:t>Se encontró que 22 entidades sí cuentan con este apartado específico, como lo son: Baja California, Baja California Sur,</w:t>
      </w:r>
      <w:r>
        <w:rPr>
          <w:rFonts w:ascii="Arial" w:hAnsi="Arial" w:cs="Arial"/>
        </w:rPr>
        <w:t xml:space="preserve"> </w:t>
      </w:r>
      <w:r w:rsidRPr="005D1846">
        <w:rPr>
          <w:rFonts w:ascii="Arial" w:hAnsi="Arial" w:cs="Arial"/>
        </w:rPr>
        <w:t>Campeche, Chihuahua, Coahuila de Zaragoza, Ciudad de México, Colima, Guanajuato, Hidalgo, Jalisco, Estado de</w:t>
      </w:r>
      <w:r>
        <w:rPr>
          <w:rFonts w:ascii="Arial" w:hAnsi="Arial" w:cs="Arial"/>
        </w:rPr>
        <w:t xml:space="preserve"> </w:t>
      </w:r>
      <w:r w:rsidRPr="005D1846">
        <w:rPr>
          <w:rFonts w:ascii="Arial" w:hAnsi="Arial" w:cs="Arial"/>
        </w:rPr>
        <w:t>México, Morelos, Nuevo León, Oaxaca, Puebla, Querétaro, San Luis Potosí, Sinaloa, Sonora, Veracruz, Yucatán y</w:t>
      </w:r>
      <w:r>
        <w:rPr>
          <w:rFonts w:ascii="Arial" w:hAnsi="Arial" w:cs="Arial"/>
        </w:rPr>
        <w:t xml:space="preserve"> </w:t>
      </w:r>
      <w:r w:rsidRPr="005D1846">
        <w:rPr>
          <w:rFonts w:ascii="Arial" w:hAnsi="Arial" w:cs="Arial"/>
        </w:rPr>
        <w:t>Zacatecas.</w:t>
      </w:r>
      <w:r>
        <w:rPr>
          <w:rFonts w:ascii="Arial" w:hAnsi="Arial" w:cs="Arial"/>
        </w:rPr>
        <w:t xml:space="preserve"> </w:t>
      </w:r>
      <w:r w:rsidR="003B3A2F" w:rsidRPr="003B3A2F">
        <w:rPr>
          <w:rFonts w:ascii="Arial" w:hAnsi="Arial" w:cs="Arial"/>
        </w:rPr>
        <w:t>Mientras que 10 entidades (Aguascalientes, Chiapas, Guerrero, Michoacán, Nayarit, Nuevo León, Quintana Roo</w:t>
      </w:r>
      <w:r w:rsidR="007841E8">
        <w:rPr>
          <w:rFonts w:ascii="Arial" w:hAnsi="Arial" w:cs="Arial"/>
        </w:rPr>
        <w:t xml:space="preserve">, </w:t>
      </w:r>
      <w:r w:rsidR="003B3A2F" w:rsidRPr="003B3A2F">
        <w:rPr>
          <w:rFonts w:ascii="Arial" w:hAnsi="Arial" w:cs="Arial"/>
        </w:rPr>
        <w:t>Tabasco, Tamaulipas y Tlaxcala) carecen de esta diferenciación (aunque el delito está tipificado). El caso de Durango es</w:t>
      </w:r>
      <w:r w:rsidR="003B3A2F">
        <w:rPr>
          <w:rFonts w:ascii="Arial" w:hAnsi="Arial" w:cs="Arial"/>
        </w:rPr>
        <w:t xml:space="preserve"> </w:t>
      </w:r>
      <w:r w:rsidR="003B3A2F" w:rsidRPr="003B3A2F">
        <w:rPr>
          <w:rFonts w:ascii="Arial" w:hAnsi="Arial" w:cs="Arial"/>
        </w:rPr>
        <w:t>particular, ya que el feminicidio se encuentra incluido dentro de un capítulo general que aborda “los delitos de homicidio,</w:t>
      </w:r>
      <w:r w:rsidR="003B3A2F">
        <w:rPr>
          <w:rFonts w:ascii="Arial" w:hAnsi="Arial" w:cs="Arial"/>
        </w:rPr>
        <w:t xml:space="preserve"> </w:t>
      </w:r>
      <w:r w:rsidR="003B3A2F" w:rsidRPr="003B3A2F">
        <w:rPr>
          <w:rFonts w:ascii="Arial" w:hAnsi="Arial" w:cs="Arial"/>
        </w:rPr>
        <w:t>feminicidio y lesiones”.</w:t>
      </w:r>
    </w:p>
    <w:p w14:paraId="1C1A7D26" w14:textId="47EA447C" w:rsidR="004C625B" w:rsidRPr="00A766AD" w:rsidRDefault="00797041" w:rsidP="00797041">
      <w:pPr>
        <w:spacing w:line="360" w:lineRule="auto"/>
        <w:jc w:val="both"/>
        <w:rPr>
          <w:rFonts w:ascii="Arial" w:hAnsi="Arial" w:cs="Arial"/>
        </w:rPr>
      </w:pPr>
      <w:r w:rsidRPr="00797041">
        <w:rPr>
          <w:rFonts w:ascii="Arial" w:hAnsi="Arial" w:cs="Arial"/>
        </w:rPr>
        <w:t>Durante el análisis de los códigos penales también se identificaron algunos artículos sobresalientes por su especificidad</w:t>
      </w:r>
      <w:r w:rsidR="00BF66C0">
        <w:rPr>
          <w:rFonts w:ascii="Arial" w:hAnsi="Arial" w:cs="Arial"/>
        </w:rPr>
        <w:t xml:space="preserve"> </w:t>
      </w:r>
      <w:r w:rsidRPr="00797041">
        <w:rPr>
          <w:rFonts w:ascii="Arial" w:hAnsi="Arial" w:cs="Arial"/>
        </w:rPr>
        <w:t>como:</w:t>
      </w:r>
      <w:r w:rsidR="00BF66C0">
        <w:rPr>
          <w:rFonts w:ascii="Arial" w:hAnsi="Arial" w:cs="Arial"/>
        </w:rPr>
        <w:t xml:space="preserve"> </w:t>
      </w:r>
      <w:r w:rsidRPr="00797041">
        <w:rPr>
          <w:rFonts w:ascii="Arial" w:hAnsi="Arial" w:cs="Arial"/>
        </w:rPr>
        <w:t>Lesiones por ataques con ácido, sustancias químicas o corrosivas, tipificadas únicamente en los códigos penales de la</w:t>
      </w:r>
      <w:r w:rsidR="00BF66C0">
        <w:rPr>
          <w:rFonts w:ascii="Arial" w:hAnsi="Arial" w:cs="Arial"/>
        </w:rPr>
        <w:t xml:space="preserve"> </w:t>
      </w:r>
      <w:r w:rsidRPr="00797041">
        <w:rPr>
          <w:rFonts w:ascii="Arial" w:hAnsi="Arial" w:cs="Arial"/>
        </w:rPr>
        <w:t>Ciudad de México y Guerrero.</w:t>
      </w:r>
      <w:r w:rsidR="00BF66C0">
        <w:rPr>
          <w:rFonts w:ascii="Arial" w:hAnsi="Arial" w:cs="Arial"/>
        </w:rPr>
        <w:t xml:space="preserve"> </w:t>
      </w:r>
      <w:r w:rsidRPr="00797041">
        <w:rPr>
          <w:rFonts w:ascii="Arial" w:hAnsi="Arial" w:cs="Arial"/>
        </w:rPr>
        <w:t>Inducción o ayuda al suicidio feminicida, contemplada únicamente en Yucatán, Sinaloa y Jalisco.</w:t>
      </w:r>
      <w:r w:rsidR="00FE528D">
        <w:rPr>
          <w:rFonts w:ascii="Arial" w:hAnsi="Arial" w:cs="Arial"/>
        </w:rPr>
        <w:t xml:space="preserve"> Y también se destaca qu</w:t>
      </w:r>
      <w:r w:rsidR="00BF66C0">
        <w:rPr>
          <w:rFonts w:ascii="Arial" w:hAnsi="Arial" w:cs="Arial"/>
        </w:rPr>
        <w:t>e el t</w:t>
      </w:r>
      <w:r w:rsidRPr="00797041">
        <w:rPr>
          <w:rFonts w:ascii="Arial" w:hAnsi="Arial" w:cs="Arial"/>
        </w:rPr>
        <w:t xml:space="preserve">ransfeminicidio, </w:t>
      </w:r>
      <w:r w:rsidR="00BF66C0">
        <w:rPr>
          <w:rFonts w:ascii="Arial" w:hAnsi="Arial" w:cs="Arial"/>
        </w:rPr>
        <w:t xml:space="preserve">se encuentra </w:t>
      </w:r>
      <w:r w:rsidRPr="00797041">
        <w:rPr>
          <w:rFonts w:ascii="Arial" w:hAnsi="Arial" w:cs="Arial"/>
        </w:rPr>
        <w:t>tipificado exclusivamente en el Código Penal de la Ciudad de México.</w:t>
      </w:r>
    </w:p>
    <w:p w14:paraId="35142D9B" w14:textId="429F4A8A" w:rsidR="00E053C0" w:rsidRDefault="003F59C4" w:rsidP="00A766AD">
      <w:pPr>
        <w:spacing w:line="360" w:lineRule="auto"/>
        <w:jc w:val="both"/>
        <w:rPr>
          <w:rFonts w:ascii="Arial" w:hAnsi="Arial" w:cs="Arial"/>
        </w:rPr>
      </w:pPr>
      <w:r w:rsidRPr="003F59C4">
        <w:rPr>
          <w:rFonts w:ascii="Arial" w:hAnsi="Arial" w:cs="Arial"/>
        </w:rPr>
        <w:t xml:space="preserve">En la mayoría de los estados, el feminicidio es sancionado con penas que oscilan entre los 40 y 70 años de prisión. </w:t>
      </w:r>
      <w:r w:rsidRPr="00FE528D">
        <w:rPr>
          <w:rFonts w:ascii="Arial" w:hAnsi="Arial" w:cs="Arial"/>
        </w:rPr>
        <w:t>No obstante, existen</w:t>
      </w:r>
      <w:r w:rsidR="00F35ABB">
        <w:rPr>
          <w:rFonts w:ascii="Arial" w:hAnsi="Arial" w:cs="Arial"/>
        </w:rPr>
        <w:t xml:space="preserve"> entidades como</w:t>
      </w:r>
      <w:r w:rsidR="00FE528D">
        <w:rPr>
          <w:rFonts w:ascii="Arial" w:hAnsi="Arial" w:cs="Arial"/>
        </w:rPr>
        <w:t xml:space="preserve"> Querétaro</w:t>
      </w:r>
      <w:r w:rsidR="00FE528D" w:rsidRPr="00FE528D">
        <w:rPr>
          <w:rFonts w:ascii="Arial" w:hAnsi="Arial" w:cs="Arial"/>
        </w:rPr>
        <w:t xml:space="preserve"> </w:t>
      </w:r>
      <w:r w:rsidR="00FE528D">
        <w:rPr>
          <w:rFonts w:ascii="Arial" w:hAnsi="Arial" w:cs="Arial"/>
        </w:rPr>
        <w:t>do</w:t>
      </w:r>
      <w:r w:rsidRPr="003F59C4">
        <w:rPr>
          <w:rFonts w:ascii="Arial" w:hAnsi="Arial" w:cs="Arial"/>
        </w:rPr>
        <w:t>nd</w:t>
      </w:r>
      <w:r w:rsidR="00F35ABB">
        <w:rPr>
          <w:rFonts w:ascii="Arial" w:hAnsi="Arial" w:cs="Arial"/>
        </w:rPr>
        <w:t>e la pena mínima puede ser de 25</w:t>
      </w:r>
      <w:r w:rsidR="00FE528D">
        <w:rPr>
          <w:rFonts w:ascii="Arial" w:hAnsi="Arial" w:cs="Arial"/>
        </w:rPr>
        <w:t xml:space="preserve"> años, </w:t>
      </w:r>
      <w:r w:rsidRPr="003F59C4">
        <w:rPr>
          <w:rFonts w:ascii="Arial" w:hAnsi="Arial" w:cs="Arial"/>
        </w:rPr>
        <w:t xml:space="preserve">que mantiene penas inferiores al promedio nacional. Además de la sanción penal, muchos códigos estatales contemplan multas, pérdida de la patria potestad, inhabilitación de derechos sucesorios del agresor e incluso, en estados como Baja California y CDMX, medidas específicas de protección para niñas, niños y adolescentes en situación de orfandad por feminicidio. En Baja California se establece </w:t>
      </w:r>
      <w:r w:rsidRPr="003F59C4">
        <w:rPr>
          <w:rFonts w:ascii="Arial" w:hAnsi="Arial" w:cs="Arial"/>
        </w:rPr>
        <w:lastRenderedPageBreak/>
        <w:t>expresamente que toda muerte violenta de una mujer deberá ser investigada como feminicidio, incluso si inicialmente pareciera tratarse de suicidio, accidente o crimen organizado. Este principio de investigación con perspectiva de género desde el inicio también ha sido incorporado en entidades como Michoacán y Nayarit.</w:t>
      </w:r>
    </w:p>
    <w:p w14:paraId="70FD842C" w14:textId="77777777" w:rsidR="00A86086" w:rsidRPr="00A86086" w:rsidRDefault="00A86086" w:rsidP="00A86086">
      <w:pPr>
        <w:spacing w:line="360" w:lineRule="auto"/>
        <w:jc w:val="both"/>
        <w:rPr>
          <w:rFonts w:ascii="Arial" w:hAnsi="Arial" w:cs="Arial"/>
        </w:rPr>
      </w:pPr>
      <w:r w:rsidRPr="00A86086">
        <w:rPr>
          <w:rFonts w:ascii="Arial" w:hAnsi="Arial" w:cs="Arial"/>
        </w:rPr>
        <w:t>Uno de los avances más notables es la creación de figuras penales complementarias como la tentativa de feminicidio, el suicidio feminicida y el transfeminicidio, que han sido reconocidas en algunos estados. Por ejemplo, la Ciudad de México es una de las pocas entidades que ha tipificado de manera autónoma el transfeminicidio, estableciendo sanciones similares a las del feminicidio y protocolos de actuación diferenciados para casos que involucran a personas trans. Jalisco y Baja California han avanzado en la incorporación del suicidio feminicida, sancionando tanto la inducción como la participación activa en estos actos cuando hay una motivación de género o antecedentes de violencia. Estas ampliaciones del marco penal buscan atender contextos específicos de violencia estructural, aunque aún son excepcionales en el conjunto del país.</w:t>
      </w:r>
    </w:p>
    <w:p w14:paraId="48C48631" w14:textId="4EBE9769" w:rsidR="00A86086" w:rsidRPr="00A86086" w:rsidRDefault="00AA5064" w:rsidP="00A86086">
      <w:pPr>
        <w:spacing w:line="360" w:lineRule="auto"/>
        <w:jc w:val="both"/>
        <w:rPr>
          <w:rFonts w:ascii="Arial" w:hAnsi="Arial" w:cs="Arial"/>
        </w:rPr>
      </w:pPr>
      <w:r>
        <w:rPr>
          <w:rFonts w:ascii="Arial" w:hAnsi="Arial" w:cs="Arial"/>
        </w:rPr>
        <w:t>E</w:t>
      </w:r>
      <w:r w:rsidR="00A86086" w:rsidRPr="00A86086">
        <w:rPr>
          <w:rFonts w:ascii="Arial" w:hAnsi="Arial" w:cs="Arial"/>
        </w:rPr>
        <w:t>n muchos estados se han implementado agravantes específicas cuando la víctima es menor de edad, adulta mayor, persona con discapacidad o está embarazada. También se consideran circunstancias agravantes el hecho de que el feminicidio haya ocurrido en presencia de familiares, en espacios públicos o mediante el uso de sustancias corrosivas, como en los casos recientemente legislados en Guerrero y CDMX.</w:t>
      </w:r>
    </w:p>
    <w:p w14:paraId="365CE988" w14:textId="77777777" w:rsidR="00A86086" w:rsidRPr="00A86086" w:rsidRDefault="00A86086" w:rsidP="00A86086">
      <w:pPr>
        <w:spacing w:line="360" w:lineRule="auto"/>
        <w:jc w:val="both"/>
        <w:rPr>
          <w:rFonts w:ascii="Arial" w:hAnsi="Arial" w:cs="Arial"/>
        </w:rPr>
      </w:pPr>
      <w:r w:rsidRPr="00A86086">
        <w:rPr>
          <w:rFonts w:ascii="Arial" w:hAnsi="Arial" w:cs="Arial"/>
        </w:rPr>
        <w:t>Un aspecto relevante en los marcos estatales es la responsabilidad de los servidores públicos. En entidades como Baja California, Chihuahua, Colima y Nayarit, los códigos penales establecen sanciones claras para aquellas autoridades que, por negligencia o malicia, retarden, entorpezcan o filtren información durante el proceso de investigación de un feminicidio. Estas disposiciones buscan combatir la impunidad institucional y prevenir la revictimización de las familias, sin embargo, en la práctica, la aplicación de estas normas sigue siendo limitada.</w:t>
      </w:r>
    </w:p>
    <w:p w14:paraId="089DAEBD" w14:textId="797F1FBC" w:rsidR="006C3553" w:rsidRDefault="00A86086" w:rsidP="00A766AD">
      <w:pPr>
        <w:spacing w:line="360" w:lineRule="auto"/>
        <w:jc w:val="both"/>
        <w:rPr>
          <w:rFonts w:ascii="Arial" w:hAnsi="Arial" w:cs="Arial"/>
        </w:rPr>
      </w:pPr>
      <w:r w:rsidRPr="00A86086">
        <w:rPr>
          <w:rFonts w:ascii="Arial" w:hAnsi="Arial" w:cs="Arial"/>
        </w:rPr>
        <w:t xml:space="preserve">A pesar de la existencia de protocolos de actuación en la mayoría de los estados, muchos de ellos no han sido actualizados desde su publicación inicial, o no están alineados con los más altos estándares internacionales de debida diligencia y perspectiva de género. Algunos estados, como Tlaxcala, utilizan protocolos unificados para trata, violencia sexual y feminicidio, lo cual impide una atención especializada. En otros casos, como en Zacatecas o Sonora, el protocolo existe, pero su aplicación efectiva es altamente </w:t>
      </w:r>
      <w:r w:rsidRPr="00A86086">
        <w:rPr>
          <w:rFonts w:ascii="Arial" w:hAnsi="Arial" w:cs="Arial"/>
        </w:rPr>
        <w:lastRenderedPageBreak/>
        <w:t>cuestionada por organizaciones civiles y familiares de víctimas. En varios estados, la integración de carpetas de investigación continúa mostrando deficiencias técnicas y falta de reconocimiento de pruebas clave, como antecedentes de violencia previa, amenazas o violencia sexual.</w:t>
      </w:r>
    </w:p>
    <w:p w14:paraId="52154247" w14:textId="01151BD5" w:rsidR="00133009" w:rsidRPr="00A766AD" w:rsidRDefault="00133009" w:rsidP="00A766AD">
      <w:pPr>
        <w:spacing w:line="360" w:lineRule="auto"/>
        <w:jc w:val="both"/>
        <w:rPr>
          <w:rFonts w:ascii="Arial" w:hAnsi="Arial" w:cs="Arial"/>
        </w:rPr>
      </w:pPr>
      <w:r w:rsidRPr="00A766AD">
        <w:rPr>
          <w:rFonts w:ascii="Arial" w:hAnsi="Arial" w:cs="Arial"/>
        </w:rPr>
        <w:t xml:space="preserve">De acuerdo con información de las organizaciones de la sociedad civil que son solicitantes y/o peticionarias de las Alertas de Violencia de Género contra las Mujeres (AVGM) </w:t>
      </w:r>
      <w:r w:rsidR="00F35ABB">
        <w:rPr>
          <w:rFonts w:ascii="Arial" w:hAnsi="Arial" w:cs="Arial"/>
        </w:rPr>
        <w:t xml:space="preserve">las 17 entidades federativas que integran la Red Nacional de Alertistas (RNA) </w:t>
      </w:r>
      <w:r w:rsidRPr="00F35ABB">
        <w:rPr>
          <w:rFonts w:ascii="Arial" w:hAnsi="Arial" w:cs="Arial"/>
        </w:rPr>
        <w:t>mencionan que el problema mayor es el sub re</w:t>
      </w:r>
      <w:r w:rsidRPr="00A766AD">
        <w:rPr>
          <w:rFonts w:ascii="Arial" w:hAnsi="Arial" w:cs="Arial"/>
        </w:rPr>
        <w:t>gistro de los feminicidios, pues con o sin protocolo es un hecho que pocos casos se registran como feminicidio, ya que, existen asimetrías legislativas en la integración de elementos de tipo penal, lo que conlleva un complejo análisis interpretativo de los operadores jurídicos ( Querétaro, Si</w:t>
      </w:r>
      <w:r w:rsidR="00FE528D">
        <w:rPr>
          <w:rFonts w:ascii="Arial" w:hAnsi="Arial" w:cs="Arial"/>
        </w:rPr>
        <w:t xml:space="preserve">naloa, Sonora, Tlaxcala, </w:t>
      </w:r>
      <w:r w:rsidRPr="00A766AD">
        <w:rPr>
          <w:rFonts w:ascii="Arial" w:hAnsi="Arial" w:cs="Arial"/>
        </w:rPr>
        <w:t>Zacatecas</w:t>
      </w:r>
      <w:r w:rsidR="00FE528D">
        <w:rPr>
          <w:rFonts w:ascii="Arial" w:hAnsi="Arial" w:cs="Arial"/>
        </w:rPr>
        <w:t xml:space="preserve"> y Guerrero</w:t>
      </w:r>
      <w:r w:rsidRPr="00A766AD">
        <w:rPr>
          <w:rFonts w:ascii="Arial" w:hAnsi="Arial" w:cs="Arial"/>
        </w:rPr>
        <w:t>).</w:t>
      </w:r>
    </w:p>
    <w:p w14:paraId="53D3FA6F" w14:textId="492C4DFE" w:rsidR="00133009" w:rsidRPr="00A766AD" w:rsidRDefault="00133009" w:rsidP="00A766AD">
      <w:pPr>
        <w:spacing w:line="360" w:lineRule="auto"/>
        <w:jc w:val="both"/>
        <w:rPr>
          <w:rFonts w:ascii="Arial" w:hAnsi="Arial" w:cs="Arial"/>
        </w:rPr>
      </w:pPr>
      <w:r w:rsidRPr="00A766AD">
        <w:rPr>
          <w:rFonts w:ascii="Arial" w:hAnsi="Arial" w:cs="Arial"/>
        </w:rPr>
        <w:t>Así mismo, muchas de las muertes violentas de las mujeres, no son investigadas bajo el delito de feminicidio. Sucede que, al clasificarlas como homicidio doloso, después se hace difícil reclasificar los casos como feminicidio (Quintana Roo). Destacan los casos de mujeres asesinadas con violencia y relacionadas con el crimen organizado o vinculadas a cárteles de la droga, no son en general consi</w:t>
      </w:r>
      <w:r w:rsidR="007E565D">
        <w:rPr>
          <w:rFonts w:ascii="Arial" w:hAnsi="Arial" w:cs="Arial"/>
        </w:rPr>
        <w:t>derados casos de feminicidios.</w:t>
      </w:r>
    </w:p>
    <w:p w14:paraId="2D0CE91A" w14:textId="6A6C28A9" w:rsidR="00133009" w:rsidRPr="00A766AD" w:rsidRDefault="00133009" w:rsidP="00A766AD">
      <w:pPr>
        <w:spacing w:line="360" w:lineRule="auto"/>
        <w:jc w:val="both"/>
        <w:rPr>
          <w:rFonts w:ascii="Arial" w:hAnsi="Arial" w:cs="Arial"/>
        </w:rPr>
      </w:pPr>
      <w:r w:rsidRPr="00A766AD">
        <w:rPr>
          <w:rFonts w:ascii="Arial" w:hAnsi="Arial" w:cs="Arial"/>
        </w:rPr>
        <w:t xml:space="preserve">En el caso de Guerrero, Sonora y Sinaloa </w:t>
      </w:r>
      <w:r w:rsidR="007E565D" w:rsidRPr="00A766AD">
        <w:rPr>
          <w:rFonts w:ascii="Arial" w:hAnsi="Arial" w:cs="Arial"/>
        </w:rPr>
        <w:t>coinciden,</w:t>
      </w:r>
      <w:r w:rsidRPr="00A766AD">
        <w:rPr>
          <w:rFonts w:ascii="Arial" w:hAnsi="Arial" w:cs="Arial"/>
        </w:rPr>
        <w:t xml:space="preserve"> por una parte, en que la principal problemática tiene que ver con que las autoridades no actúan de forma inmediata y con perspectiva de género, lo que lleva a que no se aplique el protocolo de feminicidio. Por otra parte, los estados de Puebla y Quintana Roo encuentran como principal problema la “carpeta de investigación”, pues al integrarla se han perdido pruebas o bien no toman en cuenta las evidencias que la familia proporción a las autoridades.</w:t>
      </w:r>
    </w:p>
    <w:p w14:paraId="789206C6" w14:textId="34DD7DD7" w:rsidR="00133009" w:rsidRPr="00A766AD" w:rsidRDefault="00133009" w:rsidP="00A766AD">
      <w:pPr>
        <w:spacing w:line="360" w:lineRule="auto"/>
        <w:jc w:val="both"/>
        <w:rPr>
          <w:rFonts w:ascii="Arial" w:hAnsi="Arial" w:cs="Arial"/>
        </w:rPr>
      </w:pPr>
      <w:r w:rsidRPr="00A766AD">
        <w:rPr>
          <w:rFonts w:ascii="Arial" w:hAnsi="Arial" w:cs="Arial"/>
        </w:rPr>
        <w:t>Además, persiste una falta de capacitación con perspectiva de género de las autoridades y funcionarios, agentes de ministerios públicos, y primeros respondientes, al implementar los protocolos de investigación de este delito, es decir, para todos aquellos que se involucran en la debida diligencia, la procuración y el acceso a la justicia para actuar en lo emergente,</w:t>
      </w:r>
      <w:r w:rsidR="00A33DB3">
        <w:rPr>
          <w:rFonts w:ascii="Arial" w:hAnsi="Arial" w:cs="Arial"/>
        </w:rPr>
        <w:t xml:space="preserve"> </w:t>
      </w:r>
      <w:r w:rsidRPr="00A766AD">
        <w:rPr>
          <w:rFonts w:ascii="Arial" w:hAnsi="Arial" w:cs="Arial"/>
        </w:rPr>
        <w:t xml:space="preserve">por otra parte, existe debilidad institucional y falta una estructura para poder coordinarse sectorialmente (Zacatecas). Los operadores jurídicos en las investigaciones parten de una formación jurídica tradicional y cultural que les hace obviar algunas necesidades específicas para la investigación y su posterior juzgamiento. </w:t>
      </w:r>
      <w:r w:rsidRPr="00BA2254">
        <w:rPr>
          <w:rFonts w:ascii="Arial" w:hAnsi="Arial" w:cs="Arial"/>
        </w:rPr>
        <w:t xml:space="preserve">Destaca la ausencia de aplicación de protocolos específicos para investigar y juzgar con </w:t>
      </w:r>
      <w:r w:rsidRPr="00BA2254">
        <w:rPr>
          <w:rFonts w:ascii="Arial" w:hAnsi="Arial" w:cs="Arial"/>
        </w:rPr>
        <w:lastRenderedPageBreak/>
        <w:t>perspectiva de género y se advierten numerosos casos donde operan los estereotipos de género de</w:t>
      </w:r>
      <w:r w:rsidR="003F3306" w:rsidRPr="00BA2254">
        <w:rPr>
          <w:rFonts w:ascii="Arial" w:hAnsi="Arial" w:cs="Arial"/>
        </w:rPr>
        <w:t xml:space="preserve"> </w:t>
      </w:r>
      <w:r w:rsidRPr="00BA2254">
        <w:rPr>
          <w:rFonts w:ascii="Arial" w:hAnsi="Arial" w:cs="Arial"/>
        </w:rPr>
        <w:t>quienes investigan o juzgan. (Tlaxcala)</w:t>
      </w:r>
    </w:p>
    <w:p w14:paraId="151AD617" w14:textId="77777777" w:rsidR="00133009" w:rsidRPr="00A766AD" w:rsidRDefault="00133009" w:rsidP="00A766AD">
      <w:pPr>
        <w:spacing w:line="360" w:lineRule="auto"/>
        <w:jc w:val="both"/>
        <w:rPr>
          <w:rFonts w:ascii="Arial" w:hAnsi="Arial" w:cs="Arial"/>
        </w:rPr>
      </w:pPr>
      <w:r w:rsidRPr="00A766AD">
        <w:rPr>
          <w:rFonts w:ascii="Arial" w:hAnsi="Arial" w:cs="Arial"/>
        </w:rPr>
        <w:t xml:space="preserve">Sonora, Zacatecas y Ciudad de México señalan la urgencia de considerar los suicidios y el infanticidio en la investigación por feminicidio. Cabe </w:t>
      </w:r>
      <w:r w:rsidRPr="00BA2254">
        <w:rPr>
          <w:rFonts w:ascii="Arial" w:hAnsi="Arial" w:cs="Arial"/>
        </w:rPr>
        <w:t>señalar que existe una revictimización de las familias de víctimas de feminicidio. Además, no se investigan ni registran en general, el delito de tentativa de feminicidio. (Campeche).</w:t>
      </w:r>
      <w:r w:rsidRPr="00A766AD">
        <w:rPr>
          <w:rFonts w:ascii="Arial" w:hAnsi="Arial" w:cs="Arial"/>
        </w:rPr>
        <w:t xml:space="preserve"> Preocupa que los operadores jurídicos no están obligados a acreditar las denuncias previas de violencia, sino las circunstancias fácticas que desembocan en la privación de la vida.</w:t>
      </w:r>
    </w:p>
    <w:p w14:paraId="617B7558" w14:textId="2B8E4AF2" w:rsidR="00133009" w:rsidRPr="00A766AD" w:rsidRDefault="00133009" w:rsidP="00A766AD">
      <w:pPr>
        <w:spacing w:line="360" w:lineRule="auto"/>
        <w:jc w:val="both"/>
        <w:rPr>
          <w:rFonts w:ascii="Arial" w:hAnsi="Arial" w:cs="Arial"/>
          <w:b/>
          <w:bCs/>
        </w:rPr>
      </w:pPr>
      <w:r w:rsidRPr="00A766AD">
        <w:rPr>
          <w:rFonts w:ascii="Arial" w:hAnsi="Arial" w:cs="Arial"/>
          <w:b/>
          <w:bCs/>
        </w:rPr>
        <w:t>Protocolos de investigación policial del feminicidio.</w:t>
      </w:r>
    </w:p>
    <w:p w14:paraId="4A5DB022" w14:textId="186B39B5" w:rsidR="00133009" w:rsidRPr="00A766AD" w:rsidRDefault="003C7FA4" w:rsidP="00A766AD">
      <w:pPr>
        <w:spacing w:line="360" w:lineRule="auto"/>
        <w:jc w:val="both"/>
        <w:rPr>
          <w:rFonts w:ascii="Arial" w:hAnsi="Arial" w:cs="Arial"/>
        </w:rPr>
      </w:pPr>
      <w:r>
        <w:rPr>
          <w:rFonts w:ascii="Arial" w:hAnsi="Arial" w:cs="Arial"/>
        </w:rPr>
        <w:t>De las</w:t>
      </w:r>
      <w:r w:rsidR="00133009" w:rsidRPr="00A766AD">
        <w:rPr>
          <w:rFonts w:ascii="Arial" w:hAnsi="Arial" w:cs="Arial"/>
        </w:rPr>
        <w:t xml:space="preserve"> </w:t>
      </w:r>
      <w:r>
        <w:rPr>
          <w:rFonts w:ascii="Arial" w:hAnsi="Arial" w:cs="Arial"/>
        </w:rPr>
        <w:t xml:space="preserve">32 </w:t>
      </w:r>
      <w:r w:rsidR="00133009" w:rsidRPr="00A766AD">
        <w:rPr>
          <w:rFonts w:ascii="Arial" w:hAnsi="Arial" w:cs="Arial"/>
        </w:rPr>
        <w:t>entidades</w:t>
      </w:r>
      <w:r w:rsidR="00B579B2">
        <w:rPr>
          <w:rFonts w:ascii="Arial" w:hAnsi="Arial" w:cs="Arial"/>
        </w:rPr>
        <w:t xml:space="preserve"> 28 cuentan con </w:t>
      </w:r>
      <w:r w:rsidR="005B3C28">
        <w:rPr>
          <w:rFonts w:ascii="Arial" w:hAnsi="Arial" w:cs="Arial"/>
        </w:rPr>
        <w:t>p</w:t>
      </w:r>
      <w:r w:rsidR="005B3C28" w:rsidRPr="005B3C28">
        <w:rPr>
          <w:rFonts w:ascii="Arial" w:hAnsi="Arial" w:cs="Arial"/>
        </w:rPr>
        <w:t xml:space="preserve">rotocolo para la </w:t>
      </w:r>
      <w:r w:rsidR="005B3C28">
        <w:rPr>
          <w:rFonts w:ascii="Arial" w:hAnsi="Arial" w:cs="Arial"/>
        </w:rPr>
        <w:t>i</w:t>
      </w:r>
      <w:r w:rsidR="005B3C28" w:rsidRPr="005B3C28">
        <w:rPr>
          <w:rFonts w:ascii="Arial" w:hAnsi="Arial" w:cs="Arial"/>
        </w:rPr>
        <w:t xml:space="preserve">nvestigación del </w:t>
      </w:r>
      <w:r w:rsidR="005B3C28">
        <w:rPr>
          <w:rFonts w:ascii="Arial" w:hAnsi="Arial" w:cs="Arial"/>
        </w:rPr>
        <w:t>f</w:t>
      </w:r>
      <w:r w:rsidR="005B3C28" w:rsidRPr="005B3C28">
        <w:rPr>
          <w:rFonts w:ascii="Arial" w:hAnsi="Arial" w:cs="Arial"/>
        </w:rPr>
        <w:t>eminicidio</w:t>
      </w:r>
      <w:r w:rsidR="005B3C28">
        <w:rPr>
          <w:rFonts w:ascii="Arial" w:hAnsi="Arial" w:cs="Arial"/>
        </w:rPr>
        <w:t>. Las entidades</w:t>
      </w:r>
      <w:r w:rsidR="005B3C28" w:rsidRPr="005B3C28">
        <w:rPr>
          <w:rFonts w:ascii="Arial" w:hAnsi="Arial" w:cs="Arial"/>
        </w:rPr>
        <w:t xml:space="preserve"> </w:t>
      </w:r>
      <w:r w:rsidR="005B3C28">
        <w:rPr>
          <w:rFonts w:ascii="Arial" w:hAnsi="Arial" w:cs="Arial"/>
        </w:rPr>
        <w:t>que</w:t>
      </w:r>
      <w:r w:rsidR="00133009" w:rsidRPr="00A766AD">
        <w:rPr>
          <w:rFonts w:ascii="Arial" w:hAnsi="Arial" w:cs="Arial"/>
        </w:rPr>
        <w:t xml:space="preserve"> cuentan con protocolos de feminicidio</w:t>
      </w:r>
      <w:r w:rsidR="005B3C28">
        <w:rPr>
          <w:rFonts w:ascii="Arial" w:hAnsi="Arial" w:cs="Arial"/>
        </w:rPr>
        <w:t xml:space="preserve"> son</w:t>
      </w:r>
      <w:r w:rsidR="00133009" w:rsidRPr="00A766AD">
        <w:rPr>
          <w:rFonts w:ascii="Arial" w:hAnsi="Arial" w:cs="Arial"/>
        </w:rPr>
        <w:t>:</w:t>
      </w:r>
      <w:r w:rsidR="007B33E9" w:rsidRPr="007B33E9">
        <w:t xml:space="preserve"> </w:t>
      </w:r>
      <w:r w:rsidR="007B33E9" w:rsidRPr="007B33E9">
        <w:rPr>
          <w:rFonts w:ascii="Arial" w:hAnsi="Arial" w:cs="Arial"/>
        </w:rPr>
        <w:t>Aguascalientes</w:t>
      </w:r>
      <w:r w:rsidR="007B33E9">
        <w:rPr>
          <w:rFonts w:ascii="Arial" w:hAnsi="Arial" w:cs="Arial"/>
        </w:rPr>
        <w:t>,</w:t>
      </w:r>
      <w:r w:rsidR="00332E37">
        <w:rPr>
          <w:rFonts w:ascii="Arial" w:hAnsi="Arial" w:cs="Arial"/>
        </w:rPr>
        <w:t xml:space="preserve"> </w:t>
      </w:r>
      <w:r w:rsidR="007B33E9" w:rsidRPr="007B33E9">
        <w:rPr>
          <w:rFonts w:ascii="Arial" w:hAnsi="Arial" w:cs="Arial"/>
        </w:rPr>
        <w:t>Baja California</w:t>
      </w:r>
      <w:r w:rsidR="00332E37">
        <w:rPr>
          <w:rFonts w:ascii="Arial" w:hAnsi="Arial" w:cs="Arial"/>
        </w:rPr>
        <w:t>,</w:t>
      </w:r>
      <w:r w:rsidR="004D21C7">
        <w:rPr>
          <w:rFonts w:ascii="Arial" w:hAnsi="Arial" w:cs="Arial"/>
        </w:rPr>
        <w:t xml:space="preserve"> Campeche,</w:t>
      </w:r>
      <w:r w:rsidR="00332E37">
        <w:rPr>
          <w:rFonts w:ascii="Arial" w:hAnsi="Arial" w:cs="Arial"/>
        </w:rPr>
        <w:t xml:space="preserve"> </w:t>
      </w:r>
      <w:r w:rsidR="007B33E9" w:rsidRPr="007B33E9">
        <w:rPr>
          <w:rFonts w:ascii="Arial" w:hAnsi="Arial" w:cs="Arial"/>
        </w:rPr>
        <w:t>Chiapas</w:t>
      </w:r>
      <w:r w:rsidR="00332E37">
        <w:rPr>
          <w:rFonts w:ascii="Arial" w:hAnsi="Arial" w:cs="Arial"/>
        </w:rPr>
        <w:t xml:space="preserve">, </w:t>
      </w:r>
      <w:r w:rsidR="007B33E9" w:rsidRPr="007B33E9">
        <w:rPr>
          <w:rFonts w:ascii="Arial" w:hAnsi="Arial" w:cs="Arial"/>
        </w:rPr>
        <w:t>Chihuahua</w:t>
      </w:r>
      <w:r w:rsidR="00332E37">
        <w:rPr>
          <w:rFonts w:ascii="Arial" w:hAnsi="Arial" w:cs="Arial"/>
        </w:rPr>
        <w:t xml:space="preserve">, </w:t>
      </w:r>
      <w:r w:rsidR="007B33E9" w:rsidRPr="007B33E9">
        <w:rPr>
          <w:rFonts w:ascii="Arial" w:hAnsi="Arial" w:cs="Arial"/>
        </w:rPr>
        <w:t>Ciudad de México</w:t>
      </w:r>
      <w:r w:rsidR="005D3C77">
        <w:rPr>
          <w:rFonts w:ascii="Arial" w:hAnsi="Arial" w:cs="Arial"/>
        </w:rPr>
        <w:t xml:space="preserve">, </w:t>
      </w:r>
      <w:r w:rsidR="007B33E9" w:rsidRPr="007B33E9">
        <w:rPr>
          <w:rFonts w:ascii="Arial" w:hAnsi="Arial" w:cs="Arial"/>
        </w:rPr>
        <w:t>Coahuila</w:t>
      </w:r>
      <w:r w:rsidR="005D3C77">
        <w:rPr>
          <w:rFonts w:ascii="Arial" w:hAnsi="Arial" w:cs="Arial"/>
        </w:rPr>
        <w:t xml:space="preserve">, </w:t>
      </w:r>
      <w:r w:rsidR="007B33E9" w:rsidRPr="007B33E9">
        <w:rPr>
          <w:rFonts w:ascii="Arial" w:hAnsi="Arial" w:cs="Arial"/>
        </w:rPr>
        <w:t>Colima</w:t>
      </w:r>
      <w:r w:rsidR="005D3C77">
        <w:rPr>
          <w:rFonts w:ascii="Arial" w:hAnsi="Arial" w:cs="Arial"/>
        </w:rPr>
        <w:t xml:space="preserve">, </w:t>
      </w:r>
      <w:r w:rsidR="007B33E9" w:rsidRPr="007B33E9">
        <w:rPr>
          <w:rFonts w:ascii="Arial" w:hAnsi="Arial" w:cs="Arial"/>
        </w:rPr>
        <w:t>Estado de México</w:t>
      </w:r>
      <w:r w:rsidR="005D3C77">
        <w:rPr>
          <w:rFonts w:ascii="Arial" w:hAnsi="Arial" w:cs="Arial"/>
        </w:rPr>
        <w:t xml:space="preserve">, </w:t>
      </w:r>
      <w:r w:rsidR="007B33E9" w:rsidRPr="007B33E9">
        <w:rPr>
          <w:rFonts w:ascii="Arial" w:hAnsi="Arial" w:cs="Arial"/>
        </w:rPr>
        <w:t>Guanajuato</w:t>
      </w:r>
      <w:r w:rsidR="005D3C77">
        <w:rPr>
          <w:rFonts w:ascii="Arial" w:hAnsi="Arial" w:cs="Arial"/>
        </w:rPr>
        <w:t xml:space="preserve">, </w:t>
      </w:r>
      <w:r w:rsidR="007B33E9" w:rsidRPr="007B33E9">
        <w:rPr>
          <w:rFonts w:ascii="Arial" w:hAnsi="Arial" w:cs="Arial"/>
        </w:rPr>
        <w:t>Guerrero</w:t>
      </w:r>
      <w:r w:rsidR="005D3C77">
        <w:rPr>
          <w:rFonts w:ascii="Arial" w:hAnsi="Arial" w:cs="Arial"/>
        </w:rPr>
        <w:t xml:space="preserve">, </w:t>
      </w:r>
      <w:r w:rsidR="007B33E9" w:rsidRPr="007B33E9">
        <w:rPr>
          <w:rFonts w:ascii="Arial" w:hAnsi="Arial" w:cs="Arial"/>
        </w:rPr>
        <w:t>Hidalgo</w:t>
      </w:r>
      <w:r w:rsidR="005D3C77">
        <w:rPr>
          <w:rFonts w:ascii="Arial" w:hAnsi="Arial" w:cs="Arial"/>
        </w:rPr>
        <w:t xml:space="preserve">, </w:t>
      </w:r>
      <w:r w:rsidR="007B33E9" w:rsidRPr="007B33E9">
        <w:rPr>
          <w:rFonts w:ascii="Arial" w:hAnsi="Arial" w:cs="Arial"/>
        </w:rPr>
        <w:t>Jalisco</w:t>
      </w:r>
      <w:r w:rsidR="005D3C77">
        <w:rPr>
          <w:rFonts w:ascii="Arial" w:hAnsi="Arial" w:cs="Arial"/>
        </w:rPr>
        <w:t xml:space="preserve">, </w:t>
      </w:r>
      <w:r w:rsidR="007B33E9" w:rsidRPr="007B33E9">
        <w:rPr>
          <w:rFonts w:ascii="Arial" w:hAnsi="Arial" w:cs="Arial"/>
        </w:rPr>
        <w:t>Michoacán</w:t>
      </w:r>
      <w:r w:rsidR="005D3C77">
        <w:rPr>
          <w:rFonts w:ascii="Arial" w:hAnsi="Arial" w:cs="Arial"/>
        </w:rPr>
        <w:t xml:space="preserve">, </w:t>
      </w:r>
      <w:r w:rsidR="007B33E9" w:rsidRPr="007B33E9">
        <w:rPr>
          <w:rFonts w:ascii="Arial" w:hAnsi="Arial" w:cs="Arial"/>
        </w:rPr>
        <w:t>Morelos</w:t>
      </w:r>
      <w:r w:rsidR="008D7ED6">
        <w:rPr>
          <w:rFonts w:ascii="Arial" w:hAnsi="Arial" w:cs="Arial"/>
        </w:rPr>
        <w:t xml:space="preserve">, </w:t>
      </w:r>
      <w:r w:rsidR="007B33E9" w:rsidRPr="007B33E9">
        <w:rPr>
          <w:rFonts w:ascii="Arial" w:hAnsi="Arial" w:cs="Arial"/>
        </w:rPr>
        <w:t>Nayarit</w:t>
      </w:r>
      <w:r w:rsidR="008D7ED6">
        <w:rPr>
          <w:rFonts w:ascii="Arial" w:hAnsi="Arial" w:cs="Arial"/>
        </w:rPr>
        <w:t xml:space="preserve">, </w:t>
      </w:r>
      <w:r w:rsidR="007B33E9" w:rsidRPr="007B33E9">
        <w:rPr>
          <w:rFonts w:ascii="Arial" w:hAnsi="Arial" w:cs="Arial"/>
        </w:rPr>
        <w:t>Oaxaca</w:t>
      </w:r>
      <w:r w:rsidR="008D7ED6">
        <w:rPr>
          <w:rFonts w:ascii="Arial" w:hAnsi="Arial" w:cs="Arial"/>
        </w:rPr>
        <w:t xml:space="preserve">, </w:t>
      </w:r>
      <w:r w:rsidR="007B33E9" w:rsidRPr="007B33E9">
        <w:rPr>
          <w:rFonts w:ascii="Arial" w:hAnsi="Arial" w:cs="Arial"/>
        </w:rPr>
        <w:t>Puebla</w:t>
      </w:r>
      <w:r w:rsidR="008D7ED6">
        <w:rPr>
          <w:rFonts w:ascii="Arial" w:hAnsi="Arial" w:cs="Arial"/>
        </w:rPr>
        <w:t xml:space="preserve">, </w:t>
      </w:r>
      <w:r w:rsidR="007B33E9" w:rsidRPr="007B33E9">
        <w:rPr>
          <w:rFonts w:ascii="Arial" w:hAnsi="Arial" w:cs="Arial"/>
        </w:rPr>
        <w:t>Querétaro</w:t>
      </w:r>
      <w:r w:rsidR="008D7ED6">
        <w:rPr>
          <w:rFonts w:ascii="Arial" w:hAnsi="Arial" w:cs="Arial"/>
        </w:rPr>
        <w:t xml:space="preserve">, </w:t>
      </w:r>
      <w:r w:rsidR="007B33E9" w:rsidRPr="007B33E9">
        <w:rPr>
          <w:rFonts w:ascii="Arial" w:hAnsi="Arial" w:cs="Arial"/>
        </w:rPr>
        <w:t>Quintana Roo</w:t>
      </w:r>
      <w:r w:rsidR="008D7ED6">
        <w:rPr>
          <w:rFonts w:ascii="Arial" w:hAnsi="Arial" w:cs="Arial"/>
        </w:rPr>
        <w:t xml:space="preserve">, </w:t>
      </w:r>
      <w:r w:rsidR="007B33E9" w:rsidRPr="007B33E9">
        <w:rPr>
          <w:rFonts w:ascii="Arial" w:hAnsi="Arial" w:cs="Arial"/>
        </w:rPr>
        <w:t>San Luis Potosí</w:t>
      </w:r>
      <w:r w:rsidR="008D7ED6">
        <w:rPr>
          <w:rFonts w:ascii="Arial" w:hAnsi="Arial" w:cs="Arial"/>
        </w:rPr>
        <w:t xml:space="preserve">, </w:t>
      </w:r>
      <w:r w:rsidR="007B33E9" w:rsidRPr="007B33E9">
        <w:rPr>
          <w:rFonts w:ascii="Arial" w:hAnsi="Arial" w:cs="Arial"/>
        </w:rPr>
        <w:t>Sinaloa</w:t>
      </w:r>
      <w:r w:rsidR="008D7ED6">
        <w:rPr>
          <w:rFonts w:ascii="Arial" w:hAnsi="Arial" w:cs="Arial"/>
        </w:rPr>
        <w:t xml:space="preserve">, </w:t>
      </w:r>
      <w:r w:rsidR="007B33E9" w:rsidRPr="007B33E9">
        <w:rPr>
          <w:rFonts w:ascii="Arial" w:hAnsi="Arial" w:cs="Arial"/>
        </w:rPr>
        <w:t>Sonora</w:t>
      </w:r>
      <w:r w:rsidR="008D7ED6">
        <w:rPr>
          <w:rFonts w:ascii="Arial" w:hAnsi="Arial" w:cs="Arial"/>
        </w:rPr>
        <w:t xml:space="preserve">, </w:t>
      </w:r>
      <w:r w:rsidR="007B33E9" w:rsidRPr="007B33E9">
        <w:rPr>
          <w:rFonts w:ascii="Arial" w:hAnsi="Arial" w:cs="Arial"/>
        </w:rPr>
        <w:t>Tabasco</w:t>
      </w:r>
      <w:r w:rsidR="008D7ED6">
        <w:rPr>
          <w:rFonts w:ascii="Arial" w:hAnsi="Arial" w:cs="Arial"/>
        </w:rPr>
        <w:t xml:space="preserve">, </w:t>
      </w:r>
      <w:r w:rsidR="007B33E9" w:rsidRPr="007B33E9">
        <w:rPr>
          <w:rFonts w:ascii="Arial" w:hAnsi="Arial" w:cs="Arial"/>
        </w:rPr>
        <w:t>Tlaxcala</w:t>
      </w:r>
      <w:r w:rsidR="008D7ED6">
        <w:rPr>
          <w:rFonts w:ascii="Arial" w:hAnsi="Arial" w:cs="Arial"/>
        </w:rPr>
        <w:t xml:space="preserve">, </w:t>
      </w:r>
      <w:r w:rsidR="007B33E9" w:rsidRPr="007B33E9">
        <w:rPr>
          <w:rFonts w:ascii="Arial" w:hAnsi="Arial" w:cs="Arial"/>
        </w:rPr>
        <w:t>Veracruz</w:t>
      </w:r>
      <w:r w:rsidR="008D7ED6">
        <w:rPr>
          <w:rFonts w:ascii="Arial" w:hAnsi="Arial" w:cs="Arial"/>
        </w:rPr>
        <w:t xml:space="preserve">, </w:t>
      </w:r>
      <w:r w:rsidR="007B33E9" w:rsidRPr="007B33E9">
        <w:rPr>
          <w:rFonts w:ascii="Arial" w:hAnsi="Arial" w:cs="Arial"/>
        </w:rPr>
        <w:t>Yucatán</w:t>
      </w:r>
      <w:r w:rsidR="008D7ED6">
        <w:rPr>
          <w:rFonts w:ascii="Arial" w:hAnsi="Arial" w:cs="Arial"/>
        </w:rPr>
        <w:t xml:space="preserve">, </w:t>
      </w:r>
      <w:r w:rsidR="007B33E9" w:rsidRPr="007B33E9">
        <w:rPr>
          <w:rFonts w:ascii="Arial" w:hAnsi="Arial" w:cs="Arial"/>
        </w:rPr>
        <w:t>Zacatecas</w:t>
      </w:r>
      <w:r w:rsidR="00C9211F">
        <w:rPr>
          <w:rFonts w:ascii="Arial" w:hAnsi="Arial" w:cs="Arial"/>
        </w:rPr>
        <w:t>.</w:t>
      </w:r>
      <w:r w:rsidR="005B3C28">
        <w:rPr>
          <w:rFonts w:ascii="Arial" w:hAnsi="Arial" w:cs="Arial"/>
        </w:rPr>
        <w:t xml:space="preserve"> </w:t>
      </w:r>
      <w:r w:rsidR="00133009" w:rsidRPr="00A766AD">
        <w:rPr>
          <w:rFonts w:ascii="Arial" w:hAnsi="Arial" w:cs="Arial"/>
        </w:rPr>
        <w:t>Mientras que los estados que no cuenta con un protocolo de investigación policial del feminicidio son Baja California</w:t>
      </w:r>
      <w:r w:rsidR="00C9211F">
        <w:rPr>
          <w:rFonts w:ascii="Arial" w:hAnsi="Arial" w:cs="Arial"/>
        </w:rPr>
        <w:t xml:space="preserve"> Sur</w:t>
      </w:r>
      <w:r w:rsidR="00133009" w:rsidRPr="00A766AD">
        <w:rPr>
          <w:rFonts w:ascii="Arial" w:hAnsi="Arial" w:cs="Arial"/>
        </w:rPr>
        <w:t>, Durango, Nuevo León y Tamaulipas.</w:t>
      </w:r>
    </w:p>
    <w:p w14:paraId="7743D7A5" w14:textId="5CA791B6" w:rsidR="00133009" w:rsidRPr="00A766AD" w:rsidRDefault="00133009" w:rsidP="00A766AD">
      <w:pPr>
        <w:spacing w:line="360" w:lineRule="auto"/>
        <w:jc w:val="both"/>
        <w:rPr>
          <w:rFonts w:ascii="Arial" w:hAnsi="Arial" w:cs="Arial"/>
        </w:rPr>
      </w:pPr>
      <w:r w:rsidRPr="00A766AD">
        <w:rPr>
          <w:rFonts w:ascii="Arial" w:hAnsi="Arial" w:cs="Arial"/>
        </w:rPr>
        <w:t>Sin embargo, las organizaciones de la sociedad civil solicitantes y promoventes de la AVGM aseguran que su aplicación no es efectiva. En Tlaxcala, se cuenta con el Protocolo unificado de trata, violencia sexual y feminicidio, sin embargo, es necesario contar con protocolo específico para cada delito, lo anterior lleva a que no haya condenas y a que se liberen los autores de estos delitos. De 2017 a 2019 sólo tres sentencias condenatorias de 9 carpetas de investigación, de 105 feminicidios contabilizados de 2012 a 2019, habla de un grado amplio de impunidad.</w:t>
      </w:r>
    </w:p>
    <w:p w14:paraId="32EC0F00" w14:textId="25081934" w:rsidR="00133009" w:rsidRPr="00A766AD" w:rsidRDefault="00133009" w:rsidP="00A766AD">
      <w:pPr>
        <w:spacing w:line="360" w:lineRule="auto"/>
        <w:jc w:val="both"/>
        <w:rPr>
          <w:rFonts w:ascii="Arial" w:hAnsi="Arial" w:cs="Arial"/>
        </w:rPr>
      </w:pPr>
      <w:r w:rsidRPr="00A766AD">
        <w:rPr>
          <w:rFonts w:ascii="Arial" w:hAnsi="Arial" w:cs="Arial"/>
        </w:rPr>
        <w:t>Las obligaciones estatales se retrasan y se pone resistencia para la aplicación de los protocolos obligatorios de investigación con perspectiva de género. Por otra parte, una problemática que se también se identifica es que las familias de las víctimas desconocen la existencia de estos protocolos que además no son difundidos por el Estado.</w:t>
      </w:r>
    </w:p>
    <w:p w14:paraId="4647A456" w14:textId="77777777" w:rsidR="00DD7D21" w:rsidRDefault="00133009" w:rsidP="00DD7D21">
      <w:pPr>
        <w:spacing w:line="360" w:lineRule="auto"/>
        <w:jc w:val="both"/>
        <w:rPr>
          <w:rFonts w:ascii="Arial" w:hAnsi="Arial" w:cs="Arial"/>
        </w:rPr>
      </w:pPr>
      <w:r w:rsidRPr="00A766AD">
        <w:rPr>
          <w:rFonts w:ascii="Arial" w:hAnsi="Arial" w:cs="Arial"/>
        </w:rPr>
        <w:t xml:space="preserve">En Querétaro, por ejemplo, se detectan irregularidades importantes principalmente en las zonas cercanas y del semi desierto, sobre todo en aquellas en las que existen comunidades indígenas. Solo se tipifican los feminicidios en las zonas céntricas urbanas. </w:t>
      </w:r>
      <w:r w:rsidRPr="00A766AD">
        <w:rPr>
          <w:rFonts w:ascii="Arial" w:hAnsi="Arial" w:cs="Arial"/>
        </w:rPr>
        <w:lastRenderedPageBreak/>
        <w:t>En Quintana Roo, los primeros respondientes de seguridad pública y operadores del Ministerio Público, no toman el cuidado de hacer una visión completa para investigar el feminicidio. Zacatecas menciona que la aplicación del protocolo no es efectiva. Existe una Fiscalía especializada en delitos de género, sin embargo, se inician las investigaciones bajo homicidio, porque las Fiscalías son mixtas y los Ministerios Públicos no están especializados en esa área. En la Fiscalía General de Justicia de Sonora se investigan los casos según la presión social.</w:t>
      </w:r>
    </w:p>
    <w:p w14:paraId="10A13BA2" w14:textId="3172EF83" w:rsidR="00DD7D21" w:rsidRDefault="00DD7D21" w:rsidP="00A766AD">
      <w:pPr>
        <w:spacing w:line="360" w:lineRule="auto"/>
        <w:jc w:val="both"/>
        <w:rPr>
          <w:rFonts w:ascii="Arial" w:hAnsi="Arial" w:cs="Arial"/>
        </w:rPr>
      </w:pPr>
      <w:r>
        <w:rPr>
          <w:rFonts w:ascii="Arial" w:hAnsi="Arial" w:cs="Arial"/>
        </w:rPr>
        <w:t>Cabe señalar que, l</w:t>
      </w:r>
      <w:r w:rsidRPr="00DD7D21">
        <w:rPr>
          <w:rFonts w:ascii="Arial" w:hAnsi="Arial" w:cs="Arial"/>
        </w:rPr>
        <w:t>os factores de delincuencia organizada son un punto detonante para que no se logre frenar el feminicidio.  Aún más, ha ido en aumento la saña con la que asesinan a mujeres y niñas.</w:t>
      </w:r>
    </w:p>
    <w:p w14:paraId="1503CFB6" w14:textId="0BBB9AFE" w:rsidR="00CB78F7" w:rsidRPr="00CB78F7" w:rsidRDefault="00CB78F7" w:rsidP="00A766AD">
      <w:pPr>
        <w:spacing w:line="360" w:lineRule="auto"/>
        <w:jc w:val="both"/>
        <w:rPr>
          <w:rFonts w:ascii="Arial" w:hAnsi="Arial" w:cs="Arial"/>
          <w:b/>
          <w:bCs/>
        </w:rPr>
      </w:pPr>
      <w:r w:rsidRPr="00CB78F7">
        <w:rPr>
          <w:rFonts w:ascii="Arial" w:hAnsi="Arial" w:cs="Arial"/>
          <w:b/>
          <w:bCs/>
        </w:rPr>
        <w:t>Fiscalía General de Justicia de la Ciudad de México (FGJCDMX) presentó el nuevo Protocolo de Investigación Ministerial, Policial y Pericial de los delitos de Feminicidio y Transfeminicidio</w:t>
      </w:r>
    </w:p>
    <w:p w14:paraId="2076337C" w14:textId="2CCDD87A" w:rsidR="008A5B10" w:rsidRDefault="008A5B10" w:rsidP="00A766AD">
      <w:pPr>
        <w:spacing w:line="360" w:lineRule="auto"/>
        <w:jc w:val="both"/>
        <w:rPr>
          <w:rFonts w:ascii="Arial" w:hAnsi="Arial" w:cs="Arial"/>
        </w:rPr>
      </w:pPr>
      <w:r>
        <w:rPr>
          <w:rFonts w:ascii="Arial" w:hAnsi="Arial" w:cs="Arial"/>
        </w:rPr>
        <w:t xml:space="preserve">En 2025 </w:t>
      </w:r>
      <w:r w:rsidRPr="008A5B10">
        <w:rPr>
          <w:rFonts w:ascii="Arial" w:hAnsi="Arial" w:cs="Arial"/>
        </w:rPr>
        <w:t>La Fiscalía General de Justicia (FGJ) presentó el nuevo protocolo de investigación ministerial, policial y pericial de feminicidio y transfeminicidio, el cual divide la indagación en dos momentos: el primero consta de un plazo de 72 horas y en el segundo la averiguación será exhaustiva</w:t>
      </w:r>
      <w:r w:rsidR="00B157DD">
        <w:rPr>
          <w:rFonts w:ascii="Arial" w:hAnsi="Arial" w:cs="Arial"/>
        </w:rPr>
        <w:t xml:space="preserve">. </w:t>
      </w:r>
      <w:r w:rsidR="00B157DD">
        <w:rPr>
          <w:rStyle w:val="Refdenotaalpie"/>
          <w:rFonts w:ascii="Arial" w:hAnsi="Arial" w:cs="Arial"/>
        </w:rPr>
        <w:footnoteReference w:id="4"/>
      </w:r>
    </w:p>
    <w:p w14:paraId="5ADA864D" w14:textId="7A74F684" w:rsidR="004A14A2" w:rsidRPr="004A14A2" w:rsidRDefault="00B157DD" w:rsidP="004A14A2">
      <w:pPr>
        <w:spacing w:line="360" w:lineRule="auto"/>
        <w:jc w:val="both"/>
        <w:rPr>
          <w:rFonts w:ascii="Arial" w:hAnsi="Arial" w:cs="Arial"/>
        </w:rPr>
      </w:pPr>
      <w:r>
        <w:rPr>
          <w:rFonts w:ascii="Arial" w:hAnsi="Arial" w:cs="Arial"/>
        </w:rPr>
        <w:t>E</w:t>
      </w:r>
      <w:r w:rsidR="004A14A2" w:rsidRPr="004A14A2">
        <w:rPr>
          <w:rFonts w:ascii="Arial" w:hAnsi="Arial" w:cs="Arial"/>
        </w:rPr>
        <w:t>l nuevo protocolo de actuación para feminicidios incorpora elementos clave para garantizar investigaciones más efectivas y con perspectiva de género. Entre sus principales características destaca la recopilación sistemática de datos para reconstruir el contexto de violencia de género que rodeaba a la víctima, lo que permite comprender mejor las circunstancias del crimen. El protocolo establece la intervención coordinada y especializada de Policías de Investigación (PDI), peritos y agentes del Ministerio Público desde las primeras horas del caso, con un énfasis particular en preservar evidencias durante las cruciales primeras 48 a 72 horas, periodo en que deben realizarse las diligencias de manera continua e ininterrumpida.</w:t>
      </w:r>
      <w:r w:rsidR="004A14A2">
        <w:rPr>
          <w:rFonts w:ascii="Arial" w:hAnsi="Arial" w:cs="Arial"/>
        </w:rPr>
        <w:t xml:space="preserve"> </w:t>
      </w:r>
      <w:r w:rsidR="000437A0">
        <w:rPr>
          <w:rStyle w:val="Refdenotaalpie"/>
          <w:rFonts w:ascii="Arial" w:hAnsi="Arial" w:cs="Arial"/>
        </w:rPr>
        <w:footnoteReference w:id="5"/>
      </w:r>
    </w:p>
    <w:p w14:paraId="0C5F16D6" w14:textId="5362DC90" w:rsidR="004A14A2" w:rsidRPr="004A14A2" w:rsidRDefault="004A14A2" w:rsidP="004A14A2">
      <w:pPr>
        <w:spacing w:line="360" w:lineRule="auto"/>
        <w:jc w:val="both"/>
        <w:rPr>
          <w:rFonts w:ascii="Arial" w:hAnsi="Arial" w:cs="Arial"/>
        </w:rPr>
      </w:pPr>
      <w:r w:rsidRPr="004A14A2">
        <w:rPr>
          <w:rFonts w:ascii="Arial" w:hAnsi="Arial" w:cs="Arial"/>
        </w:rPr>
        <w:lastRenderedPageBreak/>
        <w:t>La investigación busca ser exhaustiva, profundizando no solo en los hechos inmediatos sino también en la reconstrucción del contexto social y relacional de la víctima. El protocolo va más allá del aspecto punitivo, estableciendo obligaciones ministeriales para brindar ayuda inmediata, asistencia y protección a las víctimas indirectas, incluyendo familiares y personas cercanas. Asimismo, incorpora protocolos humanizados para la notificación a familiares y la entrega digna de los cuerpos, reconociendo la importancia del trato compasivo en estos procesos dolorosos. (Proceso, 2025)</w:t>
      </w:r>
    </w:p>
    <w:p w14:paraId="4B3F085B" w14:textId="30C7057D" w:rsidR="003F3306" w:rsidRPr="007C7B3D" w:rsidRDefault="00BC0EC1" w:rsidP="00A766AD">
      <w:pPr>
        <w:spacing w:line="360" w:lineRule="auto"/>
        <w:jc w:val="both"/>
        <w:rPr>
          <w:rFonts w:ascii="Arial" w:hAnsi="Arial" w:cs="Arial"/>
          <w:b/>
          <w:bCs/>
        </w:rPr>
      </w:pPr>
      <w:r w:rsidRPr="007C7B3D">
        <w:rPr>
          <w:rFonts w:ascii="Arial" w:hAnsi="Arial" w:cs="Arial"/>
          <w:b/>
          <w:bCs/>
        </w:rPr>
        <w:t>Modelo de tipo penal de feminicidio</w:t>
      </w:r>
      <w:r w:rsidR="000437A0">
        <w:rPr>
          <w:rStyle w:val="Refdenotaalpie"/>
          <w:rFonts w:ascii="Arial" w:hAnsi="Arial" w:cs="Arial"/>
          <w:b/>
          <w:bCs/>
        </w:rPr>
        <w:footnoteReference w:id="6"/>
      </w:r>
    </w:p>
    <w:p w14:paraId="584E0FE6" w14:textId="77777777" w:rsidR="007C7B3D" w:rsidRPr="007C7B3D" w:rsidRDefault="007C7B3D" w:rsidP="007C7B3D">
      <w:pPr>
        <w:numPr>
          <w:ilvl w:val="0"/>
          <w:numId w:val="1"/>
        </w:numPr>
        <w:spacing w:line="360" w:lineRule="auto"/>
        <w:jc w:val="both"/>
        <w:rPr>
          <w:rFonts w:ascii="Arial" w:hAnsi="Arial" w:cs="Arial"/>
        </w:rPr>
      </w:pPr>
      <w:r w:rsidRPr="007C7B3D">
        <w:rPr>
          <w:rFonts w:ascii="Arial" w:hAnsi="Arial" w:cs="Arial"/>
        </w:rPr>
        <w:t>El modelo es un documento de consulta, práctico y con lenguaje ciudadano, dirigido principalmente a las y los legisladores federales y locales, con el objeto de incentivar el análisis y formulación de tipos penales de feminicidio efectivos, que incorporen las perspectivas de género, de niñez y de derechos humanos, y sirvan de parámetro para atender los contextos sociales de cada región o entidad federativa.</w:t>
      </w:r>
    </w:p>
    <w:p w14:paraId="45C4D015" w14:textId="77777777" w:rsidR="007C7B3D" w:rsidRPr="007C7B3D" w:rsidRDefault="007C7B3D" w:rsidP="007C7B3D">
      <w:pPr>
        <w:numPr>
          <w:ilvl w:val="0"/>
          <w:numId w:val="1"/>
        </w:numPr>
        <w:spacing w:line="360" w:lineRule="auto"/>
        <w:jc w:val="both"/>
        <w:rPr>
          <w:rFonts w:ascii="Arial" w:hAnsi="Arial" w:cs="Arial"/>
        </w:rPr>
      </w:pPr>
      <w:r w:rsidRPr="007C7B3D">
        <w:rPr>
          <w:rFonts w:ascii="Arial" w:hAnsi="Arial" w:cs="Arial"/>
        </w:rPr>
        <w:t>Los elementos normativos que se proponen en el modelo para la configuración de tipos penales de feminicidio en el país consideran:</w:t>
      </w:r>
    </w:p>
    <w:p w14:paraId="2A6F9431" w14:textId="77777777" w:rsidR="007C7B3D" w:rsidRPr="007C7B3D" w:rsidRDefault="007C7B3D" w:rsidP="000A2C62">
      <w:pPr>
        <w:numPr>
          <w:ilvl w:val="1"/>
          <w:numId w:val="9"/>
        </w:numPr>
        <w:spacing w:line="360" w:lineRule="auto"/>
        <w:ind w:left="1985"/>
        <w:jc w:val="both"/>
        <w:rPr>
          <w:rFonts w:ascii="Arial" w:hAnsi="Arial" w:cs="Arial"/>
        </w:rPr>
      </w:pPr>
      <w:r w:rsidRPr="007C7B3D">
        <w:rPr>
          <w:rFonts w:ascii="Arial" w:hAnsi="Arial" w:cs="Arial"/>
        </w:rPr>
        <w:t>Recomendaciones y estándares nacionales e internacionales sobre derechos humanos.</w:t>
      </w:r>
    </w:p>
    <w:p w14:paraId="1594D81F" w14:textId="77777777" w:rsidR="007C7B3D" w:rsidRPr="007C7B3D" w:rsidRDefault="007C7B3D" w:rsidP="000A2C62">
      <w:pPr>
        <w:numPr>
          <w:ilvl w:val="1"/>
          <w:numId w:val="9"/>
        </w:numPr>
        <w:spacing w:line="360" w:lineRule="auto"/>
        <w:ind w:left="1985"/>
        <w:jc w:val="both"/>
        <w:rPr>
          <w:rFonts w:ascii="Arial" w:hAnsi="Arial" w:cs="Arial"/>
        </w:rPr>
      </w:pPr>
      <w:r w:rsidRPr="007C7B3D">
        <w:rPr>
          <w:rFonts w:ascii="Arial" w:hAnsi="Arial" w:cs="Arial"/>
        </w:rPr>
        <w:t>Aciertos identificados en las legislaciones locales vigentes.</w:t>
      </w:r>
    </w:p>
    <w:p w14:paraId="0A33D935" w14:textId="77777777" w:rsidR="007C7B3D" w:rsidRPr="007C7B3D" w:rsidRDefault="007C7B3D" w:rsidP="000A2C62">
      <w:pPr>
        <w:numPr>
          <w:ilvl w:val="1"/>
          <w:numId w:val="9"/>
        </w:numPr>
        <w:spacing w:line="360" w:lineRule="auto"/>
        <w:ind w:left="1985"/>
        <w:jc w:val="both"/>
        <w:rPr>
          <w:rFonts w:ascii="Arial" w:hAnsi="Arial" w:cs="Arial"/>
        </w:rPr>
      </w:pPr>
      <w:r w:rsidRPr="007C7B3D">
        <w:rPr>
          <w:rFonts w:ascii="Arial" w:hAnsi="Arial" w:cs="Arial"/>
        </w:rPr>
        <w:t>Características comunes de las conductas feminicidas.</w:t>
      </w:r>
    </w:p>
    <w:p w14:paraId="5F59419A" w14:textId="77777777" w:rsidR="00CA15D1" w:rsidRDefault="007C7B3D" w:rsidP="000A2C62">
      <w:pPr>
        <w:numPr>
          <w:ilvl w:val="1"/>
          <w:numId w:val="9"/>
        </w:numPr>
        <w:spacing w:line="360" w:lineRule="auto"/>
        <w:ind w:left="1985"/>
        <w:jc w:val="both"/>
        <w:rPr>
          <w:rFonts w:ascii="Arial" w:hAnsi="Arial" w:cs="Arial"/>
        </w:rPr>
      </w:pPr>
      <w:r w:rsidRPr="007C7B3D">
        <w:rPr>
          <w:rFonts w:ascii="Arial" w:hAnsi="Arial" w:cs="Arial"/>
        </w:rPr>
        <w:t>Exigencias sociales para la eliminación de barreras normativas que enfrentan las sobrevivientes, las víctimas y sus familiares en la búsqueda de justicia, verdad y reparación integral.</w:t>
      </w:r>
    </w:p>
    <w:p w14:paraId="34B6B7EA" w14:textId="56A8AD1D" w:rsidR="007C7B3D" w:rsidRPr="007C6E87" w:rsidRDefault="007C7B3D" w:rsidP="00CA15D1">
      <w:pPr>
        <w:spacing w:line="360" w:lineRule="auto"/>
        <w:jc w:val="both"/>
        <w:rPr>
          <w:rFonts w:ascii="Arial" w:hAnsi="Arial" w:cs="Arial"/>
        </w:rPr>
      </w:pPr>
      <w:r w:rsidRPr="007C6E87">
        <w:rPr>
          <w:rFonts w:ascii="Arial" w:hAnsi="Arial" w:cs="Arial"/>
          <w:b/>
          <w:bCs/>
        </w:rPr>
        <w:t xml:space="preserve">IV. </w:t>
      </w:r>
      <w:r w:rsidR="00F91E32" w:rsidRPr="007C6E87">
        <w:rPr>
          <w:rFonts w:ascii="Arial" w:hAnsi="Arial" w:cs="Arial"/>
          <w:b/>
          <w:bCs/>
        </w:rPr>
        <w:t>Acciones de promoción y difusión del Modelo de tipo penal de feminicidio:</w:t>
      </w:r>
    </w:p>
    <w:p w14:paraId="68BCEBB2" w14:textId="76E393FA" w:rsidR="007C7B3D" w:rsidRPr="007C6E87" w:rsidRDefault="007C7B3D" w:rsidP="0094079E">
      <w:pPr>
        <w:numPr>
          <w:ilvl w:val="0"/>
          <w:numId w:val="6"/>
        </w:numPr>
        <w:spacing w:line="360" w:lineRule="auto"/>
        <w:jc w:val="both"/>
        <w:rPr>
          <w:rFonts w:ascii="Arial" w:hAnsi="Arial" w:cs="Arial"/>
        </w:rPr>
      </w:pPr>
      <w:r w:rsidRPr="007C6E87">
        <w:rPr>
          <w:rFonts w:ascii="Arial" w:hAnsi="Arial" w:cs="Arial"/>
          <w:b/>
          <w:bCs/>
        </w:rPr>
        <w:t>2021-2022.</w:t>
      </w:r>
      <w:r w:rsidRPr="007C6E87">
        <w:rPr>
          <w:rFonts w:ascii="Arial" w:hAnsi="Arial" w:cs="Arial"/>
        </w:rPr>
        <w:t> Se llevaron a cabo reuniones con diputadas y diputados locales</w:t>
      </w:r>
      <w:r w:rsidR="0094079E" w:rsidRPr="007C6E87">
        <w:rPr>
          <w:rFonts w:ascii="Arial" w:hAnsi="Arial" w:cs="Arial"/>
        </w:rPr>
        <w:t xml:space="preserve">  y s</w:t>
      </w:r>
      <w:r w:rsidRPr="007C6E87">
        <w:rPr>
          <w:rFonts w:ascii="Arial" w:hAnsi="Arial" w:cs="Arial"/>
        </w:rPr>
        <w:t>e envió el modelo, a los 32 congresos estatales y Congreso de la Unión.</w:t>
      </w:r>
    </w:p>
    <w:p w14:paraId="32AB00B4" w14:textId="77777777" w:rsidR="007C7B3D" w:rsidRPr="007C6E87" w:rsidRDefault="007C7B3D" w:rsidP="007C7B3D">
      <w:pPr>
        <w:numPr>
          <w:ilvl w:val="0"/>
          <w:numId w:val="6"/>
        </w:numPr>
        <w:spacing w:line="360" w:lineRule="auto"/>
        <w:jc w:val="both"/>
        <w:rPr>
          <w:rFonts w:ascii="Arial" w:hAnsi="Arial" w:cs="Arial"/>
        </w:rPr>
      </w:pPr>
      <w:r w:rsidRPr="007C6E87">
        <w:rPr>
          <w:rFonts w:ascii="Arial" w:hAnsi="Arial" w:cs="Arial"/>
          <w:b/>
          <w:bCs/>
        </w:rPr>
        <w:lastRenderedPageBreak/>
        <w:t>2023.</w:t>
      </w:r>
      <w:r w:rsidRPr="007C6E87">
        <w:rPr>
          <w:rFonts w:ascii="Arial" w:hAnsi="Arial" w:cs="Arial"/>
        </w:rPr>
        <w:t> Se envió el modelo a las y los gobernadores de las entidades federativas y se presentó en el Sistema Nacional de Prevención, Atención, Sanción y Erradicación de la Violencia contra las Mujeres (SNPASEVM), en el que se emitió el Acuerdo No. 02-26/04/2023 para instar a las entidades federativas a que, a través de sus sistemas estatales en la materia, revisen y analicen los tipos penales a la luz del Modelo. </w:t>
      </w:r>
    </w:p>
    <w:p w14:paraId="44F7117F" w14:textId="77777777" w:rsidR="00C831D1" w:rsidRPr="007C6E87" w:rsidRDefault="00C831D1" w:rsidP="00C831D1">
      <w:pPr>
        <w:numPr>
          <w:ilvl w:val="0"/>
          <w:numId w:val="6"/>
        </w:numPr>
        <w:spacing w:line="360" w:lineRule="auto"/>
        <w:jc w:val="both"/>
        <w:rPr>
          <w:rFonts w:ascii="Arial" w:hAnsi="Arial" w:cs="Arial"/>
        </w:rPr>
      </w:pPr>
      <w:r w:rsidRPr="007C6E87">
        <w:rPr>
          <w:rFonts w:ascii="Arial" w:hAnsi="Arial" w:cs="Arial"/>
        </w:rPr>
        <w:t>El modelo es un documento de consulta, práctico y con lenguaje ciudadano, dirigido principalmente a las y los legisladores federales y locales, con el objeto de incentivar el análisis y formulación de tipos penales de feminicidio efectivos, que incorporen las perspectivas de género, de niñez y de derechos humanos, y sirvan de parámetro para atender los contextos sociales de cada región o entidad federativa.</w:t>
      </w:r>
    </w:p>
    <w:p w14:paraId="556701CA" w14:textId="77777777" w:rsidR="00C831D1" w:rsidRPr="007C6E87" w:rsidRDefault="00C831D1" w:rsidP="00737F80">
      <w:pPr>
        <w:numPr>
          <w:ilvl w:val="0"/>
          <w:numId w:val="6"/>
        </w:numPr>
        <w:spacing w:line="240" w:lineRule="atLeast"/>
        <w:ind w:hanging="357"/>
        <w:jc w:val="both"/>
        <w:rPr>
          <w:rFonts w:ascii="Arial" w:hAnsi="Arial" w:cs="Arial"/>
        </w:rPr>
      </w:pPr>
      <w:r w:rsidRPr="007C6E87">
        <w:rPr>
          <w:rFonts w:ascii="Arial" w:hAnsi="Arial" w:cs="Arial"/>
        </w:rPr>
        <w:t>Los elementos normativos que se proponen en el modelo para la configuración de tipos penales de feminicidio en el país consideran:</w:t>
      </w:r>
    </w:p>
    <w:p w14:paraId="6BBC7540" w14:textId="77777777" w:rsidR="00C831D1" w:rsidRPr="007C6E87" w:rsidRDefault="00C831D1" w:rsidP="00737F80">
      <w:pPr>
        <w:numPr>
          <w:ilvl w:val="0"/>
          <w:numId w:val="10"/>
        </w:numPr>
        <w:tabs>
          <w:tab w:val="clear" w:pos="720"/>
          <w:tab w:val="num" w:pos="993"/>
        </w:tabs>
        <w:spacing w:line="240" w:lineRule="atLeast"/>
        <w:ind w:left="1560" w:hanging="357"/>
        <w:jc w:val="both"/>
        <w:rPr>
          <w:rFonts w:ascii="Arial" w:hAnsi="Arial" w:cs="Arial"/>
        </w:rPr>
      </w:pPr>
      <w:r w:rsidRPr="007C6E87">
        <w:rPr>
          <w:rFonts w:ascii="Arial" w:hAnsi="Arial" w:cs="Arial"/>
        </w:rPr>
        <w:t>Recomendaciones y estándares nacionales e internacionales sobre derechos humanos.</w:t>
      </w:r>
    </w:p>
    <w:p w14:paraId="37EB1468" w14:textId="77777777" w:rsidR="00C831D1" w:rsidRPr="007C6E87" w:rsidRDefault="00C831D1" w:rsidP="00737F80">
      <w:pPr>
        <w:numPr>
          <w:ilvl w:val="0"/>
          <w:numId w:val="10"/>
        </w:numPr>
        <w:tabs>
          <w:tab w:val="clear" w:pos="720"/>
          <w:tab w:val="num" w:pos="993"/>
        </w:tabs>
        <w:spacing w:line="240" w:lineRule="atLeast"/>
        <w:ind w:left="1560" w:hanging="357"/>
        <w:jc w:val="both"/>
        <w:rPr>
          <w:rFonts w:ascii="Arial" w:hAnsi="Arial" w:cs="Arial"/>
        </w:rPr>
      </w:pPr>
      <w:r w:rsidRPr="007C6E87">
        <w:rPr>
          <w:rFonts w:ascii="Arial" w:hAnsi="Arial" w:cs="Arial"/>
        </w:rPr>
        <w:t>Aciertos identificados en las legislaciones locales vigentes.</w:t>
      </w:r>
    </w:p>
    <w:p w14:paraId="507AB2DF" w14:textId="77777777" w:rsidR="00C831D1" w:rsidRPr="007C6E87" w:rsidRDefault="00C831D1" w:rsidP="00737F80">
      <w:pPr>
        <w:numPr>
          <w:ilvl w:val="0"/>
          <w:numId w:val="10"/>
        </w:numPr>
        <w:tabs>
          <w:tab w:val="clear" w:pos="720"/>
          <w:tab w:val="num" w:pos="993"/>
        </w:tabs>
        <w:spacing w:line="240" w:lineRule="atLeast"/>
        <w:ind w:left="1560" w:hanging="357"/>
        <w:jc w:val="both"/>
        <w:rPr>
          <w:rFonts w:ascii="Arial" w:hAnsi="Arial" w:cs="Arial"/>
        </w:rPr>
      </w:pPr>
      <w:r w:rsidRPr="007C6E87">
        <w:rPr>
          <w:rFonts w:ascii="Arial" w:hAnsi="Arial" w:cs="Arial"/>
        </w:rPr>
        <w:t>Características comunes de las conductas feminicidas.</w:t>
      </w:r>
    </w:p>
    <w:p w14:paraId="0E2CEDBB" w14:textId="77777777" w:rsidR="00C831D1" w:rsidRPr="007C6E87" w:rsidRDefault="00C831D1" w:rsidP="00737F80">
      <w:pPr>
        <w:numPr>
          <w:ilvl w:val="0"/>
          <w:numId w:val="10"/>
        </w:numPr>
        <w:tabs>
          <w:tab w:val="clear" w:pos="720"/>
          <w:tab w:val="num" w:pos="993"/>
        </w:tabs>
        <w:spacing w:line="240" w:lineRule="atLeast"/>
        <w:ind w:left="1560" w:hanging="357"/>
        <w:jc w:val="both"/>
        <w:rPr>
          <w:rFonts w:ascii="Arial" w:hAnsi="Arial" w:cs="Arial"/>
        </w:rPr>
      </w:pPr>
      <w:r w:rsidRPr="007C6E87">
        <w:rPr>
          <w:rFonts w:ascii="Arial" w:hAnsi="Arial" w:cs="Arial"/>
        </w:rPr>
        <w:t>Exigencias sociales para la eliminación de barreras normativas que enfrentan las sobrevivientes, las víctimas y sus familiares en la búsqueda de justicia, verdad y reparación integral.</w:t>
      </w:r>
    </w:p>
    <w:p w14:paraId="57290F90" w14:textId="77777777" w:rsidR="00CA15D1" w:rsidRPr="007C6E87" w:rsidRDefault="00CA15D1" w:rsidP="00737F80">
      <w:pPr>
        <w:numPr>
          <w:ilvl w:val="0"/>
          <w:numId w:val="10"/>
        </w:numPr>
        <w:tabs>
          <w:tab w:val="clear" w:pos="720"/>
          <w:tab w:val="num" w:pos="993"/>
        </w:tabs>
        <w:spacing w:line="240" w:lineRule="atLeast"/>
        <w:ind w:left="1560" w:hanging="357"/>
        <w:jc w:val="both"/>
        <w:rPr>
          <w:rFonts w:ascii="Arial" w:hAnsi="Arial" w:cs="Arial"/>
        </w:rPr>
      </w:pPr>
      <w:r w:rsidRPr="007C6E87">
        <w:rPr>
          <w:rFonts w:ascii="Arial" w:hAnsi="Arial" w:cs="Arial"/>
        </w:rPr>
        <w:t xml:space="preserve">Sinaloa, Oaxaca, Tamaulipas, Sonora y Baja California son las primeras entidades federativas en armonizar casi en su totalidad su tipo penal de feminicidio conforme al modelo. </w:t>
      </w:r>
    </w:p>
    <w:p w14:paraId="5D46DD54" w14:textId="77777777" w:rsidR="00CA15D1" w:rsidRPr="007C6E87" w:rsidRDefault="00CA15D1" w:rsidP="00737F80">
      <w:pPr>
        <w:numPr>
          <w:ilvl w:val="0"/>
          <w:numId w:val="10"/>
        </w:numPr>
        <w:tabs>
          <w:tab w:val="clear" w:pos="720"/>
          <w:tab w:val="num" w:pos="993"/>
        </w:tabs>
        <w:spacing w:line="240" w:lineRule="atLeast"/>
        <w:ind w:left="1560" w:hanging="357"/>
        <w:jc w:val="both"/>
        <w:rPr>
          <w:rFonts w:ascii="Arial" w:hAnsi="Arial" w:cs="Arial"/>
        </w:rPr>
      </w:pPr>
      <w:r w:rsidRPr="007C6E87">
        <w:rPr>
          <w:rFonts w:ascii="Arial" w:hAnsi="Arial" w:cs="Arial"/>
        </w:rPr>
        <w:t>Querétaro, Nuevo León, Zacatecas, Yucatán, Estado de México, Ciudad de México, Quintana Roo y Guanajuato ya cuentan con iniciativas que incorporan los elementos propuestos en el modelo.</w:t>
      </w:r>
    </w:p>
    <w:p w14:paraId="0ABDA209" w14:textId="02A5CD71" w:rsidR="00CA15D1" w:rsidRDefault="00CA15D1" w:rsidP="00737F80">
      <w:pPr>
        <w:numPr>
          <w:ilvl w:val="0"/>
          <w:numId w:val="10"/>
        </w:numPr>
        <w:tabs>
          <w:tab w:val="clear" w:pos="720"/>
          <w:tab w:val="num" w:pos="993"/>
        </w:tabs>
        <w:spacing w:line="240" w:lineRule="atLeast"/>
        <w:ind w:left="1560" w:hanging="357"/>
        <w:jc w:val="both"/>
        <w:rPr>
          <w:rFonts w:ascii="Arial" w:hAnsi="Arial" w:cs="Arial"/>
        </w:rPr>
      </w:pPr>
      <w:r w:rsidRPr="007C6E87">
        <w:rPr>
          <w:rFonts w:ascii="Arial" w:hAnsi="Arial" w:cs="Arial"/>
        </w:rPr>
        <w:t>En el ámbito federal, en la Cámara de Diputados, se presentó una propuesta de reforma que retoma la totalidad de los elementos del Modelo.</w:t>
      </w:r>
    </w:p>
    <w:p w14:paraId="3AC861B0" w14:textId="519A7AAA" w:rsidR="00737F80" w:rsidRDefault="00737F80" w:rsidP="00120FA7">
      <w:pPr>
        <w:spacing w:line="360" w:lineRule="auto"/>
        <w:jc w:val="center"/>
        <w:rPr>
          <w:rFonts w:ascii="Arial" w:hAnsi="Arial" w:cs="Arial"/>
          <w:b/>
          <w:bCs/>
        </w:rPr>
      </w:pPr>
      <w:r w:rsidRPr="00737F80">
        <w:rPr>
          <w:rFonts w:ascii="Arial" w:hAnsi="Arial" w:cs="Arial"/>
          <w:b/>
          <w:bCs/>
        </w:rPr>
        <w:t xml:space="preserve">Observaciones  </w:t>
      </w:r>
      <w:r w:rsidR="00120FA7">
        <w:rPr>
          <w:rFonts w:ascii="Arial" w:hAnsi="Arial" w:cs="Arial"/>
          <w:b/>
          <w:bCs/>
        </w:rPr>
        <w:t xml:space="preserve">criticas sobre al </w:t>
      </w:r>
      <w:r w:rsidRPr="00737F80">
        <w:rPr>
          <w:rFonts w:ascii="Arial" w:hAnsi="Arial" w:cs="Arial"/>
          <w:b/>
          <w:bCs/>
        </w:rPr>
        <w:t xml:space="preserve"> modelo </w:t>
      </w:r>
      <w:r>
        <w:rPr>
          <w:rFonts w:ascii="Arial" w:hAnsi="Arial" w:cs="Arial"/>
          <w:b/>
          <w:bCs/>
        </w:rPr>
        <w:t xml:space="preserve">del </w:t>
      </w:r>
      <w:r w:rsidRPr="00737F80">
        <w:rPr>
          <w:rFonts w:ascii="Arial" w:hAnsi="Arial" w:cs="Arial"/>
          <w:b/>
          <w:bCs/>
        </w:rPr>
        <w:t xml:space="preserve">Tipo </w:t>
      </w:r>
      <w:r>
        <w:rPr>
          <w:rFonts w:ascii="Arial" w:hAnsi="Arial" w:cs="Arial"/>
          <w:b/>
          <w:bCs/>
        </w:rPr>
        <w:t>P</w:t>
      </w:r>
      <w:r w:rsidRPr="00737F80">
        <w:rPr>
          <w:rFonts w:ascii="Arial" w:hAnsi="Arial" w:cs="Arial"/>
          <w:b/>
          <w:bCs/>
        </w:rPr>
        <w:t xml:space="preserve">enal del Feminicidio y </w:t>
      </w:r>
      <w:r>
        <w:rPr>
          <w:rFonts w:ascii="Arial" w:hAnsi="Arial" w:cs="Arial"/>
          <w:b/>
          <w:bCs/>
        </w:rPr>
        <w:t xml:space="preserve">las dificultades para  la </w:t>
      </w:r>
      <w:r w:rsidRPr="00737F80">
        <w:rPr>
          <w:rFonts w:ascii="Arial" w:hAnsi="Arial" w:cs="Arial"/>
          <w:b/>
          <w:bCs/>
        </w:rPr>
        <w:t xml:space="preserve"> homologaciòn</w:t>
      </w:r>
    </w:p>
    <w:p w14:paraId="5EE26870" w14:textId="77777777" w:rsidR="00737F80" w:rsidRDefault="00737F80" w:rsidP="00737F80">
      <w:pPr>
        <w:pStyle w:val="Prrafodelista"/>
        <w:numPr>
          <w:ilvl w:val="0"/>
          <w:numId w:val="12"/>
        </w:numPr>
        <w:spacing w:line="259" w:lineRule="auto"/>
        <w:ind w:left="181" w:hanging="181"/>
        <w:rPr>
          <w:rFonts w:ascii="Arial" w:hAnsi="Arial" w:cs="Arial"/>
        </w:rPr>
      </w:pPr>
      <w:r>
        <w:rPr>
          <w:rFonts w:ascii="Arial" w:hAnsi="Arial" w:cs="Arial"/>
        </w:rPr>
        <w:t>Hasta mayo del 2025, no se ha aprobado un Código Penal Único, que contenga la propuesta del Nuevo tipo de Feminicidio elaborado por el Estado Mexicano.</w:t>
      </w:r>
    </w:p>
    <w:p w14:paraId="2ECD8C19" w14:textId="1E1BCADD" w:rsidR="00737F80" w:rsidRDefault="00737F80" w:rsidP="00737F80">
      <w:pPr>
        <w:pStyle w:val="Prrafodelista"/>
        <w:numPr>
          <w:ilvl w:val="0"/>
          <w:numId w:val="12"/>
        </w:numPr>
        <w:spacing w:line="259" w:lineRule="auto"/>
        <w:ind w:left="181" w:hanging="181"/>
        <w:rPr>
          <w:rFonts w:ascii="Arial" w:hAnsi="Arial" w:cs="Arial"/>
        </w:rPr>
      </w:pPr>
      <w:r>
        <w:rPr>
          <w:rFonts w:ascii="Arial" w:hAnsi="Arial" w:cs="Arial"/>
        </w:rPr>
        <w:t xml:space="preserve">Este Modelo </w:t>
      </w:r>
      <w:r w:rsidRPr="00737F80">
        <w:rPr>
          <w:rFonts w:ascii="Arial" w:hAnsi="Arial" w:cs="Arial"/>
        </w:rPr>
        <w:t>del Tipo Penal del</w:t>
      </w:r>
      <w:r>
        <w:rPr>
          <w:rFonts w:ascii="Arial" w:hAnsi="Arial" w:cs="Arial"/>
        </w:rPr>
        <w:t xml:space="preserve"> Feminicidio no ha sido aprobado por el Congreso de la Unión.</w:t>
      </w:r>
    </w:p>
    <w:p w14:paraId="1E8454C7" w14:textId="73F974BE" w:rsidR="00737F80" w:rsidRDefault="00737F80" w:rsidP="00737F80">
      <w:pPr>
        <w:pStyle w:val="Prrafodelista"/>
        <w:numPr>
          <w:ilvl w:val="0"/>
          <w:numId w:val="12"/>
        </w:numPr>
        <w:spacing w:line="259" w:lineRule="auto"/>
        <w:ind w:left="181" w:hanging="181"/>
        <w:rPr>
          <w:rFonts w:ascii="Arial" w:hAnsi="Arial" w:cs="Arial"/>
        </w:rPr>
      </w:pPr>
      <w:r>
        <w:rPr>
          <w:rFonts w:ascii="Arial" w:hAnsi="Arial" w:cs="Arial"/>
        </w:rPr>
        <w:lastRenderedPageBreak/>
        <w:t xml:space="preserve">Actualemente, tampoco se encuentra incluído en el Código Penal Federal </w:t>
      </w:r>
    </w:p>
    <w:p w14:paraId="5A0F1235" w14:textId="77777777" w:rsidR="00737F80" w:rsidRDefault="00737F80" w:rsidP="00737F80">
      <w:pPr>
        <w:pStyle w:val="Prrafodelista"/>
        <w:numPr>
          <w:ilvl w:val="0"/>
          <w:numId w:val="12"/>
        </w:numPr>
        <w:spacing w:line="259" w:lineRule="auto"/>
        <w:ind w:left="181" w:hanging="181"/>
        <w:rPr>
          <w:rFonts w:ascii="Arial" w:hAnsi="Arial" w:cs="Arial"/>
        </w:rPr>
      </w:pPr>
      <w:r>
        <w:rPr>
          <w:rFonts w:ascii="Arial" w:hAnsi="Arial" w:cs="Arial"/>
        </w:rPr>
        <w:t>Ha habido actualización en la penalidad del tipo de feminicidio en algunas entidades federativas, sin embargo, la diversidad de la penalidad subsiste.</w:t>
      </w:r>
    </w:p>
    <w:p w14:paraId="79BDD390" w14:textId="734F4A13" w:rsidR="00737F80" w:rsidRPr="001A11E4" w:rsidRDefault="00737F80" w:rsidP="00737F80">
      <w:pPr>
        <w:pStyle w:val="Prrafodelista"/>
        <w:numPr>
          <w:ilvl w:val="0"/>
          <w:numId w:val="12"/>
        </w:numPr>
        <w:spacing w:line="259" w:lineRule="auto"/>
        <w:ind w:left="181" w:hanging="181"/>
        <w:rPr>
          <w:rFonts w:ascii="Arial" w:hAnsi="Arial" w:cs="Arial"/>
        </w:rPr>
      </w:pPr>
      <w:r w:rsidRPr="00737F80">
        <w:rPr>
          <w:rFonts w:ascii="Arial" w:hAnsi="Arial" w:cs="Arial"/>
        </w:rPr>
        <w:t xml:space="preserve">Las razones de gènero del tipo penal de feminicidio varían entre 6 causales en una entidad, hasta </w:t>
      </w:r>
      <w:r w:rsidRPr="001A11E4">
        <w:rPr>
          <w:rFonts w:ascii="Arial" w:hAnsi="Arial" w:cs="Arial"/>
        </w:rPr>
        <w:t>11 en otras.</w:t>
      </w:r>
    </w:p>
    <w:p w14:paraId="2BF95D0F" w14:textId="26D108FF" w:rsidR="00737F80" w:rsidRDefault="00737F80" w:rsidP="007D6DF6">
      <w:pPr>
        <w:pStyle w:val="Prrafodelista"/>
        <w:numPr>
          <w:ilvl w:val="0"/>
          <w:numId w:val="12"/>
        </w:numPr>
        <w:spacing w:line="259" w:lineRule="auto"/>
        <w:ind w:left="181" w:hanging="181"/>
        <w:rPr>
          <w:rFonts w:ascii="Arial" w:hAnsi="Arial" w:cs="Arial"/>
          <w:b/>
          <w:bCs/>
        </w:rPr>
      </w:pPr>
      <w:r w:rsidRPr="007D6DF6">
        <w:rPr>
          <w:rFonts w:ascii="Arial" w:hAnsi="Arial" w:cs="Arial"/>
        </w:rPr>
        <w:t xml:space="preserve">En consecuencia, </w:t>
      </w:r>
      <w:r w:rsidR="007D6DF6" w:rsidRPr="007D6DF6">
        <w:rPr>
          <w:rFonts w:ascii="Arial" w:hAnsi="Arial" w:cs="Arial"/>
        </w:rPr>
        <w:t>el Modelo del Tipo Penal del Feminicidio, si bien en algunos estados se  ha fortalecido, NO</w:t>
      </w:r>
      <w:r w:rsidRPr="007D6DF6">
        <w:rPr>
          <w:rFonts w:ascii="Arial" w:hAnsi="Arial" w:cs="Arial"/>
        </w:rPr>
        <w:t xml:space="preserve"> se ha homologado en ninguna de las 32 entidades federativas</w:t>
      </w:r>
      <w:r w:rsidR="007D6DF6" w:rsidRPr="007D6DF6">
        <w:rPr>
          <w:rFonts w:ascii="Arial" w:hAnsi="Arial" w:cs="Arial"/>
        </w:rPr>
        <w:t>, como informa el Estado mexicano</w:t>
      </w:r>
      <w:r w:rsidR="007D6DF6">
        <w:rPr>
          <w:rFonts w:ascii="Arial" w:hAnsi="Arial" w:cs="Arial"/>
          <w:b/>
          <w:bCs/>
        </w:rPr>
        <w:t xml:space="preserve">. </w:t>
      </w:r>
    </w:p>
    <w:p w14:paraId="52642AE6" w14:textId="364FC696" w:rsidR="0022170D" w:rsidRPr="007C6E87" w:rsidRDefault="00DF592A" w:rsidP="00C11ABC">
      <w:pPr>
        <w:spacing w:line="360" w:lineRule="auto"/>
        <w:jc w:val="both"/>
        <w:rPr>
          <w:rFonts w:ascii="Arial" w:hAnsi="Arial" w:cs="Arial"/>
          <w:b/>
          <w:bCs/>
        </w:rPr>
      </w:pPr>
      <w:r w:rsidRPr="007C6E87">
        <w:rPr>
          <w:rFonts w:ascii="Arial" w:hAnsi="Arial" w:cs="Arial"/>
          <w:b/>
          <w:bCs/>
        </w:rPr>
        <w:t xml:space="preserve">En </w:t>
      </w:r>
      <w:r w:rsidR="006C419C">
        <w:rPr>
          <w:rFonts w:ascii="Arial" w:hAnsi="Arial" w:cs="Arial"/>
          <w:b/>
          <w:bCs/>
        </w:rPr>
        <w:t>resumen</w:t>
      </w:r>
      <w:r w:rsidRPr="007C6E87">
        <w:rPr>
          <w:rFonts w:ascii="Arial" w:hAnsi="Arial" w:cs="Arial"/>
          <w:b/>
          <w:bCs/>
        </w:rPr>
        <w:t xml:space="preserve">, cada entidad federativa ha tipificado el feminicidio de manera distinta, lo que genera falta de uniformidad, confusión jurídica y desigualdad en la procuración de justicia. </w:t>
      </w:r>
    </w:p>
    <w:p w14:paraId="022D5CF9" w14:textId="4BF0221C" w:rsidR="008469B6" w:rsidRDefault="00DF592A" w:rsidP="008469B6">
      <w:pPr>
        <w:spacing w:line="360" w:lineRule="auto"/>
        <w:jc w:val="both"/>
      </w:pPr>
      <w:r w:rsidRPr="007C6E87">
        <w:rPr>
          <w:rFonts w:ascii="Arial" w:hAnsi="Arial" w:cs="Arial"/>
        </w:rPr>
        <w:t xml:space="preserve">Esto </w:t>
      </w:r>
      <w:r w:rsidR="006C419C">
        <w:rPr>
          <w:rFonts w:ascii="Arial" w:hAnsi="Arial" w:cs="Arial"/>
        </w:rPr>
        <w:t xml:space="preserve">tambièn </w:t>
      </w:r>
      <w:r w:rsidRPr="007C6E87">
        <w:rPr>
          <w:rFonts w:ascii="Arial" w:hAnsi="Arial" w:cs="Arial"/>
        </w:rPr>
        <w:t>obstaculiza la recopilación de estadísticas comparables y la construcción de políticas públicas nacionales.</w:t>
      </w:r>
      <w:r w:rsidR="005E1AC4" w:rsidRPr="005E1AC4">
        <w:t xml:space="preserve"> </w:t>
      </w:r>
    </w:p>
    <w:p w14:paraId="753BDC86" w14:textId="77777777" w:rsidR="006C419C" w:rsidRDefault="008469B6" w:rsidP="006C419C">
      <w:pPr>
        <w:spacing w:line="360" w:lineRule="auto"/>
        <w:jc w:val="both"/>
      </w:pPr>
      <w:r w:rsidRPr="008469B6">
        <w:rPr>
          <w:b/>
          <w:bCs/>
        </w:rPr>
        <w:t>NOTA IMPORTANTA</w:t>
      </w:r>
      <w:r>
        <w:t xml:space="preserve">: </w:t>
      </w:r>
      <w:r w:rsidRPr="008469B6">
        <w:rPr>
          <w:rFonts w:ascii="Arial" w:hAnsi="Arial" w:cs="Arial"/>
        </w:rPr>
        <w:t>Este informe se presenta en el marco de un importante retroceso institucional vinculado al mecanismo de Alerta de Violencia de Género que establece la Ley General de Acceso de las Mujeres a una Vida Libre de Violencia (LGAMVLV), este retroceso se da a partir del 01 de enero del 2025, a partir de la desaparición de la Comisión Nacional para Prevenir y Erradicar la Violencia Contra las Mujeres (CONAVIM), organismo perteneciente a la Secretaría de Gobernación, para dar seguimiento puntual a la violencia de género, emitir las Declaratorias de Alerta de Género y monitorear la implementación de las medidas decretadas en cada estado; sin embargo, con la creación de la Secretaría de las Mujeres a nivel federal (SEMUJERES)  con el Gobierno de la Presidenta Claudia Sheinbaum, como se mencionó en enero 2025, se incorpora a esta nueva institución tanto lo que había sido el Instituto Nacional de las Mujeres (INMUJERES), como en principio, la CONAVIM que ya hemos mencionado, lo anterior, según se informó parcialmente de manera oficial, tomando como base de la Secretaría, el impulso a los Derechos Humanos de las Mujeres a través de la Subsecretaría de Igualdad Sustantiva,  así como la atención a la violencia de género a través de la Subsecretaría del Derecho a una Vida Libre de Violencias (que es la que sustituye a CONAVIM).</w:t>
      </w:r>
    </w:p>
    <w:p w14:paraId="1EB42F9F" w14:textId="77777777" w:rsidR="006C419C" w:rsidRDefault="008469B6" w:rsidP="006C419C">
      <w:pPr>
        <w:spacing w:line="360" w:lineRule="auto"/>
        <w:jc w:val="both"/>
        <w:rPr>
          <w:rFonts w:ascii="Arial" w:hAnsi="Arial" w:cs="Arial"/>
        </w:rPr>
      </w:pPr>
      <w:r w:rsidRPr="006C419C">
        <w:rPr>
          <w:rFonts w:ascii="Arial" w:hAnsi="Arial" w:cs="Arial"/>
          <w:b/>
          <w:bCs/>
        </w:rPr>
        <w:t>Sin embargo esta modificación al entramado institucional en México presenta varios problemas</w:t>
      </w:r>
      <w:r w:rsidRPr="008469B6">
        <w:rPr>
          <w:rFonts w:ascii="Arial" w:hAnsi="Arial" w:cs="Arial"/>
        </w:rPr>
        <w:t xml:space="preserve">; el más importante es que se baja el rango de la instancia para la atención a la violencia de género en el </w:t>
      </w:r>
      <w:r w:rsidR="006C419C">
        <w:rPr>
          <w:rFonts w:ascii="Arial" w:hAnsi="Arial" w:cs="Arial"/>
        </w:rPr>
        <w:t>E</w:t>
      </w:r>
      <w:r w:rsidRPr="008469B6">
        <w:rPr>
          <w:rFonts w:ascii="Arial" w:hAnsi="Arial" w:cs="Arial"/>
        </w:rPr>
        <w:t>stado mexicano</w:t>
      </w:r>
      <w:r w:rsidR="006C419C">
        <w:rPr>
          <w:rFonts w:ascii="Arial" w:hAnsi="Arial" w:cs="Arial"/>
        </w:rPr>
        <w:t xml:space="preserve"> y de los feminicidios</w:t>
      </w:r>
      <w:r w:rsidRPr="008469B6">
        <w:rPr>
          <w:rFonts w:ascii="Arial" w:hAnsi="Arial" w:cs="Arial"/>
        </w:rPr>
        <w:t xml:space="preserve">; la Secretaría de Gobernación es el segundo cargo en importancia, pudiera considerarse </w:t>
      </w:r>
      <w:r w:rsidRPr="008469B6">
        <w:rPr>
          <w:rFonts w:ascii="Arial" w:hAnsi="Arial" w:cs="Arial"/>
        </w:rPr>
        <w:lastRenderedPageBreak/>
        <w:t xml:space="preserve">como una vicepresidencia, mientras que la Secretaría de las Mujeres está al mismo nivel jerárquico que el resto de las Secretarías que forman el poder ejecutivo, por tanto no tiene una fuerza superior para que sus determinaciones se atiendan, además de que en la nueva estructura la Dirección General de Políticas de Acceso a una Vida Libre de Violencias tiene un rango de tercer nivel y la Subsecretaría de seguimiento a las Alertas de Género, tiene por tanto un rango de cuarto nivel, lo que operativamente es complicado para que se atiendan sus determinaciones. </w:t>
      </w:r>
    </w:p>
    <w:p w14:paraId="6F75E043" w14:textId="77777777" w:rsidR="006C419C" w:rsidRDefault="008469B6" w:rsidP="006C419C">
      <w:pPr>
        <w:spacing w:line="360" w:lineRule="auto"/>
        <w:jc w:val="both"/>
      </w:pPr>
      <w:r w:rsidRPr="006C419C">
        <w:rPr>
          <w:rFonts w:ascii="Arial" w:hAnsi="Arial" w:cs="Arial"/>
          <w:b/>
          <w:bCs/>
        </w:rPr>
        <w:t xml:space="preserve">En este marco lamentamos la falta de información sobre las nuevas funciones que pretende atender la SEMUJERES respecto a las Alertas de Violencia de Género contra las Mujeres y en general, para la atención y erradicación de la violencia </w:t>
      </w:r>
      <w:r w:rsidR="006C419C">
        <w:rPr>
          <w:rFonts w:ascii="Arial" w:hAnsi="Arial" w:cs="Arial"/>
          <w:b/>
          <w:bCs/>
        </w:rPr>
        <w:t>feminicida.</w:t>
      </w:r>
    </w:p>
    <w:p w14:paraId="2E8B2514" w14:textId="77777777" w:rsidR="006C419C" w:rsidRDefault="008469B6" w:rsidP="006C419C">
      <w:pPr>
        <w:spacing w:line="360" w:lineRule="auto"/>
        <w:jc w:val="both"/>
      </w:pPr>
      <w:r w:rsidRPr="008469B6">
        <w:rPr>
          <w:rFonts w:ascii="Arial" w:hAnsi="Arial" w:cs="Arial"/>
        </w:rPr>
        <w:t xml:space="preserve">De igual manera,  debemos señalar que hasta la presentación de este informe, y a cinco meses de su creación, no se ha reactivado la comunicación y el trabajo directo con los Grupos Interinstitucionales y Multidisciplinarios (GIM), que son los directamente responsables de hacer los diagnósticos </w:t>
      </w:r>
      <w:r w:rsidRPr="006C419C">
        <w:rPr>
          <w:rFonts w:ascii="Arial" w:hAnsi="Arial" w:cs="Arial"/>
          <w:i/>
          <w:iCs/>
        </w:rPr>
        <w:t>in situ,</w:t>
      </w:r>
      <w:r w:rsidRPr="008469B6">
        <w:rPr>
          <w:rFonts w:ascii="Arial" w:hAnsi="Arial" w:cs="Arial"/>
        </w:rPr>
        <w:t xml:space="preserve"> de declarar las primeras medidas antes de declarar una alerta, de revisar el comportamiento de los gobiernos, de hacer las declaratorias de alerta de violencia de género, de verificar el cumplimiento de las medidas, de recibir y dictaminar los informes y en su caso, de levantar las medidas,. Lo que representa una omisión grave del Estado mexicano.</w:t>
      </w:r>
    </w:p>
    <w:p w14:paraId="628C93D9" w14:textId="2B234015" w:rsidR="008469B6" w:rsidRPr="006C419C" w:rsidRDefault="008469B6" w:rsidP="006C419C">
      <w:pPr>
        <w:spacing w:line="360" w:lineRule="auto"/>
        <w:jc w:val="both"/>
        <w:sectPr w:rsidR="008469B6" w:rsidRPr="006C419C" w:rsidSect="008469B6">
          <w:headerReference w:type="default" r:id="rId10"/>
          <w:footerReference w:type="even" r:id="rId11"/>
          <w:footerReference w:type="default" r:id="rId12"/>
          <w:pgSz w:w="12240" w:h="15840"/>
          <w:pgMar w:top="1340" w:right="1440" w:bottom="280" w:left="1440" w:header="360" w:footer="360" w:gutter="0"/>
          <w:cols w:space="720"/>
        </w:sectPr>
      </w:pPr>
      <w:r w:rsidRPr="008469B6">
        <w:rPr>
          <w:rFonts w:ascii="Arial" w:hAnsi="Arial" w:cs="Arial"/>
        </w:rPr>
        <w:t xml:space="preserve">Otro </w:t>
      </w:r>
      <w:r w:rsidR="006C419C">
        <w:rPr>
          <w:rFonts w:ascii="Arial" w:hAnsi="Arial" w:cs="Arial"/>
        </w:rPr>
        <w:t xml:space="preserve"> retroceso, es el </w:t>
      </w:r>
      <w:r w:rsidRPr="008469B6">
        <w:rPr>
          <w:rFonts w:ascii="Arial" w:hAnsi="Arial" w:cs="Arial"/>
        </w:rPr>
        <w:t xml:space="preserve">sitio </w:t>
      </w:r>
      <w:r w:rsidR="006C419C">
        <w:rPr>
          <w:rFonts w:ascii="Arial" w:hAnsi="Arial" w:cs="Arial"/>
        </w:rPr>
        <w:t xml:space="preserve">Web </w:t>
      </w:r>
      <w:r w:rsidRPr="008469B6">
        <w:rPr>
          <w:rFonts w:ascii="Arial" w:hAnsi="Arial" w:cs="Arial"/>
        </w:rPr>
        <w:t>común en donde se concentraba la información era en la página de la CONAVIM, -que señalamos ha desaparecido- ahí aparecía la información generada a lo largo de la implementación de todas las Alertas Declaradas, este micrositio hasta el momento del presenta informe, no se ha incorporado a la página web de la nueva Secretaría de las Mujeres, lo que representa un retroceso ante la falta de información y la posible opacidad con la que se manejen las actividades gubernamentales de los tres órdenes de gobierno en torno al cumplimiento de las medidas declaradas en cada entidad.</w:t>
      </w:r>
      <w:r w:rsidRPr="00244805">
        <w:rPr>
          <w:rFonts w:ascii="Arial" w:hAnsi="Arial" w:cs="Arial"/>
        </w:rPr>
        <w:t xml:space="preserve"> </w:t>
      </w:r>
    </w:p>
    <w:p w14:paraId="05EAD0A0" w14:textId="77777777" w:rsidR="008469B6" w:rsidRDefault="008469B6" w:rsidP="00C11ABC">
      <w:pPr>
        <w:spacing w:line="360" w:lineRule="auto"/>
        <w:jc w:val="both"/>
      </w:pPr>
    </w:p>
    <w:p w14:paraId="6ED5A957" w14:textId="03A5202A" w:rsidR="006F1A4F" w:rsidRPr="006F1A4F" w:rsidRDefault="006F1A4F" w:rsidP="007C6E87">
      <w:pPr>
        <w:pBdr>
          <w:left w:val="nil"/>
          <w:bottom w:val="nil"/>
          <w:right w:val="nil"/>
          <w:between w:val="nil"/>
        </w:pBdr>
        <w:spacing w:line="276" w:lineRule="auto"/>
        <w:ind w:right="366"/>
        <w:jc w:val="both"/>
        <w:rPr>
          <w:rFonts w:ascii="Arial" w:hAnsi="Arial" w:cs="Arial"/>
          <w:b/>
          <w:bCs/>
        </w:rPr>
      </w:pPr>
      <w:r w:rsidRPr="006F1A4F">
        <w:rPr>
          <w:rFonts w:ascii="Arial" w:hAnsi="Arial" w:cs="Arial"/>
          <w:b/>
          <w:bCs/>
        </w:rPr>
        <w:t>Una buena práctica de la AVGM - La Medida 33, denominada medida correctiva</w:t>
      </w:r>
    </w:p>
    <w:p w14:paraId="29A38236" w14:textId="79A3491B" w:rsidR="006F1A4F" w:rsidRPr="006F1A4F" w:rsidRDefault="006F1A4F" w:rsidP="006C419C">
      <w:pPr>
        <w:spacing w:line="360" w:lineRule="auto"/>
        <w:jc w:val="both"/>
        <w:rPr>
          <w:rFonts w:ascii="Arial" w:hAnsi="Arial" w:cs="Arial"/>
        </w:rPr>
      </w:pPr>
      <w:r w:rsidRPr="006F1A4F">
        <w:rPr>
          <w:rFonts w:ascii="Arial" w:hAnsi="Arial" w:cs="Arial"/>
        </w:rPr>
        <w:t xml:space="preserve">En el tema de la coordinación de la AVGM con los tres órdenes de gobierno, el federal, estatal y municipal, la organización solicitante menciona al respecto que a nivel general, con el Sistema Estatal presidido por el gobernador, la operatividad se la dejan a la Secretaría de las Mujeres, eso hace que haya poca respuesta, ya que no se ejerce una jerarquía, que impide llevar a cabo el seguimiento, se ha pedido que sea llevada por la Secretaría de Gobierno, ya que no se ha logrado que se lleve a cabo la obligatoriedad. </w:t>
      </w:r>
    </w:p>
    <w:p w14:paraId="4492F492" w14:textId="77777777" w:rsidR="001C4CF4" w:rsidRDefault="006F1A4F" w:rsidP="006C419C">
      <w:pPr>
        <w:spacing w:line="360" w:lineRule="auto"/>
        <w:jc w:val="both"/>
        <w:rPr>
          <w:rFonts w:ascii="Arial" w:hAnsi="Arial" w:cs="Arial"/>
        </w:rPr>
      </w:pPr>
      <w:r w:rsidRPr="006F1A4F">
        <w:rPr>
          <w:rFonts w:ascii="Arial" w:hAnsi="Arial" w:cs="Arial"/>
        </w:rPr>
        <w:t xml:space="preserve">Esta cuestión ha sido más evidente a raíz de que el 8 de marzo del 2024, el </w:t>
      </w:r>
      <w:r w:rsidRPr="006C419C">
        <w:rPr>
          <w:rFonts w:ascii="Arial" w:hAnsi="Arial" w:cs="Arial"/>
          <w:b/>
          <w:bCs/>
        </w:rPr>
        <w:t>movimiento feminista de Zacatecas fue brutalmente reprimido</w:t>
      </w:r>
      <w:r w:rsidRPr="006F1A4F">
        <w:rPr>
          <w:rFonts w:ascii="Arial" w:hAnsi="Arial" w:cs="Arial"/>
        </w:rPr>
        <w:t xml:space="preserve"> durante la manifestación y </w:t>
      </w:r>
      <w:r w:rsidRPr="006C419C">
        <w:rPr>
          <w:rFonts w:ascii="Arial" w:hAnsi="Arial" w:cs="Arial"/>
          <w:b/>
          <w:bCs/>
        </w:rPr>
        <w:t>18 mujeres vivieron actos de tortura que fueron denunciados y ampliamente documentados</w:t>
      </w:r>
      <w:r w:rsidRPr="006F1A4F">
        <w:rPr>
          <w:rFonts w:ascii="Arial" w:hAnsi="Arial" w:cs="Arial"/>
        </w:rPr>
        <w:t xml:space="preserve">. A raíz de los hechos, la organización solicitante de la Alerta de Género en Zacatecas llevó el caso a discusión en el GIM (Grupo Interinstitucional y Multidisciplinario) responsable de la Alerta de Género de la entidad, esta discusión y posterior resolución, permitió que se modificara la Declaratoria de Alerta original (emitida el 7 de agosto de 2018) y que consta de 32 medidas para incorporar una medida más; la Medida 33, denominada medida correctiva, que consta de 8 acciones precisas dirigidas a la Fiscalía del Estado, a la Secretaría General de Gobierno, a la Secretaría de las Mujeres, a la Comisión de Víctimas del Estado, a la Secretaría de Seguridad Pública Estatal y del Municipio de Zacatecas.  Este documento se emitió el 20 de junio de 2024, le otorgaron al estado una temporalidad de 6 meses para cumplir con los resolutivos debiendo informar en el mes de diciembre de 2024. El estado </w:t>
      </w:r>
      <w:r w:rsidR="006C419C">
        <w:rPr>
          <w:rFonts w:ascii="Arial" w:hAnsi="Arial" w:cs="Arial"/>
        </w:rPr>
        <w:t xml:space="preserve">de Zacatecas </w:t>
      </w:r>
      <w:r w:rsidRPr="006F1A4F">
        <w:rPr>
          <w:rFonts w:ascii="Arial" w:hAnsi="Arial" w:cs="Arial"/>
        </w:rPr>
        <w:t xml:space="preserve">en efecto emitió su informe dirigido a la CONAVIM, dando por cumplidas las acciones, sin embargo, en la realidad no lograron cumplir adecuadamente con ninguna de ellas. Este es un claro ejemplo de la simulación del estado </w:t>
      </w:r>
      <w:r w:rsidR="001C4CF4">
        <w:rPr>
          <w:rFonts w:ascii="Arial" w:hAnsi="Arial" w:cs="Arial"/>
        </w:rPr>
        <w:t xml:space="preserve"> de Zacatecas </w:t>
      </w:r>
      <w:r w:rsidRPr="006F1A4F">
        <w:rPr>
          <w:rFonts w:ascii="Arial" w:hAnsi="Arial" w:cs="Arial"/>
        </w:rPr>
        <w:t>ante hechos de violencia grave en contra de las mujeres.</w:t>
      </w:r>
    </w:p>
    <w:p w14:paraId="1024C008" w14:textId="5CE00182" w:rsidR="006F1A4F" w:rsidRPr="00C521BC" w:rsidRDefault="006F1A4F" w:rsidP="00C11ABC">
      <w:pPr>
        <w:spacing w:line="360" w:lineRule="auto"/>
        <w:jc w:val="both"/>
        <w:rPr>
          <w:rFonts w:ascii="Arial" w:hAnsi="Arial" w:cs="Arial"/>
          <w:b/>
          <w:bCs/>
        </w:rPr>
      </w:pPr>
      <w:r w:rsidRPr="006F1A4F">
        <w:rPr>
          <w:rFonts w:ascii="Arial" w:hAnsi="Arial" w:cs="Arial"/>
        </w:rPr>
        <w:lastRenderedPageBreak/>
        <w:t xml:space="preserve"> </w:t>
      </w:r>
      <w:r w:rsidRPr="001C4CF4">
        <w:rPr>
          <w:rFonts w:ascii="Arial" w:hAnsi="Arial" w:cs="Arial"/>
          <w:b/>
          <w:bCs/>
        </w:rPr>
        <w:t>Ante la desaparición de la CONAVIM, el informe no ha sido remitido al GIM para su análisis y evaluación, nadie le da seguimiento y las víctimas siguen esperando justicia.</w:t>
      </w:r>
    </w:p>
    <w:p w14:paraId="5A039906" w14:textId="5BDF330A" w:rsidR="00C11ABC" w:rsidRPr="00C521BC" w:rsidRDefault="00C11ABC" w:rsidP="00C11ABC">
      <w:pPr>
        <w:spacing w:line="360" w:lineRule="auto"/>
        <w:jc w:val="both"/>
        <w:rPr>
          <w:rFonts w:ascii="Arial" w:hAnsi="Arial" w:cs="Arial"/>
          <w:b/>
          <w:bCs/>
        </w:rPr>
      </w:pPr>
      <w:r w:rsidRPr="00C521BC">
        <w:rPr>
          <w:rFonts w:ascii="Arial" w:hAnsi="Arial" w:cs="Arial"/>
          <w:b/>
          <w:bCs/>
        </w:rPr>
        <w:t>Recomendaciones</w:t>
      </w:r>
    </w:p>
    <w:p w14:paraId="3A6D0952" w14:textId="4DEC0E9A" w:rsidR="00DE18A0" w:rsidRPr="00F91E32" w:rsidRDefault="00F91E32" w:rsidP="00DE18A0">
      <w:pPr>
        <w:pStyle w:val="Prrafodelista"/>
        <w:numPr>
          <w:ilvl w:val="0"/>
          <w:numId w:val="7"/>
        </w:numPr>
        <w:spacing w:line="360" w:lineRule="auto"/>
        <w:jc w:val="both"/>
        <w:rPr>
          <w:rFonts w:ascii="Arial" w:hAnsi="Arial" w:cs="Arial"/>
        </w:rPr>
      </w:pPr>
      <w:r w:rsidRPr="00F91E32">
        <w:rPr>
          <w:rFonts w:ascii="Arial" w:hAnsi="Arial" w:cs="Arial"/>
        </w:rPr>
        <w:t>H</w:t>
      </w:r>
      <w:r w:rsidR="00DE18A0" w:rsidRPr="00F91E32">
        <w:rPr>
          <w:rFonts w:ascii="Arial" w:hAnsi="Arial" w:cs="Arial"/>
        </w:rPr>
        <w:t xml:space="preserve">omologar su tipificación a nivel nacional conforme a los estándares jurídicos nacionales e internacionales que brinden mayor protección a las víctimas. </w:t>
      </w:r>
    </w:p>
    <w:p w14:paraId="040B6CC1" w14:textId="6043BCE7" w:rsidR="00DE18A0" w:rsidRPr="00DE18A0" w:rsidRDefault="00F91E32" w:rsidP="00DE18A0">
      <w:pPr>
        <w:pStyle w:val="Prrafodelista"/>
        <w:numPr>
          <w:ilvl w:val="0"/>
          <w:numId w:val="7"/>
        </w:numPr>
        <w:spacing w:line="360" w:lineRule="auto"/>
        <w:jc w:val="both"/>
        <w:rPr>
          <w:rFonts w:ascii="Arial" w:hAnsi="Arial" w:cs="Arial"/>
        </w:rPr>
      </w:pPr>
      <w:r>
        <w:rPr>
          <w:rFonts w:ascii="Arial" w:hAnsi="Arial" w:cs="Arial"/>
        </w:rPr>
        <w:t>Reforzar la capacitación dirigida</w:t>
      </w:r>
      <w:r w:rsidR="00DE18A0" w:rsidRPr="00DE18A0">
        <w:rPr>
          <w:rFonts w:ascii="Arial" w:hAnsi="Arial" w:cs="Arial"/>
        </w:rPr>
        <w:t xml:space="preserve"> a funcionarios y funcionarias públicas para la prevención y atención de la violencia feminicida con perspectiva de género —incluyendo programas específicos de formación profesional con certificación en colaborac</w:t>
      </w:r>
      <w:r>
        <w:rPr>
          <w:rFonts w:ascii="Arial" w:hAnsi="Arial" w:cs="Arial"/>
        </w:rPr>
        <w:t>ión con universidades públicas.</w:t>
      </w:r>
    </w:p>
    <w:p w14:paraId="4557D30C" w14:textId="17068FD8" w:rsidR="00DE18A0" w:rsidRPr="00DE18A0" w:rsidRDefault="00DE18A0" w:rsidP="00DE18A0">
      <w:pPr>
        <w:pStyle w:val="Prrafodelista"/>
        <w:numPr>
          <w:ilvl w:val="0"/>
          <w:numId w:val="7"/>
        </w:numPr>
        <w:spacing w:line="360" w:lineRule="auto"/>
        <w:jc w:val="both"/>
        <w:rPr>
          <w:rFonts w:ascii="Arial" w:hAnsi="Arial" w:cs="Arial"/>
        </w:rPr>
      </w:pPr>
      <w:r w:rsidRPr="00DE18A0">
        <w:rPr>
          <w:rFonts w:ascii="Arial" w:hAnsi="Arial" w:cs="Arial"/>
        </w:rPr>
        <w:t>Actualizar los protocolos de investigación del delito de feminicidio conforme a los estándares de debida diligencia, perspectiva de género y los criterios establecidos por la Suprema Corte de Justicia de la Nación (SCJN), a fin de garantizar investigaciones eficaces, sensibles al contexto de violencia estructural y con enfoque en derechos humanos.</w:t>
      </w:r>
    </w:p>
    <w:p w14:paraId="0A81A04B" w14:textId="77777777" w:rsidR="0094079E" w:rsidRDefault="00F91E32" w:rsidP="0094079E">
      <w:pPr>
        <w:pStyle w:val="Prrafodelista"/>
        <w:numPr>
          <w:ilvl w:val="0"/>
          <w:numId w:val="7"/>
        </w:numPr>
        <w:spacing w:line="360" w:lineRule="auto"/>
        <w:jc w:val="both"/>
        <w:rPr>
          <w:rFonts w:ascii="Arial" w:hAnsi="Arial" w:cs="Arial"/>
        </w:rPr>
      </w:pPr>
      <w:r>
        <w:rPr>
          <w:rFonts w:ascii="Arial" w:hAnsi="Arial" w:cs="Arial"/>
        </w:rPr>
        <w:t xml:space="preserve">Implementar las acciones </w:t>
      </w:r>
      <w:r w:rsidR="00DE18A0" w:rsidRPr="00DE18A0">
        <w:rPr>
          <w:rFonts w:ascii="Arial" w:hAnsi="Arial" w:cs="Arial"/>
        </w:rPr>
        <w:t xml:space="preserve">necesarias para asegurar una tipificación correcta del delito, conforme a los criterios establecidos en la sentencia del caso Mariana Lima Buendía emitida por la SCJN. </w:t>
      </w:r>
    </w:p>
    <w:p w14:paraId="2EBBCE76" w14:textId="77777777" w:rsidR="0094079E" w:rsidRPr="0094079E" w:rsidRDefault="0094079E" w:rsidP="0094079E">
      <w:pPr>
        <w:pStyle w:val="Prrafodelista"/>
        <w:numPr>
          <w:ilvl w:val="0"/>
          <w:numId w:val="7"/>
        </w:numPr>
        <w:spacing w:line="360" w:lineRule="auto"/>
        <w:jc w:val="both"/>
        <w:rPr>
          <w:rFonts w:ascii="Arial" w:hAnsi="Arial" w:cs="Arial"/>
        </w:rPr>
      </w:pPr>
      <w:r w:rsidRPr="0094079E">
        <w:rPr>
          <w:rFonts w:cstheme="minorHAnsi"/>
          <w:color w:val="000000"/>
        </w:rPr>
        <w:t>Se recomienda establecer tiempos de cumplimiento para las medidas establecidas en la AVGM, además de hacer cumplir los que ya están establecidos en el reglamento, de no ser así, deben de generarse procesos que sanciones a los funcionarios y autoridades que no respeten lo establecido y/o generen acciones para que no puedan retardar el proceso</w:t>
      </w:r>
      <w:r>
        <w:rPr>
          <w:rFonts w:cstheme="minorHAnsi"/>
          <w:color w:val="000000"/>
        </w:rPr>
        <w:t>.</w:t>
      </w:r>
    </w:p>
    <w:p w14:paraId="2FAB0A95" w14:textId="77777777" w:rsidR="0094079E" w:rsidRPr="0094079E" w:rsidRDefault="0094079E" w:rsidP="0094079E">
      <w:pPr>
        <w:pStyle w:val="Prrafodelista"/>
        <w:numPr>
          <w:ilvl w:val="0"/>
          <w:numId w:val="7"/>
        </w:numPr>
        <w:spacing w:line="360" w:lineRule="auto"/>
        <w:jc w:val="both"/>
        <w:rPr>
          <w:rFonts w:ascii="Arial" w:hAnsi="Arial" w:cs="Arial"/>
        </w:rPr>
      </w:pPr>
      <w:r w:rsidRPr="0094079E">
        <w:rPr>
          <w:rFonts w:cstheme="minorHAnsi"/>
          <w:color w:val="000000"/>
        </w:rPr>
        <w:t xml:space="preserve">Establecer un mecanismo de seguimiento y evaluación de las medidas recomendadas, el cual incorpore indicadores de resultado e impacto para medir los avances y fortalecer las acciones de prevención, seguridad y justicia </w:t>
      </w:r>
      <w:r w:rsidRPr="0094079E">
        <w:rPr>
          <w:rFonts w:ascii="Arial" w:hAnsi="Arial" w:cs="Arial"/>
        </w:rPr>
        <w:t>recomendadas por los grupos de trabajo.</w:t>
      </w:r>
    </w:p>
    <w:p w14:paraId="6B047AE0" w14:textId="77777777" w:rsidR="0094079E" w:rsidRPr="0094079E" w:rsidRDefault="0094079E" w:rsidP="0094079E">
      <w:pPr>
        <w:pStyle w:val="Prrafodelista"/>
        <w:numPr>
          <w:ilvl w:val="0"/>
          <w:numId w:val="7"/>
        </w:numPr>
        <w:spacing w:line="360" w:lineRule="auto"/>
        <w:jc w:val="both"/>
        <w:rPr>
          <w:rFonts w:ascii="Arial" w:hAnsi="Arial" w:cs="Arial"/>
        </w:rPr>
      </w:pPr>
      <w:r w:rsidRPr="0094079E">
        <w:rPr>
          <w:rFonts w:ascii="Arial" w:hAnsi="Arial" w:cs="Arial"/>
        </w:rPr>
        <w:t xml:space="preserve">Definir con claridad las atribuciones y funciones de la Secretaría de las mujeres respecto a la política nacional de prevención y erradicación de la violencia contra </w:t>
      </w:r>
      <w:r w:rsidRPr="0094079E">
        <w:rPr>
          <w:rFonts w:ascii="Arial" w:hAnsi="Arial" w:cs="Arial"/>
        </w:rPr>
        <w:lastRenderedPageBreak/>
        <w:t>las mujeres en el país, sin dejar de lado los programas y acciones que operaba la CONAVIM para prevenir y erradicar la violencia de género.</w:t>
      </w:r>
    </w:p>
    <w:p w14:paraId="3A86E283" w14:textId="77777777" w:rsidR="0094079E" w:rsidRPr="0094079E" w:rsidRDefault="0094079E" w:rsidP="0094079E">
      <w:pPr>
        <w:pStyle w:val="Prrafodelista"/>
        <w:numPr>
          <w:ilvl w:val="0"/>
          <w:numId w:val="7"/>
        </w:numPr>
        <w:spacing w:line="360" w:lineRule="auto"/>
        <w:jc w:val="both"/>
        <w:rPr>
          <w:rFonts w:ascii="Arial" w:hAnsi="Arial" w:cs="Arial"/>
        </w:rPr>
      </w:pPr>
      <w:r w:rsidRPr="0094079E">
        <w:rPr>
          <w:rFonts w:ascii="Arial" w:hAnsi="Arial" w:cs="Arial"/>
        </w:rPr>
        <w:t>Revisar y actualizar la LGAMVLV y su reglamento para asegurar la continuidad de los procesos de las AVGM y garantizar que no haya retrocesos en los avances en materia de derechos humanos y fortalecer la política nacional de prevención y erradicación de la violencia contra las mujeres.</w:t>
      </w:r>
    </w:p>
    <w:p w14:paraId="36B57A21" w14:textId="77777777" w:rsidR="001A11E4" w:rsidRDefault="0094079E" w:rsidP="001A11E4">
      <w:pPr>
        <w:pStyle w:val="Prrafodelista"/>
        <w:numPr>
          <w:ilvl w:val="0"/>
          <w:numId w:val="7"/>
        </w:numPr>
        <w:spacing w:line="360" w:lineRule="auto"/>
        <w:jc w:val="both"/>
        <w:rPr>
          <w:rFonts w:ascii="Arial" w:hAnsi="Arial" w:cs="Arial"/>
        </w:rPr>
      </w:pPr>
      <w:r w:rsidRPr="0094079E">
        <w:rPr>
          <w:rFonts w:ascii="Arial" w:hAnsi="Arial" w:cs="Arial"/>
        </w:rPr>
        <w:t>Aplicar las medidas correctivas en todas las alertas declaradas que requieran de sanción a las y los servidores públicos involucrados en actos de omisión, además de que permite la reorientación de políticas públicas no aplicadas correctamente. Para que funcionen adecuadamente las medidas correctivas, junto con las de otra naturaleza, requieren de que el estado mexicano refrende su compromiso con la erradicación de la violencia de género y que nombre a servidoras y servidores públicos no solo con capacidades técnicas y operativas, sino con un interés genuino en resolver el problema y con formación adecuada para comprender la perspectiva de género y la igualdad sustantiva.</w:t>
      </w:r>
    </w:p>
    <w:p w14:paraId="70DFF90A" w14:textId="3C983852" w:rsidR="001A11E4" w:rsidRPr="001A11E4" w:rsidRDefault="001A11E4" w:rsidP="001A11E4">
      <w:pPr>
        <w:pStyle w:val="Prrafodelista"/>
        <w:numPr>
          <w:ilvl w:val="0"/>
          <w:numId w:val="7"/>
        </w:numPr>
        <w:spacing w:line="360" w:lineRule="auto"/>
        <w:jc w:val="both"/>
        <w:rPr>
          <w:rFonts w:ascii="Arial" w:hAnsi="Arial" w:cs="Arial"/>
        </w:rPr>
      </w:pPr>
      <w:r w:rsidRPr="001A11E4">
        <w:rPr>
          <w:rFonts w:ascii="Arial" w:hAnsi="Arial" w:cs="Arial"/>
        </w:rPr>
        <w:t>Para una debida aplicaciòn de los Protocolos de investigaciòn policial del Feminicidio es necesario un presupuesto suficiente para la contrataciòn de todas las personas con el expertiz que señala el propio Protocolo.</w:t>
      </w:r>
    </w:p>
    <w:p w14:paraId="2D4D4A9F" w14:textId="3D25DEC5" w:rsidR="001A11E4" w:rsidRPr="001A11E4" w:rsidRDefault="001A11E4" w:rsidP="001A11E4">
      <w:pPr>
        <w:spacing w:line="360" w:lineRule="auto"/>
        <w:jc w:val="both"/>
        <w:rPr>
          <w:rFonts w:ascii="Arial" w:hAnsi="Arial" w:cs="Arial"/>
        </w:rPr>
      </w:pPr>
    </w:p>
    <w:p w14:paraId="5EFE2B49" w14:textId="77777777" w:rsidR="0094079E" w:rsidRPr="00613CC3" w:rsidRDefault="0094079E" w:rsidP="0094079E">
      <w:pPr>
        <w:pStyle w:val="Prrafodelista"/>
        <w:spacing w:line="360" w:lineRule="auto"/>
        <w:ind w:left="360"/>
        <w:jc w:val="both"/>
        <w:rPr>
          <w:rFonts w:ascii="Arial" w:hAnsi="Arial" w:cs="Arial"/>
        </w:rPr>
      </w:pPr>
    </w:p>
    <w:p w14:paraId="3CC6516E" w14:textId="77777777" w:rsidR="00E82F9A" w:rsidRPr="00613CC3" w:rsidRDefault="00E82F9A">
      <w:pPr>
        <w:pStyle w:val="Prrafodelista"/>
        <w:spacing w:line="360" w:lineRule="auto"/>
        <w:ind w:left="360"/>
        <w:jc w:val="both"/>
        <w:rPr>
          <w:rFonts w:ascii="Arial" w:hAnsi="Arial" w:cs="Arial"/>
        </w:rPr>
      </w:pPr>
    </w:p>
    <w:p w14:paraId="1C7AF051" w14:textId="77777777" w:rsidR="001A11E4" w:rsidRPr="00613CC3" w:rsidRDefault="001A11E4">
      <w:pPr>
        <w:pStyle w:val="Prrafodelista"/>
        <w:spacing w:line="360" w:lineRule="auto"/>
        <w:ind w:left="360"/>
        <w:jc w:val="both"/>
        <w:rPr>
          <w:rFonts w:ascii="Arial" w:hAnsi="Arial" w:cs="Arial"/>
        </w:rPr>
      </w:pPr>
    </w:p>
    <w:sectPr w:rsidR="001A11E4" w:rsidRPr="00613CC3" w:rsidSect="005E2E46">
      <w:headerReference w:type="default" r:id="rId13"/>
      <w:pgSz w:w="12240" w:h="15840"/>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ABF81" w14:textId="77777777" w:rsidR="00611126" w:rsidRDefault="00611126" w:rsidP="003F59C4">
      <w:pPr>
        <w:spacing w:after="0" w:line="240" w:lineRule="auto"/>
      </w:pPr>
      <w:r>
        <w:separator/>
      </w:r>
    </w:p>
  </w:endnote>
  <w:endnote w:type="continuationSeparator" w:id="0">
    <w:p w14:paraId="726FA392" w14:textId="77777777" w:rsidR="00611126" w:rsidRDefault="00611126" w:rsidP="003F5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278527397"/>
      <w:docPartObj>
        <w:docPartGallery w:val="Page Numbers (Bottom of Page)"/>
        <w:docPartUnique/>
      </w:docPartObj>
    </w:sdtPr>
    <w:sdtEndPr>
      <w:rPr>
        <w:rStyle w:val="Nmerodepgina"/>
      </w:rPr>
    </w:sdtEndPr>
    <w:sdtContent>
      <w:p w14:paraId="7C50D39B" w14:textId="0DE85BE8" w:rsidR="00876F14" w:rsidRDefault="00876F14" w:rsidP="00DC70BB">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569063C8" w14:textId="77777777" w:rsidR="00876F14" w:rsidRDefault="00876F1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942573464"/>
      <w:docPartObj>
        <w:docPartGallery w:val="Page Numbers (Bottom of Page)"/>
        <w:docPartUnique/>
      </w:docPartObj>
    </w:sdtPr>
    <w:sdtEndPr>
      <w:rPr>
        <w:rStyle w:val="Nmerodepgina"/>
      </w:rPr>
    </w:sdtEndPr>
    <w:sdtContent>
      <w:p w14:paraId="6EE95959" w14:textId="5A81AB65" w:rsidR="00876F14" w:rsidRDefault="00876F14" w:rsidP="00DC70BB">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44FB11DE" w14:textId="77777777" w:rsidR="00876F14" w:rsidRDefault="00876F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764A8" w14:textId="77777777" w:rsidR="00611126" w:rsidRDefault="00611126" w:rsidP="003F59C4">
      <w:pPr>
        <w:spacing w:after="0" w:line="240" w:lineRule="auto"/>
      </w:pPr>
      <w:r>
        <w:separator/>
      </w:r>
    </w:p>
  </w:footnote>
  <w:footnote w:type="continuationSeparator" w:id="0">
    <w:p w14:paraId="3C9ED295" w14:textId="77777777" w:rsidR="00611126" w:rsidRDefault="00611126" w:rsidP="003F59C4">
      <w:pPr>
        <w:spacing w:after="0" w:line="240" w:lineRule="auto"/>
      </w:pPr>
      <w:r>
        <w:continuationSeparator/>
      </w:r>
    </w:p>
  </w:footnote>
  <w:footnote w:id="1">
    <w:p w14:paraId="0939FDBD" w14:textId="736AC08C" w:rsidR="002556C5" w:rsidRPr="002556C5" w:rsidRDefault="002556C5" w:rsidP="00893799">
      <w:pPr>
        <w:pStyle w:val="Textonotapie"/>
        <w:jc w:val="both"/>
      </w:pPr>
      <w:r>
        <w:rPr>
          <w:rStyle w:val="Refdenotaalpie"/>
        </w:rPr>
        <w:footnoteRef/>
      </w:r>
      <w:r>
        <w:t xml:space="preserve"> </w:t>
      </w:r>
      <w:r w:rsidRPr="002556C5">
        <w:t>Centro de Estudios para el logro de la Igualdad de Género</w:t>
      </w:r>
      <w:r>
        <w:t>. (</w:t>
      </w:r>
      <w:r w:rsidR="00433E7A">
        <w:t>2025</w:t>
      </w:r>
      <w:r>
        <w:t>)</w:t>
      </w:r>
      <w:r w:rsidR="00433E7A">
        <w:t xml:space="preserve">. Violencia contra las mujeres. Recuperado de </w:t>
      </w:r>
      <w:hyperlink r:id="rId1" w:history="1">
        <w:r w:rsidR="00CD333A" w:rsidRPr="002E28A2">
          <w:rPr>
            <w:rStyle w:val="Hipervnculo"/>
          </w:rPr>
          <w:t>https://portalhcd.diputados.gob.mx/PortalWeb/Micrositios/5b8b3b7b-1de2-4201-9d28-e94ad0c792bc.pdf</w:t>
        </w:r>
      </w:hyperlink>
      <w:r w:rsidR="00CD333A">
        <w:t xml:space="preserve"> </w:t>
      </w:r>
    </w:p>
  </w:footnote>
  <w:footnote w:id="2">
    <w:p w14:paraId="499360AD" w14:textId="77777777" w:rsidR="00E42A72" w:rsidRPr="00CD333A" w:rsidRDefault="00E42A72" w:rsidP="00E42A72">
      <w:pPr>
        <w:pStyle w:val="Textonotapie"/>
        <w:jc w:val="both"/>
      </w:pPr>
      <w:r>
        <w:rPr>
          <w:rStyle w:val="Refdenotaalpie"/>
        </w:rPr>
        <w:footnoteRef/>
      </w:r>
      <w:r>
        <w:t xml:space="preserve"> </w:t>
      </w:r>
      <w:r w:rsidRPr="00893799">
        <w:t>Secretariado Ejecutivo del Sistema Nacional de Seguridad Pública</w:t>
      </w:r>
      <w:r>
        <w:t xml:space="preserve">. (2025). </w:t>
      </w:r>
      <w:r w:rsidRPr="00893799">
        <w:t>Información sobre violencia contra las mujeres (Incidencia delictiva y llamadas de emergencia 9-1-1), marzo 2025</w:t>
      </w:r>
      <w:r>
        <w:t xml:space="preserve">. Recuperado de </w:t>
      </w:r>
      <w:hyperlink r:id="rId2" w:history="1">
        <w:r w:rsidRPr="00893799">
          <w:rPr>
            <w:rStyle w:val="Hipervnculo"/>
          </w:rPr>
          <w:t>Info-delict-violencia contra las mujeres_Mar25.pdf - Google Drive</w:t>
        </w:r>
      </w:hyperlink>
    </w:p>
  </w:footnote>
  <w:footnote w:id="3">
    <w:p w14:paraId="0CE6C7C9" w14:textId="0D73A199" w:rsidR="003F59C4" w:rsidRPr="003F59C4" w:rsidRDefault="003F59C4" w:rsidP="00893799">
      <w:pPr>
        <w:pStyle w:val="Textonotapie"/>
        <w:jc w:val="both"/>
        <w:rPr>
          <w:lang w:val="es-ES"/>
        </w:rPr>
      </w:pPr>
      <w:r>
        <w:rPr>
          <w:rStyle w:val="Refdenotaalpie"/>
        </w:rPr>
        <w:footnoteRef/>
      </w:r>
      <w:r>
        <w:t xml:space="preserve"> </w:t>
      </w:r>
      <w:r>
        <w:rPr>
          <w:lang w:val="es-ES"/>
        </w:rPr>
        <w:t xml:space="preserve">Seguimiento de la CUDH </w:t>
      </w:r>
      <w:r w:rsidR="00CC647C">
        <w:rPr>
          <w:lang w:val="es-ES"/>
        </w:rPr>
        <w:t>sobre la tipificación de feminicidio 2025 con</w:t>
      </w:r>
      <w:r>
        <w:rPr>
          <w:lang w:val="es-ES"/>
        </w:rPr>
        <w:t xml:space="preserve"> información de los códigos penales estatales</w:t>
      </w:r>
      <w:r w:rsidR="006C3553">
        <w:rPr>
          <w:lang w:val="es-ES"/>
        </w:rPr>
        <w:t xml:space="preserve"> de las 32 entidades.</w:t>
      </w:r>
    </w:p>
  </w:footnote>
  <w:footnote w:id="4">
    <w:p w14:paraId="6FF6906B" w14:textId="7134FD08" w:rsidR="00B157DD" w:rsidRPr="00B157DD" w:rsidRDefault="00B157DD">
      <w:pPr>
        <w:pStyle w:val="Textonotapie"/>
        <w:rPr>
          <w:lang w:val="es-ES"/>
        </w:rPr>
      </w:pPr>
      <w:r>
        <w:rPr>
          <w:rStyle w:val="Refdenotaalpie"/>
        </w:rPr>
        <w:footnoteRef/>
      </w:r>
      <w:r>
        <w:t xml:space="preserve"> </w:t>
      </w:r>
      <w:r w:rsidR="00615526">
        <w:t xml:space="preserve">Quintero. J. (2025). </w:t>
      </w:r>
      <w:r w:rsidR="00615526" w:rsidRPr="00615526">
        <w:t>Difunde la FGJ el nuevo protocolo para indagar feminicidios</w:t>
      </w:r>
      <w:r w:rsidR="00615526">
        <w:t xml:space="preserve">. Recuperado de: </w:t>
      </w:r>
      <w:hyperlink r:id="rId3" w:history="1">
        <w:r w:rsidR="00CC1793" w:rsidRPr="00FC61BB">
          <w:rPr>
            <w:rStyle w:val="Hipervnculo"/>
          </w:rPr>
          <w:t>https://www.jornada.com.mx/noticia/2025/03/08/capital/difunde-la-fgj-el-nuevo-protocolo-para-indagar-feminicidios</w:t>
        </w:r>
      </w:hyperlink>
      <w:r w:rsidR="00CC1793">
        <w:t xml:space="preserve"> </w:t>
      </w:r>
    </w:p>
  </w:footnote>
  <w:footnote w:id="5">
    <w:p w14:paraId="21F10665" w14:textId="6025BB11" w:rsidR="000437A0" w:rsidRPr="000437A0" w:rsidRDefault="000437A0">
      <w:pPr>
        <w:pStyle w:val="Textonotapie"/>
      </w:pPr>
      <w:r>
        <w:rPr>
          <w:rStyle w:val="Refdenotaalpie"/>
        </w:rPr>
        <w:footnoteRef/>
      </w:r>
      <w:r>
        <w:t xml:space="preserve"> </w:t>
      </w:r>
      <w:r w:rsidR="00C225D3">
        <w:t xml:space="preserve">Arochi, X. (2025). </w:t>
      </w:r>
      <w:r w:rsidR="00B157DD" w:rsidRPr="00B157DD">
        <w:t>Fiscalía de la CDMX presenta nuevo protocolo para investigar feminicidios</w:t>
      </w:r>
      <w:r w:rsidR="00B157DD">
        <w:t xml:space="preserve"> . Recuperado de </w:t>
      </w:r>
      <w:hyperlink r:id="rId4" w:history="1">
        <w:r w:rsidR="00C225D3" w:rsidRPr="00FC61BB">
          <w:rPr>
            <w:rStyle w:val="Hipervnculo"/>
          </w:rPr>
          <w:t>https://www.proceso.com.mx/nacional/cdmx/2025/3/7/fiscalia-de-la-cdmx-presenta-nuevo-protocolo-para-investigar-feminicidios-346965.html</w:t>
        </w:r>
      </w:hyperlink>
      <w:r w:rsidR="00C225D3">
        <w:t xml:space="preserve"> </w:t>
      </w:r>
    </w:p>
  </w:footnote>
  <w:footnote w:id="6">
    <w:p w14:paraId="5E2A4B46" w14:textId="06FDB8D9" w:rsidR="000437A0" w:rsidRPr="000437A0" w:rsidRDefault="000437A0">
      <w:pPr>
        <w:pStyle w:val="Textonotapie"/>
        <w:rPr>
          <w:lang w:val="es-ES"/>
        </w:rPr>
      </w:pPr>
      <w:r>
        <w:rPr>
          <w:rStyle w:val="Refdenotaalpie"/>
        </w:rPr>
        <w:footnoteRef/>
      </w:r>
      <w:r>
        <w:t xml:space="preserve"> </w:t>
      </w:r>
      <w:r w:rsidRPr="000437A0">
        <w:t xml:space="preserve">Instituto Nacional de las Mujeres. (2023). Modelo de tipo penal de feminicidio. Recuperado de </w:t>
      </w:r>
      <w:hyperlink r:id="rId5" w:history="1">
        <w:r w:rsidRPr="00FC61BB">
          <w:rPr>
            <w:rStyle w:val="Hipervnculo"/>
          </w:rPr>
          <w:t>https://www.gob.mx/inmujeres/acciones-y-programas/modelo-de-tipo-penal-de-feminicidio</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88008" w14:textId="2BA7165C" w:rsidR="008469B6" w:rsidRDefault="00F07ECC">
    <w:pPr>
      <w:pStyle w:val="Encabezado"/>
    </w:pPr>
    <w:r w:rsidRPr="00842FB4">
      <w:rPr>
        <w:rFonts w:ascii="Calibri" w:eastAsia="Calibri" w:hAnsi="Calibri" w:cs="Times New Roman"/>
        <w:noProof/>
        <w:kern w:val="0"/>
        <w:sz w:val="22"/>
        <w:szCs w:val="22"/>
        <w:lang w:eastAsia="es-MX"/>
        <w14:ligatures w14:val="none"/>
      </w:rPr>
      <w:drawing>
        <wp:anchor distT="0" distB="0" distL="114300" distR="114300" simplePos="0" relativeHeight="251665408" behindDoc="0" locked="0" layoutInCell="1" allowOverlap="1" wp14:anchorId="0433C70D" wp14:editId="0081FD13">
          <wp:simplePos x="0" y="0"/>
          <wp:positionH relativeFrom="margin">
            <wp:posOffset>434443</wp:posOffset>
          </wp:positionH>
          <wp:positionV relativeFrom="paragraph">
            <wp:posOffset>-79375</wp:posOffset>
          </wp:positionV>
          <wp:extent cx="718457" cy="693159"/>
          <wp:effectExtent l="0" t="0" r="5715" b="0"/>
          <wp:wrapNone/>
          <wp:docPr id="611705763" name="Imagen 611705763" descr="C:\Users\ACER\Desktop\Logo-RNA-Transparente (1)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Logo-RNA-Transparente (1) (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8457" cy="69315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21BC">
      <w:rPr>
        <w:noProof/>
        <w:lang w:eastAsia="es-MX"/>
      </w:rPr>
      <w:drawing>
        <wp:anchor distT="0" distB="0" distL="114300" distR="114300" simplePos="0" relativeHeight="251667456" behindDoc="0" locked="0" layoutInCell="1" hidden="0" allowOverlap="1" wp14:anchorId="3F20DEF6" wp14:editId="612C4137">
          <wp:simplePos x="0" y="0"/>
          <wp:positionH relativeFrom="margin">
            <wp:posOffset>2159757</wp:posOffset>
          </wp:positionH>
          <wp:positionV relativeFrom="paragraph">
            <wp:posOffset>-1270</wp:posOffset>
          </wp:positionV>
          <wp:extent cx="1234440" cy="457200"/>
          <wp:effectExtent l="0" t="0" r="3810" b="0"/>
          <wp:wrapNone/>
          <wp:docPr id="1770586904" name="image1.png" descr="Interfaz de usuario gráfic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Interfaz de usuario gráfica&#10;&#10;El contenido generado por IA puede ser incorrecto."/>
                  <pic:cNvPicPr preferRelativeResize="0"/>
                </pic:nvPicPr>
                <pic:blipFill>
                  <a:blip r:embed="rId2"/>
                  <a:srcRect/>
                  <a:stretch>
                    <a:fillRect/>
                  </a:stretch>
                </pic:blipFill>
                <pic:spPr>
                  <a:xfrm>
                    <a:off x="0" y="0"/>
                    <a:ext cx="1234440" cy="457200"/>
                  </a:xfrm>
                  <a:prstGeom prst="rect">
                    <a:avLst/>
                  </a:prstGeom>
                  <a:ln/>
                </pic:spPr>
              </pic:pic>
            </a:graphicData>
          </a:graphic>
          <wp14:sizeRelH relativeFrom="margin">
            <wp14:pctWidth>0</wp14:pctWidth>
          </wp14:sizeRelH>
          <wp14:sizeRelV relativeFrom="margin">
            <wp14:pctHeight>0</wp14:pctHeight>
          </wp14:sizeRelV>
        </wp:anchor>
      </w:drawing>
    </w:r>
    <w:r w:rsidR="008D7E1A">
      <w:rPr>
        <w:noProof/>
        <w:lang w:eastAsia="es-MX"/>
      </w:rPr>
      <w:drawing>
        <wp:anchor distT="0" distB="0" distL="114300" distR="114300" simplePos="0" relativeHeight="251669504" behindDoc="0" locked="0" layoutInCell="1" allowOverlap="1" wp14:anchorId="5ABF15B2" wp14:editId="6E9993EF">
          <wp:simplePos x="0" y="0"/>
          <wp:positionH relativeFrom="margin">
            <wp:posOffset>4682613</wp:posOffset>
          </wp:positionH>
          <wp:positionV relativeFrom="paragraph">
            <wp:posOffset>-140110</wp:posOffset>
          </wp:positionV>
          <wp:extent cx="889273" cy="881743"/>
          <wp:effectExtent l="0" t="0" r="6350" b="0"/>
          <wp:wrapNone/>
          <wp:docPr id="657818809" name="Imagen 2"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385987" name="Imagen 2" descr="Imagen que contiene Text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89273" cy="881743"/>
                  </a:xfrm>
                  <a:prstGeom prst="rect">
                    <a:avLst/>
                  </a:prstGeom>
                  <a:noFill/>
                </pic:spPr>
              </pic:pic>
            </a:graphicData>
          </a:graphic>
          <wp14:sizeRelH relativeFrom="margin">
            <wp14:pctWidth>0</wp14:pctWidth>
          </wp14:sizeRelH>
          <wp14:sizeRelV relativeFrom="margin">
            <wp14:pctHeight>0</wp14:pctHeight>
          </wp14:sizeRelV>
        </wp:anchor>
      </w:drawing>
    </w:r>
    <w:r w:rsidR="00E82F9A">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67403" w14:textId="6AD95C69" w:rsidR="00516CFD" w:rsidRDefault="005647FA">
    <w:pPr>
      <w:pStyle w:val="Encabezado"/>
    </w:pPr>
    <w:r>
      <w:rPr>
        <w:noProof/>
        <w:lang w:eastAsia="es-MX"/>
      </w:rPr>
      <w:drawing>
        <wp:anchor distT="0" distB="0" distL="114300" distR="114300" simplePos="0" relativeHeight="251663360" behindDoc="0" locked="0" layoutInCell="1" allowOverlap="1" wp14:anchorId="1BAA375C" wp14:editId="0D577EF7">
          <wp:simplePos x="0" y="0"/>
          <wp:positionH relativeFrom="margin">
            <wp:posOffset>4950460</wp:posOffset>
          </wp:positionH>
          <wp:positionV relativeFrom="paragraph">
            <wp:posOffset>-343535</wp:posOffset>
          </wp:positionV>
          <wp:extent cx="889273" cy="881743"/>
          <wp:effectExtent l="0" t="0" r="6350" b="0"/>
          <wp:wrapNone/>
          <wp:docPr id="4" name="Imagen 2"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385987" name="Imagen 2" descr="Imagen que contiene 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273" cy="881743"/>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59264" behindDoc="0" locked="0" layoutInCell="1" hidden="0" allowOverlap="1" wp14:anchorId="54BE7068" wp14:editId="50228B2D">
          <wp:simplePos x="0" y="0"/>
          <wp:positionH relativeFrom="margin">
            <wp:posOffset>2040890</wp:posOffset>
          </wp:positionH>
          <wp:positionV relativeFrom="paragraph">
            <wp:posOffset>-129540</wp:posOffset>
          </wp:positionV>
          <wp:extent cx="1234440" cy="457200"/>
          <wp:effectExtent l="0" t="0" r="3810" b="0"/>
          <wp:wrapNone/>
          <wp:docPr id="2" name="image1.png" descr="Interfaz de usuario gráfic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Interfaz de usuario gráfica&#10;&#10;El contenido generado por IA puede ser incorrecto."/>
                  <pic:cNvPicPr preferRelativeResize="0"/>
                </pic:nvPicPr>
                <pic:blipFill>
                  <a:blip r:embed="rId2"/>
                  <a:srcRect/>
                  <a:stretch>
                    <a:fillRect/>
                  </a:stretch>
                </pic:blipFill>
                <pic:spPr>
                  <a:xfrm>
                    <a:off x="0" y="0"/>
                    <a:ext cx="1234440" cy="457200"/>
                  </a:xfrm>
                  <a:prstGeom prst="rect">
                    <a:avLst/>
                  </a:prstGeom>
                  <a:ln/>
                </pic:spPr>
              </pic:pic>
            </a:graphicData>
          </a:graphic>
          <wp14:sizeRelH relativeFrom="margin">
            <wp14:pctWidth>0</wp14:pctWidth>
          </wp14:sizeRelH>
          <wp14:sizeRelV relativeFrom="margin">
            <wp14:pctHeight>0</wp14:pctHeight>
          </wp14:sizeRelV>
        </wp:anchor>
      </w:drawing>
    </w:r>
    <w:r w:rsidR="00A33DB3" w:rsidRPr="00842FB4">
      <w:rPr>
        <w:rFonts w:ascii="Calibri" w:eastAsia="Calibri" w:hAnsi="Calibri" w:cs="Times New Roman"/>
        <w:noProof/>
        <w:kern w:val="0"/>
        <w:sz w:val="22"/>
        <w:szCs w:val="22"/>
        <w:lang w:eastAsia="es-MX"/>
        <w14:ligatures w14:val="none"/>
      </w:rPr>
      <w:drawing>
        <wp:anchor distT="0" distB="0" distL="114300" distR="114300" simplePos="0" relativeHeight="251661312" behindDoc="0" locked="0" layoutInCell="1" allowOverlap="1" wp14:anchorId="078866EA" wp14:editId="131733B4">
          <wp:simplePos x="0" y="0"/>
          <wp:positionH relativeFrom="margin">
            <wp:align>left</wp:align>
          </wp:positionH>
          <wp:positionV relativeFrom="paragraph">
            <wp:posOffset>-258445</wp:posOffset>
          </wp:positionV>
          <wp:extent cx="718457" cy="693159"/>
          <wp:effectExtent l="0" t="0" r="5715" b="0"/>
          <wp:wrapNone/>
          <wp:docPr id="1" name="Imagen 1" descr="C:\Users\ACER\Desktop\Logo-RNA-Transparente (1)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Logo-RNA-Transparente (1) (2).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718457" cy="6931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D70B80" w14:textId="6C20CA9E" w:rsidR="00EC7BEC" w:rsidRDefault="00EC7BEC">
    <w:pPr>
      <w:pStyle w:val="Encabezado"/>
    </w:pPr>
  </w:p>
  <w:p w14:paraId="01E8A37E" w14:textId="77777777" w:rsidR="00EC7BEC" w:rsidRDefault="00EC7BEC">
    <w:pPr>
      <w:pStyle w:val="Encabezado"/>
    </w:pPr>
  </w:p>
  <w:p w14:paraId="241E7C25" w14:textId="1C32DE1D" w:rsidR="00DE3305" w:rsidRDefault="00DE33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537EF"/>
    <w:multiLevelType w:val="multilevel"/>
    <w:tmpl w:val="F2262C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0834E9"/>
    <w:multiLevelType w:val="multilevel"/>
    <w:tmpl w:val="352E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F750D"/>
    <w:multiLevelType w:val="multilevel"/>
    <w:tmpl w:val="A064C8F8"/>
    <w:lvl w:ilvl="0">
      <w:numFmt w:val="bullet"/>
      <w:lvlText w:val="●"/>
      <w:lvlJc w:val="left"/>
      <w:pPr>
        <w:ind w:left="480" w:hanging="360"/>
      </w:pPr>
      <w:rPr>
        <w:rFonts w:ascii="Noto Sans Symbols" w:eastAsia="Noto Sans Symbols" w:hAnsi="Noto Sans Symbols" w:cs="Noto Sans Symbols"/>
        <w:b w:val="0"/>
        <w:i w:val="0"/>
        <w:sz w:val="22"/>
        <w:szCs w:val="22"/>
      </w:rPr>
    </w:lvl>
    <w:lvl w:ilvl="1">
      <w:numFmt w:val="bullet"/>
      <w:lvlText w:val="⮚"/>
      <w:lvlJc w:val="left"/>
      <w:pPr>
        <w:ind w:left="1222" w:hanging="360"/>
      </w:pPr>
      <w:rPr>
        <w:rFonts w:ascii="Noto Sans Symbols" w:eastAsia="Noto Sans Symbols" w:hAnsi="Noto Sans Symbols" w:cs="Noto Sans Symbols"/>
        <w:b w:val="0"/>
        <w:i w:val="0"/>
        <w:sz w:val="22"/>
        <w:szCs w:val="22"/>
      </w:rPr>
    </w:lvl>
    <w:lvl w:ilvl="2">
      <w:numFmt w:val="bullet"/>
      <w:lvlText w:val="•"/>
      <w:lvlJc w:val="left"/>
      <w:pPr>
        <w:ind w:left="2124" w:hanging="360"/>
      </w:pPr>
    </w:lvl>
    <w:lvl w:ilvl="3">
      <w:numFmt w:val="bullet"/>
      <w:lvlText w:val="•"/>
      <w:lvlJc w:val="left"/>
      <w:pPr>
        <w:ind w:left="3028" w:hanging="360"/>
      </w:pPr>
    </w:lvl>
    <w:lvl w:ilvl="4">
      <w:numFmt w:val="bullet"/>
      <w:lvlText w:val="•"/>
      <w:lvlJc w:val="left"/>
      <w:pPr>
        <w:ind w:left="3933" w:hanging="360"/>
      </w:pPr>
    </w:lvl>
    <w:lvl w:ilvl="5">
      <w:numFmt w:val="bullet"/>
      <w:lvlText w:val="•"/>
      <w:lvlJc w:val="left"/>
      <w:pPr>
        <w:ind w:left="4837" w:hanging="360"/>
      </w:pPr>
    </w:lvl>
    <w:lvl w:ilvl="6">
      <w:numFmt w:val="bullet"/>
      <w:lvlText w:val="•"/>
      <w:lvlJc w:val="left"/>
      <w:pPr>
        <w:ind w:left="5742" w:hanging="360"/>
      </w:pPr>
    </w:lvl>
    <w:lvl w:ilvl="7">
      <w:numFmt w:val="bullet"/>
      <w:lvlText w:val="•"/>
      <w:lvlJc w:val="left"/>
      <w:pPr>
        <w:ind w:left="6646" w:hanging="360"/>
      </w:pPr>
    </w:lvl>
    <w:lvl w:ilvl="8">
      <w:numFmt w:val="bullet"/>
      <w:lvlText w:val="•"/>
      <w:lvlJc w:val="left"/>
      <w:pPr>
        <w:ind w:left="7551" w:hanging="360"/>
      </w:pPr>
    </w:lvl>
  </w:abstractNum>
  <w:abstractNum w:abstractNumId="3" w15:restartNumberingAfterBreak="0">
    <w:nsid w:val="1F99654F"/>
    <w:multiLevelType w:val="hybridMultilevel"/>
    <w:tmpl w:val="5C6884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50BA2FD7"/>
    <w:multiLevelType w:val="hybridMultilevel"/>
    <w:tmpl w:val="281AD49C"/>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 w15:restartNumberingAfterBreak="0">
    <w:nsid w:val="58172F3D"/>
    <w:multiLevelType w:val="hybridMultilevel"/>
    <w:tmpl w:val="C99C1F86"/>
    <w:lvl w:ilvl="0" w:tplc="080A000D">
      <w:start w:val="1"/>
      <w:numFmt w:val="bullet"/>
      <w:lvlText w:val=""/>
      <w:lvlJc w:val="left"/>
      <w:pPr>
        <w:ind w:left="1800" w:hanging="360"/>
      </w:pPr>
      <w:rPr>
        <w:rFonts w:ascii="Wingdings" w:hAnsi="Wingdings" w:hint="default"/>
      </w:rPr>
    </w:lvl>
    <w:lvl w:ilvl="1" w:tplc="080A0003">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6" w15:restartNumberingAfterBreak="0">
    <w:nsid w:val="774B3C68"/>
    <w:multiLevelType w:val="multilevel"/>
    <w:tmpl w:val="42F2D1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D1744B"/>
    <w:multiLevelType w:val="hybridMultilevel"/>
    <w:tmpl w:val="439ACBDC"/>
    <w:lvl w:ilvl="0" w:tplc="080A000D">
      <w:start w:val="1"/>
      <w:numFmt w:val="bullet"/>
      <w:lvlText w:val=""/>
      <w:lvlJc w:val="left"/>
      <w:pPr>
        <w:ind w:left="1800" w:hanging="360"/>
      </w:pPr>
      <w:rPr>
        <w:rFonts w:ascii="Wingdings" w:hAnsi="Wingdings" w:hint="default"/>
      </w:rPr>
    </w:lvl>
    <w:lvl w:ilvl="1" w:tplc="080A000B">
      <w:start w:val="1"/>
      <w:numFmt w:val="bullet"/>
      <w:lvlText w:val=""/>
      <w:lvlJc w:val="left"/>
      <w:pPr>
        <w:ind w:left="2520" w:hanging="360"/>
      </w:pPr>
      <w:rPr>
        <w:rFonts w:ascii="Wingdings" w:hAnsi="Wingdings"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num w:numId="1">
    <w:abstractNumId w:val="6"/>
  </w:num>
  <w:num w:numId="2">
    <w:abstractNumId w:val="6"/>
    <w:lvlOverride w:ilvl="0"/>
  </w:num>
  <w:num w:numId="3">
    <w:abstractNumId w:val="6"/>
    <w:lvlOverride w:ilvl="0"/>
  </w:num>
  <w:num w:numId="4">
    <w:abstractNumId w:val="6"/>
    <w:lvlOverride w:ilvl="0"/>
  </w:num>
  <w:num w:numId="5">
    <w:abstractNumId w:val="6"/>
    <w:lvlOverride w:ilvl="0"/>
  </w:num>
  <w:num w:numId="6">
    <w:abstractNumId w:val="1"/>
  </w:num>
  <w:num w:numId="7">
    <w:abstractNumId w:val="4"/>
  </w:num>
  <w:num w:numId="8">
    <w:abstractNumId w:val="5"/>
  </w:num>
  <w:num w:numId="9">
    <w:abstractNumId w:val="7"/>
  </w:num>
  <w:num w:numId="10">
    <w:abstractNumId w:val="0"/>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009"/>
    <w:rsid w:val="000318C9"/>
    <w:rsid w:val="000437A0"/>
    <w:rsid w:val="00045FD5"/>
    <w:rsid w:val="0005071A"/>
    <w:rsid w:val="000659CA"/>
    <w:rsid w:val="000823FD"/>
    <w:rsid w:val="000943E4"/>
    <w:rsid w:val="000A2C62"/>
    <w:rsid w:val="000B35C6"/>
    <w:rsid w:val="00120FA7"/>
    <w:rsid w:val="00133009"/>
    <w:rsid w:val="001366D8"/>
    <w:rsid w:val="00152B13"/>
    <w:rsid w:val="00156885"/>
    <w:rsid w:val="0019297A"/>
    <w:rsid w:val="001A11E4"/>
    <w:rsid w:val="001C4CF4"/>
    <w:rsid w:val="001F790C"/>
    <w:rsid w:val="0021687A"/>
    <w:rsid w:val="0022170D"/>
    <w:rsid w:val="00244805"/>
    <w:rsid w:val="002556C5"/>
    <w:rsid w:val="002E709F"/>
    <w:rsid w:val="00332E37"/>
    <w:rsid w:val="00335B89"/>
    <w:rsid w:val="003620CF"/>
    <w:rsid w:val="00372782"/>
    <w:rsid w:val="00377E9A"/>
    <w:rsid w:val="0038689C"/>
    <w:rsid w:val="003B3A2F"/>
    <w:rsid w:val="003C7FA4"/>
    <w:rsid w:val="003F3306"/>
    <w:rsid w:val="003F59C4"/>
    <w:rsid w:val="00404DD7"/>
    <w:rsid w:val="00420BAA"/>
    <w:rsid w:val="00433E7A"/>
    <w:rsid w:val="0045422C"/>
    <w:rsid w:val="004775A4"/>
    <w:rsid w:val="0048291F"/>
    <w:rsid w:val="004A14A2"/>
    <w:rsid w:val="004B6542"/>
    <w:rsid w:val="004C49C1"/>
    <w:rsid w:val="004C625B"/>
    <w:rsid w:val="004D1465"/>
    <w:rsid w:val="004D21C7"/>
    <w:rsid w:val="00516CFD"/>
    <w:rsid w:val="0052662B"/>
    <w:rsid w:val="005337B9"/>
    <w:rsid w:val="00544148"/>
    <w:rsid w:val="005647FA"/>
    <w:rsid w:val="00580517"/>
    <w:rsid w:val="00592C50"/>
    <w:rsid w:val="005B3C28"/>
    <w:rsid w:val="005B73F0"/>
    <w:rsid w:val="005D1846"/>
    <w:rsid w:val="005D3C77"/>
    <w:rsid w:val="005D5669"/>
    <w:rsid w:val="005E1AC4"/>
    <w:rsid w:val="005E2E46"/>
    <w:rsid w:val="005E46B1"/>
    <w:rsid w:val="006048E5"/>
    <w:rsid w:val="00604BBC"/>
    <w:rsid w:val="00607383"/>
    <w:rsid w:val="00611126"/>
    <w:rsid w:val="00613CC3"/>
    <w:rsid w:val="00615526"/>
    <w:rsid w:val="00640FDC"/>
    <w:rsid w:val="00670304"/>
    <w:rsid w:val="00694D92"/>
    <w:rsid w:val="006954D0"/>
    <w:rsid w:val="006C3553"/>
    <w:rsid w:val="006C419C"/>
    <w:rsid w:val="006D62DF"/>
    <w:rsid w:val="006F1A4F"/>
    <w:rsid w:val="00710E4E"/>
    <w:rsid w:val="00737F80"/>
    <w:rsid w:val="00753C42"/>
    <w:rsid w:val="007841E8"/>
    <w:rsid w:val="00797041"/>
    <w:rsid w:val="007B33E9"/>
    <w:rsid w:val="007C6E87"/>
    <w:rsid w:val="007C7B3D"/>
    <w:rsid w:val="007D6DF6"/>
    <w:rsid w:val="007E565D"/>
    <w:rsid w:val="007F7DC5"/>
    <w:rsid w:val="00811EF9"/>
    <w:rsid w:val="008469B6"/>
    <w:rsid w:val="00862A67"/>
    <w:rsid w:val="00876F14"/>
    <w:rsid w:val="00893799"/>
    <w:rsid w:val="008A5B10"/>
    <w:rsid w:val="008C714B"/>
    <w:rsid w:val="008D7E1A"/>
    <w:rsid w:val="008D7ED6"/>
    <w:rsid w:val="00907DA0"/>
    <w:rsid w:val="0094079E"/>
    <w:rsid w:val="0098187A"/>
    <w:rsid w:val="0099220A"/>
    <w:rsid w:val="009D3F65"/>
    <w:rsid w:val="00A33DB3"/>
    <w:rsid w:val="00A73466"/>
    <w:rsid w:val="00A766AD"/>
    <w:rsid w:val="00A86086"/>
    <w:rsid w:val="00A86897"/>
    <w:rsid w:val="00A93063"/>
    <w:rsid w:val="00A94F13"/>
    <w:rsid w:val="00AA5064"/>
    <w:rsid w:val="00AB04DE"/>
    <w:rsid w:val="00B157DD"/>
    <w:rsid w:val="00B579B2"/>
    <w:rsid w:val="00B91025"/>
    <w:rsid w:val="00BA2254"/>
    <w:rsid w:val="00BC0EC1"/>
    <w:rsid w:val="00BE0080"/>
    <w:rsid w:val="00BF66C0"/>
    <w:rsid w:val="00C10DA0"/>
    <w:rsid w:val="00C11ABC"/>
    <w:rsid w:val="00C225D3"/>
    <w:rsid w:val="00C270D2"/>
    <w:rsid w:val="00C521BC"/>
    <w:rsid w:val="00C831D1"/>
    <w:rsid w:val="00C9211F"/>
    <w:rsid w:val="00CA15D1"/>
    <w:rsid w:val="00CB78F7"/>
    <w:rsid w:val="00CC1793"/>
    <w:rsid w:val="00CC647C"/>
    <w:rsid w:val="00CD333A"/>
    <w:rsid w:val="00CF0ACF"/>
    <w:rsid w:val="00D308F1"/>
    <w:rsid w:val="00D4446A"/>
    <w:rsid w:val="00D84FCB"/>
    <w:rsid w:val="00DB47AA"/>
    <w:rsid w:val="00DC05EA"/>
    <w:rsid w:val="00DC227E"/>
    <w:rsid w:val="00DC3882"/>
    <w:rsid w:val="00DC3A88"/>
    <w:rsid w:val="00DD7D21"/>
    <w:rsid w:val="00DE18A0"/>
    <w:rsid w:val="00DE3305"/>
    <w:rsid w:val="00DE6B4E"/>
    <w:rsid w:val="00DF592A"/>
    <w:rsid w:val="00E053C0"/>
    <w:rsid w:val="00E16F29"/>
    <w:rsid w:val="00E42A72"/>
    <w:rsid w:val="00E61093"/>
    <w:rsid w:val="00E82F9A"/>
    <w:rsid w:val="00EB2B08"/>
    <w:rsid w:val="00EC6A20"/>
    <w:rsid w:val="00EC7BEC"/>
    <w:rsid w:val="00ED3D35"/>
    <w:rsid w:val="00EF7544"/>
    <w:rsid w:val="00F07ECC"/>
    <w:rsid w:val="00F3245E"/>
    <w:rsid w:val="00F35ABB"/>
    <w:rsid w:val="00F611BC"/>
    <w:rsid w:val="00F74F13"/>
    <w:rsid w:val="00F91E32"/>
    <w:rsid w:val="00FA5F6B"/>
    <w:rsid w:val="00FD2B30"/>
    <w:rsid w:val="00FD5E7C"/>
    <w:rsid w:val="00FE528D"/>
    <w:rsid w:val="00FF014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BB2E8"/>
  <w15:chartTrackingRefBased/>
  <w15:docId w15:val="{90A5C089-A849-4CD4-A625-A24E7715D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330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330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3300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3300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3300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3300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3300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3300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3300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3300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3300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3300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3300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3300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3300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3300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3300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33009"/>
    <w:rPr>
      <w:rFonts w:eastAsiaTheme="majorEastAsia" w:cstheme="majorBidi"/>
      <w:color w:val="272727" w:themeColor="text1" w:themeTint="D8"/>
    </w:rPr>
  </w:style>
  <w:style w:type="paragraph" w:styleId="Ttulo">
    <w:name w:val="Title"/>
    <w:basedOn w:val="Normal"/>
    <w:next w:val="Normal"/>
    <w:link w:val="TtuloCar"/>
    <w:uiPriority w:val="10"/>
    <w:qFormat/>
    <w:rsid w:val="001330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3300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3300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3300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33009"/>
    <w:pPr>
      <w:spacing w:before="160"/>
      <w:jc w:val="center"/>
    </w:pPr>
    <w:rPr>
      <w:i/>
      <w:iCs/>
      <w:color w:val="404040" w:themeColor="text1" w:themeTint="BF"/>
    </w:rPr>
  </w:style>
  <w:style w:type="character" w:customStyle="1" w:styleId="CitaCar">
    <w:name w:val="Cita Car"/>
    <w:basedOn w:val="Fuentedeprrafopredeter"/>
    <w:link w:val="Cita"/>
    <w:uiPriority w:val="29"/>
    <w:rsid w:val="00133009"/>
    <w:rPr>
      <w:i/>
      <w:iCs/>
      <w:color w:val="404040" w:themeColor="text1" w:themeTint="BF"/>
    </w:rPr>
  </w:style>
  <w:style w:type="paragraph" w:styleId="Prrafodelista">
    <w:name w:val="List Paragraph"/>
    <w:basedOn w:val="Normal"/>
    <w:uiPriority w:val="34"/>
    <w:qFormat/>
    <w:rsid w:val="00133009"/>
    <w:pPr>
      <w:ind w:left="720"/>
      <w:contextualSpacing/>
    </w:pPr>
  </w:style>
  <w:style w:type="character" w:styleId="nfasisintenso">
    <w:name w:val="Intense Emphasis"/>
    <w:basedOn w:val="Fuentedeprrafopredeter"/>
    <w:uiPriority w:val="21"/>
    <w:qFormat/>
    <w:rsid w:val="00133009"/>
    <w:rPr>
      <w:i/>
      <w:iCs/>
      <w:color w:val="0F4761" w:themeColor="accent1" w:themeShade="BF"/>
    </w:rPr>
  </w:style>
  <w:style w:type="paragraph" w:styleId="Citadestacada">
    <w:name w:val="Intense Quote"/>
    <w:basedOn w:val="Normal"/>
    <w:next w:val="Normal"/>
    <w:link w:val="CitadestacadaCar"/>
    <w:uiPriority w:val="30"/>
    <w:qFormat/>
    <w:rsid w:val="001330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33009"/>
    <w:rPr>
      <w:i/>
      <w:iCs/>
      <w:color w:val="0F4761" w:themeColor="accent1" w:themeShade="BF"/>
    </w:rPr>
  </w:style>
  <w:style w:type="character" w:styleId="Referenciaintensa">
    <w:name w:val="Intense Reference"/>
    <w:basedOn w:val="Fuentedeprrafopredeter"/>
    <w:uiPriority w:val="32"/>
    <w:qFormat/>
    <w:rsid w:val="00133009"/>
    <w:rPr>
      <w:b/>
      <w:bCs/>
      <w:smallCaps/>
      <w:color w:val="0F4761" w:themeColor="accent1" w:themeShade="BF"/>
      <w:spacing w:val="5"/>
    </w:rPr>
  </w:style>
  <w:style w:type="paragraph" w:styleId="Textonotapie">
    <w:name w:val="footnote text"/>
    <w:basedOn w:val="Normal"/>
    <w:link w:val="TextonotapieCar"/>
    <w:uiPriority w:val="99"/>
    <w:semiHidden/>
    <w:unhideWhenUsed/>
    <w:rsid w:val="003F59C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F59C4"/>
    <w:rPr>
      <w:sz w:val="20"/>
      <w:szCs w:val="20"/>
    </w:rPr>
  </w:style>
  <w:style w:type="character" w:styleId="Refdenotaalpie">
    <w:name w:val="footnote reference"/>
    <w:basedOn w:val="Fuentedeprrafopredeter"/>
    <w:uiPriority w:val="99"/>
    <w:semiHidden/>
    <w:unhideWhenUsed/>
    <w:rsid w:val="003F59C4"/>
    <w:rPr>
      <w:vertAlign w:val="superscript"/>
    </w:rPr>
  </w:style>
  <w:style w:type="character" w:styleId="Hipervnculo">
    <w:name w:val="Hyperlink"/>
    <w:basedOn w:val="Fuentedeprrafopredeter"/>
    <w:uiPriority w:val="99"/>
    <w:unhideWhenUsed/>
    <w:rsid w:val="000437A0"/>
    <w:rPr>
      <w:color w:val="467886" w:themeColor="hyperlink"/>
      <w:u w:val="single"/>
    </w:rPr>
  </w:style>
  <w:style w:type="character" w:customStyle="1" w:styleId="Mencinsinresolver1">
    <w:name w:val="Mención sin resolver1"/>
    <w:basedOn w:val="Fuentedeprrafopredeter"/>
    <w:uiPriority w:val="99"/>
    <w:semiHidden/>
    <w:unhideWhenUsed/>
    <w:rsid w:val="000437A0"/>
    <w:rPr>
      <w:color w:val="605E5C"/>
      <w:shd w:val="clear" w:color="auto" w:fill="E1DFDD"/>
    </w:rPr>
  </w:style>
  <w:style w:type="paragraph" w:styleId="Encabezado">
    <w:name w:val="header"/>
    <w:basedOn w:val="Normal"/>
    <w:link w:val="EncabezadoCar"/>
    <w:uiPriority w:val="99"/>
    <w:unhideWhenUsed/>
    <w:rsid w:val="00EB2B0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2B08"/>
  </w:style>
  <w:style w:type="paragraph" w:styleId="Piedepgina">
    <w:name w:val="footer"/>
    <w:basedOn w:val="Normal"/>
    <w:link w:val="PiedepginaCar"/>
    <w:uiPriority w:val="99"/>
    <w:unhideWhenUsed/>
    <w:rsid w:val="00EB2B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2B08"/>
  </w:style>
  <w:style w:type="table" w:styleId="Tablaconcuadrcula">
    <w:name w:val="Table Grid"/>
    <w:basedOn w:val="Tablanormal"/>
    <w:uiPriority w:val="39"/>
    <w:rsid w:val="00DE3305"/>
    <w:pPr>
      <w:spacing w:after="0" w:line="240" w:lineRule="auto"/>
    </w:pPr>
    <w:rPr>
      <w:rFonts w:ascii="Aptos" w:eastAsia="Aptos" w:hAnsi="Aptos" w:cs="Times New Roman"/>
      <w:sz w:val="22"/>
      <w:szCs w:val="22"/>
      <w:lang w:val="es-419"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uiPriority w:val="99"/>
    <w:semiHidden/>
    <w:unhideWhenUsed/>
    <w:rsid w:val="00876F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757332">
      <w:bodyDiv w:val="1"/>
      <w:marLeft w:val="0"/>
      <w:marRight w:val="0"/>
      <w:marTop w:val="0"/>
      <w:marBottom w:val="0"/>
      <w:divBdr>
        <w:top w:val="none" w:sz="0" w:space="0" w:color="auto"/>
        <w:left w:val="none" w:sz="0" w:space="0" w:color="auto"/>
        <w:bottom w:val="none" w:sz="0" w:space="0" w:color="auto"/>
        <w:right w:val="none" w:sz="0" w:space="0" w:color="auto"/>
      </w:divBdr>
    </w:div>
    <w:div w:id="1385956172">
      <w:bodyDiv w:val="1"/>
      <w:marLeft w:val="0"/>
      <w:marRight w:val="0"/>
      <w:marTop w:val="0"/>
      <w:marBottom w:val="0"/>
      <w:divBdr>
        <w:top w:val="none" w:sz="0" w:space="0" w:color="auto"/>
        <w:left w:val="none" w:sz="0" w:space="0" w:color="auto"/>
        <w:bottom w:val="none" w:sz="0" w:space="0" w:color="auto"/>
        <w:right w:val="none" w:sz="0" w:space="0" w:color="auto"/>
      </w:divBdr>
    </w:div>
    <w:div w:id="1537545760">
      <w:bodyDiv w:val="1"/>
      <w:marLeft w:val="0"/>
      <w:marRight w:val="0"/>
      <w:marTop w:val="0"/>
      <w:marBottom w:val="0"/>
      <w:divBdr>
        <w:top w:val="none" w:sz="0" w:space="0" w:color="auto"/>
        <w:left w:val="none" w:sz="0" w:space="0" w:color="auto"/>
        <w:bottom w:val="none" w:sz="0" w:space="0" w:color="auto"/>
        <w:right w:val="none" w:sz="0" w:space="0" w:color="auto"/>
      </w:divBdr>
    </w:div>
    <w:div w:id="181398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ciudadanas@gmail.com"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atedraunescodh.unam.mx/catedra/catedra/"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jornada.com.mx/noticia/2025/03/08/capital/difunde-la-fgj-el-nuevo-protocolo-para-indagar-feminicidios" TargetMode="External"/><Relationship Id="rId2" Type="http://schemas.openxmlformats.org/officeDocument/2006/relationships/hyperlink" Target="https://drive.google.com/file/d/1zlbk7J_m4ZI1XnM1kp_bPx2UgzgXeC6A/view" TargetMode="External"/><Relationship Id="rId1" Type="http://schemas.openxmlformats.org/officeDocument/2006/relationships/hyperlink" Target="https://portalhcd.diputados.gob.mx/PortalWeb/Micrositios/5b8b3b7b-1de2-4201-9d28-e94ad0c792bc.pdf" TargetMode="External"/><Relationship Id="rId5" Type="http://schemas.openxmlformats.org/officeDocument/2006/relationships/hyperlink" Target="https://www.gob.mx/inmujeres/acciones-y-programas/modelo-de-tipo-penal-de-feminicidio" TargetMode="External"/><Relationship Id="rId4" Type="http://schemas.openxmlformats.org/officeDocument/2006/relationships/hyperlink" Target="https://www.proceso.com.mx/nacional/cdmx/2025/3/7/fiscalia-de-la-cdmx-presenta-nuevo-protocolo-para-investigar-feminicidios-346965.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379F4-A9B0-4344-8B20-C70F39A43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5061</Words>
  <Characters>27837</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Hernández</dc:creator>
  <cp:keywords/>
  <dc:description/>
  <cp:lastModifiedBy>HP</cp:lastModifiedBy>
  <cp:revision>2</cp:revision>
  <cp:lastPrinted>2025-05-19T01:47:00Z</cp:lastPrinted>
  <dcterms:created xsi:type="dcterms:W3CDTF">2025-05-19T02:00:00Z</dcterms:created>
  <dcterms:modified xsi:type="dcterms:W3CDTF">2025-05-19T02:00:00Z</dcterms:modified>
</cp:coreProperties>
</file>