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B1E2E" w14:textId="77777777" w:rsidR="00837D06" w:rsidRDefault="00F109A5">
      <w:pPr>
        <w:spacing w:after="100"/>
      </w:pPr>
      <w:r>
        <w:t xml:space="preserve"> </w:t>
      </w:r>
    </w:p>
    <w:p w14:paraId="64C194D0" w14:textId="68F28C7B" w:rsidR="00837D06" w:rsidRDefault="00F109A5">
      <w:pPr>
        <w:spacing w:line="237" w:lineRule="auto"/>
        <w:ind w:left="1780" w:right="2300"/>
        <w:jc w:val="center"/>
        <w:rPr>
          <w:b/>
        </w:rPr>
      </w:pPr>
      <w:r>
        <w:rPr>
          <w:b/>
        </w:rPr>
        <w:t>Submission</w:t>
      </w:r>
      <w:r>
        <w:t xml:space="preserve"> </w:t>
      </w:r>
      <w:r>
        <w:rPr>
          <w:b/>
        </w:rPr>
        <w:t>of</w:t>
      </w:r>
      <w:r>
        <w:t xml:space="preserve"> </w:t>
      </w:r>
      <w:r>
        <w:rPr>
          <w:b/>
        </w:rPr>
        <w:t>the</w:t>
      </w:r>
      <w:r>
        <w:t xml:space="preserve"> </w:t>
      </w:r>
      <w:bookmarkStart w:id="0" w:name="_GoBack"/>
      <w:bookmarkEnd w:id="0"/>
      <w:r>
        <w:rPr>
          <w:b/>
        </w:rPr>
        <w:t>for</w:t>
      </w:r>
      <w:r>
        <w:t xml:space="preserve"> </w:t>
      </w:r>
      <w:r>
        <w:rPr>
          <w:b/>
        </w:rPr>
        <w:t>the</w:t>
      </w:r>
      <w:r>
        <w:t xml:space="preserve"> </w:t>
      </w:r>
      <w:r>
        <w:rPr>
          <w:b/>
        </w:rPr>
        <w:t>List</w:t>
      </w:r>
      <w:r>
        <w:t xml:space="preserve"> </w:t>
      </w:r>
      <w:r>
        <w:rPr>
          <w:b/>
        </w:rPr>
        <w:t>of</w:t>
      </w:r>
      <w:r>
        <w:t xml:space="preserve"> </w:t>
      </w:r>
      <w:r>
        <w:rPr>
          <w:b/>
        </w:rPr>
        <w:t>Issues</w:t>
      </w:r>
      <w:r>
        <w:t xml:space="preserve"> </w:t>
      </w:r>
      <w:r>
        <w:rPr>
          <w:b/>
        </w:rPr>
        <w:t>in</w:t>
      </w:r>
      <w:r>
        <w:t xml:space="preserve"> </w:t>
      </w:r>
      <w:r>
        <w:rPr>
          <w:b/>
        </w:rPr>
        <w:t>advance</w:t>
      </w:r>
      <w:r>
        <w:t xml:space="preserve"> </w:t>
      </w:r>
      <w:r>
        <w:rPr>
          <w:b/>
        </w:rPr>
        <w:t>of</w:t>
      </w:r>
      <w:r>
        <w:t xml:space="preserve"> </w:t>
      </w:r>
      <w:r>
        <w:rPr>
          <w:b/>
        </w:rPr>
        <w:t>the</w:t>
      </w:r>
    </w:p>
    <w:p w14:paraId="7176E20D" w14:textId="77777777" w:rsidR="00837D06" w:rsidRDefault="00F109A5">
      <w:pPr>
        <w:spacing w:line="237" w:lineRule="auto"/>
        <w:ind w:left="1780" w:right="2300"/>
        <w:jc w:val="center"/>
        <w:rPr>
          <w:b/>
        </w:rPr>
      </w:pPr>
      <w:r>
        <w:rPr>
          <w:b/>
        </w:rPr>
        <w:t>69th</w:t>
      </w:r>
      <w:r>
        <w:t xml:space="preserve"> </w:t>
      </w:r>
      <w:r>
        <w:rPr>
          <w:b/>
        </w:rPr>
        <w:t>Pre-Session Working Group for the</w:t>
      </w:r>
    </w:p>
    <w:p w14:paraId="78CAFB8A" w14:textId="77777777" w:rsidR="00837D06" w:rsidRDefault="00F109A5">
      <w:pPr>
        <w:spacing w:line="237" w:lineRule="auto"/>
        <w:ind w:left="1780" w:right="2300"/>
        <w:jc w:val="center"/>
        <w:rPr>
          <w:b/>
        </w:rPr>
      </w:pPr>
      <w:r>
        <w:rPr>
          <w:b/>
        </w:rPr>
        <w:t>Review</w:t>
      </w:r>
      <w:r>
        <w:t xml:space="preserve"> </w:t>
      </w:r>
      <w:r>
        <w:rPr>
          <w:b/>
        </w:rPr>
        <w:t>of</w:t>
      </w:r>
      <w:r>
        <w:t xml:space="preserve"> </w:t>
      </w:r>
      <w:r>
        <w:rPr>
          <w:b/>
        </w:rPr>
        <w:t>the</w:t>
      </w:r>
      <w:r>
        <w:t xml:space="preserve"> </w:t>
      </w:r>
      <w:r>
        <w:rPr>
          <w:b/>
        </w:rPr>
        <w:t>“State</w:t>
      </w:r>
      <w:r>
        <w:t xml:space="preserve"> </w:t>
      </w:r>
      <w:r>
        <w:rPr>
          <w:b/>
        </w:rPr>
        <w:t>of</w:t>
      </w:r>
      <w:r>
        <w:t xml:space="preserve"> </w:t>
      </w:r>
      <w:r>
        <w:rPr>
          <w:b/>
        </w:rPr>
        <w:t>Palestine”</w:t>
      </w:r>
    </w:p>
    <w:p w14:paraId="1E20CFDA" w14:textId="77777777" w:rsidR="00837D06" w:rsidRDefault="00F109A5">
      <w:pPr>
        <w:spacing w:after="40"/>
      </w:pPr>
      <w:r>
        <w:t xml:space="preserve"> </w:t>
      </w:r>
    </w:p>
    <w:p w14:paraId="6BD29544" w14:textId="77777777" w:rsidR="00837D06" w:rsidRDefault="00F109A5">
      <w:pPr>
        <w:ind w:right="-20"/>
        <w:rPr>
          <w:b/>
        </w:rPr>
      </w:pPr>
      <w:r>
        <w:rPr>
          <w:b/>
        </w:rPr>
        <w:t>Introduction</w:t>
      </w:r>
    </w:p>
    <w:p w14:paraId="08B53EF4" w14:textId="77777777" w:rsidR="00837D06" w:rsidRDefault="00F109A5">
      <w:pPr>
        <w:spacing w:after="40"/>
      </w:pPr>
      <w:r>
        <w:t xml:space="preserve"> </w:t>
      </w:r>
    </w:p>
    <w:p w14:paraId="2C3CC3D3" w14:textId="77777777" w:rsidR="00837D06" w:rsidRDefault="00F109A5">
      <w:pPr>
        <w:ind w:right="640"/>
      </w:pPr>
      <w:r>
        <w:t>The Institute for NGO Research</w:t>
      </w:r>
      <w:r>
        <w:rPr>
          <w:vertAlign w:val="superscript"/>
        </w:rPr>
        <w:footnoteReference w:id="1"/>
      </w:r>
      <w:r>
        <w:t xml:space="preserve"> brings this submission for the List of Issues in advance of the 69th Pre-Session Working Group meeting for the review of “State of Palestine” and its compliance with the International Convention on Economic Social and Cultural Rights (ICESCR). We hope that this submission will aid the Committee in its preparation of the List of Issues to the Palestinian Authority.</w:t>
      </w:r>
    </w:p>
    <w:p w14:paraId="32313D6F" w14:textId="77777777" w:rsidR="00837D06" w:rsidRDefault="00F109A5">
      <w:pPr>
        <w:spacing w:after="40"/>
      </w:pPr>
      <w:r>
        <w:t xml:space="preserve"> </w:t>
      </w:r>
    </w:p>
    <w:p w14:paraId="260EA59D" w14:textId="77777777" w:rsidR="00837D06" w:rsidRDefault="00F109A5">
      <w:pPr>
        <w:ind w:right="600"/>
      </w:pPr>
      <w:r>
        <w:t>This submission focuses on the rampant campaign of antisemitic and anti-Israel incitement within the Palestinian Authority (PA). This campaign of incitement is endemic throughout Palestinian society and is especially aimed at inculcating hatred within many generations of Palestinian children. Palestinian incitement undergirds the ongoing armed conflict with Israel and is responsible for countless deaths of both Palestinians and Israelis. It also underlies the extensive recruitment and use of Palestinian children as combatants. Any review of the PA’s compliance with the ICESCR must address this issue in depth. Failure to do so will represent a significant lapse in evaluating the PA’s adherence to and compliance with the Convention.</w:t>
      </w:r>
    </w:p>
    <w:p w14:paraId="1AF44D28" w14:textId="77777777" w:rsidR="00837D06" w:rsidRDefault="00F109A5">
      <w:pPr>
        <w:ind w:right="600"/>
      </w:pPr>
      <w:r>
        <w:t xml:space="preserve"> </w:t>
      </w:r>
    </w:p>
    <w:p w14:paraId="2940B832" w14:textId="77777777" w:rsidR="00837D06" w:rsidRDefault="00F109A5">
      <w:pPr>
        <w:ind w:right="600"/>
      </w:pPr>
      <w:r>
        <w:t>We also call the Committee’s attention to the PA’s political warfare campaign against Israel that prioritizes zero-sum campaigns to demonize Israel at the expense of improving the lives of the Palestinian people – notably in the realms of health, economics, and water.  The on-going political infighting between the PA and Hamas has also resulted in human rights violations by both the PA and Hamas against Palestinians primarily in Gaza in violation of the ICESCR.</w:t>
      </w:r>
    </w:p>
    <w:p w14:paraId="32E726A3" w14:textId="77777777" w:rsidR="00837D06" w:rsidRDefault="00F109A5">
      <w:pPr>
        <w:spacing w:after="40"/>
      </w:pPr>
      <w:r>
        <w:t xml:space="preserve"> </w:t>
      </w:r>
    </w:p>
    <w:p w14:paraId="68C21833" w14:textId="77777777" w:rsidR="00837D06" w:rsidRDefault="00F109A5">
      <w:pPr>
        <w:ind w:right="520"/>
      </w:pPr>
      <w:r>
        <w:t xml:space="preserve">We are also highly disturbed that the PA’s report to the Committee submissions appear to excuse or diminish the PA’s obligations under the ICESCR due to the ongoing armed conflict with Israel and control of Gaza by Hamas. More than 95% of the Palestinian population falls under the control of the Palestinian Authority and therefore under its </w:t>
      </w:r>
      <w:r>
        <w:lastRenderedPageBreak/>
        <w:t>jurisdiction and responsibility pursuant to the ICESCR. This jurisdiction and responsibility also includes Gaza. It is important, therefore, that the Committee does not give the PA a pass on compliance with its obligations under the ICESCR while shifting blame onto others. The Committee is tasked with upholding the human rights as specified by the ICESCR. It should not indulge excuses for noncompliance by the PA.</w:t>
      </w:r>
    </w:p>
    <w:p w14:paraId="79274653" w14:textId="77777777" w:rsidR="00837D06" w:rsidRDefault="00F109A5">
      <w:pPr>
        <w:spacing w:after="40"/>
      </w:pPr>
      <w:r>
        <w:t xml:space="preserve"> </w:t>
      </w:r>
    </w:p>
    <w:p w14:paraId="72C1CA45" w14:textId="77777777" w:rsidR="00837D06" w:rsidRDefault="00F109A5">
      <w:pPr>
        <w:ind w:right="940"/>
        <w:rPr>
          <w:b/>
        </w:rPr>
      </w:pPr>
      <w:r>
        <w:rPr>
          <w:b/>
        </w:rPr>
        <w:t>The</w:t>
      </w:r>
      <w:r>
        <w:t xml:space="preserve"> </w:t>
      </w:r>
      <w:r>
        <w:rPr>
          <w:b/>
        </w:rPr>
        <w:t>ICESCR</w:t>
      </w:r>
      <w:r>
        <w:t xml:space="preserve"> </w:t>
      </w:r>
      <w:r>
        <w:rPr>
          <w:b/>
        </w:rPr>
        <w:t>Mandates Respect for the Rights of Self-Determination and</w:t>
      </w:r>
      <w:r>
        <w:t xml:space="preserve"> </w:t>
      </w:r>
      <w:r>
        <w:rPr>
          <w:b/>
        </w:rPr>
        <w:t>Explicitly</w:t>
      </w:r>
      <w:r>
        <w:t xml:space="preserve"> </w:t>
      </w:r>
      <w:r>
        <w:rPr>
          <w:b/>
        </w:rPr>
        <w:t>Prohibits</w:t>
      </w:r>
      <w:r>
        <w:t xml:space="preserve"> </w:t>
      </w:r>
      <w:r>
        <w:rPr>
          <w:b/>
        </w:rPr>
        <w:t>Discrimination</w:t>
      </w:r>
      <w:r>
        <w:t xml:space="preserve"> </w:t>
      </w:r>
      <w:r>
        <w:rPr>
          <w:b/>
        </w:rPr>
        <w:t>and</w:t>
      </w:r>
      <w:r>
        <w:t xml:space="preserve"> </w:t>
      </w:r>
      <w:r>
        <w:rPr>
          <w:b/>
        </w:rPr>
        <w:t>Incitement</w:t>
      </w:r>
      <w:r>
        <w:t xml:space="preserve"> </w:t>
      </w:r>
      <w:r>
        <w:rPr>
          <w:b/>
        </w:rPr>
        <w:t>Campaigns</w:t>
      </w:r>
      <w:r>
        <w:t xml:space="preserve"> </w:t>
      </w:r>
      <w:r>
        <w:rPr>
          <w:b/>
        </w:rPr>
        <w:t>Based</w:t>
      </w:r>
      <w:r>
        <w:t xml:space="preserve"> </w:t>
      </w:r>
      <w:r>
        <w:rPr>
          <w:b/>
        </w:rPr>
        <w:t>on</w:t>
      </w:r>
      <w:r>
        <w:t xml:space="preserve"> </w:t>
      </w:r>
      <w:r>
        <w:rPr>
          <w:b/>
        </w:rPr>
        <w:t>Religion</w:t>
      </w:r>
      <w:r>
        <w:t xml:space="preserve"> </w:t>
      </w:r>
      <w:r>
        <w:rPr>
          <w:b/>
        </w:rPr>
        <w:t>or</w:t>
      </w:r>
      <w:r>
        <w:t xml:space="preserve"> </w:t>
      </w:r>
      <w:r>
        <w:rPr>
          <w:b/>
        </w:rPr>
        <w:t>National</w:t>
      </w:r>
      <w:r>
        <w:t xml:space="preserve"> </w:t>
      </w:r>
      <w:r>
        <w:rPr>
          <w:b/>
        </w:rPr>
        <w:t>Origin</w:t>
      </w:r>
    </w:p>
    <w:p w14:paraId="0F79BD78" w14:textId="77777777" w:rsidR="00837D06" w:rsidRDefault="00F109A5">
      <w:pPr>
        <w:ind w:right="2520"/>
      </w:pPr>
      <w:r>
        <w:t xml:space="preserve"> </w:t>
      </w:r>
    </w:p>
    <w:p w14:paraId="4C665692" w14:textId="77777777" w:rsidR="00837D06" w:rsidRDefault="00F109A5">
      <w:pPr>
        <w:ind w:right="2520"/>
      </w:pPr>
      <w:r>
        <w:t>Article 1 of the ICESCR mandates that states’ parties must respect and honor the right to self-determination of all peoples.</w:t>
      </w:r>
    </w:p>
    <w:p w14:paraId="0D13FECD" w14:textId="77777777" w:rsidR="00837D06" w:rsidRDefault="00F109A5">
      <w:pPr>
        <w:ind w:right="2520"/>
      </w:pPr>
      <w:r>
        <w:t xml:space="preserve"> </w:t>
      </w:r>
    </w:p>
    <w:p w14:paraId="5322B731" w14:textId="77777777" w:rsidR="00837D06" w:rsidRDefault="00F109A5">
      <w:pPr>
        <w:shd w:val="clear" w:color="auto" w:fill="FFFFFF"/>
        <w:spacing w:after="160"/>
        <w:rPr>
          <w:b/>
          <w:i/>
        </w:rPr>
      </w:pPr>
      <w:r>
        <w:rPr>
          <w:b/>
          <w:i/>
        </w:rPr>
        <w:t>Article 1</w:t>
      </w:r>
    </w:p>
    <w:p w14:paraId="75DABFE5" w14:textId="77777777" w:rsidR="00837D06" w:rsidRDefault="00F109A5">
      <w:pPr>
        <w:shd w:val="clear" w:color="auto" w:fill="FFFFFF"/>
        <w:spacing w:after="160"/>
        <w:ind w:left="720"/>
      </w:pPr>
      <w:r>
        <w:t>1.</w:t>
      </w:r>
      <w:r>
        <w:rPr>
          <w:sz w:val="14"/>
          <w:szCs w:val="14"/>
        </w:rPr>
        <w:t xml:space="preserve"> </w:t>
      </w:r>
      <w:r>
        <w:t>All peoples have the right of self-determination. By virtue of that right they freely determine their political status and freely pursue their economic, social and cultural development.</w:t>
      </w:r>
    </w:p>
    <w:p w14:paraId="6400A003" w14:textId="77777777" w:rsidR="00837D06" w:rsidRDefault="00F109A5">
      <w:pPr>
        <w:ind w:left="720"/>
        <w:rPr>
          <w:highlight w:val="white"/>
        </w:rPr>
      </w:pPr>
      <w:r>
        <w:t>2.</w:t>
      </w:r>
      <w:r>
        <w:rPr>
          <w:sz w:val="14"/>
          <w:szCs w:val="14"/>
        </w:rPr>
        <w:t xml:space="preserve"> </w:t>
      </w:r>
      <w:r>
        <w:rPr>
          <w:highlight w:val="white"/>
        </w:rPr>
        <w:t>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p>
    <w:p w14:paraId="07077B9E" w14:textId="77777777" w:rsidR="00837D06" w:rsidRDefault="00F109A5">
      <w:pPr>
        <w:ind w:right="2520"/>
      </w:pPr>
      <w:r>
        <w:t xml:space="preserve"> </w:t>
      </w:r>
    </w:p>
    <w:p w14:paraId="451E1EC9" w14:textId="77777777" w:rsidR="00837D06" w:rsidRDefault="00F109A5">
      <w:pPr>
        <w:ind w:right="2520"/>
      </w:pPr>
      <w:r>
        <w:t>Article 2 of the ICESCR requires that State Parties eliminate all forms of discrimination:</w:t>
      </w:r>
    </w:p>
    <w:p w14:paraId="2F8FDC50" w14:textId="77777777" w:rsidR="00837D06" w:rsidRDefault="00F109A5">
      <w:pPr>
        <w:spacing w:line="160" w:lineRule="auto"/>
      </w:pPr>
      <w:r>
        <w:t xml:space="preserve"> </w:t>
      </w:r>
    </w:p>
    <w:p w14:paraId="3D03B3FE" w14:textId="77777777" w:rsidR="00837D06" w:rsidRDefault="00F109A5">
      <w:pPr>
        <w:ind w:right="-20"/>
        <w:rPr>
          <w:b/>
          <w:i/>
        </w:rPr>
      </w:pPr>
      <w:r>
        <w:rPr>
          <w:b/>
          <w:i/>
        </w:rPr>
        <w:t>Article</w:t>
      </w:r>
      <w:r>
        <w:t xml:space="preserve"> </w:t>
      </w:r>
      <w:r>
        <w:rPr>
          <w:b/>
          <w:i/>
        </w:rPr>
        <w:t>2</w:t>
      </w:r>
    </w:p>
    <w:p w14:paraId="521CE353" w14:textId="77777777" w:rsidR="00837D06" w:rsidRDefault="00F109A5">
      <w:pPr>
        <w:spacing w:after="20" w:line="140" w:lineRule="auto"/>
      </w:pPr>
      <w:r>
        <w:t xml:space="preserve"> </w:t>
      </w:r>
    </w:p>
    <w:p w14:paraId="3949CF01" w14:textId="77777777" w:rsidR="00837D06" w:rsidRDefault="00F109A5">
      <w:pPr>
        <w:ind w:left="720"/>
        <w:rPr>
          <w:highlight w:val="white"/>
        </w:rPr>
      </w:pPr>
      <w:r>
        <w:t>3.</w:t>
      </w:r>
      <w:r>
        <w:rPr>
          <w:sz w:val="14"/>
          <w:szCs w:val="14"/>
        </w:rPr>
        <w:t xml:space="preserve"> </w:t>
      </w:r>
      <w:r>
        <w:rPr>
          <w:highlight w:val="white"/>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5F9729C2" w14:textId="77777777" w:rsidR="00837D06" w:rsidRDefault="00F109A5">
      <w:pPr>
        <w:ind w:left="720" w:right="760"/>
      </w:pPr>
      <w:r>
        <w:t>.</w:t>
      </w:r>
    </w:p>
    <w:p w14:paraId="4529F3DC" w14:textId="77777777" w:rsidR="00837D06" w:rsidRDefault="00F109A5">
      <w:pPr>
        <w:spacing w:after="100"/>
      </w:pPr>
      <w:r>
        <w:t>Article 10 requires special protection for the rights of children:</w:t>
      </w:r>
    </w:p>
    <w:p w14:paraId="757D067A" w14:textId="77777777" w:rsidR="00837D06" w:rsidRDefault="00F109A5">
      <w:pPr>
        <w:shd w:val="clear" w:color="auto" w:fill="FFFFFF"/>
        <w:spacing w:after="160"/>
        <w:rPr>
          <w:b/>
          <w:i/>
        </w:rPr>
      </w:pPr>
      <w:r>
        <w:rPr>
          <w:b/>
          <w:i/>
        </w:rPr>
        <w:t>Article 10</w:t>
      </w:r>
    </w:p>
    <w:p w14:paraId="586E6211" w14:textId="77777777" w:rsidR="00837D06" w:rsidRDefault="00F109A5">
      <w:pPr>
        <w:shd w:val="clear" w:color="auto" w:fill="FFFFFF"/>
        <w:spacing w:after="160"/>
        <w:ind w:left="360"/>
      </w:pPr>
      <w:r>
        <w:t>The States Parties to the present Covenant recognize that:</w:t>
      </w:r>
    </w:p>
    <w:p w14:paraId="1DB507CF" w14:textId="77777777" w:rsidR="00837D06" w:rsidRDefault="00F109A5">
      <w:pPr>
        <w:shd w:val="clear" w:color="auto" w:fill="FFFFFF"/>
        <w:spacing w:after="160"/>
        <w:ind w:left="720"/>
      </w:pPr>
      <w:r>
        <w:t>3.   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14:paraId="44F95DAD" w14:textId="77777777" w:rsidR="00837D06" w:rsidRDefault="00F109A5">
      <w:pPr>
        <w:shd w:val="clear" w:color="auto" w:fill="FFFFFF"/>
        <w:spacing w:after="160"/>
        <w:rPr>
          <w:b/>
        </w:rPr>
      </w:pPr>
      <w:r>
        <w:rPr>
          <w:b/>
        </w:rPr>
        <w:lastRenderedPageBreak/>
        <w:t>And Article 12 mandates that states’ parties promote and protect the highest standards of physical health including protection of the environment and the prevention and amelioration of pollution.</w:t>
      </w:r>
    </w:p>
    <w:p w14:paraId="2D8B88A5" w14:textId="77777777" w:rsidR="00837D06" w:rsidRDefault="00F109A5">
      <w:pPr>
        <w:shd w:val="clear" w:color="auto" w:fill="FFFFFF"/>
        <w:spacing w:after="160"/>
        <w:rPr>
          <w:b/>
          <w:i/>
        </w:rPr>
      </w:pPr>
      <w:r>
        <w:rPr>
          <w:b/>
          <w:i/>
        </w:rPr>
        <w:t>Article 12</w:t>
      </w:r>
    </w:p>
    <w:p w14:paraId="5D05F0C4" w14:textId="77777777" w:rsidR="00837D06" w:rsidRDefault="00F109A5">
      <w:pPr>
        <w:shd w:val="clear" w:color="auto" w:fill="FFFFFF"/>
        <w:spacing w:after="160"/>
        <w:ind w:left="720"/>
      </w:pPr>
      <w:r>
        <w:t>1.</w:t>
      </w:r>
      <w:r>
        <w:rPr>
          <w:sz w:val="14"/>
          <w:szCs w:val="14"/>
        </w:rPr>
        <w:t xml:space="preserve"> </w:t>
      </w:r>
      <w:r>
        <w:t>The States Parties to the present Covenant recognize the right of everyone to the enjoyment of the highest attainable standard of physical and mental health.</w:t>
      </w:r>
    </w:p>
    <w:p w14:paraId="47F26C57" w14:textId="77777777" w:rsidR="00837D06" w:rsidRDefault="00F109A5">
      <w:pPr>
        <w:shd w:val="clear" w:color="auto" w:fill="FFFFFF"/>
        <w:spacing w:after="160"/>
        <w:ind w:left="720"/>
      </w:pPr>
      <w:r>
        <w:t>2.</w:t>
      </w:r>
      <w:r>
        <w:rPr>
          <w:sz w:val="14"/>
          <w:szCs w:val="14"/>
        </w:rPr>
        <w:t xml:space="preserve"> </w:t>
      </w:r>
      <w:r>
        <w:t>The steps to be taken by the States Parties to the present Covenant to achieve the full realization of this right shall include those necessary for:</w:t>
      </w:r>
    </w:p>
    <w:p w14:paraId="3A3316FA" w14:textId="77777777" w:rsidR="00837D06" w:rsidRDefault="00F109A5">
      <w:pPr>
        <w:shd w:val="clear" w:color="auto" w:fill="FFFFFF"/>
        <w:spacing w:after="160"/>
      </w:pPr>
      <w:r>
        <w:t>(b) The improvement of all aspects of environmental and industrial hygiene;</w:t>
      </w:r>
    </w:p>
    <w:p w14:paraId="550558B3" w14:textId="77777777" w:rsidR="00837D06" w:rsidRDefault="00F109A5">
      <w:pPr>
        <w:shd w:val="clear" w:color="auto" w:fill="FFFFFF"/>
        <w:spacing w:after="160"/>
      </w:pPr>
      <w:r>
        <w:t>(c) The prevention, treatment and control of epidemic, endemic, occupational and other diseases;</w:t>
      </w:r>
    </w:p>
    <w:p w14:paraId="4928A9BD" w14:textId="77777777" w:rsidR="00837D06" w:rsidRDefault="00F109A5">
      <w:pPr>
        <w:shd w:val="clear" w:color="auto" w:fill="FFFFFF"/>
        <w:spacing w:after="160"/>
      </w:pPr>
      <w:r>
        <w:t>(d) The creation of conditions which would assure to all medical service and medical attention in the event of sickness.</w:t>
      </w:r>
    </w:p>
    <w:p w14:paraId="380481EA" w14:textId="77777777" w:rsidR="00837D06" w:rsidRDefault="00F109A5">
      <w:pPr>
        <w:spacing w:line="180" w:lineRule="auto"/>
      </w:pPr>
      <w:r>
        <w:t xml:space="preserve"> </w:t>
      </w:r>
    </w:p>
    <w:p w14:paraId="1FF8C813" w14:textId="77777777" w:rsidR="00837D06" w:rsidRDefault="00F109A5">
      <w:pPr>
        <w:ind w:right="-20"/>
        <w:rPr>
          <w:b/>
        </w:rPr>
      </w:pPr>
      <w:r>
        <w:rPr>
          <w:b/>
        </w:rPr>
        <w:t>The</w:t>
      </w:r>
      <w:r>
        <w:t xml:space="preserve"> </w:t>
      </w:r>
      <w:r>
        <w:rPr>
          <w:b/>
        </w:rPr>
        <w:t>Palestinian</w:t>
      </w:r>
      <w:r>
        <w:t xml:space="preserve"> </w:t>
      </w:r>
      <w:r>
        <w:rPr>
          <w:b/>
        </w:rPr>
        <w:t>Authority</w:t>
      </w:r>
      <w:r>
        <w:t xml:space="preserve"> </w:t>
      </w:r>
      <w:r>
        <w:rPr>
          <w:b/>
        </w:rPr>
        <w:t>has</w:t>
      </w:r>
      <w:r>
        <w:t xml:space="preserve"> </w:t>
      </w:r>
      <w:r>
        <w:rPr>
          <w:b/>
        </w:rPr>
        <w:t>extensively</w:t>
      </w:r>
      <w:r>
        <w:t xml:space="preserve"> </w:t>
      </w:r>
      <w:r>
        <w:rPr>
          <w:b/>
        </w:rPr>
        <w:t>violated</w:t>
      </w:r>
      <w:r>
        <w:t xml:space="preserve"> </w:t>
      </w:r>
      <w:r>
        <w:rPr>
          <w:b/>
        </w:rPr>
        <w:t>all</w:t>
      </w:r>
      <w:r>
        <w:t xml:space="preserve"> </w:t>
      </w:r>
      <w:r>
        <w:rPr>
          <w:b/>
        </w:rPr>
        <w:t>of</w:t>
      </w:r>
      <w:r>
        <w:t xml:space="preserve"> </w:t>
      </w:r>
      <w:r>
        <w:rPr>
          <w:b/>
        </w:rPr>
        <w:t>these</w:t>
      </w:r>
      <w:r>
        <w:t xml:space="preserve"> I</w:t>
      </w:r>
      <w:r>
        <w:rPr>
          <w:b/>
        </w:rPr>
        <w:t>CESCR</w:t>
      </w:r>
      <w:r>
        <w:t xml:space="preserve"> </w:t>
      </w:r>
      <w:r>
        <w:rPr>
          <w:b/>
        </w:rPr>
        <w:t>provisions.</w:t>
      </w:r>
    </w:p>
    <w:p w14:paraId="2620411E" w14:textId="77777777" w:rsidR="00837D06" w:rsidRDefault="00F109A5">
      <w:pPr>
        <w:spacing w:after="80"/>
      </w:pPr>
      <w:r>
        <w:t xml:space="preserve"> </w:t>
      </w:r>
    </w:p>
    <w:p w14:paraId="3E6EE8ED" w14:textId="77777777" w:rsidR="00837D06" w:rsidRDefault="00F109A5">
      <w:pPr>
        <w:ind w:right="-20"/>
        <w:rPr>
          <w:b/>
        </w:rPr>
      </w:pPr>
      <w:r>
        <w:rPr>
          <w:b/>
        </w:rPr>
        <w:t xml:space="preserve"> </w:t>
      </w:r>
    </w:p>
    <w:p w14:paraId="3FEA9B72" w14:textId="77777777" w:rsidR="00837D06" w:rsidRDefault="00F109A5">
      <w:pPr>
        <w:ind w:right="-20"/>
        <w:rPr>
          <w:b/>
        </w:rPr>
      </w:pPr>
      <w:r>
        <w:rPr>
          <w:b/>
        </w:rPr>
        <w:t xml:space="preserve"> </w:t>
      </w:r>
    </w:p>
    <w:p w14:paraId="265A4BF8" w14:textId="77777777" w:rsidR="00837D06" w:rsidRDefault="00F109A5">
      <w:pPr>
        <w:ind w:right="-20"/>
        <w:rPr>
          <w:b/>
        </w:rPr>
      </w:pPr>
      <w:r>
        <w:rPr>
          <w:b/>
        </w:rPr>
        <w:t xml:space="preserve"> </w:t>
      </w:r>
    </w:p>
    <w:p w14:paraId="71211D9E" w14:textId="77777777" w:rsidR="00837D06" w:rsidRDefault="00F109A5">
      <w:pPr>
        <w:ind w:right="-20"/>
        <w:rPr>
          <w:b/>
        </w:rPr>
      </w:pPr>
      <w:r>
        <w:rPr>
          <w:b/>
        </w:rPr>
        <w:t>The</w:t>
      </w:r>
      <w:r>
        <w:t xml:space="preserve"> </w:t>
      </w:r>
      <w:r>
        <w:rPr>
          <w:b/>
        </w:rPr>
        <w:t>Palestinian</w:t>
      </w:r>
      <w:r>
        <w:t xml:space="preserve"> </w:t>
      </w:r>
      <w:r>
        <w:rPr>
          <w:b/>
        </w:rPr>
        <w:t>Authority</w:t>
      </w:r>
      <w:r>
        <w:t xml:space="preserve"> </w:t>
      </w:r>
      <w:r>
        <w:rPr>
          <w:b/>
        </w:rPr>
        <w:t>Promotes</w:t>
      </w:r>
      <w:r>
        <w:t xml:space="preserve"> </w:t>
      </w:r>
      <w:r>
        <w:rPr>
          <w:b/>
        </w:rPr>
        <w:t>Hatred</w:t>
      </w:r>
      <w:r>
        <w:t xml:space="preserve"> </w:t>
      </w:r>
      <w:r>
        <w:rPr>
          <w:b/>
        </w:rPr>
        <w:t>and</w:t>
      </w:r>
      <w:r>
        <w:t xml:space="preserve"> </w:t>
      </w:r>
      <w:r>
        <w:rPr>
          <w:b/>
        </w:rPr>
        <w:t>Violence</w:t>
      </w:r>
      <w:r>
        <w:t xml:space="preserve"> </w:t>
      </w:r>
      <w:r>
        <w:rPr>
          <w:b/>
        </w:rPr>
        <w:t>Against</w:t>
      </w:r>
      <w:r>
        <w:t xml:space="preserve"> </w:t>
      </w:r>
      <w:r>
        <w:rPr>
          <w:b/>
        </w:rPr>
        <w:t>Jews</w:t>
      </w:r>
      <w:r>
        <w:t xml:space="preserve"> </w:t>
      </w:r>
      <w:r>
        <w:rPr>
          <w:b/>
        </w:rPr>
        <w:t>and</w:t>
      </w:r>
      <w:r>
        <w:t xml:space="preserve"> </w:t>
      </w:r>
      <w:r>
        <w:rPr>
          <w:b/>
        </w:rPr>
        <w:t>Israelis</w:t>
      </w:r>
    </w:p>
    <w:p w14:paraId="1E7A1CE7" w14:textId="77777777" w:rsidR="00837D06" w:rsidRDefault="00F109A5">
      <w:pPr>
        <w:spacing w:after="40"/>
      </w:pPr>
      <w:r>
        <w:t xml:space="preserve"> </w:t>
      </w:r>
    </w:p>
    <w:p w14:paraId="4DB38FFA" w14:textId="77777777" w:rsidR="00837D06" w:rsidRDefault="00F109A5">
      <w:pPr>
        <w:ind w:right="540"/>
      </w:pPr>
      <w:r>
        <w:t>Despite the clear obligations mandated by the ICESCR, the PA systematically promotes hatred and violent incitement against Jews and Israelis. Much of this campaign is aimed at poisoning the minds of children, inculcating antisemitic hatred. The PA floods Palestinian society with racist and antisemitic messages, encouraging participation in violence, and heroicizing those who engage in antisemitism and extreme violence. This program emphasizes the targeting of civilians. The PA also rewards via its “pay to slay” policy those who commit violence (including children) with cash payments. The greater the crime and the more victims injured or killed, the more money received. More than $300 million of humanitarian aid intended for social programs is diverted annually for this perverse scheme.</w:t>
      </w:r>
    </w:p>
    <w:p w14:paraId="7CA73D49" w14:textId="77777777" w:rsidR="00837D06" w:rsidRDefault="00F109A5">
      <w:pPr>
        <w:spacing w:after="40"/>
      </w:pPr>
      <w:r>
        <w:t xml:space="preserve"> </w:t>
      </w:r>
    </w:p>
    <w:p w14:paraId="36E7270F" w14:textId="77777777" w:rsidR="00837D06" w:rsidRDefault="00F109A5">
      <w:pPr>
        <w:ind w:right="780"/>
      </w:pPr>
      <w:r>
        <w:t>The campaign of discrimination and incitement begins from birth and continues throughout the entire life of a Palestinian. It takes place through state media, schools (including those run by UNWRA), youth groups and centers, sporting and cultural events, unions, and civil society programming in both the West Bank and Gaza.</w:t>
      </w:r>
    </w:p>
    <w:p w14:paraId="5CD248EF" w14:textId="77777777" w:rsidR="00837D06" w:rsidRDefault="00F109A5">
      <w:pPr>
        <w:spacing w:after="40"/>
      </w:pPr>
      <w:r>
        <w:t xml:space="preserve"> </w:t>
      </w:r>
    </w:p>
    <w:p w14:paraId="0A44D48A" w14:textId="77777777" w:rsidR="00837D06" w:rsidRDefault="00F109A5">
      <w:pPr>
        <w:spacing w:line="237" w:lineRule="auto"/>
        <w:ind w:right="780"/>
      </w:pPr>
      <w:r>
        <w:t>This campaign has been extensively documented by NGOs, governments, and international institutions. This submission highlights only a few examples of thousands of cases. The Institute for NGO Research hopes it can share this material and additional cases with the Committee in person during the Review of “Palestine”.</w:t>
      </w:r>
    </w:p>
    <w:p w14:paraId="0D9A7233" w14:textId="77777777" w:rsidR="00837D06" w:rsidRDefault="00F109A5">
      <w:pPr>
        <w:spacing w:after="40"/>
      </w:pPr>
      <w:r>
        <w:lastRenderedPageBreak/>
        <w:t xml:space="preserve"> </w:t>
      </w:r>
    </w:p>
    <w:p w14:paraId="791BCD9D" w14:textId="77777777" w:rsidR="00837D06" w:rsidRDefault="00F109A5">
      <w:pPr>
        <w:ind w:right="1140"/>
      </w:pPr>
      <w:r>
        <w:t>One such group examining PA incitement is the organization, IMPACT-se, a “research, policy and advocacy organization that monitors and analyzes education.” IMPACT-se conducts in-depth reviews and analyses of the Palestinian educational curriculum and textbooks. Its studies have documented significant incitement of Palestinian children. For example, IMPACT-se’s 2019 report, “</w:t>
      </w:r>
      <w:hyperlink r:id="rId7">
        <w:r>
          <w:rPr>
            <w:color w:val="1155CC"/>
            <w:u w:val="single"/>
          </w:rPr>
          <w:t>Wasatia Education: Exploring the Palestinian</w:t>
        </w:r>
      </w:hyperlink>
      <w:hyperlink r:id="rId8">
        <w:r>
          <w:t xml:space="preserve"> </w:t>
        </w:r>
      </w:hyperlink>
      <w:hyperlink r:id="rId9">
        <w:r>
          <w:rPr>
            <w:color w:val="1155CC"/>
            <w:u w:val="single"/>
          </w:rPr>
          <w:t>Curriculum</w:t>
        </w:r>
      </w:hyperlink>
      <w:hyperlink r:id="rId10">
        <w:r>
          <w:rPr>
            <w:u w:val="single"/>
          </w:rPr>
          <w:t>,</w:t>
        </w:r>
      </w:hyperlink>
      <w:r>
        <w:t>” details this campaign. Palestinian students are taught that “those who die as martyrs while fighting their enemies receive seventy-two virgin brides, among other rewards in paradise.” IMPACT-se explains that this idea does not exist in the Qur’an but “is falsely tied to the Qur’an’s Surah Muhammad [47], taught in a textbook on Islamic education.” Moreover, “no historical context or explanation is given to students.”</w:t>
      </w:r>
    </w:p>
    <w:p w14:paraId="3AABFDFE" w14:textId="77777777" w:rsidR="00837D06" w:rsidRDefault="00F109A5">
      <w:pPr>
        <w:spacing w:after="40"/>
      </w:pPr>
      <w:r>
        <w:t xml:space="preserve"> </w:t>
      </w:r>
    </w:p>
    <w:p w14:paraId="733BB9C9" w14:textId="77777777" w:rsidR="00837D06" w:rsidRDefault="00F109A5">
      <w:pPr>
        <w:ind w:right="640"/>
      </w:pPr>
      <w:r>
        <w:t>The Palestinian curriculum emphasizes “jihad” and singularly defines it as warfare. According to IMPACT-se, “The title, image and six Qur’anic verses are selected to support this interpretation without context. The content covers the psychological and practical dimensions of war. In this lesson students are encouraged to discuss the goals of militant jihad and the wonders of martyrs. No other interpretation of the meaning of jihad is offered.”</w:t>
      </w:r>
    </w:p>
    <w:p w14:paraId="55533CEB" w14:textId="77777777" w:rsidR="00837D06" w:rsidRDefault="00F109A5">
      <w:pPr>
        <w:spacing w:after="40"/>
      </w:pPr>
      <w:r>
        <w:t xml:space="preserve"> </w:t>
      </w:r>
    </w:p>
    <w:p w14:paraId="7554E899" w14:textId="77777777" w:rsidR="00837D06" w:rsidRDefault="00F109A5">
      <w:pPr>
        <w:ind w:right="740"/>
        <w:rPr>
          <w:sz w:val="40"/>
          <w:szCs w:val="40"/>
          <w:vertAlign w:val="superscript"/>
        </w:rPr>
      </w:pPr>
      <w:r>
        <w:t>IMPACT-se’s report further details how the Palestinian curriculum uses “subliminal violent messaging” in math, science, and other subjects. For example, Newton’s Second Law is taught “through the image of a boy with a slingshot targeting soldiers. In other words, to explain power, mass and tensile strength, circular motion and elastic energy are taught through the use of such slingshots.”</w:t>
      </w:r>
      <w:r>
        <w:rPr>
          <w:vertAlign w:val="superscript"/>
        </w:rPr>
        <w:footnoteReference w:id="2"/>
      </w:r>
    </w:p>
    <w:p w14:paraId="556C1EA1" w14:textId="77777777" w:rsidR="00837D06" w:rsidRDefault="00F109A5">
      <w:r>
        <w:t xml:space="preserve"> </w:t>
      </w:r>
    </w:p>
    <w:p w14:paraId="2FDFF9CE" w14:textId="77777777" w:rsidR="00837D06" w:rsidRDefault="00F109A5">
      <w:pPr>
        <w:ind w:right="780"/>
      </w:pPr>
      <w:r>
        <w:t>Palestinian Media Watch (PMW) is “an Israeli research institute that studies Palestinian society from a broad range of perspectives by monitoring and analyzing the Palestinian Authority through its media and schoolbooks.” It has documented hundreds of examples of official media promoting antisemitism, discrimination, and violent incitement and targeting such messages towards children.</w:t>
      </w:r>
    </w:p>
    <w:p w14:paraId="3E7F1C38" w14:textId="77777777" w:rsidR="00837D06" w:rsidRDefault="00F109A5">
      <w:pPr>
        <w:spacing w:after="40"/>
      </w:pPr>
      <w:r>
        <w:t xml:space="preserve"> </w:t>
      </w:r>
    </w:p>
    <w:p w14:paraId="2D6A55A7" w14:textId="66088F4A" w:rsidR="00837D06" w:rsidRDefault="00F109A5">
      <w:pPr>
        <w:ind w:right="740"/>
      </w:pPr>
      <w:r>
        <w:t>For instance, on March 18, 2019, on the official PA TV station, a Fatah official referred to two murderers who killed four Israelis as</w:t>
      </w:r>
      <w:hyperlink r:id="rId11">
        <w:r>
          <w:t xml:space="preserve"> </w:t>
        </w:r>
      </w:hyperlink>
      <w:hyperlink r:id="rId12">
        <w:r>
          <w:rPr>
            <w:u w:val="single"/>
          </w:rPr>
          <w:t>“</w:t>
        </w:r>
      </w:hyperlink>
      <w:hyperlink r:id="rId13">
        <w:r>
          <w:rPr>
            <w:color w:val="1155CC"/>
            <w:u w:val="single"/>
          </w:rPr>
          <w:t>the role models for the children</w:t>
        </w:r>
      </w:hyperlink>
      <w:r>
        <w:t>.” On May 29, 2017, the</w:t>
      </w:r>
      <w:hyperlink r:id="rId14">
        <w:r>
          <w:t xml:space="preserve"> </w:t>
        </w:r>
      </w:hyperlink>
      <w:hyperlink r:id="rId15">
        <w:r>
          <w:rPr>
            <w:color w:val="1155CC"/>
            <w:u w:val="single"/>
          </w:rPr>
          <w:t>Al-Huda Kindergarten YouTube Channel</w:t>
        </w:r>
      </w:hyperlink>
      <w:r>
        <w:rPr>
          <w:color w:val="1155CC"/>
        </w:rPr>
        <w:t xml:space="preserve"> </w:t>
      </w:r>
      <w:r>
        <w:t>featured a video of the graduation ceremony of the kindergar</w:t>
      </w:r>
      <w:r w:rsidR="00530A08">
        <w:t>t</w:t>
      </w:r>
      <w:r>
        <w:t>en in Gaza, which is affiliated with the Palestinian Islamic Jihad</w:t>
      </w:r>
    </w:p>
    <w:p w14:paraId="6364C22E" w14:textId="77777777" w:rsidR="00837D06" w:rsidRDefault="00837D06"/>
    <w:p w14:paraId="2B7A48BC" w14:textId="77777777" w:rsidR="00837D06" w:rsidRDefault="00F109A5">
      <w:pPr>
        <w:ind w:right="560"/>
      </w:pPr>
      <w:r>
        <w:t xml:space="preserve">terror group. The children in the performance are seen “armed with toy weapons and wearing military uniforms and Islamic Jihad headbands. They simulate killing other children playing Israeli soldiers dressed as ultra-Orthodox Jews and abducting their </w:t>
      </w:r>
      <w:r>
        <w:lastRenderedPageBreak/>
        <w:t>bodies, after the ‘Israeli soldiers’ attacked children playing Palestinian civilians.” A Hamas song in Hebrew is playing in the background, with lyrics including “O Zionist, a rocket will reach you where you live… I will make you drink the cup of death.”</w:t>
      </w:r>
    </w:p>
    <w:p w14:paraId="0D452EF7" w14:textId="77777777" w:rsidR="00837D06" w:rsidRDefault="00F109A5">
      <w:pPr>
        <w:spacing w:after="40"/>
      </w:pPr>
      <w:r>
        <w:t xml:space="preserve"> </w:t>
      </w:r>
    </w:p>
    <w:p w14:paraId="322764F7" w14:textId="77777777" w:rsidR="00837D06" w:rsidRDefault="00F109A5">
      <w:pPr>
        <w:ind w:right="1080"/>
      </w:pPr>
      <w:r>
        <w:t>PMW also shows that o</w:t>
      </w:r>
      <w:hyperlink r:id="rId16">
        <w:r>
          <w:rPr>
            <w:color w:val="1155CC"/>
            <w:u w:val="single"/>
          </w:rPr>
          <w:t>fficial PA media regularly posts pictures of children with assault</w:t>
        </w:r>
      </w:hyperlink>
      <w:hyperlink r:id="rId17">
        <w:r>
          <w:t xml:space="preserve"> </w:t>
        </w:r>
      </w:hyperlink>
      <w:hyperlink r:id="rId18">
        <w:r>
          <w:rPr>
            <w:color w:val="1155CC"/>
            <w:u w:val="single"/>
          </w:rPr>
          <w:t>rifles</w:t>
        </w:r>
      </w:hyperlink>
      <w:r>
        <w:t>.</w:t>
      </w:r>
    </w:p>
    <w:p w14:paraId="2C592A27" w14:textId="77777777" w:rsidR="00837D06" w:rsidRDefault="00F109A5">
      <w:pPr>
        <w:spacing w:after="40"/>
      </w:pPr>
      <w:r>
        <w:t xml:space="preserve"> </w:t>
      </w:r>
    </w:p>
    <w:p w14:paraId="73B2EC83" w14:textId="77777777" w:rsidR="00837D06" w:rsidRDefault="00F109A5">
      <w:pPr>
        <w:ind w:right="700"/>
      </w:pPr>
      <w:r>
        <w:t>The PA also</w:t>
      </w:r>
      <w:hyperlink r:id="rId19">
        <w:r>
          <w:t xml:space="preserve"> </w:t>
        </w:r>
      </w:hyperlink>
      <w:hyperlink r:id="rId20">
        <w:r>
          <w:rPr>
            <w:color w:val="1155CC"/>
            <w:u w:val="single"/>
          </w:rPr>
          <w:t>glorifies child terrorists</w:t>
        </w:r>
      </w:hyperlink>
      <w:r>
        <w:t>, encouraging other youth to follow their example. For example, Ahmad Manasrah, a 13-year-old who “stabbed and almost killed a 13-year-old Israeli boy. Manasrah had a school football tournament named after him, in which many PA schools participated. Such a tournament gives Palestinian children of the same age as the terrorist a clear idea of who their role model should be and who they should imitate.”</w:t>
      </w:r>
    </w:p>
    <w:p w14:paraId="32284F55" w14:textId="77777777" w:rsidR="00837D06" w:rsidRDefault="00F109A5">
      <w:pPr>
        <w:spacing w:after="40"/>
      </w:pPr>
      <w:r>
        <w:t xml:space="preserve"> </w:t>
      </w:r>
    </w:p>
    <w:p w14:paraId="4F783F87" w14:textId="77777777" w:rsidR="00837D06" w:rsidRDefault="00F109A5">
      <w:pPr>
        <w:ind w:right="700"/>
      </w:pPr>
      <w:r>
        <w:t>On April 6, 2018, the</w:t>
      </w:r>
      <w:hyperlink r:id="rId21">
        <w:r>
          <w:t xml:space="preserve"> </w:t>
        </w:r>
      </w:hyperlink>
      <w:hyperlink r:id="rId22">
        <w:r>
          <w:rPr>
            <w:u w:val="single"/>
          </w:rPr>
          <w:t>P</w:t>
        </w:r>
      </w:hyperlink>
      <w:hyperlink r:id="rId23">
        <w:r>
          <w:rPr>
            <w:color w:val="1155CC"/>
            <w:u w:val="single"/>
          </w:rPr>
          <w:t>A celebrated the “participation” of a six-month-old baby in the</w:t>
        </w:r>
      </w:hyperlink>
      <w:hyperlink r:id="rId24">
        <w:r>
          <w:t xml:space="preserve"> </w:t>
        </w:r>
      </w:hyperlink>
      <w:hyperlink r:id="rId25">
        <w:r>
          <w:rPr>
            <w:color w:val="1155CC"/>
            <w:u w:val="single"/>
          </w:rPr>
          <w:t>violence along the Israel-Gaza border</w:t>
        </w:r>
      </w:hyperlink>
      <w:r>
        <w:t>. The Official Fatah Facebook page posted a picture of the infant in a pile tires with the caption “a child no older than six months was among participants in the demonstrations today (Friday) and in the March of Return events on the eastern border of the Gaza Strip.”</w:t>
      </w:r>
    </w:p>
    <w:p w14:paraId="5329FB1A" w14:textId="77777777" w:rsidR="00837D06" w:rsidRDefault="00F109A5">
      <w:r>
        <w:t xml:space="preserve"> </w:t>
      </w:r>
    </w:p>
    <w:p w14:paraId="0C930537" w14:textId="77777777" w:rsidR="00837D06" w:rsidRDefault="00F109A5">
      <w:pPr>
        <w:ind w:right="760"/>
      </w:pPr>
      <w:r>
        <w:t>PMW also reported that in March 2019, the</w:t>
      </w:r>
      <w:hyperlink r:id="rId26">
        <w:r>
          <w:t xml:space="preserve"> </w:t>
        </w:r>
      </w:hyperlink>
      <w:hyperlink r:id="rId27">
        <w:r>
          <w:rPr>
            <w:color w:val="1155CC"/>
            <w:u w:val="single"/>
          </w:rPr>
          <w:t>Beitunia Upper Elementary School for Girls</w:t>
        </w:r>
      </w:hyperlink>
      <w:hyperlink r:id="rId28">
        <w:r>
          <w:t xml:space="preserve"> </w:t>
        </w:r>
      </w:hyperlink>
      <w:hyperlink r:id="rId29">
        <w:r>
          <w:rPr>
            <w:color w:val="1155CC"/>
            <w:u w:val="single"/>
          </w:rPr>
          <w:t>hosted a sports festival that was named after Dalal Mughrabi</w:t>
        </w:r>
      </w:hyperlink>
      <w:hyperlink r:id="rId30">
        <w:r>
          <w:rPr>
            <w:u w:val="single"/>
          </w:rPr>
          <w:t>,</w:t>
        </w:r>
      </w:hyperlink>
      <w:r>
        <w:t xml:space="preserve"> a terrorist who murdered 37 Israeli civilians, including 12 children, in a 1978 terror attack. The school’s Facebook page featured a picture of girls at the event wearing t-shirts with an image of the terrorist. The photo’s caption read “With considerable creativity, the events of the Dalal Mughrabi Sports Festival took place today [March 13, 2019] in the presence of Director of the Education Directorate, brother Bassem Erekat, District Governor of Ramallah and El-Bireh Laila Ghannam, and Beitunia Mayor brother Ribhi Dawla.”</w:t>
      </w:r>
    </w:p>
    <w:p w14:paraId="7F3BD09D" w14:textId="77777777" w:rsidR="00837D06" w:rsidRDefault="00F109A5">
      <w:r>
        <w:t xml:space="preserve"> </w:t>
      </w:r>
    </w:p>
    <w:p w14:paraId="34BF1BBC" w14:textId="77777777" w:rsidR="00837D06" w:rsidRDefault="00F109A5">
      <w:pPr>
        <w:ind w:right="1360"/>
      </w:pPr>
      <w:r>
        <w:t>PMW further explains that the PA has named</w:t>
      </w:r>
      <w:hyperlink r:id="rId31">
        <w:r>
          <w:t xml:space="preserve"> </w:t>
        </w:r>
      </w:hyperlink>
      <w:hyperlink r:id="rId32">
        <w:r>
          <w:rPr>
            <w:color w:val="1155CC"/>
            <w:u w:val="single"/>
          </w:rPr>
          <w:t>32 schools after Dalal Mugrahbi.</w:t>
        </w:r>
      </w:hyperlink>
      <w:r>
        <w:rPr>
          <w:color w:val="1155CC"/>
        </w:rPr>
        <w:t xml:space="preserve"> </w:t>
      </w:r>
      <w:r>
        <w:t>A PA schoolbook also refers to her as a hero:</w:t>
      </w:r>
    </w:p>
    <w:p w14:paraId="2297C926" w14:textId="77777777" w:rsidR="00837D06" w:rsidRDefault="00F109A5">
      <w:pPr>
        <w:spacing w:after="40"/>
      </w:pPr>
      <w:r>
        <w:t xml:space="preserve"> </w:t>
      </w:r>
    </w:p>
    <w:p w14:paraId="340C8614" w14:textId="77777777" w:rsidR="00837D06" w:rsidRDefault="00F109A5">
      <w:pPr>
        <w:ind w:left="720" w:right="540"/>
      </w:pPr>
      <w:r>
        <w:t xml:space="preserve">“Heroes have an important position in every nation… Every nation is prouder the more heroes it has, and the people – even if they are divided over many things – they all agree regarding the pride in their heroes, because without them the nation would be degraded… We are proud of them, sing their praise, learn the history of their lives, name our children after them, and name streets, squares, and prominent cultural sites after them… every one of us wishes to be like them… Thus they created a glorious history for the nation – they are the heroes. Who among us has forgotten… Dalal Mughrabi, Yasser Arafat, and others among those moons that never set [but] illuminate the darkness of our dark nights? Our great homeland embraces all of them… These heroes are the crown of their nation, they are a symbol of its glory, they are the best of the best, the best of the noble people. They took their lives in their hands and threw them </w:t>
      </w:r>
      <w:r>
        <w:lastRenderedPageBreak/>
        <w:t>at the dangers… Therefore they are worthy of being heroes, commemorated by history, and their memory will remain as a musk perfume that spreads its scent. Bravo to the heroes, and scorn to the cowards!” [PA 5th Grade Arabic Language Textbook, Part A, (August 2017), pp 13 -14]</w:t>
      </w:r>
    </w:p>
    <w:p w14:paraId="5F808DD9" w14:textId="77777777" w:rsidR="00837D06" w:rsidRDefault="00F109A5">
      <w:pPr>
        <w:spacing w:after="40"/>
      </w:pPr>
      <w:r>
        <w:t xml:space="preserve"> </w:t>
      </w:r>
    </w:p>
    <w:p w14:paraId="61CE9CD7" w14:textId="77777777" w:rsidR="00837D06" w:rsidRDefault="00F109A5">
      <w:pPr>
        <w:ind w:right="1160"/>
      </w:pPr>
      <w:r>
        <w:t>In January 2017, Official PA TV featured a youn</w:t>
      </w:r>
      <w:hyperlink r:id="rId33">
        <w:r>
          <w:t xml:space="preserve">g </w:t>
        </w:r>
      </w:hyperlink>
      <w:hyperlink r:id="rId34">
        <w:r>
          <w:rPr>
            <w:color w:val="1155CC"/>
            <w:u w:val="single"/>
          </w:rPr>
          <w:t>boy reciting a poem encouraging the</w:t>
        </w:r>
      </w:hyperlink>
      <w:hyperlink r:id="rId35">
        <w:r>
          <w:t xml:space="preserve"> </w:t>
        </w:r>
      </w:hyperlink>
      <w:hyperlink r:id="rId36">
        <w:r>
          <w:rPr>
            <w:color w:val="1155CC"/>
            <w:u w:val="single"/>
          </w:rPr>
          <w:t>“slaughter” of Israelis and glorifying death</w:t>
        </w:r>
      </w:hyperlink>
      <w:r>
        <w:t>.</w:t>
      </w:r>
      <w:hyperlink r:id="rId37">
        <w:r>
          <w:t xml:space="preserve"> </w:t>
        </w:r>
      </w:hyperlink>
      <w:hyperlink r:id="rId38">
        <w:r>
          <w:rPr>
            <w:color w:val="1155CC"/>
            <w:u w:val="single"/>
          </w:rPr>
          <w:t>PMW’s website</w:t>
        </w:r>
      </w:hyperlink>
      <w:r>
        <w:rPr>
          <w:color w:val="1155CC"/>
        </w:rPr>
        <w:t xml:space="preserve"> </w:t>
      </w:r>
      <w:r>
        <w:t>contains countless other examples of Official PA media glorifying child soldiers and inciting Palestinian youth.</w:t>
      </w:r>
    </w:p>
    <w:p w14:paraId="65522960" w14:textId="21866DB5" w:rsidR="00837D06" w:rsidRPr="00530A08" w:rsidRDefault="00F109A5" w:rsidP="00530A08">
      <w:pPr>
        <w:spacing w:after="40"/>
      </w:pPr>
      <w:r>
        <w:t xml:space="preserve"> </w:t>
      </w:r>
    </w:p>
    <w:p w14:paraId="1C0A2FF4" w14:textId="77777777" w:rsidR="00837D06" w:rsidRDefault="00F109A5">
      <w:pPr>
        <w:ind w:right="-20"/>
        <w:rPr>
          <w:b/>
        </w:rPr>
      </w:pPr>
      <w:r>
        <w:rPr>
          <w:b/>
        </w:rPr>
        <w:t>The</w:t>
      </w:r>
      <w:r>
        <w:t xml:space="preserve"> </w:t>
      </w:r>
      <w:r>
        <w:rPr>
          <w:b/>
        </w:rPr>
        <w:t>PA</w:t>
      </w:r>
      <w:r>
        <w:t xml:space="preserve"> </w:t>
      </w:r>
      <w:r>
        <w:rPr>
          <w:b/>
        </w:rPr>
        <w:t>Promotes</w:t>
      </w:r>
      <w:r>
        <w:t xml:space="preserve"> </w:t>
      </w:r>
      <w:r>
        <w:rPr>
          <w:b/>
        </w:rPr>
        <w:t>the</w:t>
      </w:r>
      <w:r>
        <w:t xml:space="preserve"> </w:t>
      </w:r>
      <w:r>
        <w:rPr>
          <w:b/>
        </w:rPr>
        <w:t>Recruitment</w:t>
      </w:r>
      <w:r>
        <w:t xml:space="preserve"> </w:t>
      </w:r>
      <w:r>
        <w:rPr>
          <w:b/>
        </w:rPr>
        <w:t>and</w:t>
      </w:r>
      <w:r>
        <w:t xml:space="preserve"> </w:t>
      </w:r>
      <w:r>
        <w:rPr>
          <w:b/>
        </w:rPr>
        <w:t>Use</w:t>
      </w:r>
      <w:r>
        <w:t xml:space="preserve"> </w:t>
      </w:r>
      <w:r>
        <w:rPr>
          <w:b/>
        </w:rPr>
        <w:t>of</w:t>
      </w:r>
      <w:r>
        <w:t xml:space="preserve"> </w:t>
      </w:r>
      <w:r>
        <w:rPr>
          <w:b/>
        </w:rPr>
        <w:t>Children</w:t>
      </w:r>
      <w:r>
        <w:t xml:space="preserve"> </w:t>
      </w:r>
      <w:r>
        <w:rPr>
          <w:b/>
        </w:rPr>
        <w:t>for</w:t>
      </w:r>
      <w:r>
        <w:t xml:space="preserve"> </w:t>
      </w:r>
      <w:r>
        <w:rPr>
          <w:b/>
        </w:rPr>
        <w:t>Antisemitic</w:t>
      </w:r>
      <w:r>
        <w:t xml:space="preserve"> </w:t>
      </w:r>
      <w:r>
        <w:rPr>
          <w:b/>
        </w:rPr>
        <w:t>Violence</w:t>
      </w:r>
    </w:p>
    <w:p w14:paraId="4DDE6294" w14:textId="77777777" w:rsidR="00837D06" w:rsidRDefault="00F109A5">
      <w:pPr>
        <w:spacing w:after="40"/>
      </w:pPr>
      <w:r>
        <w:t xml:space="preserve"> </w:t>
      </w:r>
    </w:p>
    <w:p w14:paraId="6778B7C8" w14:textId="77777777" w:rsidR="00837D06" w:rsidRDefault="00F109A5">
      <w:pPr>
        <w:ind w:right="780"/>
      </w:pPr>
      <w:r>
        <w:t>Yet, the recruitment and use of Palestinian children to carry out acts of antisemitic violence by the PA is endemic.</w:t>
      </w:r>
    </w:p>
    <w:p w14:paraId="1D2F62B4" w14:textId="77777777" w:rsidR="00837D06" w:rsidRDefault="00F109A5">
      <w:pPr>
        <w:spacing w:after="40"/>
      </w:pPr>
      <w:r>
        <w:t xml:space="preserve"> </w:t>
      </w:r>
    </w:p>
    <w:p w14:paraId="3DEA4E36" w14:textId="77777777" w:rsidR="00837D06" w:rsidRDefault="00F109A5">
      <w:pPr>
        <w:ind w:right="560"/>
      </w:pPr>
      <w:r>
        <w:t>The ruling Fatah party’s Tanzim and the Al-Aqsa Martyrs’ Brigades recruit and use children as combatants. Many other organizations in and members of the PA, the Palestinian Legislative Council, and the Palestine Liberation Organization are part of Palestinian terror groups such as Hamas, the Popular Front for the Liberation of Palestine (PFLP), the DFLP, and others. The PA routinely allows armed groups to recruit on school campuses under the guise of carrying out “social programs.” Such activity allows vulnerable children to be placed in contact with violent actors, placing them at risk for recruitment.</w:t>
      </w:r>
    </w:p>
    <w:p w14:paraId="60C737A5" w14:textId="77777777" w:rsidR="00837D06" w:rsidRDefault="00F109A5">
      <w:pPr>
        <w:spacing w:after="40"/>
      </w:pPr>
      <w:r>
        <w:t xml:space="preserve"> </w:t>
      </w:r>
    </w:p>
    <w:p w14:paraId="55AEA076" w14:textId="77777777" w:rsidR="00837D06" w:rsidRDefault="00F109A5">
      <w:pPr>
        <w:ind w:right="640"/>
      </w:pPr>
      <w:r>
        <w:t>Children have been recruited and used throughout the history of the Palestinians’ war with Israel. Violence on the Israel-Gaza border, which began in March 2018, is the latest example of this phenomenon. From the outset, children were recruited by PA-affiliated and other Palestinian armed groups. A Facebook post written by the organizers of the border riots, for instance, calls on</w:t>
      </w:r>
      <w:hyperlink r:id="rId39">
        <w:r>
          <w:t xml:space="preserve"> </w:t>
        </w:r>
      </w:hyperlink>
      <w:hyperlink r:id="rId40">
        <w:r>
          <w:rPr>
            <w:color w:val="1155CC"/>
            <w:u w:val="single"/>
          </w:rPr>
          <w:t>youth to participate in terror</w:t>
        </w:r>
      </w:hyperlink>
      <w:r>
        <w:t>, stating:</w:t>
      </w:r>
    </w:p>
    <w:p w14:paraId="274EC1CF" w14:textId="77777777" w:rsidR="00837D06" w:rsidRDefault="00F109A5">
      <w:pPr>
        <w:spacing w:after="40"/>
      </w:pPr>
      <w:r>
        <w:t xml:space="preserve"> </w:t>
      </w:r>
    </w:p>
    <w:p w14:paraId="136DEE1B" w14:textId="77777777" w:rsidR="00837D06" w:rsidRDefault="00F109A5">
      <w:pPr>
        <w:ind w:left="720" w:right="660"/>
      </w:pPr>
      <w:r>
        <w:t>“Rebelling young people, Treat seriously and do not take lightly the requests to bring a knife, dagger, or handgun, if you have one, and to leave them under your clothes and not use them or show them, except if you identify one of the [Israeli] soldiers or settlers. Do not kill Israeli civilians, instead hand them over to the resistance</w:t>
      </w:r>
    </w:p>
    <w:p w14:paraId="7B54355B" w14:textId="77777777" w:rsidR="00837D06" w:rsidRDefault="00F109A5">
      <w:pPr>
        <w:ind w:left="720" w:right="860"/>
      </w:pPr>
      <w:r>
        <w:t>immediately, because this is the point that Israel fears, as it knows that the capturer can set any condition he wants.”</w:t>
      </w:r>
    </w:p>
    <w:p w14:paraId="688FE30F" w14:textId="77777777" w:rsidR="00837D06" w:rsidRDefault="00F109A5">
      <w:pPr>
        <w:spacing w:after="40"/>
      </w:pPr>
      <w:r>
        <w:t xml:space="preserve"> </w:t>
      </w:r>
    </w:p>
    <w:p w14:paraId="7306B227" w14:textId="77777777" w:rsidR="00837D06" w:rsidRDefault="00F109A5">
      <w:pPr>
        <w:ind w:right="700"/>
      </w:pPr>
      <w:r>
        <w:t>Another example is a music video broadcast numerous times on official PA TV, which highlights as a role model 17-year-old f</w:t>
      </w:r>
      <w:hyperlink r:id="rId41">
        <w:r>
          <w:rPr>
            <w:color w:val="1155CC"/>
            <w:u w:val="single"/>
          </w:rPr>
          <w:t>emale suicide bomber</w:t>
        </w:r>
      </w:hyperlink>
      <w:r>
        <w:rPr>
          <w:color w:val="1155CC"/>
        </w:rPr>
        <w:t xml:space="preserve"> </w:t>
      </w:r>
      <w:r>
        <w:t>Ayyat Al-Akhras, and promotes death as a Martyr for Al-Aqsa: ‘God, grant us Martyrdom... A million grooms and brides... have written the marriage contract in blood.’”</w:t>
      </w:r>
    </w:p>
    <w:p w14:paraId="62ED7E19" w14:textId="77777777" w:rsidR="00837D06" w:rsidRDefault="00F109A5">
      <w:pPr>
        <w:spacing w:after="40"/>
      </w:pPr>
      <w:r>
        <w:t xml:space="preserve"> </w:t>
      </w:r>
    </w:p>
    <w:p w14:paraId="4C0B6FB4" w14:textId="77777777" w:rsidR="00837D06" w:rsidRDefault="00F109A5">
      <w:pPr>
        <w:ind w:right="560"/>
      </w:pPr>
      <w:r>
        <w:lastRenderedPageBreak/>
        <w:t>In April 2017, a PA TV show featured a girl instructing other kids to aim to kill and be killed, stating, “Shoot, shoot, in the name of God. The path of th</w:t>
      </w:r>
      <w:hyperlink r:id="rId42">
        <w:r>
          <w:t xml:space="preserve">e </w:t>
        </w:r>
      </w:hyperlink>
      <w:hyperlink r:id="rId43">
        <w:r>
          <w:rPr>
            <w:color w:val="1155CC"/>
            <w:u w:val="single"/>
          </w:rPr>
          <w:t>Martyrs</w:t>
        </w:r>
      </w:hyperlink>
      <w:r>
        <w:rPr>
          <w:color w:val="1155CC"/>
        </w:rPr>
        <w:t xml:space="preserve"> </w:t>
      </w:r>
      <w:r>
        <w:t>is above all.”</w:t>
      </w:r>
    </w:p>
    <w:p w14:paraId="6DC9386F" w14:textId="77777777" w:rsidR="00837D06" w:rsidRDefault="00F109A5">
      <w:pPr>
        <w:spacing w:after="40"/>
      </w:pPr>
      <w:r>
        <w:t xml:space="preserve"> </w:t>
      </w:r>
    </w:p>
    <w:p w14:paraId="5B86F7AE" w14:textId="77777777" w:rsidR="00837D06" w:rsidRDefault="00F109A5">
      <w:pPr>
        <w:ind w:right="700"/>
      </w:pPr>
      <w:r>
        <w:t>Furthermore, according to PMW, “the official PA news agency WAFA lauded dead</w:t>
      </w:r>
      <w:hyperlink r:id="rId44">
        <w:r>
          <w:t xml:space="preserve"> </w:t>
        </w:r>
      </w:hyperlink>
      <w:hyperlink r:id="rId45">
        <w:r>
          <w:rPr>
            <w:color w:val="1155CC"/>
            <w:u w:val="single"/>
          </w:rPr>
          <w:t>teenage</w:t>
        </w:r>
      </w:hyperlink>
      <w:hyperlink r:id="rId46">
        <w:r>
          <w:t xml:space="preserve"> </w:t>
        </w:r>
      </w:hyperlink>
      <w:hyperlink r:id="rId47">
        <w:r>
          <w:rPr>
            <w:color w:val="1155CC"/>
            <w:u w:val="single"/>
          </w:rPr>
          <w:t>terrorists</w:t>
        </w:r>
      </w:hyperlink>
      <w:r>
        <w:rPr>
          <w:color w:val="1155CC"/>
        </w:rPr>
        <w:t xml:space="preserve"> </w:t>
      </w:r>
      <w:r>
        <w:t>for achieving ‘Martyrdom’ (Shahada) rather than graduating with a matriculation exam certificate (also in Arabic Shahada.).”</w:t>
      </w:r>
    </w:p>
    <w:p w14:paraId="63D8A3B4" w14:textId="77777777" w:rsidR="00837D06" w:rsidRDefault="00F109A5">
      <w:r>
        <w:t xml:space="preserve"> </w:t>
      </w:r>
    </w:p>
    <w:p w14:paraId="090D13E6" w14:textId="77777777" w:rsidR="00837D06" w:rsidRDefault="00F109A5">
      <w:pPr>
        <w:spacing w:after="80"/>
      </w:pPr>
      <w:r>
        <w:t xml:space="preserve"> </w:t>
      </w:r>
    </w:p>
    <w:p w14:paraId="55C11A6C" w14:textId="77777777" w:rsidR="00837D06" w:rsidRDefault="00F109A5">
      <w:pPr>
        <w:ind w:right="-20"/>
        <w:rPr>
          <w:b/>
        </w:rPr>
      </w:pPr>
      <w:r>
        <w:rPr>
          <w:b/>
        </w:rPr>
        <w:t>Incitement,</w:t>
      </w:r>
      <w:r>
        <w:t xml:space="preserve"> </w:t>
      </w:r>
      <w:r>
        <w:rPr>
          <w:b/>
        </w:rPr>
        <w:t>Recruitment</w:t>
      </w:r>
      <w:r>
        <w:t xml:space="preserve"> </w:t>
      </w:r>
      <w:r>
        <w:rPr>
          <w:b/>
        </w:rPr>
        <w:t>and</w:t>
      </w:r>
      <w:r>
        <w:t xml:space="preserve"> </w:t>
      </w:r>
      <w:r>
        <w:rPr>
          <w:b/>
        </w:rPr>
        <w:t>Use</w:t>
      </w:r>
      <w:r>
        <w:t xml:space="preserve"> </w:t>
      </w:r>
      <w:r>
        <w:rPr>
          <w:b/>
        </w:rPr>
        <w:t>by</w:t>
      </w:r>
      <w:r>
        <w:t xml:space="preserve"> </w:t>
      </w:r>
      <w:r>
        <w:rPr>
          <w:b/>
        </w:rPr>
        <w:t>Palestinian</w:t>
      </w:r>
      <w:r>
        <w:t xml:space="preserve"> </w:t>
      </w:r>
      <w:r>
        <w:rPr>
          <w:b/>
        </w:rPr>
        <w:t>Armed</w:t>
      </w:r>
      <w:r>
        <w:t xml:space="preserve"> </w:t>
      </w:r>
      <w:r>
        <w:rPr>
          <w:b/>
        </w:rPr>
        <w:t>Groups</w:t>
      </w:r>
      <w:r>
        <w:t xml:space="preserve"> </w:t>
      </w:r>
      <w:r>
        <w:rPr>
          <w:b/>
        </w:rPr>
        <w:t>Allowed</w:t>
      </w:r>
      <w:r>
        <w:t xml:space="preserve"> </w:t>
      </w:r>
      <w:r>
        <w:rPr>
          <w:b/>
        </w:rPr>
        <w:t>by</w:t>
      </w:r>
      <w:r>
        <w:t xml:space="preserve"> </w:t>
      </w:r>
      <w:r>
        <w:rPr>
          <w:b/>
        </w:rPr>
        <w:t>the</w:t>
      </w:r>
      <w:r>
        <w:t xml:space="preserve"> </w:t>
      </w:r>
      <w:r>
        <w:rPr>
          <w:b/>
        </w:rPr>
        <w:t>PA</w:t>
      </w:r>
    </w:p>
    <w:p w14:paraId="6C1F8017" w14:textId="77777777" w:rsidR="00837D06" w:rsidRDefault="00F109A5">
      <w:pPr>
        <w:spacing w:after="40"/>
      </w:pPr>
      <w:r>
        <w:t xml:space="preserve"> </w:t>
      </w:r>
    </w:p>
    <w:p w14:paraId="0F81F0EA" w14:textId="77777777" w:rsidR="00837D06" w:rsidRDefault="00F109A5">
      <w:pPr>
        <w:ind w:right="680"/>
      </w:pPr>
      <w:r>
        <w:t>Not only does the PA extensively participate in recruitment and use of children for violence, it also does nothing to prevent incitement campaigns and recruitment and use by Hamas, Islamic Jihad, PFLP, and other Palestinian armed groups. Failure to prevent these activities is a violation of the PA’s obligations under the ICESCR.</w:t>
      </w:r>
    </w:p>
    <w:p w14:paraId="0703EC8C" w14:textId="77777777" w:rsidR="00837D06" w:rsidRDefault="00F109A5">
      <w:pPr>
        <w:spacing w:after="40"/>
      </w:pPr>
      <w:r>
        <w:t xml:space="preserve"> </w:t>
      </w:r>
    </w:p>
    <w:p w14:paraId="3C96586E" w14:textId="77777777" w:rsidR="00837D06" w:rsidRDefault="00F109A5">
      <w:pPr>
        <w:ind w:right="740"/>
      </w:pPr>
      <w:r>
        <w:t>The following are only a few of the many examples of incitement and child recruitment and use by Palestinian armed groups.</w:t>
      </w:r>
    </w:p>
    <w:p w14:paraId="6ECB35D2" w14:textId="77777777" w:rsidR="00837D06" w:rsidRDefault="00F109A5">
      <w:pPr>
        <w:spacing w:after="40"/>
      </w:pPr>
      <w:r>
        <w:t xml:space="preserve"> </w:t>
      </w:r>
    </w:p>
    <w:p w14:paraId="04DCAC88" w14:textId="77777777" w:rsidR="00837D06" w:rsidRDefault="00F109A5">
      <w:pPr>
        <w:ind w:right="740"/>
      </w:pPr>
      <w:r>
        <w:t>For instance, in August 2014, the PFLP terror group launched the</w:t>
      </w:r>
      <w:hyperlink r:id="rId48">
        <w:r>
          <w:t xml:space="preserve"> </w:t>
        </w:r>
      </w:hyperlink>
      <w:hyperlink r:id="rId49">
        <w:r>
          <w:rPr>
            <w:u w:val="single"/>
          </w:rPr>
          <w:t>“</w:t>
        </w:r>
      </w:hyperlink>
      <w:hyperlink r:id="rId50">
        <w:r>
          <w:rPr>
            <w:color w:val="1155CC"/>
            <w:u w:val="single"/>
          </w:rPr>
          <w:t>we are all resistance</w:t>
        </w:r>
      </w:hyperlink>
      <w:r>
        <w:t>” campaign to provide “psychosocial support for children in shelters and distribution of aid to displaced people” in Gaza.” Members of the campaign visited UNRWA schools, with the PFLP “volunteers” working to support a collective vision of resistance.” This campaign placed vulnerable children in proximity to terror operatives and was clearly aimed at recruiting children to the PFLP.</w:t>
      </w:r>
    </w:p>
    <w:p w14:paraId="20D39EF9" w14:textId="77777777" w:rsidR="00837D06" w:rsidRDefault="00F109A5">
      <w:r>
        <w:rPr>
          <w:noProof/>
          <w:lang w:val="en-GB" w:eastAsia="en-GB" w:bidi="ar-SA"/>
        </w:rPr>
        <w:drawing>
          <wp:anchor distT="114300" distB="114300" distL="114300" distR="114300" simplePos="0" relativeHeight="251658240" behindDoc="1" locked="0" layoutInCell="1" hidden="0" allowOverlap="1" wp14:anchorId="6C3D759E" wp14:editId="0CD60DF0">
            <wp:simplePos x="0" y="0"/>
            <wp:positionH relativeFrom="column">
              <wp:posOffset>1047750</wp:posOffset>
            </wp:positionH>
            <wp:positionV relativeFrom="paragraph">
              <wp:posOffset>171450</wp:posOffset>
            </wp:positionV>
            <wp:extent cx="3381375" cy="200025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1"/>
                    <a:srcRect/>
                    <a:stretch>
                      <a:fillRect/>
                    </a:stretch>
                  </pic:blipFill>
                  <pic:spPr>
                    <a:xfrm>
                      <a:off x="0" y="0"/>
                      <a:ext cx="3381375" cy="2000250"/>
                    </a:xfrm>
                    <a:prstGeom prst="rect">
                      <a:avLst/>
                    </a:prstGeom>
                    <a:ln/>
                  </pic:spPr>
                </pic:pic>
              </a:graphicData>
            </a:graphic>
          </wp:anchor>
        </w:drawing>
      </w:r>
    </w:p>
    <w:p w14:paraId="71866775" w14:textId="77777777" w:rsidR="00837D06" w:rsidRDefault="00F109A5">
      <w:r>
        <w:t xml:space="preserve"> </w:t>
      </w:r>
    </w:p>
    <w:p w14:paraId="4C3BEBC3" w14:textId="77777777" w:rsidR="00837D06" w:rsidRDefault="00F109A5">
      <w:r>
        <w:t xml:space="preserve"> </w:t>
      </w:r>
    </w:p>
    <w:p w14:paraId="31D08636" w14:textId="77777777" w:rsidR="00837D06" w:rsidRDefault="00F109A5">
      <w:r>
        <w:t xml:space="preserve"> </w:t>
      </w:r>
    </w:p>
    <w:p w14:paraId="27B98E73" w14:textId="77777777" w:rsidR="00837D06" w:rsidRDefault="00F109A5">
      <w:r>
        <w:t xml:space="preserve"> </w:t>
      </w:r>
    </w:p>
    <w:p w14:paraId="149A9A89" w14:textId="77777777" w:rsidR="00837D06" w:rsidRDefault="00F109A5">
      <w:r>
        <w:t xml:space="preserve"> </w:t>
      </w:r>
    </w:p>
    <w:p w14:paraId="0A273B8F" w14:textId="77777777" w:rsidR="00837D06" w:rsidRDefault="00F109A5">
      <w:r>
        <w:t xml:space="preserve"> </w:t>
      </w:r>
    </w:p>
    <w:p w14:paraId="1E24A2DC" w14:textId="77777777" w:rsidR="00837D06" w:rsidRDefault="00F109A5">
      <w:r>
        <w:t xml:space="preserve"> </w:t>
      </w:r>
    </w:p>
    <w:p w14:paraId="7E889774" w14:textId="77777777" w:rsidR="00837D06" w:rsidRDefault="00F109A5">
      <w:r>
        <w:t xml:space="preserve"> </w:t>
      </w:r>
    </w:p>
    <w:p w14:paraId="59272C8F" w14:textId="77777777" w:rsidR="00837D06" w:rsidRDefault="00F109A5">
      <w:r>
        <w:t xml:space="preserve"> </w:t>
      </w:r>
    </w:p>
    <w:p w14:paraId="4EE547AF" w14:textId="77777777" w:rsidR="00837D06" w:rsidRDefault="00F109A5">
      <w:r>
        <w:t xml:space="preserve"> </w:t>
      </w:r>
    </w:p>
    <w:p w14:paraId="4CFBE754" w14:textId="77777777" w:rsidR="00837D06" w:rsidRDefault="00F109A5">
      <w:r>
        <w:t xml:space="preserve"> </w:t>
      </w:r>
    </w:p>
    <w:p w14:paraId="76E66AC9" w14:textId="77777777" w:rsidR="00837D06" w:rsidRDefault="00F109A5">
      <w:r>
        <w:t xml:space="preserve"> </w:t>
      </w:r>
    </w:p>
    <w:p w14:paraId="009BA918" w14:textId="77777777" w:rsidR="00837D06" w:rsidRDefault="00F109A5">
      <w:pPr>
        <w:jc w:val="center"/>
        <w:rPr>
          <w:b/>
          <w:color w:val="4F81BD"/>
        </w:rPr>
      </w:pPr>
      <w:r>
        <w:rPr>
          <w:b/>
          <w:color w:val="4F81BD"/>
        </w:rPr>
        <w:t>Figure</w:t>
      </w:r>
      <w:r>
        <w:rPr>
          <w:color w:val="4F81BD"/>
        </w:rPr>
        <w:t xml:space="preserve"> </w:t>
      </w:r>
      <w:r>
        <w:rPr>
          <w:b/>
          <w:color w:val="4F81BD"/>
        </w:rPr>
        <w:t>1:</w:t>
      </w:r>
      <w:r>
        <w:rPr>
          <w:color w:val="4F81BD"/>
        </w:rPr>
        <w:t xml:space="preserve"> </w:t>
      </w:r>
      <w:r>
        <w:rPr>
          <w:b/>
          <w:color w:val="4F81BD"/>
        </w:rPr>
        <w:t>Source:</w:t>
      </w:r>
      <w:r>
        <w:rPr>
          <w:color w:val="4F81BD"/>
        </w:rPr>
        <w:t xml:space="preserve"> </w:t>
      </w:r>
      <w:r>
        <w:rPr>
          <w:b/>
          <w:color w:val="4F81BD"/>
        </w:rPr>
        <w:t>PFLP,</w:t>
      </w:r>
      <w:r>
        <w:rPr>
          <w:color w:val="4F81BD"/>
        </w:rPr>
        <w:t xml:space="preserve"> </w:t>
      </w:r>
      <w:r>
        <w:rPr>
          <w:b/>
          <w:color w:val="4F81BD"/>
        </w:rPr>
        <w:t>“We</w:t>
      </w:r>
      <w:r>
        <w:rPr>
          <w:color w:val="4F81BD"/>
        </w:rPr>
        <w:t xml:space="preserve"> </w:t>
      </w:r>
      <w:r>
        <w:rPr>
          <w:b/>
          <w:color w:val="4F81BD"/>
        </w:rPr>
        <w:t>are</w:t>
      </w:r>
      <w:r>
        <w:rPr>
          <w:color w:val="4F81BD"/>
        </w:rPr>
        <w:t xml:space="preserve"> </w:t>
      </w:r>
      <w:r>
        <w:rPr>
          <w:b/>
          <w:color w:val="4F81BD"/>
        </w:rPr>
        <w:t>All</w:t>
      </w:r>
      <w:r>
        <w:rPr>
          <w:color w:val="4F81BD"/>
        </w:rPr>
        <w:t xml:space="preserve"> </w:t>
      </w:r>
      <w:r>
        <w:rPr>
          <w:b/>
          <w:color w:val="4F81BD"/>
        </w:rPr>
        <w:t>Resistance”</w:t>
      </w:r>
      <w:r>
        <w:rPr>
          <w:color w:val="4F81BD"/>
        </w:rPr>
        <w:t xml:space="preserve"> </w:t>
      </w:r>
      <w:r>
        <w:rPr>
          <w:b/>
          <w:color w:val="4F81BD"/>
        </w:rPr>
        <w:t>campaign</w:t>
      </w:r>
      <w:r>
        <w:rPr>
          <w:color w:val="4F81BD"/>
        </w:rPr>
        <w:t xml:space="preserve"> </w:t>
      </w:r>
      <w:r>
        <w:rPr>
          <w:b/>
          <w:color w:val="4F81BD"/>
        </w:rPr>
        <w:t>supports</w:t>
      </w:r>
      <w:r>
        <w:rPr>
          <w:color w:val="4F81BD"/>
        </w:rPr>
        <w:t xml:space="preserve"> </w:t>
      </w:r>
      <w:r>
        <w:rPr>
          <w:b/>
          <w:color w:val="4F81BD"/>
        </w:rPr>
        <w:t>families</w:t>
      </w:r>
      <w:r>
        <w:rPr>
          <w:color w:val="4F81BD"/>
        </w:rPr>
        <w:t xml:space="preserve"> </w:t>
      </w:r>
      <w:r>
        <w:rPr>
          <w:b/>
          <w:color w:val="4F81BD"/>
        </w:rPr>
        <w:t>and</w:t>
      </w:r>
      <w:r>
        <w:rPr>
          <w:color w:val="4F81BD"/>
        </w:rPr>
        <w:t xml:space="preserve"> </w:t>
      </w:r>
      <w:r>
        <w:rPr>
          <w:b/>
          <w:color w:val="4F81BD"/>
        </w:rPr>
        <w:t>children,”</w:t>
      </w:r>
      <w:r>
        <w:rPr>
          <w:color w:val="4F81BD"/>
        </w:rPr>
        <w:t xml:space="preserve"> </w:t>
      </w:r>
      <w:r>
        <w:rPr>
          <w:b/>
          <w:color w:val="4F81BD"/>
        </w:rPr>
        <w:t>August</w:t>
      </w:r>
      <w:r>
        <w:rPr>
          <w:color w:val="4F81BD"/>
        </w:rPr>
        <w:t xml:space="preserve"> </w:t>
      </w:r>
      <w:r>
        <w:rPr>
          <w:b/>
          <w:color w:val="4F81BD"/>
        </w:rPr>
        <w:t>12,</w:t>
      </w:r>
      <w:r>
        <w:rPr>
          <w:color w:val="4F81BD"/>
        </w:rPr>
        <w:t xml:space="preserve"> </w:t>
      </w:r>
      <w:r>
        <w:rPr>
          <w:b/>
          <w:color w:val="4F81BD"/>
        </w:rPr>
        <w:t>2014:</w:t>
      </w:r>
      <w:r>
        <w:rPr>
          <w:color w:val="4F81BD"/>
        </w:rPr>
        <w:t xml:space="preserve"> </w:t>
      </w:r>
      <w:r>
        <w:rPr>
          <w:b/>
          <w:color w:val="4F81BD"/>
        </w:rPr>
        <w:t>http://pflp.ps/english/2014/08/12/we-are-all-resistance-campaign-supports-families-and-children/</w:t>
      </w:r>
    </w:p>
    <w:p w14:paraId="6EB2ABCC" w14:textId="77777777" w:rsidR="00837D06" w:rsidRDefault="00F109A5">
      <w:r>
        <w:t xml:space="preserve"> </w:t>
      </w:r>
    </w:p>
    <w:p w14:paraId="5775A626" w14:textId="77777777" w:rsidR="00837D06" w:rsidRDefault="00F109A5">
      <w:r>
        <w:t xml:space="preserve"> </w:t>
      </w:r>
    </w:p>
    <w:p w14:paraId="5773DA8B" w14:textId="77777777" w:rsidR="00837D06" w:rsidRDefault="00837D06"/>
    <w:p w14:paraId="1293DF10" w14:textId="77777777" w:rsidR="00837D06" w:rsidRDefault="00F109A5">
      <w:pPr>
        <w:ind w:right="660"/>
      </w:pPr>
      <w:r>
        <w:t xml:space="preserve">In August 2017, the PFLP linked student organization, the Progressive Student Labor Front (PSLF), organized a “mass rally to salute outstanding students in public high </w:t>
      </w:r>
      <w:r>
        <w:lastRenderedPageBreak/>
        <w:t>schools in an event called ‘Planting and Building,’</w:t>
      </w:r>
      <w:hyperlink r:id="rId52">
        <w:r>
          <w:t xml:space="preserve"> </w:t>
        </w:r>
      </w:hyperlink>
      <w:hyperlink r:id="rId53">
        <w:r>
          <w:rPr>
            <w:color w:val="1155CC"/>
            <w:u w:val="single"/>
          </w:rPr>
          <w:t>in honor of the martyrs Ghassan Kanafani and Basil al-Araj</w:t>
        </w:r>
      </w:hyperlink>
      <w:r>
        <w:t>.” According to the PFLP terror group, the event was attended by “large numbers of students, teachers and professors, comrades of the Popular Front for the Liberation of Palestine, cadres of the Progressive Student Labor Front in addition to representatives of the Palestinian factions and civil society organizations.” Far from being positive role models for children, Kanafani, a leader of the PFLP, was involved in the planning the Lod Airport Massacre that killed 26 civilians, and al-Araj, head of a terror cell, was killed while shooting at police during an arrest attempt.</w:t>
      </w:r>
    </w:p>
    <w:p w14:paraId="4DE1371D" w14:textId="77777777" w:rsidR="00837D06" w:rsidRDefault="00F109A5">
      <w:r>
        <w:t xml:space="preserve"> </w:t>
      </w:r>
    </w:p>
    <w:p w14:paraId="540C2641" w14:textId="77777777" w:rsidR="00837D06" w:rsidRDefault="00F109A5">
      <w:r>
        <w:t xml:space="preserve"> </w:t>
      </w:r>
      <w:r>
        <w:rPr>
          <w:noProof/>
          <w:lang w:val="en-GB" w:eastAsia="en-GB" w:bidi="ar-SA"/>
        </w:rPr>
        <w:drawing>
          <wp:inline distT="114300" distB="114300" distL="114300" distR="114300" wp14:anchorId="0AE16B03" wp14:editId="04D2F5C2">
            <wp:extent cx="5731200" cy="34925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4"/>
                    <a:srcRect/>
                    <a:stretch>
                      <a:fillRect/>
                    </a:stretch>
                  </pic:blipFill>
                  <pic:spPr>
                    <a:xfrm>
                      <a:off x="0" y="0"/>
                      <a:ext cx="5731200" cy="3492500"/>
                    </a:xfrm>
                    <a:prstGeom prst="rect">
                      <a:avLst/>
                    </a:prstGeom>
                    <a:ln/>
                  </pic:spPr>
                </pic:pic>
              </a:graphicData>
            </a:graphic>
          </wp:inline>
        </w:drawing>
      </w:r>
    </w:p>
    <w:p w14:paraId="712479D5" w14:textId="77777777" w:rsidR="00837D06" w:rsidRDefault="00F109A5">
      <w:r>
        <w:t xml:space="preserve"> </w:t>
      </w:r>
    </w:p>
    <w:p w14:paraId="1F62C1A3" w14:textId="77777777" w:rsidR="00837D06" w:rsidRDefault="00F109A5">
      <w:pPr>
        <w:spacing w:line="237" w:lineRule="auto"/>
        <w:ind w:right="620"/>
        <w:rPr>
          <w:b/>
          <w:color w:val="4F81BD"/>
        </w:rPr>
      </w:pPr>
      <w:r>
        <w:rPr>
          <w:b/>
          <w:color w:val="4F81BD"/>
        </w:rPr>
        <w:t>Figure</w:t>
      </w:r>
      <w:r>
        <w:rPr>
          <w:color w:val="4F81BD"/>
        </w:rPr>
        <w:t xml:space="preserve"> </w:t>
      </w:r>
      <w:r>
        <w:rPr>
          <w:b/>
          <w:color w:val="4F81BD"/>
        </w:rPr>
        <w:t>2:</w:t>
      </w:r>
      <w:r>
        <w:rPr>
          <w:color w:val="4F81BD"/>
        </w:rPr>
        <w:t xml:space="preserve"> </w:t>
      </w:r>
      <w:r>
        <w:rPr>
          <w:b/>
          <w:color w:val="4F81BD"/>
        </w:rPr>
        <w:t>Students</w:t>
      </w:r>
      <w:r>
        <w:rPr>
          <w:color w:val="4F81BD"/>
        </w:rPr>
        <w:t xml:space="preserve"> </w:t>
      </w:r>
      <w:r>
        <w:rPr>
          <w:b/>
          <w:color w:val="4F81BD"/>
        </w:rPr>
        <w:t>at</w:t>
      </w:r>
      <w:r>
        <w:rPr>
          <w:color w:val="4F81BD"/>
        </w:rPr>
        <w:t xml:space="preserve"> </w:t>
      </w:r>
      <w:r>
        <w:rPr>
          <w:b/>
          <w:color w:val="4F81BD"/>
        </w:rPr>
        <w:t>the</w:t>
      </w:r>
      <w:r>
        <w:rPr>
          <w:color w:val="4F81BD"/>
        </w:rPr>
        <w:t xml:space="preserve"> </w:t>
      </w:r>
      <w:r>
        <w:rPr>
          <w:b/>
          <w:color w:val="4F81BD"/>
        </w:rPr>
        <w:t>event</w:t>
      </w:r>
      <w:r>
        <w:rPr>
          <w:color w:val="4F81BD"/>
        </w:rPr>
        <w:t xml:space="preserve"> </w:t>
      </w:r>
      <w:r>
        <w:rPr>
          <w:b/>
          <w:color w:val="4F81BD"/>
        </w:rPr>
        <w:t>dressed</w:t>
      </w:r>
      <w:r>
        <w:rPr>
          <w:color w:val="4F81BD"/>
        </w:rPr>
        <w:t xml:space="preserve"> </w:t>
      </w:r>
      <w:r>
        <w:rPr>
          <w:b/>
          <w:color w:val="4F81BD"/>
        </w:rPr>
        <w:t>in</w:t>
      </w:r>
      <w:r>
        <w:rPr>
          <w:color w:val="4F81BD"/>
        </w:rPr>
        <w:t xml:space="preserve"> </w:t>
      </w:r>
      <w:r>
        <w:rPr>
          <w:b/>
          <w:color w:val="4F81BD"/>
        </w:rPr>
        <w:t>PFLP</w:t>
      </w:r>
      <w:r>
        <w:rPr>
          <w:color w:val="4F81BD"/>
        </w:rPr>
        <w:t xml:space="preserve"> </w:t>
      </w:r>
      <w:r>
        <w:rPr>
          <w:b/>
          <w:color w:val="4F81BD"/>
        </w:rPr>
        <w:t>garb.</w:t>
      </w:r>
      <w:r>
        <w:rPr>
          <w:color w:val="4F81BD"/>
        </w:rPr>
        <w:t xml:space="preserve"> </w:t>
      </w:r>
      <w:r>
        <w:rPr>
          <w:b/>
          <w:color w:val="4F81BD"/>
        </w:rPr>
        <w:t>Source:</w:t>
      </w:r>
      <w:r>
        <w:rPr>
          <w:color w:val="4F81BD"/>
        </w:rPr>
        <w:t xml:space="preserve"> </w:t>
      </w:r>
      <w:r>
        <w:rPr>
          <w:b/>
          <w:color w:val="4F81BD"/>
        </w:rPr>
        <w:t>PFLP,</w:t>
      </w:r>
      <w:r>
        <w:rPr>
          <w:color w:val="4F81BD"/>
        </w:rPr>
        <w:t xml:space="preserve"> </w:t>
      </w:r>
      <w:r>
        <w:rPr>
          <w:b/>
          <w:color w:val="4F81BD"/>
        </w:rPr>
        <w:t>“Progressive</w:t>
      </w:r>
      <w:r>
        <w:rPr>
          <w:color w:val="4F81BD"/>
        </w:rPr>
        <w:t xml:space="preserve"> </w:t>
      </w:r>
      <w:r>
        <w:rPr>
          <w:b/>
          <w:color w:val="4F81BD"/>
        </w:rPr>
        <w:t>Student</w:t>
      </w:r>
      <w:r>
        <w:rPr>
          <w:color w:val="4F81BD"/>
        </w:rPr>
        <w:t xml:space="preserve"> </w:t>
      </w:r>
      <w:r>
        <w:rPr>
          <w:b/>
          <w:color w:val="4F81BD"/>
        </w:rPr>
        <w:t>Labor</w:t>
      </w:r>
      <w:r>
        <w:rPr>
          <w:color w:val="4F81BD"/>
        </w:rPr>
        <w:t xml:space="preserve"> </w:t>
      </w:r>
      <w:r>
        <w:rPr>
          <w:b/>
          <w:color w:val="4F81BD"/>
        </w:rPr>
        <w:t>Front</w:t>
      </w:r>
      <w:r>
        <w:rPr>
          <w:color w:val="4F81BD"/>
        </w:rPr>
        <w:t xml:space="preserve"> </w:t>
      </w:r>
      <w:r>
        <w:rPr>
          <w:b/>
          <w:color w:val="4F81BD"/>
        </w:rPr>
        <w:t>salutes</w:t>
      </w:r>
      <w:r>
        <w:rPr>
          <w:color w:val="4F81BD"/>
        </w:rPr>
        <w:t xml:space="preserve"> </w:t>
      </w:r>
      <w:r>
        <w:rPr>
          <w:b/>
          <w:color w:val="4F81BD"/>
        </w:rPr>
        <w:t>outstanding</w:t>
      </w:r>
      <w:r>
        <w:rPr>
          <w:color w:val="4F81BD"/>
        </w:rPr>
        <w:t xml:space="preserve"> </w:t>
      </w:r>
      <w:r>
        <w:rPr>
          <w:b/>
          <w:color w:val="4F81BD"/>
        </w:rPr>
        <w:t>students</w:t>
      </w:r>
      <w:r>
        <w:rPr>
          <w:color w:val="4F81BD"/>
        </w:rPr>
        <w:t xml:space="preserve"> </w:t>
      </w:r>
      <w:r>
        <w:rPr>
          <w:b/>
          <w:color w:val="4F81BD"/>
        </w:rPr>
        <w:t>in</w:t>
      </w:r>
      <w:r>
        <w:rPr>
          <w:color w:val="4F81BD"/>
        </w:rPr>
        <w:t xml:space="preserve"> </w:t>
      </w:r>
      <w:r>
        <w:rPr>
          <w:b/>
          <w:color w:val="4F81BD"/>
        </w:rPr>
        <w:t>mass</w:t>
      </w:r>
      <w:r>
        <w:rPr>
          <w:color w:val="4F81BD"/>
        </w:rPr>
        <w:t xml:space="preserve"> </w:t>
      </w:r>
      <w:r>
        <w:rPr>
          <w:b/>
          <w:color w:val="4F81BD"/>
        </w:rPr>
        <w:t>festival</w:t>
      </w:r>
      <w:r>
        <w:rPr>
          <w:color w:val="4F81BD"/>
        </w:rPr>
        <w:t xml:space="preserve"> </w:t>
      </w:r>
      <w:r>
        <w:rPr>
          <w:b/>
          <w:color w:val="4F81BD"/>
        </w:rPr>
        <w:t>in</w:t>
      </w:r>
      <w:r>
        <w:rPr>
          <w:color w:val="4F81BD"/>
        </w:rPr>
        <w:t xml:space="preserve"> </w:t>
      </w:r>
      <w:r>
        <w:rPr>
          <w:b/>
          <w:color w:val="4F81BD"/>
        </w:rPr>
        <w:t>Gaza,”</w:t>
      </w:r>
      <w:r>
        <w:rPr>
          <w:color w:val="4F81BD"/>
        </w:rPr>
        <w:t xml:space="preserve"> </w:t>
      </w:r>
      <w:r>
        <w:rPr>
          <w:b/>
          <w:color w:val="4F81BD"/>
        </w:rPr>
        <w:t>August</w:t>
      </w:r>
      <w:r>
        <w:rPr>
          <w:color w:val="4F81BD"/>
        </w:rPr>
        <w:t xml:space="preserve"> </w:t>
      </w:r>
      <w:r>
        <w:rPr>
          <w:b/>
          <w:color w:val="4F81BD"/>
        </w:rPr>
        <w:t>7,</w:t>
      </w:r>
      <w:r>
        <w:rPr>
          <w:color w:val="4F81BD"/>
        </w:rPr>
        <w:t xml:space="preserve"> </w:t>
      </w:r>
      <w:r>
        <w:rPr>
          <w:b/>
          <w:color w:val="4F81BD"/>
        </w:rPr>
        <w:t>2017:</w:t>
      </w:r>
      <w:r>
        <w:rPr>
          <w:color w:val="4F81BD"/>
        </w:rPr>
        <w:t xml:space="preserve"> </w:t>
      </w:r>
      <w:r>
        <w:rPr>
          <w:b/>
          <w:color w:val="4F81BD"/>
        </w:rPr>
        <w:t>http://pflp.ps/english/2017/08/07/progressive-student-labor-front-salutes-outstanding-stu</w:t>
      </w:r>
    </w:p>
    <w:p w14:paraId="43610953" w14:textId="78710ABF" w:rsidR="00837D06" w:rsidRDefault="00F109A5" w:rsidP="00B60BF1">
      <w:r>
        <w:t xml:space="preserve"> </w:t>
      </w:r>
    </w:p>
    <w:p w14:paraId="7CAF8CD1" w14:textId="77777777" w:rsidR="00837D06" w:rsidRDefault="00F109A5">
      <w:pPr>
        <w:spacing w:after="20" w:line="220" w:lineRule="auto"/>
      </w:pPr>
      <w:r>
        <w:t xml:space="preserve"> </w:t>
      </w:r>
    </w:p>
    <w:p w14:paraId="75BA1BB1" w14:textId="77777777" w:rsidR="00837D06" w:rsidRDefault="00F109A5">
      <w:pPr>
        <w:ind w:right="1040"/>
      </w:pPr>
      <w:r>
        <w:t>The PFLP has repeatedly praised, glorified, and encouraged children to participate in the Palestinian “stabbing intifada” against Israeli civilians.</w:t>
      </w:r>
    </w:p>
    <w:p w14:paraId="7FC5598C" w14:textId="77777777" w:rsidR="00837D06" w:rsidRDefault="00F109A5">
      <w:pPr>
        <w:spacing w:after="40"/>
      </w:pPr>
      <w:r>
        <w:t xml:space="preserve"> </w:t>
      </w:r>
    </w:p>
    <w:p w14:paraId="510940A0" w14:textId="77777777" w:rsidR="00837D06" w:rsidRDefault="00F109A5">
      <w:pPr>
        <w:ind w:right="540"/>
      </w:pPr>
      <w:r>
        <w:t>In March 2016, the PFLP praised the</w:t>
      </w:r>
      <w:hyperlink r:id="rId55">
        <w:r>
          <w:t xml:space="preserve"> </w:t>
        </w:r>
      </w:hyperlink>
      <w:hyperlink r:id="rId56">
        <w:r>
          <w:rPr>
            <w:u w:val="single"/>
          </w:rPr>
          <w:t>“</w:t>
        </w:r>
      </w:hyperlink>
      <w:hyperlink r:id="rId57">
        <w:r>
          <w:rPr>
            <w:color w:val="1155CC"/>
            <w:u w:val="single"/>
          </w:rPr>
          <w:t>heroic successive resistance actions carried out by</w:t>
        </w:r>
      </w:hyperlink>
      <w:hyperlink r:id="rId58">
        <w:r>
          <w:t xml:space="preserve"> </w:t>
        </w:r>
      </w:hyperlink>
      <w:hyperlink r:id="rId59">
        <w:r>
          <w:rPr>
            <w:color w:val="1155CC"/>
            <w:u w:val="single"/>
          </w:rPr>
          <w:t>Palestinian young people in the uprising</w:t>
        </w:r>
      </w:hyperlink>
      <w:r>
        <w:t>.” The PFLP terror group added that “the youth of the intifada, with their blood, sacrifice, will and determination in their ability to penetrate the Zionist security system inside the occupying entity, are escalating their resistance against the heinous crimes of the occupation against our people.”</w:t>
      </w:r>
    </w:p>
    <w:p w14:paraId="6B012233" w14:textId="77777777" w:rsidR="00837D06" w:rsidRDefault="00F109A5">
      <w:pPr>
        <w:spacing w:after="40"/>
      </w:pPr>
      <w:r>
        <w:lastRenderedPageBreak/>
        <w:t xml:space="preserve"> </w:t>
      </w:r>
    </w:p>
    <w:p w14:paraId="2589E3D5" w14:textId="77777777" w:rsidR="00837D06" w:rsidRDefault="00F109A5">
      <w:pPr>
        <w:ind w:right="1120"/>
      </w:pPr>
      <w:r>
        <w:t>In October 2015, the PFLP posted an article “</w:t>
      </w:r>
      <w:hyperlink r:id="rId60">
        <w:r>
          <w:rPr>
            <w:color w:val="1155CC"/>
            <w:u w:val="single"/>
          </w:rPr>
          <w:t>Palestinian Progressive Youth Union: The</w:t>
        </w:r>
      </w:hyperlink>
      <w:hyperlink r:id="rId61">
        <w:r>
          <w:t xml:space="preserve"> </w:t>
        </w:r>
      </w:hyperlink>
      <w:hyperlink r:id="rId62">
        <w:r>
          <w:rPr>
            <w:color w:val="1155CC"/>
            <w:u w:val="single"/>
          </w:rPr>
          <w:t>rising intifada and revolution of the youth</w:t>
        </w:r>
      </w:hyperlink>
      <w:r>
        <w:t>,” encouraging young Palestinians to:</w:t>
      </w:r>
    </w:p>
    <w:p w14:paraId="35F62C09" w14:textId="77777777" w:rsidR="00837D06" w:rsidRDefault="00F109A5">
      <w:pPr>
        <w:spacing w:after="40"/>
      </w:pPr>
      <w:r>
        <w:t xml:space="preserve"> </w:t>
      </w:r>
    </w:p>
    <w:p w14:paraId="40041DF3" w14:textId="77777777" w:rsidR="00837D06" w:rsidRDefault="00F109A5">
      <w:pPr>
        <w:ind w:left="720" w:right="820"/>
      </w:pPr>
      <w:r>
        <w:t>1. Joining with the heroes of the Palestinian resistance to confront the enemy forces with all forms of weapons and resistance.</w:t>
      </w:r>
    </w:p>
    <w:p w14:paraId="78FDD475" w14:textId="77777777" w:rsidR="00837D06" w:rsidRDefault="00F109A5">
      <w:pPr>
        <w:spacing w:after="100"/>
      </w:pPr>
      <w:r>
        <w:t xml:space="preserve"> </w:t>
      </w:r>
    </w:p>
    <w:p w14:paraId="3CCC7CE6" w14:textId="77777777" w:rsidR="00837D06" w:rsidRDefault="00F109A5">
      <w:pPr>
        <w:ind w:left="720" w:right="660"/>
      </w:pPr>
      <w:r>
        <w:t>2. The formation of committees and popular protection groups, as a popular response to the crimes of the settlers for the protection of our people, villages and farms; not only to defend, but to attack the fascist cowardly settler hordes.</w:t>
      </w:r>
    </w:p>
    <w:p w14:paraId="0BE048B8" w14:textId="77777777" w:rsidR="00837D06" w:rsidRDefault="00F109A5">
      <w:pPr>
        <w:spacing w:after="100"/>
      </w:pPr>
      <w:r>
        <w:t xml:space="preserve"> </w:t>
      </w:r>
    </w:p>
    <w:p w14:paraId="3652610F" w14:textId="77777777" w:rsidR="00837D06" w:rsidRDefault="00F109A5">
      <w:pPr>
        <w:ind w:left="720" w:right="1380"/>
      </w:pPr>
      <w:r>
        <w:t>3. Launch the battle in the streets to liberate the occupied West Bank, it is unacceptable that we are banned from our streets while the settlers invade our communities with massive violence.</w:t>
      </w:r>
    </w:p>
    <w:p w14:paraId="1162485B" w14:textId="77777777" w:rsidR="00837D06" w:rsidRDefault="00837D06"/>
    <w:p w14:paraId="027E7E9D" w14:textId="77777777" w:rsidR="00837D06" w:rsidRDefault="00F109A5">
      <w:pPr>
        <w:ind w:left="720" w:right="540"/>
      </w:pPr>
      <w:r>
        <w:t>4. Rallying and demonstrating in Jerusalem, Nablus and everywhere to break the siege on our proud capital and the steadfast Mountain of Fire.</w:t>
      </w:r>
    </w:p>
    <w:p w14:paraId="49CBFF50" w14:textId="77777777" w:rsidR="00837D06" w:rsidRDefault="00F109A5">
      <w:pPr>
        <w:spacing w:after="100"/>
      </w:pPr>
      <w:r>
        <w:t xml:space="preserve"> </w:t>
      </w:r>
    </w:p>
    <w:p w14:paraId="320E7556" w14:textId="77777777" w:rsidR="00837D06" w:rsidRDefault="00F109A5">
      <w:pPr>
        <w:ind w:left="720" w:right="740"/>
      </w:pPr>
      <w:r>
        <w:t>5. Sending our support to the families of the heroes and the martyrs and rally around their families and protect them by all means against attempts by the enemy to demolish their homes.</w:t>
      </w:r>
    </w:p>
    <w:p w14:paraId="6FB8237B" w14:textId="77777777" w:rsidR="00837D06" w:rsidRDefault="00F109A5">
      <w:pPr>
        <w:spacing w:after="100"/>
      </w:pPr>
      <w:r>
        <w:t xml:space="preserve"> </w:t>
      </w:r>
    </w:p>
    <w:p w14:paraId="06360B37" w14:textId="77777777" w:rsidR="00837D06" w:rsidRDefault="00F109A5">
      <w:pPr>
        <w:ind w:left="720" w:right="540"/>
      </w:pPr>
      <w:r>
        <w:t>6. We call on our brothers in the Palestinian security services to join with the resistance and popular committees to defend our people and confront the crimes of the settlers and disobey all orders that call upon them to carry out political arrests and security coordination with the occupation.</w:t>
      </w:r>
    </w:p>
    <w:p w14:paraId="6258F540" w14:textId="77777777" w:rsidR="00837D06" w:rsidRDefault="00F109A5">
      <w:pPr>
        <w:spacing w:after="100"/>
      </w:pPr>
      <w:r>
        <w:t xml:space="preserve"> </w:t>
      </w:r>
    </w:p>
    <w:p w14:paraId="09C581E7" w14:textId="77777777" w:rsidR="00837D06" w:rsidRDefault="00F109A5">
      <w:pPr>
        <w:ind w:left="720" w:right="700"/>
      </w:pPr>
      <w:r>
        <w:t>7. Universities, schools, institutions, youth centers, women’s unions, neighborhood and popular committees in the villages and camps, sports clubs and our entire people in the camps and in diaspora, one people with one cause, are called upon to join the activities of the popular uprising, to mobilize and harness all of their capacities in support of the uprising and its continuation.</w:t>
      </w:r>
    </w:p>
    <w:p w14:paraId="791532BD" w14:textId="77777777" w:rsidR="00837D06" w:rsidRDefault="00F109A5">
      <w:pPr>
        <w:spacing w:after="100"/>
      </w:pPr>
      <w:r>
        <w:t xml:space="preserve"> </w:t>
      </w:r>
    </w:p>
    <w:p w14:paraId="3D4862DD" w14:textId="77777777" w:rsidR="00837D06" w:rsidRDefault="00F109A5">
      <w:pPr>
        <w:ind w:right="720"/>
      </w:pPr>
      <w:r>
        <w:t>In August 2017, the PFLP posted an article</w:t>
      </w:r>
      <w:hyperlink r:id="rId63">
        <w:r>
          <w:t xml:space="preserve"> </w:t>
        </w:r>
      </w:hyperlink>
      <w:hyperlink r:id="rId64">
        <w:r>
          <w:rPr>
            <w:u w:val="single"/>
          </w:rPr>
          <w:t>“</w:t>
        </w:r>
      </w:hyperlink>
      <w:hyperlink r:id="rId65">
        <w:r>
          <w:rPr>
            <w:color w:val="1155CC"/>
            <w:u w:val="single"/>
          </w:rPr>
          <w:t>Palestinian youth honor Naji al-Ali with Leila</w:t>
        </w:r>
      </w:hyperlink>
      <w:hyperlink r:id="rId66">
        <w:r>
          <w:t xml:space="preserve"> </w:t>
        </w:r>
      </w:hyperlink>
      <w:hyperlink r:id="rId67">
        <w:r>
          <w:rPr>
            <w:color w:val="1155CC"/>
            <w:u w:val="single"/>
          </w:rPr>
          <w:t>Khaled in Ein el-Helweh refugee camp</w:t>
        </w:r>
      </w:hyperlink>
      <w:hyperlink r:id="rId68">
        <w:r>
          <w:t>,” discussing how Palestinian “youth organizers” invited “Comade Leila Khaled, icon of resistance and member of the Political Bureau of the Popular Front for the Liberation of Palestine to open the exhibition” in Lebanon. Leila Khaled participated in armed hijackings of TWA Flight 840 in 1969 and El Al Flight 219 in 1970.</w:t>
        </w:r>
      </w:hyperlink>
    </w:p>
    <w:p w14:paraId="1D0588D6" w14:textId="77777777" w:rsidR="00837D06" w:rsidRDefault="00F109A5">
      <w:pPr>
        <w:spacing w:after="40"/>
      </w:pPr>
      <w:r>
        <w:t xml:space="preserve"> </w:t>
      </w:r>
    </w:p>
    <w:p w14:paraId="785F3755" w14:textId="77777777" w:rsidR="00837D06" w:rsidRDefault="00F109A5">
      <w:pPr>
        <w:ind w:right="620"/>
      </w:pPr>
      <w:r>
        <w:t>In July 2012, the PFLP posted an article about how a youth camp honored “t</w:t>
      </w:r>
      <w:hyperlink r:id="rId69">
        <w:r>
          <w:rPr>
            <w:color w:val="1155CC"/>
            <w:u w:val="single"/>
          </w:rPr>
          <w:t>he martyr and</w:t>
        </w:r>
      </w:hyperlink>
      <w:hyperlink r:id="rId70">
        <w:r>
          <w:t xml:space="preserve"> </w:t>
        </w:r>
      </w:hyperlink>
      <w:hyperlink r:id="rId71">
        <w:r>
          <w:rPr>
            <w:color w:val="1155CC"/>
            <w:u w:val="single"/>
          </w:rPr>
          <w:t>great Palestinian writer and national leader, Comrade Ghassan Kanafani</w:t>
        </w:r>
      </w:hyperlink>
      <w:r>
        <w:t xml:space="preserve">.” </w:t>
      </w:r>
      <w:r>
        <w:lastRenderedPageBreak/>
        <w:t>According to the PFLP, “The camp included over 100 boys and girls for 12 days, in which they participated in cultural and educational activities about the life of Ghassan Kanafani, Palestinian literature, and the history and future of Palestine.”</w:t>
      </w:r>
    </w:p>
    <w:p w14:paraId="77DA9D8E" w14:textId="77777777" w:rsidR="00837D06" w:rsidRDefault="00F109A5">
      <w:pPr>
        <w:spacing w:after="40"/>
      </w:pPr>
      <w:r>
        <w:t xml:space="preserve"> </w:t>
      </w:r>
    </w:p>
    <w:p w14:paraId="18DB3D29" w14:textId="77777777" w:rsidR="00837D06" w:rsidRDefault="00F109A5">
      <w:pPr>
        <w:ind w:right="980"/>
      </w:pPr>
      <w:r>
        <w:t>An August 2015 PFLP post “UNRWA crisis is being manufactured to liquidate refugees’ rights,” features young children holding PFLP posters.</w:t>
      </w:r>
    </w:p>
    <w:p w14:paraId="2DC60904" w14:textId="77777777" w:rsidR="00837D06" w:rsidRDefault="00F109A5">
      <w:r>
        <w:t xml:space="preserve"> </w:t>
      </w:r>
    </w:p>
    <w:p w14:paraId="21549DFF" w14:textId="77777777" w:rsidR="00837D06" w:rsidRDefault="00F109A5">
      <w:r>
        <w:t xml:space="preserve"> </w:t>
      </w:r>
    </w:p>
    <w:p w14:paraId="463DF450" w14:textId="77777777" w:rsidR="00837D06" w:rsidRDefault="00F109A5">
      <w:r>
        <w:t xml:space="preserve"> </w:t>
      </w:r>
      <w:r>
        <w:rPr>
          <w:noProof/>
          <w:lang w:val="en-GB" w:eastAsia="en-GB" w:bidi="ar-SA"/>
        </w:rPr>
        <w:drawing>
          <wp:inline distT="114300" distB="114300" distL="114300" distR="114300" wp14:anchorId="2C2AD8A3" wp14:editId="02C5B1CC">
            <wp:extent cx="5010150" cy="333375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2"/>
                    <a:srcRect/>
                    <a:stretch>
                      <a:fillRect/>
                    </a:stretch>
                  </pic:blipFill>
                  <pic:spPr>
                    <a:xfrm>
                      <a:off x="0" y="0"/>
                      <a:ext cx="5010150" cy="3333750"/>
                    </a:xfrm>
                    <a:prstGeom prst="rect">
                      <a:avLst/>
                    </a:prstGeom>
                    <a:ln/>
                  </pic:spPr>
                </pic:pic>
              </a:graphicData>
            </a:graphic>
          </wp:inline>
        </w:drawing>
      </w:r>
      <w:r>
        <w:t xml:space="preserve"> </w:t>
      </w:r>
    </w:p>
    <w:p w14:paraId="51D26F23" w14:textId="77777777" w:rsidR="00837D06" w:rsidRDefault="00F109A5">
      <w:pPr>
        <w:ind w:right="-20"/>
        <w:rPr>
          <w:b/>
          <w:color w:val="4F81BD"/>
        </w:rPr>
      </w:pPr>
      <w:r>
        <w:rPr>
          <w:b/>
          <w:color w:val="4F81BD"/>
        </w:rPr>
        <w:t>Figure</w:t>
      </w:r>
      <w:r>
        <w:rPr>
          <w:color w:val="4F81BD"/>
        </w:rPr>
        <w:t xml:space="preserve"> </w:t>
      </w:r>
      <w:r>
        <w:rPr>
          <w:b/>
          <w:color w:val="4F81BD"/>
        </w:rPr>
        <w:t>3:</w:t>
      </w:r>
      <w:r>
        <w:rPr>
          <w:color w:val="4F81BD"/>
        </w:rPr>
        <w:t xml:space="preserve"> </w:t>
      </w:r>
      <w:r>
        <w:rPr>
          <w:b/>
          <w:color w:val="4F81BD"/>
        </w:rPr>
        <w:t>Source:</w:t>
      </w:r>
      <w:r>
        <w:rPr>
          <w:color w:val="4F81BD"/>
        </w:rPr>
        <w:t xml:space="preserve"> </w:t>
      </w:r>
      <w:r>
        <w:rPr>
          <w:b/>
          <w:color w:val="4F81BD"/>
        </w:rPr>
        <w:t>PFLP,</w:t>
      </w:r>
      <w:r>
        <w:rPr>
          <w:color w:val="4F81BD"/>
        </w:rPr>
        <w:t xml:space="preserve"> </w:t>
      </w:r>
      <w:r>
        <w:rPr>
          <w:b/>
          <w:color w:val="4F81BD"/>
        </w:rPr>
        <w:t>“UNRWA</w:t>
      </w:r>
      <w:r>
        <w:rPr>
          <w:color w:val="4F81BD"/>
        </w:rPr>
        <w:t xml:space="preserve"> </w:t>
      </w:r>
      <w:r>
        <w:rPr>
          <w:b/>
          <w:color w:val="4F81BD"/>
        </w:rPr>
        <w:t>crisis</w:t>
      </w:r>
      <w:r>
        <w:rPr>
          <w:color w:val="4F81BD"/>
        </w:rPr>
        <w:t xml:space="preserve"> </w:t>
      </w:r>
      <w:r>
        <w:rPr>
          <w:b/>
          <w:color w:val="4F81BD"/>
        </w:rPr>
        <w:t>is</w:t>
      </w:r>
      <w:r>
        <w:rPr>
          <w:color w:val="4F81BD"/>
        </w:rPr>
        <w:t xml:space="preserve"> </w:t>
      </w:r>
      <w:r>
        <w:rPr>
          <w:b/>
          <w:color w:val="4F81BD"/>
        </w:rPr>
        <w:t>being</w:t>
      </w:r>
      <w:r>
        <w:rPr>
          <w:color w:val="4F81BD"/>
        </w:rPr>
        <w:t xml:space="preserve"> </w:t>
      </w:r>
      <w:r>
        <w:rPr>
          <w:b/>
          <w:color w:val="4F81BD"/>
        </w:rPr>
        <w:t>manufactured</w:t>
      </w:r>
      <w:r>
        <w:rPr>
          <w:color w:val="4F81BD"/>
        </w:rPr>
        <w:t xml:space="preserve"> </w:t>
      </w:r>
      <w:r>
        <w:rPr>
          <w:b/>
          <w:color w:val="4F81BD"/>
        </w:rPr>
        <w:t>to</w:t>
      </w:r>
      <w:r>
        <w:rPr>
          <w:color w:val="4F81BD"/>
        </w:rPr>
        <w:t xml:space="preserve"> </w:t>
      </w:r>
      <w:r>
        <w:rPr>
          <w:b/>
          <w:color w:val="4F81BD"/>
        </w:rPr>
        <w:t>liquidate</w:t>
      </w:r>
      <w:r>
        <w:rPr>
          <w:color w:val="4F81BD"/>
        </w:rPr>
        <w:t xml:space="preserve"> </w:t>
      </w:r>
      <w:r>
        <w:rPr>
          <w:b/>
          <w:color w:val="4F81BD"/>
        </w:rPr>
        <w:t>refugees’</w:t>
      </w:r>
      <w:r>
        <w:rPr>
          <w:color w:val="4F81BD"/>
        </w:rPr>
        <w:t xml:space="preserve"> </w:t>
      </w:r>
      <w:r>
        <w:rPr>
          <w:b/>
          <w:color w:val="4F81BD"/>
        </w:rPr>
        <w:t>rights,”</w:t>
      </w:r>
      <w:r>
        <w:rPr>
          <w:color w:val="4F81BD"/>
        </w:rPr>
        <w:t xml:space="preserve"> </w:t>
      </w:r>
      <w:r>
        <w:rPr>
          <w:b/>
          <w:color w:val="4F81BD"/>
        </w:rPr>
        <w:t>August</w:t>
      </w:r>
      <w:r>
        <w:rPr>
          <w:color w:val="4F81BD"/>
        </w:rPr>
        <w:t xml:space="preserve"> </w:t>
      </w:r>
      <w:r>
        <w:rPr>
          <w:b/>
          <w:color w:val="4F81BD"/>
        </w:rPr>
        <w:t>9,</w:t>
      </w:r>
      <w:r>
        <w:rPr>
          <w:color w:val="4F81BD"/>
        </w:rPr>
        <w:t xml:space="preserve"> </w:t>
      </w:r>
      <w:r>
        <w:rPr>
          <w:b/>
          <w:color w:val="4F81BD"/>
        </w:rPr>
        <w:t>2015:</w:t>
      </w:r>
    </w:p>
    <w:p w14:paraId="10FE75E6" w14:textId="77777777" w:rsidR="00837D06" w:rsidRDefault="00F109A5">
      <w:r>
        <w:t xml:space="preserve"> </w:t>
      </w:r>
    </w:p>
    <w:p w14:paraId="0CFDA66A" w14:textId="77777777" w:rsidR="00837D06" w:rsidRDefault="00F109A5">
      <w:pPr>
        <w:spacing w:after="20" w:line="220" w:lineRule="auto"/>
      </w:pPr>
      <w:r>
        <w:t xml:space="preserve"> </w:t>
      </w:r>
    </w:p>
    <w:p w14:paraId="79E5EA46" w14:textId="77777777" w:rsidR="00837D06" w:rsidRDefault="00F109A5">
      <w:pPr>
        <w:ind w:right="620"/>
      </w:pPr>
      <w:r>
        <w:t>Hamas regularly recruited and used children in the context of the violence on the Israel-Gaza border that began in March 2018. For example:</w:t>
      </w:r>
    </w:p>
    <w:p w14:paraId="0459815C" w14:textId="77777777" w:rsidR="00837D06" w:rsidRDefault="00F109A5">
      <w:pPr>
        <w:ind w:left="720" w:right="1220"/>
      </w:pPr>
      <w:r>
        <w:t>● March 25, 2018:</w:t>
      </w:r>
      <w:hyperlink r:id="rId73">
        <w:r>
          <w:t xml:space="preserve"> </w:t>
        </w:r>
      </w:hyperlink>
      <w:hyperlink r:id="rId74">
        <w:r>
          <w:rPr>
            <w:color w:val="1155CC"/>
            <w:u w:val="single"/>
          </w:rPr>
          <w:t>Hamas sent a 7-year-old girl to the Gaza security fence during</w:t>
        </w:r>
      </w:hyperlink>
      <w:hyperlink r:id="rId75">
        <w:r>
          <w:t xml:space="preserve"> </w:t>
        </w:r>
      </w:hyperlink>
      <w:hyperlink r:id="rId76">
        <w:r>
          <w:rPr>
            <w:color w:val="1155CC"/>
            <w:u w:val="single"/>
          </w:rPr>
          <w:t>protests</w:t>
        </w:r>
      </w:hyperlink>
      <w:r>
        <w:t>. The IDF ensured that she returned to her parents safely.</w:t>
      </w:r>
    </w:p>
    <w:p w14:paraId="78C458B2" w14:textId="77777777" w:rsidR="00837D06" w:rsidRDefault="00F109A5">
      <w:pPr>
        <w:ind w:left="720" w:right="540"/>
      </w:pPr>
      <w:r>
        <w:t>● April 23, 2018: YNet News published an article “IDF:</w:t>
      </w:r>
      <w:hyperlink r:id="rId77">
        <w:r>
          <w:t xml:space="preserve"> </w:t>
        </w:r>
      </w:hyperlink>
      <w:hyperlink r:id="rId78">
        <w:r>
          <w:rPr>
            <w:color w:val="1155CC"/>
            <w:u w:val="single"/>
          </w:rPr>
          <w:t>Hamas sending children</w:t>
        </w:r>
      </w:hyperlink>
      <w:r>
        <w:rPr>
          <w:color w:val="1155CC"/>
        </w:rPr>
        <w:t xml:space="preserve"> </w:t>
      </w:r>
      <w:r>
        <w:t>at us.” The IDF is quoted stating that</w:t>
      </w:r>
      <w:hyperlink r:id="rId79">
        <w:r>
          <w:t xml:space="preserve"> </w:t>
        </w:r>
      </w:hyperlink>
      <w:hyperlink r:id="rId80">
        <w:r>
          <w:rPr>
            <w:u w:val="single"/>
          </w:rPr>
          <w:t>“</w:t>
        </w:r>
      </w:hyperlink>
      <w:hyperlink r:id="rId81">
        <w:r>
          <w:rPr>
            <w:color w:val="1155CC"/>
            <w:u w:val="single"/>
          </w:rPr>
          <w:t>Hamas encourages young children</w:t>
        </w:r>
      </w:hyperlink>
      <w:r>
        <w:t>, some of them aged no more than 10, to take part in riots on the Gaza border fence—using them as glorified human shields with the knowledge that the IDF will refrain from shooting at them.” The article features numerous photos of children throwing rocks, using slingshots, and collecting tires (to be burnt along the fence). The article also includes video footage of</w:t>
      </w:r>
      <w:hyperlink r:id="rId82">
        <w:r>
          <w:t xml:space="preserve"> </w:t>
        </w:r>
      </w:hyperlink>
      <w:hyperlink r:id="rId83">
        <w:r>
          <w:rPr>
            <w:color w:val="1155CC"/>
            <w:u w:val="single"/>
          </w:rPr>
          <w:t>children participating in the demonstrations</w:t>
        </w:r>
      </w:hyperlink>
      <w:r>
        <w:t>.</w:t>
      </w:r>
    </w:p>
    <w:p w14:paraId="1F8BA04C" w14:textId="77777777" w:rsidR="00837D06" w:rsidRDefault="00F109A5">
      <w:pPr>
        <w:ind w:left="720" w:right="720"/>
      </w:pPr>
      <w:r>
        <w:lastRenderedPageBreak/>
        <w:t>● April 24, 2018: An article in Israel Hayom “</w:t>
      </w:r>
      <w:hyperlink r:id="rId84">
        <w:r>
          <w:rPr>
            <w:color w:val="1155CC"/>
            <w:u w:val="single"/>
          </w:rPr>
          <w:t>Hamas uses children as human shields</w:t>
        </w:r>
      </w:hyperlink>
      <w:r>
        <w:t>,” features a photo of children participating in the violent demonstrations.</w:t>
      </w:r>
    </w:p>
    <w:p w14:paraId="4A91525C" w14:textId="77777777" w:rsidR="00837D06" w:rsidRDefault="00F109A5">
      <w:pPr>
        <w:ind w:left="720" w:right="1080"/>
      </w:pPr>
      <w:r>
        <w:t>● July 25, 2018: The IDF stated that “deadly violence” that took place on the</w:t>
      </w:r>
      <w:hyperlink r:id="rId85">
        <w:r>
          <w:t xml:space="preserve"> </w:t>
        </w:r>
      </w:hyperlink>
      <w:hyperlink r:id="rId86">
        <w:r>
          <w:rPr>
            <w:color w:val="1155CC"/>
            <w:u w:val="single"/>
          </w:rPr>
          <w:t>Gaza</w:t>
        </w:r>
      </w:hyperlink>
      <w:hyperlink r:id="rId87">
        <w:r>
          <w:t xml:space="preserve"> </w:t>
        </w:r>
      </w:hyperlink>
      <w:hyperlink r:id="rId88">
        <w:r>
          <w:rPr>
            <w:color w:val="1155CC"/>
            <w:u w:val="single"/>
          </w:rPr>
          <w:t>border</w:t>
        </w:r>
      </w:hyperlink>
      <w:r>
        <w:rPr>
          <w:color w:val="1155CC"/>
          <w:u w:val="single"/>
        </w:rPr>
        <w:t xml:space="preserve"> </w:t>
      </w:r>
      <w:r>
        <w:t>on July 25 began with a “bait” riot staged by children, which lured IDF soldiers into Hamas and other terror groups’ sniper range.</w:t>
      </w:r>
    </w:p>
    <w:p w14:paraId="44116997" w14:textId="77777777" w:rsidR="00837D06" w:rsidRDefault="00F109A5">
      <w:pPr>
        <w:spacing w:after="40"/>
      </w:pPr>
      <w:r>
        <w:t xml:space="preserve"> </w:t>
      </w:r>
    </w:p>
    <w:p w14:paraId="6B0C9B59" w14:textId="77777777" w:rsidR="00837D06" w:rsidRDefault="00F109A5">
      <w:pPr>
        <w:ind w:right="1180"/>
      </w:pPr>
      <w:r>
        <w:t>In the midst of the border operations, Hamas also held “summer camps” for Palestinian children to indoctrinate and provide military training:</w:t>
      </w:r>
    </w:p>
    <w:p w14:paraId="5DB088D6" w14:textId="77777777" w:rsidR="00837D06" w:rsidRDefault="00F109A5">
      <w:pPr>
        <w:spacing w:after="40"/>
      </w:pPr>
      <w:r>
        <w:t xml:space="preserve"> </w:t>
      </w:r>
    </w:p>
    <w:p w14:paraId="587E5BF9" w14:textId="77777777" w:rsidR="00837D06" w:rsidRDefault="00F109A5">
      <w:pPr>
        <w:ind w:left="720" w:right="680"/>
      </w:pPr>
      <w:r>
        <w:t>Most of the activity is devoted to basic military training. The youths are trained by instructors wearing uniforms bearing the insignia and badges of Hamas’s Izz al-Din alQassam Brigades. In addition to summer camps held in Hamas facilities, summer camps are held in schools throughout the Gaza Strip. Most of them are organized by Hamas on a wider scale (tens of thousands of participants). The summer camps in schools are also devoted primarily to military training and ideological indoctrination by Hamas.[1] Training during these summer camps is a supplement to the military training, both theoretical and practical, undergone by high school students during the school year.64</w:t>
      </w:r>
    </w:p>
    <w:p w14:paraId="029B3E52" w14:textId="77777777" w:rsidR="00837D06" w:rsidRDefault="00F109A5">
      <w:r>
        <w:t xml:space="preserve"> </w:t>
      </w:r>
    </w:p>
    <w:p w14:paraId="18B2819E" w14:textId="77777777" w:rsidR="00837D06" w:rsidRDefault="00F109A5">
      <w:pPr>
        <w:spacing w:after="100"/>
      </w:pPr>
      <w:r>
        <w:t xml:space="preserve"> </w:t>
      </w:r>
    </w:p>
    <w:p w14:paraId="13235C3A" w14:textId="77777777" w:rsidR="00837D06" w:rsidRDefault="00F109A5">
      <w:pPr>
        <w:ind w:right="680"/>
      </w:pPr>
      <w:r>
        <w:t>The slogan for the 2018 summer camps was “I am returning to my homeland,” referring to the ultimate objective of the border attacks of “return” – a euphemism for the destruction of the State of Israel. The</w:t>
      </w:r>
      <w:hyperlink r:id="rId89">
        <w:r>
          <w:t xml:space="preserve"> </w:t>
        </w:r>
      </w:hyperlink>
      <w:hyperlink r:id="rId90">
        <w:r>
          <w:rPr>
            <w:color w:val="1155CC"/>
            <w:u w:val="single"/>
          </w:rPr>
          <w:t>camps also included specific military training</w:t>
        </w:r>
      </w:hyperlink>
      <w:r>
        <w:rPr>
          <w:color w:val="1155CC"/>
        </w:rPr>
        <w:t xml:space="preserve"> </w:t>
      </w:r>
      <w:r>
        <w:t>for the “marches” such as “launching balloons, throwing stones, collecting tires and glorifying the shaheeds killed during the ‘marches.’” Simulating and training for the abduction of Israeli soldiers was a significant component.</w:t>
      </w:r>
    </w:p>
    <w:p w14:paraId="4E95CEAC" w14:textId="77777777" w:rsidR="00837D06" w:rsidRDefault="00F109A5">
      <w:pPr>
        <w:spacing w:after="40"/>
      </w:pPr>
      <w:r>
        <w:t xml:space="preserve"> </w:t>
      </w:r>
    </w:p>
    <w:p w14:paraId="64267FC3" w14:textId="77777777" w:rsidR="00837D06" w:rsidRDefault="00F109A5">
      <w:pPr>
        <w:ind w:right="940"/>
      </w:pPr>
      <w:r>
        <w:t>In May 2018, a</w:t>
      </w:r>
      <w:hyperlink r:id="rId91">
        <w:r>
          <w:t xml:space="preserve"> </w:t>
        </w:r>
      </w:hyperlink>
      <w:hyperlink r:id="rId92">
        <w:r>
          <w:rPr>
            <w:color w:val="1155CC"/>
            <w:u w:val="single"/>
          </w:rPr>
          <w:t>16-year-old was killed during the violence along the Israel-Gaza border</w:t>
        </w:r>
      </w:hyperlink>
      <w:hyperlink r:id="rId93">
        <w:r>
          <w:rPr>
            <w:u w:val="single"/>
          </w:rPr>
          <w:t>.</w:t>
        </w:r>
      </w:hyperlink>
      <w:r>
        <w:t xml:space="preserve"> Palestinian Islamic Jihad posted a death notice for the individual including a photo of him wearing military uniform.</w:t>
      </w:r>
    </w:p>
    <w:p w14:paraId="34004F88" w14:textId="77777777" w:rsidR="00837D06" w:rsidRDefault="00F109A5">
      <w:r>
        <w:t xml:space="preserve"> </w:t>
      </w:r>
    </w:p>
    <w:p w14:paraId="0AF7D945" w14:textId="77777777" w:rsidR="00837D06" w:rsidRDefault="00837D06">
      <w:pPr>
        <w:spacing w:after="80"/>
        <w:rPr>
          <w:b/>
        </w:rPr>
      </w:pPr>
    </w:p>
    <w:p w14:paraId="6156DCC5" w14:textId="77777777" w:rsidR="00837D06" w:rsidRDefault="00F109A5">
      <w:pPr>
        <w:spacing w:after="80"/>
        <w:rPr>
          <w:b/>
        </w:rPr>
      </w:pPr>
      <w:r>
        <w:rPr>
          <w:b/>
        </w:rPr>
        <w:t>Violations of Right to Health and a Clean Environment</w:t>
      </w:r>
    </w:p>
    <w:p w14:paraId="5C604DF4" w14:textId="77777777" w:rsidR="00837D06" w:rsidRDefault="00F109A5">
      <w:pPr>
        <w:spacing w:after="80"/>
      </w:pPr>
      <w:r>
        <w:t>In addition to its on-going campaign of antisemitic and anti-Israel incitement, both the PA and Hamas violate the Palestinian rights to health and the environment under the ICESCR.</w:t>
      </w:r>
    </w:p>
    <w:p w14:paraId="759B620E" w14:textId="77777777" w:rsidR="00837D06" w:rsidRDefault="00F109A5">
      <w:pPr>
        <w:spacing w:after="80"/>
      </w:pPr>
      <w:r>
        <w:t xml:space="preserve"> </w:t>
      </w:r>
    </w:p>
    <w:p w14:paraId="650D99D0" w14:textId="77777777" w:rsidR="00837D06" w:rsidRDefault="00F109A5">
      <w:pPr>
        <w:shd w:val="clear" w:color="auto" w:fill="FFFFFF"/>
        <w:jc w:val="both"/>
      </w:pPr>
      <w:r>
        <w:t xml:space="preserve">The power struggle between the PA and Hamas has directly harmed Gaza’s health infrastructure, leading Palestinians to seek treatment in Israel. For many years, the PA has reduced “essential services” to Gaza leading to a shortage of essential drugs and the delaying of medical referrals and treatment outside Gaza. More than two million Gazans are impacted. The </w:t>
      </w:r>
      <w:hyperlink r:id="rId94">
        <w:r>
          <w:rPr>
            <w:color w:val="0432FF"/>
            <w:u w:val="single"/>
          </w:rPr>
          <w:t>UN itself admits fighting between Palestinian factions</w:t>
        </w:r>
      </w:hyperlink>
      <w:r>
        <w:t xml:space="preserve"> is responsible for Gaza’s health problems in its July 2017 funding appeal: “Delays in the shipment of essential drugs and disposables from the West Bank by the PA’s Ministry of Health (MoH), has resulted in some </w:t>
      </w:r>
      <w:r>
        <w:lastRenderedPageBreak/>
        <w:t>37% per cent of essential pharmaceuticals and 32% of medical supplies being at zero stock at Gaza’s Central Drug Store.” This document also notes that it is the PA that has been responsible for permitting delays and not Israel: “The MoH appears to have also recently been delaying or suspending the payment for the referral of patients to medical treatment outside Gaza, as reported by the World Health Organization, with about 1,600 patients currently on a waiting-list at the time this document went to print. This may be resulting in higher mortality rates among waiting patients, including highly vulnerable neonates.” And</w:t>
      </w:r>
      <w:hyperlink r:id="rId95">
        <w:r>
          <w:t xml:space="preserve"> </w:t>
        </w:r>
      </w:hyperlink>
      <w:hyperlink r:id="rId96">
        <w:r>
          <w:rPr>
            <w:color w:val="0432FF"/>
            <w:u w:val="single"/>
          </w:rPr>
          <w:t>the PA’s reduction of support for Gaza</w:t>
        </w:r>
      </w:hyperlink>
      <w:r>
        <w:t xml:space="preserve"> has led to severe electricity shortages at Gaza medical centers.</w:t>
      </w:r>
    </w:p>
    <w:p w14:paraId="55D29B99" w14:textId="77777777" w:rsidR="00837D06" w:rsidRDefault="00F109A5">
      <w:pPr>
        <w:shd w:val="clear" w:color="auto" w:fill="FFFFFF"/>
        <w:jc w:val="both"/>
      </w:pPr>
      <w:r>
        <w:t xml:space="preserve"> </w:t>
      </w:r>
    </w:p>
    <w:p w14:paraId="0BA83106" w14:textId="77777777" w:rsidR="00837D06" w:rsidRDefault="00F109A5">
      <w:pPr>
        <w:shd w:val="clear" w:color="auto" w:fill="FFFFFF"/>
        <w:jc w:val="both"/>
        <w:rPr>
          <w:color w:val="363745"/>
        </w:rPr>
      </w:pPr>
      <w:r>
        <w:rPr>
          <w:color w:val="363745"/>
        </w:rPr>
        <w:t xml:space="preserve">Similarly, Hamas has </w:t>
      </w:r>
      <w:hyperlink r:id="rId97">
        <w:r>
          <w:rPr>
            <w:color w:val="0000FF"/>
            <w:u w:val="single"/>
          </w:rPr>
          <w:t>consistently</w:t>
        </w:r>
      </w:hyperlink>
      <w:r>
        <w:rPr>
          <w:color w:val="363745"/>
        </w:rPr>
        <w:t xml:space="preserve"> stolen humanitarian aid intended for Gaza’s civilian population, including </w:t>
      </w:r>
      <w:hyperlink r:id="rId98">
        <w:r>
          <w:rPr>
            <w:color w:val="0000FF"/>
            <w:u w:val="single"/>
          </w:rPr>
          <w:t>accusations of theft</w:t>
        </w:r>
      </w:hyperlink>
      <w:r>
        <w:rPr>
          <w:color w:val="363745"/>
        </w:rPr>
        <w:t xml:space="preserve"> of </w:t>
      </w:r>
      <w:hyperlink r:id="rId99">
        <w:r>
          <w:rPr>
            <w:color w:val="0000FF"/>
            <w:u w:val="single"/>
          </w:rPr>
          <w:t>medical supplies</w:t>
        </w:r>
      </w:hyperlink>
      <w:r>
        <w:rPr>
          <w:color w:val="363745"/>
        </w:rPr>
        <w:t xml:space="preserve">. Hamas has regularly violated international law by commandeering ambulances and placing military command posts within medical facilities. This abuse directly and adversely affects the quality of health in Gaza. A committed effort on the part of Hamas to use international humanitarian assistance to develop quality medical care for Gaza residents would remove the need to rely on Israeli facilities. Instead, the terrorist organization has </w:t>
      </w:r>
      <w:hyperlink r:id="rId100">
        <w:r>
          <w:rPr>
            <w:color w:val="0000FF"/>
            <w:u w:val="single"/>
          </w:rPr>
          <w:t>diverted these resources</w:t>
        </w:r>
      </w:hyperlink>
      <w:r>
        <w:rPr>
          <w:color w:val="363745"/>
        </w:rPr>
        <w:t xml:space="preserve"> towards </w:t>
      </w:r>
      <w:hyperlink r:id="rId101">
        <w:r>
          <w:rPr>
            <w:color w:val="0000FF"/>
            <w:u w:val="single"/>
          </w:rPr>
          <w:t>enhancing</w:t>
        </w:r>
      </w:hyperlink>
      <w:r>
        <w:rPr>
          <w:color w:val="363745"/>
        </w:rPr>
        <w:t xml:space="preserve"> its </w:t>
      </w:r>
      <w:hyperlink r:id="rId102">
        <w:r>
          <w:rPr>
            <w:color w:val="0000FF"/>
            <w:u w:val="single"/>
          </w:rPr>
          <w:t>military capabilities</w:t>
        </w:r>
      </w:hyperlink>
      <w:r>
        <w:rPr>
          <w:color w:val="363745"/>
        </w:rPr>
        <w:t>.</w:t>
      </w:r>
    </w:p>
    <w:p w14:paraId="4E6D70FF" w14:textId="77777777" w:rsidR="00837D06" w:rsidRDefault="00F109A5">
      <w:pPr>
        <w:shd w:val="clear" w:color="auto" w:fill="FFFFFF"/>
        <w:jc w:val="both"/>
        <w:rPr>
          <w:color w:val="363745"/>
        </w:rPr>
      </w:pPr>
      <w:r>
        <w:rPr>
          <w:color w:val="363745"/>
        </w:rPr>
        <w:t xml:space="preserve"> </w:t>
      </w:r>
    </w:p>
    <w:p w14:paraId="5794BADB" w14:textId="77777777" w:rsidR="00837D06" w:rsidRDefault="00F109A5">
      <w:pPr>
        <w:shd w:val="clear" w:color="auto" w:fill="FFFFFF"/>
        <w:spacing w:after="220"/>
        <w:rPr>
          <w:color w:val="363745"/>
        </w:rPr>
      </w:pPr>
      <w:r>
        <w:t>Hamas and other Palestinian armed groups under Hamas control have also abused medical travel permits to engage in terrorist activity. For instance,</w:t>
      </w:r>
      <w:r>
        <w:rPr>
          <w:b/>
        </w:rPr>
        <w:t xml:space="preserve"> </w:t>
      </w:r>
      <w:r>
        <w:rPr>
          <w:color w:val="363745"/>
        </w:rPr>
        <w:t xml:space="preserve">in April 2017, two Gazan women were arrested while </w:t>
      </w:r>
      <w:hyperlink r:id="rId103">
        <w:r>
          <w:rPr>
            <w:color w:val="0000FF"/>
            <w:u w:val="single"/>
          </w:rPr>
          <w:t>attempting to smuggle explosives from Gaza into Israel</w:t>
        </w:r>
      </w:hyperlink>
      <w:r>
        <w:rPr>
          <w:color w:val="363745"/>
        </w:rPr>
        <w:t>, with the aid of their medical travel permits.</w:t>
      </w:r>
      <w:r>
        <w:rPr>
          <w:b/>
          <w:color w:val="2D487C"/>
        </w:rPr>
        <w:t xml:space="preserve"> </w:t>
      </w:r>
      <w:r>
        <w:rPr>
          <w:color w:val="363745"/>
        </w:rPr>
        <w:t xml:space="preserve">This incident represents just </w:t>
      </w:r>
      <w:hyperlink r:id="rId104" w:anchor="page=4">
        <w:r>
          <w:rPr>
            <w:color w:val="0000FF"/>
            <w:u w:val="single"/>
          </w:rPr>
          <w:t>one episode in a long history</w:t>
        </w:r>
      </w:hyperlink>
      <w:r>
        <w:rPr>
          <w:color w:val="363745"/>
        </w:rPr>
        <w:t xml:space="preserve"> of attempts by Palestinian terrorist organization to take advantage of Israeli medical permits in order to launch attacks on Israeli citizens.</w:t>
      </w:r>
    </w:p>
    <w:p w14:paraId="7FD143B0" w14:textId="77777777" w:rsidR="00837D06" w:rsidRDefault="00F109A5">
      <w:pPr>
        <w:shd w:val="clear" w:color="auto" w:fill="FFFFFF"/>
        <w:spacing w:before="100" w:after="100"/>
        <w:jc w:val="both"/>
        <w:rPr>
          <w:color w:val="363745"/>
        </w:rPr>
      </w:pPr>
      <w:r>
        <w:rPr>
          <w:color w:val="363745"/>
        </w:rPr>
        <w:t>Claims that the number of Palestinians that crossed into Israel through the Erez crossing represented 1% of the number who had crossed in September 2000. The fact that this stark decrease corresponds to a decade-and-a-half period that saw the Palestinian suicide bombing campaign, Hamas’ violent takeover of Gaza, and extensive rocket fire directed at Israeli civilians leading to multiple military conflicts, clearly proves the decisive role that Palestinian violence has played in limiting access to Israeli medical facilities.</w:t>
      </w:r>
    </w:p>
    <w:p w14:paraId="1A1EB8DE" w14:textId="77777777" w:rsidR="00837D06" w:rsidRDefault="00F109A5">
      <w:pPr>
        <w:shd w:val="clear" w:color="auto" w:fill="FFFFFF"/>
        <w:spacing w:before="100" w:after="100"/>
        <w:jc w:val="both"/>
        <w:rPr>
          <w:color w:val="363745"/>
        </w:rPr>
      </w:pPr>
      <w:r>
        <w:rPr>
          <w:color w:val="363745"/>
        </w:rPr>
        <w:t xml:space="preserve"> </w:t>
      </w:r>
    </w:p>
    <w:p w14:paraId="27A6CEED" w14:textId="77777777" w:rsidR="00837D06" w:rsidRDefault="00F109A5">
      <w:pPr>
        <w:shd w:val="clear" w:color="auto" w:fill="FFFFFF"/>
        <w:spacing w:before="100" w:after="100"/>
        <w:jc w:val="both"/>
        <w:rPr>
          <w:color w:val="363745"/>
        </w:rPr>
      </w:pPr>
      <w:r>
        <w:rPr>
          <w:color w:val="363745"/>
        </w:rPr>
        <w:t>The PA’s zero-sum approach to its relations with Israel has also intensified during the Covid-19 pandemic endangering the lives of millions of Palestinians. For example, the</w:t>
      </w:r>
      <w:hyperlink r:id="rId105">
        <w:r>
          <w:rPr>
            <w:color w:val="363745"/>
          </w:rPr>
          <w:t xml:space="preserve"> </w:t>
        </w:r>
      </w:hyperlink>
      <w:hyperlink r:id="rId106">
        <w:r>
          <w:rPr>
            <w:color w:val="0000FF"/>
            <w:u w:val="single"/>
          </w:rPr>
          <w:t>PA has rejected multiple shipments of medical aid f</w:t>
        </w:r>
      </w:hyperlink>
      <w:r>
        <w:rPr>
          <w:color w:val="363745"/>
        </w:rPr>
        <w:t>rom both Israel and the UAE and has even</w:t>
      </w:r>
      <w:hyperlink r:id="rId107">
        <w:r>
          <w:rPr>
            <w:color w:val="363745"/>
          </w:rPr>
          <w:t xml:space="preserve"> </w:t>
        </w:r>
      </w:hyperlink>
      <w:hyperlink r:id="rId108">
        <w:r>
          <w:rPr>
            <w:color w:val="0000FF"/>
            <w:u w:val="single"/>
          </w:rPr>
          <w:t>refused hundreds of thousands of doses</w:t>
        </w:r>
      </w:hyperlink>
      <w:r>
        <w:rPr>
          <w:color w:val="363745"/>
        </w:rPr>
        <w:t xml:space="preserve"> of the Pfizer vaccine under spurious claims that the vaccines were expired (after the</w:t>
      </w:r>
      <w:hyperlink r:id="rId109">
        <w:r>
          <w:rPr>
            <w:color w:val="363745"/>
          </w:rPr>
          <w:t xml:space="preserve"> </w:t>
        </w:r>
      </w:hyperlink>
      <w:hyperlink r:id="rId110">
        <w:r>
          <w:rPr>
            <w:color w:val="0000FF"/>
            <w:u w:val="single"/>
          </w:rPr>
          <w:t>Palestinian refusal of the vaccines</w:t>
        </w:r>
      </w:hyperlink>
      <w:r>
        <w:rPr>
          <w:color w:val="363745"/>
        </w:rPr>
        <w:t>, Israel gave them to South Korea, which gladly accepted them).</w:t>
      </w:r>
    </w:p>
    <w:p w14:paraId="455D2F5E" w14:textId="77777777" w:rsidR="00837D06" w:rsidRDefault="00F109A5">
      <w:pPr>
        <w:spacing w:after="80"/>
      </w:pPr>
      <w:r>
        <w:t xml:space="preserve"> </w:t>
      </w:r>
    </w:p>
    <w:p w14:paraId="22EEF7C0" w14:textId="77777777" w:rsidR="00837D06" w:rsidRDefault="00F109A5">
      <w:r>
        <w:t>The</w:t>
      </w:r>
      <w:hyperlink r:id="rId111">
        <w:r>
          <w:t xml:space="preserve"> </w:t>
        </w:r>
      </w:hyperlink>
      <w:hyperlink r:id="rId112">
        <w:r>
          <w:rPr>
            <w:color w:val="0000FF"/>
            <w:u w:val="single"/>
          </w:rPr>
          <w:t>PA has also rejected water desalinization projects and wastewater treatment infrastructure</w:t>
        </w:r>
      </w:hyperlink>
      <w:r>
        <w:t>, in order to score political points against Israel rather than serve its own people. Water transcends conflicts and political boundaries, yet, the PA has weaponized these issues in violation of the ICESCR.</w:t>
      </w:r>
    </w:p>
    <w:p w14:paraId="44A348FB" w14:textId="77777777" w:rsidR="00837D06" w:rsidRDefault="00F109A5">
      <w:r>
        <w:t xml:space="preserve"> </w:t>
      </w:r>
    </w:p>
    <w:p w14:paraId="2127793B" w14:textId="77777777" w:rsidR="00B60BF1" w:rsidRDefault="00B60BF1">
      <w:pPr>
        <w:ind w:right="-20"/>
        <w:rPr>
          <w:b/>
        </w:rPr>
      </w:pPr>
    </w:p>
    <w:p w14:paraId="4733A2EB" w14:textId="23B63BF9" w:rsidR="00837D06" w:rsidRDefault="00F109A5">
      <w:pPr>
        <w:ind w:right="-20"/>
        <w:rPr>
          <w:b/>
        </w:rPr>
      </w:pPr>
      <w:r>
        <w:rPr>
          <w:b/>
        </w:rPr>
        <w:lastRenderedPageBreak/>
        <w:t>Recommendations</w:t>
      </w:r>
    </w:p>
    <w:p w14:paraId="22FDF421" w14:textId="77777777" w:rsidR="00837D06" w:rsidRDefault="00F109A5">
      <w:pPr>
        <w:spacing w:after="40"/>
      </w:pPr>
      <w:r>
        <w:t xml:space="preserve"> </w:t>
      </w:r>
    </w:p>
    <w:p w14:paraId="038B58E7" w14:textId="77777777" w:rsidR="00837D06" w:rsidRDefault="00F109A5">
      <w:pPr>
        <w:ind w:right="560"/>
      </w:pPr>
      <w:r>
        <w:t>This submission has highlighted only a small portion of the extreme campaigns of antisemitic and anti-Israel incitement, violence, and recruitment and use of child combatants actively carried out by the Palestinian Authority and Palestinian armed groups. It also has addressed the PA’s weaponization of health and the environment and the failure to combat the commandeering of humanitarian aid by Hamas and other armed groups at the expense of the Palestinian people. Fully documenting these destructive campaigns would require providing thousands upon thousands of pages to the Committee.</w:t>
      </w:r>
    </w:p>
    <w:p w14:paraId="13DE5144" w14:textId="77777777" w:rsidR="00837D06" w:rsidRDefault="00F109A5">
      <w:pPr>
        <w:spacing w:after="40"/>
      </w:pPr>
      <w:r>
        <w:t xml:space="preserve"> </w:t>
      </w:r>
    </w:p>
    <w:p w14:paraId="52E04BC8" w14:textId="3494D7B8" w:rsidR="00837D06" w:rsidRDefault="00F109A5">
      <w:pPr>
        <w:ind w:right="560"/>
      </w:pPr>
      <w:r>
        <w:t>Rather than creating a tolerant, liberal, and open society, the PA’s campaigns foster hatred, antisemitic discrimination, prolonged armed conflict, and endemic societal violence. These poisonous campaigns are not only a violation of the PA’s obligations under the ICESCR but is the primary obstacle to peace with Israel.</w:t>
      </w:r>
    </w:p>
    <w:p w14:paraId="01C82CB3" w14:textId="77777777" w:rsidR="00837D06" w:rsidRDefault="00F109A5">
      <w:pPr>
        <w:spacing w:after="40"/>
      </w:pPr>
      <w:r>
        <w:t xml:space="preserve"> </w:t>
      </w:r>
    </w:p>
    <w:p w14:paraId="776777DC" w14:textId="13DA7F91" w:rsidR="00837D06" w:rsidRDefault="00F109A5">
      <w:pPr>
        <w:spacing w:line="237" w:lineRule="auto"/>
        <w:ind w:right="580"/>
      </w:pPr>
      <w:r>
        <w:t xml:space="preserve">We therefore recommend the Committee address the following issues in its List of Issues in advance of the </w:t>
      </w:r>
      <w:r w:rsidR="00530A08">
        <w:t>Review of “State of Palestine”</w:t>
      </w:r>
      <w:r>
        <w:t>:</w:t>
      </w:r>
    </w:p>
    <w:p w14:paraId="39A39BC3" w14:textId="405CACE0" w:rsidR="00837D06" w:rsidRDefault="00F109A5" w:rsidP="00530A08">
      <w:r>
        <w:t xml:space="preserve"> </w:t>
      </w:r>
    </w:p>
    <w:p w14:paraId="549B6B7E" w14:textId="77777777" w:rsidR="00837D06" w:rsidRDefault="00F109A5">
      <w:pPr>
        <w:ind w:right="560"/>
        <w:rPr>
          <w:b/>
        </w:rPr>
      </w:pPr>
      <w:r>
        <w:rPr>
          <w:b/>
        </w:rPr>
        <w:t>The</w:t>
      </w:r>
      <w:r>
        <w:t xml:space="preserve"> </w:t>
      </w:r>
      <w:r>
        <w:rPr>
          <w:b/>
        </w:rPr>
        <w:t>Committee</w:t>
      </w:r>
      <w:r>
        <w:t xml:space="preserve"> </w:t>
      </w:r>
      <w:r>
        <w:rPr>
          <w:b/>
        </w:rPr>
        <w:t>must</w:t>
      </w:r>
      <w:r>
        <w:t xml:space="preserve"> </w:t>
      </w:r>
      <w:r>
        <w:rPr>
          <w:b/>
        </w:rPr>
        <w:t>ask</w:t>
      </w:r>
      <w:r>
        <w:t xml:space="preserve"> </w:t>
      </w:r>
      <w:r>
        <w:rPr>
          <w:b/>
        </w:rPr>
        <w:t>the</w:t>
      </w:r>
      <w:r>
        <w:t xml:space="preserve"> </w:t>
      </w:r>
      <w:r>
        <w:rPr>
          <w:b/>
        </w:rPr>
        <w:t>PA</w:t>
      </w:r>
      <w:r>
        <w:t xml:space="preserve"> </w:t>
      </w:r>
      <w:r>
        <w:rPr>
          <w:b/>
        </w:rPr>
        <w:t>to</w:t>
      </w:r>
      <w:r>
        <w:t xml:space="preserve"> </w:t>
      </w:r>
      <w:r>
        <w:rPr>
          <w:b/>
        </w:rPr>
        <w:t>address</w:t>
      </w:r>
      <w:r>
        <w:t xml:space="preserve"> </w:t>
      </w:r>
      <w:r>
        <w:rPr>
          <w:b/>
        </w:rPr>
        <w:t>the</w:t>
      </w:r>
      <w:r>
        <w:t xml:space="preserve"> </w:t>
      </w:r>
      <w:r>
        <w:rPr>
          <w:b/>
        </w:rPr>
        <w:t>issue</w:t>
      </w:r>
      <w:r>
        <w:t xml:space="preserve"> </w:t>
      </w:r>
      <w:r>
        <w:rPr>
          <w:b/>
        </w:rPr>
        <w:t>of</w:t>
      </w:r>
      <w:r>
        <w:t xml:space="preserve"> </w:t>
      </w:r>
      <w:r>
        <w:rPr>
          <w:b/>
        </w:rPr>
        <w:t>incitement</w:t>
      </w:r>
      <w:r>
        <w:t xml:space="preserve"> </w:t>
      </w:r>
      <w:r>
        <w:rPr>
          <w:b/>
        </w:rPr>
        <w:t>in</w:t>
      </w:r>
      <w:r>
        <w:t xml:space="preserve"> </w:t>
      </w:r>
      <w:r>
        <w:rPr>
          <w:b/>
        </w:rPr>
        <w:t>its</w:t>
      </w:r>
      <w:r>
        <w:t xml:space="preserve"> </w:t>
      </w:r>
      <w:r>
        <w:rPr>
          <w:b/>
        </w:rPr>
        <w:t>reporting</w:t>
      </w:r>
      <w:r>
        <w:t xml:space="preserve"> </w:t>
      </w:r>
      <w:r>
        <w:rPr>
          <w:b/>
        </w:rPr>
        <w:t>to</w:t>
      </w:r>
      <w:r>
        <w:t xml:space="preserve"> </w:t>
      </w:r>
      <w:r>
        <w:rPr>
          <w:b/>
        </w:rPr>
        <w:t>the</w:t>
      </w:r>
      <w:r>
        <w:t xml:space="preserve"> </w:t>
      </w:r>
      <w:r>
        <w:rPr>
          <w:b/>
        </w:rPr>
        <w:t>Committee.</w:t>
      </w:r>
    </w:p>
    <w:p w14:paraId="6977B0F0" w14:textId="77777777" w:rsidR="00837D06" w:rsidRDefault="00F109A5">
      <w:pPr>
        <w:spacing w:after="40"/>
      </w:pPr>
      <w:r>
        <w:t xml:space="preserve"> </w:t>
      </w:r>
    </w:p>
    <w:p w14:paraId="2FCBE42B" w14:textId="77777777" w:rsidR="00837D06" w:rsidRDefault="00F109A5">
      <w:pPr>
        <w:ind w:right="680"/>
        <w:rPr>
          <w:b/>
        </w:rPr>
      </w:pPr>
      <w:r>
        <w:rPr>
          <w:b/>
        </w:rPr>
        <w:t>The</w:t>
      </w:r>
      <w:r>
        <w:t xml:space="preserve"> </w:t>
      </w:r>
      <w:r>
        <w:rPr>
          <w:b/>
        </w:rPr>
        <w:t>Committee</w:t>
      </w:r>
      <w:r>
        <w:t xml:space="preserve"> </w:t>
      </w:r>
      <w:r>
        <w:rPr>
          <w:b/>
        </w:rPr>
        <w:t>must</w:t>
      </w:r>
      <w:r>
        <w:t xml:space="preserve"> </w:t>
      </w:r>
      <w:r>
        <w:rPr>
          <w:b/>
        </w:rPr>
        <w:t>ask</w:t>
      </w:r>
      <w:r>
        <w:t xml:space="preserve"> </w:t>
      </w:r>
      <w:r>
        <w:rPr>
          <w:b/>
        </w:rPr>
        <w:t>the</w:t>
      </w:r>
      <w:r>
        <w:t xml:space="preserve"> </w:t>
      </w:r>
      <w:r>
        <w:rPr>
          <w:b/>
        </w:rPr>
        <w:t>PA</w:t>
      </w:r>
      <w:r>
        <w:t xml:space="preserve"> </w:t>
      </w:r>
      <w:r>
        <w:rPr>
          <w:b/>
        </w:rPr>
        <w:t>what</w:t>
      </w:r>
      <w:r>
        <w:t xml:space="preserve"> </w:t>
      </w:r>
      <w:r>
        <w:rPr>
          <w:b/>
        </w:rPr>
        <w:t>it</w:t>
      </w:r>
      <w:r>
        <w:t xml:space="preserve"> </w:t>
      </w:r>
      <w:r>
        <w:rPr>
          <w:b/>
        </w:rPr>
        <w:t>is</w:t>
      </w:r>
      <w:r>
        <w:t xml:space="preserve"> </w:t>
      </w:r>
      <w:r>
        <w:rPr>
          <w:b/>
        </w:rPr>
        <w:t>doing</w:t>
      </w:r>
      <w:r>
        <w:t xml:space="preserve"> </w:t>
      </w:r>
      <w:r>
        <w:rPr>
          <w:b/>
        </w:rPr>
        <w:t>to</w:t>
      </w:r>
      <w:r>
        <w:t xml:space="preserve"> </w:t>
      </w:r>
      <w:r>
        <w:rPr>
          <w:b/>
        </w:rPr>
        <w:t>combat</w:t>
      </w:r>
      <w:r>
        <w:t xml:space="preserve"> </w:t>
      </w:r>
      <w:r>
        <w:rPr>
          <w:b/>
        </w:rPr>
        <w:t>campaigns</w:t>
      </w:r>
      <w:r>
        <w:t xml:space="preserve"> </w:t>
      </w:r>
      <w:r>
        <w:rPr>
          <w:b/>
        </w:rPr>
        <w:t>of</w:t>
      </w:r>
      <w:r>
        <w:t xml:space="preserve"> </w:t>
      </w:r>
      <w:r>
        <w:rPr>
          <w:b/>
        </w:rPr>
        <w:t>antisemitism,</w:t>
      </w:r>
      <w:r>
        <w:t xml:space="preserve"> </w:t>
      </w:r>
      <w:r>
        <w:rPr>
          <w:b/>
        </w:rPr>
        <w:t>racial</w:t>
      </w:r>
      <w:r>
        <w:t xml:space="preserve"> </w:t>
      </w:r>
      <w:r>
        <w:rPr>
          <w:b/>
        </w:rPr>
        <w:t>discrimination,</w:t>
      </w:r>
      <w:r>
        <w:t xml:space="preserve"> </w:t>
      </w:r>
      <w:r>
        <w:rPr>
          <w:b/>
        </w:rPr>
        <w:t>and</w:t>
      </w:r>
      <w:r>
        <w:t xml:space="preserve"> </w:t>
      </w:r>
      <w:r>
        <w:rPr>
          <w:b/>
        </w:rPr>
        <w:t>violent</w:t>
      </w:r>
      <w:r>
        <w:t xml:space="preserve"> </w:t>
      </w:r>
      <w:r>
        <w:rPr>
          <w:b/>
        </w:rPr>
        <w:t>incitement</w:t>
      </w:r>
      <w:r>
        <w:t xml:space="preserve"> </w:t>
      </w:r>
      <w:r>
        <w:rPr>
          <w:b/>
        </w:rPr>
        <w:t>by</w:t>
      </w:r>
      <w:r>
        <w:t xml:space="preserve"> </w:t>
      </w:r>
      <w:r>
        <w:rPr>
          <w:b/>
        </w:rPr>
        <w:t>Palestinian</w:t>
      </w:r>
      <w:r>
        <w:t xml:space="preserve"> </w:t>
      </w:r>
      <w:r>
        <w:rPr>
          <w:b/>
        </w:rPr>
        <w:t>armed</w:t>
      </w:r>
      <w:r>
        <w:t xml:space="preserve"> </w:t>
      </w:r>
      <w:r>
        <w:rPr>
          <w:b/>
        </w:rPr>
        <w:t>groups,</w:t>
      </w:r>
      <w:r>
        <w:t xml:space="preserve"> </w:t>
      </w:r>
      <w:r>
        <w:rPr>
          <w:b/>
        </w:rPr>
        <w:t>including</w:t>
      </w:r>
      <w:r>
        <w:t xml:space="preserve"> </w:t>
      </w:r>
      <w:r>
        <w:rPr>
          <w:b/>
        </w:rPr>
        <w:t>Hamas.</w:t>
      </w:r>
    </w:p>
    <w:p w14:paraId="3BFD1E90" w14:textId="77777777" w:rsidR="00837D06" w:rsidRDefault="00F109A5">
      <w:pPr>
        <w:spacing w:after="40"/>
      </w:pPr>
      <w:r>
        <w:t xml:space="preserve"> </w:t>
      </w:r>
    </w:p>
    <w:p w14:paraId="788A4516" w14:textId="77777777" w:rsidR="00837D06" w:rsidRDefault="00F109A5">
      <w:pPr>
        <w:ind w:right="760"/>
        <w:rPr>
          <w:b/>
        </w:rPr>
      </w:pPr>
      <w:r>
        <w:rPr>
          <w:b/>
        </w:rPr>
        <w:t>The</w:t>
      </w:r>
      <w:r>
        <w:t xml:space="preserve"> </w:t>
      </w:r>
      <w:r>
        <w:rPr>
          <w:b/>
        </w:rPr>
        <w:t>Committee</w:t>
      </w:r>
      <w:r>
        <w:t xml:space="preserve"> </w:t>
      </w:r>
      <w:r>
        <w:rPr>
          <w:b/>
        </w:rPr>
        <w:t>must</w:t>
      </w:r>
      <w:r>
        <w:t xml:space="preserve"> </w:t>
      </w:r>
      <w:r>
        <w:rPr>
          <w:b/>
        </w:rPr>
        <w:t>ask</w:t>
      </w:r>
      <w:r>
        <w:t xml:space="preserve"> </w:t>
      </w:r>
      <w:r>
        <w:rPr>
          <w:b/>
        </w:rPr>
        <w:t>the</w:t>
      </w:r>
      <w:r>
        <w:t xml:space="preserve"> </w:t>
      </w:r>
      <w:r>
        <w:rPr>
          <w:b/>
        </w:rPr>
        <w:t>PA</w:t>
      </w:r>
      <w:r>
        <w:t xml:space="preserve"> </w:t>
      </w:r>
      <w:r>
        <w:rPr>
          <w:b/>
        </w:rPr>
        <w:t>what</w:t>
      </w:r>
      <w:r>
        <w:t xml:space="preserve"> </w:t>
      </w:r>
      <w:r>
        <w:rPr>
          <w:b/>
        </w:rPr>
        <w:t>it</w:t>
      </w:r>
      <w:r>
        <w:t xml:space="preserve"> </w:t>
      </w:r>
      <w:r>
        <w:rPr>
          <w:b/>
        </w:rPr>
        <w:t>is</w:t>
      </w:r>
      <w:r>
        <w:t xml:space="preserve"> </w:t>
      </w:r>
      <w:r>
        <w:rPr>
          <w:b/>
        </w:rPr>
        <w:t>doing</w:t>
      </w:r>
      <w:r>
        <w:t xml:space="preserve"> </w:t>
      </w:r>
      <w:r>
        <w:rPr>
          <w:b/>
        </w:rPr>
        <w:t>to</w:t>
      </w:r>
      <w:r>
        <w:t xml:space="preserve"> </w:t>
      </w:r>
      <w:r>
        <w:rPr>
          <w:b/>
        </w:rPr>
        <w:t>combat</w:t>
      </w:r>
      <w:r>
        <w:t xml:space="preserve"> </w:t>
      </w:r>
      <w:r>
        <w:rPr>
          <w:b/>
        </w:rPr>
        <w:t>the</w:t>
      </w:r>
      <w:r>
        <w:t xml:space="preserve"> </w:t>
      </w:r>
      <w:r>
        <w:rPr>
          <w:b/>
        </w:rPr>
        <w:t>recruitment</w:t>
      </w:r>
      <w:r>
        <w:t xml:space="preserve"> </w:t>
      </w:r>
      <w:r>
        <w:rPr>
          <w:b/>
        </w:rPr>
        <w:t>and</w:t>
      </w:r>
      <w:r>
        <w:t xml:space="preserve"> </w:t>
      </w:r>
      <w:r>
        <w:rPr>
          <w:b/>
        </w:rPr>
        <w:t>use</w:t>
      </w:r>
      <w:r>
        <w:t xml:space="preserve"> </w:t>
      </w:r>
      <w:r>
        <w:rPr>
          <w:b/>
        </w:rPr>
        <w:t>of</w:t>
      </w:r>
      <w:r>
        <w:t xml:space="preserve"> </w:t>
      </w:r>
      <w:r>
        <w:rPr>
          <w:b/>
        </w:rPr>
        <w:t>child</w:t>
      </w:r>
      <w:r>
        <w:t xml:space="preserve"> </w:t>
      </w:r>
      <w:r>
        <w:rPr>
          <w:b/>
        </w:rPr>
        <w:t>soldiers</w:t>
      </w:r>
      <w:r>
        <w:t xml:space="preserve"> </w:t>
      </w:r>
      <w:r>
        <w:rPr>
          <w:b/>
        </w:rPr>
        <w:t>by</w:t>
      </w:r>
      <w:r>
        <w:t xml:space="preserve"> </w:t>
      </w:r>
      <w:r>
        <w:rPr>
          <w:b/>
        </w:rPr>
        <w:t>itself</w:t>
      </w:r>
      <w:r>
        <w:t xml:space="preserve"> </w:t>
      </w:r>
      <w:r>
        <w:rPr>
          <w:b/>
        </w:rPr>
        <w:t>and</w:t>
      </w:r>
      <w:r>
        <w:t xml:space="preserve"> </w:t>
      </w:r>
      <w:r>
        <w:rPr>
          <w:b/>
        </w:rPr>
        <w:t>other</w:t>
      </w:r>
      <w:r>
        <w:t xml:space="preserve"> </w:t>
      </w:r>
      <w:r>
        <w:rPr>
          <w:b/>
        </w:rPr>
        <w:t>Palestinian</w:t>
      </w:r>
      <w:r>
        <w:t xml:space="preserve"> </w:t>
      </w:r>
      <w:r>
        <w:rPr>
          <w:b/>
        </w:rPr>
        <w:t>armed</w:t>
      </w:r>
      <w:r>
        <w:t xml:space="preserve"> </w:t>
      </w:r>
      <w:r>
        <w:rPr>
          <w:b/>
        </w:rPr>
        <w:t>groups.</w:t>
      </w:r>
    </w:p>
    <w:p w14:paraId="6B8967D5" w14:textId="77777777" w:rsidR="00837D06" w:rsidRDefault="00F109A5">
      <w:pPr>
        <w:spacing w:after="40"/>
      </w:pPr>
      <w:r>
        <w:t xml:space="preserve"> </w:t>
      </w:r>
    </w:p>
    <w:p w14:paraId="1161468D" w14:textId="77777777" w:rsidR="00837D06" w:rsidRDefault="00F109A5">
      <w:pPr>
        <w:ind w:right="540"/>
        <w:rPr>
          <w:b/>
        </w:rPr>
      </w:pPr>
      <w:r>
        <w:rPr>
          <w:b/>
        </w:rPr>
        <w:t>The</w:t>
      </w:r>
      <w:r>
        <w:t xml:space="preserve"> </w:t>
      </w:r>
      <w:r>
        <w:rPr>
          <w:b/>
        </w:rPr>
        <w:t>Committee</w:t>
      </w:r>
      <w:r>
        <w:t xml:space="preserve"> </w:t>
      </w:r>
      <w:r>
        <w:rPr>
          <w:b/>
        </w:rPr>
        <w:t>must</w:t>
      </w:r>
      <w:r>
        <w:t xml:space="preserve"> </w:t>
      </w:r>
      <w:r>
        <w:rPr>
          <w:b/>
        </w:rPr>
        <w:t>confront</w:t>
      </w:r>
      <w:r>
        <w:t xml:space="preserve"> </w:t>
      </w:r>
      <w:r>
        <w:rPr>
          <w:b/>
        </w:rPr>
        <w:t>the</w:t>
      </w:r>
      <w:r>
        <w:t xml:space="preserve"> </w:t>
      </w:r>
      <w:r>
        <w:rPr>
          <w:b/>
        </w:rPr>
        <w:t>PA</w:t>
      </w:r>
      <w:r>
        <w:t xml:space="preserve"> </w:t>
      </w:r>
      <w:r>
        <w:rPr>
          <w:b/>
        </w:rPr>
        <w:t>about</w:t>
      </w:r>
      <w:r>
        <w:t xml:space="preserve"> </w:t>
      </w:r>
      <w:r>
        <w:rPr>
          <w:b/>
        </w:rPr>
        <w:t>its</w:t>
      </w:r>
      <w:r>
        <w:t xml:space="preserve"> </w:t>
      </w:r>
      <w:r>
        <w:rPr>
          <w:b/>
        </w:rPr>
        <w:t>“pay</w:t>
      </w:r>
      <w:r>
        <w:t xml:space="preserve"> </w:t>
      </w:r>
      <w:r>
        <w:rPr>
          <w:b/>
        </w:rPr>
        <w:t>to</w:t>
      </w:r>
      <w:r>
        <w:t xml:space="preserve"> </w:t>
      </w:r>
      <w:r>
        <w:rPr>
          <w:b/>
        </w:rPr>
        <w:t>slay”</w:t>
      </w:r>
      <w:r>
        <w:t xml:space="preserve"> </w:t>
      </w:r>
      <w:r>
        <w:rPr>
          <w:b/>
        </w:rPr>
        <w:t>program</w:t>
      </w:r>
      <w:r>
        <w:t xml:space="preserve"> </w:t>
      </w:r>
      <w:r>
        <w:rPr>
          <w:b/>
        </w:rPr>
        <w:t>and</w:t>
      </w:r>
      <w:r>
        <w:t xml:space="preserve"> </w:t>
      </w:r>
      <w:r>
        <w:rPr>
          <w:b/>
        </w:rPr>
        <w:t>the</w:t>
      </w:r>
      <w:r>
        <w:t xml:space="preserve"> </w:t>
      </w:r>
      <w:r>
        <w:rPr>
          <w:b/>
        </w:rPr>
        <w:t>eligibility</w:t>
      </w:r>
      <w:r>
        <w:t xml:space="preserve"> </w:t>
      </w:r>
      <w:r>
        <w:rPr>
          <w:b/>
        </w:rPr>
        <w:t>requirements</w:t>
      </w:r>
      <w:r>
        <w:t xml:space="preserve"> </w:t>
      </w:r>
      <w:r>
        <w:rPr>
          <w:b/>
        </w:rPr>
        <w:t>of</w:t>
      </w:r>
      <w:r>
        <w:t xml:space="preserve"> </w:t>
      </w:r>
      <w:r>
        <w:rPr>
          <w:b/>
        </w:rPr>
        <w:t>this</w:t>
      </w:r>
      <w:r>
        <w:t xml:space="preserve"> </w:t>
      </w:r>
      <w:r>
        <w:rPr>
          <w:b/>
        </w:rPr>
        <w:t>perverse</w:t>
      </w:r>
      <w:r>
        <w:t xml:space="preserve"> </w:t>
      </w:r>
      <w:r>
        <w:rPr>
          <w:b/>
        </w:rPr>
        <w:t>funding.</w:t>
      </w:r>
    </w:p>
    <w:p w14:paraId="5BDC3F8D" w14:textId="77777777" w:rsidR="00837D06" w:rsidRDefault="00F109A5">
      <w:pPr>
        <w:spacing w:after="40"/>
      </w:pPr>
      <w:r>
        <w:t xml:space="preserve"> </w:t>
      </w:r>
    </w:p>
    <w:p w14:paraId="2B7EE422" w14:textId="77777777" w:rsidR="00837D06" w:rsidRDefault="00F109A5">
      <w:pPr>
        <w:ind w:right="660"/>
        <w:rPr>
          <w:b/>
        </w:rPr>
      </w:pPr>
      <w:r>
        <w:rPr>
          <w:b/>
        </w:rPr>
        <w:t>The</w:t>
      </w:r>
      <w:r>
        <w:t xml:space="preserve"> </w:t>
      </w:r>
      <w:r>
        <w:rPr>
          <w:b/>
        </w:rPr>
        <w:t>Committee</w:t>
      </w:r>
      <w:r>
        <w:t xml:space="preserve"> </w:t>
      </w:r>
      <w:r>
        <w:rPr>
          <w:b/>
        </w:rPr>
        <w:t>must</w:t>
      </w:r>
      <w:r>
        <w:t xml:space="preserve"> </w:t>
      </w:r>
      <w:r>
        <w:rPr>
          <w:b/>
        </w:rPr>
        <w:t>ask</w:t>
      </w:r>
      <w:r>
        <w:t xml:space="preserve"> </w:t>
      </w:r>
      <w:r>
        <w:rPr>
          <w:b/>
        </w:rPr>
        <w:t>the</w:t>
      </w:r>
      <w:r>
        <w:t xml:space="preserve"> </w:t>
      </w:r>
      <w:r>
        <w:rPr>
          <w:b/>
        </w:rPr>
        <w:t>PA</w:t>
      </w:r>
      <w:r>
        <w:t xml:space="preserve"> </w:t>
      </w:r>
      <w:r>
        <w:rPr>
          <w:b/>
        </w:rPr>
        <w:t>what</w:t>
      </w:r>
      <w:r>
        <w:t xml:space="preserve"> </w:t>
      </w:r>
      <w:r>
        <w:rPr>
          <w:b/>
        </w:rPr>
        <w:t>steps</w:t>
      </w:r>
      <w:r>
        <w:t xml:space="preserve"> </w:t>
      </w:r>
      <w:r>
        <w:rPr>
          <w:b/>
        </w:rPr>
        <w:t>it</w:t>
      </w:r>
      <w:r>
        <w:t xml:space="preserve"> </w:t>
      </w:r>
      <w:r>
        <w:rPr>
          <w:b/>
        </w:rPr>
        <w:t>is</w:t>
      </w:r>
      <w:r>
        <w:t xml:space="preserve"> </w:t>
      </w:r>
      <w:r>
        <w:rPr>
          <w:b/>
        </w:rPr>
        <w:t>taking</w:t>
      </w:r>
      <w:r>
        <w:t xml:space="preserve"> </w:t>
      </w:r>
      <w:r>
        <w:rPr>
          <w:b/>
        </w:rPr>
        <w:t>to</w:t>
      </w:r>
      <w:r>
        <w:t xml:space="preserve"> </w:t>
      </w:r>
      <w:r>
        <w:rPr>
          <w:b/>
        </w:rPr>
        <w:t>preserve</w:t>
      </w:r>
      <w:r>
        <w:t xml:space="preserve"> </w:t>
      </w:r>
      <w:r>
        <w:rPr>
          <w:b/>
        </w:rPr>
        <w:t>Jewish</w:t>
      </w:r>
      <w:r>
        <w:t xml:space="preserve"> </w:t>
      </w:r>
      <w:r>
        <w:rPr>
          <w:b/>
        </w:rPr>
        <w:t>historical</w:t>
      </w:r>
      <w:r>
        <w:t xml:space="preserve"> </w:t>
      </w:r>
      <w:r>
        <w:rPr>
          <w:b/>
        </w:rPr>
        <w:t>sites</w:t>
      </w:r>
      <w:r>
        <w:t xml:space="preserve"> </w:t>
      </w:r>
      <w:r>
        <w:rPr>
          <w:b/>
        </w:rPr>
        <w:t>with</w:t>
      </w:r>
      <w:r>
        <w:t xml:space="preserve"> </w:t>
      </w:r>
      <w:r>
        <w:rPr>
          <w:b/>
        </w:rPr>
        <w:t>PA</w:t>
      </w:r>
      <w:r>
        <w:t xml:space="preserve"> </w:t>
      </w:r>
      <w:r>
        <w:rPr>
          <w:b/>
        </w:rPr>
        <w:t>territory</w:t>
      </w:r>
      <w:r>
        <w:t xml:space="preserve"> </w:t>
      </w:r>
      <w:r>
        <w:rPr>
          <w:b/>
        </w:rPr>
        <w:t>and</w:t>
      </w:r>
      <w:r>
        <w:t xml:space="preserve"> </w:t>
      </w:r>
      <w:r>
        <w:rPr>
          <w:b/>
        </w:rPr>
        <w:t>explain</w:t>
      </w:r>
      <w:r>
        <w:t xml:space="preserve"> </w:t>
      </w:r>
      <w:r>
        <w:rPr>
          <w:b/>
        </w:rPr>
        <w:t>what</w:t>
      </w:r>
      <w:r>
        <w:t xml:space="preserve"> </w:t>
      </w:r>
      <w:r>
        <w:rPr>
          <w:b/>
        </w:rPr>
        <w:t>measures</w:t>
      </w:r>
      <w:r>
        <w:t xml:space="preserve"> </w:t>
      </w:r>
      <w:r>
        <w:rPr>
          <w:b/>
        </w:rPr>
        <w:t>it</w:t>
      </w:r>
      <w:r>
        <w:t xml:space="preserve"> </w:t>
      </w:r>
      <w:r>
        <w:rPr>
          <w:b/>
        </w:rPr>
        <w:t>is</w:t>
      </w:r>
      <w:r>
        <w:t xml:space="preserve"> </w:t>
      </w:r>
      <w:r>
        <w:rPr>
          <w:b/>
        </w:rPr>
        <w:t>taking</w:t>
      </w:r>
      <w:r>
        <w:t xml:space="preserve"> </w:t>
      </w:r>
      <w:r>
        <w:rPr>
          <w:b/>
        </w:rPr>
        <w:t>to</w:t>
      </w:r>
      <w:r>
        <w:t xml:space="preserve"> </w:t>
      </w:r>
      <w:r>
        <w:rPr>
          <w:b/>
        </w:rPr>
        <w:t>end</w:t>
      </w:r>
      <w:r>
        <w:t xml:space="preserve"> </w:t>
      </w:r>
      <w:r>
        <w:rPr>
          <w:b/>
        </w:rPr>
        <w:t>its</w:t>
      </w:r>
      <w:r>
        <w:t xml:space="preserve"> </w:t>
      </w:r>
      <w:r>
        <w:rPr>
          <w:b/>
        </w:rPr>
        <w:t>blocking</w:t>
      </w:r>
      <w:r>
        <w:t xml:space="preserve"> </w:t>
      </w:r>
      <w:r>
        <w:rPr>
          <w:b/>
        </w:rPr>
        <w:t>access</w:t>
      </w:r>
      <w:r>
        <w:t xml:space="preserve"> </w:t>
      </w:r>
      <w:r>
        <w:rPr>
          <w:b/>
        </w:rPr>
        <w:t>to</w:t>
      </w:r>
      <w:r>
        <w:t xml:space="preserve"> </w:t>
      </w:r>
      <w:r>
        <w:rPr>
          <w:b/>
        </w:rPr>
        <w:t>these</w:t>
      </w:r>
      <w:r>
        <w:t xml:space="preserve"> </w:t>
      </w:r>
      <w:r>
        <w:rPr>
          <w:b/>
        </w:rPr>
        <w:t>sites</w:t>
      </w:r>
      <w:r>
        <w:t xml:space="preserve"> </w:t>
      </w:r>
      <w:r>
        <w:rPr>
          <w:b/>
        </w:rPr>
        <w:t>in</w:t>
      </w:r>
      <w:r>
        <w:t xml:space="preserve"> </w:t>
      </w:r>
      <w:r>
        <w:rPr>
          <w:b/>
        </w:rPr>
        <w:t>violation</w:t>
      </w:r>
      <w:r>
        <w:t xml:space="preserve"> </w:t>
      </w:r>
      <w:r>
        <w:rPr>
          <w:b/>
        </w:rPr>
        <w:t>of</w:t>
      </w:r>
      <w:r>
        <w:t xml:space="preserve"> </w:t>
      </w:r>
      <w:r>
        <w:rPr>
          <w:b/>
        </w:rPr>
        <w:t>the</w:t>
      </w:r>
      <w:r>
        <w:t xml:space="preserve"> </w:t>
      </w:r>
      <w:r>
        <w:rPr>
          <w:b/>
        </w:rPr>
        <w:t>Oslo</w:t>
      </w:r>
      <w:r>
        <w:t xml:space="preserve"> </w:t>
      </w:r>
      <w:r>
        <w:rPr>
          <w:b/>
        </w:rPr>
        <w:t>Accords.</w:t>
      </w:r>
    </w:p>
    <w:p w14:paraId="3E02B302" w14:textId="77777777" w:rsidR="00837D06" w:rsidRDefault="00837D06"/>
    <w:p w14:paraId="089A3895" w14:textId="77777777" w:rsidR="00837D06" w:rsidRDefault="00F109A5">
      <w:pPr>
        <w:ind w:right="560"/>
        <w:rPr>
          <w:b/>
        </w:rPr>
      </w:pPr>
      <w:r>
        <w:rPr>
          <w:b/>
        </w:rPr>
        <w:t>The</w:t>
      </w:r>
      <w:r>
        <w:t xml:space="preserve"> </w:t>
      </w:r>
      <w:r>
        <w:rPr>
          <w:b/>
        </w:rPr>
        <w:t>Committee</w:t>
      </w:r>
      <w:r>
        <w:t xml:space="preserve"> </w:t>
      </w:r>
      <w:r>
        <w:rPr>
          <w:b/>
        </w:rPr>
        <w:t>must</w:t>
      </w:r>
      <w:r>
        <w:t xml:space="preserve"> </w:t>
      </w:r>
      <w:r>
        <w:rPr>
          <w:b/>
        </w:rPr>
        <w:t>ask</w:t>
      </w:r>
      <w:r>
        <w:t xml:space="preserve"> </w:t>
      </w:r>
      <w:r>
        <w:rPr>
          <w:b/>
        </w:rPr>
        <w:t>the</w:t>
      </w:r>
      <w:r>
        <w:t xml:space="preserve"> </w:t>
      </w:r>
      <w:r>
        <w:rPr>
          <w:b/>
        </w:rPr>
        <w:t>PA</w:t>
      </w:r>
      <w:r>
        <w:t xml:space="preserve"> </w:t>
      </w:r>
      <w:r>
        <w:rPr>
          <w:b/>
        </w:rPr>
        <w:t>what</w:t>
      </w:r>
      <w:r>
        <w:t xml:space="preserve"> </w:t>
      </w:r>
      <w:r>
        <w:rPr>
          <w:b/>
        </w:rPr>
        <w:t>steps</w:t>
      </w:r>
      <w:r>
        <w:t xml:space="preserve"> </w:t>
      </w:r>
      <w:r>
        <w:rPr>
          <w:b/>
        </w:rPr>
        <w:t>it</w:t>
      </w:r>
      <w:r>
        <w:t xml:space="preserve"> </w:t>
      </w:r>
      <w:r>
        <w:rPr>
          <w:b/>
        </w:rPr>
        <w:t>is</w:t>
      </w:r>
      <w:r>
        <w:t xml:space="preserve"> </w:t>
      </w:r>
      <w:r>
        <w:rPr>
          <w:b/>
        </w:rPr>
        <w:t>taking</w:t>
      </w:r>
      <w:r>
        <w:t xml:space="preserve"> </w:t>
      </w:r>
      <w:r>
        <w:rPr>
          <w:b/>
        </w:rPr>
        <w:t>to</w:t>
      </w:r>
      <w:r>
        <w:t xml:space="preserve"> </w:t>
      </w:r>
      <w:r>
        <w:rPr>
          <w:b/>
        </w:rPr>
        <w:t>prevent</w:t>
      </w:r>
      <w:r>
        <w:t xml:space="preserve"> </w:t>
      </w:r>
      <w:r>
        <w:rPr>
          <w:b/>
        </w:rPr>
        <w:t>further</w:t>
      </w:r>
      <w:r>
        <w:t xml:space="preserve"> </w:t>
      </w:r>
      <w:r>
        <w:rPr>
          <w:b/>
        </w:rPr>
        <w:t>destruction</w:t>
      </w:r>
      <w:r>
        <w:t xml:space="preserve"> </w:t>
      </w:r>
      <w:r>
        <w:rPr>
          <w:b/>
        </w:rPr>
        <w:t>of</w:t>
      </w:r>
      <w:r>
        <w:t xml:space="preserve"> </w:t>
      </w:r>
      <w:r>
        <w:rPr>
          <w:b/>
        </w:rPr>
        <w:t>Jewish</w:t>
      </w:r>
      <w:r>
        <w:t xml:space="preserve"> </w:t>
      </w:r>
      <w:r>
        <w:rPr>
          <w:b/>
        </w:rPr>
        <w:t>cultural</w:t>
      </w:r>
      <w:r>
        <w:t xml:space="preserve"> </w:t>
      </w:r>
      <w:r>
        <w:rPr>
          <w:b/>
        </w:rPr>
        <w:t>heritage</w:t>
      </w:r>
      <w:r>
        <w:t xml:space="preserve"> </w:t>
      </w:r>
      <w:r>
        <w:rPr>
          <w:b/>
        </w:rPr>
        <w:t>by</w:t>
      </w:r>
      <w:r>
        <w:t xml:space="preserve"> </w:t>
      </w:r>
      <w:r>
        <w:rPr>
          <w:b/>
        </w:rPr>
        <w:t>the</w:t>
      </w:r>
      <w:r>
        <w:t xml:space="preserve"> </w:t>
      </w:r>
      <w:r>
        <w:rPr>
          <w:b/>
        </w:rPr>
        <w:t>Waqf</w:t>
      </w:r>
      <w:r>
        <w:t xml:space="preserve"> </w:t>
      </w:r>
      <w:r>
        <w:rPr>
          <w:b/>
        </w:rPr>
        <w:t>on</w:t>
      </w:r>
      <w:r>
        <w:t xml:space="preserve"> </w:t>
      </w:r>
      <w:r>
        <w:rPr>
          <w:b/>
        </w:rPr>
        <w:t>the</w:t>
      </w:r>
      <w:r>
        <w:t xml:space="preserve"> </w:t>
      </w:r>
      <w:r>
        <w:rPr>
          <w:b/>
        </w:rPr>
        <w:t>Temple</w:t>
      </w:r>
      <w:r>
        <w:t xml:space="preserve"> </w:t>
      </w:r>
      <w:r>
        <w:rPr>
          <w:b/>
        </w:rPr>
        <w:t>Mount.</w:t>
      </w:r>
    </w:p>
    <w:p w14:paraId="1F797257" w14:textId="77777777" w:rsidR="00837D06" w:rsidRDefault="00F109A5">
      <w:pPr>
        <w:spacing w:after="40"/>
      </w:pPr>
      <w:r>
        <w:t xml:space="preserve"> </w:t>
      </w:r>
    </w:p>
    <w:p w14:paraId="11242EA7" w14:textId="77777777" w:rsidR="00837D06" w:rsidRDefault="00F109A5">
      <w:pPr>
        <w:ind w:right="1140"/>
        <w:rPr>
          <w:b/>
        </w:rPr>
      </w:pPr>
      <w:r>
        <w:rPr>
          <w:b/>
        </w:rPr>
        <w:t>The</w:t>
      </w:r>
      <w:r>
        <w:t xml:space="preserve"> </w:t>
      </w:r>
      <w:r>
        <w:rPr>
          <w:b/>
        </w:rPr>
        <w:t>Committee</w:t>
      </w:r>
      <w:r>
        <w:t xml:space="preserve"> </w:t>
      </w:r>
      <w:r>
        <w:rPr>
          <w:b/>
        </w:rPr>
        <w:t>must</w:t>
      </w:r>
      <w:r>
        <w:t xml:space="preserve"> </w:t>
      </w:r>
      <w:r>
        <w:rPr>
          <w:b/>
        </w:rPr>
        <w:t>ask</w:t>
      </w:r>
      <w:r>
        <w:t xml:space="preserve"> </w:t>
      </w:r>
      <w:r>
        <w:rPr>
          <w:b/>
        </w:rPr>
        <w:t>the</w:t>
      </w:r>
      <w:r>
        <w:t xml:space="preserve"> </w:t>
      </w:r>
      <w:r>
        <w:rPr>
          <w:b/>
        </w:rPr>
        <w:t>PA</w:t>
      </w:r>
      <w:r>
        <w:t xml:space="preserve"> </w:t>
      </w:r>
      <w:r>
        <w:rPr>
          <w:b/>
        </w:rPr>
        <w:t>to</w:t>
      </w:r>
      <w:r>
        <w:t xml:space="preserve"> </w:t>
      </w:r>
      <w:r>
        <w:rPr>
          <w:b/>
        </w:rPr>
        <w:t>address</w:t>
      </w:r>
      <w:r>
        <w:t xml:space="preserve"> </w:t>
      </w:r>
      <w:r>
        <w:rPr>
          <w:b/>
        </w:rPr>
        <w:t>its</w:t>
      </w:r>
      <w:r>
        <w:t xml:space="preserve"> </w:t>
      </w:r>
      <w:r>
        <w:rPr>
          <w:b/>
        </w:rPr>
        <w:t>role</w:t>
      </w:r>
      <w:r>
        <w:t xml:space="preserve"> </w:t>
      </w:r>
      <w:r>
        <w:rPr>
          <w:b/>
        </w:rPr>
        <w:t>in</w:t>
      </w:r>
      <w:r>
        <w:t xml:space="preserve"> </w:t>
      </w:r>
      <w:r>
        <w:rPr>
          <w:b/>
        </w:rPr>
        <w:t>the</w:t>
      </w:r>
      <w:r>
        <w:t xml:space="preserve"> </w:t>
      </w:r>
      <w:r>
        <w:rPr>
          <w:b/>
        </w:rPr>
        <w:t>harassment</w:t>
      </w:r>
      <w:r>
        <w:t xml:space="preserve"> </w:t>
      </w:r>
      <w:r>
        <w:rPr>
          <w:b/>
        </w:rPr>
        <w:t>and</w:t>
      </w:r>
      <w:r>
        <w:t xml:space="preserve"> </w:t>
      </w:r>
      <w:r>
        <w:rPr>
          <w:b/>
        </w:rPr>
        <w:t>violence</w:t>
      </w:r>
      <w:r>
        <w:t xml:space="preserve"> </w:t>
      </w:r>
      <w:r>
        <w:rPr>
          <w:b/>
        </w:rPr>
        <w:t>targeting</w:t>
      </w:r>
      <w:r>
        <w:t xml:space="preserve"> </w:t>
      </w:r>
      <w:r>
        <w:rPr>
          <w:b/>
        </w:rPr>
        <w:t>non-Muslims</w:t>
      </w:r>
      <w:r>
        <w:t xml:space="preserve"> </w:t>
      </w:r>
      <w:r>
        <w:rPr>
          <w:b/>
        </w:rPr>
        <w:t>visiting</w:t>
      </w:r>
      <w:r>
        <w:t xml:space="preserve"> </w:t>
      </w:r>
      <w:r>
        <w:rPr>
          <w:b/>
        </w:rPr>
        <w:t>the</w:t>
      </w:r>
      <w:r>
        <w:t xml:space="preserve"> </w:t>
      </w:r>
      <w:r>
        <w:rPr>
          <w:b/>
        </w:rPr>
        <w:t>Plaza</w:t>
      </w:r>
      <w:r>
        <w:t xml:space="preserve"> </w:t>
      </w:r>
      <w:r>
        <w:rPr>
          <w:b/>
        </w:rPr>
        <w:t>of</w:t>
      </w:r>
      <w:r>
        <w:t xml:space="preserve"> </w:t>
      </w:r>
      <w:r>
        <w:rPr>
          <w:b/>
        </w:rPr>
        <w:t>the</w:t>
      </w:r>
      <w:r>
        <w:t xml:space="preserve"> </w:t>
      </w:r>
      <w:r>
        <w:rPr>
          <w:b/>
        </w:rPr>
        <w:t>Temple</w:t>
      </w:r>
      <w:r>
        <w:t xml:space="preserve"> </w:t>
      </w:r>
      <w:r>
        <w:rPr>
          <w:b/>
        </w:rPr>
        <w:t>Mount.</w:t>
      </w:r>
    </w:p>
    <w:p w14:paraId="341E753D" w14:textId="77777777" w:rsidR="00837D06" w:rsidRDefault="00F109A5">
      <w:pPr>
        <w:ind w:right="1140"/>
        <w:rPr>
          <w:b/>
        </w:rPr>
      </w:pPr>
      <w:r>
        <w:rPr>
          <w:b/>
        </w:rPr>
        <w:t xml:space="preserve"> </w:t>
      </w:r>
    </w:p>
    <w:p w14:paraId="0F848453" w14:textId="77777777" w:rsidR="00837D06" w:rsidRDefault="00F109A5">
      <w:pPr>
        <w:ind w:right="1140"/>
        <w:rPr>
          <w:b/>
        </w:rPr>
      </w:pPr>
      <w:r>
        <w:rPr>
          <w:b/>
        </w:rPr>
        <w:t>The Committee must ask the PA to address its policies towards Gaza and what steps it is taking to reign in violations by Hamas and other armed groups.</w:t>
      </w:r>
    </w:p>
    <w:p w14:paraId="69D50B7D" w14:textId="77777777" w:rsidR="00837D06" w:rsidRDefault="00F109A5">
      <w:pPr>
        <w:ind w:right="1140"/>
        <w:rPr>
          <w:b/>
        </w:rPr>
      </w:pPr>
      <w:r>
        <w:rPr>
          <w:b/>
        </w:rPr>
        <w:lastRenderedPageBreak/>
        <w:t xml:space="preserve"> </w:t>
      </w:r>
    </w:p>
    <w:p w14:paraId="2D26A21D" w14:textId="77777777" w:rsidR="00837D06" w:rsidRDefault="00F109A5">
      <w:pPr>
        <w:ind w:right="1140"/>
        <w:rPr>
          <w:b/>
        </w:rPr>
      </w:pPr>
      <w:r>
        <w:rPr>
          <w:b/>
        </w:rPr>
        <w:t>The Committee must ask the PA what steps it is taking to prevent the commandeering of humanitarian aid.</w:t>
      </w:r>
    </w:p>
    <w:p w14:paraId="3E25F4FF" w14:textId="77777777" w:rsidR="00837D06" w:rsidRDefault="00F109A5">
      <w:pPr>
        <w:ind w:right="1140"/>
        <w:rPr>
          <w:b/>
        </w:rPr>
      </w:pPr>
      <w:r>
        <w:rPr>
          <w:b/>
        </w:rPr>
        <w:t xml:space="preserve"> </w:t>
      </w:r>
    </w:p>
    <w:p w14:paraId="5134B8E5" w14:textId="77777777" w:rsidR="00837D06" w:rsidRDefault="00F109A5">
      <w:pPr>
        <w:ind w:right="1140"/>
        <w:rPr>
          <w:b/>
        </w:rPr>
      </w:pPr>
      <w:r>
        <w:rPr>
          <w:b/>
        </w:rPr>
        <w:t>The Committee must ask the PA what steps it is taking to cooperate with Israel on issues relating to desalinization and the environment.</w:t>
      </w:r>
    </w:p>
    <w:p w14:paraId="6EA6165C" w14:textId="77777777" w:rsidR="00837D06" w:rsidRDefault="00F109A5">
      <w:r>
        <w:t xml:space="preserve"> </w:t>
      </w:r>
    </w:p>
    <w:p w14:paraId="74B4BA36" w14:textId="77777777" w:rsidR="00837D06" w:rsidRDefault="00F109A5">
      <w:pPr>
        <w:spacing w:after="80"/>
      </w:pPr>
      <w:r>
        <w:t xml:space="preserve"> </w:t>
      </w:r>
    </w:p>
    <w:p w14:paraId="54588DF2" w14:textId="77777777" w:rsidR="00837D06" w:rsidRDefault="00F109A5">
      <w:pPr>
        <w:spacing w:line="237" w:lineRule="auto"/>
        <w:ind w:right="880"/>
      </w:pPr>
      <w:r>
        <w:t>In addition, the Institute for NGO Research also requests a meeting with the Committee in order that we may present this material and additional cases during the review of “Palestine”.</w:t>
      </w:r>
    </w:p>
    <w:p w14:paraId="644A5F25" w14:textId="77777777" w:rsidR="00837D06" w:rsidRDefault="00F109A5">
      <w:pPr>
        <w:spacing w:after="40"/>
      </w:pPr>
      <w:r>
        <w:t xml:space="preserve"> </w:t>
      </w:r>
    </w:p>
    <w:p w14:paraId="1430ED4E" w14:textId="77777777" w:rsidR="00837D06" w:rsidRDefault="00837D06">
      <w:pPr>
        <w:ind w:right="-20"/>
      </w:pPr>
    </w:p>
    <w:p w14:paraId="340C7B2A" w14:textId="77777777" w:rsidR="00837D06" w:rsidRDefault="00837D06">
      <w:pPr>
        <w:ind w:right="-20"/>
      </w:pPr>
    </w:p>
    <w:p w14:paraId="5DDDCC14" w14:textId="77777777" w:rsidR="00837D06" w:rsidRDefault="00F109A5">
      <w:pPr>
        <w:ind w:right="-20"/>
      </w:pPr>
      <w:r>
        <w:t>Respectfully submitted,</w:t>
      </w:r>
    </w:p>
    <w:p w14:paraId="20EB0298" w14:textId="77777777" w:rsidR="00837D06" w:rsidRDefault="00F109A5">
      <w:pPr>
        <w:spacing w:after="40"/>
      </w:pPr>
      <w:r>
        <w:t xml:space="preserve"> </w:t>
      </w:r>
    </w:p>
    <w:p w14:paraId="72CF4733" w14:textId="77777777" w:rsidR="00837D06" w:rsidRDefault="00F109A5">
      <w:pPr>
        <w:ind w:right="-20"/>
      </w:pPr>
      <w:r>
        <w:t>Anne Herzberg</w:t>
      </w:r>
    </w:p>
    <w:p w14:paraId="14EB6265" w14:textId="77777777" w:rsidR="00837D06" w:rsidRDefault="00F109A5">
      <w:pPr>
        <w:ind w:right="-20"/>
      </w:pPr>
      <w:r>
        <w:t>Legal Advisor, NGO Monitor</w:t>
      </w:r>
    </w:p>
    <w:p w14:paraId="252A81B4" w14:textId="77777777" w:rsidR="00837D06" w:rsidRDefault="00F109A5">
      <w:pPr>
        <w:ind w:right="-20"/>
      </w:pPr>
      <w:r>
        <w:t>UN Representative, Institute for NGO Research</w:t>
      </w:r>
    </w:p>
    <w:p w14:paraId="2545CF7F" w14:textId="305DCBA8" w:rsidR="00837D06" w:rsidRDefault="00F109A5" w:rsidP="004F7020">
      <w:r>
        <w:t xml:space="preserve"> </w:t>
      </w:r>
    </w:p>
    <w:p w14:paraId="0235FD27" w14:textId="77777777" w:rsidR="00837D06" w:rsidRDefault="00837D06"/>
    <w:sectPr w:rsidR="00837D06">
      <w:headerReference w:type="even" r:id="rId113"/>
      <w:headerReference w:type="default" r:id="rId114"/>
      <w:footerReference w:type="even" r:id="rId115"/>
      <w:footerReference w:type="default" r:id="rId116"/>
      <w:headerReference w:type="first" r:id="rId117"/>
      <w:footerReference w:type="first" r:id="rId118"/>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4EBC8" w14:textId="77777777" w:rsidR="0081248A" w:rsidRDefault="0081248A">
      <w:r>
        <w:separator/>
      </w:r>
    </w:p>
  </w:endnote>
  <w:endnote w:type="continuationSeparator" w:id="0">
    <w:p w14:paraId="38EEE502" w14:textId="77777777" w:rsidR="0081248A" w:rsidRDefault="00812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MS Reference Sans Serif"/>
    <w:charset w:val="00"/>
    <w:family w:val="swiss"/>
    <w:pitch w:val="variable"/>
    <w:sig w:usb0="00000001" w:usb1="4000205B" w:usb2="00000028" w:usb3="00000000" w:csb0="0000019F" w:csb1="00000000"/>
  </w:font>
  <w:font w:name="Poppi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80094167"/>
      <w:docPartObj>
        <w:docPartGallery w:val="Page Numbers (Bottom of Page)"/>
        <w:docPartUnique/>
      </w:docPartObj>
    </w:sdtPr>
    <w:sdtEndPr>
      <w:rPr>
        <w:rStyle w:val="PageNumber"/>
      </w:rPr>
    </w:sdtEndPr>
    <w:sdtContent>
      <w:p w14:paraId="2B9200F1" w14:textId="3C887329" w:rsidR="00530A08" w:rsidRDefault="00530A08" w:rsidP="00BB61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742763" w14:textId="77777777" w:rsidR="00837D06" w:rsidRDefault="00837D06" w:rsidP="00530A08">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eading=h.gjdgxs" w:colFirst="0" w:colLast="0" w:displacedByCustomXml="next"/>
  <w:bookmarkEnd w:id="1" w:displacedByCustomXml="next"/>
  <w:sdt>
    <w:sdtPr>
      <w:rPr>
        <w:rStyle w:val="PageNumber"/>
      </w:rPr>
      <w:id w:val="-35815485"/>
      <w:docPartObj>
        <w:docPartGallery w:val="Page Numbers (Bottom of Page)"/>
        <w:docPartUnique/>
      </w:docPartObj>
    </w:sdtPr>
    <w:sdtEndPr>
      <w:rPr>
        <w:rStyle w:val="PageNumber"/>
      </w:rPr>
    </w:sdtEndPr>
    <w:sdtContent>
      <w:p w14:paraId="46C23428" w14:textId="39340AC7" w:rsidR="00530A08" w:rsidRDefault="00530A08" w:rsidP="00BB61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93A34">
          <w:rPr>
            <w:rStyle w:val="PageNumber"/>
            <w:noProof/>
          </w:rPr>
          <w:t>2</w:t>
        </w:r>
        <w:r>
          <w:rPr>
            <w:rStyle w:val="PageNumber"/>
          </w:rPr>
          <w:fldChar w:fldCharType="end"/>
        </w:r>
      </w:p>
    </w:sdtContent>
  </w:sdt>
  <w:p w14:paraId="28A27FFF" w14:textId="364D57F0" w:rsidR="00837D06" w:rsidRDefault="00F109A5" w:rsidP="00530A08">
    <w:pPr>
      <w:pBdr>
        <w:top w:val="nil"/>
        <w:left w:val="nil"/>
        <w:bottom w:val="nil"/>
        <w:right w:val="nil"/>
        <w:between w:val="nil"/>
      </w:pBdr>
      <w:tabs>
        <w:tab w:val="center" w:pos="4153"/>
        <w:tab w:val="right" w:pos="8306"/>
        <w:tab w:val="right" w:pos="8505"/>
      </w:tabs>
      <w:ind w:right="360"/>
      <w:jc w:val="center"/>
      <w:rPr>
        <w:rFonts w:ascii="Poppins" w:eastAsia="Poppins" w:hAnsi="Poppins" w:cs="Poppins"/>
        <w:color w:val="002060"/>
        <w:sz w:val="28"/>
        <w:szCs w:val="28"/>
      </w:rPr>
    </w:pPr>
    <w:r>
      <w:rPr>
        <w:rFonts w:ascii="Poppins" w:eastAsia="Poppins" w:hAnsi="Poppins" w:cs="Poppins"/>
        <w:color w:val="002060"/>
        <w:sz w:val="22"/>
        <w:szCs w:val="22"/>
      </w:rPr>
      <w:t>Institute for NGO Research R.A. (#58046550</w:t>
    </w:r>
    <w:r w:rsidR="00413144">
      <w:rPr>
        <w:rFonts w:ascii="Poppins" w:eastAsia="Poppins" w:hAnsi="Poppins" w:cs="Poppins"/>
        <w:color w:val="002060"/>
        <w:sz w:val="22"/>
        <w:szCs w:val="22"/>
      </w:rPr>
      <w:t xml:space="preserve">8 </w:t>
    </w:r>
    <w:r w:rsidR="00413144">
      <w:rPr>
        <w:rFonts w:ascii="Poppins" w:eastAsia="Poppins" w:hAnsi="Poppins" w:cs="Poppins"/>
        <w:color w:val="002060"/>
        <w:sz w:val="22"/>
        <w:szCs w:val="22"/>
        <w:rtl/>
      </w:rPr>
      <w:t>ע"ר</w:t>
    </w:r>
    <w:r>
      <w:rPr>
        <w:rFonts w:ascii="Poppins" w:eastAsia="Poppins" w:hAnsi="Poppins" w:cs="Poppins"/>
        <w:color w:val="002060"/>
        <w:sz w:val="22"/>
        <w:szCs w:val="22"/>
      </w:rPr>
      <w:t>)</w:t>
    </w:r>
    <w:r w:rsidR="00413144">
      <w:rPr>
        <w:rFonts w:ascii="Poppins" w:eastAsia="Poppins" w:hAnsi="Poppins" w:cs="Poppins"/>
        <w:color w:val="002060"/>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1370D" w14:textId="77777777" w:rsidR="00837D06" w:rsidRDefault="00837D0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7DEB2" w14:textId="77777777" w:rsidR="0081248A" w:rsidRDefault="0081248A">
      <w:r>
        <w:separator/>
      </w:r>
    </w:p>
  </w:footnote>
  <w:footnote w:type="continuationSeparator" w:id="0">
    <w:p w14:paraId="23E0C532" w14:textId="77777777" w:rsidR="0081248A" w:rsidRDefault="0081248A">
      <w:r>
        <w:continuationSeparator/>
      </w:r>
    </w:p>
  </w:footnote>
  <w:footnote w:id="1">
    <w:p w14:paraId="227DAF0F" w14:textId="77777777" w:rsidR="00837D06" w:rsidRDefault="00F109A5">
      <w:pPr>
        <w:rPr>
          <w:sz w:val="20"/>
          <w:szCs w:val="20"/>
        </w:rPr>
      </w:pPr>
      <w:r>
        <w:rPr>
          <w:rStyle w:val="FootnoteReference"/>
        </w:rPr>
        <w:footnoteRef/>
      </w:r>
      <w:r>
        <w:rPr>
          <w:sz w:val="20"/>
          <w:szCs w:val="20"/>
        </w:rPr>
        <w:t xml:space="preserve"> Members of the Institute’s Advisory Board include Elliott Abrams, Senior Fellow for Middle Eastern Studies at the Council on Foreign Relations; former Canadian Ambassador to Israel, Amb. Vivian Bercovici; Hon. Michael Danby, MP, senior member of the Australian Labor Party; Harvard Professor Prof. Alan Dershowitz; Canadian Senator, Hon. Linda Frum; best-selling author and commentator and British journalist and international affairs commentator, Tom Gross; Colonel Richard Kemp, former commander of British forces in Iraq and Afghanistan; Douglas Murray, Director of the Centre for Social Cohesion, best-selling author and commentator; former Member of Italian Parliament, Hon. Fiamma Nirenstein, UCLA Professor and President of the Daniel Pearl Foundation, Prof. Judea Pearl; US Jurist and former Legal Advisor to the State Department Judge Abraham Sofaer; Dr. Einat Wilf, former member of Knesset with the Israel Labor Party and advisor to Shimon Peres; Harvard Professor Prof. Ruth Wisse; R. James Woolsey, former US Director of Central Intelligence; and Israeli Supreme Court Justice, Justice Elyakim Rubinstein.</w:t>
      </w:r>
    </w:p>
  </w:footnote>
  <w:footnote w:id="2">
    <w:p w14:paraId="4AB18FD1" w14:textId="77777777" w:rsidR="00837D06" w:rsidRDefault="00F109A5">
      <w:pPr>
        <w:rPr>
          <w:sz w:val="20"/>
          <w:szCs w:val="20"/>
        </w:rPr>
      </w:pPr>
      <w:r>
        <w:rPr>
          <w:rStyle w:val="FootnoteReference"/>
        </w:rPr>
        <w:footnoteRef/>
      </w:r>
      <w:r>
        <w:rPr>
          <w:sz w:val="20"/>
          <w:szCs w:val="20"/>
        </w:rPr>
        <w:t xml:space="preserve"> Source: IMPACT-se, “Wasatia Education: Exploring the Palestinian Curriculum,” 2019: http://www.impact-se.org/wp-content/uploads/WASATIA-IMPACT-Booklet_Digital-Format-A5.pdf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5BE16" w14:textId="77777777" w:rsidR="00837D06" w:rsidRDefault="00837D06">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86EBC" w14:textId="77777777" w:rsidR="00837D06" w:rsidRDefault="00F109A5">
    <w:pPr>
      <w:pBdr>
        <w:top w:val="nil"/>
        <w:left w:val="nil"/>
        <w:bottom w:val="nil"/>
        <w:right w:val="nil"/>
        <w:between w:val="nil"/>
      </w:pBdr>
      <w:tabs>
        <w:tab w:val="center" w:pos="4153"/>
        <w:tab w:val="right" w:pos="8306"/>
        <w:tab w:val="left" w:pos="924"/>
        <w:tab w:val="center" w:pos="4156"/>
      </w:tabs>
      <w:rPr>
        <w:color w:val="000000"/>
      </w:rPr>
    </w:pPr>
    <w:r>
      <w:rPr>
        <w:color w:val="000000"/>
      </w:rPr>
      <w:tab/>
    </w:r>
    <w:r>
      <w:rPr>
        <w:color w:val="000000"/>
      </w:rPr>
      <w:tab/>
    </w:r>
    <w:r>
      <w:rPr>
        <w:noProof/>
        <w:lang w:val="en-GB" w:eastAsia="en-GB" w:bidi="ar-SA"/>
      </w:rPr>
      <mc:AlternateContent>
        <mc:Choice Requires="wpg">
          <w:drawing>
            <wp:anchor distT="0" distB="0" distL="114300" distR="114300" simplePos="0" relativeHeight="251658240" behindDoc="0" locked="0" layoutInCell="1" hidden="0" allowOverlap="1" wp14:anchorId="2F8A8613" wp14:editId="70465EF1">
              <wp:simplePos x="0" y="0"/>
              <wp:positionH relativeFrom="column">
                <wp:posOffset>203200</wp:posOffset>
              </wp:positionH>
              <wp:positionV relativeFrom="paragraph">
                <wp:posOffset>1016000</wp:posOffset>
              </wp:positionV>
              <wp:extent cx="12700" cy="12700"/>
              <wp:effectExtent l="0" t="0" r="0" b="0"/>
              <wp:wrapNone/>
              <wp:docPr id="9" name="Straight Arrow Connector 9"/>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rgbClr val="00206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203200</wp:posOffset>
              </wp:positionH>
              <wp:positionV relativeFrom="paragraph">
                <wp:posOffset>1016000</wp:posOffset>
              </wp:positionV>
              <wp:extent cx="12700" cy="12700"/>
              <wp:effectExtent b="0" l="0" r="0" t="0"/>
              <wp:wrapNone/>
              <wp:docPr id="9"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Pr>
        <w:noProof/>
        <w:lang w:val="en-GB" w:eastAsia="en-GB" w:bidi="ar-SA"/>
      </w:rPr>
      <w:drawing>
        <wp:anchor distT="0" distB="0" distL="114300" distR="114300" simplePos="0" relativeHeight="251659264" behindDoc="0" locked="0" layoutInCell="1" hidden="0" allowOverlap="1" wp14:anchorId="56B52DCC" wp14:editId="7FAADAD3">
          <wp:simplePos x="0" y="0"/>
          <wp:positionH relativeFrom="column">
            <wp:posOffset>-416559</wp:posOffset>
          </wp:positionH>
          <wp:positionV relativeFrom="paragraph">
            <wp:posOffset>-98424</wp:posOffset>
          </wp:positionV>
          <wp:extent cx="2513330" cy="1005205"/>
          <wp:effectExtent l="0" t="0" r="0" b="0"/>
          <wp:wrapSquare wrapText="bothSides" distT="0" distB="0" distL="114300" distR="114300"/>
          <wp:docPr id="13" name="image1.png" descr="C:\Users\NGO11\Downloads\Primary Logo Color on Transparent with Horizontal Tagline - RGB (6).png"/>
          <wp:cNvGraphicFramePr/>
          <a:graphic xmlns:a="http://schemas.openxmlformats.org/drawingml/2006/main">
            <a:graphicData uri="http://schemas.openxmlformats.org/drawingml/2006/picture">
              <pic:pic xmlns:pic="http://schemas.openxmlformats.org/drawingml/2006/picture">
                <pic:nvPicPr>
                  <pic:cNvPr id="0" name="image1.png" descr="C:\Users\NGO11\Downloads\Primary Logo Color on Transparent with Horizontal Tagline - RGB (6).png"/>
                  <pic:cNvPicPr preferRelativeResize="0"/>
                </pic:nvPicPr>
                <pic:blipFill>
                  <a:blip r:embed="rId2"/>
                  <a:srcRect/>
                  <a:stretch>
                    <a:fillRect/>
                  </a:stretch>
                </pic:blipFill>
                <pic:spPr>
                  <a:xfrm>
                    <a:off x="0" y="0"/>
                    <a:ext cx="2513330" cy="1005205"/>
                  </a:xfrm>
                  <a:prstGeom prst="rect">
                    <a:avLst/>
                  </a:prstGeom>
                  <a:ln/>
                </pic:spPr>
              </pic:pic>
            </a:graphicData>
          </a:graphic>
        </wp:anchor>
      </w:drawing>
    </w:r>
    <w:r>
      <w:rPr>
        <w:noProof/>
        <w:lang w:val="en-GB" w:eastAsia="en-GB" w:bidi="ar-SA"/>
      </w:rPr>
      <mc:AlternateContent>
        <mc:Choice Requires="wps">
          <w:drawing>
            <wp:anchor distT="0" distB="0" distL="114300" distR="114300" simplePos="0" relativeHeight="251660288" behindDoc="0" locked="0" layoutInCell="1" hidden="0" allowOverlap="1" wp14:anchorId="5899CA2F" wp14:editId="1EEE5EE5">
              <wp:simplePos x="0" y="0"/>
              <wp:positionH relativeFrom="column">
                <wp:posOffset>4432300</wp:posOffset>
              </wp:positionH>
              <wp:positionV relativeFrom="paragraph">
                <wp:posOffset>-126999</wp:posOffset>
              </wp:positionV>
              <wp:extent cx="1903730" cy="1077595"/>
              <wp:effectExtent l="0" t="0" r="0" b="0"/>
              <wp:wrapNone/>
              <wp:docPr id="7" name="Rectangle 7"/>
              <wp:cNvGraphicFramePr/>
              <a:graphic xmlns:a="http://schemas.openxmlformats.org/drawingml/2006/main">
                <a:graphicData uri="http://schemas.microsoft.com/office/word/2010/wordprocessingShape">
                  <wps:wsp>
                    <wps:cNvSpPr/>
                    <wps:spPr>
                      <a:xfrm>
                        <a:off x="4398898" y="3245965"/>
                        <a:ext cx="1894205" cy="1068070"/>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74384685" w14:textId="77777777" w:rsidR="00837D06" w:rsidRDefault="00F109A5">
                          <w:pPr>
                            <w:textDirection w:val="btLr"/>
                          </w:pPr>
                          <w:r>
                            <w:rPr>
                              <w:rFonts w:ascii="Open Sans" w:eastAsia="Open Sans" w:hAnsi="Open Sans" w:cs="Open Sans"/>
                              <w:b/>
                              <w:color w:val="2D487C"/>
                              <w:sz w:val="18"/>
                            </w:rPr>
                            <w:t>10 Yad Harutzim St.</w:t>
                          </w:r>
                        </w:p>
                        <w:p w14:paraId="2DF65BFF" w14:textId="77777777" w:rsidR="00837D06" w:rsidRDefault="00F109A5">
                          <w:pPr>
                            <w:textDirection w:val="btLr"/>
                          </w:pPr>
                          <w:r>
                            <w:rPr>
                              <w:rFonts w:ascii="Open Sans" w:eastAsia="Open Sans" w:hAnsi="Open Sans" w:cs="Open Sans"/>
                              <w:b/>
                              <w:color w:val="2D487C"/>
                              <w:sz w:val="18"/>
                            </w:rPr>
                            <w:t>Jerusalem, Israel 9342148</w:t>
                          </w:r>
                        </w:p>
                        <w:p w14:paraId="5F340CE4" w14:textId="77777777" w:rsidR="00837D06" w:rsidRDefault="00F109A5">
                          <w:pPr>
                            <w:textDirection w:val="btLr"/>
                          </w:pPr>
                          <w:r>
                            <w:rPr>
                              <w:rFonts w:ascii="Open Sans" w:eastAsia="Open Sans" w:hAnsi="Open Sans" w:cs="Open Sans"/>
                              <w:b/>
                              <w:color w:val="2D487C"/>
                              <w:sz w:val="18"/>
                            </w:rPr>
                            <w:t>Phone: +972-2-566-1020</w:t>
                          </w:r>
                        </w:p>
                        <w:p w14:paraId="6ADF7D10" w14:textId="77777777" w:rsidR="00837D06" w:rsidRDefault="00F109A5">
                          <w:pPr>
                            <w:textDirection w:val="btLr"/>
                          </w:pPr>
                          <w:r>
                            <w:rPr>
                              <w:rFonts w:ascii="Open Sans" w:eastAsia="Open Sans" w:hAnsi="Open Sans" w:cs="Open Sans"/>
                              <w:b/>
                              <w:color w:val="2D487C"/>
                              <w:sz w:val="18"/>
                            </w:rPr>
                            <w:t>Fax: +972-77-511-7030</w:t>
                          </w:r>
                        </w:p>
                        <w:p w14:paraId="1ACDC0C8" w14:textId="77777777" w:rsidR="00837D06" w:rsidRDefault="00F109A5">
                          <w:pPr>
                            <w:textDirection w:val="btLr"/>
                          </w:pPr>
                          <w:r>
                            <w:rPr>
                              <w:rFonts w:ascii="Open Sans" w:eastAsia="Open Sans" w:hAnsi="Open Sans" w:cs="Open Sans"/>
                              <w:b/>
                              <w:color w:val="2D487C"/>
                              <w:sz w:val="18"/>
                              <w:u w:val="single"/>
                            </w:rPr>
                            <w:t>mail@ngo-monitor.org</w:t>
                          </w:r>
                        </w:p>
                        <w:p w14:paraId="626976C5" w14:textId="77777777" w:rsidR="00837D06" w:rsidRDefault="00F109A5">
                          <w:pPr>
                            <w:textDirection w:val="btLr"/>
                          </w:pPr>
                          <w:r>
                            <w:rPr>
                              <w:rFonts w:ascii="Open Sans" w:eastAsia="Open Sans" w:hAnsi="Open Sans" w:cs="Open Sans"/>
                              <w:b/>
                              <w:color w:val="2D487C"/>
                              <w:sz w:val="18"/>
                            </w:rPr>
                            <w:t>www.ngo-monitor.org</w:t>
                          </w:r>
                        </w:p>
                        <w:p w14:paraId="02FE53AA" w14:textId="77777777" w:rsidR="00837D06" w:rsidRDefault="00837D06">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899CA2F" id="Rectangle 7" o:spid="_x0000_s1026" style="position:absolute;margin-left:349pt;margin-top:-10pt;width:149.9pt;height:84.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k8uNgIAAHIEAAAOAAAAZHJzL2Uyb0RvYy54bWysVNtu2zAMfR+wfxD0vthOk8Y24hRDswwD&#10;ijVYtw9gZNkWoNsk5fb3o+SsTbeHDcP8oJAWTZ5zSGZ5d1KSHLjzwuiGFpOcEq6ZaYXuG/rt6+Zd&#10;SYkPoFuQRvOGnrmnd6u3b5ZHW/OpGYxsuSOYRPv6aBs6hGDrLPNs4Ar8xFiu8bIzTkFA1/VZ6+CI&#10;2ZXMpnl+mx2Na60zjHuPb9fjJV2l/F3HWXjsOs8DkQ1FbCGdLp27eGarJdS9AzsIdoEB/4BCgdBY&#10;9DnVGgKQvRO/pVKCOeNNFybMqMx0nWA8cUA2Rf4Lm6cBLE9cUBxvn2Xy/y8t+3zYOiLahi4o0aCw&#10;RV9QNNC95GQR5TlaX2PUk926i+fRjFxPnVPxF1mQU0NnN1VZVtjvc0NvprN5dTsf5eWnQBgGFGU1&#10;m+ZzShhGFPltmS9SA7KXVNb58JEbRaLRUIdQkqxwePABy2Poz5BY2Rsp2o2QMjmu391LRw6Avd6k&#10;J9bHT16FSU2ODa3m0wgEcOQ6CQFNZVEEr/tU79UX/u8SR2Br8MMIIGUY+SsRcMalUA0t8/iMrwcO&#10;7QfdknC2qLrG9aARmVeUSI7LhAbChzqAkH+OQ5pSI9vYrrFB0Qqn3enStZ1pz9hqb9lGINIH8GEL&#10;Doe9wLK4AFjw+x4cgpCfNE5YVcyiRCE5s/kCYRN3fbO7vgHNBoN7hUqO5n1IWxYJaPN+H0wnUgMj&#10;qhHKBSwOdmrSZQnj5lz7Kerlr2L1AwAA//8DAFBLAwQUAAYACAAAACEAbUbAeuMAAAAQAQAADwAA&#10;AGRycy9kb3ducmV2LnhtbEyPQU/DMAyF70j8h8hI3LYUhLa1azoh0DghAQWJq9dkbUXiVEm6dfv1&#10;mBO7WLL8/N77ys3krDiYEHtPCu7mGQhDjdc9tQq+PrezFYiYkDRaT0bByUTYVNdXJRbaH+nDHOrU&#10;CjahWKCCLqWhkDI2nXEY534wxLe9Dw4Tr6GVOuCRzZ2V91m2kA574oQOB/PUmeanHp0C+xK+X+37&#10;iPv6fN6e3mLT6xCVur2Zntc8HtcgkpnS/wf8MXB/qLjYzo+ko7AKFvmKgZKCGYeBYEWeL5lox9KH&#10;fAmyKuUlSPULAAD//wMAUEsBAi0AFAAGAAgAAAAhALaDOJL+AAAA4QEAABMAAAAAAAAAAAAAAAAA&#10;AAAAAFtDb250ZW50X1R5cGVzXS54bWxQSwECLQAUAAYACAAAACEAOP0h/9YAAACUAQAACwAAAAAA&#10;AAAAAAAAAAAvAQAAX3JlbHMvLnJlbHNQSwECLQAUAAYACAAAACEADOZPLjYCAAByBAAADgAAAAAA&#10;AAAAAAAAAAAuAgAAZHJzL2Uyb0RvYy54bWxQSwECLQAUAAYACAAAACEAbUbAeuMAAAAQAQAADwAA&#10;AAAAAAAAAAAAAACQBAAAZHJzL2Rvd25yZXYueG1sUEsFBgAAAAAEAAQA8wAAAKAFAAAAAA==&#10;" strokecolor="white">
              <v:stroke startarrowwidth="narrow" startarrowlength="short" endarrowwidth="narrow" endarrowlength="short"/>
              <v:textbox inset="2.53958mm,1.2694mm,2.53958mm,1.2694mm">
                <w:txbxContent>
                  <w:p w14:paraId="74384685" w14:textId="77777777" w:rsidR="00837D06" w:rsidRDefault="00F109A5">
                    <w:pPr>
                      <w:textDirection w:val="btLr"/>
                    </w:pPr>
                    <w:r>
                      <w:rPr>
                        <w:rFonts w:ascii="Open Sans" w:eastAsia="Open Sans" w:hAnsi="Open Sans" w:cs="Open Sans"/>
                        <w:b/>
                        <w:color w:val="2D487C"/>
                        <w:sz w:val="18"/>
                      </w:rPr>
                      <w:t xml:space="preserve">10 Yad </w:t>
                    </w:r>
                    <w:proofErr w:type="spellStart"/>
                    <w:r>
                      <w:rPr>
                        <w:rFonts w:ascii="Open Sans" w:eastAsia="Open Sans" w:hAnsi="Open Sans" w:cs="Open Sans"/>
                        <w:b/>
                        <w:color w:val="2D487C"/>
                        <w:sz w:val="18"/>
                      </w:rPr>
                      <w:t>Harutzim</w:t>
                    </w:r>
                    <w:proofErr w:type="spellEnd"/>
                    <w:r>
                      <w:rPr>
                        <w:rFonts w:ascii="Open Sans" w:eastAsia="Open Sans" w:hAnsi="Open Sans" w:cs="Open Sans"/>
                        <w:b/>
                        <w:color w:val="2D487C"/>
                        <w:sz w:val="18"/>
                      </w:rPr>
                      <w:t xml:space="preserve"> St.</w:t>
                    </w:r>
                  </w:p>
                  <w:p w14:paraId="2DF65BFF" w14:textId="77777777" w:rsidR="00837D06" w:rsidRDefault="00F109A5">
                    <w:pPr>
                      <w:textDirection w:val="btLr"/>
                    </w:pPr>
                    <w:r>
                      <w:rPr>
                        <w:rFonts w:ascii="Open Sans" w:eastAsia="Open Sans" w:hAnsi="Open Sans" w:cs="Open Sans"/>
                        <w:b/>
                        <w:color w:val="2D487C"/>
                        <w:sz w:val="18"/>
                      </w:rPr>
                      <w:t>Jerusalem, Israel 9342148</w:t>
                    </w:r>
                  </w:p>
                  <w:p w14:paraId="5F340CE4" w14:textId="77777777" w:rsidR="00837D06" w:rsidRDefault="00F109A5">
                    <w:pPr>
                      <w:textDirection w:val="btLr"/>
                    </w:pPr>
                    <w:r>
                      <w:rPr>
                        <w:rFonts w:ascii="Open Sans" w:eastAsia="Open Sans" w:hAnsi="Open Sans" w:cs="Open Sans"/>
                        <w:b/>
                        <w:color w:val="2D487C"/>
                        <w:sz w:val="18"/>
                      </w:rPr>
                      <w:t>Phone: +972-2-566-1020</w:t>
                    </w:r>
                  </w:p>
                  <w:p w14:paraId="6ADF7D10" w14:textId="77777777" w:rsidR="00837D06" w:rsidRDefault="00F109A5">
                    <w:pPr>
                      <w:textDirection w:val="btLr"/>
                    </w:pPr>
                    <w:r>
                      <w:rPr>
                        <w:rFonts w:ascii="Open Sans" w:eastAsia="Open Sans" w:hAnsi="Open Sans" w:cs="Open Sans"/>
                        <w:b/>
                        <w:color w:val="2D487C"/>
                        <w:sz w:val="18"/>
                      </w:rPr>
                      <w:t>Fax: +972-77-511-7030</w:t>
                    </w:r>
                  </w:p>
                  <w:p w14:paraId="1ACDC0C8" w14:textId="77777777" w:rsidR="00837D06" w:rsidRDefault="00F109A5">
                    <w:pPr>
                      <w:textDirection w:val="btLr"/>
                    </w:pPr>
                    <w:r>
                      <w:rPr>
                        <w:rFonts w:ascii="Open Sans" w:eastAsia="Open Sans" w:hAnsi="Open Sans" w:cs="Open Sans"/>
                        <w:b/>
                        <w:color w:val="2D487C"/>
                        <w:sz w:val="18"/>
                        <w:u w:val="single"/>
                      </w:rPr>
                      <w:t>mail@ngo-monitor.org</w:t>
                    </w:r>
                  </w:p>
                  <w:p w14:paraId="626976C5" w14:textId="77777777" w:rsidR="00837D06" w:rsidRDefault="00F109A5">
                    <w:pPr>
                      <w:textDirection w:val="btLr"/>
                    </w:pPr>
                    <w:r>
                      <w:rPr>
                        <w:rFonts w:ascii="Open Sans" w:eastAsia="Open Sans" w:hAnsi="Open Sans" w:cs="Open Sans"/>
                        <w:b/>
                        <w:color w:val="2D487C"/>
                        <w:sz w:val="18"/>
                      </w:rPr>
                      <w:t>www.ngo-monitor.org</w:t>
                    </w:r>
                  </w:p>
                  <w:p w14:paraId="02FE53AA" w14:textId="77777777" w:rsidR="00837D06" w:rsidRDefault="00837D06">
                    <w:pPr>
                      <w:textDirection w:val="btLr"/>
                    </w:pPr>
                  </w:p>
                </w:txbxContent>
              </v:textbox>
            </v:rect>
          </w:pict>
        </mc:Fallback>
      </mc:AlternateContent>
    </w:r>
  </w:p>
  <w:p w14:paraId="1C2CD2DA" w14:textId="77777777" w:rsidR="00837D06" w:rsidRDefault="00837D06">
    <w:pPr>
      <w:pBdr>
        <w:top w:val="nil"/>
        <w:left w:val="nil"/>
        <w:bottom w:val="nil"/>
        <w:right w:val="nil"/>
        <w:between w:val="nil"/>
      </w:pBdr>
      <w:tabs>
        <w:tab w:val="center" w:pos="4153"/>
        <w:tab w:val="right" w:pos="8306"/>
        <w:tab w:val="left" w:pos="924"/>
        <w:tab w:val="center" w:pos="4156"/>
      </w:tabs>
      <w:rPr>
        <w:color w:val="000000"/>
      </w:rPr>
    </w:pPr>
  </w:p>
  <w:p w14:paraId="7EA1C3A4" w14:textId="77777777" w:rsidR="00837D06" w:rsidRDefault="00837D06">
    <w:pPr>
      <w:pBdr>
        <w:top w:val="nil"/>
        <w:left w:val="nil"/>
        <w:bottom w:val="nil"/>
        <w:right w:val="nil"/>
        <w:between w:val="nil"/>
      </w:pBdr>
      <w:tabs>
        <w:tab w:val="center" w:pos="4153"/>
        <w:tab w:val="right" w:pos="8306"/>
        <w:tab w:val="left" w:pos="924"/>
        <w:tab w:val="center" w:pos="4156"/>
      </w:tabs>
      <w:rPr>
        <w:color w:val="000000"/>
      </w:rPr>
    </w:pPr>
  </w:p>
  <w:p w14:paraId="1EDB719A" w14:textId="77777777" w:rsidR="00837D06" w:rsidRDefault="00837D06">
    <w:pPr>
      <w:pBdr>
        <w:top w:val="nil"/>
        <w:left w:val="nil"/>
        <w:bottom w:val="nil"/>
        <w:right w:val="nil"/>
        <w:between w:val="nil"/>
      </w:pBdr>
      <w:tabs>
        <w:tab w:val="center" w:pos="4153"/>
        <w:tab w:val="right" w:pos="8306"/>
        <w:tab w:val="left" w:pos="924"/>
        <w:tab w:val="center" w:pos="4156"/>
      </w:tabs>
      <w:rPr>
        <w:color w:val="000000"/>
      </w:rPr>
    </w:pPr>
  </w:p>
  <w:p w14:paraId="63A1E0B5" w14:textId="77777777" w:rsidR="00837D06" w:rsidRDefault="00837D06">
    <w:pPr>
      <w:pBdr>
        <w:top w:val="nil"/>
        <w:left w:val="nil"/>
        <w:bottom w:val="nil"/>
        <w:right w:val="nil"/>
        <w:between w:val="nil"/>
      </w:pBdr>
      <w:tabs>
        <w:tab w:val="center" w:pos="4153"/>
        <w:tab w:val="right" w:pos="8306"/>
        <w:tab w:val="left" w:pos="924"/>
        <w:tab w:val="center" w:pos="4156"/>
      </w:tabs>
      <w:rPr>
        <w:color w:val="000000"/>
      </w:rPr>
    </w:pPr>
  </w:p>
  <w:p w14:paraId="54366FB2" w14:textId="77777777" w:rsidR="00837D06" w:rsidRDefault="00F109A5">
    <w:pPr>
      <w:pBdr>
        <w:top w:val="nil"/>
        <w:left w:val="nil"/>
        <w:bottom w:val="nil"/>
        <w:right w:val="nil"/>
        <w:between w:val="nil"/>
      </w:pBdr>
      <w:tabs>
        <w:tab w:val="center" w:pos="4153"/>
        <w:tab w:val="right" w:pos="8306"/>
        <w:tab w:val="left" w:pos="924"/>
        <w:tab w:val="center" w:pos="4156"/>
      </w:tabs>
      <w:rPr>
        <w:color w:val="000000"/>
      </w:rPr>
    </w:pPr>
    <w:r>
      <w:rPr>
        <w:noProof/>
        <w:lang w:val="en-GB" w:eastAsia="en-GB" w:bidi="ar-SA"/>
      </w:rPr>
      <mc:AlternateContent>
        <mc:Choice Requires="wpg">
          <w:drawing>
            <wp:anchor distT="0" distB="0" distL="114300" distR="114300" simplePos="0" relativeHeight="251661312" behindDoc="0" locked="0" layoutInCell="1" hidden="0" allowOverlap="1" wp14:anchorId="39BB274C" wp14:editId="5BDF599C">
              <wp:simplePos x="0" y="0"/>
              <wp:positionH relativeFrom="column">
                <wp:posOffset>-330199</wp:posOffset>
              </wp:positionH>
              <wp:positionV relativeFrom="paragraph">
                <wp:posOffset>101600</wp:posOffset>
              </wp:positionV>
              <wp:extent cx="6347460" cy="12700"/>
              <wp:effectExtent l="0" t="0" r="0" b="0"/>
              <wp:wrapNone/>
              <wp:docPr id="8" name="Straight Arrow Connector 8"/>
              <wp:cNvGraphicFramePr/>
              <a:graphic xmlns:a="http://schemas.openxmlformats.org/drawingml/2006/main">
                <a:graphicData uri="http://schemas.microsoft.com/office/word/2010/wordprocessingShape">
                  <wps:wsp>
                    <wps:cNvCnPr/>
                    <wps:spPr>
                      <a:xfrm>
                        <a:off x="2172270" y="3780000"/>
                        <a:ext cx="6347460" cy="0"/>
                      </a:xfrm>
                      <a:prstGeom prst="straightConnector1">
                        <a:avLst/>
                      </a:prstGeom>
                      <a:noFill/>
                      <a:ln w="9525" cap="flat" cmpd="sng">
                        <a:solidFill>
                          <a:srgbClr val="00206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-330199</wp:posOffset>
              </wp:positionH>
              <wp:positionV relativeFrom="paragraph">
                <wp:posOffset>101600</wp:posOffset>
              </wp:positionV>
              <wp:extent cx="6347460" cy="12700"/>
              <wp:effectExtent b="0" l="0" r="0" t="0"/>
              <wp:wrapNone/>
              <wp:docPr id="8" name="image6.png"/>
              <a:graphic>
                <a:graphicData uri="http://schemas.openxmlformats.org/drawingml/2006/picture">
                  <pic:pic>
                    <pic:nvPicPr>
                      <pic:cNvPr id="0" name="image6.png"/>
                      <pic:cNvPicPr preferRelativeResize="0"/>
                    </pic:nvPicPr>
                    <pic:blipFill>
                      <a:blip r:embed="rId4"/>
                      <a:srcRect/>
                      <a:stretch>
                        <a:fillRect/>
                      </a:stretch>
                    </pic:blipFill>
                    <pic:spPr>
                      <a:xfrm>
                        <a:off x="0" y="0"/>
                        <a:ext cx="6347460" cy="12700"/>
                      </a:xfrm>
                      <a:prstGeom prst="rect"/>
                      <a:ln/>
                    </pic:spPr>
                  </pic:pic>
                </a:graphicData>
              </a:graphic>
            </wp:anchor>
          </w:drawing>
        </mc:Fallback>
      </mc:AlternateContent>
    </w:r>
  </w:p>
  <w:p w14:paraId="4767E7BD" w14:textId="77777777" w:rsidR="00837D06" w:rsidRDefault="00837D06">
    <w:pPr>
      <w:pBdr>
        <w:top w:val="nil"/>
        <w:left w:val="nil"/>
        <w:bottom w:val="nil"/>
        <w:right w:val="nil"/>
        <w:between w:val="nil"/>
      </w:pBdr>
      <w:tabs>
        <w:tab w:val="center" w:pos="4153"/>
        <w:tab w:val="right" w:pos="8306"/>
        <w:tab w:val="left" w:pos="924"/>
        <w:tab w:val="center" w:pos="415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80365" w14:textId="77777777" w:rsidR="00837D06" w:rsidRDefault="00837D06">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D06"/>
    <w:rsid w:val="00212395"/>
    <w:rsid w:val="00413144"/>
    <w:rsid w:val="00462DFB"/>
    <w:rsid w:val="004F7020"/>
    <w:rsid w:val="00530A08"/>
    <w:rsid w:val="006D28CF"/>
    <w:rsid w:val="0081248A"/>
    <w:rsid w:val="00837D06"/>
    <w:rsid w:val="00893A34"/>
    <w:rsid w:val="0090147F"/>
    <w:rsid w:val="00B60BF1"/>
    <w:rsid w:val="00F109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7D5D"/>
  <w15:docId w15:val="{582C2188-BEB7-D443-B1D6-6BBC8311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52B"/>
  </w:style>
  <w:style w:type="paragraph" w:styleId="Heading1">
    <w:name w:val="heading 1"/>
    <w:basedOn w:val="Normal"/>
    <w:next w:val="Normal"/>
    <w:uiPriority w:val="9"/>
    <w:qFormat/>
    <w:pPr>
      <w:keepNext/>
      <w:jc w:val="center"/>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u w:val="single"/>
    </w:rPr>
  </w:style>
  <w:style w:type="paragraph" w:styleId="BodyText">
    <w:name w:val="Body Text"/>
    <w:basedOn w:val="Normal"/>
    <w:pPr>
      <w:jc w:val="right"/>
    </w:pPr>
  </w:style>
  <w:style w:type="paragraph" w:styleId="BodyText2">
    <w:name w:val="Body Text 2"/>
    <w:basedOn w:val="Normal"/>
    <w:rPr>
      <w:b/>
      <w:bCs/>
    </w:rPr>
  </w:style>
  <w:style w:type="paragraph" w:styleId="BodyText3">
    <w:name w:val="Body Text 3"/>
    <w:basedOn w:val="Normal"/>
    <w:pPr>
      <w:jc w:val="center"/>
    </w:pPr>
    <w:rPr>
      <w:b/>
      <w:bCs/>
      <w:sz w:val="28"/>
    </w:rPr>
  </w:style>
  <w:style w:type="paragraph" w:styleId="FootnoteText">
    <w:name w:val="footnote text"/>
    <w:basedOn w:val="Normal"/>
    <w:semiHidden/>
    <w:rsid w:val="00E1052B"/>
    <w:rPr>
      <w:sz w:val="20"/>
      <w:szCs w:val="20"/>
    </w:rPr>
  </w:style>
  <w:style w:type="character" w:styleId="FootnoteReference">
    <w:name w:val="footnote reference"/>
    <w:semiHidden/>
    <w:rsid w:val="00E1052B"/>
    <w:rPr>
      <w:vertAlign w:val="superscript"/>
    </w:rPr>
  </w:style>
  <w:style w:type="table" w:styleId="TableWeb3">
    <w:name w:val="Table Web 3"/>
    <w:basedOn w:val="TableNormal"/>
    <w:rsid w:val="007C2A7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eader">
    <w:name w:val="header"/>
    <w:basedOn w:val="Normal"/>
    <w:link w:val="HeaderChar"/>
    <w:uiPriority w:val="99"/>
    <w:rsid w:val="00D962A9"/>
    <w:pPr>
      <w:tabs>
        <w:tab w:val="center" w:pos="4153"/>
        <w:tab w:val="right" w:pos="8306"/>
      </w:tabs>
    </w:pPr>
  </w:style>
  <w:style w:type="paragraph" w:styleId="Footer">
    <w:name w:val="footer"/>
    <w:basedOn w:val="Normal"/>
    <w:rsid w:val="00D962A9"/>
    <w:pPr>
      <w:tabs>
        <w:tab w:val="center" w:pos="4153"/>
        <w:tab w:val="right" w:pos="8306"/>
      </w:tabs>
    </w:pPr>
  </w:style>
  <w:style w:type="paragraph" w:styleId="BalloonText">
    <w:name w:val="Balloon Text"/>
    <w:basedOn w:val="Normal"/>
    <w:link w:val="BalloonTextChar"/>
    <w:rsid w:val="007F25D0"/>
    <w:rPr>
      <w:rFonts w:ascii="Tahoma" w:hAnsi="Tahoma"/>
      <w:sz w:val="16"/>
      <w:szCs w:val="16"/>
      <w:lang w:val="x-none" w:eastAsia="x-none"/>
    </w:rPr>
  </w:style>
  <w:style w:type="character" w:customStyle="1" w:styleId="BalloonTextChar">
    <w:name w:val="Balloon Text Char"/>
    <w:link w:val="BalloonText"/>
    <w:rsid w:val="007F25D0"/>
    <w:rPr>
      <w:rFonts w:ascii="Tahoma" w:hAnsi="Tahoma" w:cs="Tahoma"/>
      <w:sz w:val="16"/>
      <w:szCs w:val="16"/>
    </w:rPr>
  </w:style>
  <w:style w:type="character" w:customStyle="1" w:styleId="yshortcuts">
    <w:name w:val="yshortcuts"/>
    <w:basedOn w:val="DefaultParagraphFont"/>
    <w:rsid w:val="003E3FEF"/>
  </w:style>
  <w:style w:type="character" w:styleId="Strong">
    <w:name w:val="Strong"/>
    <w:qFormat/>
    <w:rsid w:val="003E3FEF"/>
    <w:rPr>
      <w:b/>
      <w:bCs/>
    </w:rPr>
  </w:style>
  <w:style w:type="character" w:customStyle="1" w:styleId="HeaderChar">
    <w:name w:val="Header Char"/>
    <w:link w:val="Header"/>
    <w:uiPriority w:val="99"/>
    <w:rsid w:val="00371B07"/>
    <w:rPr>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PageNumber">
    <w:name w:val="page number"/>
    <w:basedOn w:val="DefaultParagraphFont"/>
    <w:uiPriority w:val="99"/>
    <w:semiHidden/>
    <w:unhideWhenUsed/>
    <w:rsid w:val="00530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www.palwatch.org/main.aspx?fi=339&amp;doc_id=27570" TargetMode="External"/><Relationship Id="rId117" Type="http://schemas.openxmlformats.org/officeDocument/2006/relationships/header" Target="header3.xml"/><Relationship Id="rId21" Type="http://schemas.openxmlformats.org/officeDocument/2006/relationships/hyperlink" Target="http://www.palwatch.org/main.aspx?fi=157&amp;doc_id=25414" TargetMode="External"/><Relationship Id="rId42" Type="http://schemas.openxmlformats.org/officeDocument/2006/relationships/hyperlink" Target="http://palwatch.org/main.aspx?fi=448&amp;doc_id=21210" TargetMode="External"/><Relationship Id="rId47" Type="http://schemas.openxmlformats.org/officeDocument/2006/relationships/hyperlink" Target="http://palwatch.org/main.aspx?fi=448&amp;doc_id=21210" TargetMode="External"/><Relationship Id="rId63" Type="http://schemas.openxmlformats.org/officeDocument/2006/relationships/hyperlink" Target="http://pflp.ps/english/2017/08/20/palestinian-youth-honor-naji-al-ali-with-leila-khaled-in-ein-el-helweh-refugee-camp/" TargetMode="External"/><Relationship Id="rId68" Type="http://schemas.openxmlformats.org/officeDocument/2006/relationships/hyperlink" Target="http://pflp.ps/english/2017/08/20/palestinian-youth-honor-naji-al-ali-with-leila-khaled-in-ein-el-helweh-refugee-camp/" TargetMode="External"/><Relationship Id="rId84" Type="http://schemas.openxmlformats.org/officeDocument/2006/relationships/hyperlink" Target="https://www.israelhayom.co.il/article/551269" TargetMode="External"/><Relationship Id="rId89" Type="http://schemas.openxmlformats.org/officeDocument/2006/relationships/hyperlink" Target="https://www.terrorism-info.org.il/en/hamasannounced-opening-summer-camps-children-adolescents-gaza-strip-year-summer-camps-inspired-returnmarches-include-military-training-every/" TargetMode="External"/><Relationship Id="rId112" Type="http://schemas.openxmlformats.org/officeDocument/2006/relationships/hyperlink" Target="http://ngo-monitor.org/data/images/File/Herzberg%20Kidron%20Valley%20Article.pdf" TargetMode="External"/><Relationship Id="rId16" Type="http://schemas.openxmlformats.org/officeDocument/2006/relationships/hyperlink" Target="http://www.palwatch.org/main.aspx?fi=844" TargetMode="External"/><Relationship Id="rId107" Type="http://schemas.openxmlformats.org/officeDocument/2006/relationships/hyperlink" Target="https://www.jpost.com/breaking-news/vaccine-exchange-deal-between-israel-and-pa-has-been-announced-671413" TargetMode="External"/><Relationship Id="rId11" Type="http://schemas.openxmlformats.org/officeDocument/2006/relationships/hyperlink" Target="http://www.palwatch.org/main.aspx?fi=339&amp;doc_id=27525" TargetMode="External"/><Relationship Id="rId32" Type="http://schemas.openxmlformats.org/officeDocument/2006/relationships/hyperlink" Target="http://palwatch.org/main.aspx?fi=157&amp;doc_id=27495" TargetMode="External"/><Relationship Id="rId37" Type="http://schemas.openxmlformats.org/officeDocument/2006/relationships/hyperlink" Target="https://www.palwatch.org/main.aspx?fi=847" TargetMode="External"/><Relationship Id="rId53" Type="http://schemas.openxmlformats.org/officeDocument/2006/relationships/hyperlink" Target="http://pflp.ps/english/2017/08/07/progressive-student-labor-front-salutes-outstanding-students-in-mass-festival-in-gaza/" TargetMode="External"/><Relationship Id="rId58" Type="http://schemas.openxmlformats.org/officeDocument/2006/relationships/hyperlink" Target="http://pflp.ps/english/2016/03/11/pflp-salutes-youth-resistance-pledges-to-escalate-the-intifada/" TargetMode="External"/><Relationship Id="rId74" Type="http://schemas.openxmlformats.org/officeDocument/2006/relationships/hyperlink" Target="https://www.timesofisrael.com/idf-hamas-cynically-sent-7-year-old-girl-to-breach-gaza-border/" TargetMode="External"/><Relationship Id="rId79" Type="http://schemas.openxmlformats.org/officeDocument/2006/relationships/hyperlink" Target="https://www.ynetnews.com/articles/0,7340,L-5236527,00.html" TargetMode="External"/><Relationship Id="rId102" Type="http://schemas.openxmlformats.org/officeDocument/2006/relationships/hyperlink" Target="https://www.nbcnews.com/news/world/world-vision-s-gaza-manager-funneled-millions-hamas-israel-n623421" TargetMode="External"/><Relationship Id="rId123" Type="http://schemas.openxmlformats.org/officeDocument/2006/relationships/customXml" Target="../customXml/item4.xml"/><Relationship Id="rId5" Type="http://schemas.openxmlformats.org/officeDocument/2006/relationships/footnotes" Target="footnotes.xml"/><Relationship Id="rId90" Type="http://schemas.openxmlformats.org/officeDocument/2006/relationships/hyperlink" Target="https://www.terrorism-info.org.il/en/hamasannounced-opening-summer-camps-children-adolescents-gaza-strip-year-summer-camps-inspired-returnmarches-include-military-training-every/" TargetMode="External"/><Relationship Id="rId95" Type="http://schemas.openxmlformats.org/officeDocument/2006/relationships/hyperlink" Target="https://www.reuters.com/article/us-palestinians-health/uae-qatar-donate-funds-to-stave-off-gaza-health-crisis-idUSKBN1FT2L6" TargetMode="External"/><Relationship Id="rId22" Type="http://schemas.openxmlformats.org/officeDocument/2006/relationships/hyperlink" Target="http://www.palwatch.org/main.aspx?fi=157&amp;doc_id=25414" TargetMode="External"/><Relationship Id="rId27" Type="http://schemas.openxmlformats.org/officeDocument/2006/relationships/hyperlink" Target="http://www.palwatch.org/main.aspx?fi=339&amp;doc_id=27570" TargetMode="External"/><Relationship Id="rId43" Type="http://schemas.openxmlformats.org/officeDocument/2006/relationships/hyperlink" Target="http://palwatch.org/main.aspx?fi=448&amp;doc_id=21210" TargetMode="External"/><Relationship Id="rId48" Type="http://schemas.openxmlformats.org/officeDocument/2006/relationships/hyperlink" Target="http://pflp.ps/english/2014/08/12/we-are-all-resistance-campaign-supports-families-and-children/" TargetMode="External"/><Relationship Id="rId64" Type="http://schemas.openxmlformats.org/officeDocument/2006/relationships/hyperlink" Target="http://pflp.ps/english/2017/08/20/palestinian-youth-honor-naji-al-ali-with-leila-khaled-in-ein-el-helweh-refugee-camp/" TargetMode="External"/><Relationship Id="rId69" Type="http://schemas.openxmlformats.org/officeDocument/2006/relationships/hyperlink" Target="http://pflp.ps/english/2012/07/19/youth-camp-in-honor-of-ghassan-kanafani-concludes-in-dheisheh-camp/" TargetMode="External"/><Relationship Id="rId113" Type="http://schemas.openxmlformats.org/officeDocument/2006/relationships/header" Target="header1.xml"/><Relationship Id="rId118" Type="http://schemas.openxmlformats.org/officeDocument/2006/relationships/footer" Target="footer3.xml"/><Relationship Id="rId80" Type="http://schemas.openxmlformats.org/officeDocument/2006/relationships/hyperlink" Target="https://www.ynetnews.com/articles/0,7340,L-5236527,00.html" TargetMode="External"/><Relationship Id="rId85" Type="http://schemas.openxmlformats.org/officeDocument/2006/relationships/hyperlink" Target="https://www.timesofisrael.com/in-new-videos-idf-accuses-gazans-of-faking-injury-taking-small-kids-to-riots/" TargetMode="External"/><Relationship Id="rId12" Type="http://schemas.openxmlformats.org/officeDocument/2006/relationships/hyperlink" Target="http://www.palwatch.org/main.aspx?fi=339&amp;doc_id=27525" TargetMode="External"/><Relationship Id="rId17" Type="http://schemas.openxmlformats.org/officeDocument/2006/relationships/hyperlink" Target="http://www.palwatch.org/main.aspx?fi=844" TargetMode="External"/><Relationship Id="rId33" Type="http://schemas.openxmlformats.org/officeDocument/2006/relationships/hyperlink" Target="https://www.palwatch.org/main.aspx?fi=847&amp;fld_id=847&amp;doc_id=20168" TargetMode="External"/><Relationship Id="rId38" Type="http://schemas.openxmlformats.org/officeDocument/2006/relationships/hyperlink" Target="https://www.palwatch.org/main.aspx?fi=847" TargetMode="External"/><Relationship Id="rId59" Type="http://schemas.openxmlformats.org/officeDocument/2006/relationships/hyperlink" Target="http://pflp.ps/english/2016/03/11/pflp-salutes-youth-resistance-pledges-to-escalate-the-intifada/" TargetMode="External"/><Relationship Id="rId103" Type="http://schemas.openxmlformats.org/officeDocument/2006/relationships/hyperlink" Target="https://www.timesofisrael.com/gaza-cancer-patient-caught-with-explosives-freed-from-israeli-custody/" TargetMode="External"/><Relationship Id="rId108" Type="http://schemas.openxmlformats.org/officeDocument/2006/relationships/hyperlink" Target="https://www.jpost.com/breaking-news/vaccine-exchange-deal-between-israel-and-pa-has-been-announced-671413" TargetMode="External"/><Relationship Id="rId54" Type="http://schemas.openxmlformats.org/officeDocument/2006/relationships/image" Target="media/image2.png"/><Relationship Id="rId70" Type="http://schemas.openxmlformats.org/officeDocument/2006/relationships/hyperlink" Target="http://pflp.ps/english/2012/07/19/youth-camp-in-honor-of-ghassan-kanafani-concludes-in-dheisheh-camp/" TargetMode="External"/><Relationship Id="rId75" Type="http://schemas.openxmlformats.org/officeDocument/2006/relationships/hyperlink" Target="https://www.timesofisrael.com/idf-hamas-cynically-sent-7-year-old-girl-to-breach-gaza-border/" TargetMode="External"/><Relationship Id="rId91" Type="http://schemas.openxmlformats.org/officeDocument/2006/relationships/hyperlink" Target="https://saraya.ps/post/54519/%D8%A7%D9%84%D8%AC%D9%87%D8%A7%D8%AF-%D8%A7%D9%84%D8%A5%D8%B3%D9%84%D8%A7%D9%85%D9%8A-%D9%88%D8%B0%D8%B1%D8%A7%D8%B9%D9%87%D8%A7-%D8%A7%D9%84%D8%B9%D8%B3%D9%83%D8%B1%D9%8A-%D9%8A%D8%AD%D8%AA%D8%B3%D8%A8%D8%A7%D9%86-%D8%AB%D9%84%D8%A7%D8%AB%D8%A9-%D9%85%D9%86-%D8%B4%D9%87%D8%AF%D8%A7%D8%A1-%D8%A7%D9%84%D8%B9%D9%88%D8%AF%D8%A9-%D8%A8%D8%AE%D8%A7%D9%86%D9%8A%D9%88%D9%86%D8%B3" TargetMode="External"/><Relationship Id="rId96" Type="http://schemas.openxmlformats.org/officeDocument/2006/relationships/hyperlink" Target="https://www.reuters.com/article/us-palestinians-health/uae-qatar-donate-funds-to-stave-off-gaza-health-crisis-idUSKBN1FT2L6"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yperlink" Target="http://www.palwatch.org/main.aspx?fi=157&amp;doc_id=25414" TargetMode="External"/><Relationship Id="rId28" Type="http://schemas.openxmlformats.org/officeDocument/2006/relationships/hyperlink" Target="http://www.palwatch.org/main.aspx?fi=339&amp;doc_id=27570" TargetMode="External"/><Relationship Id="rId49" Type="http://schemas.openxmlformats.org/officeDocument/2006/relationships/hyperlink" Target="http://pflp.ps/english/2014/08/12/we-are-all-resistance-campaign-supports-families-and-children/" TargetMode="External"/><Relationship Id="rId114" Type="http://schemas.openxmlformats.org/officeDocument/2006/relationships/header" Target="header2.xml"/><Relationship Id="rId119" Type="http://schemas.openxmlformats.org/officeDocument/2006/relationships/fontTable" Target="fontTable.xml"/><Relationship Id="rId44" Type="http://schemas.openxmlformats.org/officeDocument/2006/relationships/hyperlink" Target="http://palwatch.org/main.aspx?fi=448&amp;doc_id=21210" TargetMode="External"/><Relationship Id="rId60" Type="http://schemas.openxmlformats.org/officeDocument/2006/relationships/hyperlink" Target="http://pflp.ps/english/2015/10/09/palestinian-progressive-youth-union-the-rising-intifada-and-revolution-of-the-youth/" TargetMode="External"/><Relationship Id="rId65" Type="http://schemas.openxmlformats.org/officeDocument/2006/relationships/hyperlink" Target="http://pflp.ps/english/2017/08/20/palestinian-youth-honor-naji-al-ali-with-leila-khaled-in-ein-el-helweh-refugee-camp/" TargetMode="External"/><Relationship Id="rId81" Type="http://schemas.openxmlformats.org/officeDocument/2006/relationships/hyperlink" Target="https://www.ynetnews.com/articles/0,7340,L-5236527,00.html" TargetMode="External"/><Relationship Id="rId86" Type="http://schemas.openxmlformats.org/officeDocument/2006/relationships/hyperlink" Target="https://www.timesofisrael.com/in-new-videos-idf-accuses-gazans-of-faking-injury-taking-small-kids-to-riots/" TargetMode="External"/><Relationship Id="rId4" Type="http://schemas.openxmlformats.org/officeDocument/2006/relationships/webSettings" Target="webSettings.xml"/><Relationship Id="rId9" Type="http://schemas.openxmlformats.org/officeDocument/2006/relationships/hyperlink" Target="http://www.impact-se.org/wp-content/uploads/WASATIA-IMPACT-Booklet_Digital-Format-A5.pdf" TargetMode="External"/><Relationship Id="rId13" Type="http://schemas.openxmlformats.org/officeDocument/2006/relationships/hyperlink" Target="http://www.palwatch.org/main.aspx?fi=339&amp;doc_id=27525" TargetMode="External"/><Relationship Id="rId18" Type="http://schemas.openxmlformats.org/officeDocument/2006/relationships/hyperlink" Target="http://www.palwatch.org/main.aspx?fi=844" TargetMode="External"/><Relationship Id="rId39" Type="http://schemas.openxmlformats.org/officeDocument/2006/relationships/hyperlink" Target="http://palwatch.org/main.aspx?fi=157&amp;doc_id=27495" TargetMode="External"/><Relationship Id="rId109" Type="http://schemas.openxmlformats.org/officeDocument/2006/relationships/hyperlink" Target="https://www.timesofisrael.com/after-palestinians-reject-deal-israel-to-send-700000-vaccines-to-south-korea/" TargetMode="External"/><Relationship Id="rId34" Type="http://schemas.openxmlformats.org/officeDocument/2006/relationships/hyperlink" Target="https://www.palwatch.org/main.aspx?fi=847&amp;fld_id=847&amp;doc_id=20168" TargetMode="External"/><Relationship Id="rId50" Type="http://schemas.openxmlformats.org/officeDocument/2006/relationships/hyperlink" Target="http://pflp.ps/english/2014/08/12/we-are-all-resistance-campaign-supports-families-and-children/" TargetMode="External"/><Relationship Id="rId55" Type="http://schemas.openxmlformats.org/officeDocument/2006/relationships/hyperlink" Target="http://pflp.ps/english/2016/03/11/pflp-salutes-youth-resistance-pledges-to-escalate-the-intifada/" TargetMode="External"/><Relationship Id="rId76" Type="http://schemas.openxmlformats.org/officeDocument/2006/relationships/hyperlink" Target="https://www.timesofisrael.com/idf-hamas-cynically-sent-7-year-old-girl-to-breach-gaza-border/" TargetMode="External"/><Relationship Id="rId97" Type="http://schemas.openxmlformats.org/officeDocument/2006/relationships/hyperlink" Target="https://www.ynetnews.com/articles/0,7340,L-3651783,00.html" TargetMode="External"/><Relationship Id="rId104" Type="http://schemas.openxmlformats.org/officeDocument/2006/relationships/hyperlink" Target="https://www.shabak.gov.il/SiteCollectionImages/english/TerrorInfo/%D7%A0%D7%99%D7%A6%D7%95%D7%9C-%D7%9E%D7%93%D7%99%D7%A0%D7%99%D7%95%D7%AA-%D7%94%D7%95%D7%9E%D7%A0%D7%99%D7%98%D7%A8%D7%99%D7%AA-%D7%90%D7%A0%D7%92%D7%9C%D7%99%D7%AA.pdf" TargetMode="External"/><Relationship Id="rId120" Type="http://schemas.openxmlformats.org/officeDocument/2006/relationships/theme" Target="theme/theme1.xml"/><Relationship Id="rId7" Type="http://schemas.openxmlformats.org/officeDocument/2006/relationships/hyperlink" Target="http://www.impact-se.org/wp-content/uploads/WASATIA-IMPACT-Booklet_Digital-Format-A5.pdf" TargetMode="External"/><Relationship Id="rId71" Type="http://schemas.openxmlformats.org/officeDocument/2006/relationships/hyperlink" Target="http://pflp.ps/english/2012/07/19/youth-camp-in-honor-of-ghassan-kanafani-concludes-in-dheisheh-camp/" TargetMode="External"/><Relationship Id="rId92" Type="http://schemas.openxmlformats.org/officeDocument/2006/relationships/hyperlink" Target="https://saraya.ps/post/54519/%D8%A7%D9%84%D8%AC%D9%87%D8%A7%D8%AF-%D8%A7%D9%84%D8%A5%D8%B3%D9%84%D8%A7%D9%85%D9%8A-%D9%88%D8%B0%D8%B1%D8%A7%D8%B9%D9%87%D8%A7-%D8%A7%D9%84%D8%B9%D8%B3%D9%83%D8%B1%D9%8A-%D9%8A%D8%AD%D8%AA%D8%B3%D8%A8%D8%A7%D9%86-%D8%AB%D9%84%D8%A7%D8%AB%D8%A9-%D9%85%D9%86-%D8%B4%D9%87%D8%AF%D8%A7%D8%A1-%D8%A7%D9%84%D8%B9%D9%88%D8%AF%D8%A9-%D8%A8%D8%AE%D8%A7%D9%86%D9%8A%D9%88%D9%86%D8%B3" TargetMode="External"/><Relationship Id="rId2" Type="http://schemas.openxmlformats.org/officeDocument/2006/relationships/styles" Target="styles.xml"/><Relationship Id="rId29" Type="http://schemas.openxmlformats.org/officeDocument/2006/relationships/hyperlink" Target="http://www.palwatch.org/main.aspx?fi=339&amp;doc_id=27570" TargetMode="External"/><Relationship Id="rId24" Type="http://schemas.openxmlformats.org/officeDocument/2006/relationships/hyperlink" Target="http://www.palwatch.org/main.aspx?fi=157&amp;doc_id=25414" TargetMode="External"/><Relationship Id="rId40" Type="http://schemas.openxmlformats.org/officeDocument/2006/relationships/hyperlink" Target="http://palwatch.org/main.aspx?fi=157&amp;doc_id=27495" TargetMode="External"/><Relationship Id="rId45" Type="http://schemas.openxmlformats.org/officeDocument/2006/relationships/hyperlink" Target="http://palwatch.org/main.aspx?fi=448&amp;doc_id=21210" TargetMode="External"/><Relationship Id="rId66" Type="http://schemas.openxmlformats.org/officeDocument/2006/relationships/hyperlink" Target="http://pflp.ps/english/2017/08/20/palestinian-youth-honor-naji-al-ali-with-leila-khaled-in-ein-el-helweh-refugee-camp/" TargetMode="External"/><Relationship Id="rId87" Type="http://schemas.openxmlformats.org/officeDocument/2006/relationships/hyperlink" Target="https://www.timesofisrael.com/in-new-videos-idf-accuses-gazans-of-faking-injury-taking-small-kids-to-riots/" TargetMode="External"/><Relationship Id="rId110" Type="http://schemas.openxmlformats.org/officeDocument/2006/relationships/hyperlink" Target="https://www.timesofisrael.com/after-palestinians-reject-deal-israel-to-send-700000-vaccines-to-south-korea/" TargetMode="External"/><Relationship Id="rId115" Type="http://schemas.openxmlformats.org/officeDocument/2006/relationships/footer" Target="footer1.xml"/><Relationship Id="rId61" Type="http://schemas.openxmlformats.org/officeDocument/2006/relationships/hyperlink" Target="http://pflp.ps/english/2015/10/09/palestinian-progressive-youth-union-the-rising-intifada-and-revolution-of-the-youth/" TargetMode="External"/><Relationship Id="rId82" Type="http://schemas.openxmlformats.org/officeDocument/2006/relationships/hyperlink" Target="https://www.ynetnews.com/articles/0,7340,L-5238249,00.html" TargetMode="External"/><Relationship Id="rId19" Type="http://schemas.openxmlformats.org/officeDocument/2006/relationships/hyperlink" Target="http://palwatch.org/main.aspx?fi=157&amp;doc_id=27495" TargetMode="External"/><Relationship Id="rId14" Type="http://schemas.openxmlformats.org/officeDocument/2006/relationships/hyperlink" Target="http://www.palwatch.org/main.aspx?fi=846&amp;doc_id=25743" TargetMode="External"/><Relationship Id="rId30" Type="http://schemas.openxmlformats.org/officeDocument/2006/relationships/hyperlink" Target="http://www.palwatch.org/main.aspx?fi=339&amp;doc_id=27570" TargetMode="External"/><Relationship Id="rId35" Type="http://schemas.openxmlformats.org/officeDocument/2006/relationships/hyperlink" Target="https://www.palwatch.org/main.aspx?fi=847&amp;fld_id=847&amp;doc_id=20168" TargetMode="External"/><Relationship Id="rId56" Type="http://schemas.openxmlformats.org/officeDocument/2006/relationships/hyperlink" Target="http://pflp.ps/english/2016/03/11/pflp-salutes-youth-resistance-pledges-to-escalate-the-intifada/" TargetMode="External"/><Relationship Id="rId77" Type="http://schemas.openxmlformats.org/officeDocument/2006/relationships/hyperlink" Target="https://www.ynetnews.com/articles/0,7340,L-5238249,00.html" TargetMode="External"/><Relationship Id="rId100" Type="http://schemas.openxmlformats.org/officeDocument/2006/relationships/hyperlink" Target="http://www.jpost.com/Arab-Israeli-Conflict/Israel-Hamas-stealing-95-percent-of-civilian-cement-transferred-into-Gaza-454999" TargetMode="External"/><Relationship Id="rId105" Type="http://schemas.openxmlformats.org/officeDocument/2006/relationships/hyperlink" Target="https://www.timesofisrael.com/palestinians-again-refuse-planeload-of-virus-aid-from-uae/" TargetMode="External"/><Relationship Id="rId8" Type="http://schemas.openxmlformats.org/officeDocument/2006/relationships/hyperlink" Target="http://www.impact-se.org/wp-content/uploads/WASATIA-IMPACT-Booklet_Digital-Format-A5.pdf" TargetMode="External"/><Relationship Id="rId51" Type="http://schemas.openxmlformats.org/officeDocument/2006/relationships/image" Target="media/image1.png"/><Relationship Id="rId72" Type="http://schemas.openxmlformats.org/officeDocument/2006/relationships/image" Target="media/image3.png"/><Relationship Id="rId93" Type="http://schemas.openxmlformats.org/officeDocument/2006/relationships/hyperlink" Target="https://saraya.ps/post/54519/%D8%A7%D9%84%D8%AC%D9%87%D8%A7%D8%AF-%D8%A7%D9%84%D8%A5%D8%B3%D9%84%D8%A7%D9%85%D9%8A-%D9%88%D8%B0%D8%B1%D8%A7%D8%B9%D9%87%D8%A7-%D8%A7%D9%84%D8%B9%D8%B3%D9%83%D8%B1%D9%8A-%D9%8A%D8%AD%D8%AA%D8%B3%D8%A8%D8%A7%D9%86-%D8%AB%D9%84%D8%A7%D8%AB%D8%A9-%D9%85%D9%86-%D8%B4%D9%87%D8%AF%D8%A7%D8%A1-%D8%A7%D9%84%D8%B9%D9%88%D8%AF%D8%A9-%D8%A8%D8%AE%D8%A7%D9%86%D9%8A%D9%88%D9%86%D8%B3" TargetMode="External"/><Relationship Id="rId98" Type="http://schemas.openxmlformats.org/officeDocument/2006/relationships/hyperlink" Target="http://www.maannews.com/Content.aspx?id=745439" TargetMode="External"/><Relationship Id="rId121" Type="http://schemas.openxmlformats.org/officeDocument/2006/relationships/customXml" Target="../customXml/item2.xml"/><Relationship Id="rId3" Type="http://schemas.openxmlformats.org/officeDocument/2006/relationships/settings" Target="settings.xml"/><Relationship Id="rId25" Type="http://schemas.openxmlformats.org/officeDocument/2006/relationships/hyperlink" Target="http://www.palwatch.org/main.aspx?fi=157&amp;doc_id=25414" TargetMode="External"/><Relationship Id="rId46" Type="http://schemas.openxmlformats.org/officeDocument/2006/relationships/hyperlink" Target="http://palwatch.org/main.aspx?fi=448&amp;doc_id=21210" TargetMode="External"/><Relationship Id="rId67" Type="http://schemas.openxmlformats.org/officeDocument/2006/relationships/hyperlink" Target="http://pflp.ps/english/2017/08/20/palestinian-youth-honor-naji-al-ali-with-leila-khaled-in-ein-el-helweh-refugee-camp/" TargetMode="External"/><Relationship Id="rId116" Type="http://schemas.openxmlformats.org/officeDocument/2006/relationships/footer" Target="footer2.xml"/><Relationship Id="rId20" Type="http://schemas.openxmlformats.org/officeDocument/2006/relationships/hyperlink" Target="http://palwatch.org/main.aspx?fi=157&amp;doc_id=27495" TargetMode="External"/><Relationship Id="rId41" Type="http://schemas.openxmlformats.org/officeDocument/2006/relationships/hyperlink" Target="http://palwatch.org/main.aspx?fi=157&amp;doc_id=27495" TargetMode="External"/><Relationship Id="rId62" Type="http://schemas.openxmlformats.org/officeDocument/2006/relationships/hyperlink" Target="http://pflp.ps/english/2015/10/09/palestinian-progressive-youth-union-the-rising-intifada-and-revolution-of-the-youth/" TargetMode="External"/><Relationship Id="rId83" Type="http://schemas.openxmlformats.org/officeDocument/2006/relationships/hyperlink" Target="https://www.ynetnews.com/articles/0,7340,L-5238249,00.html" TargetMode="External"/><Relationship Id="rId88" Type="http://schemas.openxmlformats.org/officeDocument/2006/relationships/hyperlink" Target="https://www.timesofisrael.com/in-new-videos-idf-accuses-gazans-of-faking-injury-taking-small-kids-to-riots/" TargetMode="External"/><Relationship Id="rId111" Type="http://schemas.openxmlformats.org/officeDocument/2006/relationships/hyperlink" Target="http://ngo-monitor.org/data/images/File/Herzberg%20Kidron%20Valley%20Article.pdf" TargetMode="External"/><Relationship Id="rId15" Type="http://schemas.openxmlformats.org/officeDocument/2006/relationships/hyperlink" Target="http://www.palwatch.org/main.aspx?fi=846&amp;doc_id=25743" TargetMode="External"/><Relationship Id="rId36" Type="http://schemas.openxmlformats.org/officeDocument/2006/relationships/hyperlink" Target="https://www.palwatch.org/main.aspx?fi=847&amp;fld_id=847&amp;doc_id=20168" TargetMode="External"/><Relationship Id="rId57" Type="http://schemas.openxmlformats.org/officeDocument/2006/relationships/hyperlink" Target="http://pflp.ps/english/2016/03/11/pflp-salutes-youth-resistance-pledges-to-escalate-the-intifada/" TargetMode="External"/><Relationship Id="rId106" Type="http://schemas.openxmlformats.org/officeDocument/2006/relationships/hyperlink" Target="https://www.timesofisrael.com/palestinians-again-refuse-planeload-of-virus-aid-from-uae/" TargetMode="External"/><Relationship Id="rId10" Type="http://schemas.openxmlformats.org/officeDocument/2006/relationships/hyperlink" Target="http://www.impact-se.org/wp-content/uploads/WASATIA-IMPACT-Booklet_Digital-Format-A5.pdf" TargetMode="External"/><Relationship Id="rId31" Type="http://schemas.openxmlformats.org/officeDocument/2006/relationships/hyperlink" Target="http://palwatch.org/main.aspx?fi=157&amp;doc_id=27495" TargetMode="External"/><Relationship Id="rId52" Type="http://schemas.openxmlformats.org/officeDocument/2006/relationships/hyperlink" Target="http://pflp.ps/english/2017/08/07/progressive-student-labor-front-salutes-outstanding-students-in-mass-festival-in-gaza/" TargetMode="External"/><Relationship Id="rId73" Type="http://schemas.openxmlformats.org/officeDocument/2006/relationships/hyperlink" Target="https://www.timesofisrael.com/idf-hamas-cynically-sent-7-year-old-girl-to-breach-gaza-border/" TargetMode="External"/><Relationship Id="rId78" Type="http://schemas.openxmlformats.org/officeDocument/2006/relationships/hyperlink" Target="https://www.ynetnews.com/articles/0,7340,L-5238249,00.html" TargetMode="External"/><Relationship Id="rId94" Type="http://schemas.openxmlformats.org/officeDocument/2006/relationships/hyperlink" Target="https://reliefweb.int/report/occupied-palestinian-territory/2017-gaza-crisis-urgent-funding-appeal" TargetMode="External"/><Relationship Id="rId99" Type="http://schemas.openxmlformats.org/officeDocument/2006/relationships/hyperlink" Target="https://www.haaretz.com/1.5110737" TargetMode="External"/><Relationship Id="rId101" Type="http://schemas.openxmlformats.org/officeDocument/2006/relationships/hyperlink" Target="https://www.timesofisrael.com/shin-bet-hamas-stealing-gaza-aid-from-turkish-charities/" TargetMode="External"/><Relationship Id="rId122"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XHsHea09CG0K5SLL9NWN1SGHzw==">AMUW2mXBpgqYFxVEFA/6x1jRMJdGArQv9evOqxtBGMu19DCP3++lVKvrCY2ICUsI8zIADUiLgsWamCpRH7IPUZzTROpxSkdkgB2d6GUzp3+GkPfrqF3ihKhQP8pxID/yo0kVsx984Tt4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33C885-98CC-438B-842E-9180CB5F9435}"/>
</file>

<file path=customXml/itemProps3.xml><?xml version="1.0" encoding="utf-8"?>
<ds:datastoreItem xmlns:ds="http://schemas.openxmlformats.org/officeDocument/2006/customXml" ds:itemID="{AC19EC02-7BC3-4EF2-9124-682E8DE98E16}"/>
</file>

<file path=customXml/itemProps4.xml><?xml version="1.0" encoding="utf-8"?>
<ds:datastoreItem xmlns:ds="http://schemas.openxmlformats.org/officeDocument/2006/customXml" ds:itemID="{71B8F9AA-97E6-4369-9450-BFD0C6D3E670}"/>
</file>

<file path=docProps/app.xml><?xml version="1.0" encoding="utf-8"?>
<Properties xmlns="http://schemas.openxmlformats.org/officeDocument/2006/extended-properties" xmlns:vt="http://schemas.openxmlformats.org/officeDocument/2006/docPropsVTypes">
  <Template>Normal.dotm</Template>
  <TotalTime>0</TotalTime>
  <Pages>14</Pages>
  <Words>6329</Words>
  <Characters>36081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42326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REYNAUD Céline</dc:creator>
  <cp:keywords/>
  <dc:description/>
  <cp:lastModifiedBy>REYNAUD Céline</cp:lastModifiedBy>
  <cp:revision>2</cp:revision>
  <cp:lastPrinted>2021-08-09T14:08:00Z</cp:lastPrinted>
  <dcterms:created xsi:type="dcterms:W3CDTF">2021-08-09T16:53:00Z</dcterms:created>
  <dcterms:modified xsi:type="dcterms:W3CDTF">2021-08-09T16:53:00Z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0x010100FAE5DBF0ADA998469064B64F53A76F3C</vt:lpwstr>
  </property>
</Properties>
</file>