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922088" w:rsidRDefault="00922088">
      <w:pPr>
        <w:spacing w:line="276" w:lineRule="auto"/>
        <w:rPr>
          <w:color w:val="000000"/>
          <w:sz w:val="24"/>
          <w:szCs w:val="24"/>
        </w:rPr>
      </w:pPr>
    </w:p>
    <w:p w14:paraId="00000002" w14:textId="77777777" w:rsidR="00922088" w:rsidRDefault="00922088">
      <w:pPr>
        <w:spacing w:line="276" w:lineRule="auto"/>
        <w:jc w:val="center"/>
        <w:rPr>
          <w:b/>
          <w:color w:val="000000"/>
          <w:sz w:val="24"/>
          <w:szCs w:val="24"/>
        </w:rPr>
      </w:pPr>
    </w:p>
    <w:p w14:paraId="00000003" w14:textId="77777777" w:rsidR="00922088" w:rsidRDefault="00922088">
      <w:pPr>
        <w:spacing w:line="276" w:lineRule="auto"/>
        <w:jc w:val="center"/>
        <w:rPr>
          <w:b/>
          <w:color w:val="000000"/>
          <w:sz w:val="24"/>
          <w:szCs w:val="24"/>
        </w:rPr>
      </w:pPr>
    </w:p>
    <w:p w14:paraId="00000004" w14:textId="77777777" w:rsidR="00922088" w:rsidRDefault="00922088">
      <w:pPr>
        <w:spacing w:line="276" w:lineRule="auto"/>
        <w:jc w:val="center"/>
        <w:rPr>
          <w:b/>
          <w:color w:val="000000"/>
          <w:sz w:val="24"/>
          <w:szCs w:val="24"/>
        </w:rPr>
      </w:pPr>
    </w:p>
    <w:p w14:paraId="00000005" w14:textId="77777777" w:rsidR="00922088" w:rsidRDefault="00922088">
      <w:pPr>
        <w:spacing w:line="276" w:lineRule="auto"/>
        <w:jc w:val="center"/>
        <w:rPr>
          <w:b/>
          <w:color w:val="000000"/>
          <w:sz w:val="24"/>
          <w:szCs w:val="24"/>
        </w:rPr>
      </w:pPr>
    </w:p>
    <w:p w14:paraId="00000006" w14:textId="77777777" w:rsidR="00922088" w:rsidRDefault="00101C6E">
      <w:pPr>
        <w:spacing w:line="276" w:lineRule="auto"/>
        <w:jc w:val="center"/>
        <w:rPr>
          <w:b/>
          <w:i/>
          <w:sz w:val="24"/>
          <w:szCs w:val="24"/>
        </w:rPr>
      </w:pPr>
      <w:r>
        <w:rPr>
          <w:b/>
          <w:i/>
          <w:sz w:val="24"/>
          <w:szCs w:val="24"/>
        </w:rPr>
        <w:t>Rapport alternatif CEDAW sur :</w:t>
      </w:r>
    </w:p>
    <w:p w14:paraId="00000007" w14:textId="77777777" w:rsidR="00922088" w:rsidRDefault="00101C6E">
      <w:pPr>
        <w:spacing w:line="276" w:lineRule="auto"/>
        <w:jc w:val="center"/>
        <w:rPr>
          <w:b/>
          <w:i/>
          <w:sz w:val="24"/>
          <w:szCs w:val="24"/>
        </w:rPr>
      </w:pPr>
      <w:r>
        <w:rPr>
          <w:b/>
          <w:i/>
          <w:sz w:val="24"/>
          <w:szCs w:val="24"/>
        </w:rPr>
        <w:t xml:space="preserve"> Les violences contre les femmes en politique en Tunisie </w:t>
      </w:r>
    </w:p>
    <w:p w14:paraId="00000008" w14:textId="77777777" w:rsidR="00922088" w:rsidRDefault="00922088">
      <w:pPr>
        <w:spacing w:line="276" w:lineRule="auto"/>
        <w:jc w:val="center"/>
        <w:rPr>
          <w:b/>
          <w:i/>
          <w:sz w:val="24"/>
          <w:szCs w:val="24"/>
        </w:rPr>
      </w:pPr>
    </w:p>
    <w:p w14:paraId="00000009" w14:textId="77777777" w:rsidR="00922088" w:rsidRDefault="00922088">
      <w:pPr>
        <w:spacing w:line="276" w:lineRule="auto"/>
        <w:jc w:val="center"/>
        <w:rPr>
          <w:b/>
          <w:i/>
          <w:sz w:val="24"/>
          <w:szCs w:val="24"/>
        </w:rPr>
      </w:pPr>
    </w:p>
    <w:p w14:paraId="0000000A" w14:textId="77777777" w:rsidR="00922088" w:rsidRDefault="00101C6E">
      <w:pPr>
        <w:spacing w:line="276" w:lineRule="auto"/>
        <w:jc w:val="center"/>
        <w:rPr>
          <w:b/>
          <w:i/>
          <w:sz w:val="24"/>
          <w:szCs w:val="24"/>
        </w:rPr>
      </w:pPr>
      <w:r>
        <w:rPr>
          <w:b/>
          <w:i/>
          <w:sz w:val="24"/>
          <w:szCs w:val="24"/>
        </w:rPr>
        <w:t xml:space="preserve">Réalisé par: </w:t>
      </w:r>
    </w:p>
    <w:p w14:paraId="0000000B" w14:textId="4A66C458" w:rsidR="00922088" w:rsidRDefault="005B3A88">
      <w:pPr>
        <w:spacing w:line="276" w:lineRule="auto"/>
        <w:jc w:val="center"/>
        <w:rPr>
          <w:b/>
          <w:i/>
          <w:sz w:val="24"/>
          <w:szCs w:val="24"/>
        </w:rPr>
      </w:pPr>
      <w:r>
        <w:rPr>
          <w:b/>
          <w:i/>
          <w:sz w:val="24"/>
          <w:szCs w:val="24"/>
        </w:rPr>
        <w:t>L’association</w:t>
      </w:r>
      <w:bookmarkStart w:id="0" w:name="_GoBack"/>
      <w:bookmarkEnd w:id="0"/>
      <w:r w:rsidR="00101C6E">
        <w:rPr>
          <w:b/>
          <w:i/>
          <w:sz w:val="24"/>
          <w:szCs w:val="24"/>
        </w:rPr>
        <w:t xml:space="preserve"> Aswat Nissa</w:t>
      </w:r>
    </w:p>
    <w:p w14:paraId="0000000C" w14:textId="77777777" w:rsidR="00922088" w:rsidRDefault="00101C6E">
      <w:pPr>
        <w:spacing w:line="276" w:lineRule="auto"/>
        <w:jc w:val="center"/>
        <w:rPr>
          <w:b/>
          <w:i/>
          <w:sz w:val="24"/>
          <w:szCs w:val="24"/>
        </w:rPr>
      </w:pPr>
      <w:r>
        <w:rPr>
          <w:b/>
          <w:i/>
          <w:sz w:val="24"/>
          <w:szCs w:val="24"/>
        </w:rPr>
        <w:t xml:space="preserve">l’Association femmes et citoyenneté El Kef </w:t>
      </w:r>
    </w:p>
    <w:p w14:paraId="0000000D" w14:textId="77777777" w:rsidR="00922088" w:rsidRDefault="00101C6E">
      <w:pPr>
        <w:spacing w:line="276" w:lineRule="auto"/>
        <w:jc w:val="center"/>
        <w:rPr>
          <w:b/>
          <w:i/>
          <w:sz w:val="24"/>
          <w:szCs w:val="24"/>
        </w:rPr>
      </w:pPr>
      <w:r>
        <w:rPr>
          <w:b/>
          <w:i/>
          <w:sz w:val="24"/>
          <w:szCs w:val="24"/>
        </w:rPr>
        <w:t>l’Association Voix d’Eve, Sidi Bouzid</w:t>
      </w:r>
    </w:p>
    <w:p w14:paraId="0000000E" w14:textId="77777777" w:rsidR="00922088" w:rsidRDefault="00101C6E">
      <w:pPr>
        <w:spacing w:line="276" w:lineRule="auto"/>
        <w:jc w:val="center"/>
        <w:rPr>
          <w:b/>
          <w:i/>
          <w:sz w:val="24"/>
          <w:szCs w:val="24"/>
        </w:rPr>
      </w:pPr>
      <w:r>
        <w:rPr>
          <w:b/>
          <w:i/>
          <w:sz w:val="24"/>
          <w:szCs w:val="24"/>
        </w:rPr>
        <w:t>Janvier 2023</w:t>
      </w:r>
    </w:p>
    <w:p w14:paraId="0000000F" w14:textId="77777777" w:rsidR="00922088" w:rsidRDefault="00922088">
      <w:pPr>
        <w:spacing w:line="276" w:lineRule="auto"/>
        <w:jc w:val="center"/>
        <w:rPr>
          <w:b/>
          <w:i/>
          <w:sz w:val="24"/>
          <w:szCs w:val="24"/>
        </w:rPr>
      </w:pPr>
    </w:p>
    <w:p w14:paraId="00000010" w14:textId="77777777" w:rsidR="00922088" w:rsidRDefault="00922088">
      <w:pPr>
        <w:spacing w:line="276" w:lineRule="auto"/>
        <w:jc w:val="center"/>
        <w:rPr>
          <w:b/>
          <w:i/>
          <w:sz w:val="24"/>
          <w:szCs w:val="24"/>
        </w:rPr>
      </w:pPr>
    </w:p>
    <w:p w14:paraId="00000011" w14:textId="77777777" w:rsidR="00922088" w:rsidRDefault="00922088">
      <w:pPr>
        <w:spacing w:line="276" w:lineRule="auto"/>
        <w:jc w:val="center"/>
        <w:rPr>
          <w:b/>
          <w:i/>
          <w:sz w:val="24"/>
          <w:szCs w:val="24"/>
        </w:rPr>
      </w:pPr>
    </w:p>
    <w:p w14:paraId="00000012" w14:textId="77777777" w:rsidR="00922088" w:rsidRDefault="00922088">
      <w:pPr>
        <w:spacing w:line="276" w:lineRule="auto"/>
        <w:jc w:val="center"/>
        <w:rPr>
          <w:b/>
          <w:i/>
          <w:sz w:val="24"/>
          <w:szCs w:val="24"/>
        </w:rPr>
      </w:pPr>
    </w:p>
    <w:p w14:paraId="00000013" w14:textId="77777777" w:rsidR="00922088" w:rsidRDefault="00922088">
      <w:pPr>
        <w:spacing w:line="276" w:lineRule="auto"/>
        <w:jc w:val="center"/>
        <w:rPr>
          <w:b/>
          <w:sz w:val="24"/>
          <w:szCs w:val="24"/>
        </w:rPr>
      </w:pPr>
    </w:p>
    <w:p w14:paraId="00000014" w14:textId="77777777" w:rsidR="00922088" w:rsidRDefault="00922088">
      <w:pPr>
        <w:spacing w:line="276" w:lineRule="auto"/>
        <w:jc w:val="center"/>
        <w:rPr>
          <w:b/>
          <w:sz w:val="24"/>
          <w:szCs w:val="24"/>
        </w:rPr>
      </w:pPr>
    </w:p>
    <w:p w14:paraId="00000015" w14:textId="77777777" w:rsidR="00922088" w:rsidRDefault="00922088">
      <w:pPr>
        <w:spacing w:line="276" w:lineRule="auto"/>
        <w:jc w:val="center"/>
        <w:rPr>
          <w:b/>
          <w:sz w:val="24"/>
          <w:szCs w:val="24"/>
        </w:rPr>
      </w:pPr>
    </w:p>
    <w:p w14:paraId="00000016" w14:textId="77777777" w:rsidR="00922088" w:rsidRDefault="00922088">
      <w:pPr>
        <w:spacing w:line="276" w:lineRule="auto"/>
        <w:jc w:val="center"/>
        <w:rPr>
          <w:b/>
          <w:sz w:val="24"/>
          <w:szCs w:val="24"/>
        </w:rPr>
      </w:pPr>
    </w:p>
    <w:p w14:paraId="00000017" w14:textId="77777777" w:rsidR="00922088" w:rsidRDefault="00922088">
      <w:pPr>
        <w:spacing w:line="276" w:lineRule="auto"/>
        <w:jc w:val="center"/>
        <w:rPr>
          <w:b/>
          <w:sz w:val="24"/>
          <w:szCs w:val="24"/>
        </w:rPr>
      </w:pPr>
    </w:p>
    <w:p w14:paraId="00000018" w14:textId="77777777" w:rsidR="00922088" w:rsidRDefault="00922088">
      <w:pPr>
        <w:spacing w:line="276" w:lineRule="auto"/>
        <w:jc w:val="center"/>
        <w:rPr>
          <w:b/>
          <w:sz w:val="24"/>
          <w:szCs w:val="24"/>
        </w:rPr>
      </w:pPr>
    </w:p>
    <w:p w14:paraId="00000019" w14:textId="77777777" w:rsidR="00922088" w:rsidRDefault="00922088">
      <w:pPr>
        <w:spacing w:line="276" w:lineRule="auto"/>
        <w:jc w:val="center"/>
        <w:rPr>
          <w:b/>
          <w:sz w:val="24"/>
          <w:szCs w:val="24"/>
        </w:rPr>
      </w:pPr>
    </w:p>
    <w:p w14:paraId="0000001A" w14:textId="77777777" w:rsidR="00922088" w:rsidRDefault="00922088">
      <w:pPr>
        <w:spacing w:line="276" w:lineRule="auto"/>
        <w:jc w:val="center"/>
        <w:rPr>
          <w:b/>
          <w:sz w:val="24"/>
          <w:szCs w:val="24"/>
        </w:rPr>
      </w:pPr>
    </w:p>
    <w:p w14:paraId="0000001B" w14:textId="77777777" w:rsidR="00922088" w:rsidRDefault="00922088">
      <w:pPr>
        <w:spacing w:line="276" w:lineRule="auto"/>
        <w:jc w:val="center"/>
        <w:rPr>
          <w:b/>
          <w:sz w:val="24"/>
          <w:szCs w:val="24"/>
        </w:rPr>
      </w:pPr>
    </w:p>
    <w:p w14:paraId="0000001C" w14:textId="77777777" w:rsidR="00922088" w:rsidRDefault="00922088">
      <w:pPr>
        <w:spacing w:line="276" w:lineRule="auto"/>
        <w:jc w:val="center"/>
        <w:rPr>
          <w:b/>
          <w:sz w:val="24"/>
          <w:szCs w:val="24"/>
        </w:rPr>
      </w:pPr>
    </w:p>
    <w:p w14:paraId="0000001D" w14:textId="77777777" w:rsidR="00922088" w:rsidRDefault="00101C6E">
      <w:pPr>
        <w:numPr>
          <w:ilvl w:val="0"/>
          <w:numId w:val="1"/>
        </w:numPr>
        <w:pBdr>
          <w:top w:val="nil"/>
          <w:left w:val="nil"/>
          <w:bottom w:val="nil"/>
          <w:right w:val="nil"/>
          <w:between w:val="nil"/>
        </w:pBdr>
        <w:spacing w:line="276" w:lineRule="auto"/>
        <w:jc w:val="both"/>
        <w:rPr>
          <w:b/>
          <w:i/>
          <w:color w:val="000000"/>
          <w:sz w:val="24"/>
          <w:szCs w:val="24"/>
        </w:rPr>
      </w:pPr>
      <w:r>
        <w:rPr>
          <w:b/>
          <w:i/>
          <w:color w:val="000000"/>
          <w:sz w:val="24"/>
          <w:szCs w:val="24"/>
        </w:rPr>
        <w:lastRenderedPageBreak/>
        <w:t xml:space="preserve">Renseignements d’ordre général. </w:t>
      </w:r>
    </w:p>
    <w:p w14:paraId="0000001E" w14:textId="77777777" w:rsidR="00922088" w:rsidRDefault="00101C6E">
      <w:pPr>
        <w:pBdr>
          <w:top w:val="nil"/>
          <w:left w:val="nil"/>
          <w:bottom w:val="nil"/>
          <w:right w:val="nil"/>
          <w:between w:val="nil"/>
        </w:pBdr>
        <w:shd w:val="clear" w:color="auto" w:fill="FFFFFF"/>
        <w:spacing w:after="150" w:line="276" w:lineRule="auto"/>
        <w:jc w:val="both"/>
        <w:rPr>
          <w:color w:val="FF0000"/>
          <w:sz w:val="24"/>
          <w:szCs w:val="24"/>
        </w:rPr>
      </w:pPr>
      <w:r>
        <w:rPr>
          <w:color w:val="000000"/>
          <w:sz w:val="24"/>
          <w:szCs w:val="24"/>
        </w:rPr>
        <w:t xml:space="preserve">             Après les élections de 2019, un blocage politique </w:t>
      </w:r>
      <w:r>
        <w:rPr>
          <w:sz w:val="24"/>
          <w:szCs w:val="24"/>
        </w:rPr>
        <w:t>s’est</w:t>
      </w:r>
      <w:r>
        <w:rPr>
          <w:color w:val="000000"/>
          <w:sz w:val="24"/>
          <w:szCs w:val="24"/>
        </w:rPr>
        <w:t xml:space="preserve"> installé suite à un conflit entre ceux qui détenaient le pouvoir : le président de la République</w:t>
      </w:r>
      <w:r>
        <w:rPr>
          <w:sz w:val="24"/>
          <w:szCs w:val="24"/>
        </w:rPr>
        <w:t xml:space="preserve">, </w:t>
      </w:r>
      <w:r>
        <w:rPr>
          <w:color w:val="000000"/>
          <w:sz w:val="24"/>
          <w:szCs w:val="24"/>
        </w:rPr>
        <w:t>d’un côté, et le président de l’Assemblée des Représenta</w:t>
      </w:r>
      <w:r>
        <w:rPr>
          <w:color w:val="000000"/>
          <w:sz w:val="24"/>
          <w:szCs w:val="24"/>
        </w:rPr>
        <w:t>nts du Peuple et le chef du gouvernement</w:t>
      </w:r>
      <w:r>
        <w:rPr>
          <w:sz w:val="24"/>
          <w:szCs w:val="24"/>
        </w:rPr>
        <w:t xml:space="preserve">, </w:t>
      </w:r>
      <w:r>
        <w:rPr>
          <w:color w:val="000000"/>
          <w:sz w:val="24"/>
          <w:szCs w:val="24"/>
        </w:rPr>
        <w:t xml:space="preserve">de l’autre côté. Et suite à des manifestations contre les dirigeants tunisiens, le président de la République avait profité de l’occasion et gelait les activités du Parlement, et </w:t>
      </w:r>
      <w:r>
        <w:rPr>
          <w:sz w:val="24"/>
          <w:szCs w:val="24"/>
        </w:rPr>
        <w:t>a démis</w:t>
      </w:r>
      <w:r>
        <w:rPr>
          <w:color w:val="000000"/>
          <w:sz w:val="24"/>
          <w:szCs w:val="24"/>
        </w:rPr>
        <w:t xml:space="preserve"> de ses fonctions le chef du</w:t>
      </w:r>
      <w:r>
        <w:rPr>
          <w:color w:val="000000"/>
          <w:sz w:val="24"/>
          <w:szCs w:val="24"/>
        </w:rPr>
        <w:t xml:space="preserve"> gouvernement en annonçant l’état d’exception le soir du 25 juillet 2021. </w:t>
      </w:r>
      <w:r>
        <w:rPr>
          <w:sz w:val="24"/>
          <w:szCs w:val="24"/>
        </w:rPr>
        <w:t xml:space="preserve">Le soir même, il a </w:t>
      </w:r>
      <w:r>
        <w:rPr>
          <w:color w:val="000000"/>
          <w:sz w:val="24"/>
          <w:szCs w:val="24"/>
        </w:rPr>
        <w:t xml:space="preserve"> </w:t>
      </w:r>
      <w:r>
        <w:rPr>
          <w:sz w:val="24"/>
          <w:szCs w:val="24"/>
        </w:rPr>
        <w:t>utilisé</w:t>
      </w:r>
      <w:r>
        <w:rPr>
          <w:color w:val="000000"/>
          <w:sz w:val="24"/>
          <w:szCs w:val="24"/>
        </w:rPr>
        <w:t xml:space="preserve"> l’article 80</w:t>
      </w:r>
      <w:r>
        <w:rPr>
          <w:color w:val="000000"/>
          <w:sz w:val="24"/>
          <w:szCs w:val="24"/>
          <w:vertAlign w:val="superscript"/>
        </w:rPr>
        <w:footnoteReference w:id="1"/>
      </w:r>
      <w:r>
        <w:rPr>
          <w:color w:val="000000"/>
          <w:sz w:val="24"/>
          <w:szCs w:val="24"/>
        </w:rPr>
        <w:t xml:space="preserve"> de la Constitution de 2014 qui donne des pouvoirs exceptionnels au président en situation d’urgence et durant l’état d’exception. </w:t>
      </w:r>
    </w:p>
    <w:p w14:paraId="0000001F" w14:textId="77777777" w:rsidR="00922088" w:rsidRDefault="00101C6E">
      <w:pPr>
        <w:pBdr>
          <w:top w:val="nil"/>
          <w:left w:val="nil"/>
          <w:bottom w:val="nil"/>
          <w:right w:val="nil"/>
          <w:between w:val="nil"/>
        </w:pBdr>
        <w:shd w:val="clear" w:color="auto" w:fill="FFFFFF"/>
        <w:spacing w:after="0" w:line="276" w:lineRule="auto"/>
        <w:ind w:firstLine="851"/>
        <w:jc w:val="both"/>
        <w:rPr>
          <w:color w:val="000000"/>
          <w:sz w:val="24"/>
          <w:szCs w:val="24"/>
        </w:rPr>
      </w:pPr>
      <w:r>
        <w:rPr>
          <w:color w:val="000000"/>
          <w:sz w:val="24"/>
          <w:szCs w:val="24"/>
        </w:rPr>
        <w:t>Dès l’avè</w:t>
      </w:r>
      <w:r>
        <w:rPr>
          <w:color w:val="000000"/>
          <w:sz w:val="24"/>
          <w:szCs w:val="24"/>
        </w:rPr>
        <w:t xml:space="preserve">nement du 25 juillet 2021, le pays </w:t>
      </w:r>
      <w:r>
        <w:rPr>
          <w:sz w:val="24"/>
          <w:szCs w:val="24"/>
        </w:rPr>
        <w:t>connaît</w:t>
      </w:r>
      <w:r>
        <w:rPr>
          <w:color w:val="000000"/>
          <w:sz w:val="24"/>
          <w:szCs w:val="24"/>
        </w:rPr>
        <w:t xml:space="preserve"> un tournant historique. Et depuis, le président </w:t>
      </w:r>
      <w:r>
        <w:rPr>
          <w:sz w:val="24"/>
          <w:szCs w:val="24"/>
        </w:rPr>
        <w:t>Kais Saied a engagé un processus unilatéral sans concertation avec les autres parties (Partis, société civile, Syndicat…etc.) en vue de concrétiser sa vision populis</w:t>
      </w:r>
      <w:r>
        <w:rPr>
          <w:sz w:val="24"/>
          <w:szCs w:val="24"/>
        </w:rPr>
        <w:t>te du pouvoir. Le 22 septembre 2021, il a institutionnalisé la période transitoire de l’avènement du 25 juillet par le décret n°2021-117 du 22 septembre 2021</w:t>
      </w:r>
      <w:r>
        <w:rPr>
          <w:color w:val="000000"/>
          <w:sz w:val="24"/>
          <w:szCs w:val="24"/>
          <w:highlight w:val="white"/>
        </w:rPr>
        <w:t xml:space="preserve"> et s’est attribué les pleins pouvoirs</w:t>
      </w:r>
      <w:r>
        <w:rPr>
          <w:sz w:val="24"/>
          <w:szCs w:val="24"/>
        </w:rPr>
        <w:t xml:space="preserve">. En décembre </w:t>
      </w:r>
      <w:r>
        <w:rPr>
          <w:color w:val="000000"/>
          <w:sz w:val="24"/>
          <w:szCs w:val="24"/>
        </w:rPr>
        <w:t>2021, il avait annoncé une feuille de route cen</w:t>
      </w:r>
      <w:r>
        <w:rPr>
          <w:color w:val="000000"/>
          <w:sz w:val="24"/>
          <w:szCs w:val="24"/>
        </w:rPr>
        <w:t>sée sortir le pays de sa crise politique. Elle contenait trois étapes, à savoir, une « consultation populaire » en ligne organisée entre janvier et mars, et très largement boudée, a plébiscité l'instauration d'un régime présidentiel, voire, présidentialist</w:t>
      </w:r>
      <w:r>
        <w:rPr>
          <w:color w:val="000000"/>
          <w:sz w:val="24"/>
          <w:szCs w:val="24"/>
        </w:rPr>
        <w:t xml:space="preserve">e à la place de l’ancien système, un référendum sur des amendements constitutionnels le 25 juillet 2022, et des élections législatives le 17 décembre 2022. Entre temps, en février 2022, le président avait dissous le </w:t>
      </w:r>
      <w:r>
        <w:rPr>
          <w:color w:val="000000"/>
          <w:sz w:val="24"/>
          <w:szCs w:val="24"/>
          <w:highlight w:val="white"/>
        </w:rPr>
        <w:t>Conseil Supérieur de la Magistrature</w:t>
      </w:r>
      <w:r>
        <w:rPr>
          <w:color w:val="000000"/>
          <w:sz w:val="24"/>
          <w:szCs w:val="24"/>
          <w:vertAlign w:val="superscript"/>
        </w:rPr>
        <w:t xml:space="preserve"> </w:t>
      </w:r>
      <w:r>
        <w:rPr>
          <w:color w:val="000000"/>
          <w:sz w:val="24"/>
          <w:szCs w:val="24"/>
          <w:vertAlign w:val="superscript"/>
        </w:rPr>
        <w:footnoteReference w:id="2"/>
      </w:r>
      <w:r>
        <w:rPr>
          <w:color w:val="000000"/>
          <w:sz w:val="24"/>
          <w:szCs w:val="24"/>
        </w:rPr>
        <w:t xml:space="preserve"> et avait décrété la tenue d’un pseudo dialogue national</w:t>
      </w:r>
      <w:r>
        <w:rPr>
          <w:color w:val="000000"/>
          <w:sz w:val="24"/>
          <w:szCs w:val="24"/>
          <w:vertAlign w:val="superscript"/>
        </w:rPr>
        <w:footnoteReference w:id="3"/>
      </w:r>
      <w:r>
        <w:rPr>
          <w:color w:val="000000"/>
          <w:sz w:val="24"/>
          <w:szCs w:val="24"/>
        </w:rPr>
        <w:t xml:space="preserve"> </w:t>
      </w:r>
      <w:r>
        <w:rPr>
          <w:sz w:val="24"/>
          <w:szCs w:val="24"/>
        </w:rPr>
        <w:t xml:space="preserve">au </w:t>
      </w:r>
      <w:r>
        <w:rPr>
          <w:color w:val="000000"/>
          <w:sz w:val="24"/>
          <w:szCs w:val="24"/>
        </w:rPr>
        <w:t xml:space="preserve"> mois de juin, avant le référendum, en excluant les partis politiques, surtout les opposants. </w:t>
      </w:r>
    </w:p>
    <w:p w14:paraId="00000020" w14:textId="77777777" w:rsidR="00922088" w:rsidRDefault="00101C6E">
      <w:pPr>
        <w:pBdr>
          <w:top w:val="nil"/>
          <w:left w:val="nil"/>
          <w:bottom w:val="nil"/>
          <w:right w:val="nil"/>
          <w:between w:val="nil"/>
        </w:pBdr>
        <w:shd w:val="clear" w:color="auto" w:fill="FFFFFF"/>
        <w:spacing w:after="0" w:line="276" w:lineRule="auto"/>
        <w:ind w:firstLine="851"/>
        <w:jc w:val="both"/>
        <w:rPr>
          <w:color w:val="000000"/>
          <w:sz w:val="24"/>
          <w:szCs w:val="24"/>
        </w:rPr>
      </w:pPr>
      <w:r>
        <w:rPr>
          <w:color w:val="000000"/>
          <w:sz w:val="24"/>
          <w:szCs w:val="24"/>
        </w:rPr>
        <w:t>Ce dialogue a été boycotté par l’UGTT</w:t>
      </w:r>
      <w:r>
        <w:rPr>
          <w:color w:val="000000"/>
          <w:sz w:val="24"/>
          <w:szCs w:val="24"/>
          <w:vertAlign w:val="superscript"/>
        </w:rPr>
        <w:footnoteReference w:id="4"/>
      </w:r>
      <w:r>
        <w:rPr>
          <w:color w:val="000000"/>
          <w:sz w:val="24"/>
          <w:szCs w:val="24"/>
        </w:rPr>
        <w:t>, les associations féministes, et plusieurs autres association</w:t>
      </w:r>
      <w:r>
        <w:rPr>
          <w:color w:val="000000"/>
          <w:sz w:val="24"/>
          <w:szCs w:val="24"/>
        </w:rPr>
        <w:t>s et personnalités publiques contestant le diktat du président et sa démarche unilatérale. Le 25 juillet 2022, le président Saied avait officialisé la tenue d'un référendum sur une nouvelle constitution, écrite par sa personne, censée marquer l'avènement d</w:t>
      </w:r>
      <w:r>
        <w:rPr>
          <w:color w:val="000000"/>
          <w:sz w:val="24"/>
          <w:szCs w:val="24"/>
        </w:rPr>
        <w:t xml:space="preserve">'une "nouvelle République". </w:t>
      </w:r>
      <w:r>
        <w:rPr>
          <w:sz w:val="24"/>
          <w:szCs w:val="24"/>
        </w:rPr>
        <w:t>De ce fait</w:t>
      </w:r>
      <w:r>
        <w:rPr>
          <w:color w:val="000000"/>
          <w:sz w:val="24"/>
          <w:szCs w:val="24"/>
        </w:rPr>
        <w:t>, la constitution de compromis selon un système parlementaire mixte de 2014 a été gommée avec ses principaux acquis.</w:t>
      </w:r>
    </w:p>
    <w:p w14:paraId="00000021" w14:textId="77777777" w:rsidR="00922088" w:rsidRDefault="00922088">
      <w:pPr>
        <w:pBdr>
          <w:top w:val="nil"/>
          <w:left w:val="nil"/>
          <w:bottom w:val="nil"/>
          <w:right w:val="nil"/>
          <w:between w:val="nil"/>
        </w:pBdr>
        <w:shd w:val="clear" w:color="auto" w:fill="FFFFFF"/>
        <w:spacing w:after="0" w:line="276" w:lineRule="auto"/>
        <w:ind w:firstLine="851"/>
        <w:jc w:val="both"/>
        <w:rPr>
          <w:color w:val="000000"/>
          <w:sz w:val="24"/>
          <w:szCs w:val="24"/>
        </w:rPr>
      </w:pPr>
    </w:p>
    <w:p w14:paraId="00000022" w14:textId="77777777" w:rsidR="00922088" w:rsidRDefault="00922088">
      <w:pPr>
        <w:pBdr>
          <w:top w:val="nil"/>
          <w:left w:val="nil"/>
          <w:bottom w:val="nil"/>
          <w:right w:val="nil"/>
          <w:between w:val="nil"/>
        </w:pBdr>
        <w:shd w:val="clear" w:color="auto" w:fill="FFFFFF"/>
        <w:spacing w:after="0" w:line="276" w:lineRule="auto"/>
        <w:ind w:firstLine="851"/>
        <w:jc w:val="both"/>
        <w:rPr>
          <w:color w:val="000000"/>
          <w:sz w:val="24"/>
          <w:szCs w:val="24"/>
        </w:rPr>
      </w:pPr>
    </w:p>
    <w:p w14:paraId="00000023" w14:textId="77777777" w:rsidR="00922088" w:rsidRDefault="00101C6E">
      <w:pPr>
        <w:numPr>
          <w:ilvl w:val="0"/>
          <w:numId w:val="1"/>
        </w:numPr>
        <w:pBdr>
          <w:top w:val="nil"/>
          <w:left w:val="nil"/>
          <w:bottom w:val="nil"/>
          <w:right w:val="nil"/>
          <w:between w:val="nil"/>
        </w:pBdr>
        <w:spacing w:line="276" w:lineRule="auto"/>
        <w:jc w:val="both"/>
        <w:rPr>
          <w:b/>
          <w:i/>
          <w:color w:val="000000"/>
          <w:sz w:val="24"/>
          <w:szCs w:val="24"/>
        </w:rPr>
      </w:pPr>
      <w:r>
        <w:rPr>
          <w:b/>
          <w:i/>
          <w:color w:val="000000"/>
          <w:sz w:val="24"/>
          <w:szCs w:val="24"/>
        </w:rPr>
        <w:t>Cadre juridique et fonctionnement démocratique après l’avènement du 25 juillet</w:t>
      </w:r>
    </w:p>
    <w:p w14:paraId="00000024" w14:textId="77777777" w:rsidR="00922088" w:rsidRDefault="00101C6E">
      <w:pPr>
        <w:pBdr>
          <w:top w:val="nil"/>
          <w:left w:val="nil"/>
          <w:bottom w:val="nil"/>
          <w:right w:val="nil"/>
          <w:between w:val="nil"/>
        </w:pBdr>
        <w:shd w:val="clear" w:color="auto" w:fill="FFFFFF"/>
        <w:spacing w:after="150" w:line="276" w:lineRule="auto"/>
        <w:jc w:val="both"/>
        <w:rPr>
          <w:sz w:val="24"/>
          <w:szCs w:val="24"/>
        </w:rPr>
      </w:pPr>
      <w:r>
        <w:rPr>
          <w:i/>
          <w:color w:val="000000"/>
          <w:sz w:val="24"/>
          <w:szCs w:val="24"/>
        </w:rPr>
        <w:t xml:space="preserve">              </w:t>
      </w:r>
      <w:r>
        <w:rPr>
          <w:sz w:val="24"/>
          <w:szCs w:val="24"/>
        </w:rPr>
        <w:t>La nou</w:t>
      </w:r>
      <w:r>
        <w:rPr>
          <w:sz w:val="24"/>
          <w:szCs w:val="24"/>
        </w:rPr>
        <w:t>velle constitution est entrée en vigueur et a été promulguée par le décret présidentiel n°2022-691 du 17 août 2022. La</w:t>
      </w:r>
      <w:r>
        <w:rPr>
          <w:color w:val="000000"/>
          <w:sz w:val="24"/>
          <w:szCs w:val="24"/>
          <w:highlight w:val="white"/>
        </w:rPr>
        <w:t xml:space="preserve"> partie </w:t>
      </w:r>
      <w:r>
        <w:rPr>
          <w:sz w:val="24"/>
          <w:szCs w:val="24"/>
          <w:highlight w:val="white"/>
        </w:rPr>
        <w:t>portant sur</w:t>
      </w:r>
      <w:r>
        <w:rPr>
          <w:color w:val="000000"/>
          <w:sz w:val="24"/>
          <w:szCs w:val="24"/>
          <w:highlight w:val="white"/>
        </w:rPr>
        <w:t xml:space="preserve"> les droits et libertés est presque similaire à celle inscrite dans la Constitution de 2014. </w:t>
      </w:r>
      <w:r>
        <w:rPr>
          <w:sz w:val="24"/>
          <w:szCs w:val="24"/>
          <w:highlight w:val="white"/>
        </w:rPr>
        <w:t xml:space="preserve">Cependant, </w:t>
      </w:r>
      <w:r>
        <w:rPr>
          <w:color w:val="000000"/>
          <w:sz w:val="24"/>
          <w:szCs w:val="24"/>
          <w:highlight w:val="white"/>
        </w:rPr>
        <w:t xml:space="preserve"> l’article 49 q</w:t>
      </w:r>
      <w:r>
        <w:rPr>
          <w:color w:val="000000"/>
          <w:sz w:val="24"/>
          <w:szCs w:val="24"/>
          <w:highlight w:val="white"/>
        </w:rPr>
        <w:t xml:space="preserve">ui </w:t>
      </w:r>
      <w:r>
        <w:rPr>
          <w:color w:val="000000"/>
          <w:sz w:val="24"/>
          <w:szCs w:val="24"/>
          <w:highlight w:val="white"/>
        </w:rPr>
        <w:lastRenderedPageBreak/>
        <w:t xml:space="preserve">garantissait ces droits et son application a été touché. </w:t>
      </w:r>
      <w:r>
        <w:rPr>
          <w:b/>
          <w:sz w:val="24"/>
          <w:szCs w:val="24"/>
          <w:highlight w:val="white"/>
        </w:rPr>
        <w:t>La mention de l'État civil</w:t>
      </w:r>
      <w:r>
        <w:rPr>
          <w:color w:val="000000"/>
          <w:sz w:val="24"/>
          <w:szCs w:val="24"/>
          <w:highlight w:val="white"/>
        </w:rPr>
        <w:t xml:space="preserve"> </w:t>
      </w:r>
      <w:r>
        <w:rPr>
          <w:sz w:val="24"/>
          <w:szCs w:val="24"/>
          <w:highlight w:val="white"/>
        </w:rPr>
        <w:t>est manquante, elle ne figure plus</w:t>
      </w:r>
      <w:r>
        <w:rPr>
          <w:color w:val="000000"/>
          <w:sz w:val="24"/>
          <w:szCs w:val="24"/>
          <w:highlight w:val="white"/>
        </w:rPr>
        <w:t>, ni dans l’article 55</w:t>
      </w:r>
      <w:r>
        <w:rPr>
          <w:color w:val="000000"/>
          <w:sz w:val="24"/>
          <w:szCs w:val="24"/>
          <w:highlight w:val="white"/>
          <w:vertAlign w:val="superscript"/>
        </w:rPr>
        <w:footnoteReference w:id="5"/>
      </w:r>
      <w:r>
        <w:rPr>
          <w:color w:val="000000"/>
          <w:sz w:val="24"/>
          <w:szCs w:val="24"/>
          <w:highlight w:val="white"/>
        </w:rPr>
        <w:t xml:space="preserve">, ni dans toute la Constitution. Ceci, comporte le risque de dériver vers des lois liberticides, surtout que </w:t>
      </w:r>
      <w:r>
        <w:rPr>
          <w:b/>
          <w:color w:val="000000"/>
          <w:sz w:val="24"/>
          <w:szCs w:val="24"/>
          <w:highlight w:val="white"/>
        </w:rPr>
        <w:t xml:space="preserve">la </w:t>
      </w:r>
      <w:r>
        <w:rPr>
          <w:b/>
          <w:color w:val="000000"/>
          <w:sz w:val="24"/>
          <w:szCs w:val="24"/>
          <w:highlight w:val="white"/>
        </w:rPr>
        <w:t xml:space="preserve">Constitution de 2022 </w:t>
      </w:r>
      <w:r>
        <w:rPr>
          <w:b/>
          <w:color w:val="000000"/>
          <w:sz w:val="24"/>
          <w:szCs w:val="24"/>
        </w:rPr>
        <w:t>a occulté toute référence aux conventions internationales</w:t>
      </w:r>
      <w:r>
        <w:rPr>
          <w:color w:val="000000"/>
          <w:sz w:val="24"/>
          <w:szCs w:val="24"/>
        </w:rPr>
        <w:t>, qui représentent les garde-fous des droits humains.</w:t>
      </w:r>
      <w:r>
        <w:rPr>
          <w:color w:val="000000"/>
          <w:sz w:val="24"/>
          <w:szCs w:val="24"/>
          <w:highlight w:val="white"/>
        </w:rPr>
        <w:t xml:space="preserve"> </w:t>
      </w:r>
    </w:p>
    <w:p w14:paraId="00000025" w14:textId="77777777" w:rsidR="00922088" w:rsidRDefault="00101C6E">
      <w:pPr>
        <w:spacing w:line="276" w:lineRule="auto"/>
        <w:jc w:val="both"/>
        <w:rPr>
          <w:color w:val="3A3A3A"/>
          <w:sz w:val="24"/>
          <w:szCs w:val="24"/>
        </w:rPr>
      </w:pPr>
      <w:r>
        <w:rPr>
          <w:sz w:val="24"/>
          <w:szCs w:val="24"/>
          <w:highlight w:val="white"/>
        </w:rPr>
        <w:t xml:space="preserve">                En Outre, plus de garantie de </w:t>
      </w:r>
      <w:r>
        <w:rPr>
          <w:sz w:val="24"/>
          <w:szCs w:val="24"/>
        </w:rPr>
        <w:t>séparation entre le religieux et le politique</w:t>
      </w:r>
      <w:r>
        <w:rPr>
          <w:sz w:val="24"/>
          <w:szCs w:val="24"/>
          <w:vertAlign w:val="superscript"/>
        </w:rPr>
        <w:footnoteReference w:id="6"/>
      </w:r>
      <w:r>
        <w:rPr>
          <w:sz w:val="24"/>
          <w:szCs w:val="24"/>
        </w:rPr>
        <w:t>. L’article 5 oblige l’Etat à agir et à réaliser les finalités de l’islam. Il s’agit d’un recul en arrière incarnant des retombées négatives sur le fonctionnement démocratique laïc. Ce qui impliquerait un changement des lois acquises en faveur des droits f</w:t>
      </w:r>
      <w:r>
        <w:rPr>
          <w:sz w:val="24"/>
          <w:szCs w:val="24"/>
        </w:rPr>
        <w:t>emmes (à titre d’exemple, le droit de l’adoption et le droit à l’avortement… etc</w:t>
      </w:r>
      <w:r>
        <w:rPr>
          <w:color w:val="222222"/>
          <w:sz w:val="24"/>
          <w:szCs w:val="24"/>
        </w:rPr>
        <w:t xml:space="preserve">.). Désormais, les « objectifs de l’islam » constituent un </w:t>
      </w:r>
      <w:r>
        <w:rPr>
          <w:color w:val="3A3A3A"/>
          <w:sz w:val="24"/>
          <w:szCs w:val="24"/>
        </w:rPr>
        <w:t>fondement de gouvernance et une source de législation.</w:t>
      </w:r>
    </w:p>
    <w:p w14:paraId="00000026" w14:textId="77777777" w:rsidR="00922088" w:rsidRDefault="00101C6E">
      <w:pPr>
        <w:shd w:val="clear" w:color="auto" w:fill="FFFFFF"/>
        <w:spacing w:after="225" w:line="276" w:lineRule="auto"/>
        <w:jc w:val="both"/>
        <w:rPr>
          <w:sz w:val="24"/>
          <w:szCs w:val="24"/>
          <w:highlight w:val="white"/>
        </w:rPr>
      </w:pPr>
      <w:r>
        <w:rPr>
          <w:color w:val="3A3A3A"/>
          <w:sz w:val="24"/>
          <w:szCs w:val="24"/>
        </w:rPr>
        <w:t xml:space="preserve">               Le régime politique et son architecture institu</w:t>
      </w:r>
      <w:r>
        <w:rPr>
          <w:color w:val="3A3A3A"/>
          <w:sz w:val="24"/>
          <w:szCs w:val="24"/>
        </w:rPr>
        <w:t xml:space="preserve">tionnelle instaurée par la Constitution de 2014, a été radié, en faveur d’un système </w:t>
      </w:r>
      <w:r>
        <w:rPr>
          <w:color w:val="222222"/>
          <w:sz w:val="24"/>
          <w:szCs w:val="24"/>
          <w:highlight w:val="white"/>
        </w:rPr>
        <w:t xml:space="preserve">présidentiel, avec une concentration de pouvoir. </w:t>
      </w:r>
      <w:r>
        <w:rPr>
          <w:color w:val="3A3A3A"/>
          <w:sz w:val="24"/>
          <w:szCs w:val="24"/>
        </w:rPr>
        <w:t>Il s’agit d’un président omnipotent, déchargé de toute responsabilité politique</w:t>
      </w:r>
      <w:r>
        <w:rPr>
          <w:color w:val="3A3A3A"/>
          <w:sz w:val="24"/>
          <w:szCs w:val="24"/>
          <w:vertAlign w:val="superscript"/>
        </w:rPr>
        <w:footnoteReference w:id="7"/>
      </w:r>
      <w:r>
        <w:rPr>
          <w:color w:val="3A3A3A"/>
          <w:sz w:val="24"/>
          <w:szCs w:val="24"/>
        </w:rPr>
        <w:t xml:space="preserve">. </w:t>
      </w:r>
      <w:r>
        <w:rPr>
          <w:color w:val="222222"/>
          <w:sz w:val="24"/>
          <w:szCs w:val="24"/>
          <w:highlight w:val="white"/>
        </w:rPr>
        <w:t>Plus de contre-pouvoir réel, ni législat</w:t>
      </w:r>
      <w:r>
        <w:rPr>
          <w:color w:val="222222"/>
          <w:sz w:val="24"/>
          <w:szCs w:val="24"/>
          <w:highlight w:val="white"/>
        </w:rPr>
        <w:t>if</w:t>
      </w:r>
      <w:r>
        <w:rPr>
          <w:color w:val="222222"/>
          <w:sz w:val="24"/>
          <w:szCs w:val="24"/>
          <w:highlight w:val="white"/>
          <w:vertAlign w:val="superscript"/>
        </w:rPr>
        <w:footnoteReference w:id="8"/>
      </w:r>
      <w:r>
        <w:rPr>
          <w:color w:val="222222"/>
          <w:sz w:val="24"/>
          <w:szCs w:val="24"/>
          <w:highlight w:val="white"/>
        </w:rPr>
        <w:t>, ni judiciaire</w:t>
      </w:r>
      <w:r>
        <w:rPr>
          <w:color w:val="222222"/>
          <w:sz w:val="24"/>
          <w:szCs w:val="24"/>
          <w:highlight w:val="white"/>
          <w:vertAlign w:val="superscript"/>
        </w:rPr>
        <w:footnoteReference w:id="9"/>
      </w:r>
      <w:r>
        <w:rPr>
          <w:color w:val="222222"/>
          <w:sz w:val="24"/>
          <w:szCs w:val="24"/>
          <w:highlight w:val="white"/>
        </w:rPr>
        <w:t xml:space="preserve">.  </w:t>
      </w:r>
      <w:r>
        <w:rPr>
          <w:sz w:val="24"/>
          <w:szCs w:val="24"/>
        </w:rPr>
        <w:t>L</w:t>
      </w:r>
      <w:r>
        <w:rPr>
          <w:color w:val="000000"/>
          <w:sz w:val="24"/>
          <w:szCs w:val="24"/>
        </w:rPr>
        <w:t xml:space="preserve">e président est </w:t>
      </w:r>
      <w:r>
        <w:rPr>
          <w:color w:val="3A3A3A"/>
          <w:sz w:val="24"/>
          <w:szCs w:val="24"/>
        </w:rPr>
        <w:t xml:space="preserve">le véritable maître de l’exécutif. </w:t>
      </w:r>
      <w:r>
        <w:rPr>
          <w:color w:val="000000"/>
          <w:sz w:val="24"/>
          <w:szCs w:val="24"/>
        </w:rPr>
        <w:t>C’est lui qui « </w:t>
      </w:r>
      <w:r>
        <w:rPr>
          <w:i/>
          <w:color w:val="000000"/>
          <w:sz w:val="24"/>
          <w:szCs w:val="24"/>
        </w:rPr>
        <w:t>détermine la politique générale de l'État, en définit les options fondamentales... </w:t>
      </w:r>
      <w:r>
        <w:rPr>
          <w:color w:val="000000"/>
          <w:sz w:val="24"/>
          <w:szCs w:val="24"/>
        </w:rPr>
        <w:t>»</w:t>
      </w:r>
      <w:r>
        <w:rPr>
          <w:color w:val="000000"/>
          <w:sz w:val="24"/>
          <w:szCs w:val="24"/>
          <w:vertAlign w:val="superscript"/>
        </w:rPr>
        <w:footnoteReference w:id="10"/>
      </w:r>
      <w:r>
        <w:rPr>
          <w:color w:val="000000"/>
          <w:sz w:val="24"/>
          <w:szCs w:val="24"/>
        </w:rPr>
        <w:t xml:space="preserve">. </w:t>
      </w:r>
      <w:r>
        <w:rPr>
          <w:color w:val="222222"/>
          <w:sz w:val="24"/>
          <w:szCs w:val="24"/>
          <w:highlight w:val="white"/>
        </w:rPr>
        <w:t xml:space="preserve">Il est </w:t>
      </w:r>
      <w:r>
        <w:rPr>
          <w:color w:val="000000"/>
          <w:sz w:val="24"/>
          <w:szCs w:val="24"/>
        </w:rPr>
        <w:t xml:space="preserve">assisté </w:t>
      </w:r>
      <w:r>
        <w:rPr>
          <w:sz w:val="24"/>
          <w:szCs w:val="24"/>
        </w:rPr>
        <w:t xml:space="preserve">par </w:t>
      </w:r>
      <w:r>
        <w:rPr>
          <w:color w:val="000000"/>
          <w:sz w:val="24"/>
          <w:szCs w:val="24"/>
        </w:rPr>
        <w:t>un Gouvernement nommé par lui seul. L</w:t>
      </w:r>
      <w:r>
        <w:rPr>
          <w:color w:val="222222"/>
          <w:sz w:val="24"/>
          <w:szCs w:val="24"/>
        </w:rPr>
        <w:t>a désignation et la rév</w:t>
      </w:r>
      <w:r>
        <w:rPr>
          <w:color w:val="222222"/>
          <w:sz w:val="24"/>
          <w:szCs w:val="24"/>
        </w:rPr>
        <w:t>ocation du gouvernement se feront indépendamment du Parlement. </w:t>
      </w:r>
      <w:r>
        <w:rPr>
          <w:color w:val="3A3A3A"/>
          <w:sz w:val="24"/>
          <w:szCs w:val="24"/>
        </w:rPr>
        <w:t>En outre, il exerce des fonctions constituantes, des fonctions législatives et autres  ; il préside aussi le Conseil de sécurité nationale. Il accorde le droit de grâce. Il nomme les magistrat(</w:t>
      </w:r>
      <w:r>
        <w:rPr>
          <w:color w:val="3A3A3A"/>
          <w:sz w:val="24"/>
          <w:szCs w:val="24"/>
        </w:rPr>
        <w:t>e)s sans être lié par l’avis du Conseil Supérieur de la Magistrature.</w:t>
      </w:r>
      <w:r>
        <w:rPr>
          <w:color w:val="000000"/>
          <w:sz w:val="24"/>
          <w:szCs w:val="24"/>
        </w:rPr>
        <w:t xml:space="preserve"> </w:t>
      </w:r>
      <w:r>
        <w:rPr>
          <w:sz w:val="24"/>
          <w:szCs w:val="24"/>
        </w:rPr>
        <w:t>Sachant que les deux pouvoirs, législatif et judiciaire sont devenus dans le texte de la nouvelle Constitution de simples « </w:t>
      </w:r>
      <w:r>
        <w:rPr>
          <w:i/>
          <w:sz w:val="24"/>
          <w:szCs w:val="24"/>
        </w:rPr>
        <w:t>fonctions</w:t>
      </w:r>
      <w:r>
        <w:rPr>
          <w:sz w:val="24"/>
          <w:szCs w:val="24"/>
        </w:rPr>
        <w:t> », on peut dire que le principe de séparation des po</w:t>
      </w:r>
      <w:r>
        <w:rPr>
          <w:sz w:val="24"/>
          <w:szCs w:val="24"/>
        </w:rPr>
        <w:t>uvoirs est vidé de son sens.</w:t>
      </w:r>
    </w:p>
    <w:p w14:paraId="00000027" w14:textId="77777777" w:rsidR="00922088" w:rsidRDefault="00101C6E">
      <w:pPr>
        <w:pBdr>
          <w:top w:val="nil"/>
          <w:left w:val="nil"/>
          <w:bottom w:val="nil"/>
          <w:right w:val="nil"/>
          <w:between w:val="nil"/>
        </w:pBdr>
        <w:spacing w:after="360" w:line="276" w:lineRule="auto"/>
        <w:jc w:val="both"/>
        <w:rPr>
          <w:color w:val="3A3A3A"/>
          <w:sz w:val="24"/>
          <w:szCs w:val="24"/>
        </w:rPr>
      </w:pPr>
      <w:r>
        <w:rPr>
          <w:color w:val="000000"/>
          <w:sz w:val="24"/>
          <w:szCs w:val="24"/>
        </w:rPr>
        <w:t xml:space="preserve">               Le </w:t>
      </w:r>
      <w:r>
        <w:rPr>
          <w:color w:val="000000"/>
          <w:sz w:val="24"/>
          <w:szCs w:val="24"/>
          <w:highlight w:val="white"/>
        </w:rPr>
        <w:t xml:space="preserve">Conseil Supérieur de la Magistrature a été muselé et fragmenté. Et chaque catégorie de la magistrature est devenue supervisée par </w:t>
      </w:r>
      <w:r>
        <w:rPr>
          <w:color w:val="000000"/>
          <w:sz w:val="24"/>
          <w:szCs w:val="24"/>
        </w:rPr>
        <w:t>un conseil supérieur. Rien ne précise comment les membres de ces trois conseils sont choisis. L</w:t>
      </w:r>
      <w:r>
        <w:rPr>
          <w:color w:val="000000"/>
          <w:sz w:val="24"/>
          <w:szCs w:val="24"/>
          <w:highlight w:val="white"/>
        </w:rPr>
        <w:t xml:space="preserve">es membres </w:t>
      </w:r>
      <w:r>
        <w:rPr>
          <w:color w:val="000000"/>
          <w:sz w:val="24"/>
          <w:szCs w:val="24"/>
        </w:rPr>
        <w:t xml:space="preserve">de la Cour Constitutionnelle </w:t>
      </w:r>
      <w:r>
        <w:rPr>
          <w:color w:val="000000"/>
          <w:sz w:val="24"/>
          <w:szCs w:val="24"/>
          <w:highlight w:val="white"/>
        </w:rPr>
        <w:t xml:space="preserve">sont exclusivement des juges et </w:t>
      </w:r>
      <w:r>
        <w:rPr>
          <w:color w:val="3A3A3A"/>
          <w:sz w:val="24"/>
          <w:szCs w:val="24"/>
        </w:rPr>
        <w:t xml:space="preserve">sont désormais nommé(e)s par le président. De plus, </w:t>
      </w:r>
      <w:r>
        <w:rPr>
          <w:color w:val="000000"/>
          <w:sz w:val="24"/>
          <w:szCs w:val="24"/>
        </w:rPr>
        <w:t>le ministère public ne bénéficie plus</w:t>
      </w:r>
      <w:r>
        <w:rPr>
          <w:color w:val="000000"/>
          <w:sz w:val="24"/>
          <w:szCs w:val="24"/>
        </w:rPr>
        <w:t xml:space="preserve"> des garanties d’indépendance et le corps des magistrats</w:t>
      </w:r>
      <w:r>
        <w:rPr>
          <w:color w:val="000000"/>
          <w:sz w:val="24"/>
          <w:szCs w:val="24"/>
          <w:vertAlign w:val="superscript"/>
        </w:rPr>
        <w:footnoteReference w:id="11"/>
      </w:r>
      <w:r>
        <w:rPr>
          <w:color w:val="000000"/>
          <w:sz w:val="24"/>
          <w:szCs w:val="24"/>
        </w:rPr>
        <w:t xml:space="preserve"> est exposé aux </w:t>
      </w:r>
      <w:r>
        <w:rPr>
          <w:color w:val="3A3A3A"/>
          <w:sz w:val="24"/>
          <w:szCs w:val="24"/>
        </w:rPr>
        <w:t xml:space="preserve">interventions de l’exécutif. </w:t>
      </w:r>
    </w:p>
    <w:p w14:paraId="00000028" w14:textId="77777777" w:rsidR="00922088" w:rsidRDefault="00101C6E">
      <w:pPr>
        <w:pBdr>
          <w:top w:val="nil"/>
          <w:left w:val="nil"/>
          <w:bottom w:val="nil"/>
          <w:right w:val="nil"/>
          <w:between w:val="nil"/>
        </w:pBdr>
        <w:spacing w:after="360" w:line="276" w:lineRule="auto"/>
        <w:jc w:val="both"/>
        <w:rPr>
          <w:color w:val="000000"/>
          <w:sz w:val="24"/>
          <w:szCs w:val="24"/>
        </w:rPr>
      </w:pPr>
      <w:r>
        <w:rPr>
          <w:color w:val="FF0000"/>
          <w:sz w:val="24"/>
          <w:szCs w:val="24"/>
        </w:rPr>
        <w:lastRenderedPageBreak/>
        <w:t xml:space="preserve">             </w:t>
      </w:r>
      <w:r>
        <w:rPr>
          <w:color w:val="000000"/>
          <w:sz w:val="24"/>
          <w:szCs w:val="24"/>
          <w:highlight w:val="white"/>
        </w:rPr>
        <w:t>La Constitution de 2022 a instrumentalisé un régime populiste autoritaire. Plus d’instances constitutionnelles indépendantes garantissant le</w:t>
      </w:r>
      <w:r>
        <w:rPr>
          <w:color w:val="000000"/>
          <w:sz w:val="24"/>
          <w:szCs w:val="24"/>
          <w:highlight w:val="white"/>
        </w:rPr>
        <w:t>s droits et libertés</w:t>
      </w:r>
      <w:r>
        <w:rPr>
          <w:color w:val="000000"/>
          <w:sz w:val="24"/>
          <w:szCs w:val="24"/>
          <w:highlight w:val="white"/>
          <w:vertAlign w:val="superscript"/>
        </w:rPr>
        <w:footnoteReference w:id="12"/>
      </w:r>
      <w:r>
        <w:rPr>
          <w:color w:val="000000"/>
          <w:sz w:val="24"/>
          <w:szCs w:val="24"/>
          <w:highlight w:val="white"/>
        </w:rPr>
        <w:t xml:space="preserve"> et consolidant la démocratie. Seule, l’Instance Supérieure « indépendante » pour les élections a été gardée. Suite à </w:t>
      </w:r>
      <w:r>
        <w:rPr>
          <w:color w:val="000000"/>
          <w:sz w:val="24"/>
          <w:szCs w:val="24"/>
        </w:rPr>
        <w:t>la ratification du décret</w:t>
      </w:r>
      <w:r>
        <w:rPr>
          <w:color w:val="000000"/>
          <w:sz w:val="24"/>
          <w:szCs w:val="24"/>
          <w:vertAlign w:val="superscript"/>
        </w:rPr>
        <w:footnoteReference w:id="13"/>
      </w:r>
      <w:r>
        <w:rPr>
          <w:color w:val="000000"/>
          <w:sz w:val="24"/>
          <w:szCs w:val="24"/>
        </w:rPr>
        <w:t xml:space="preserve"> relatif à l’amendement et le parachèvement de certaines dispositions de la loi organique n</w:t>
      </w:r>
      <w:r>
        <w:rPr>
          <w:color w:val="000000"/>
          <w:sz w:val="24"/>
          <w:szCs w:val="24"/>
        </w:rPr>
        <w:t>° 2012-23 du 20 décembre 2012 portant création de l'ISIE, le président de la République s’est octroyé la nomination des sept nouveaux membres de cette instance. Ce qui implique des soupçons quant à son indépendance.</w:t>
      </w:r>
    </w:p>
    <w:p w14:paraId="00000029" w14:textId="77777777" w:rsidR="00922088" w:rsidRDefault="00101C6E">
      <w:pPr>
        <w:pBdr>
          <w:top w:val="nil"/>
          <w:left w:val="nil"/>
          <w:bottom w:val="nil"/>
          <w:right w:val="nil"/>
          <w:between w:val="nil"/>
        </w:pBdr>
        <w:spacing w:after="360" w:line="276" w:lineRule="auto"/>
        <w:jc w:val="both"/>
        <w:rPr>
          <w:color w:val="000000"/>
          <w:sz w:val="24"/>
          <w:szCs w:val="24"/>
          <w:highlight w:val="white"/>
        </w:rPr>
      </w:pPr>
      <w:r>
        <w:rPr>
          <w:color w:val="000000"/>
          <w:sz w:val="24"/>
          <w:szCs w:val="24"/>
        </w:rPr>
        <w:t xml:space="preserve">               Le préambule de la Consti</w:t>
      </w:r>
      <w:r>
        <w:rPr>
          <w:color w:val="000000"/>
          <w:sz w:val="24"/>
          <w:szCs w:val="24"/>
        </w:rPr>
        <w:t xml:space="preserve">tution de 2022 a remplacé l’Etat de droit par la société de droit, expression qui n’a aucun sens juridique. Mais, elle captive les troupes dans une ambiance populiste réactionnaire, rétrograde et </w:t>
      </w:r>
      <w:r>
        <w:rPr>
          <w:sz w:val="24"/>
          <w:szCs w:val="24"/>
        </w:rPr>
        <w:t>anti élitiste</w:t>
      </w:r>
      <w:r>
        <w:rPr>
          <w:color w:val="000000"/>
          <w:sz w:val="24"/>
          <w:szCs w:val="24"/>
        </w:rPr>
        <w:t xml:space="preserve"> refusant et diabolisant les corps intermédiair</w:t>
      </w:r>
      <w:r>
        <w:rPr>
          <w:color w:val="000000"/>
          <w:sz w:val="24"/>
          <w:szCs w:val="24"/>
        </w:rPr>
        <w:t xml:space="preserve">es (Partis, syndicat, société civile…). Mais jusque-là, le Décret-loi n°2021-87 du 24 septembre 2011, régissant l’organisation des partis n’a pas été touché. Par contre, </w:t>
      </w:r>
      <w:r>
        <w:rPr>
          <w:color w:val="000000"/>
          <w:sz w:val="24"/>
          <w:szCs w:val="24"/>
          <w:highlight w:val="white"/>
        </w:rPr>
        <w:t xml:space="preserve">un document </w:t>
      </w:r>
      <w:r>
        <w:rPr>
          <w:sz w:val="24"/>
          <w:szCs w:val="24"/>
          <w:highlight w:val="white"/>
        </w:rPr>
        <w:t>a été fuité</w:t>
      </w:r>
      <w:r>
        <w:rPr>
          <w:color w:val="000000"/>
          <w:sz w:val="24"/>
          <w:szCs w:val="24"/>
          <w:highlight w:val="white"/>
        </w:rPr>
        <w:t xml:space="preserve"> concernant la révision du décret-loi n°2011-88 du 24 septembre</w:t>
      </w:r>
      <w:r>
        <w:rPr>
          <w:color w:val="000000"/>
          <w:sz w:val="24"/>
          <w:szCs w:val="24"/>
          <w:highlight w:val="white"/>
        </w:rPr>
        <w:t xml:space="preserve"> 2011, portant organisation des associations. Il est certain qu’un projet de révision est en cours. Plus rien n’est acquis.</w:t>
      </w:r>
    </w:p>
    <w:p w14:paraId="0000002A" w14:textId="77777777" w:rsidR="00922088" w:rsidRDefault="00101C6E">
      <w:pPr>
        <w:numPr>
          <w:ilvl w:val="1"/>
          <w:numId w:val="1"/>
        </w:numPr>
        <w:pBdr>
          <w:top w:val="nil"/>
          <w:left w:val="nil"/>
          <w:bottom w:val="nil"/>
          <w:right w:val="nil"/>
          <w:between w:val="nil"/>
        </w:pBdr>
        <w:spacing w:line="276" w:lineRule="auto"/>
        <w:rPr>
          <w:b/>
          <w:i/>
          <w:color w:val="000000"/>
          <w:sz w:val="24"/>
          <w:szCs w:val="24"/>
        </w:rPr>
      </w:pPr>
      <w:r>
        <w:rPr>
          <w:b/>
          <w:i/>
          <w:color w:val="000000"/>
          <w:sz w:val="24"/>
          <w:szCs w:val="24"/>
        </w:rPr>
        <w:t xml:space="preserve">La constitution : droits légaux des femmes en question </w:t>
      </w:r>
      <w:r>
        <w:rPr>
          <w:b/>
          <w:color w:val="000000"/>
          <w:sz w:val="24"/>
          <w:szCs w:val="24"/>
        </w:rPr>
        <w:t xml:space="preserve">  </w:t>
      </w:r>
    </w:p>
    <w:p w14:paraId="0000002B" w14:textId="77777777" w:rsidR="00922088" w:rsidRDefault="00101C6E">
      <w:pPr>
        <w:spacing w:line="276" w:lineRule="auto"/>
        <w:jc w:val="both"/>
        <w:rPr>
          <w:sz w:val="24"/>
          <w:szCs w:val="24"/>
        </w:rPr>
      </w:pPr>
      <w:r>
        <w:rPr>
          <w:sz w:val="24"/>
          <w:szCs w:val="24"/>
        </w:rPr>
        <w:t xml:space="preserve">                 Il est certain que les femmes tunisiennes disposent depui</w:t>
      </w:r>
      <w:r>
        <w:rPr>
          <w:sz w:val="24"/>
          <w:szCs w:val="24"/>
        </w:rPr>
        <w:t>s 1959 d’un arsenal juridique important. Le Code du statut personnel a vu le jour en 1956, bien avant la Constitution de 1959. Un an après l’indépendance, elles o</w:t>
      </w:r>
      <w:r>
        <w:rPr>
          <w:color w:val="000000"/>
          <w:sz w:val="24"/>
          <w:szCs w:val="24"/>
        </w:rPr>
        <w:t>nt acquis le droit de vote</w:t>
      </w:r>
      <w:r>
        <w:rPr>
          <w:sz w:val="24"/>
          <w:szCs w:val="24"/>
        </w:rPr>
        <w:t xml:space="preserve">. Depuis 1959, elles peuvent être candidates aux postes au gouvernement. En 1973, la Tunisie a introduit le droit à l’avortement durant les trois premiers mois de grossesse. </w:t>
      </w:r>
      <w:r>
        <w:rPr>
          <w:color w:val="000000"/>
          <w:sz w:val="24"/>
          <w:szCs w:val="24"/>
        </w:rPr>
        <w:t>Les femmes et les hommes ont des droits égaux en ce qui concerne le mariage, le di</w:t>
      </w:r>
      <w:r>
        <w:rPr>
          <w:color w:val="000000"/>
          <w:sz w:val="24"/>
          <w:szCs w:val="24"/>
        </w:rPr>
        <w:t>vorce et la propriété.</w:t>
      </w:r>
      <w:r>
        <w:rPr>
          <w:sz w:val="24"/>
          <w:szCs w:val="24"/>
        </w:rPr>
        <w:t xml:space="preserve"> Rien n’empêche les femmes de posséder des terres et des biens privés. </w:t>
      </w:r>
    </w:p>
    <w:p w14:paraId="0000002C" w14:textId="77777777" w:rsidR="00922088" w:rsidRDefault="00101C6E">
      <w:pPr>
        <w:spacing w:line="276" w:lineRule="auto"/>
        <w:jc w:val="both"/>
        <w:rPr>
          <w:sz w:val="24"/>
          <w:szCs w:val="24"/>
        </w:rPr>
      </w:pPr>
      <w:r>
        <w:rPr>
          <w:sz w:val="24"/>
          <w:szCs w:val="24"/>
        </w:rPr>
        <w:t xml:space="preserve">                </w:t>
      </w:r>
      <w:r>
        <w:rPr>
          <w:color w:val="222222"/>
          <w:sz w:val="24"/>
          <w:szCs w:val="24"/>
          <w:highlight w:val="white"/>
        </w:rPr>
        <w:t>La consécration de l’égalité des citoyens et des citoyennes remonte à la Constitution du 27 janvier 2014 qui avait reconnu le rôle des Tunisiennes</w:t>
      </w:r>
      <w:r>
        <w:rPr>
          <w:color w:val="222222"/>
          <w:sz w:val="24"/>
          <w:szCs w:val="24"/>
          <w:highlight w:val="white"/>
        </w:rPr>
        <w:t xml:space="preserve"> dans la construction de la Nation et avait inscrit le principe de "</w:t>
      </w:r>
      <w:r>
        <w:rPr>
          <w:i/>
          <w:color w:val="222222"/>
          <w:sz w:val="24"/>
          <w:szCs w:val="24"/>
          <w:highlight w:val="white"/>
        </w:rPr>
        <w:t>l’égalité de tous les citoyens et citoyennes en droits et en devoirs</w:t>
      </w:r>
      <w:r>
        <w:rPr>
          <w:color w:val="222222"/>
          <w:sz w:val="24"/>
          <w:szCs w:val="24"/>
          <w:highlight w:val="white"/>
        </w:rPr>
        <w:t>".</w:t>
      </w:r>
      <w:r>
        <w:rPr>
          <w:sz w:val="24"/>
          <w:szCs w:val="24"/>
        </w:rPr>
        <w:t xml:space="preserve"> L</w:t>
      </w:r>
      <w:r>
        <w:rPr>
          <w:color w:val="222222"/>
          <w:sz w:val="24"/>
          <w:szCs w:val="24"/>
          <w:highlight w:val="white"/>
        </w:rPr>
        <w:t>’égalité est ainsi garantie pour tous les droits et libertés accordés par la Constitution, les droits politiques, ci</w:t>
      </w:r>
      <w:r>
        <w:rPr>
          <w:color w:val="222222"/>
          <w:sz w:val="24"/>
          <w:szCs w:val="24"/>
          <w:highlight w:val="white"/>
        </w:rPr>
        <w:t>vils et familiaux, économiques et sociaux. P</w:t>
      </w:r>
      <w:r>
        <w:rPr>
          <w:sz w:val="24"/>
          <w:szCs w:val="24"/>
        </w:rPr>
        <w:t xml:space="preserve">ourtant, la réalité est très nuancée et différente. L’inégalité dans l’héritage demeure un sujet polémique et les disparités entre les sexes se perpétuent. </w:t>
      </w:r>
    </w:p>
    <w:p w14:paraId="0000002D" w14:textId="77777777" w:rsidR="00922088" w:rsidRDefault="00101C6E">
      <w:pPr>
        <w:spacing w:line="276" w:lineRule="auto"/>
        <w:jc w:val="both"/>
        <w:rPr>
          <w:sz w:val="24"/>
          <w:szCs w:val="24"/>
        </w:rPr>
      </w:pPr>
      <w:r>
        <w:rPr>
          <w:sz w:val="24"/>
          <w:szCs w:val="24"/>
        </w:rPr>
        <w:t xml:space="preserve">              Soulignons qu’à l’occasion du 13 août 202</w:t>
      </w:r>
      <w:r>
        <w:rPr>
          <w:sz w:val="24"/>
          <w:szCs w:val="24"/>
        </w:rPr>
        <w:t xml:space="preserve">0, le président Kais Saied s’est référé </w:t>
      </w:r>
      <w:r>
        <w:rPr>
          <w:color w:val="323232"/>
          <w:sz w:val="24"/>
          <w:szCs w:val="24"/>
          <w:highlight w:val="white"/>
        </w:rPr>
        <w:t>clairement à la religion en considérant que la question de l’égalité dans l’héritage est tranchée dans le Coran</w:t>
      </w:r>
      <w:r>
        <w:rPr>
          <w:sz w:val="24"/>
          <w:szCs w:val="24"/>
        </w:rPr>
        <w:t xml:space="preserve">, et que l’état </w:t>
      </w:r>
      <w:r>
        <w:rPr>
          <w:color w:val="323232"/>
          <w:sz w:val="24"/>
          <w:szCs w:val="24"/>
          <w:highlight w:val="white"/>
        </w:rPr>
        <w:t>doit respecter la religion de la nation et les finalités de la charia doivent être prises</w:t>
      </w:r>
      <w:r>
        <w:rPr>
          <w:color w:val="323232"/>
          <w:sz w:val="24"/>
          <w:szCs w:val="24"/>
          <w:highlight w:val="white"/>
        </w:rPr>
        <w:t xml:space="preserve"> en considération par la législation</w:t>
      </w:r>
      <w:r>
        <w:rPr>
          <w:sz w:val="24"/>
          <w:szCs w:val="24"/>
          <w:vertAlign w:val="superscript"/>
        </w:rPr>
        <w:footnoteReference w:id="14"/>
      </w:r>
      <w:r>
        <w:rPr>
          <w:sz w:val="24"/>
          <w:szCs w:val="24"/>
        </w:rPr>
        <w:t xml:space="preserve">. Ces finalités et objectifs sont devenus, </w:t>
      </w:r>
      <w:r>
        <w:rPr>
          <w:sz w:val="24"/>
          <w:szCs w:val="24"/>
        </w:rPr>
        <w:lastRenderedPageBreak/>
        <w:t xml:space="preserve">plus tard, avec l’article 5 de la Constitution de 2022, une source de législation ayant une valeur constitutionnelle. </w:t>
      </w:r>
    </w:p>
    <w:p w14:paraId="0000002E" w14:textId="77777777" w:rsidR="00922088" w:rsidRDefault="00101C6E">
      <w:pPr>
        <w:spacing w:before="280" w:after="280" w:line="276" w:lineRule="auto"/>
        <w:jc w:val="both"/>
        <w:rPr>
          <w:sz w:val="24"/>
          <w:szCs w:val="24"/>
        </w:rPr>
      </w:pPr>
      <w:r>
        <w:rPr>
          <w:sz w:val="24"/>
          <w:szCs w:val="24"/>
        </w:rPr>
        <w:t xml:space="preserve">             Dans la Constitution de 2022, le mot « égali</w:t>
      </w:r>
      <w:r>
        <w:rPr>
          <w:sz w:val="24"/>
          <w:szCs w:val="24"/>
        </w:rPr>
        <w:t>té » a été prononcé pour la première fois dans l’article 19. Cela concerne, la manière dont l’Etat et ses services publics doivent se comporter avec les citoyen-e-s, indépendamment de leur appartenance basée sur le sexe. Souvent, cette notion est substitué</w:t>
      </w:r>
      <w:r>
        <w:rPr>
          <w:sz w:val="24"/>
          <w:szCs w:val="24"/>
        </w:rPr>
        <w:t xml:space="preserve">e par le terme équité, à titre d’exemple, lorsque le législateur parle du droit au travail sans évoquer l’égalité des salaires entre les deux sexes. En ce qui concerne la parité, </w:t>
      </w:r>
      <w:r>
        <w:rPr>
          <w:color w:val="000000"/>
          <w:sz w:val="24"/>
          <w:szCs w:val="24"/>
        </w:rPr>
        <w:t>«</w:t>
      </w:r>
      <w:r>
        <w:rPr>
          <w:i/>
          <w:color w:val="000000"/>
          <w:sz w:val="24"/>
          <w:szCs w:val="24"/>
        </w:rPr>
        <w:t xml:space="preserve">L’État </w:t>
      </w:r>
      <w:r>
        <w:rPr>
          <w:b/>
          <w:i/>
          <w:color w:val="000000"/>
          <w:sz w:val="24"/>
          <w:szCs w:val="24"/>
          <w:u w:val="single"/>
        </w:rPr>
        <w:t>s’emploie</w:t>
      </w:r>
      <w:r>
        <w:rPr>
          <w:i/>
          <w:color w:val="000000"/>
          <w:sz w:val="24"/>
          <w:szCs w:val="24"/>
        </w:rPr>
        <w:t xml:space="preserve"> à consacrer la parité</w:t>
      </w:r>
      <w:r>
        <w:rPr>
          <w:color w:val="000000"/>
          <w:sz w:val="24"/>
          <w:szCs w:val="24"/>
        </w:rPr>
        <w:t> </w:t>
      </w:r>
      <w:r>
        <w:rPr>
          <w:i/>
          <w:color w:val="000000"/>
          <w:sz w:val="24"/>
          <w:szCs w:val="24"/>
        </w:rPr>
        <w:t>entre la femme et l’homme dans les as</w:t>
      </w:r>
      <w:r>
        <w:rPr>
          <w:i/>
          <w:color w:val="000000"/>
          <w:sz w:val="24"/>
          <w:szCs w:val="24"/>
        </w:rPr>
        <w:t>semblées élues</w:t>
      </w:r>
      <w:r>
        <w:rPr>
          <w:color w:val="000000"/>
          <w:sz w:val="24"/>
          <w:szCs w:val="24"/>
        </w:rPr>
        <w:t>»</w:t>
      </w:r>
      <w:r>
        <w:rPr>
          <w:color w:val="000000"/>
          <w:sz w:val="24"/>
          <w:szCs w:val="24"/>
          <w:vertAlign w:val="superscript"/>
        </w:rPr>
        <w:footnoteReference w:id="15"/>
      </w:r>
      <w:r>
        <w:rPr>
          <w:color w:val="000000"/>
          <w:sz w:val="24"/>
          <w:szCs w:val="24"/>
        </w:rPr>
        <w:t xml:space="preserve"> </w:t>
      </w:r>
      <w:r>
        <w:rPr>
          <w:color w:val="3A3A3A"/>
          <w:sz w:val="24"/>
          <w:szCs w:val="24"/>
        </w:rPr>
        <w:t xml:space="preserve">et pas la concrétiser réellement. Ce qui explique sa marginalisation dans le </w:t>
      </w:r>
      <w:r>
        <w:rPr>
          <w:color w:val="000000"/>
          <w:sz w:val="24"/>
          <w:szCs w:val="24"/>
        </w:rPr>
        <w:t>Décret- loi n° 2022-55 du 15 septembre 2022, portant modification de la loi organique n° 2014-16 du 26 mai 2014, relative aux élections et aux référendums. Les fe</w:t>
      </w:r>
      <w:r>
        <w:rPr>
          <w:color w:val="000000"/>
          <w:sz w:val="24"/>
          <w:szCs w:val="24"/>
        </w:rPr>
        <w:t>mmes ne jouissent plus de la parité pour se faire élire. Elles sont en mesure de « </w:t>
      </w:r>
      <w:r>
        <w:rPr>
          <w:i/>
          <w:color w:val="000000"/>
          <w:sz w:val="24"/>
          <w:szCs w:val="24"/>
        </w:rPr>
        <w:t>parrainer l’électeur</w:t>
      </w:r>
      <w:r>
        <w:rPr>
          <w:color w:val="000000"/>
          <w:sz w:val="24"/>
          <w:szCs w:val="24"/>
        </w:rPr>
        <w:t xml:space="preserve"> » mais aucunement capable de garantir un siège. Au fait, ce Décret-loi n’offre pas aux femmes une discrimination positive. Il bifurque sa participation </w:t>
      </w:r>
      <w:r>
        <w:rPr>
          <w:color w:val="000000"/>
          <w:sz w:val="24"/>
          <w:szCs w:val="24"/>
        </w:rPr>
        <w:t xml:space="preserve">avec l’adoption du suffrage uninominal qui </w:t>
      </w:r>
      <w:r>
        <w:rPr>
          <w:sz w:val="24"/>
          <w:szCs w:val="24"/>
        </w:rPr>
        <w:t>est</w:t>
      </w:r>
      <w:r>
        <w:rPr>
          <w:i/>
          <w:sz w:val="24"/>
          <w:szCs w:val="24"/>
          <w:highlight w:val="white"/>
        </w:rPr>
        <w:t xml:space="preserve"> «un mode de scrutin indulgent pour les femmes et les jeunes»</w:t>
      </w:r>
      <w:r>
        <w:rPr>
          <w:sz w:val="24"/>
          <w:szCs w:val="24"/>
          <w:highlight w:val="white"/>
        </w:rPr>
        <w:t>, dans le sens où il </w:t>
      </w:r>
      <w:r>
        <w:rPr>
          <w:i/>
          <w:sz w:val="24"/>
          <w:szCs w:val="24"/>
          <w:highlight w:val="white"/>
        </w:rPr>
        <w:t>«ne favorise pas la représentation des femmes ou des jeunes dans les cercles du pouvoir…»</w:t>
      </w:r>
      <w:r>
        <w:rPr>
          <w:i/>
          <w:sz w:val="24"/>
          <w:szCs w:val="24"/>
          <w:highlight w:val="white"/>
          <w:vertAlign w:val="superscript"/>
        </w:rPr>
        <w:footnoteReference w:id="16"/>
      </w:r>
      <w:r>
        <w:rPr>
          <w:sz w:val="24"/>
          <w:szCs w:val="24"/>
        </w:rPr>
        <w:t xml:space="preserve">. </w:t>
      </w:r>
    </w:p>
    <w:p w14:paraId="0000002F" w14:textId="77777777" w:rsidR="00922088" w:rsidRDefault="00101C6E">
      <w:pPr>
        <w:spacing w:before="280" w:after="280" w:line="276" w:lineRule="auto"/>
        <w:jc w:val="both"/>
        <w:rPr>
          <w:color w:val="000000"/>
          <w:sz w:val="24"/>
          <w:szCs w:val="24"/>
          <w:highlight w:val="red"/>
        </w:rPr>
      </w:pPr>
      <w:r>
        <w:rPr>
          <w:sz w:val="24"/>
          <w:szCs w:val="24"/>
        </w:rPr>
        <w:t xml:space="preserve">            Quant aux violences faites aux femmes, l’article 51 de la nouvelle constitution et la loi organique n°2017-58 du 11 août 2017 oblige l’état à prendre «</w:t>
      </w:r>
      <w:r>
        <w:rPr>
          <w:i/>
          <w:color w:val="000000"/>
          <w:sz w:val="24"/>
          <w:szCs w:val="24"/>
        </w:rPr>
        <w:t>les mesures susceptibles d’éliminer la violence à l’égard de la femme </w:t>
      </w:r>
      <w:r>
        <w:rPr>
          <w:color w:val="000000"/>
          <w:sz w:val="24"/>
          <w:szCs w:val="24"/>
        </w:rPr>
        <w:t>»</w:t>
      </w:r>
      <w:r>
        <w:rPr>
          <w:color w:val="000000"/>
          <w:sz w:val="24"/>
          <w:szCs w:val="24"/>
          <w:vertAlign w:val="superscript"/>
        </w:rPr>
        <w:footnoteReference w:id="17"/>
      </w:r>
      <w:r>
        <w:rPr>
          <w:color w:val="000000"/>
          <w:sz w:val="24"/>
          <w:szCs w:val="24"/>
        </w:rPr>
        <w:t>. Pourtant, les femme</w:t>
      </w:r>
      <w:r>
        <w:rPr>
          <w:color w:val="000000"/>
          <w:sz w:val="24"/>
          <w:szCs w:val="24"/>
        </w:rPr>
        <w:t xml:space="preserve">s continuent d’être victimes de discrimination et violence basée sur le genre. Quatre ans depuis l’entrée en vigueur de la loi organique contre la violence faite aux femmes, </w:t>
      </w:r>
      <w:r>
        <w:rPr>
          <w:sz w:val="24"/>
          <w:szCs w:val="24"/>
        </w:rPr>
        <w:t>les efforts consentis à cet égard demeurent insuffisants et l’application de cette</w:t>
      </w:r>
      <w:r>
        <w:rPr>
          <w:sz w:val="24"/>
          <w:szCs w:val="24"/>
        </w:rPr>
        <w:t xml:space="preserve"> loi est en deçà des attentes. </w:t>
      </w:r>
    </w:p>
    <w:p w14:paraId="00000030" w14:textId="77777777" w:rsidR="00922088" w:rsidRDefault="00922088">
      <w:pPr>
        <w:spacing w:before="280" w:after="280" w:line="276" w:lineRule="auto"/>
        <w:jc w:val="both"/>
        <w:rPr>
          <w:color w:val="000000"/>
          <w:sz w:val="24"/>
          <w:szCs w:val="24"/>
        </w:rPr>
      </w:pPr>
    </w:p>
    <w:p w14:paraId="00000031" w14:textId="77777777" w:rsidR="00922088" w:rsidRDefault="00101C6E">
      <w:pPr>
        <w:numPr>
          <w:ilvl w:val="0"/>
          <w:numId w:val="1"/>
        </w:numPr>
        <w:pBdr>
          <w:top w:val="nil"/>
          <w:left w:val="nil"/>
          <w:bottom w:val="nil"/>
          <w:right w:val="nil"/>
          <w:between w:val="nil"/>
        </w:pBdr>
        <w:spacing w:line="276" w:lineRule="auto"/>
        <w:rPr>
          <w:b/>
          <w:i/>
          <w:color w:val="000000"/>
          <w:sz w:val="24"/>
          <w:szCs w:val="24"/>
        </w:rPr>
      </w:pPr>
      <w:r>
        <w:rPr>
          <w:b/>
          <w:i/>
          <w:color w:val="000000"/>
          <w:sz w:val="24"/>
          <w:szCs w:val="24"/>
        </w:rPr>
        <w:t>Participation politique des femmes</w:t>
      </w:r>
    </w:p>
    <w:p w14:paraId="00000032" w14:textId="77777777" w:rsidR="00922088" w:rsidRDefault="00101C6E">
      <w:pPr>
        <w:spacing w:line="276" w:lineRule="auto"/>
        <w:jc w:val="both"/>
        <w:rPr>
          <w:sz w:val="24"/>
          <w:szCs w:val="24"/>
        </w:rPr>
      </w:pPr>
      <w:r>
        <w:rPr>
          <w:color w:val="FF0000"/>
          <w:sz w:val="24"/>
          <w:szCs w:val="24"/>
        </w:rPr>
        <w:t xml:space="preserve">            </w:t>
      </w:r>
      <w:r>
        <w:rPr>
          <w:sz w:val="24"/>
          <w:szCs w:val="24"/>
        </w:rPr>
        <w:t>Depuis les stratégies définies par les Nations Unies au profit des femmes,  à Mexico (1975), à Copenhague (1980), Nairobi (1985) et enfin à Beijing (1995), la Tunisie n’a jamais cessé, jusque-là, de proposer des stratégies pour sortir d’une vision étriquée</w:t>
      </w:r>
      <w:r>
        <w:rPr>
          <w:sz w:val="24"/>
          <w:szCs w:val="24"/>
        </w:rPr>
        <w:t xml:space="preserve"> des relations femmes et pouvoir de décision ou femmes et participation à la vie publique et politique. Il est certain que la Tunisie, depuis son indépendance en 1956, a déployé des efforts pour arrimer sa politique de promotion des droits des femmes et d'</w:t>
      </w:r>
      <w:r>
        <w:rPr>
          <w:sz w:val="24"/>
          <w:szCs w:val="24"/>
        </w:rPr>
        <w:t xml:space="preserve">équité de genre à la mouvance internationale. Cependant, il existe  une disparité certaine entre les dispositions législatives qui sont, en elles-mêmes, en faveur des femmes et leur mise en application. En effet, les  droits </w:t>
      </w:r>
      <w:r>
        <w:rPr>
          <w:sz w:val="24"/>
          <w:szCs w:val="24"/>
        </w:rPr>
        <w:lastRenderedPageBreak/>
        <w:t>des femmes restent un acquis fr</w:t>
      </w:r>
      <w:r>
        <w:rPr>
          <w:sz w:val="24"/>
          <w:szCs w:val="24"/>
        </w:rPr>
        <w:t>agile dans la société. Ceci se reflète dans la suppression du principe de la  parité lors  de l’amendement, en 2022, du Décret-loi n° 2014-16 du 26 mai 2014, relatif aux élections et aux référendums. Hélas, le président de la République a exprimé son refus</w:t>
      </w:r>
      <w:r>
        <w:rPr>
          <w:sz w:val="24"/>
          <w:szCs w:val="24"/>
        </w:rPr>
        <w:t xml:space="preserve"> catégorique quant à cette mesure</w:t>
      </w:r>
      <w:r>
        <w:rPr>
          <w:sz w:val="24"/>
          <w:szCs w:val="24"/>
          <w:vertAlign w:val="superscript"/>
        </w:rPr>
        <w:footnoteReference w:id="18"/>
      </w:r>
      <w:r>
        <w:rPr>
          <w:sz w:val="24"/>
          <w:szCs w:val="24"/>
        </w:rPr>
        <w:t>.</w:t>
      </w:r>
    </w:p>
    <w:p w14:paraId="00000033" w14:textId="77777777" w:rsidR="00922088" w:rsidRDefault="00922088">
      <w:pPr>
        <w:spacing w:line="276" w:lineRule="auto"/>
        <w:jc w:val="both"/>
        <w:rPr>
          <w:color w:val="000000"/>
          <w:sz w:val="24"/>
          <w:szCs w:val="24"/>
        </w:rPr>
      </w:pPr>
    </w:p>
    <w:p w14:paraId="00000034" w14:textId="77777777" w:rsidR="00922088" w:rsidRDefault="00101C6E">
      <w:pPr>
        <w:numPr>
          <w:ilvl w:val="1"/>
          <w:numId w:val="1"/>
        </w:numPr>
        <w:pBdr>
          <w:top w:val="nil"/>
          <w:left w:val="nil"/>
          <w:bottom w:val="nil"/>
          <w:right w:val="nil"/>
          <w:between w:val="nil"/>
        </w:pBdr>
        <w:spacing w:after="0" w:line="276" w:lineRule="auto"/>
        <w:jc w:val="both"/>
        <w:rPr>
          <w:b/>
          <w:i/>
          <w:color w:val="000000"/>
          <w:sz w:val="24"/>
          <w:szCs w:val="24"/>
        </w:rPr>
      </w:pPr>
      <w:r>
        <w:rPr>
          <w:color w:val="000000"/>
          <w:sz w:val="24"/>
          <w:szCs w:val="24"/>
        </w:rPr>
        <w:t xml:space="preserve"> </w:t>
      </w:r>
      <w:r>
        <w:rPr>
          <w:b/>
          <w:i/>
          <w:color w:val="000000"/>
          <w:sz w:val="24"/>
          <w:szCs w:val="24"/>
        </w:rPr>
        <w:t>Participation des femmes aux législatives et aux élections municipales</w:t>
      </w:r>
    </w:p>
    <w:p w14:paraId="00000035" w14:textId="77777777" w:rsidR="00922088" w:rsidRDefault="00101C6E">
      <w:pPr>
        <w:spacing w:line="276" w:lineRule="auto"/>
        <w:jc w:val="both"/>
        <w:rPr>
          <w:sz w:val="24"/>
          <w:szCs w:val="24"/>
        </w:rPr>
      </w:pPr>
      <w:r>
        <w:rPr>
          <w:sz w:val="24"/>
          <w:szCs w:val="24"/>
        </w:rPr>
        <w:t xml:space="preserve">              La participation effective des femmes dans la vie politique est intimement liée à sa situation socioéconomique, au niveau du développ</w:t>
      </w:r>
      <w:r>
        <w:rPr>
          <w:sz w:val="24"/>
          <w:szCs w:val="24"/>
        </w:rPr>
        <w:t>ement de la culture politique dans la société où elle vit et aux mesures prises en sa faveur, à titre d’exemple, la parité et le quota. En 2011, le législateur a adopté la parité verticale en exigeant une alternance entre les deux sexes dans les listes éle</w:t>
      </w:r>
      <w:r>
        <w:rPr>
          <w:sz w:val="24"/>
          <w:szCs w:val="24"/>
        </w:rPr>
        <w:t>ctorales. De ce fait, 30% des femmes avaient pu accéder à l'Assemblée Nationale Constituante. Sachant que seulement 7% des têtes de listes sont des femmes.</w:t>
      </w:r>
    </w:p>
    <w:p w14:paraId="00000036" w14:textId="77777777" w:rsidR="00922088" w:rsidRDefault="00101C6E">
      <w:pPr>
        <w:spacing w:line="276" w:lineRule="auto"/>
        <w:jc w:val="both"/>
        <w:rPr>
          <w:sz w:val="24"/>
          <w:szCs w:val="24"/>
        </w:rPr>
      </w:pPr>
      <w:r>
        <w:rPr>
          <w:sz w:val="24"/>
          <w:szCs w:val="24"/>
        </w:rPr>
        <w:t xml:space="preserve">            Aux élections législatives de 2014, la proportion des femmes députées a augmenté de 3.3 </w:t>
      </w:r>
      <w:r>
        <w:rPr>
          <w:sz w:val="24"/>
          <w:szCs w:val="24"/>
        </w:rPr>
        <w:t xml:space="preserve">points (soit 33.3%) par rapport à 2011. En effet, le nombre des femmes têtes de listes a été de l’ordre de 178 sur 1327, soit un taux de 11.15%. Ces taux </w:t>
      </w:r>
      <w:r>
        <w:rPr>
          <w:sz w:val="24"/>
          <w:szCs w:val="24"/>
          <w:highlight w:val="white"/>
        </w:rPr>
        <w:t>sont loin de refléter la présence des femmes tunisiennes sur la scène politique ou leur poids électora</w:t>
      </w:r>
      <w:r>
        <w:rPr>
          <w:sz w:val="24"/>
          <w:szCs w:val="24"/>
          <w:highlight w:val="white"/>
        </w:rPr>
        <w:t>l, surtout que le taux des électrices inscrites au registre électoral a atteint 50,5%</w:t>
      </w:r>
      <w:r>
        <w:rPr>
          <w:sz w:val="24"/>
          <w:szCs w:val="24"/>
          <w:highlight w:val="white"/>
          <w:vertAlign w:val="superscript"/>
        </w:rPr>
        <w:footnoteReference w:id="19"/>
      </w:r>
      <w:r>
        <w:rPr>
          <w:sz w:val="24"/>
          <w:szCs w:val="24"/>
          <w:highlight w:val="white"/>
        </w:rPr>
        <w:t xml:space="preserve"> en 2014. </w:t>
      </w:r>
      <w:r>
        <w:rPr>
          <w:sz w:val="24"/>
          <w:szCs w:val="24"/>
        </w:rPr>
        <w:t>Certes, l’adoption de la parité verticale est un pas en avant en matière de promotion des droits des femmes, mais la réalité nous montre une faible intériorisat</w:t>
      </w:r>
      <w:r>
        <w:rPr>
          <w:sz w:val="24"/>
          <w:szCs w:val="24"/>
        </w:rPr>
        <w:t>ion de la culture humaniste et égalitaire même au sommet des institutions de l’Etat.</w:t>
      </w:r>
    </w:p>
    <w:p w14:paraId="00000037" w14:textId="77777777" w:rsidR="00922088" w:rsidRDefault="00101C6E">
      <w:pPr>
        <w:pBdr>
          <w:top w:val="nil"/>
          <w:left w:val="nil"/>
          <w:bottom w:val="nil"/>
          <w:right w:val="nil"/>
          <w:between w:val="nil"/>
        </w:pBdr>
        <w:spacing w:after="0" w:line="276" w:lineRule="auto"/>
        <w:jc w:val="both"/>
        <w:rPr>
          <w:color w:val="000000"/>
          <w:sz w:val="24"/>
          <w:szCs w:val="24"/>
        </w:rPr>
      </w:pPr>
      <w:r>
        <w:rPr>
          <w:color w:val="000000"/>
          <w:sz w:val="24"/>
          <w:szCs w:val="24"/>
        </w:rPr>
        <w:t xml:space="preserve">              La revendication de la parité est au cœur des luttes de la société civile. Cette revendication a été adoptée, partiellement, par le législateur en 2011. </w:t>
      </w:r>
      <w:r>
        <w:rPr>
          <w:sz w:val="24"/>
          <w:szCs w:val="24"/>
        </w:rPr>
        <w:t>En</w:t>
      </w:r>
      <w:r>
        <w:rPr>
          <w:color w:val="000000"/>
          <w:sz w:val="24"/>
          <w:szCs w:val="24"/>
        </w:rPr>
        <w:t xml:space="preserve"> 2</w:t>
      </w:r>
      <w:r>
        <w:rPr>
          <w:color w:val="000000"/>
          <w:sz w:val="24"/>
          <w:szCs w:val="24"/>
        </w:rPr>
        <w:t xml:space="preserve">017, le législateur a amendé la loi électorale juste avant les élections municipales </w:t>
      </w:r>
      <w:r>
        <w:rPr>
          <w:sz w:val="24"/>
          <w:szCs w:val="24"/>
        </w:rPr>
        <w:t>qui devaient avoir lieu en</w:t>
      </w:r>
      <w:r>
        <w:rPr>
          <w:color w:val="000000"/>
          <w:sz w:val="24"/>
          <w:szCs w:val="24"/>
        </w:rPr>
        <w:t xml:space="preserve"> 2018 et a adopté la parité verticale et horizontale, mais uniquement pour les représentant- e-s des conseils municipaux. </w:t>
      </w:r>
      <w:r>
        <w:rPr>
          <w:sz w:val="24"/>
          <w:szCs w:val="24"/>
        </w:rPr>
        <w:t>Quant aux élections</w:t>
      </w:r>
      <w:r>
        <w:rPr>
          <w:color w:val="000000"/>
          <w:sz w:val="24"/>
          <w:szCs w:val="24"/>
        </w:rPr>
        <w:t xml:space="preserve"> de </w:t>
      </w:r>
      <w:r>
        <w:rPr>
          <w:color w:val="000000"/>
          <w:sz w:val="24"/>
          <w:szCs w:val="24"/>
        </w:rPr>
        <w:t xml:space="preserve">2019, </w:t>
      </w:r>
      <w:r>
        <w:rPr>
          <w:sz w:val="24"/>
          <w:szCs w:val="24"/>
        </w:rPr>
        <w:t>elles ont</w:t>
      </w:r>
      <w:r>
        <w:rPr>
          <w:color w:val="000000"/>
          <w:sz w:val="24"/>
          <w:szCs w:val="24"/>
        </w:rPr>
        <w:t xml:space="preserve"> été </w:t>
      </w:r>
      <w:r>
        <w:rPr>
          <w:sz w:val="24"/>
          <w:szCs w:val="24"/>
        </w:rPr>
        <w:t>soumises</w:t>
      </w:r>
      <w:r>
        <w:rPr>
          <w:color w:val="000000"/>
          <w:sz w:val="24"/>
          <w:szCs w:val="24"/>
        </w:rPr>
        <w:t xml:space="preserve"> à la même règle </w:t>
      </w:r>
      <w:r>
        <w:rPr>
          <w:sz w:val="24"/>
          <w:szCs w:val="24"/>
        </w:rPr>
        <w:t>adoptée</w:t>
      </w:r>
      <w:r>
        <w:rPr>
          <w:color w:val="000000"/>
          <w:sz w:val="24"/>
          <w:szCs w:val="24"/>
        </w:rPr>
        <w:t xml:space="preserve"> en 2011</w:t>
      </w:r>
      <w:r>
        <w:rPr>
          <w:sz w:val="24"/>
          <w:szCs w:val="24"/>
        </w:rPr>
        <w:t xml:space="preserve">, </w:t>
      </w:r>
      <w:r>
        <w:rPr>
          <w:color w:val="000000"/>
          <w:sz w:val="24"/>
          <w:szCs w:val="24"/>
        </w:rPr>
        <w:t>le taux de participation des femmes aux élections législatives a connu une baisse de 7.3 points par rapport aux législatives de 2014 (soit 26%)</w:t>
      </w:r>
      <w:r>
        <w:rPr>
          <w:color w:val="000000"/>
          <w:sz w:val="24"/>
          <w:szCs w:val="24"/>
          <w:vertAlign w:val="superscript"/>
        </w:rPr>
        <w:footnoteReference w:id="20"/>
      </w:r>
      <w:r>
        <w:rPr>
          <w:color w:val="000000"/>
          <w:sz w:val="24"/>
          <w:szCs w:val="24"/>
        </w:rPr>
        <w:t xml:space="preserve">. </w:t>
      </w:r>
    </w:p>
    <w:p w14:paraId="00000038" w14:textId="77777777" w:rsidR="00922088" w:rsidRDefault="00922088">
      <w:pPr>
        <w:pBdr>
          <w:top w:val="nil"/>
          <w:left w:val="nil"/>
          <w:bottom w:val="nil"/>
          <w:right w:val="nil"/>
          <w:between w:val="nil"/>
        </w:pBdr>
        <w:spacing w:after="0" w:line="276" w:lineRule="auto"/>
        <w:jc w:val="both"/>
        <w:rPr>
          <w:color w:val="000000"/>
          <w:sz w:val="24"/>
          <w:szCs w:val="24"/>
        </w:rPr>
      </w:pPr>
    </w:p>
    <w:p w14:paraId="00000039" w14:textId="77777777" w:rsidR="00922088" w:rsidRDefault="00101C6E">
      <w:pPr>
        <w:pBdr>
          <w:top w:val="nil"/>
          <w:left w:val="nil"/>
          <w:bottom w:val="nil"/>
          <w:right w:val="nil"/>
          <w:between w:val="nil"/>
        </w:pBdr>
        <w:spacing w:after="0" w:line="276" w:lineRule="auto"/>
        <w:jc w:val="both"/>
        <w:rPr>
          <w:color w:val="212529"/>
          <w:sz w:val="24"/>
          <w:szCs w:val="24"/>
        </w:rPr>
      </w:pPr>
      <w:r>
        <w:rPr>
          <w:color w:val="000000"/>
          <w:sz w:val="24"/>
          <w:szCs w:val="24"/>
        </w:rPr>
        <w:t xml:space="preserve">               Cette dégringolade du taux de participation des femmes au parlement s’est poursuivi lors des législatives du 17 décembre 2022</w:t>
      </w:r>
      <w:r>
        <w:rPr>
          <w:color w:val="000000"/>
          <w:sz w:val="24"/>
          <w:szCs w:val="24"/>
          <w:vertAlign w:val="superscript"/>
        </w:rPr>
        <w:footnoteReference w:id="21"/>
      </w:r>
      <w:r>
        <w:rPr>
          <w:color w:val="000000"/>
          <w:sz w:val="24"/>
          <w:szCs w:val="24"/>
        </w:rPr>
        <w:t xml:space="preserve">.  Seulement, </w:t>
      </w:r>
      <w:r>
        <w:rPr>
          <w:sz w:val="24"/>
          <w:szCs w:val="24"/>
        </w:rPr>
        <w:t>14.99%</w:t>
      </w:r>
      <w:r>
        <w:rPr>
          <w:color w:val="000000"/>
          <w:sz w:val="24"/>
          <w:szCs w:val="24"/>
        </w:rPr>
        <w:t xml:space="preserve"> des femmes</w:t>
      </w:r>
      <w:r>
        <w:rPr>
          <w:color w:val="000000"/>
          <w:sz w:val="24"/>
          <w:szCs w:val="24"/>
          <w:vertAlign w:val="superscript"/>
        </w:rPr>
        <w:footnoteReference w:id="22"/>
      </w:r>
      <w:r>
        <w:rPr>
          <w:color w:val="000000"/>
          <w:sz w:val="24"/>
          <w:szCs w:val="24"/>
        </w:rPr>
        <w:t xml:space="preserve"> se sont présentées aux législatives du 17 décembre 2022, (soit, 214 femmes/ 1427 c</w:t>
      </w:r>
      <w:r>
        <w:rPr>
          <w:color w:val="000000"/>
          <w:sz w:val="24"/>
          <w:szCs w:val="24"/>
        </w:rPr>
        <w:t>andidats). Au premier tour de ces élections</w:t>
      </w:r>
      <w:r>
        <w:rPr>
          <w:color w:val="000000"/>
          <w:sz w:val="24"/>
          <w:szCs w:val="24"/>
          <w:vertAlign w:val="superscript"/>
        </w:rPr>
        <w:footnoteReference w:id="23"/>
      </w:r>
      <w:r>
        <w:rPr>
          <w:color w:val="000000"/>
          <w:sz w:val="24"/>
          <w:szCs w:val="24"/>
        </w:rPr>
        <w:t xml:space="preserve">, 22 candidat-e-s vainqueurs dont 03 femmes, soit un taux de </w:t>
      </w:r>
      <w:r>
        <w:rPr>
          <w:color w:val="000000"/>
          <w:sz w:val="24"/>
          <w:szCs w:val="24"/>
        </w:rPr>
        <w:lastRenderedPageBreak/>
        <w:t>13.63 %. Toutefois, 33 candidates sur 133 candidats</w:t>
      </w:r>
      <w:r>
        <w:rPr>
          <w:color w:val="000000"/>
          <w:sz w:val="24"/>
          <w:szCs w:val="24"/>
          <w:vertAlign w:val="superscript"/>
        </w:rPr>
        <w:footnoteReference w:id="24"/>
      </w:r>
      <w:r>
        <w:rPr>
          <w:color w:val="000000"/>
          <w:sz w:val="24"/>
          <w:szCs w:val="24"/>
        </w:rPr>
        <w:t xml:space="preserve"> se présenteront au deuxième tour des législatives (soit le ¼). </w:t>
      </w:r>
      <w:r>
        <w:rPr>
          <w:color w:val="212529"/>
          <w:sz w:val="24"/>
          <w:szCs w:val="24"/>
        </w:rPr>
        <w:t xml:space="preserve">Sur les 22 candidats gagnants dans </w:t>
      </w:r>
      <w:r>
        <w:rPr>
          <w:color w:val="212529"/>
          <w:sz w:val="24"/>
          <w:szCs w:val="24"/>
        </w:rPr>
        <w:t>ce premier tour, 19 se sont présentés aux élections dans des circonscriptions où deux candidats ou un seul candidat se sont présentés. Les candidates sont absentes dans 102 circonscriptions</w:t>
      </w:r>
      <w:r>
        <w:rPr>
          <w:color w:val="212529"/>
          <w:sz w:val="24"/>
          <w:szCs w:val="24"/>
          <w:vertAlign w:val="superscript"/>
        </w:rPr>
        <w:footnoteReference w:id="25"/>
      </w:r>
      <w:r>
        <w:rPr>
          <w:color w:val="212529"/>
          <w:sz w:val="24"/>
          <w:szCs w:val="24"/>
        </w:rPr>
        <w:t>.</w:t>
      </w:r>
    </w:p>
    <w:p w14:paraId="0000003A" w14:textId="77777777" w:rsidR="00922088" w:rsidRDefault="00922088">
      <w:pPr>
        <w:pBdr>
          <w:top w:val="nil"/>
          <w:left w:val="nil"/>
          <w:bottom w:val="nil"/>
          <w:right w:val="nil"/>
          <w:between w:val="nil"/>
        </w:pBdr>
        <w:spacing w:after="0" w:line="276" w:lineRule="auto"/>
        <w:jc w:val="both"/>
        <w:rPr>
          <w:color w:val="000000"/>
          <w:sz w:val="24"/>
          <w:szCs w:val="24"/>
        </w:rPr>
      </w:pPr>
    </w:p>
    <w:p w14:paraId="0000003B" w14:textId="77777777" w:rsidR="00922088" w:rsidRDefault="00101C6E">
      <w:pPr>
        <w:pBdr>
          <w:top w:val="nil"/>
          <w:left w:val="nil"/>
          <w:bottom w:val="nil"/>
          <w:right w:val="nil"/>
          <w:between w:val="nil"/>
        </w:pBdr>
        <w:spacing w:after="0" w:line="276" w:lineRule="auto"/>
        <w:jc w:val="both"/>
        <w:rPr>
          <w:color w:val="000000"/>
          <w:sz w:val="24"/>
          <w:szCs w:val="24"/>
        </w:rPr>
      </w:pPr>
      <w:r>
        <w:rPr>
          <w:color w:val="000000"/>
          <w:sz w:val="24"/>
          <w:szCs w:val="24"/>
        </w:rPr>
        <w:t xml:space="preserve">                Le premier tour des législatives a connu un taux d’</w:t>
      </w:r>
      <w:r>
        <w:rPr>
          <w:color w:val="050505"/>
          <w:sz w:val="24"/>
          <w:szCs w:val="24"/>
        </w:rPr>
        <w:t>abstention qui s’élève à 91.2 %. Uniquement 8.8%</w:t>
      </w:r>
      <w:r>
        <w:rPr>
          <w:color w:val="050505"/>
          <w:sz w:val="24"/>
          <w:szCs w:val="24"/>
          <w:vertAlign w:val="superscript"/>
        </w:rPr>
        <w:footnoteReference w:id="26"/>
      </w:r>
      <w:r>
        <w:rPr>
          <w:color w:val="050505"/>
          <w:sz w:val="24"/>
          <w:szCs w:val="24"/>
        </w:rPr>
        <w:t xml:space="preserve"> (selon les résultats préliminaires, soit 803 638 votant-e-s</w:t>
      </w:r>
      <w:r>
        <w:rPr>
          <w:color w:val="050505"/>
          <w:sz w:val="24"/>
          <w:szCs w:val="24"/>
          <w:vertAlign w:val="superscript"/>
        </w:rPr>
        <w:footnoteReference w:id="27"/>
      </w:r>
      <w:r>
        <w:rPr>
          <w:color w:val="050505"/>
          <w:sz w:val="24"/>
          <w:szCs w:val="24"/>
        </w:rPr>
        <w:t xml:space="preserve"> des électeurs et électrices qui ont voté). En analysant ces résultats proclamé</w:t>
      </w:r>
      <w:r>
        <w:rPr>
          <w:color w:val="050505"/>
          <w:sz w:val="24"/>
          <w:szCs w:val="24"/>
        </w:rPr>
        <w:t>s par l’ISIE, et en l’associant au corps électoral qui s’élève à 9136502 votant-e-s et aux données démographiques, le taux de participation des femmes est de l’ordre de 5.3% (272630) avec un taux d’abstention qui s’élève à 94.7%. Contre un taux de particip</w:t>
      </w:r>
      <w:r>
        <w:rPr>
          <w:color w:val="050505"/>
          <w:sz w:val="24"/>
          <w:szCs w:val="24"/>
        </w:rPr>
        <w:t xml:space="preserve">ation des hommes qui s’élève à 10.4% (531008) avec un taux d’abstention des hommes de 89.6%. Désormais, </w:t>
      </w:r>
      <w:r>
        <w:rPr>
          <w:color w:val="000000"/>
          <w:sz w:val="24"/>
          <w:szCs w:val="24"/>
        </w:rPr>
        <w:t>La Tunisie traverse une période très délicate de son histoire contemporaine, marquée par la montée d’un populisme rétrograde et les droits des femmes so</w:t>
      </w:r>
      <w:r>
        <w:rPr>
          <w:color w:val="000000"/>
          <w:sz w:val="24"/>
          <w:szCs w:val="24"/>
        </w:rPr>
        <w:t>nt de plus en plus menacés.</w:t>
      </w:r>
    </w:p>
    <w:p w14:paraId="0000003C" w14:textId="77777777" w:rsidR="00922088" w:rsidRDefault="00922088">
      <w:pPr>
        <w:pBdr>
          <w:top w:val="nil"/>
          <w:left w:val="nil"/>
          <w:bottom w:val="nil"/>
          <w:right w:val="nil"/>
          <w:between w:val="nil"/>
        </w:pBdr>
        <w:spacing w:after="0" w:line="276" w:lineRule="auto"/>
        <w:jc w:val="both"/>
        <w:rPr>
          <w:color w:val="000000"/>
          <w:sz w:val="24"/>
          <w:szCs w:val="24"/>
        </w:rPr>
      </w:pPr>
    </w:p>
    <w:p w14:paraId="0000003D" w14:textId="77777777" w:rsidR="00922088" w:rsidRDefault="00922088">
      <w:pPr>
        <w:pBdr>
          <w:top w:val="nil"/>
          <w:left w:val="nil"/>
          <w:bottom w:val="nil"/>
          <w:right w:val="nil"/>
          <w:between w:val="nil"/>
        </w:pBdr>
        <w:spacing w:after="0" w:line="276" w:lineRule="auto"/>
        <w:jc w:val="both"/>
        <w:rPr>
          <w:color w:val="000000"/>
          <w:sz w:val="24"/>
          <w:szCs w:val="24"/>
        </w:rPr>
      </w:pPr>
    </w:p>
    <w:p w14:paraId="0000003E" w14:textId="77777777" w:rsidR="00922088" w:rsidRDefault="00101C6E">
      <w:pPr>
        <w:pBdr>
          <w:top w:val="nil"/>
          <w:left w:val="nil"/>
          <w:bottom w:val="nil"/>
          <w:right w:val="nil"/>
          <w:between w:val="nil"/>
        </w:pBdr>
        <w:spacing w:after="0" w:line="276" w:lineRule="auto"/>
        <w:jc w:val="both"/>
        <w:rPr>
          <w:color w:val="000000"/>
          <w:sz w:val="24"/>
          <w:szCs w:val="24"/>
        </w:rPr>
      </w:pPr>
      <w:r>
        <w:rPr>
          <w:color w:val="000000"/>
          <w:sz w:val="24"/>
          <w:szCs w:val="24"/>
        </w:rPr>
        <w:t xml:space="preserve">             Soulignons que le taux de participation aux législatives de 2022 est inférieur trois fois par rapport aux résultats des élections municipales</w:t>
      </w:r>
      <w:r>
        <w:rPr>
          <w:color w:val="000000"/>
          <w:sz w:val="24"/>
          <w:szCs w:val="24"/>
          <w:vertAlign w:val="superscript"/>
        </w:rPr>
        <w:footnoteReference w:id="28"/>
      </w:r>
      <w:r>
        <w:rPr>
          <w:color w:val="000000"/>
          <w:sz w:val="24"/>
          <w:szCs w:val="24"/>
        </w:rPr>
        <w:t>. Le nombre de participation des citoyen-ne-s en 2018 est de l’ordre de</w:t>
      </w:r>
      <w:r>
        <w:rPr>
          <w:color w:val="000000"/>
          <w:sz w:val="24"/>
          <w:szCs w:val="24"/>
        </w:rPr>
        <w:t xml:space="preserve"> 2.796.154 votant-e-s (33.7%) sur un corps électoral qui s’élève à 5.300.000. Les candidat-e-s se sont répartis sur 2074 </w:t>
      </w:r>
      <w:r>
        <w:rPr>
          <w:sz w:val="24"/>
          <w:szCs w:val="24"/>
        </w:rPr>
        <w:t>listes,</w:t>
      </w:r>
      <w:r>
        <w:rPr>
          <w:color w:val="000000"/>
          <w:sz w:val="24"/>
          <w:szCs w:val="24"/>
        </w:rPr>
        <w:t xml:space="preserve"> dont 1055 listes partisanes, 860 listes indépendantes et 159 listes </w:t>
      </w:r>
      <w:r>
        <w:rPr>
          <w:sz w:val="24"/>
          <w:szCs w:val="24"/>
        </w:rPr>
        <w:t>représentatives</w:t>
      </w:r>
      <w:r>
        <w:rPr>
          <w:color w:val="000000"/>
          <w:sz w:val="24"/>
          <w:szCs w:val="24"/>
        </w:rPr>
        <w:t xml:space="preserve"> des coalitions</w:t>
      </w:r>
      <w:r>
        <w:rPr>
          <w:sz w:val="24"/>
          <w:szCs w:val="24"/>
        </w:rPr>
        <w:t>. L</w:t>
      </w:r>
      <w:r>
        <w:rPr>
          <w:color w:val="000000"/>
          <w:sz w:val="24"/>
          <w:szCs w:val="24"/>
        </w:rPr>
        <w:t xml:space="preserve">e nombre des sièges </w:t>
      </w:r>
      <w:r>
        <w:rPr>
          <w:sz w:val="24"/>
          <w:szCs w:val="24"/>
        </w:rPr>
        <w:t>s'élev</w:t>
      </w:r>
      <w:r>
        <w:rPr>
          <w:sz w:val="24"/>
          <w:szCs w:val="24"/>
        </w:rPr>
        <w:t xml:space="preserve">ait </w:t>
      </w:r>
      <w:r>
        <w:rPr>
          <w:color w:val="000000"/>
          <w:sz w:val="24"/>
          <w:szCs w:val="24"/>
        </w:rPr>
        <w:t xml:space="preserve"> à 7177 dans 350 municipalités. </w:t>
      </w:r>
      <w:r>
        <w:rPr>
          <w:sz w:val="24"/>
          <w:szCs w:val="24"/>
        </w:rPr>
        <w:t>L</w:t>
      </w:r>
      <w:r>
        <w:rPr>
          <w:color w:val="000000"/>
          <w:sz w:val="24"/>
          <w:szCs w:val="24"/>
        </w:rPr>
        <w:t xml:space="preserve">a participation des femmes aux élections municipales a connu un taux </w:t>
      </w:r>
      <w:r>
        <w:rPr>
          <w:sz w:val="24"/>
          <w:szCs w:val="24"/>
        </w:rPr>
        <w:t>s'élevant</w:t>
      </w:r>
      <w:r>
        <w:rPr>
          <w:color w:val="000000"/>
          <w:sz w:val="24"/>
          <w:szCs w:val="24"/>
        </w:rPr>
        <w:t xml:space="preserve"> à 47.7% avec 29.55% de femmes têtes de liste</w:t>
      </w:r>
      <w:r>
        <w:rPr>
          <w:color w:val="000000"/>
          <w:sz w:val="24"/>
          <w:szCs w:val="24"/>
          <w:vertAlign w:val="superscript"/>
        </w:rPr>
        <w:footnoteReference w:id="29"/>
      </w:r>
      <w:r>
        <w:rPr>
          <w:color w:val="000000"/>
          <w:sz w:val="24"/>
          <w:szCs w:val="24"/>
        </w:rPr>
        <w:t>. Il s’agit d’un des taux de participation les plus élevés depuis « la révolution tunisienne ».</w:t>
      </w:r>
      <w:r>
        <w:rPr>
          <w:color w:val="000000"/>
          <w:sz w:val="24"/>
          <w:szCs w:val="24"/>
        </w:rPr>
        <w:t xml:space="preserve"> C’est bien, l’impact de la consécration de la parité verticale et horizontale. </w:t>
      </w:r>
    </w:p>
    <w:p w14:paraId="0000003F" w14:textId="77777777" w:rsidR="00922088" w:rsidRDefault="00922088">
      <w:pPr>
        <w:spacing w:after="0" w:line="276" w:lineRule="auto"/>
        <w:rPr>
          <w:i/>
          <w:sz w:val="24"/>
          <w:szCs w:val="24"/>
        </w:rPr>
      </w:pPr>
    </w:p>
    <w:p w14:paraId="00000040" w14:textId="77777777" w:rsidR="00922088" w:rsidRDefault="00922088">
      <w:pPr>
        <w:spacing w:after="0" w:line="276" w:lineRule="auto"/>
        <w:ind w:left="720"/>
        <w:rPr>
          <w:sz w:val="24"/>
          <w:szCs w:val="24"/>
        </w:rPr>
      </w:pPr>
    </w:p>
    <w:p w14:paraId="00000041" w14:textId="77777777" w:rsidR="00922088" w:rsidRDefault="00922088">
      <w:pPr>
        <w:spacing w:after="0" w:line="276" w:lineRule="auto"/>
        <w:ind w:left="720"/>
        <w:rPr>
          <w:color w:val="FF0000"/>
          <w:sz w:val="24"/>
          <w:szCs w:val="24"/>
        </w:rPr>
      </w:pPr>
    </w:p>
    <w:p w14:paraId="00000042" w14:textId="77777777" w:rsidR="00922088" w:rsidRDefault="00101C6E">
      <w:pPr>
        <w:numPr>
          <w:ilvl w:val="1"/>
          <w:numId w:val="1"/>
        </w:numPr>
        <w:pBdr>
          <w:top w:val="nil"/>
          <w:left w:val="nil"/>
          <w:bottom w:val="nil"/>
          <w:right w:val="nil"/>
          <w:between w:val="nil"/>
        </w:pBdr>
        <w:spacing w:after="0" w:line="276" w:lineRule="auto"/>
        <w:rPr>
          <w:b/>
          <w:i/>
          <w:color w:val="000000"/>
          <w:sz w:val="24"/>
          <w:szCs w:val="24"/>
        </w:rPr>
      </w:pPr>
      <w:r>
        <w:rPr>
          <w:b/>
          <w:i/>
          <w:color w:val="000000"/>
          <w:sz w:val="24"/>
          <w:szCs w:val="24"/>
        </w:rPr>
        <w:t>L’accès des femmes aux postes de prise de décision</w:t>
      </w:r>
    </w:p>
    <w:p w14:paraId="00000043" w14:textId="77777777" w:rsidR="00922088" w:rsidRDefault="00101C6E">
      <w:pPr>
        <w:spacing w:after="0" w:line="276" w:lineRule="auto"/>
        <w:jc w:val="both"/>
        <w:rPr>
          <w:sz w:val="24"/>
          <w:szCs w:val="24"/>
        </w:rPr>
      </w:pPr>
      <w:r>
        <w:rPr>
          <w:color w:val="FF0000"/>
          <w:sz w:val="24"/>
          <w:szCs w:val="24"/>
        </w:rPr>
        <w:t xml:space="preserve">                </w:t>
      </w:r>
      <w:r>
        <w:rPr>
          <w:sz w:val="24"/>
          <w:szCs w:val="24"/>
        </w:rPr>
        <w:t>L’accès des femmes tunisiennes à l’emploi salarié s’est fait dans un cadre réglementaire qui protège leur droit au travail. Il est à noter que la Tunisie a ratifié les conventions de l’OIT, garantissant des droits sociaux pour les femmes</w:t>
      </w:r>
      <w:r>
        <w:rPr>
          <w:sz w:val="24"/>
          <w:szCs w:val="24"/>
          <w:vertAlign w:val="superscript"/>
        </w:rPr>
        <w:footnoteReference w:id="30"/>
      </w:r>
      <w:r>
        <w:rPr>
          <w:sz w:val="24"/>
          <w:szCs w:val="24"/>
        </w:rPr>
        <w:t>. Pourtant, son ac</w:t>
      </w:r>
      <w:r>
        <w:rPr>
          <w:sz w:val="24"/>
          <w:szCs w:val="24"/>
        </w:rPr>
        <w:t xml:space="preserve">cès </w:t>
      </w:r>
      <w:r>
        <w:rPr>
          <w:sz w:val="24"/>
          <w:szCs w:val="24"/>
        </w:rPr>
        <w:lastRenderedPageBreak/>
        <w:t>aux postes de prise de décision reste encore faible selon les statistiques existantes. En effet, on ne trouve que 8% des femmes chargées de mission, 24.4% des directrices centrales, 20% des sous-directeurs d’administration centrale, 29% des cheffes ser</w:t>
      </w:r>
      <w:r>
        <w:rPr>
          <w:sz w:val="24"/>
          <w:szCs w:val="24"/>
        </w:rPr>
        <w:t>vice d’administration centrale et 26.7% des directrices d’administration</w:t>
      </w:r>
      <w:r>
        <w:rPr>
          <w:sz w:val="24"/>
          <w:szCs w:val="24"/>
          <w:vertAlign w:val="superscript"/>
        </w:rPr>
        <w:footnoteReference w:id="31"/>
      </w:r>
      <w:r>
        <w:rPr>
          <w:sz w:val="24"/>
          <w:szCs w:val="24"/>
        </w:rPr>
        <w:t xml:space="preserve">. Il est clair qu’il existe une évolution inégale en matière de promotion professionnelle entre les hommes et les femmes. Une inégalité due, d’un côté, à la difficile ascension de la </w:t>
      </w:r>
      <w:r>
        <w:rPr>
          <w:sz w:val="24"/>
          <w:szCs w:val="24"/>
        </w:rPr>
        <w:t>femme sur l’échelle professionnelle et de l’autre côté, à l’écart entre les deux sexes dans l’entrée à la vie active qui s’est fait d’une manière tardive pour les femmes. Cependant, il est certain qu’il y avait une volonté politique pour une meilleure inté</w:t>
      </w:r>
      <w:r>
        <w:rPr>
          <w:sz w:val="24"/>
          <w:szCs w:val="24"/>
        </w:rPr>
        <w:t>gration des femmes dans le processus de prise de décision.</w:t>
      </w:r>
    </w:p>
    <w:p w14:paraId="00000044" w14:textId="77777777" w:rsidR="00922088" w:rsidRDefault="00922088">
      <w:pPr>
        <w:spacing w:after="0" w:line="276" w:lineRule="auto"/>
        <w:jc w:val="both"/>
        <w:rPr>
          <w:sz w:val="24"/>
          <w:szCs w:val="24"/>
        </w:rPr>
      </w:pPr>
    </w:p>
    <w:p w14:paraId="00000045" w14:textId="77777777" w:rsidR="00922088" w:rsidRDefault="00101C6E">
      <w:pPr>
        <w:spacing w:after="0" w:line="276" w:lineRule="auto"/>
        <w:jc w:val="both"/>
        <w:rPr>
          <w:color w:val="FF0000"/>
          <w:sz w:val="24"/>
          <w:szCs w:val="24"/>
        </w:rPr>
      </w:pPr>
      <w:r>
        <w:rPr>
          <w:sz w:val="24"/>
          <w:szCs w:val="24"/>
        </w:rPr>
        <w:t xml:space="preserve">                Les disparités entre les deux sexes au niveau de la responsabilité tendent à se stabiliser dans différentes structures administratives et politiques. Huit femmes cheffes de mission</w:t>
      </w:r>
      <w:r>
        <w:rPr>
          <w:sz w:val="24"/>
          <w:szCs w:val="24"/>
        </w:rPr>
        <w:t>s diplomatiques résidentes (ambassadeur-e-s) sur 54, selon les données actualisées par le Ministère des Affaires Étrangères</w:t>
      </w:r>
      <w:r>
        <w:rPr>
          <w:sz w:val="24"/>
          <w:szCs w:val="24"/>
          <w:vertAlign w:val="superscript"/>
        </w:rPr>
        <w:footnoteReference w:id="32"/>
      </w:r>
      <w:r>
        <w:rPr>
          <w:sz w:val="24"/>
          <w:szCs w:val="24"/>
        </w:rPr>
        <w:t xml:space="preserve">. La proportion des femmes membres de l’exécutif a connu une certaine stabilité depuis 1999 et a atteint le taux de 9,25 % en 2001. </w:t>
      </w:r>
      <w:r>
        <w:rPr>
          <w:sz w:val="24"/>
          <w:szCs w:val="24"/>
        </w:rPr>
        <w:t>Et c’est uniquement avec le</w:t>
      </w:r>
      <w:r>
        <w:rPr>
          <w:color w:val="FF0000"/>
          <w:sz w:val="24"/>
          <w:szCs w:val="24"/>
        </w:rPr>
        <w:t xml:space="preserve"> </w:t>
      </w:r>
      <w:r>
        <w:rPr>
          <w:color w:val="000000"/>
          <w:sz w:val="24"/>
          <w:szCs w:val="24"/>
          <w:highlight w:val="white"/>
        </w:rPr>
        <w:t>gouvernement de Najla Bouden</w:t>
      </w:r>
      <w:r>
        <w:rPr>
          <w:color w:val="000000"/>
          <w:sz w:val="24"/>
          <w:szCs w:val="24"/>
          <w:highlight w:val="white"/>
          <w:vertAlign w:val="superscript"/>
        </w:rPr>
        <w:footnoteReference w:id="33"/>
      </w:r>
      <w:r>
        <w:rPr>
          <w:color w:val="000000"/>
          <w:sz w:val="24"/>
          <w:szCs w:val="24"/>
          <w:highlight w:val="white"/>
        </w:rPr>
        <w:t xml:space="preserve">, annoncé le 11 octobre </w:t>
      </w:r>
      <w:r>
        <w:rPr>
          <w:sz w:val="24"/>
          <w:szCs w:val="24"/>
          <w:highlight w:val="white"/>
        </w:rPr>
        <w:t>2021,</w:t>
      </w:r>
      <w:r>
        <w:rPr>
          <w:color w:val="000000"/>
          <w:sz w:val="24"/>
          <w:szCs w:val="24"/>
          <w:highlight w:val="white"/>
        </w:rPr>
        <w:t xml:space="preserve"> que ce taux a connu une hausse, et a atteint environ 38%, soit huit ministres femmes et une secrétaire d’Etat. </w:t>
      </w:r>
      <w:r>
        <w:rPr>
          <w:sz w:val="24"/>
          <w:szCs w:val="24"/>
          <w:highlight w:val="white"/>
        </w:rPr>
        <w:t>En</w:t>
      </w:r>
      <w:r>
        <w:rPr>
          <w:color w:val="000000"/>
          <w:sz w:val="24"/>
          <w:szCs w:val="24"/>
          <w:highlight w:val="white"/>
        </w:rPr>
        <w:t xml:space="preserve"> comptant la cheffe du gouvernement, l'équipe ministérie</w:t>
      </w:r>
      <w:r>
        <w:rPr>
          <w:color w:val="000000"/>
          <w:sz w:val="24"/>
          <w:szCs w:val="24"/>
          <w:highlight w:val="white"/>
        </w:rPr>
        <w:t>lle se compose ainsi de dix femmes et de seize hommes. Compte tenu du recul considérable touchant les acquis des femmes dans la nouvelle constitution, le gouvernement constitué après l’avènement du 25 juillet, n’est qu’un semblant d’avancée. Il s’agit d’un</w:t>
      </w:r>
      <w:r>
        <w:rPr>
          <w:color w:val="000000"/>
          <w:sz w:val="24"/>
          <w:szCs w:val="24"/>
          <w:highlight w:val="white"/>
        </w:rPr>
        <w:t xml:space="preserve"> acte politique pour calmer les esprits et mystifier la réalité.</w:t>
      </w:r>
      <w:r>
        <w:rPr>
          <w:color w:val="FF0000"/>
          <w:sz w:val="24"/>
          <w:szCs w:val="24"/>
        </w:rPr>
        <w:t xml:space="preserve"> </w:t>
      </w:r>
    </w:p>
    <w:p w14:paraId="00000046" w14:textId="77777777" w:rsidR="00922088" w:rsidRDefault="00922088">
      <w:pPr>
        <w:spacing w:after="0" w:line="276" w:lineRule="auto"/>
        <w:jc w:val="both"/>
        <w:rPr>
          <w:color w:val="FF0000"/>
          <w:sz w:val="24"/>
          <w:szCs w:val="24"/>
        </w:rPr>
      </w:pPr>
    </w:p>
    <w:p w14:paraId="00000047" w14:textId="77777777" w:rsidR="00922088" w:rsidRDefault="00101C6E">
      <w:pPr>
        <w:spacing w:after="0" w:line="276" w:lineRule="auto"/>
        <w:jc w:val="both"/>
        <w:rPr>
          <w:color w:val="FF0000"/>
          <w:sz w:val="24"/>
          <w:szCs w:val="24"/>
        </w:rPr>
      </w:pPr>
      <w:r>
        <w:rPr>
          <w:color w:val="FF0000"/>
          <w:sz w:val="24"/>
          <w:szCs w:val="24"/>
        </w:rPr>
        <w:t xml:space="preserve">               </w:t>
      </w:r>
      <w:r>
        <w:rPr>
          <w:sz w:val="24"/>
          <w:szCs w:val="24"/>
        </w:rPr>
        <w:t xml:space="preserve">En s’appuyant sur plusieurs rapports d’études et sur les données statistiques officielles, il ressort deux problématiques primordiales. La première concerne le </w:t>
      </w:r>
      <w:r>
        <w:rPr>
          <w:b/>
          <w:i/>
          <w:sz w:val="24"/>
          <w:szCs w:val="24"/>
        </w:rPr>
        <w:t>décalage perçu</w:t>
      </w:r>
      <w:r>
        <w:rPr>
          <w:b/>
          <w:i/>
          <w:sz w:val="24"/>
          <w:szCs w:val="24"/>
        </w:rPr>
        <w:t xml:space="preserve"> entre l’avancée des lois et l’exercice de la citoyenneté</w:t>
      </w:r>
      <w:r>
        <w:rPr>
          <w:sz w:val="24"/>
          <w:szCs w:val="24"/>
        </w:rPr>
        <w:t xml:space="preserve">. Et la deuxième comporte </w:t>
      </w:r>
      <w:r>
        <w:rPr>
          <w:b/>
          <w:i/>
          <w:sz w:val="24"/>
          <w:szCs w:val="24"/>
        </w:rPr>
        <w:t>une fragilisation permanente des acquis et une faible adhésion au principe d’égalité</w:t>
      </w:r>
      <w:r>
        <w:rPr>
          <w:i/>
          <w:sz w:val="24"/>
          <w:szCs w:val="24"/>
        </w:rPr>
        <w:t xml:space="preserve"> </w:t>
      </w:r>
      <w:r>
        <w:rPr>
          <w:sz w:val="24"/>
          <w:szCs w:val="24"/>
        </w:rPr>
        <w:t>marqué surtout, par un accès infime aux postes de prise de décision et/ou de responsabil</w:t>
      </w:r>
      <w:r>
        <w:rPr>
          <w:sz w:val="24"/>
          <w:szCs w:val="24"/>
        </w:rPr>
        <w:t xml:space="preserve">ité. </w:t>
      </w:r>
    </w:p>
    <w:p w14:paraId="00000048" w14:textId="77777777" w:rsidR="00922088" w:rsidRDefault="00922088">
      <w:pPr>
        <w:spacing w:after="0" w:line="276" w:lineRule="auto"/>
        <w:ind w:left="360"/>
        <w:jc w:val="both"/>
        <w:rPr>
          <w:sz w:val="24"/>
          <w:szCs w:val="24"/>
        </w:rPr>
      </w:pPr>
    </w:p>
    <w:p w14:paraId="00000049" w14:textId="77777777" w:rsidR="00922088" w:rsidRDefault="00922088">
      <w:pPr>
        <w:spacing w:after="0" w:line="276" w:lineRule="auto"/>
        <w:rPr>
          <w:b/>
          <w:i/>
          <w:sz w:val="24"/>
          <w:szCs w:val="24"/>
        </w:rPr>
      </w:pPr>
    </w:p>
    <w:p w14:paraId="0000004A" w14:textId="77777777" w:rsidR="00922088" w:rsidRDefault="00101C6E">
      <w:pPr>
        <w:numPr>
          <w:ilvl w:val="1"/>
          <w:numId w:val="1"/>
        </w:numPr>
        <w:pBdr>
          <w:top w:val="nil"/>
          <w:left w:val="nil"/>
          <w:bottom w:val="nil"/>
          <w:right w:val="nil"/>
          <w:between w:val="nil"/>
        </w:pBdr>
        <w:spacing w:after="0" w:line="276" w:lineRule="auto"/>
        <w:rPr>
          <w:b/>
          <w:i/>
          <w:color w:val="000000"/>
          <w:sz w:val="24"/>
          <w:szCs w:val="24"/>
        </w:rPr>
      </w:pPr>
      <w:r>
        <w:rPr>
          <w:b/>
          <w:i/>
          <w:color w:val="000000"/>
          <w:sz w:val="24"/>
          <w:szCs w:val="24"/>
        </w:rPr>
        <w:t>Participation des femmes aux partis politiques</w:t>
      </w:r>
    </w:p>
    <w:p w14:paraId="0000004B" w14:textId="77777777" w:rsidR="00922088" w:rsidRDefault="00101C6E">
      <w:pPr>
        <w:spacing w:after="0" w:line="276" w:lineRule="auto"/>
        <w:jc w:val="both"/>
        <w:rPr>
          <w:sz w:val="24"/>
          <w:szCs w:val="24"/>
        </w:rPr>
      </w:pPr>
      <w:r>
        <w:rPr>
          <w:sz w:val="24"/>
          <w:szCs w:val="24"/>
        </w:rPr>
        <w:t xml:space="preserve">                Certes, la clause de la parité, comme condition de validation des listes électorales en 2011, 2014, 2018 et 2019 a exigé davantage une meilleure participation partisane des femmes. Cette mesure a servi comme mécanisme de sensibilisation et </w:t>
      </w:r>
      <w:r>
        <w:rPr>
          <w:sz w:val="24"/>
          <w:szCs w:val="24"/>
        </w:rPr>
        <w:t>d’adhésion. Cependant, les statistiques concernant l’accès des femmes aux hautes structures partisanes sont inexistantes.  En effet, « </w:t>
      </w:r>
      <w:r>
        <w:rPr>
          <w:i/>
          <w:sz w:val="24"/>
          <w:szCs w:val="24"/>
        </w:rPr>
        <w:t>Les partis politiques en Tunisie ne sont pas des organisations ouvertes et transparentes. Il est souvent difficile d’accé</w:t>
      </w:r>
      <w:r>
        <w:rPr>
          <w:i/>
          <w:sz w:val="24"/>
          <w:szCs w:val="24"/>
        </w:rPr>
        <w:t xml:space="preserve">der à leurs documents internes, aux données </w:t>
      </w:r>
      <w:r>
        <w:rPr>
          <w:i/>
          <w:sz w:val="24"/>
          <w:szCs w:val="24"/>
        </w:rPr>
        <w:lastRenderedPageBreak/>
        <w:t>relatives aux adhérents en général et à leur répartition par sexe en particulier. </w:t>
      </w:r>
      <w:r>
        <w:rPr>
          <w:sz w:val="24"/>
          <w:szCs w:val="24"/>
        </w:rPr>
        <w:t>»</w:t>
      </w:r>
      <w:r>
        <w:rPr>
          <w:sz w:val="24"/>
          <w:szCs w:val="24"/>
          <w:vertAlign w:val="superscript"/>
        </w:rPr>
        <w:footnoteReference w:id="34"/>
      </w:r>
      <w:r>
        <w:rPr>
          <w:sz w:val="24"/>
          <w:szCs w:val="24"/>
        </w:rPr>
        <w:t>. A part cela, l’engagement des femmes dans la vie partisane est influencé par les rapports sociaux de sexes. Dans la société, l</w:t>
      </w:r>
      <w:r>
        <w:rPr>
          <w:sz w:val="24"/>
          <w:szCs w:val="24"/>
        </w:rPr>
        <w:t>es différences de genre renvoient plutôt à des attitudes et des stéréotypes ou à des discriminations à l’égard des femmes et n’encouragent pas ces dernières à intégrer les instances partisanes. Il y a une identité de genre qui dicte les rôles féminins et l</w:t>
      </w:r>
      <w:r>
        <w:rPr>
          <w:sz w:val="24"/>
          <w:szCs w:val="24"/>
        </w:rPr>
        <w:t>es rôles masculins. C’est ce qui explique le faible taux des femmes têtes de listes</w:t>
      </w:r>
      <w:r>
        <w:rPr>
          <w:sz w:val="24"/>
          <w:szCs w:val="24"/>
          <w:vertAlign w:val="superscript"/>
        </w:rPr>
        <w:footnoteReference w:id="35"/>
      </w:r>
      <w:r>
        <w:rPr>
          <w:sz w:val="24"/>
          <w:szCs w:val="24"/>
        </w:rPr>
        <w:t xml:space="preserve"> aux différentes élections législatives. </w:t>
      </w:r>
    </w:p>
    <w:p w14:paraId="0000004C" w14:textId="77777777" w:rsidR="00922088" w:rsidRDefault="00922088">
      <w:pPr>
        <w:spacing w:after="0" w:line="276" w:lineRule="auto"/>
        <w:jc w:val="both"/>
        <w:rPr>
          <w:sz w:val="24"/>
          <w:szCs w:val="24"/>
        </w:rPr>
      </w:pPr>
    </w:p>
    <w:p w14:paraId="0000004D" w14:textId="77777777" w:rsidR="00922088" w:rsidRDefault="00101C6E">
      <w:pPr>
        <w:spacing w:after="0" w:line="276" w:lineRule="auto"/>
        <w:jc w:val="both"/>
        <w:rPr>
          <w:sz w:val="24"/>
          <w:szCs w:val="24"/>
        </w:rPr>
      </w:pPr>
      <w:r>
        <w:rPr>
          <w:sz w:val="24"/>
          <w:szCs w:val="24"/>
        </w:rPr>
        <w:t xml:space="preserve">                Après les turbulences par lesquelles est passée la Tunisie, et avec la nouvelle Constitution de 2022, le pays a c</w:t>
      </w:r>
      <w:r>
        <w:rPr>
          <w:sz w:val="24"/>
          <w:szCs w:val="24"/>
        </w:rPr>
        <w:t xml:space="preserve">onnu une marginalisation de l’action partisane. Tous les partis ont été diabolisés et rejetés. C’est l’un des impacts de la montée du populisme. Toutefois, une séparation entre le « peuple corps civique » structuré dans des partis, des associations et des </w:t>
      </w:r>
      <w:r>
        <w:rPr>
          <w:sz w:val="24"/>
          <w:szCs w:val="24"/>
        </w:rPr>
        <w:t>syndicats, et le « peuple corps social » non structuré, a été creusée. Une « </w:t>
      </w:r>
      <w:r>
        <w:rPr>
          <w:sz w:val="24"/>
          <w:szCs w:val="24"/>
          <w:highlight w:val="white"/>
        </w:rPr>
        <w:t>démocrature</w:t>
      </w:r>
      <w:r>
        <w:rPr>
          <w:color w:val="000000"/>
          <w:sz w:val="24"/>
          <w:szCs w:val="24"/>
          <w:highlight w:val="white"/>
        </w:rPr>
        <w:t xml:space="preserve"> » s’est installée juste après l’avènement du 25 juillet 2021. Il s’agit d’un régime menant la démocratie vers une forme de pouvoir autoritaire. Avec </w:t>
      </w:r>
      <w:r>
        <w:rPr>
          <w:sz w:val="24"/>
          <w:szCs w:val="24"/>
          <w:highlight w:val="white"/>
        </w:rPr>
        <w:t xml:space="preserve">la remise en question des activités de tous les corps intermédiaires (Partis, société civile, municipalités… etc.), la situation est devenue assez floue et troublée. </w:t>
      </w:r>
    </w:p>
    <w:p w14:paraId="0000004E" w14:textId="77777777" w:rsidR="00922088" w:rsidRDefault="00922088">
      <w:pPr>
        <w:spacing w:after="0" w:line="276" w:lineRule="auto"/>
        <w:rPr>
          <w:sz w:val="24"/>
          <w:szCs w:val="24"/>
        </w:rPr>
      </w:pPr>
    </w:p>
    <w:p w14:paraId="0000004F" w14:textId="77777777" w:rsidR="00922088" w:rsidRDefault="00101C6E">
      <w:pPr>
        <w:numPr>
          <w:ilvl w:val="0"/>
          <w:numId w:val="1"/>
        </w:numPr>
        <w:pBdr>
          <w:top w:val="nil"/>
          <w:left w:val="nil"/>
          <w:bottom w:val="nil"/>
          <w:right w:val="nil"/>
          <w:between w:val="nil"/>
        </w:pBdr>
        <w:spacing w:after="0" w:line="276" w:lineRule="auto"/>
        <w:rPr>
          <w:b/>
          <w:i/>
          <w:color w:val="000000"/>
          <w:sz w:val="24"/>
          <w:szCs w:val="24"/>
        </w:rPr>
      </w:pPr>
      <w:r>
        <w:rPr>
          <w:b/>
          <w:i/>
          <w:color w:val="000000"/>
          <w:sz w:val="24"/>
          <w:szCs w:val="24"/>
        </w:rPr>
        <w:t>Les violences politiques</w:t>
      </w:r>
    </w:p>
    <w:p w14:paraId="00000050" w14:textId="77777777" w:rsidR="00922088" w:rsidRDefault="00922088">
      <w:pPr>
        <w:spacing w:after="0" w:line="276" w:lineRule="auto"/>
        <w:rPr>
          <w:b/>
          <w:i/>
          <w:sz w:val="24"/>
          <w:szCs w:val="24"/>
        </w:rPr>
      </w:pPr>
    </w:p>
    <w:p w14:paraId="00000051" w14:textId="77777777" w:rsidR="00922088" w:rsidRDefault="00101C6E">
      <w:pPr>
        <w:shd w:val="clear" w:color="auto" w:fill="FFFFFF"/>
        <w:spacing w:after="280" w:line="276" w:lineRule="auto"/>
        <w:jc w:val="both"/>
        <w:rPr>
          <w:color w:val="FF0000"/>
          <w:sz w:val="24"/>
          <w:szCs w:val="24"/>
        </w:rPr>
      </w:pPr>
      <w:r>
        <w:rPr>
          <w:sz w:val="24"/>
          <w:szCs w:val="24"/>
        </w:rPr>
        <w:t xml:space="preserve">               La loi n°58-2017 contre la violence à l’égard d</w:t>
      </w:r>
      <w:r>
        <w:rPr>
          <w:sz w:val="24"/>
          <w:szCs w:val="24"/>
        </w:rPr>
        <w:t>es femmes représente une avancée réelle, en ce qui concerne son contenu. Elle adopte une définition large de la violence et englobe ses différentes formes. En effet, cette loi reconnaît plusieurs types de violences faites aux femmes notamment physiques, éc</w:t>
      </w:r>
      <w:r>
        <w:rPr>
          <w:sz w:val="24"/>
          <w:szCs w:val="24"/>
        </w:rPr>
        <w:t>onomiques, sexuelles, politiques et psychologiques. Toutes ces formes de violences sont des crimes selon le texte de loi qui prévoit également de nouveaux mécanismes de protection dont l’assistance juridique et psychologique et l’accès aux services nécessa</w:t>
      </w:r>
      <w:r>
        <w:rPr>
          <w:sz w:val="24"/>
          <w:szCs w:val="24"/>
        </w:rPr>
        <w:t xml:space="preserve">ires et à la justice. </w:t>
      </w:r>
    </w:p>
    <w:p w14:paraId="00000052" w14:textId="77777777" w:rsidR="00922088" w:rsidRDefault="00101C6E">
      <w:pPr>
        <w:spacing w:after="0" w:line="276" w:lineRule="auto"/>
        <w:jc w:val="both"/>
        <w:rPr>
          <w:sz w:val="24"/>
          <w:szCs w:val="24"/>
        </w:rPr>
      </w:pPr>
      <w:r>
        <w:rPr>
          <w:color w:val="FF0000"/>
          <w:sz w:val="24"/>
          <w:szCs w:val="24"/>
        </w:rPr>
        <w:t xml:space="preserve">               </w:t>
      </w:r>
      <w:r>
        <w:rPr>
          <w:sz w:val="24"/>
          <w:szCs w:val="24"/>
        </w:rPr>
        <w:t>La promulgation de cette loi  est la consécration des efforts de plaidoyer menés par les féministes et les associations de la société civile depuis plusieurs années. Avant l’adoption de cette loi, le Code du Statut per</w:t>
      </w:r>
      <w:r>
        <w:rPr>
          <w:sz w:val="24"/>
          <w:szCs w:val="24"/>
        </w:rPr>
        <w:t>sonnel de 1956 était la seule législation progressive en son genre. Par exemple, la loi n°58-2017 a ratifié l’article 227 du code pénal relatif à l’abandon des poursuites contre l’auteur d’un acte sexuel avec une mineure au cas où l’agresseur épouse sa vic</w:t>
      </w:r>
      <w:r>
        <w:rPr>
          <w:sz w:val="24"/>
          <w:szCs w:val="24"/>
        </w:rPr>
        <w:t xml:space="preserve">time. En outre, des dispositions ont été adoptées pour éliminer l’impunité des auteurs des actes de violences. </w:t>
      </w:r>
    </w:p>
    <w:p w14:paraId="00000053" w14:textId="77777777" w:rsidR="00922088" w:rsidRDefault="00922088">
      <w:pPr>
        <w:spacing w:after="0" w:line="276" w:lineRule="auto"/>
        <w:jc w:val="both"/>
        <w:rPr>
          <w:sz w:val="24"/>
          <w:szCs w:val="24"/>
        </w:rPr>
      </w:pPr>
    </w:p>
    <w:p w14:paraId="00000054" w14:textId="77777777" w:rsidR="00922088" w:rsidRDefault="00101C6E">
      <w:pPr>
        <w:spacing w:after="0" w:line="276" w:lineRule="auto"/>
        <w:jc w:val="both"/>
        <w:rPr>
          <w:b/>
          <w:i/>
          <w:sz w:val="24"/>
          <w:szCs w:val="24"/>
        </w:rPr>
      </w:pPr>
      <w:bookmarkStart w:id="1" w:name="_heading=h.gjdgxs" w:colFirst="0" w:colLast="0"/>
      <w:bookmarkEnd w:id="1"/>
      <w:r>
        <w:rPr>
          <w:sz w:val="24"/>
          <w:szCs w:val="24"/>
        </w:rPr>
        <w:t xml:space="preserve">                Malgré les efforts déployés en matière de législation, les taux élevés de violences persistent</w:t>
      </w:r>
      <w:r>
        <w:rPr>
          <w:sz w:val="24"/>
          <w:szCs w:val="24"/>
          <w:vertAlign w:val="superscript"/>
        </w:rPr>
        <w:footnoteReference w:id="36"/>
      </w:r>
      <w:r>
        <w:rPr>
          <w:sz w:val="24"/>
          <w:szCs w:val="24"/>
        </w:rPr>
        <w:t xml:space="preserve"> (selon l’enquête nationale réalisée par le CREDIF en 2016, 87,2% des femmes ont </w:t>
      </w:r>
      <w:r>
        <w:rPr>
          <w:sz w:val="24"/>
          <w:szCs w:val="24"/>
        </w:rPr>
        <w:lastRenderedPageBreak/>
        <w:t>été victimes de violences sexuelles, 80,3% de violences physiques et 78% de violences psychologiques)</w:t>
      </w:r>
      <w:r>
        <w:rPr>
          <w:color w:val="FF0000"/>
          <w:sz w:val="24"/>
          <w:szCs w:val="24"/>
        </w:rPr>
        <w:t xml:space="preserve"> </w:t>
      </w:r>
      <w:r>
        <w:rPr>
          <w:sz w:val="24"/>
          <w:szCs w:val="24"/>
        </w:rPr>
        <w:t>, surtout que l’application de cette loi souffre d’insuffisance et de car</w:t>
      </w:r>
      <w:r>
        <w:rPr>
          <w:sz w:val="24"/>
          <w:szCs w:val="24"/>
        </w:rPr>
        <w:t>ence en particulier en matière de prise en charge et de protection. Dans la sphère publique, même les élues n’échappent pas à la discrimination et à la violence</w:t>
      </w:r>
      <w:r>
        <w:rPr>
          <w:sz w:val="24"/>
          <w:szCs w:val="24"/>
          <w:vertAlign w:val="superscript"/>
        </w:rPr>
        <w:footnoteReference w:id="37"/>
      </w:r>
      <w:r>
        <w:rPr>
          <w:sz w:val="24"/>
          <w:szCs w:val="24"/>
        </w:rPr>
        <w:t>. Il n’y a aucune mesure dans le règlement intérieur régissant l’ARP qui protège les députées d</w:t>
      </w:r>
      <w:r>
        <w:rPr>
          <w:sz w:val="24"/>
          <w:szCs w:val="24"/>
        </w:rPr>
        <w:t>es violences politiques. En outre, après l’avènement du 25 juillet, les activistes politiques, les représentes des partis, les féministes-défenseures des droits humains</w:t>
      </w:r>
      <w:r>
        <w:rPr>
          <w:sz w:val="24"/>
          <w:szCs w:val="24"/>
          <w:vertAlign w:val="superscript"/>
        </w:rPr>
        <w:footnoteReference w:id="38"/>
      </w:r>
      <w:r>
        <w:rPr>
          <w:sz w:val="24"/>
          <w:szCs w:val="24"/>
        </w:rPr>
        <w:t xml:space="preserve"> et les journalistes sont exposées aux violences cybernétiques</w:t>
      </w:r>
      <w:r>
        <w:rPr>
          <w:sz w:val="24"/>
          <w:szCs w:val="24"/>
          <w:vertAlign w:val="superscript"/>
        </w:rPr>
        <w:footnoteReference w:id="39"/>
      </w:r>
      <w:r>
        <w:rPr>
          <w:sz w:val="24"/>
          <w:szCs w:val="24"/>
        </w:rPr>
        <w:t>. Ce type de violence ba</w:t>
      </w:r>
      <w:r>
        <w:rPr>
          <w:sz w:val="24"/>
          <w:szCs w:val="24"/>
        </w:rPr>
        <w:t>sée sur le genre se distingue, à la fois, par la démultiplication à cause de la dissémination permise par les technologies, la banalisation et surtout par le fait de l’anonymat conférant aux agresseurs un sentiment d’impunité. Les auteurs de ce type de vio</w:t>
      </w:r>
      <w:r>
        <w:rPr>
          <w:sz w:val="24"/>
          <w:szCs w:val="24"/>
        </w:rPr>
        <w:t xml:space="preserve">lence sont, soit des profils anonymes sur les réseaux sociaux, soit des pages Facebook de grande audience, ou des adversaires politiques. A l’ère du populisme régnant dans le pays, tous les opposant-e-s aux mesures prises par le président de la république </w:t>
      </w:r>
      <w:r>
        <w:rPr>
          <w:sz w:val="24"/>
          <w:szCs w:val="24"/>
        </w:rPr>
        <w:t xml:space="preserve">et tous les critiquant-e-s de la nouvelle constitution sont victimes d’une vague de cyber-violence dans toutes ces formes. </w:t>
      </w:r>
    </w:p>
    <w:p w14:paraId="00000055" w14:textId="77777777" w:rsidR="00922088" w:rsidRDefault="00922088">
      <w:pPr>
        <w:spacing w:after="0" w:line="276" w:lineRule="auto"/>
        <w:ind w:left="720"/>
        <w:rPr>
          <w:sz w:val="24"/>
          <w:szCs w:val="24"/>
        </w:rPr>
      </w:pPr>
    </w:p>
    <w:p w14:paraId="00000056" w14:textId="77777777" w:rsidR="00922088" w:rsidRDefault="00922088">
      <w:pPr>
        <w:spacing w:after="0" w:line="276" w:lineRule="auto"/>
        <w:ind w:left="720"/>
        <w:rPr>
          <w:sz w:val="24"/>
          <w:szCs w:val="24"/>
        </w:rPr>
      </w:pPr>
    </w:p>
    <w:p w14:paraId="00000057" w14:textId="77777777" w:rsidR="00922088" w:rsidRDefault="00101C6E">
      <w:pPr>
        <w:numPr>
          <w:ilvl w:val="0"/>
          <w:numId w:val="1"/>
        </w:numPr>
        <w:pBdr>
          <w:top w:val="nil"/>
          <w:left w:val="nil"/>
          <w:bottom w:val="nil"/>
          <w:right w:val="nil"/>
          <w:between w:val="nil"/>
        </w:pBdr>
        <w:spacing w:line="276" w:lineRule="auto"/>
        <w:jc w:val="both"/>
        <w:rPr>
          <w:b/>
          <w:i/>
          <w:color w:val="000000"/>
          <w:sz w:val="24"/>
          <w:szCs w:val="24"/>
        </w:rPr>
      </w:pPr>
      <w:r>
        <w:rPr>
          <w:b/>
          <w:i/>
          <w:color w:val="000000"/>
          <w:sz w:val="24"/>
          <w:szCs w:val="24"/>
        </w:rPr>
        <w:t>Recommandations</w:t>
      </w:r>
    </w:p>
    <w:p w14:paraId="00000058" w14:textId="77777777" w:rsidR="00922088" w:rsidRDefault="00101C6E">
      <w:pPr>
        <w:spacing w:line="276" w:lineRule="auto"/>
        <w:ind w:right="120" w:firstLine="284"/>
        <w:jc w:val="both"/>
        <w:rPr>
          <w:sz w:val="24"/>
          <w:szCs w:val="24"/>
        </w:rPr>
      </w:pPr>
      <w:r>
        <w:rPr>
          <w:sz w:val="24"/>
          <w:szCs w:val="24"/>
        </w:rPr>
        <w:t>Nos recommandations à l’Etat tunisien sont les suivantes :</w:t>
      </w:r>
    </w:p>
    <w:p w14:paraId="00000059" w14:textId="77777777" w:rsidR="00922088" w:rsidRDefault="00101C6E">
      <w:pPr>
        <w:numPr>
          <w:ilvl w:val="0"/>
          <w:numId w:val="3"/>
        </w:numPr>
        <w:shd w:val="clear" w:color="auto" w:fill="FFFFFF"/>
        <w:spacing w:before="75" w:after="30" w:line="276" w:lineRule="auto"/>
        <w:ind w:left="0" w:firstLine="284"/>
        <w:jc w:val="both"/>
        <w:rPr>
          <w:sz w:val="24"/>
          <w:szCs w:val="24"/>
        </w:rPr>
      </w:pPr>
      <w:r>
        <w:rPr>
          <w:b/>
          <w:i/>
          <w:sz w:val="24"/>
          <w:szCs w:val="24"/>
        </w:rPr>
        <w:t>La révision</w:t>
      </w:r>
      <w:r>
        <w:rPr>
          <w:sz w:val="24"/>
          <w:szCs w:val="24"/>
        </w:rPr>
        <w:t xml:space="preserve"> quasi-totale de la nouvelle constitution et</w:t>
      </w:r>
      <w:r>
        <w:rPr>
          <w:sz w:val="24"/>
          <w:szCs w:val="24"/>
        </w:rPr>
        <w:t xml:space="preserve"> </w:t>
      </w:r>
      <w:r>
        <w:rPr>
          <w:b/>
          <w:i/>
          <w:sz w:val="24"/>
          <w:szCs w:val="24"/>
        </w:rPr>
        <w:t>l’édification de l’Etat de droit</w:t>
      </w:r>
      <w:r>
        <w:rPr>
          <w:sz w:val="24"/>
          <w:szCs w:val="24"/>
        </w:rPr>
        <w:t xml:space="preserve"> et la </w:t>
      </w:r>
      <w:r>
        <w:rPr>
          <w:b/>
          <w:i/>
          <w:sz w:val="24"/>
          <w:szCs w:val="24"/>
        </w:rPr>
        <w:t>consécration du principe de l’égalité</w:t>
      </w:r>
      <w:r>
        <w:rPr>
          <w:sz w:val="24"/>
          <w:szCs w:val="24"/>
        </w:rPr>
        <w:t>.</w:t>
      </w:r>
    </w:p>
    <w:p w14:paraId="0000005A" w14:textId="77777777" w:rsidR="00922088" w:rsidRDefault="00101C6E">
      <w:pPr>
        <w:numPr>
          <w:ilvl w:val="0"/>
          <w:numId w:val="3"/>
        </w:numPr>
        <w:shd w:val="clear" w:color="auto" w:fill="FFFFFF"/>
        <w:spacing w:before="75" w:after="30" w:line="276" w:lineRule="auto"/>
        <w:ind w:left="0" w:firstLine="284"/>
        <w:jc w:val="both"/>
        <w:rPr>
          <w:sz w:val="24"/>
          <w:szCs w:val="24"/>
        </w:rPr>
      </w:pPr>
      <w:r>
        <w:rPr>
          <w:b/>
          <w:i/>
          <w:sz w:val="24"/>
          <w:szCs w:val="24"/>
        </w:rPr>
        <w:t>L’inscription de la parité</w:t>
      </w:r>
      <w:r>
        <w:rPr>
          <w:sz w:val="24"/>
          <w:szCs w:val="24"/>
        </w:rPr>
        <w:t xml:space="preserve"> dans la loi électorale en adoptant un nouveau régime électoral favorisant une meilleure participation des femmes   </w:t>
      </w:r>
    </w:p>
    <w:p w14:paraId="0000005B" w14:textId="77777777" w:rsidR="00922088" w:rsidRDefault="00101C6E">
      <w:pPr>
        <w:numPr>
          <w:ilvl w:val="0"/>
          <w:numId w:val="3"/>
        </w:numPr>
        <w:shd w:val="clear" w:color="auto" w:fill="FFFFFF"/>
        <w:spacing w:before="75" w:after="30" w:line="276" w:lineRule="auto"/>
        <w:ind w:left="0" w:firstLine="284"/>
        <w:jc w:val="both"/>
        <w:rPr>
          <w:sz w:val="24"/>
          <w:szCs w:val="24"/>
        </w:rPr>
      </w:pPr>
      <w:r>
        <w:rPr>
          <w:b/>
          <w:i/>
          <w:sz w:val="24"/>
          <w:szCs w:val="24"/>
        </w:rPr>
        <w:t>L’incrimination du cyber violence</w:t>
      </w:r>
      <w:r>
        <w:rPr>
          <w:sz w:val="24"/>
          <w:szCs w:val="24"/>
        </w:rPr>
        <w:t xml:space="preserve"> </w:t>
      </w:r>
      <w:r>
        <w:rPr>
          <w:b/>
          <w:i/>
          <w:sz w:val="24"/>
          <w:szCs w:val="24"/>
        </w:rPr>
        <w:t>et la promulgation d’une loi</w:t>
      </w:r>
      <w:r>
        <w:rPr>
          <w:sz w:val="24"/>
          <w:szCs w:val="24"/>
        </w:rPr>
        <w:t xml:space="preserve"> contre toutes les formes de violence politique basée sur le genre</w:t>
      </w:r>
    </w:p>
    <w:p w14:paraId="0000005C" w14:textId="77777777" w:rsidR="00922088" w:rsidRDefault="00101C6E">
      <w:pPr>
        <w:numPr>
          <w:ilvl w:val="0"/>
          <w:numId w:val="2"/>
        </w:numPr>
        <w:spacing w:after="0" w:line="276" w:lineRule="auto"/>
        <w:ind w:left="0" w:right="120" w:firstLine="284"/>
        <w:jc w:val="both"/>
        <w:rPr>
          <w:sz w:val="24"/>
          <w:szCs w:val="24"/>
        </w:rPr>
      </w:pPr>
      <w:r>
        <w:rPr>
          <w:b/>
          <w:i/>
          <w:sz w:val="24"/>
          <w:szCs w:val="24"/>
        </w:rPr>
        <w:t xml:space="preserve">L’intégration de l’approche genre dans les politiques de développement, </w:t>
      </w:r>
      <w:r>
        <w:rPr>
          <w:sz w:val="24"/>
          <w:szCs w:val="24"/>
        </w:rPr>
        <w:t>en vue de réaliser les objectifs du millénaire et la résolution 1325.</w:t>
      </w:r>
    </w:p>
    <w:p w14:paraId="0000005D" w14:textId="77777777" w:rsidR="00922088" w:rsidRDefault="00101C6E">
      <w:pPr>
        <w:numPr>
          <w:ilvl w:val="0"/>
          <w:numId w:val="2"/>
        </w:numPr>
        <w:spacing w:after="0" w:line="276" w:lineRule="auto"/>
        <w:ind w:left="0" w:right="120" w:firstLine="284"/>
        <w:jc w:val="both"/>
        <w:rPr>
          <w:sz w:val="24"/>
          <w:szCs w:val="24"/>
        </w:rPr>
      </w:pPr>
      <w:r>
        <w:rPr>
          <w:sz w:val="24"/>
          <w:szCs w:val="24"/>
        </w:rPr>
        <w:t xml:space="preserve"> </w:t>
      </w:r>
      <w:r>
        <w:rPr>
          <w:b/>
          <w:i/>
          <w:sz w:val="24"/>
          <w:szCs w:val="24"/>
        </w:rPr>
        <w:t xml:space="preserve">L’élaboration de mesures </w:t>
      </w:r>
      <w:r>
        <w:rPr>
          <w:i/>
          <w:sz w:val="24"/>
          <w:szCs w:val="24"/>
        </w:rPr>
        <w:t xml:space="preserve">favorisant l’accès des femmes aux postes de prise de décision. </w:t>
      </w:r>
    </w:p>
    <w:p w14:paraId="0000005E" w14:textId="77777777" w:rsidR="00922088" w:rsidRDefault="00101C6E">
      <w:pPr>
        <w:numPr>
          <w:ilvl w:val="0"/>
          <w:numId w:val="3"/>
        </w:numPr>
        <w:shd w:val="clear" w:color="auto" w:fill="FFFFFF"/>
        <w:spacing w:before="75" w:after="30" w:line="276" w:lineRule="auto"/>
        <w:ind w:left="0" w:firstLine="284"/>
        <w:jc w:val="both"/>
        <w:rPr>
          <w:sz w:val="24"/>
          <w:szCs w:val="24"/>
        </w:rPr>
      </w:pPr>
      <w:r>
        <w:rPr>
          <w:b/>
          <w:i/>
          <w:sz w:val="24"/>
          <w:szCs w:val="24"/>
        </w:rPr>
        <w:t>La mise en place d’une stratégie qui intègre le gender mainstreaming</w:t>
      </w:r>
      <w:r>
        <w:rPr>
          <w:sz w:val="24"/>
          <w:szCs w:val="24"/>
        </w:rPr>
        <w:t xml:space="preserve"> en vue de réorganiser, améliorer, développer et évaluer les processus de prise de décision, afin </w:t>
      </w:r>
      <w:r>
        <w:rPr>
          <w:sz w:val="24"/>
          <w:szCs w:val="24"/>
        </w:rPr>
        <w:lastRenderedPageBreak/>
        <w:t>d</w:t>
      </w:r>
      <w:r>
        <w:rPr>
          <w:sz w:val="24"/>
          <w:szCs w:val="24"/>
        </w:rPr>
        <w:t>’incorporer la perspective de l’égalité entre les femmes et les hommes dans tous les domaines de la vie publique et politique</w:t>
      </w:r>
    </w:p>
    <w:p w14:paraId="0000005F" w14:textId="77777777" w:rsidR="00922088" w:rsidRDefault="00101C6E">
      <w:pPr>
        <w:numPr>
          <w:ilvl w:val="0"/>
          <w:numId w:val="2"/>
        </w:numPr>
        <w:spacing w:after="0" w:line="276" w:lineRule="auto"/>
        <w:ind w:left="0" w:right="120" w:firstLine="284"/>
        <w:jc w:val="both"/>
        <w:rPr>
          <w:sz w:val="24"/>
          <w:szCs w:val="24"/>
        </w:rPr>
      </w:pPr>
      <w:r>
        <w:rPr>
          <w:b/>
          <w:i/>
          <w:sz w:val="24"/>
          <w:szCs w:val="24"/>
        </w:rPr>
        <w:t>la mise en place de structures gouvernementales</w:t>
      </w:r>
      <w:r>
        <w:rPr>
          <w:sz w:val="24"/>
          <w:szCs w:val="24"/>
        </w:rPr>
        <w:t xml:space="preserve"> destinées à la prise en charge des victimes des violences, et à la protection des femmes actives dans la vie politique  </w:t>
      </w:r>
    </w:p>
    <w:p w14:paraId="00000060" w14:textId="77777777" w:rsidR="00922088" w:rsidRDefault="00101C6E">
      <w:pPr>
        <w:numPr>
          <w:ilvl w:val="0"/>
          <w:numId w:val="2"/>
        </w:numPr>
        <w:spacing w:after="0" w:line="276" w:lineRule="auto"/>
        <w:ind w:left="0" w:right="120" w:firstLine="284"/>
        <w:jc w:val="both"/>
        <w:rPr>
          <w:sz w:val="24"/>
          <w:szCs w:val="24"/>
        </w:rPr>
      </w:pPr>
      <w:r>
        <w:rPr>
          <w:b/>
          <w:i/>
          <w:sz w:val="24"/>
          <w:szCs w:val="24"/>
        </w:rPr>
        <w:t>L’intensification de l’Information et de la sensibilisation</w:t>
      </w:r>
      <w:r>
        <w:rPr>
          <w:sz w:val="24"/>
          <w:szCs w:val="24"/>
        </w:rPr>
        <w:t xml:space="preserve"> sur l’impact des violences faites aux femmes y compris la violence dans la</w:t>
      </w:r>
      <w:r>
        <w:rPr>
          <w:sz w:val="24"/>
          <w:szCs w:val="24"/>
        </w:rPr>
        <w:t xml:space="preserve"> sphère publique et politique.</w:t>
      </w:r>
    </w:p>
    <w:sectPr w:rsidR="00922088">
      <w:footerReference w:type="default" r:id="rId8"/>
      <w:pgSz w:w="11906" w:h="16838"/>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050DF3" w14:textId="77777777" w:rsidR="00101C6E" w:rsidRDefault="00101C6E">
      <w:pPr>
        <w:spacing w:after="0" w:line="240" w:lineRule="auto"/>
      </w:pPr>
      <w:r>
        <w:separator/>
      </w:r>
    </w:p>
  </w:endnote>
  <w:endnote w:type="continuationSeparator" w:id="0">
    <w:p w14:paraId="7FA83033" w14:textId="77777777" w:rsidR="00101C6E" w:rsidRDefault="00101C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89" w14:textId="45DD9141" w:rsidR="00922088" w:rsidRDefault="00101C6E">
    <w:pPr>
      <w:pBdr>
        <w:top w:val="nil"/>
        <w:left w:val="nil"/>
        <w:bottom w:val="nil"/>
        <w:right w:val="nil"/>
        <w:between w:val="nil"/>
      </w:pBdr>
      <w:tabs>
        <w:tab w:val="center" w:pos="4536"/>
        <w:tab w:val="right" w:pos="9072"/>
      </w:tabs>
      <w:spacing w:after="0" w:line="240" w:lineRule="auto"/>
      <w:jc w:val="right"/>
      <w:rPr>
        <w:color w:val="000000"/>
      </w:rPr>
    </w:pPr>
    <w:r>
      <w:fldChar w:fldCharType="begin"/>
    </w:r>
    <w:r>
      <w:instrText>PAGE</w:instrText>
    </w:r>
    <w:r w:rsidR="005B3A88">
      <w:fldChar w:fldCharType="separate"/>
    </w:r>
    <w:r w:rsidR="005B3A8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1CEBD5" w14:textId="77777777" w:rsidR="00101C6E" w:rsidRDefault="00101C6E">
      <w:pPr>
        <w:spacing w:after="0" w:line="240" w:lineRule="auto"/>
      </w:pPr>
      <w:r>
        <w:separator/>
      </w:r>
    </w:p>
  </w:footnote>
  <w:footnote w:type="continuationSeparator" w:id="0">
    <w:p w14:paraId="251178BF" w14:textId="77777777" w:rsidR="00101C6E" w:rsidRDefault="00101C6E">
      <w:pPr>
        <w:spacing w:after="0" w:line="240" w:lineRule="auto"/>
      </w:pPr>
      <w:r>
        <w:continuationSeparator/>
      </w:r>
    </w:p>
  </w:footnote>
  <w:footnote w:id="1">
    <w:p w14:paraId="00000061" w14:textId="77777777" w:rsidR="00922088" w:rsidRDefault="00101C6E">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En se basant sur l’article 80, le président Saied avait décrété l’état d’exception le 25 juillet 2021 en déclarant un péril imminent.</w:t>
      </w:r>
    </w:p>
  </w:footnote>
  <w:footnote w:id="2">
    <w:p w14:paraId="00000062" w14:textId="77777777" w:rsidR="00922088" w:rsidRDefault="00101C6E">
      <w:pPr>
        <w:pBdr>
          <w:top w:val="nil"/>
          <w:left w:val="nil"/>
          <w:bottom w:val="nil"/>
          <w:right w:val="nil"/>
          <w:between w:val="nil"/>
        </w:pBdr>
        <w:shd w:val="clear" w:color="auto" w:fill="FFFFFF"/>
        <w:spacing w:after="0" w:line="240" w:lineRule="auto"/>
        <w:jc w:val="both"/>
        <w:rPr>
          <w:color w:val="000000"/>
          <w:sz w:val="20"/>
          <w:szCs w:val="20"/>
        </w:rPr>
      </w:pPr>
      <w:r>
        <w:rPr>
          <w:vertAlign w:val="superscript"/>
        </w:rPr>
        <w:footnoteRef/>
      </w:r>
      <w:r>
        <w:rPr>
          <w:rFonts w:ascii="Times New Roman" w:eastAsia="Times New Roman" w:hAnsi="Times New Roman" w:cs="Times New Roman"/>
          <w:color w:val="000000"/>
          <w:sz w:val="24"/>
          <w:szCs w:val="24"/>
        </w:rPr>
        <w:t xml:space="preserve"> </w:t>
      </w:r>
      <w:r>
        <w:rPr>
          <w:color w:val="000000"/>
          <w:sz w:val="20"/>
          <w:szCs w:val="20"/>
        </w:rPr>
        <w:t>Sa création en 2016 avait été qualifiée d’avancée majeure dans la consolidation de l’état de droit, la séparation des pouvoirs et l’indépendance du pouvoir judiciaire en Tunisie.</w:t>
      </w:r>
    </w:p>
  </w:footnote>
  <w:footnote w:id="3">
    <w:p w14:paraId="00000063" w14:textId="77777777" w:rsidR="00922088" w:rsidRDefault="00101C6E">
      <w:pPr>
        <w:pBdr>
          <w:top w:val="nil"/>
          <w:left w:val="nil"/>
          <w:bottom w:val="nil"/>
          <w:right w:val="nil"/>
          <w:between w:val="nil"/>
        </w:pBdr>
        <w:shd w:val="clear" w:color="auto" w:fill="FFFFFF"/>
        <w:spacing w:after="0" w:line="240" w:lineRule="auto"/>
        <w:jc w:val="both"/>
        <w:rPr>
          <w:color w:val="000000"/>
          <w:sz w:val="20"/>
          <w:szCs w:val="20"/>
        </w:rPr>
      </w:pPr>
      <w:r>
        <w:rPr>
          <w:vertAlign w:val="superscript"/>
        </w:rPr>
        <w:footnoteRef/>
      </w:r>
      <w:r>
        <w:rPr>
          <w:rFonts w:ascii="Times New Roman" w:eastAsia="Times New Roman" w:hAnsi="Times New Roman" w:cs="Times New Roman"/>
          <w:color w:val="000000"/>
          <w:sz w:val="24"/>
          <w:szCs w:val="24"/>
        </w:rPr>
        <w:t xml:space="preserve"> </w:t>
      </w:r>
      <w:r>
        <w:rPr>
          <w:color w:val="000000"/>
          <w:sz w:val="20"/>
          <w:szCs w:val="20"/>
        </w:rPr>
        <w:t>Il s’agit d’un dialogue entre ceux et celles qui avaient appuyé les décisio</w:t>
      </w:r>
      <w:r>
        <w:rPr>
          <w:color w:val="000000"/>
          <w:sz w:val="20"/>
          <w:szCs w:val="20"/>
        </w:rPr>
        <w:t>ns du président.</w:t>
      </w:r>
    </w:p>
  </w:footnote>
  <w:footnote w:id="4">
    <w:p w14:paraId="00000064" w14:textId="77777777" w:rsidR="00922088" w:rsidRDefault="00101C6E">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Le central syndical qui a toujours joué un rôle national surtout durant les crises politiques et socio-économiques</w:t>
      </w:r>
    </w:p>
  </w:footnote>
  <w:footnote w:id="5">
    <w:p w14:paraId="00000065" w14:textId="77777777" w:rsidR="00922088" w:rsidRDefault="00101C6E">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L’article 55 dans la Constitution de 2022 a remplacé l’article 49 de la Constitution de 2014.</w:t>
      </w:r>
    </w:p>
  </w:footnote>
  <w:footnote w:id="6">
    <w:p w14:paraId="00000066" w14:textId="77777777" w:rsidR="00922088" w:rsidRDefault="00101C6E">
      <w:pPr>
        <w:pBdr>
          <w:top w:val="nil"/>
          <w:left w:val="nil"/>
          <w:bottom w:val="nil"/>
          <w:right w:val="nil"/>
          <w:between w:val="nil"/>
        </w:pBdr>
        <w:shd w:val="clear" w:color="auto" w:fill="FFFFFF"/>
        <w:spacing w:after="150" w:line="240" w:lineRule="auto"/>
        <w:jc w:val="both"/>
        <w:rPr>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color w:val="000000"/>
          <w:sz w:val="20"/>
          <w:szCs w:val="20"/>
        </w:rPr>
        <w:t>L’article n°1 a été équilibré en 2014 par l’article n°2, affirmant le caractère civil de l’Etat, dont la citoyenneté, la volonté du peuple et la primauté du droit constituent le fondement. Mais, ceci a été supprimé dans la nouvelle Constitution.</w:t>
      </w:r>
    </w:p>
  </w:footnote>
  <w:footnote w:id="7">
    <w:p w14:paraId="00000067" w14:textId="77777777" w:rsidR="00922088" w:rsidRDefault="00101C6E">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color w:val="3A3A3A"/>
          <w:sz w:val="20"/>
          <w:szCs w:val="20"/>
        </w:rPr>
        <w:t>Selon l’article 110, Le président bénéficie d’une immunité fonctionnelle et pénale.</w:t>
      </w:r>
    </w:p>
  </w:footnote>
  <w:footnote w:id="8">
    <w:p w14:paraId="00000068" w14:textId="77777777" w:rsidR="00922088" w:rsidRDefault="00101C6E">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Suppression de la responsabilité du président devant le parlement qui existait dans la constitution de 2014.</w:t>
      </w:r>
    </w:p>
  </w:footnote>
  <w:footnote w:id="9">
    <w:p w14:paraId="00000069" w14:textId="77777777" w:rsidR="00922088" w:rsidRDefault="00101C6E">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color w:val="222222"/>
          <w:sz w:val="20"/>
          <w:szCs w:val="20"/>
          <w:highlight w:val="white"/>
        </w:rPr>
        <w:t>La Cour constitutionnelle n’existait pas encore et sa compo</w:t>
      </w:r>
      <w:r>
        <w:rPr>
          <w:color w:val="222222"/>
          <w:sz w:val="20"/>
          <w:szCs w:val="20"/>
          <w:highlight w:val="white"/>
        </w:rPr>
        <w:t>sition et la nomination de ses membres ont connu une révision quasi-totale dans la constitution de 2022..</w:t>
      </w:r>
    </w:p>
  </w:footnote>
  <w:footnote w:id="10">
    <w:p w14:paraId="0000006A" w14:textId="77777777" w:rsidR="00922088" w:rsidRDefault="00101C6E">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Art.100</w:t>
      </w:r>
    </w:p>
  </w:footnote>
  <w:footnote w:id="11">
    <w:p w14:paraId="0000006B" w14:textId="77777777" w:rsidR="00922088" w:rsidRDefault="00101C6E">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color w:val="3A3A3A"/>
          <w:sz w:val="20"/>
          <w:szCs w:val="20"/>
        </w:rPr>
        <w:t>Ce corps a connu purge avec le limogeage de 57 magistrats le 1</w:t>
      </w:r>
      <w:r>
        <w:rPr>
          <w:color w:val="3A3A3A"/>
          <w:sz w:val="20"/>
          <w:szCs w:val="20"/>
          <w:vertAlign w:val="superscript"/>
        </w:rPr>
        <w:t>er</w:t>
      </w:r>
      <w:r>
        <w:rPr>
          <w:color w:val="3A3A3A"/>
          <w:sz w:val="20"/>
          <w:szCs w:val="20"/>
        </w:rPr>
        <w:t xml:space="preserve"> juin 2022.</w:t>
      </w:r>
    </w:p>
  </w:footnote>
  <w:footnote w:id="12">
    <w:p w14:paraId="0000006C" w14:textId="77777777" w:rsidR="00922088" w:rsidRDefault="00101C6E">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La Constitution de 2022 a supprimé les instances indépendante</w:t>
      </w:r>
      <w:r>
        <w:rPr>
          <w:color w:val="000000"/>
          <w:sz w:val="20"/>
          <w:szCs w:val="20"/>
        </w:rPr>
        <w:t xml:space="preserve">s et des institutions constitutionnelles mentionnées dans la Constitution de 2014. </w:t>
      </w:r>
    </w:p>
  </w:footnote>
  <w:footnote w:id="13">
    <w:p w14:paraId="0000006D" w14:textId="77777777" w:rsidR="00922088" w:rsidRDefault="00101C6E">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Le décret a été publié dans le Journal Officiel le 22 avril 2022.</w:t>
      </w:r>
    </w:p>
  </w:footnote>
  <w:footnote w:id="14">
    <w:p w14:paraId="0000006E" w14:textId="77777777" w:rsidR="00922088" w:rsidRDefault="00101C6E">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Discours du président Kais Saied du 13 août 2020, page officielle de la présidence.</w:t>
      </w:r>
    </w:p>
  </w:footnote>
  <w:footnote w:id="15">
    <w:p w14:paraId="0000006F" w14:textId="77777777" w:rsidR="00922088" w:rsidRDefault="00101C6E">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Article 51 de la</w:t>
      </w:r>
      <w:r>
        <w:rPr>
          <w:color w:val="000000"/>
          <w:sz w:val="20"/>
          <w:szCs w:val="20"/>
        </w:rPr>
        <w:t xml:space="preserve"> Constitution 2022</w:t>
      </w:r>
    </w:p>
  </w:footnote>
  <w:footnote w:id="16">
    <w:p w14:paraId="00000070" w14:textId="77777777" w:rsidR="00922088" w:rsidRDefault="00101C6E">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Voir, l’enregistrement de la table ronde,</w:t>
      </w:r>
      <w:r>
        <w:rPr>
          <w:rFonts w:ascii="Arial" w:eastAsia="Arial" w:hAnsi="Arial" w:cs="Arial"/>
          <w:color w:val="000000"/>
          <w:sz w:val="27"/>
          <w:szCs w:val="27"/>
          <w:highlight w:val="white"/>
        </w:rPr>
        <w:t xml:space="preserve"> </w:t>
      </w:r>
      <w:r>
        <w:rPr>
          <w:color w:val="000000"/>
          <w:sz w:val="20"/>
          <w:szCs w:val="20"/>
          <w:highlight w:val="white"/>
        </w:rPr>
        <w:t>organisée par l’Association tunisienne de droit constitutionnel (ATDC), intitulée </w:t>
      </w:r>
      <w:r>
        <w:rPr>
          <w:i/>
          <w:color w:val="000000"/>
          <w:sz w:val="20"/>
          <w:szCs w:val="20"/>
          <w:highlight w:val="white"/>
        </w:rPr>
        <w:t>«</w:t>
      </w:r>
      <w:r>
        <w:rPr>
          <w:color w:val="000000"/>
          <w:sz w:val="20"/>
          <w:szCs w:val="20"/>
          <w:highlight w:val="white"/>
        </w:rPr>
        <w:t>Lecture du décret-loi n° 55 de 2022 portant modification de la loi organique relative aux élections et au référendum», le 17</w:t>
      </w:r>
      <w:r>
        <w:rPr>
          <w:i/>
          <w:color w:val="000000"/>
          <w:sz w:val="20"/>
          <w:szCs w:val="20"/>
          <w:highlight w:val="white"/>
        </w:rPr>
        <w:t xml:space="preserve"> </w:t>
      </w:r>
      <w:r>
        <w:rPr>
          <w:color w:val="000000"/>
          <w:sz w:val="20"/>
          <w:szCs w:val="20"/>
          <w:highlight w:val="white"/>
        </w:rPr>
        <w:t>septembre 2022, reliée par le journal KAPITALIS le 18 septembre.</w:t>
      </w:r>
    </w:p>
  </w:footnote>
  <w:footnote w:id="17">
    <w:p w14:paraId="00000071" w14:textId="77777777" w:rsidR="00922088" w:rsidRDefault="00101C6E">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Article n°51 de la Constitution de 2022.</w:t>
      </w:r>
    </w:p>
  </w:footnote>
  <w:footnote w:id="18">
    <w:p w14:paraId="00000072" w14:textId="77777777" w:rsidR="00922088" w:rsidRDefault="00101C6E">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Voir, l’interview de </w:t>
      </w:r>
      <w:r>
        <w:rPr>
          <w:color w:val="000000"/>
          <w:sz w:val="20"/>
          <w:szCs w:val="20"/>
        </w:rPr>
        <w:t>Kaies Saied au journal Echourouk, paru le 13 avril 2011.</w:t>
      </w:r>
    </w:p>
  </w:footnote>
  <w:footnote w:id="19">
    <w:p w14:paraId="00000073" w14:textId="77777777" w:rsidR="00922088" w:rsidRDefault="00101C6E">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Statistiques </w:t>
      </w:r>
      <w:r>
        <w:rPr>
          <w:sz w:val="20"/>
          <w:szCs w:val="20"/>
        </w:rPr>
        <w:t>fournies</w:t>
      </w:r>
      <w:r>
        <w:rPr>
          <w:color w:val="000000"/>
          <w:sz w:val="20"/>
          <w:szCs w:val="20"/>
        </w:rPr>
        <w:t xml:space="preserve"> par l’ISIE, Novembre 2014.</w:t>
      </w:r>
    </w:p>
  </w:footnote>
  <w:footnote w:id="20">
    <w:p w14:paraId="00000074" w14:textId="77777777" w:rsidR="00922088" w:rsidRDefault="00101C6E">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Source : Assemblée des Représentants du Peuple</w:t>
      </w:r>
    </w:p>
  </w:footnote>
  <w:footnote w:id="21">
    <w:p w14:paraId="00000075" w14:textId="77777777" w:rsidR="00922088" w:rsidRDefault="00101C6E">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L’espoir pour une meilleure participation des femmes aux structures élus a été bloqué par la supp</w:t>
      </w:r>
      <w:r>
        <w:rPr>
          <w:color w:val="000000"/>
          <w:sz w:val="20"/>
          <w:szCs w:val="20"/>
        </w:rPr>
        <w:t>ression totale de la parité avec l’adoption du régime électoral uninominal exigé par le président de la République.</w:t>
      </w:r>
    </w:p>
  </w:footnote>
  <w:footnote w:id="22">
    <w:p w14:paraId="00000076" w14:textId="77777777" w:rsidR="00922088" w:rsidRDefault="00101C6E">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Source : Instance Supérieur Indépendante des Elections (ISIE).  </w:t>
      </w:r>
    </w:p>
  </w:footnote>
  <w:footnote w:id="23">
    <w:p w14:paraId="00000077" w14:textId="77777777" w:rsidR="00922088" w:rsidRDefault="00101C6E">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Le deuxième tour des législatives a été programmé pour le 27 janvier 20</w:t>
      </w:r>
      <w:r>
        <w:rPr>
          <w:color w:val="000000"/>
          <w:sz w:val="20"/>
          <w:szCs w:val="20"/>
        </w:rPr>
        <w:t xml:space="preserve">23. Quant aux résultats finaux seront proclamés le 3 mars 2023. </w:t>
      </w:r>
    </w:p>
  </w:footnote>
  <w:footnote w:id="24">
    <w:p w14:paraId="00000078" w14:textId="77777777" w:rsidR="00922088" w:rsidRDefault="00101C6E">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Le nombre total des circonscriptions est de l’ordre de 161, dont 07 n’ont pas présenté des candidats.</w:t>
      </w:r>
    </w:p>
  </w:footnote>
  <w:footnote w:id="25">
    <w:p w14:paraId="00000079" w14:textId="77777777" w:rsidR="00922088" w:rsidRDefault="00101C6E">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Deux femmes candidates dans la circonscription de Béja Nord et deux autres dans la ci</w:t>
      </w:r>
      <w:r>
        <w:rPr>
          <w:color w:val="000000"/>
          <w:sz w:val="20"/>
          <w:szCs w:val="20"/>
        </w:rPr>
        <w:t>rconscription de Menzel Bourguiba-Bizerte</w:t>
      </w:r>
    </w:p>
  </w:footnote>
  <w:footnote w:id="26">
    <w:p w14:paraId="0000007A" w14:textId="77777777" w:rsidR="00922088" w:rsidRDefault="00101C6E">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Ce taux a été actualisé par l’ISIE le 19 décembre 2022. Et il est passé à 11.22%.</w:t>
      </w:r>
    </w:p>
  </w:footnote>
  <w:footnote w:id="27">
    <w:p w14:paraId="0000007B" w14:textId="77777777" w:rsidR="00922088" w:rsidRDefault="00101C6E">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Source : ISIE, lors de la diffusion en directe des résultats par l’ISIE sur la télévision nationale 1 le 17 décembre 2022.</w:t>
      </w:r>
    </w:p>
  </w:footnote>
  <w:footnote w:id="28">
    <w:p w14:paraId="0000007C" w14:textId="77777777" w:rsidR="00922088" w:rsidRDefault="00101C6E">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Les</w:t>
      </w:r>
      <w:r>
        <w:rPr>
          <w:color w:val="000000"/>
          <w:sz w:val="20"/>
          <w:szCs w:val="20"/>
        </w:rPr>
        <w:t xml:space="preserve"> élections municipales ont été tenues le 06 mai 2018.</w:t>
      </w:r>
    </w:p>
  </w:footnote>
  <w:footnote w:id="29">
    <w:p w14:paraId="0000007D" w14:textId="77777777" w:rsidR="00922088" w:rsidRDefault="00101C6E">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Statistiques de l’ISIE</w:t>
      </w:r>
    </w:p>
  </w:footnote>
  <w:footnote w:id="30">
    <w:p w14:paraId="0000007E" w14:textId="77777777" w:rsidR="00922088" w:rsidRDefault="00101C6E">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A titre d’exemple, la Tunisie a ratifié, en mai 2007, la Convention (n°135) de l’OIT concernant les représentants des travailleurs, 1971. Plusieurs amendements ont été apporté</w:t>
      </w:r>
      <w:r>
        <w:rPr>
          <w:color w:val="000000"/>
          <w:sz w:val="20"/>
          <w:szCs w:val="20"/>
        </w:rPr>
        <w:t>s au Code du travail (sections 165, 166 et une nouvelle section 166 bis) en vue de le rendre conforme à la Convention</w:t>
      </w:r>
    </w:p>
  </w:footnote>
  <w:footnote w:id="31">
    <w:p w14:paraId="0000007F" w14:textId="77777777" w:rsidR="00922088" w:rsidRDefault="00101C6E">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Statistiques Centre de Recherches, d’études, de Documentation et d’Information sur la Femme (CREDIF), dernière actualisation des données</w:t>
      </w:r>
      <w:r>
        <w:rPr>
          <w:color w:val="000000"/>
          <w:sz w:val="20"/>
          <w:szCs w:val="20"/>
        </w:rPr>
        <w:t xml:space="preserve"> décembre 2017.</w:t>
      </w:r>
    </w:p>
  </w:footnote>
  <w:footnote w:id="32">
    <w:p w14:paraId="00000080" w14:textId="77777777" w:rsidR="00922088" w:rsidRDefault="00101C6E">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Liste actualisée le 26-04-2022.</w:t>
      </w:r>
    </w:p>
  </w:footnote>
  <w:footnote w:id="33">
    <w:p w14:paraId="00000081" w14:textId="77777777" w:rsidR="00922088" w:rsidRDefault="00101C6E">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C’est </w:t>
      </w:r>
      <w:r>
        <w:rPr>
          <w:color w:val="000000"/>
          <w:sz w:val="20"/>
          <w:szCs w:val="20"/>
          <w:highlight w:val="white"/>
        </w:rPr>
        <w:t>le premier gouvernement tunisien, depuis l’indépendance, présidé par une femme.</w:t>
      </w:r>
    </w:p>
  </w:footnote>
  <w:footnote w:id="34">
    <w:p w14:paraId="00000082" w14:textId="77777777" w:rsidR="00922088" w:rsidRDefault="00101C6E">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Les femmes dans les partis politiques, Editions du CREDIF, 2017, p 33. </w:t>
      </w:r>
    </w:p>
  </w:footnote>
  <w:footnote w:id="35">
    <w:p w14:paraId="00000083" w14:textId="77777777" w:rsidR="00922088" w:rsidRDefault="00101C6E">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A titre d’exemple, 7% des femmes têtes de listes en 2011 et 11% en 2014.</w:t>
      </w:r>
    </w:p>
  </w:footnote>
  <w:footnote w:id="36">
    <w:p w14:paraId="0000008A" w14:textId="77777777" w:rsidR="00922088" w:rsidRDefault="00101C6E">
      <w:pPr>
        <w:spacing w:after="0" w:line="240" w:lineRule="auto"/>
        <w:rPr>
          <w:sz w:val="20"/>
          <w:szCs w:val="20"/>
        </w:rPr>
      </w:pPr>
      <w:r>
        <w:rPr>
          <w:vertAlign w:val="superscript"/>
        </w:rPr>
        <w:footnoteRef/>
      </w:r>
      <w:r>
        <w:rPr>
          <w:sz w:val="20"/>
          <w:szCs w:val="20"/>
        </w:rPr>
        <w:t xml:space="preserve"> Enquête nationale du  CREDIF sur les violences dans l’espace public auprès de  3873 femmes de 18 à 64 ans.</w:t>
      </w:r>
    </w:p>
  </w:footnote>
  <w:footnote w:id="37">
    <w:p w14:paraId="00000084" w14:textId="77777777" w:rsidR="00922088" w:rsidRDefault="00101C6E">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A titre d’exemple, la députée A.M et deux de ses collègues élues du même parti, en plus de la députée S.A ont subi des violences sexistes répétitives au sein du parlement (2019).</w:t>
      </w:r>
    </w:p>
    <w:p w14:paraId="00000085" w14:textId="77777777" w:rsidR="00922088" w:rsidRDefault="00922088">
      <w:pPr>
        <w:pBdr>
          <w:top w:val="nil"/>
          <w:left w:val="nil"/>
          <w:bottom w:val="nil"/>
          <w:right w:val="nil"/>
          <w:between w:val="nil"/>
        </w:pBdr>
        <w:spacing w:after="0" w:line="240" w:lineRule="auto"/>
        <w:rPr>
          <w:color w:val="000000"/>
          <w:sz w:val="20"/>
          <w:szCs w:val="20"/>
        </w:rPr>
      </w:pPr>
    </w:p>
  </w:footnote>
  <w:footnote w:id="38">
    <w:p w14:paraId="00000086" w14:textId="77777777" w:rsidR="00922088" w:rsidRDefault="00101C6E">
      <w:pPr>
        <w:pBdr>
          <w:top w:val="nil"/>
          <w:left w:val="nil"/>
          <w:bottom w:val="nil"/>
          <w:right w:val="nil"/>
          <w:between w:val="nil"/>
        </w:pBdr>
        <w:spacing w:after="0" w:line="240" w:lineRule="auto"/>
        <w:jc w:val="both"/>
        <w:rPr>
          <w:color w:val="000000"/>
          <w:sz w:val="20"/>
          <w:szCs w:val="20"/>
        </w:rPr>
      </w:pPr>
      <w:bookmarkStart w:id="2" w:name="_heading=h.30j0zll" w:colFirst="0" w:colLast="0"/>
      <w:bookmarkEnd w:id="2"/>
      <w:r>
        <w:rPr>
          <w:vertAlign w:val="superscript"/>
        </w:rPr>
        <w:footnoteRef/>
      </w:r>
      <w:r>
        <w:rPr>
          <w:color w:val="000000"/>
          <w:sz w:val="20"/>
          <w:szCs w:val="20"/>
        </w:rPr>
        <w:t xml:space="preserve"> A titre d’exemple, S</w:t>
      </w:r>
      <w:r>
        <w:rPr>
          <w:sz w:val="20"/>
          <w:szCs w:val="20"/>
        </w:rPr>
        <w:t>.</w:t>
      </w:r>
      <w:r>
        <w:rPr>
          <w:color w:val="000000"/>
          <w:sz w:val="20"/>
          <w:szCs w:val="20"/>
        </w:rPr>
        <w:t>B</w:t>
      </w:r>
      <w:r>
        <w:rPr>
          <w:sz w:val="20"/>
          <w:szCs w:val="20"/>
        </w:rPr>
        <w:t>.</w:t>
      </w:r>
      <w:r>
        <w:rPr>
          <w:color w:val="000000"/>
          <w:sz w:val="20"/>
          <w:szCs w:val="20"/>
        </w:rPr>
        <w:t>A, S</w:t>
      </w:r>
      <w:r>
        <w:rPr>
          <w:sz w:val="20"/>
          <w:szCs w:val="20"/>
        </w:rPr>
        <w:t>.</w:t>
      </w:r>
      <w:r>
        <w:rPr>
          <w:color w:val="000000"/>
          <w:sz w:val="20"/>
          <w:szCs w:val="20"/>
        </w:rPr>
        <w:t>M, S</w:t>
      </w:r>
      <w:r>
        <w:rPr>
          <w:sz w:val="20"/>
          <w:szCs w:val="20"/>
        </w:rPr>
        <w:t>.B.</w:t>
      </w:r>
      <w:r>
        <w:rPr>
          <w:color w:val="000000"/>
          <w:sz w:val="20"/>
          <w:szCs w:val="20"/>
        </w:rPr>
        <w:t>S, B</w:t>
      </w:r>
      <w:r>
        <w:rPr>
          <w:sz w:val="20"/>
          <w:szCs w:val="20"/>
        </w:rPr>
        <w:t>.</w:t>
      </w:r>
      <w:r>
        <w:rPr>
          <w:color w:val="000000"/>
          <w:sz w:val="20"/>
          <w:szCs w:val="20"/>
        </w:rPr>
        <w:t>B</w:t>
      </w:r>
      <w:r>
        <w:rPr>
          <w:sz w:val="20"/>
          <w:szCs w:val="20"/>
        </w:rPr>
        <w:t>.</w:t>
      </w:r>
      <w:r>
        <w:rPr>
          <w:color w:val="000000"/>
          <w:sz w:val="20"/>
          <w:szCs w:val="20"/>
        </w:rPr>
        <w:t>H et d’autres activistes féministes et associatives ont été victimes d’une vague de cyber violence suite à leurs critiques visant la nouvelle Constitution ou le processus unilatéral déclenché après l’avènement du</w:t>
      </w:r>
      <w:r>
        <w:rPr>
          <w:color w:val="000000"/>
          <w:sz w:val="20"/>
          <w:szCs w:val="20"/>
        </w:rPr>
        <w:t xml:space="preserve"> 25 juillet 2021.</w:t>
      </w:r>
    </w:p>
  </w:footnote>
  <w:footnote w:id="39">
    <w:p w14:paraId="00000087" w14:textId="77777777" w:rsidR="00922088" w:rsidRDefault="00101C6E">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Cf. Violences cybernétiques contre les activistes et féministes, rapport d’étude de l’association Aswat Nissa, novembre 2022.</w:t>
      </w:r>
    </w:p>
    <w:p w14:paraId="00000088" w14:textId="77777777" w:rsidR="00922088" w:rsidRDefault="00922088">
      <w:pPr>
        <w:pBdr>
          <w:top w:val="nil"/>
          <w:left w:val="nil"/>
          <w:bottom w:val="nil"/>
          <w:right w:val="nil"/>
          <w:between w:val="nil"/>
        </w:pBdr>
        <w:spacing w:after="0" w:line="240" w:lineRule="auto"/>
        <w:rPr>
          <w:color w:val="000000"/>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DC4A5F"/>
    <w:multiLevelType w:val="multilevel"/>
    <w:tmpl w:val="B7A0024E"/>
    <w:lvl w:ilvl="0">
      <w:start w:val="1"/>
      <w:numFmt w:val="bullet"/>
      <w:lvlText w:val="o"/>
      <w:lvlJc w:val="left"/>
      <w:pPr>
        <w:ind w:left="1200" w:hanging="360"/>
      </w:pPr>
      <w:rPr>
        <w:rFonts w:ascii="Courier New" w:eastAsia="Courier New" w:hAnsi="Courier New" w:cs="Courier New"/>
      </w:rPr>
    </w:lvl>
    <w:lvl w:ilvl="1">
      <w:start w:val="1"/>
      <w:numFmt w:val="bullet"/>
      <w:lvlText w:val="❑"/>
      <w:lvlJc w:val="center"/>
      <w:pPr>
        <w:ind w:left="1920" w:hanging="360"/>
      </w:pPr>
      <w:rPr>
        <w:rFonts w:ascii="Noto Sans Symbols" w:eastAsia="Noto Sans Symbols" w:hAnsi="Noto Sans Symbols" w:cs="Noto Sans Symbols"/>
        <w:sz w:val="16"/>
        <w:szCs w:val="16"/>
      </w:rPr>
    </w:lvl>
    <w:lvl w:ilvl="2">
      <w:start w:val="1"/>
      <w:numFmt w:val="bullet"/>
      <w:lvlText w:val="▪"/>
      <w:lvlJc w:val="left"/>
      <w:pPr>
        <w:ind w:left="2640" w:hanging="360"/>
      </w:pPr>
      <w:rPr>
        <w:rFonts w:ascii="Noto Sans Symbols" w:eastAsia="Noto Sans Symbols" w:hAnsi="Noto Sans Symbols" w:cs="Noto Sans Symbols"/>
      </w:rPr>
    </w:lvl>
    <w:lvl w:ilvl="3">
      <w:start w:val="1"/>
      <w:numFmt w:val="bullet"/>
      <w:lvlText w:val="●"/>
      <w:lvlJc w:val="left"/>
      <w:pPr>
        <w:ind w:left="3360" w:hanging="360"/>
      </w:pPr>
      <w:rPr>
        <w:rFonts w:ascii="Noto Sans Symbols" w:eastAsia="Noto Sans Symbols" w:hAnsi="Noto Sans Symbols" w:cs="Noto Sans Symbols"/>
      </w:rPr>
    </w:lvl>
    <w:lvl w:ilvl="4">
      <w:start w:val="1"/>
      <w:numFmt w:val="bullet"/>
      <w:lvlText w:val="o"/>
      <w:lvlJc w:val="left"/>
      <w:pPr>
        <w:ind w:left="4080" w:hanging="360"/>
      </w:pPr>
      <w:rPr>
        <w:rFonts w:ascii="Courier New" w:eastAsia="Courier New" w:hAnsi="Courier New" w:cs="Courier New"/>
      </w:rPr>
    </w:lvl>
    <w:lvl w:ilvl="5">
      <w:start w:val="1"/>
      <w:numFmt w:val="bullet"/>
      <w:lvlText w:val="▪"/>
      <w:lvlJc w:val="left"/>
      <w:pPr>
        <w:ind w:left="4800" w:hanging="360"/>
      </w:pPr>
      <w:rPr>
        <w:rFonts w:ascii="Noto Sans Symbols" w:eastAsia="Noto Sans Symbols" w:hAnsi="Noto Sans Symbols" w:cs="Noto Sans Symbols"/>
      </w:rPr>
    </w:lvl>
    <w:lvl w:ilvl="6">
      <w:start w:val="1"/>
      <w:numFmt w:val="bullet"/>
      <w:lvlText w:val="●"/>
      <w:lvlJc w:val="left"/>
      <w:pPr>
        <w:ind w:left="5520" w:hanging="360"/>
      </w:pPr>
      <w:rPr>
        <w:rFonts w:ascii="Noto Sans Symbols" w:eastAsia="Noto Sans Symbols" w:hAnsi="Noto Sans Symbols" w:cs="Noto Sans Symbols"/>
      </w:rPr>
    </w:lvl>
    <w:lvl w:ilvl="7">
      <w:start w:val="1"/>
      <w:numFmt w:val="bullet"/>
      <w:lvlText w:val="o"/>
      <w:lvlJc w:val="left"/>
      <w:pPr>
        <w:ind w:left="6240" w:hanging="360"/>
      </w:pPr>
      <w:rPr>
        <w:rFonts w:ascii="Courier New" w:eastAsia="Courier New" w:hAnsi="Courier New" w:cs="Courier New"/>
      </w:rPr>
    </w:lvl>
    <w:lvl w:ilvl="8">
      <w:start w:val="1"/>
      <w:numFmt w:val="bullet"/>
      <w:lvlText w:val="▪"/>
      <w:lvlJc w:val="left"/>
      <w:pPr>
        <w:ind w:left="6960" w:hanging="360"/>
      </w:pPr>
      <w:rPr>
        <w:rFonts w:ascii="Noto Sans Symbols" w:eastAsia="Noto Sans Symbols" w:hAnsi="Noto Sans Symbols" w:cs="Noto Sans Symbols"/>
      </w:rPr>
    </w:lvl>
  </w:abstractNum>
  <w:abstractNum w:abstractNumId="1" w15:restartNumberingAfterBreak="0">
    <w:nsid w:val="50B32183"/>
    <w:multiLevelType w:val="multilevel"/>
    <w:tmpl w:val="D05AB710"/>
    <w:lvl w:ilvl="0">
      <w:start w:val="1"/>
      <w:numFmt w:val="decimal"/>
      <w:lvlText w:val="%1."/>
      <w:lvlJc w:val="left"/>
      <w:pPr>
        <w:ind w:left="720" w:hanging="360"/>
      </w:pPr>
      <w:rPr>
        <w:b/>
        <w:i/>
      </w:rPr>
    </w:lvl>
    <w:lvl w:ilvl="1">
      <w:start w:val="1"/>
      <w:numFmt w:val="decimal"/>
      <w:lvlText w:val="%1.%2."/>
      <w:lvlJc w:val="left"/>
      <w:pPr>
        <w:ind w:left="1778" w:hanging="360"/>
      </w:pPr>
      <w:rPr>
        <w:b/>
        <w:i/>
      </w:r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 w15:restartNumberingAfterBreak="0">
    <w:nsid w:val="6D1044DF"/>
    <w:multiLevelType w:val="multilevel"/>
    <w:tmpl w:val="D81C62BA"/>
    <w:lvl w:ilvl="0">
      <w:start w:val="1"/>
      <w:numFmt w:val="bullet"/>
      <w:lvlText w:val="o"/>
      <w:lvlJc w:val="left"/>
      <w:pPr>
        <w:ind w:left="720" w:hanging="360"/>
      </w:pPr>
      <w:rPr>
        <w:rFonts w:ascii="Courier New" w:eastAsia="Courier New" w:hAnsi="Courier New" w:cs="Courier New"/>
      </w:rPr>
    </w:lvl>
    <w:lvl w:ilvl="1">
      <w:numFmt w:val="bullet"/>
      <w:lvlText w:val="•"/>
      <w:lvlJc w:val="left"/>
      <w:pPr>
        <w:ind w:left="1515" w:hanging="435"/>
      </w:pPr>
      <w:rPr>
        <w:rFonts w:ascii="Times New Roman" w:eastAsia="Times New Roman" w:hAnsi="Times New Roman" w:cs="Times New Roman"/>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088"/>
    <w:rsid w:val="00101C6E"/>
    <w:rsid w:val="005B3A88"/>
    <w:rsid w:val="0092208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45F3D"/>
  <w15:docId w15:val="{C3953E13-826B-4784-85E4-014482364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C521A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re2">
    <w:name w:val="heading 2"/>
    <w:basedOn w:val="Normal"/>
    <w:link w:val="Titre2Car"/>
    <w:uiPriority w:val="9"/>
    <w:qFormat/>
    <w:rsid w:val="00BA31D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itre3">
    <w:name w:val="heading 3"/>
    <w:basedOn w:val="Normal"/>
    <w:next w:val="Normal"/>
    <w:pPr>
      <w:keepNext/>
      <w:keepLines/>
      <w:spacing w:before="280" w:after="80"/>
      <w:outlineLvl w:val="2"/>
    </w:pPr>
    <w:rPr>
      <w:b/>
      <w:sz w:val="28"/>
      <w:szCs w:val="28"/>
    </w:rPr>
  </w:style>
  <w:style w:type="paragraph" w:styleId="Titre4">
    <w:name w:val="heading 4"/>
    <w:basedOn w:val="Normal"/>
    <w:next w:val="Normal"/>
    <w:pPr>
      <w:keepNext/>
      <w:keepLines/>
      <w:spacing w:before="240" w:after="40"/>
      <w:outlineLvl w:val="3"/>
    </w:pPr>
    <w:rPr>
      <w:b/>
      <w:sz w:val="24"/>
      <w:szCs w:val="24"/>
    </w:rPr>
  </w:style>
  <w:style w:type="paragraph" w:styleId="Titre5">
    <w:name w:val="heading 5"/>
    <w:basedOn w:val="Normal"/>
    <w:next w:val="Normal"/>
    <w:pPr>
      <w:keepNext/>
      <w:keepLines/>
      <w:spacing w:before="220" w:after="40"/>
      <w:outlineLvl w:val="4"/>
    </w:pPr>
    <w:rPr>
      <w:b/>
    </w:rPr>
  </w:style>
  <w:style w:type="paragraph" w:styleId="Titre6">
    <w:name w:val="heading 6"/>
    <w:basedOn w:val="Normal"/>
    <w:next w:val="Normal"/>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tte">
    <w:name w:val="header"/>
    <w:basedOn w:val="Normal"/>
    <w:link w:val="En-tteCar"/>
    <w:uiPriority w:val="99"/>
    <w:unhideWhenUsed/>
    <w:rsid w:val="00ED1FBC"/>
    <w:pPr>
      <w:tabs>
        <w:tab w:val="center" w:pos="4536"/>
        <w:tab w:val="right" w:pos="9072"/>
      </w:tabs>
      <w:spacing w:after="0" w:line="240" w:lineRule="auto"/>
    </w:pPr>
  </w:style>
  <w:style w:type="character" w:customStyle="1" w:styleId="En-tteCar">
    <w:name w:val="En-tête Car"/>
    <w:basedOn w:val="Policepardfaut"/>
    <w:link w:val="En-tte"/>
    <w:uiPriority w:val="99"/>
    <w:rsid w:val="00ED1FBC"/>
  </w:style>
  <w:style w:type="paragraph" w:styleId="Pieddepage">
    <w:name w:val="footer"/>
    <w:basedOn w:val="Normal"/>
    <w:link w:val="PieddepageCar"/>
    <w:uiPriority w:val="99"/>
    <w:unhideWhenUsed/>
    <w:rsid w:val="00ED1FB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ED1FBC"/>
  </w:style>
  <w:style w:type="paragraph" w:styleId="Paragraphedeliste">
    <w:name w:val="List Paragraph"/>
    <w:basedOn w:val="Normal"/>
    <w:uiPriority w:val="34"/>
    <w:qFormat/>
    <w:rsid w:val="00ED1FBC"/>
    <w:pPr>
      <w:ind w:left="720"/>
      <w:contextualSpacing/>
    </w:pPr>
  </w:style>
  <w:style w:type="paragraph" w:styleId="NormalWeb">
    <w:name w:val="Normal (Web)"/>
    <w:basedOn w:val="Normal"/>
    <w:uiPriority w:val="99"/>
    <w:unhideWhenUsed/>
    <w:rsid w:val="00962B78"/>
    <w:pPr>
      <w:spacing w:before="100" w:beforeAutospacing="1" w:after="100" w:afterAutospacing="1" w:line="240" w:lineRule="auto"/>
    </w:pPr>
    <w:rPr>
      <w:rFonts w:ascii="Times New Roman" w:eastAsia="Times New Roman" w:hAnsi="Times New Roman" w:cs="Times New Roman"/>
      <w:sz w:val="24"/>
      <w:szCs w:val="24"/>
    </w:rPr>
  </w:style>
  <w:style w:type="paragraph" w:styleId="Notedebasdepage">
    <w:name w:val="footnote text"/>
    <w:basedOn w:val="Normal"/>
    <w:link w:val="NotedebasdepageCar"/>
    <w:unhideWhenUsed/>
    <w:rsid w:val="00962B78"/>
    <w:pPr>
      <w:spacing w:after="0" w:line="240" w:lineRule="auto"/>
    </w:pPr>
    <w:rPr>
      <w:sz w:val="20"/>
      <w:szCs w:val="20"/>
    </w:rPr>
  </w:style>
  <w:style w:type="character" w:customStyle="1" w:styleId="NotedebasdepageCar">
    <w:name w:val="Note de bas de page Car"/>
    <w:basedOn w:val="Policepardfaut"/>
    <w:link w:val="Notedebasdepage"/>
    <w:rsid w:val="00962B78"/>
    <w:rPr>
      <w:sz w:val="20"/>
      <w:szCs w:val="20"/>
    </w:rPr>
  </w:style>
  <w:style w:type="character" w:styleId="Appelnotedebasdep">
    <w:name w:val="footnote reference"/>
    <w:basedOn w:val="Policepardfaut"/>
    <w:semiHidden/>
    <w:unhideWhenUsed/>
    <w:rsid w:val="00962B78"/>
    <w:rPr>
      <w:vertAlign w:val="superscript"/>
    </w:rPr>
  </w:style>
  <w:style w:type="paragraph" w:customStyle="1" w:styleId="resume">
    <w:name w:val="resume"/>
    <w:basedOn w:val="Normal"/>
    <w:rsid w:val="00D45F0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rticleparagraph">
    <w:name w:val="article__paragraph"/>
    <w:basedOn w:val="Normal"/>
    <w:rsid w:val="00BA31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itre2Car">
    <w:name w:val="Titre 2 Car"/>
    <w:basedOn w:val="Policepardfaut"/>
    <w:link w:val="Titre2"/>
    <w:uiPriority w:val="9"/>
    <w:rsid w:val="00BA31D2"/>
    <w:rPr>
      <w:rFonts w:ascii="Times New Roman" w:eastAsia="Times New Roman" w:hAnsi="Times New Roman" w:cs="Times New Roman"/>
      <w:b/>
      <w:bCs/>
      <w:sz w:val="36"/>
      <w:szCs w:val="36"/>
      <w:lang w:eastAsia="fr-FR"/>
    </w:rPr>
  </w:style>
  <w:style w:type="character" w:styleId="Lienhypertexte">
    <w:name w:val="Hyperlink"/>
    <w:basedOn w:val="Policepardfaut"/>
    <w:uiPriority w:val="99"/>
    <w:semiHidden/>
    <w:unhideWhenUsed/>
    <w:rsid w:val="00BA31D2"/>
    <w:rPr>
      <w:color w:val="0000FF"/>
      <w:u w:val="single"/>
    </w:rPr>
  </w:style>
  <w:style w:type="paragraph" w:customStyle="1" w:styleId="o-self-promotext">
    <w:name w:val="o-self-promo__text"/>
    <w:basedOn w:val="Normal"/>
    <w:rsid w:val="00BA31D2"/>
    <w:pPr>
      <w:spacing w:before="100" w:beforeAutospacing="1" w:after="100" w:afterAutospacing="1" w:line="240" w:lineRule="auto"/>
    </w:pPr>
    <w:rPr>
      <w:rFonts w:ascii="Times New Roman" w:eastAsia="Times New Roman" w:hAnsi="Times New Roman" w:cs="Times New Roman"/>
      <w:sz w:val="24"/>
      <w:szCs w:val="24"/>
    </w:rPr>
  </w:style>
  <w:style w:type="character" w:styleId="lev">
    <w:name w:val="Strong"/>
    <w:basedOn w:val="Policepardfaut"/>
    <w:uiPriority w:val="22"/>
    <w:qFormat/>
    <w:rsid w:val="00BA31D2"/>
    <w:rPr>
      <w:b/>
      <w:bCs/>
    </w:rPr>
  </w:style>
  <w:style w:type="character" w:styleId="Accentuation">
    <w:name w:val="Emphasis"/>
    <w:basedOn w:val="Policepardfaut"/>
    <w:uiPriority w:val="20"/>
    <w:qFormat/>
    <w:rsid w:val="00C521AA"/>
    <w:rPr>
      <w:i/>
      <w:iCs/>
    </w:rPr>
  </w:style>
  <w:style w:type="character" w:customStyle="1" w:styleId="Titre1Car">
    <w:name w:val="Titre 1 Car"/>
    <w:basedOn w:val="Policepardfaut"/>
    <w:link w:val="Titre1"/>
    <w:uiPriority w:val="9"/>
    <w:rsid w:val="00C521AA"/>
    <w:rPr>
      <w:rFonts w:asciiTheme="majorHAnsi" w:eastAsiaTheme="majorEastAsia" w:hAnsiTheme="majorHAnsi" w:cstheme="majorBidi"/>
      <w:color w:val="2E74B5" w:themeColor="accent1" w:themeShade="BF"/>
      <w:sz w:val="32"/>
      <w:szCs w:val="32"/>
    </w:rPr>
  </w:style>
  <w:style w:type="character" w:customStyle="1" w:styleId="date-display-single">
    <w:name w:val="date-display-single"/>
    <w:basedOn w:val="Policepardfaut"/>
    <w:rsid w:val="00C521AA"/>
  </w:style>
  <w:style w:type="character" w:customStyle="1" w:styleId="vjs-control-text">
    <w:name w:val="vjs-control-text"/>
    <w:basedOn w:val="Policepardfaut"/>
    <w:rsid w:val="00C521AA"/>
  </w:style>
  <w:style w:type="table" w:styleId="Grilledutableau">
    <w:name w:val="Table Grid"/>
    <w:basedOn w:val="TableauNormal"/>
    <w:uiPriority w:val="39"/>
    <w:rsid w:val="003E7A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Policepardfaut"/>
    <w:rsid w:val="00C00FDE"/>
  </w:style>
  <w:style w:type="character" w:customStyle="1" w:styleId="gmail-s-rg-t">
    <w:name w:val="gmail-s-rg-t"/>
    <w:basedOn w:val="Policepardfaut"/>
    <w:rsid w:val="00E825F8"/>
  </w:style>
  <w:style w:type="character" w:customStyle="1" w:styleId="tooltip-container">
    <w:name w:val="tooltip-container"/>
    <w:basedOn w:val="Policepardfaut"/>
    <w:rsid w:val="00CA3EFB"/>
  </w:style>
  <w:style w:type="paragraph" w:styleId="Sous-titr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aire">
    <w:name w:val="annotation text"/>
    <w:basedOn w:val="Normal"/>
    <w:link w:val="CommentaireCar"/>
    <w:uiPriority w:val="99"/>
    <w:semiHidden/>
    <w:unhideWhenUsed/>
    <w:pPr>
      <w:spacing w:line="240" w:lineRule="auto"/>
    </w:pPr>
    <w:rPr>
      <w:sz w:val="20"/>
      <w:szCs w:val="20"/>
    </w:rPr>
  </w:style>
  <w:style w:type="character" w:customStyle="1" w:styleId="CommentaireCar">
    <w:name w:val="Commentaire Car"/>
    <w:basedOn w:val="Policepardfaut"/>
    <w:link w:val="Commentaire"/>
    <w:uiPriority w:val="99"/>
    <w:semiHidden/>
    <w:rPr>
      <w:sz w:val="20"/>
      <w:szCs w:val="20"/>
    </w:rPr>
  </w:style>
  <w:style w:type="character" w:styleId="Marquedecommentaire">
    <w:name w:val="annotation reference"/>
    <w:basedOn w:val="Policepardfaut"/>
    <w:uiPriority w:val="99"/>
    <w:semiHidden/>
    <w:unhideWhenUsed/>
    <w:rPr>
      <w:sz w:val="16"/>
      <w:szCs w:val="16"/>
    </w:rPr>
  </w:style>
  <w:style w:type="paragraph" w:styleId="Textedebulles">
    <w:name w:val="Balloon Text"/>
    <w:basedOn w:val="Normal"/>
    <w:link w:val="TextedebullesCar"/>
    <w:uiPriority w:val="99"/>
    <w:semiHidden/>
    <w:unhideWhenUsed/>
    <w:rsid w:val="007E4CC3"/>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7E4CC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KVO0Q8GHuFm6DDZySn29l3bq01w==">AMUW2mXs6cv2L8bmwVMxBBDHMTgzmyHEy9y06mfieR9a2lLfLneQaTPDNEANgST3n9qON/0viBXAR2rqzj6uN5574NoTC2IGB/k8wo47SbVsO9uSnIYpSbukVwu2yIONh9dZyK2cwesr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3681</Words>
  <Characters>20982</Characters>
  <Application>Microsoft Office Word</Application>
  <DocSecurity>0</DocSecurity>
  <Lines>174</Lines>
  <Paragraphs>49</Paragraphs>
  <ScaleCrop>false</ScaleCrop>
  <Company/>
  <LinksUpToDate>false</LinksUpToDate>
  <CharactersWithSpaces>24614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 Windows</dc:creator>
  <cp:lastModifiedBy>Staff Aswat Nissa</cp:lastModifiedBy>
  <cp:revision>2</cp:revision>
  <dcterms:created xsi:type="dcterms:W3CDTF">2023-01-05T19:32:00Z</dcterms:created>
  <dcterms:modified xsi:type="dcterms:W3CDTF">2023-01-09T15:32:00Z</dcterms:modified>
</cp:coreProperties>
</file>