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1D5499" w14:textId="77777777" w:rsidR="00966568" w:rsidRPr="003C20FF" w:rsidRDefault="00966568" w:rsidP="00966568">
      <w:pPr>
        <w:spacing w:line="240" w:lineRule="auto"/>
        <w:rPr>
          <w:sz w:val="2"/>
        </w:rPr>
        <w:sectPr w:rsidR="00966568" w:rsidRPr="003C20FF" w:rsidSect="003C20FF">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pgNumType w:start="1"/>
          <w:cols w:space="720"/>
          <w:titlePg/>
          <w:docGrid w:linePitch="360"/>
        </w:sectPr>
      </w:pPr>
    </w:p>
    <w:p w14:paraId="0B84C719" w14:textId="4E70CFDC" w:rsidR="0052606C" w:rsidRDefault="0052606C" w:rsidP="0052606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170"/>
        <w:rPr>
          <w:lang w:val="es-ES_tradnl"/>
        </w:rPr>
      </w:pPr>
      <w:r w:rsidRPr="0052606C">
        <w:rPr>
          <w:lang w:val="es-ES_tradnl"/>
        </w:rPr>
        <w:t>Comité para la Eliminación de la Discriminación contra la Mujer</w:t>
      </w:r>
    </w:p>
    <w:p w14:paraId="58E3182B" w14:textId="1B22FD05" w:rsidR="0052606C" w:rsidRPr="0052606C" w:rsidRDefault="0052606C" w:rsidP="0052606C">
      <w:pPr>
        <w:pStyle w:val="SingleTxt"/>
        <w:spacing w:after="0" w:line="120" w:lineRule="exact"/>
        <w:rPr>
          <w:sz w:val="10"/>
          <w:lang w:val="es-ES_tradnl"/>
        </w:rPr>
      </w:pPr>
    </w:p>
    <w:p w14:paraId="285162AA" w14:textId="5542CFED" w:rsidR="0052606C" w:rsidRPr="0052606C" w:rsidRDefault="0052606C" w:rsidP="0052606C">
      <w:pPr>
        <w:pStyle w:val="SingleTxt"/>
        <w:spacing w:after="0" w:line="120" w:lineRule="exact"/>
        <w:rPr>
          <w:sz w:val="10"/>
          <w:lang w:val="es-ES_tradnl"/>
        </w:rPr>
      </w:pPr>
    </w:p>
    <w:p w14:paraId="7F2F8B77" w14:textId="5E06424C" w:rsidR="0052606C" w:rsidRPr="0052606C" w:rsidRDefault="0052606C" w:rsidP="0052606C">
      <w:pPr>
        <w:pStyle w:val="SingleTxt"/>
        <w:spacing w:after="0" w:line="120" w:lineRule="exact"/>
        <w:rPr>
          <w:sz w:val="10"/>
          <w:lang w:val="es-ES_tradnl"/>
        </w:rPr>
      </w:pPr>
    </w:p>
    <w:p w14:paraId="2281EFEA" w14:textId="126BFD9A" w:rsidR="0052606C" w:rsidRDefault="0052606C" w:rsidP="00451470">
      <w:pPr>
        <w:pStyle w:val="TitleHCH"/>
        <w:ind w:right="1200"/>
        <w:rPr>
          <w:lang w:val="es-ES_tradnl"/>
        </w:rPr>
      </w:pPr>
      <w:r w:rsidRPr="0052606C">
        <w:rPr>
          <w:lang w:val="es-ES_tradnl"/>
        </w:rPr>
        <w:tab/>
      </w:r>
      <w:r w:rsidRPr="0052606C">
        <w:rPr>
          <w:lang w:val="es-ES_tradnl"/>
        </w:rPr>
        <w:tab/>
        <w:t>Investigación sobre Malí con arreglo al artículo 8 del Protocolo Facultativo de la Convención sobre la Eliminación de Todas las Formas de Discriminación contra la Mujer</w:t>
      </w:r>
    </w:p>
    <w:p w14:paraId="53ECC3C0" w14:textId="3D1E8F8A" w:rsidR="0052606C" w:rsidRPr="0052606C" w:rsidRDefault="0052606C" w:rsidP="0052606C">
      <w:pPr>
        <w:pStyle w:val="SingleTxt"/>
        <w:spacing w:after="0" w:line="120" w:lineRule="exact"/>
        <w:rPr>
          <w:sz w:val="10"/>
          <w:lang w:val="es-ES_tradnl"/>
        </w:rPr>
      </w:pPr>
    </w:p>
    <w:p w14:paraId="58758576" w14:textId="2F8DE206" w:rsidR="0052606C" w:rsidRPr="0052606C" w:rsidRDefault="0052606C" w:rsidP="0052606C">
      <w:pPr>
        <w:pStyle w:val="SingleTxt"/>
        <w:spacing w:after="0" w:line="120" w:lineRule="exact"/>
        <w:rPr>
          <w:sz w:val="10"/>
          <w:lang w:val="es-ES_tradnl"/>
        </w:rPr>
      </w:pPr>
    </w:p>
    <w:p w14:paraId="3EA54DF3" w14:textId="2D8206DA" w:rsidR="0052606C" w:rsidRDefault="0052606C" w:rsidP="0052606C">
      <w:pPr>
        <w:pStyle w:val="TitleH1"/>
        <w:rPr>
          <w:lang w:val="es-ES_tradnl"/>
        </w:rPr>
      </w:pPr>
      <w:r w:rsidRPr="0052606C">
        <w:rPr>
          <w:lang w:val="es-ES_tradnl"/>
        </w:rPr>
        <w:tab/>
      </w:r>
      <w:r w:rsidRPr="0052606C">
        <w:rPr>
          <w:lang w:val="es-ES_tradnl"/>
        </w:rPr>
        <w:tab/>
        <w:t>Informe del Comité</w:t>
      </w:r>
    </w:p>
    <w:p w14:paraId="704DAAA4" w14:textId="6E98406C" w:rsidR="0052606C" w:rsidRPr="0052606C" w:rsidRDefault="0052606C" w:rsidP="0052606C">
      <w:pPr>
        <w:pStyle w:val="SingleTxt"/>
        <w:spacing w:after="0" w:line="120" w:lineRule="exact"/>
        <w:rPr>
          <w:sz w:val="10"/>
          <w:lang w:val="es-ES_tradnl"/>
        </w:rPr>
      </w:pPr>
    </w:p>
    <w:p w14:paraId="61EC7056" w14:textId="469E6BE2" w:rsidR="0052606C" w:rsidRPr="0052606C" w:rsidRDefault="0052606C" w:rsidP="0052606C">
      <w:pPr>
        <w:pStyle w:val="SingleTxt"/>
        <w:spacing w:after="0" w:line="120" w:lineRule="exact"/>
        <w:rPr>
          <w:sz w:val="10"/>
          <w:lang w:val="es-ES_tradnl"/>
        </w:rPr>
      </w:pPr>
    </w:p>
    <w:p w14:paraId="1FE7616C" w14:textId="2605151D" w:rsidR="0052606C" w:rsidRDefault="0052606C" w:rsidP="0052606C">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2606C">
        <w:rPr>
          <w:lang w:val="es-ES_tradnl"/>
        </w:rPr>
        <w:tab/>
        <w:t>I.</w:t>
      </w:r>
      <w:r w:rsidRPr="0052606C">
        <w:rPr>
          <w:lang w:val="es-ES_tradnl"/>
        </w:rPr>
        <w:tab/>
        <w:t>Introducción</w:t>
      </w:r>
    </w:p>
    <w:p w14:paraId="2C07C1C4" w14:textId="40A159F0" w:rsidR="0052606C" w:rsidRPr="0052606C" w:rsidRDefault="0052606C" w:rsidP="0052606C">
      <w:pPr>
        <w:pStyle w:val="SingleTxt"/>
        <w:spacing w:after="0" w:line="120" w:lineRule="exact"/>
        <w:rPr>
          <w:sz w:val="10"/>
          <w:lang w:val="es-ES_tradnl"/>
        </w:rPr>
      </w:pPr>
    </w:p>
    <w:p w14:paraId="09042EF2" w14:textId="0089BCD4" w:rsidR="0052606C" w:rsidRPr="0052606C" w:rsidRDefault="0052606C" w:rsidP="0052606C">
      <w:pPr>
        <w:pStyle w:val="SingleTxt"/>
        <w:spacing w:after="0" w:line="120" w:lineRule="exact"/>
        <w:rPr>
          <w:sz w:val="10"/>
          <w:lang w:val="es-ES_tradnl"/>
        </w:rPr>
      </w:pPr>
    </w:p>
    <w:p w14:paraId="513065A8" w14:textId="20EA1E19" w:rsidR="0052606C" w:rsidRPr="0052606C" w:rsidRDefault="0052606C" w:rsidP="00AD6601">
      <w:pPr>
        <w:pStyle w:val="SingleTxt"/>
        <w:numPr>
          <w:ilvl w:val="0"/>
          <w:numId w:val="5"/>
        </w:numPr>
        <w:tabs>
          <w:tab w:val="clear" w:pos="475"/>
          <w:tab w:val="right" w:pos="1022"/>
        </w:tabs>
        <w:ind w:left="1267" w:right="1260"/>
        <w:rPr>
          <w:lang w:val="es-ES_tradnl"/>
        </w:rPr>
      </w:pPr>
      <w:r w:rsidRPr="0052606C">
        <w:rPr>
          <w:lang w:val="es-ES_tradnl"/>
        </w:rPr>
        <w:t>El 25 de octubre de 2011, el Comité para la Eliminación de la Discriminación contra la Mujer recibió información de tres organizaciones</w:t>
      </w:r>
      <w:r w:rsidRPr="0052606C">
        <w:rPr>
          <w:vertAlign w:val="superscript"/>
          <w:lang w:val="es-ES_tradnl"/>
        </w:rPr>
        <w:footnoteReference w:id="1"/>
      </w:r>
      <w:r w:rsidRPr="0052606C">
        <w:rPr>
          <w:lang w:val="es-ES_tradnl"/>
        </w:rPr>
        <w:t xml:space="preserve"> con arreglo al artículo 8 del Protocolo Facultativo de la Convención sobre la Eliminación de Todas las Formas de Discriminación contra la Mujer. Según las fuentes, Malí viola de forma grave y sistemática los derechos reconocidos en la Convención, dado que no cumple con su obligación de proteger a las mujeres y las niñas en su territorio frente a la mutilación genital femenina ni con su obligación de enjuiciar y sancionar a los autores de esas mutilaciones. </w:t>
      </w:r>
    </w:p>
    <w:p w14:paraId="48B8BC84" w14:textId="78D70A11" w:rsidR="0052606C" w:rsidRDefault="0052606C" w:rsidP="00AD6601">
      <w:pPr>
        <w:pStyle w:val="SingleTxt"/>
        <w:numPr>
          <w:ilvl w:val="0"/>
          <w:numId w:val="5"/>
        </w:numPr>
        <w:ind w:left="1267"/>
        <w:rPr>
          <w:lang w:val="es-ES_tradnl"/>
        </w:rPr>
      </w:pPr>
      <w:r w:rsidRPr="0052606C">
        <w:rPr>
          <w:lang w:val="es-ES_tradnl"/>
        </w:rPr>
        <w:t xml:space="preserve">Malí ratificó sin reservas la Convención el 10 de septiembre de 1985 y se adhirió al Protocolo Facultativo el 5 de diciembre de 2000. </w:t>
      </w:r>
    </w:p>
    <w:p w14:paraId="292853CA" w14:textId="0B2333A5" w:rsidR="0052606C" w:rsidRPr="0052606C" w:rsidRDefault="0052606C" w:rsidP="0052606C">
      <w:pPr>
        <w:pStyle w:val="SingleTxt"/>
        <w:spacing w:after="0" w:line="120" w:lineRule="exact"/>
        <w:rPr>
          <w:sz w:val="10"/>
          <w:lang w:val="es-ES_tradnl"/>
        </w:rPr>
      </w:pPr>
    </w:p>
    <w:p w14:paraId="6080EA73" w14:textId="4CAF2FBE" w:rsidR="0052606C" w:rsidRPr="0052606C" w:rsidRDefault="0052606C" w:rsidP="0052606C">
      <w:pPr>
        <w:pStyle w:val="SingleTxt"/>
        <w:spacing w:after="0" w:line="120" w:lineRule="exact"/>
        <w:rPr>
          <w:sz w:val="10"/>
          <w:lang w:val="es-ES_tradnl"/>
        </w:rPr>
      </w:pPr>
    </w:p>
    <w:p w14:paraId="5EB7779A" w14:textId="3930EEB9" w:rsidR="0052606C" w:rsidRDefault="0052606C" w:rsidP="0052606C">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2606C">
        <w:rPr>
          <w:lang w:val="es-ES_tradnl"/>
        </w:rPr>
        <w:tab/>
        <w:t>II.</w:t>
      </w:r>
      <w:r w:rsidRPr="0052606C">
        <w:rPr>
          <w:lang w:val="es-ES_tradnl"/>
        </w:rPr>
        <w:tab/>
        <w:t>Aseveraciones de las fuentes de información</w:t>
      </w:r>
    </w:p>
    <w:p w14:paraId="2543030E" w14:textId="16D8ED61" w:rsidR="0052606C" w:rsidRPr="0052606C" w:rsidRDefault="0052606C" w:rsidP="0052606C">
      <w:pPr>
        <w:pStyle w:val="SingleTxt"/>
        <w:spacing w:after="0" w:line="120" w:lineRule="exact"/>
        <w:rPr>
          <w:sz w:val="10"/>
          <w:lang w:val="es-ES_tradnl"/>
        </w:rPr>
      </w:pPr>
    </w:p>
    <w:p w14:paraId="1B176C0C" w14:textId="6C98B89C" w:rsidR="0052606C" w:rsidRPr="0052606C" w:rsidRDefault="0052606C" w:rsidP="0052606C">
      <w:pPr>
        <w:pStyle w:val="SingleTxt"/>
        <w:spacing w:after="0" w:line="120" w:lineRule="exact"/>
        <w:rPr>
          <w:sz w:val="10"/>
          <w:lang w:val="es-ES_tradnl"/>
        </w:rPr>
      </w:pPr>
    </w:p>
    <w:p w14:paraId="687006CD" w14:textId="6FEE3265" w:rsidR="0052606C" w:rsidRPr="0052606C" w:rsidRDefault="0052606C" w:rsidP="00AD6601">
      <w:pPr>
        <w:pStyle w:val="SingleTxt"/>
        <w:numPr>
          <w:ilvl w:val="0"/>
          <w:numId w:val="5"/>
        </w:numPr>
        <w:ind w:left="1267"/>
        <w:rPr>
          <w:lang w:val="es-ES_tradnl"/>
        </w:rPr>
      </w:pPr>
      <w:r w:rsidRPr="0052606C">
        <w:rPr>
          <w:lang w:val="es-ES_tradnl"/>
        </w:rPr>
        <w:t xml:space="preserve">Las fuentes sostienen que el Estado parte no cumple con su obligación de proteger a las mujeres y las niñas de la práctica nociva de la mutilación genital, y subrayan que esa práctica acarrea graves consecuencias físicas y psicológicas y puede causar la muerte de la víctima y complicaciones durante el parto. Señalan que el Estado parte no ha adoptado medidas adecuadas para aprobar leyes que prohíban la práctica de la mutilación genital femenina y castiguen a sus autores </w:t>
      </w:r>
      <w:r w:rsidR="000E18AF">
        <w:rPr>
          <w:lang w:val="es-ES_tradnl"/>
        </w:rPr>
        <w:t xml:space="preserve">ni para </w:t>
      </w:r>
      <w:r w:rsidRPr="0052606C">
        <w:rPr>
          <w:lang w:val="es-ES_tradnl"/>
        </w:rPr>
        <w:t>eliminar los obstáculos sociales y culturales que dificultan el abandono de dicha mutilación. Asimismo, afirman que la mutilación genital femenina representa una violación sistemática de los artículos 2, 5, 10 y 12 de la Convención.</w:t>
      </w:r>
    </w:p>
    <w:p w14:paraId="2CC1CC4D" w14:textId="596B7DD8" w:rsidR="0052606C" w:rsidRPr="0052606C" w:rsidRDefault="0052606C" w:rsidP="00AD6601">
      <w:pPr>
        <w:pStyle w:val="SingleTxt"/>
        <w:numPr>
          <w:ilvl w:val="0"/>
          <w:numId w:val="5"/>
        </w:numPr>
        <w:ind w:left="1267"/>
        <w:rPr>
          <w:lang w:val="es-ES_tradnl"/>
        </w:rPr>
      </w:pPr>
      <w:r w:rsidRPr="0052606C">
        <w:rPr>
          <w:lang w:val="es-ES_tradnl"/>
        </w:rPr>
        <w:lastRenderedPageBreak/>
        <w:t xml:space="preserve">Las fuentes, basándose en las encuestas nacionales demográficas de salud de 2005 y 2015, afirman que la mutilación genital femenina es una práctica ampliamente extendida en la sociedad maliense, salvo en las regiones del norte. Señalan que numerosos líderes religiosos defienden dicha mutilación, y que esa práctica se realiza en nombre de tradiciones culturales. </w:t>
      </w:r>
    </w:p>
    <w:p w14:paraId="21C77A0B" w14:textId="0BC7ABCD" w:rsidR="0052606C" w:rsidRPr="0052606C" w:rsidRDefault="0052606C" w:rsidP="00AD6601">
      <w:pPr>
        <w:pStyle w:val="SingleTxt"/>
        <w:numPr>
          <w:ilvl w:val="0"/>
          <w:numId w:val="5"/>
        </w:numPr>
        <w:ind w:left="1267"/>
        <w:rPr>
          <w:lang w:val="es-ES_tradnl"/>
        </w:rPr>
      </w:pPr>
      <w:r w:rsidRPr="0052606C">
        <w:rPr>
          <w:lang w:val="es-ES_tradnl"/>
        </w:rPr>
        <w:t xml:space="preserve">Las fuentes sostienen que, después de que en 2002 los líderes religiosos conservadores frenaron el proceso de aprobación de un proyecto de ley para prohibir la mutilación genital femenina, el Gobierno se ha mostrado reticente a legislar sobre esa cuestión y mantiene que la tipificación de esta práctica como delito conduciría a que se ejerciera de forma clandestina. </w:t>
      </w:r>
    </w:p>
    <w:p w14:paraId="7CA1CA30" w14:textId="06169345" w:rsidR="0052606C" w:rsidRDefault="0052606C" w:rsidP="00AD6601">
      <w:pPr>
        <w:pStyle w:val="SingleTxt"/>
        <w:numPr>
          <w:ilvl w:val="0"/>
          <w:numId w:val="5"/>
        </w:numPr>
        <w:ind w:left="1267"/>
        <w:rPr>
          <w:lang w:val="es-ES_tradnl"/>
        </w:rPr>
      </w:pPr>
      <w:r w:rsidRPr="0052606C">
        <w:rPr>
          <w:lang w:val="es-ES_tradnl"/>
        </w:rPr>
        <w:t>Según las fuentes, las medidas del Estado parte no han reducido de forma significativa esta práctica. Las iniciativas adoptadas desde 1996, centradas en sensibilizar sobre la necesidad de abandonar la mutilación genital femenina, no han ido acompañadas de un posicionamiento firme de las autoridades que destaque el carácter nocivo de la práctica.</w:t>
      </w:r>
    </w:p>
    <w:p w14:paraId="33787CBB" w14:textId="3055DA8A" w:rsidR="0052606C" w:rsidRPr="0052606C" w:rsidRDefault="0052606C" w:rsidP="0052606C">
      <w:pPr>
        <w:pStyle w:val="SingleTxt"/>
        <w:spacing w:after="0" w:line="120" w:lineRule="exact"/>
        <w:rPr>
          <w:sz w:val="10"/>
          <w:lang w:val="es-ES_tradnl"/>
        </w:rPr>
      </w:pPr>
    </w:p>
    <w:p w14:paraId="68ADBA58" w14:textId="6BD2B67B" w:rsidR="0052606C" w:rsidRPr="0052606C" w:rsidRDefault="0052606C" w:rsidP="0052606C">
      <w:pPr>
        <w:pStyle w:val="SingleTxt"/>
        <w:spacing w:after="0" w:line="120" w:lineRule="exact"/>
        <w:rPr>
          <w:sz w:val="10"/>
          <w:lang w:val="es-ES_tradnl"/>
        </w:rPr>
      </w:pPr>
    </w:p>
    <w:p w14:paraId="5C3F9019" w14:textId="1F94F6A1" w:rsidR="0052606C" w:rsidRDefault="0052606C" w:rsidP="0052606C">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2606C">
        <w:rPr>
          <w:lang w:val="es-ES_tradnl"/>
        </w:rPr>
        <w:tab/>
        <w:t>III.</w:t>
      </w:r>
      <w:r w:rsidRPr="0052606C">
        <w:rPr>
          <w:lang w:val="es-ES_tradnl"/>
        </w:rPr>
        <w:tab/>
        <w:t>Procedimiento seguido</w:t>
      </w:r>
    </w:p>
    <w:p w14:paraId="30C64692" w14:textId="418E1ED7" w:rsidR="0052606C" w:rsidRPr="0052606C" w:rsidRDefault="0052606C" w:rsidP="0052606C">
      <w:pPr>
        <w:pStyle w:val="SingleTxt"/>
        <w:spacing w:after="0" w:line="120" w:lineRule="exact"/>
        <w:rPr>
          <w:sz w:val="10"/>
          <w:lang w:val="es-ES_tradnl"/>
        </w:rPr>
      </w:pPr>
    </w:p>
    <w:p w14:paraId="0441E2BE" w14:textId="6EA4552F" w:rsidR="0052606C" w:rsidRPr="0052606C" w:rsidRDefault="0052606C" w:rsidP="0052606C">
      <w:pPr>
        <w:pStyle w:val="SingleTxt"/>
        <w:spacing w:after="0" w:line="120" w:lineRule="exact"/>
        <w:rPr>
          <w:sz w:val="10"/>
          <w:lang w:val="es-ES_tradnl"/>
        </w:rPr>
      </w:pPr>
    </w:p>
    <w:p w14:paraId="3094AA2C" w14:textId="2B1C6F98" w:rsidR="0052606C" w:rsidRPr="0052606C" w:rsidRDefault="0052606C" w:rsidP="00AD6601">
      <w:pPr>
        <w:pStyle w:val="SingleTxt"/>
        <w:numPr>
          <w:ilvl w:val="0"/>
          <w:numId w:val="5"/>
        </w:numPr>
        <w:ind w:left="1267"/>
        <w:rPr>
          <w:lang w:val="es-ES_tradnl"/>
        </w:rPr>
      </w:pPr>
      <w:r w:rsidRPr="0052606C">
        <w:rPr>
          <w:lang w:val="es-ES_tradnl"/>
        </w:rPr>
        <w:t>El 19 de agosto de 2015, el Comité invitó al Estado parte a presentar observaciones sobre la información recibida por el Comité con arreglo al artículo 8 del Protocolo Facultativo. Dado que no se recibieron observaciones, dos expertas del Grupo de Trabajo sobre Investigaciones con arreglo al Protocolo Facultativo se reunieron con la delegación de Malí durante el examen del informe del Estado parte en julio de 2016, y luego con el Representante Permanente de Malí ante la Oficina de las Naciones Unidas y otras organizaciones internacionales en Ginebra, en octubre de 2016.</w:t>
      </w:r>
      <w:bookmarkStart w:id="0" w:name="_Hlk9348572"/>
      <w:bookmarkEnd w:id="0"/>
    </w:p>
    <w:p w14:paraId="52512835" w14:textId="7CF1F687" w:rsidR="0052606C" w:rsidRPr="0052606C" w:rsidRDefault="0052606C" w:rsidP="00AD6601">
      <w:pPr>
        <w:pStyle w:val="SingleTxt"/>
        <w:numPr>
          <w:ilvl w:val="0"/>
          <w:numId w:val="5"/>
        </w:numPr>
        <w:ind w:left="1267"/>
        <w:rPr>
          <w:lang w:val="es-ES_tradnl"/>
        </w:rPr>
      </w:pPr>
      <w:r w:rsidRPr="0052606C">
        <w:rPr>
          <w:lang w:val="es-ES_tradnl"/>
        </w:rPr>
        <w:t xml:space="preserve">A falta de observaciones del Estado parte, el Grupo de Trabajo examinó, entre los períodos de sesiones 63º y 64º del Comité, toda la información recibida y concluyó que las alegaciones eran dignas de crédito y apuntaban a que se habían cometido violaciones graves y sistemáticas de derechos consagrados en la Convención. En su 67º período de sesiones, el Comité nombró a tres expertas para que realizaran una investigación y, el 29 de julio de 2017, decidió solicitar el consentimiento del Estado parte para efectuar una visita a su territorio. El 26 de junio de 2018, el Estado parte consintió que se efectuara una visita. </w:t>
      </w:r>
      <w:bookmarkStart w:id="1" w:name="_Hlk9348753"/>
      <w:bookmarkEnd w:id="1"/>
    </w:p>
    <w:p w14:paraId="0E806B5F" w14:textId="698B90DA" w:rsidR="0052606C" w:rsidRPr="0052606C" w:rsidRDefault="0052606C" w:rsidP="00AD6601">
      <w:pPr>
        <w:pStyle w:val="SingleTxt"/>
        <w:numPr>
          <w:ilvl w:val="0"/>
          <w:numId w:val="5"/>
        </w:numPr>
        <w:ind w:left="1267"/>
        <w:rPr>
          <w:lang w:val="es-ES_tradnl"/>
        </w:rPr>
      </w:pPr>
      <w:r w:rsidRPr="0052606C">
        <w:rPr>
          <w:lang w:val="es-ES_tradnl"/>
        </w:rPr>
        <w:t>Durante la visita, celebrada del 2 al 14 de diciembre de 2018, las expertas se reunieron con el Primer Ministro; la Primera Dama; la Ministra de Promoción de la Mujer, la Infancia y la Familia; y representantes del Ministerio de Solidaridad y Acción Humanitaria, el Ministerio de Sanidad e Higiene Pública, el Ministerio de Asuntos Religiosos y Culto, el Ministerio de Justicia y Derechos Humanos, la Comisión Nacional de Derechos Humanos y la Asamblea Nacional. Todos ellos, incluida la Primera Dama, demostraron estar muy sensibilizadas con respecto a la mutilación genital femenina. En Bamako y en Mopti, se reunieron con representantes de la sociedad civil, abogados, líderes religiosos y comunitarios, personas que practicaban la mutilación genital femenina y mujeres que la habían sufrido, y una mujer que luchaba para impedir que su hija sufriera esa mutilación. En Mopti se reunieron también con representantes del consejo y el Gobierno regionales.</w:t>
      </w:r>
    </w:p>
    <w:p w14:paraId="28F71CD8" w14:textId="7869C395" w:rsidR="0052606C" w:rsidRPr="0052606C" w:rsidRDefault="0052606C" w:rsidP="0052606C">
      <w:pPr>
        <w:pStyle w:val="SingleTxt"/>
        <w:spacing w:after="0" w:line="120" w:lineRule="exact"/>
        <w:rPr>
          <w:sz w:val="10"/>
          <w:lang w:val="es-ES_tradnl"/>
        </w:rPr>
      </w:pPr>
    </w:p>
    <w:p w14:paraId="0C81154E" w14:textId="4F1B13A6" w:rsidR="0052606C" w:rsidRPr="0052606C" w:rsidRDefault="0052606C" w:rsidP="0052606C">
      <w:pPr>
        <w:pStyle w:val="SingleTxt"/>
        <w:spacing w:after="0" w:line="120" w:lineRule="exact"/>
        <w:rPr>
          <w:sz w:val="10"/>
          <w:lang w:val="es-ES_tradnl"/>
        </w:rPr>
      </w:pPr>
    </w:p>
    <w:p w14:paraId="2B1A40CB" w14:textId="563ECA89" w:rsidR="0052606C" w:rsidRDefault="0052606C" w:rsidP="0052606C">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2606C">
        <w:rPr>
          <w:lang w:val="es-ES_tradnl"/>
        </w:rPr>
        <w:tab/>
        <w:t>IV.</w:t>
      </w:r>
      <w:r w:rsidRPr="0052606C">
        <w:rPr>
          <w:lang w:val="es-ES_tradnl"/>
        </w:rPr>
        <w:tab/>
        <w:t>Alcance del informe</w:t>
      </w:r>
    </w:p>
    <w:p w14:paraId="41ECDBD0" w14:textId="36B97F93" w:rsidR="0052606C" w:rsidRPr="0052606C" w:rsidRDefault="0052606C" w:rsidP="0052606C">
      <w:pPr>
        <w:pStyle w:val="SingleTxt"/>
        <w:spacing w:after="0" w:line="120" w:lineRule="exact"/>
        <w:rPr>
          <w:sz w:val="10"/>
          <w:lang w:val="es-ES_tradnl"/>
        </w:rPr>
      </w:pPr>
    </w:p>
    <w:p w14:paraId="055FE90C" w14:textId="4B7C1F24" w:rsidR="0052606C" w:rsidRPr="0052606C" w:rsidRDefault="0052606C" w:rsidP="0052606C">
      <w:pPr>
        <w:pStyle w:val="SingleTxt"/>
        <w:spacing w:after="0" w:line="120" w:lineRule="exact"/>
        <w:rPr>
          <w:sz w:val="10"/>
          <w:lang w:val="es-ES_tradnl"/>
        </w:rPr>
      </w:pPr>
    </w:p>
    <w:p w14:paraId="11DF6909" w14:textId="2A40E61F" w:rsidR="0052606C" w:rsidRPr="0052606C" w:rsidRDefault="0052606C" w:rsidP="00AD6601">
      <w:pPr>
        <w:pStyle w:val="SingleTxt"/>
        <w:numPr>
          <w:ilvl w:val="0"/>
          <w:numId w:val="5"/>
        </w:numPr>
        <w:ind w:left="1267"/>
        <w:rPr>
          <w:lang w:val="es-ES_tradnl"/>
        </w:rPr>
      </w:pPr>
      <w:r w:rsidRPr="0052606C">
        <w:rPr>
          <w:lang w:val="es-ES_tradnl"/>
        </w:rPr>
        <w:t xml:space="preserve">El Comité ha definido la mutilación genital femenina como toda práctica consistente en extirpar de forma parcial o total los órganos genitales femeninos </w:t>
      </w:r>
      <w:r w:rsidRPr="0052606C">
        <w:rPr>
          <w:lang w:val="es-ES_tradnl"/>
        </w:rPr>
        <w:lastRenderedPageBreak/>
        <w:t>externos o en causar otros daños a los órganos genitales de la mujer que no se realice por motivos médicos ni de salud</w:t>
      </w:r>
      <w:r w:rsidRPr="0052606C">
        <w:rPr>
          <w:vertAlign w:val="superscript"/>
          <w:lang w:val="es-ES_tradnl"/>
        </w:rPr>
        <w:footnoteReference w:id="2"/>
      </w:r>
      <w:r w:rsidRPr="0052606C">
        <w:rPr>
          <w:lang w:val="es-ES_tradnl"/>
        </w:rPr>
        <w:t xml:space="preserve">. </w:t>
      </w:r>
    </w:p>
    <w:p w14:paraId="42CD374A" w14:textId="16C8EE75" w:rsidR="0052606C" w:rsidRDefault="0052606C" w:rsidP="00AD6601">
      <w:pPr>
        <w:pStyle w:val="SingleTxt"/>
        <w:numPr>
          <w:ilvl w:val="0"/>
          <w:numId w:val="5"/>
        </w:numPr>
        <w:ind w:left="1267"/>
        <w:rPr>
          <w:lang w:val="es-ES_tradnl"/>
        </w:rPr>
      </w:pPr>
      <w:r w:rsidRPr="0052606C">
        <w:rPr>
          <w:lang w:val="es-ES_tradnl"/>
        </w:rPr>
        <w:t>En el presente informe se describen el contexto y la prevalencia de los tipos de mutilación genital femenina</w:t>
      </w:r>
      <w:r w:rsidRPr="0052606C">
        <w:rPr>
          <w:vertAlign w:val="superscript"/>
          <w:lang w:val="es-ES_tradnl"/>
        </w:rPr>
        <w:footnoteReference w:id="3"/>
      </w:r>
      <w:r w:rsidRPr="0052606C">
        <w:rPr>
          <w:lang w:val="es-ES_tradnl"/>
        </w:rPr>
        <w:t xml:space="preserve"> en el Estado parte y se exponen las políticas y los programas que se han puesto en práctica para prevenirla, así como los intentos legislativos de prohibirla. También se indican las violaciones que la continuación de esa práctica representa respecto de las obligaciones contraídas por el Estado parte como resultado de la ratificación por él de la Convención, y se formulan recomendaciones dirigidas al Estado parte.</w:t>
      </w:r>
    </w:p>
    <w:p w14:paraId="443F49E9" w14:textId="4B0355B2" w:rsidR="0052606C" w:rsidRPr="0052606C" w:rsidRDefault="0052606C" w:rsidP="0052606C">
      <w:pPr>
        <w:pStyle w:val="SingleTxt"/>
        <w:spacing w:after="0" w:line="120" w:lineRule="exact"/>
        <w:rPr>
          <w:sz w:val="10"/>
          <w:lang w:val="es-ES_tradnl"/>
        </w:rPr>
      </w:pPr>
    </w:p>
    <w:p w14:paraId="59FB76A3" w14:textId="1F03376A" w:rsidR="0052606C" w:rsidRPr="0052606C" w:rsidRDefault="0052606C" w:rsidP="0052606C">
      <w:pPr>
        <w:pStyle w:val="SingleTxt"/>
        <w:spacing w:after="0" w:line="120" w:lineRule="exact"/>
        <w:rPr>
          <w:sz w:val="10"/>
          <w:lang w:val="es-ES_tradnl"/>
        </w:rPr>
      </w:pPr>
    </w:p>
    <w:p w14:paraId="5B889B55" w14:textId="767D5213" w:rsidR="0052606C" w:rsidRDefault="0052606C" w:rsidP="0052606C">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2606C">
        <w:rPr>
          <w:lang w:val="es-ES_tradnl"/>
        </w:rPr>
        <w:tab/>
        <w:t>V.</w:t>
      </w:r>
      <w:r w:rsidRPr="0052606C">
        <w:rPr>
          <w:lang w:val="es-ES_tradnl"/>
        </w:rPr>
        <w:tab/>
        <w:t xml:space="preserve">Contexto general de la investigación </w:t>
      </w:r>
    </w:p>
    <w:p w14:paraId="40C2A68D" w14:textId="067C4E9C" w:rsidR="0052606C" w:rsidRPr="0052606C" w:rsidRDefault="0052606C" w:rsidP="0052606C">
      <w:pPr>
        <w:pStyle w:val="SingleTxt"/>
        <w:spacing w:after="0" w:line="120" w:lineRule="exact"/>
        <w:rPr>
          <w:sz w:val="10"/>
          <w:lang w:val="es-ES_tradnl"/>
        </w:rPr>
      </w:pPr>
    </w:p>
    <w:p w14:paraId="69E072E9" w14:textId="62A55658" w:rsidR="0052606C" w:rsidRPr="0052606C" w:rsidRDefault="0052606C" w:rsidP="0052606C">
      <w:pPr>
        <w:pStyle w:val="SingleTxt"/>
        <w:spacing w:after="0" w:line="120" w:lineRule="exact"/>
        <w:rPr>
          <w:sz w:val="10"/>
          <w:lang w:val="es-ES_tradnl"/>
        </w:rPr>
      </w:pPr>
    </w:p>
    <w:p w14:paraId="670F731B" w14:textId="1FD7F1C9" w:rsidR="0052606C" w:rsidRPr="0052606C" w:rsidRDefault="0052606C" w:rsidP="00AD6601">
      <w:pPr>
        <w:pStyle w:val="SingleTxt"/>
        <w:numPr>
          <w:ilvl w:val="0"/>
          <w:numId w:val="5"/>
        </w:numPr>
        <w:ind w:left="1267"/>
        <w:rPr>
          <w:lang w:val="es-ES_tradnl"/>
        </w:rPr>
      </w:pPr>
      <w:r w:rsidRPr="0052606C">
        <w:rPr>
          <w:lang w:val="es-ES_tradnl"/>
        </w:rPr>
        <w:t>La investigación confidencial fue acogida de forma positiva por las autoridades, pero se realizó en un contexto de crisis política y de seguridad marcado por la ausencia del Estado en algunas zonas, violaciones de los derechos humanos, en particular en el norte y el centro del país, y la prórroga del estado de emergencia hasta el 31 de octubre de 2019. El contexto también estuvo marcado por indicadores sociales débiles: en 2018, el índice de desarrollo humano establecido por el Programa de las Naciones Unidas para el Desarrollo situaba a Malí en el puesto 182 de un total de 189 países</w:t>
      </w:r>
      <w:r w:rsidRPr="0052606C">
        <w:rPr>
          <w:vertAlign w:val="superscript"/>
          <w:lang w:val="es-ES_tradnl"/>
        </w:rPr>
        <w:footnoteReference w:id="4"/>
      </w:r>
      <w:r w:rsidRPr="0052606C">
        <w:rPr>
          <w:lang w:val="es-ES_tradnl"/>
        </w:rPr>
        <w:t>, y en 2017, la tasa de alfabetización del país era del 24,6 % entre las mujeres, frente al 44,8 % entre los hombres</w:t>
      </w:r>
      <w:r w:rsidRPr="0052606C">
        <w:rPr>
          <w:vertAlign w:val="superscript"/>
          <w:lang w:val="es-ES_tradnl"/>
        </w:rPr>
        <w:footnoteReference w:id="5"/>
      </w:r>
      <w:r w:rsidRPr="0052606C">
        <w:rPr>
          <w:lang w:val="es-ES_tradnl"/>
        </w:rPr>
        <w:t xml:space="preserve">. Asimismo, el contexto se caracterizó por un recrudecimiento de la violencia por razón de género contra las mujeres, una representación y una participación escasas de las mujeres en los órganos de decisión y la ausencia de mujeres en el proceso de paz y reconciliación nacional en curso, a pesar de la aprobación de planes de acción nacional consecutivos para aplicar la resolución </w:t>
      </w:r>
      <w:hyperlink r:id="rId13" w:history="1">
        <w:r w:rsidRPr="00C24033">
          <w:rPr>
            <w:rStyle w:val="Hyperlink"/>
            <w:lang w:val="es-ES_tradnl"/>
          </w:rPr>
          <w:t>1325 (2000)</w:t>
        </w:r>
      </w:hyperlink>
      <w:r w:rsidRPr="0052606C">
        <w:rPr>
          <w:lang w:val="es-ES_tradnl"/>
        </w:rPr>
        <w:t xml:space="preserve"> del Consejo de Seguridad. </w:t>
      </w:r>
    </w:p>
    <w:p w14:paraId="56BFCFCA" w14:textId="3A636351" w:rsidR="0052606C" w:rsidRDefault="0052606C" w:rsidP="00AD6601">
      <w:pPr>
        <w:pStyle w:val="SingleTxt"/>
        <w:numPr>
          <w:ilvl w:val="0"/>
          <w:numId w:val="5"/>
        </w:numPr>
        <w:ind w:left="1267"/>
        <w:rPr>
          <w:lang w:val="es-ES_tradnl"/>
        </w:rPr>
      </w:pPr>
      <w:r w:rsidRPr="0052606C">
        <w:rPr>
          <w:lang w:val="es-ES_tradnl"/>
        </w:rPr>
        <w:t xml:space="preserve">El mandato de la Misión Multidimensional Integrada de Estabilización de las Naciones Unidas en Malí (MINUSMA), que está presente en Malí desde 2013 para apoyar los esfuerzos de consolidación de la paz y el establecimiento del estado de derecho en el país, fue prorrogado por el Consejo de Seguridad en su resolución </w:t>
      </w:r>
      <w:hyperlink r:id="rId14" w:history="1">
        <w:r w:rsidRPr="00C24033">
          <w:rPr>
            <w:rStyle w:val="Hyperlink"/>
            <w:lang w:val="es-ES_tradnl"/>
          </w:rPr>
          <w:t>2480 (2019)</w:t>
        </w:r>
      </w:hyperlink>
      <w:r w:rsidRPr="0052606C">
        <w:rPr>
          <w:lang w:val="es-ES_tradnl"/>
        </w:rPr>
        <w:t xml:space="preserve"> hasta el 30 de junio de 2020. </w:t>
      </w:r>
    </w:p>
    <w:p w14:paraId="4A82AFF8" w14:textId="12A5961D" w:rsidR="0052606C" w:rsidRPr="0052606C" w:rsidRDefault="0052606C" w:rsidP="0052606C">
      <w:pPr>
        <w:pStyle w:val="SingleTxt"/>
        <w:spacing w:after="0" w:line="120" w:lineRule="exact"/>
        <w:rPr>
          <w:sz w:val="10"/>
          <w:lang w:val="es-ES_tradnl"/>
        </w:rPr>
      </w:pPr>
    </w:p>
    <w:p w14:paraId="757C98EB" w14:textId="48036D07" w:rsidR="0052606C" w:rsidRPr="0052606C" w:rsidRDefault="0052606C" w:rsidP="0052606C">
      <w:pPr>
        <w:pStyle w:val="SingleTxt"/>
        <w:spacing w:after="0" w:line="120" w:lineRule="exact"/>
        <w:rPr>
          <w:sz w:val="10"/>
          <w:lang w:val="es-ES_tradnl"/>
        </w:rPr>
      </w:pPr>
    </w:p>
    <w:p w14:paraId="666E39F0" w14:textId="623C7DE1" w:rsidR="0052606C" w:rsidRDefault="0052606C" w:rsidP="0052606C">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2606C">
        <w:rPr>
          <w:lang w:val="es-ES_tradnl"/>
        </w:rPr>
        <w:tab/>
        <w:t>VI.</w:t>
      </w:r>
      <w:r w:rsidRPr="0052606C">
        <w:rPr>
          <w:lang w:val="es-ES_tradnl"/>
        </w:rPr>
        <w:tab/>
        <w:t>Marco jurídico</w:t>
      </w:r>
    </w:p>
    <w:p w14:paraId="45B60478" w14:textId="72D6405D" w:rsidR="0052606C" w:rsidRPr="0052606C" w:rsidRDefault="0052606C" w:rsidP="0052606C">
      <w:pPr>
        <w:pStyle w:val="SingleTxt"/>
        <w:spacing w:after="0" w:line="120" w:lineRule="exact"/>
        <w:rPr>
          <w:sz w:val="10"/>
          <w:lang w:val="es-ES_tradnl"/>
        </w:rPr>
      </w:pPr>
    </w:p>
    <w:p w14:paraId="207028A6" w14:textId="09D41B56" w:rsidR="0052606C" w:rsidRPr="0052606C" w:rsidRDefault="0052606C" w:rsidP="0052606C">
      <w:pPr>
        <w:pStyle w:val="SingleTxt"/>
        <w:spacing w:after="0" w:line="120" w:lineRule="exact"/>
        <w:rPr>
          <w:sz w:val="10"/>
          <w:lang w:val="es-ES_tradnl"/>
        </w:rPr>
      </w:pPr>
    </w:p>
    <w:p w14:paraId="5813CCE5" w14:textId="29212472" w:rsidR="0052606C" w:rsidRPr="0052606C" w:rsidRDefault="0052606C" w:rsidP="00AD6601">
      <w:pPr>
        <w:pStyle w:val="SingleTxt"/>
        <w:numPr>
          <w:ilvl w:val="0"/>
          <w:numId w:val="5"/>
        </w:numPr>
        <w:ind w:left="1267"/>
        <w:rPr>
          <w:lang w:val="es-ES_tradnl"/>
        </w:rPr>
      </w:pPr>
      <w:r w:rsidRPr="0052606C">
        <w:rPr>
          <w:lang w:val="es-ES_tradnl"/>
        </w:rPr>
        <w:t>La Constitución de 25 de febrero de 1992 prohíbe la discriminación por razón de género (art. 2) y garantiza el derecho a la vida, la seguridad y la integridad de la persona (art.</w:t>
      </w:r>
      <w:r w:rsidR="005140F9">
        <w:rPr>
          <w:lang w:val="es-ES_tradnl"/>
        </w:rPr>
        <w:t xml:space="preserve"> </w:t>
      </w:r>
      <w:r w:rsidRPr="0052606C">
        <w:rPr>
          <w:lang w:val="es-ES_tradnl"/>
        </w:rPr>
        <w:t>1). También dispone que los tratados debidamente ratificados prevalecerán sobre las leyes nacionales (art. 116).</w:t>
      </w:r>
    </w:p>
    <w:p w14:paraId="0AA85DF6" w14:textId="28056102" w:rsidR="0052606C" w:rsidRPr="0052606C" w:rsidRDefault="0052606C" w:rsidP="00AD6601">
      <w:pPr>
        <w:pStyle w:val="SingleTxt"/>
        <w:numPr>
          <w:ilvl w:val="0"/>
          <w:numId w:val="5"/>
        </w:numPr>
        <w:ind w:left="1267"/>
        <w:rPr>
          <w:lang w:val="es-ES_tradnl"/>
        </w:rPr>
      </w:pPr>
      <w:r w:rsidRPr="0052606C">
        <w:rPr>
          <w:lang w:val="es-ES_tradnl"/>
        </w:rPr>
        <w:t xml:space="preserve">A pesar de la ratificación sin reservas de la Convención, cuya observancia es parte de las obligaciones asumidas por el Estado parte, la Ley núm. 2001-79, de 20 </w:t>
      </w:r>
      <w:r w:rsidRPr="0052606C">
        <w:rPr>
          <w:lang w:val="es-ES_tradnl"/>
        </w:rPr>
        <w:lastRenderedPageBreak/>
        <w:t xml:space="preserve">de agosto de 2001, por la que se aprueba el Código Penal, no tipifica la mutilación genital femenina como delito penal. Además, los juristas entrevistados por las expertas señalaron que, si bien en casos de mutilación genital femenina se podían invocar algunas disposiciones del Código Penal relativas a las lesiones, la violencia y las torturas (arts. 202, 208 y 209), los jueces debían acatar el principio de aplicación estricta de la ley penal que les prohibía sancionar un acto que no estuviera tipificado expresamente en la legislación. Además, durante la investigación, las expertas no recibieron información alguna sobre el estado de las denuncias presentadas ni de las sanciones impuestas sobre la base del Código Penal en casos de mutilación genital femenina. </w:t>
      </w:r>
    </w:p>
    <w:p w14:paraId="78296800" w14:textId="705D3D61" w:rsidR="0052606C" w:rsidRPr="0052606C" w:rsidRDefault="0052606C" w:rsidP="00AD6601">
      <w:pPr>
        <w:pStyle w:val="SingleTxt"/>
        <w:numPr>
          <w:ilvl w:val="0"/>
          <w:numId w:val="5"/>
        </w:numPr>
        <w:ind w:left="1267"/>
        <w:rPr>
          <w:lang w:val="es-ES_tradnl"/>
        </w:rPr>
      </w:pPr>
      <w:r w:rsidRPr="0090336D">
        <w:rPr>
          <w:lang w:val="es-ES_tradnl"/>
        </w:rPr>
        <w:t xml:space="preserve">La </w:t>
      </w:r>
      <w:r w:rsidR="004242E8" w:rsidRPr="00357D59">
        <w:rPr>
          <w:lang w:val="es-ES_tradnl"/>
        </w:rPr>
        <w:t>L</w:t>
      </w:r>
      <w:r w:rsidRPr="00E4042B">
        <w:rPr>
          <w:lang w:val="es-ES_tradnl"/>
        </w:rPr>
        <w:t xml:space="preserve">ey núm. 02-044, de 24 de junio de 2002, sobre </w:t>
      </w:r>
      <w:r w:rsidR="0090336D" w:rsidRPr="00451470">
        <w:rPr>
          <w:lang w:val="es-ES_tradnl"/>
        </w:rPr>
        <w:t>s</w:t>
      </w:r>
      <w:r w:rsidRPr="00357D59">
        <w:rPr>
          <w:lang w:val="es-ES_tradnl"/>
        </w:rPr>
        <w:t xml:space="preserve">alud </w:t>
      </w:r>
      <w:r w:rsidR="0090336D" w:rsidRPr="00451470">
        <w:rPr>
          <w:lang w:val="es-ES_tradnl"/>
        </w:rPr>
        <w:t>r</w:t>
      </w:r>
      <w:r w:rsidRPr="00357D59">
        <w:rPr>
          <w:lang w:val="es-ES_tradnl"/>
        </w:rPr>
        <w:t>eproductiva,</w:t>
      </w:r>
      <w:r w:rsidR="004242E8">
        <w:rPr>
          <w:lang w:val="es-ES_tradnl"/>
        </w:rPr>
        <w:t xml:space="preserve"> </w:t>
      </w:r>
      <w:r w:rsidRPr="0052606C">
        <w:rPr>
          <w:lang w:val="es-ES_tradnl"/>
        </w:rPr>
        <w:t>que abarca el tratamiento de las consecuencias de la escisión (art. 7), no tipifica como delito la mutilación genital femenina, a pesar de incluir disposiciones penales (título tercero). Por su parte, la Circular núm. 99</w:t>
      </w:r>
      <w:r w:rsidRPr="0052606C">
        <w:rPr>
          <w:lang w:val="es-ES_tradnl"/>
        </w:rPr>
        <w:noBreakHyphen/>
        <w:t>0019 del Ministerio de Sanidad, Personas de Edad y Solidaridad, de 7 de enero de 1999, si bien prohíbe practicar la escisión en los centros de salud, no tiene por objeto tipificar como delito la mutilación genital femenina ni prevé sanciones para el personal de la salud que la practique</w:t>
      </w:r>
      <w:r w:rsidRPr="0052606C">
        <w:rPr>
          <w:vertAlign w:val="superscript"/>
          <w:lang w:val="es-ES_tradnl"/>
        </w:rPr>
        <w:footnoteReference w:id="6"/>
      </w:r>
      <w:r w:rsidRPr="0052606C">
        <w:rPr>
          <w:lang w:val="es-ES_tradnl"/>
        </w:rPr>
        <w:t>. Además, según algunos interlocutores y el Ministerio de Promoción de la Mujer, la Infancia y la Familia</w:t>
      </w:r>
      <w:r w:rsidRPr="0052606C">
        <w:rPr>
          <w:vertAlign w:val="superscript"/>
          <w:lang w:val="es-ES_tradnl"/>
        </w:rPr>
        <w:footnoteReference w:id="7"/>
      </w:r>
      <w:r w:rsidRPr="0052606C">
        <w:rPr>
          <w:lang w:val="es-ES_tradnl"/>
        </w:rPr>
        <w:t xml:space="preserve"> esa circular no se aplica estrictamente.</w:t>
      </w:r>
    </w:p>
    <w:p w14:paraId="6787CCB2" w14:textId="2275709D" w:rsidR="0052606C" w:rsidRDefault="0052606C" w:rsidP="00AD6601">
      <w:pPr>
        <w:pStyle w:val="SingleTxt"/>
        <w:numPr>
          <w:ilvl w:val="0"/>
          <w:numId w:val="5"/>
        </w:numPr>
        <w:ind w:left="1267"/>
        <w:rPr>
          <w:lang w:val="es-ES_tradnl"/>
        </w:rPr>
      </w:pPr>
      <w:r w:rsidRPr="0052606C">
        <w:rPr>
          <w:lang w:val="es-ES_tradnl"/>
        </w:rPr>
        <w:t>Malí ratificó sin reservas el Protocolo de la Carta Africana de Derechos Humanos y de los Pueblos relativo a los Derechos de la Mujer en África (Protocolo de Maputo) que, en su artículo 5 b), obliga a los Estados partes a prohibir mediante medidas legislativas acompañadas de sanciones todas las formas de mutilación genital femenina.</w:t>
      </w:r>
    </w:p>
    <w:p w14:paraId="6F14254A" w14:textId="72E768C3" w:rsidR="0052606C" w:rsidRPr="0052606C" w:rsidRDefault="0052606C" w:rsidP="0052606C">
      <w:pPr>
        <w:pStyle w:val="SingleTxt"/>
        <w:spacing w:after="0" w:line="120" w:lineRule="exact"/>
        <w:rPr>
          <w:sz w:val="10"/>
          <w:lang w:val="es-ES_tradnl"/>
        </w:rPr>
      </w:pPr>
    </w:p>
    <w:p w14:paraId="32AAFBCC" w14:textId="648A9DCB" w:rsidR="0052606C" w:rsidRPr="0052606C" w:rsidRDefault="0052606C" w:rsidP="0052606C">
      <w:pPr>
        <w:pStyle w:val="SingleTxt"/>
        <w:spacing w:after="0" w:line="120" w:lineRule="exact"/>
        <w:rPr>
          <w:sz w:val="10"/>
          <w:lang w:val="es-ES_tradnl"/>
        </w:rPr>
      </w:pPr>
    </w:p>
    <w:p w14:paraId="1741FAAD" w14:textId="53CE5483" w:rsidR="0052606C" w:rsidRDefault="0052606C" w:rsidP="0052606C">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2606C">
        <w:rPr>
          <w:lang w:val="es-ES_tradnl"/>
        </w:rPr>
        <w:tab/>
        <w:t>VII.</w:t>
      </w:r>
      <w:r w:rsidRPr="0052606C">
        <w:rPr>
          <w:lang w:val="es-ES_tradnl"/>
        </w:rPr>
        <w:tab/>
        <w:t xml:space="preserve">Conclusiones fácticas </w:t>
      </w:r>
    </w:p>
    <w:p w14:paraId="2D8D020E" w14:textId="15948C1C" w:rsidR="0052606C" w:rsidRPr="0052606C" w:rsidRDefault="0052606C" w:rsidP="0052606C">
      <w:pPr>
        <w:pStyle w:val="SingleTxt"/>
        <w:spacing w:after="0" w:line="120" w:lineRule="exact"/>
        <w:rPr>
          <w:sz w:val="10"/>
          <w:lang w:val="es-ES_tradnl"/>
        </w:rPr>
      </w:pPr>
    </w:p>
    <w:p w14:paraId="7ECFCA69" w14:textId="04951FD9" w:rsidR="0052606C" w:rsidRPr="0052606C" w:rsidRDefault="0052606C" w:rsidP="0052606C">
      <w:pPr>
        <w:pStyle w:val="SingleTxt"/>
        <w:spacing w:after="0" w:line="120" w:lineRule="exact"/>
        <w:rPr>
          <w:sz w:val="10"/>
          <w:lang w:val="es-ES_tradnl"/>
        </w:rPr>
      </w:pPr>
    </w:p>
    <w:p w14:paraId="2F072180" w14:textId="3C0EDD70" w:rsidR="0052606C" w:rsidRDefault="0052606C" w:rsidP="0052606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2606C">
        <w:rPr>
          <w:lang w:val="es-ES_tradnl"/>
        </w:rPr>
        <w:tab/>
        <w:t>A.</w:t>
      </w:r>
      <w:r w:rsidRPr="0052606C">
        <w:rPr>
          <w:lang w:val="es-ES_tradnl"/>
        </w:rPr>
        <w:tab/>
        <w:t>Persistencia y contextualización de la práctica de la mutilación genital femenina</w:t>
      </w:r>
    </w:p>
    <w:p w14:paraId="2151F8F1" w14:textId="60C7F490" w:rsidR="0052606C" w:rsidRPr="0052606C" w:rsidRDefault="0052606C" w:rsidP="0052606C">
      <w:pPr>
        <w:pStyle w:val="SingleTxt"/>
        <w:spacing w:after="0" w:line="120" w:lineRule="exact"/>
        <w:rPr>
          <w:sz w:val="10"/>
          <w:lang w:val="es-ES_tradnl"/>
        </w:rPr>
      </w:pPr>
    </w:p>
    <w:p w14:paraId="71FE2F4C" w14:textId="3F696188" w:rsidR="0052606C" w:rsidRPr="0052606C" w:rsidRDefault="0052606C" w:rsidP="0052606C">
      <w:pPr>
        <w:pStyle w:val="SingleTxt"/>
        <w:spacing w:after="0" w:line="120" w:lineRule="exact"/>
        <w:rPr>
          <w:sz w:val="10"/>
          <w:lang w:val="es-ES_tradnl"/>
        </w:rPr>
      </w:pPr>
    </w:p>
    <w:p w14:paraId="2F66C864" w14:textId="5B6FCD1B" w:rsidR="0052606C" w:rsidRDefault="0052606C" w:rsidP="005260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2606C">
        <w:rPr>
          <w:lang w:val="es-ES_tradnl"/>
        </w:rPr>
        <w:tab/>
        <w:t>1.</w:t>
      </w:r>
      <w:r w:rsidRPr="0052606C">
        <w:rPr>
          <w:lang w:val="es-ES_tradnl"/>
        </w:rPr>
        <w:tab/>
        <w:t>Tasa de prevalencia y características</w:t>
      </w:r>
    </w:p>
    <w:p w14:paraId="6B1C7DF7" w14:textId="3F1961EB" w:rsidR="0052606C" w:rsidRPr="0052606C" w:rsidRDefault="0052606C" w:rsidP="0052606C">
      <w:pPr>
        <w:pStyle w:val="SingleTxt"/>
        <w:spacing w:after="0" w:line="120" w:lineRule="exact"/>
        <w:rPr>
          <w:sz w:val="10"/>
          <w:lang w:val="es-ES_tradnl"/>
        </w:rPr>
      </w:pPr>
    </w:p>
    <w:p w14:paraId="64BCDDE9" w14:textId="0E6E00FE" w:rsidR="0052606C" w:rsidRPr="0052606C" w:rsidRDefault="0052606C" w:rsidP="00AD6601">
      <w:pPr>
        <w:pStyle w:val="SingleTxt"/>
        <w:numPr>
          <w:ilvl w:val="0"/>
          <w:numId w:val="5"/>
        </w:numPr>
        <w:ind w:left="1267"/>
        <w:rPr>
          <w:lang w:val="es-ES_tradnl"/>
        </w:rPr>
      </w:pPr>
      <w:r w:rsidRPr="0052606C">
        <w:rPr>
          <w:lang w:val="es-ES_tradnl"/>
        </w:rPr>
        <w:t>El Comité observa que la tasa de prevalencia de la mutilación genital femenina sigue siendo muy elevada en Malí. De hecho, según la encuesta de indicadores múltiples por conglomerados de 2015, esa tasa se sitúa en el 82,7 % entre las mujeres de 15 a 49 años, y en el 76,4 % entre las niñas de 0 a 14 años</w:t>
      </w:r>
      <w:r w:rsidRPr="0052606C">
        <w:rPr>
          <w:vertAlign w:val="superscript"/>
          <w:lang w:val="es-ES_tradnl"/>
        </w:rPr>
        <w:footnoteReference w:id="8"/>
      </w:r>
      <w:r w:rsidRPr="0052606C">
        <w:rPr>
          <w:lang w:val="es-ES_tradnl"/>
        </w:rPr>
        <w:t>. Si bien las expertas observaron que, de 2012-2013 a 2015</w:t>
      </w:r>
      <w:r w:rsidRPr="0052606C">
        <w:rPr>
          <w:vertAlign w:val="superscript"/>
          <w:lang w:val="es-ES_tradnl"/>
        </w:rPr>
        <w:footnoteReference w:id="9"/>
      </w:r>
      <w:r w:rsidRPr="0052606C">
        <w:rPr>
          <w:lang w:val="es-ES_tradnl"/>
        </w:rPr>
        <w:t>, la prevalencia entre las mujeres de 15 a 49 años se redujo en un 8,7 %, también observaron que entre las niñas de 0 a 14 años aumentó en un 7,4 % en ese mismo período</w:t>
      </w:r>
      <w:r w:rsidRPr="0052606C">
        <w:rPr>
          <w:vertAlign w:val="superscript"/>
          <w:lang w:val="es-ES_tradnl"/>
        </w:rPr>
        <w:footnoteReference w:id="10"/>
      </w:r>
      <w:r w:rsidRPr="0052606C">
        <w:rPr>
          <w:lang w:val="es-ES_tradnl"/>
        </w:rPr>
        <w:t xml:space="preserve">. Esa prevalencia entre las niñas era la </w:t>
      </w:r>
      <w:r w:rsidRPr="0052606C">
        <w:rPr>
          <w:lang w:val="es-ES_tradnl"/>
        </w:rPr>
        <w:lastRenderedPageBreak/>
        <w:t>mayor de África Occidental en 2017</w:t>
      </w:r>
      <w:r w:rsidRPr="0052606C">
        <w:rPr>
          <w:vertAlign w:val="superscript"/>
          <w:lang w:val="es-ES_tradnl"/>
        </w:rPr>
        <w:footnoteReference w:id="11"/>
      </w:r>
      <w:r w:rsidRPr="0052606C">
        <w:rPr>
          <w:lang w:val="es-ES_tradnl"/>
        </w:rPr>
        <w:t xml:space="preserve"> y superaba la media regional, que se situaba en el 25,4 %</w:t>
      </w:r>
      <w:r w:rsidRPr="0052606C">
        <w:rPr>
          <w:vertAlign w:val="superscript"/>
          <w:lang w:val="es-ES_tradnl"/>
        </w:rPr>
        <w:footnoteReference w:id="12"/>
      </w:r>
      <w:r w:rsidRPr="0052606C">
        <w:rPr>
          <w:lang w:val="es-ES_tradnl"/>
        </w:rPr>
        <w:t xml:space="preserve">. </w:t>
      </w:r>
    </w:p>
    <w:p w14:paraId="3C9A1AF9" w14:textId="2D28CE77" w:rsidR="0052606C" w:rsidRPr="0052606C" w:rsidRDefault="0052606C" w:rsidP="00451470">
      <w:pPr>
        <w:pStyle w:val="SingleTxt"/>
        <w:numPr>
          <w:ilvl w:val="0"/>
          <w:numId w:val="5"/>
        </w:numPr>
        <w:ind w:left="1267"/>
        <w:jc w:val="lowKashida"/>
        <w:rPr>
          <w:lang w:val="es-ES_tradnl"/>
        </w:rPr>
      </w:pPr>
      <w:r w:rsidRPr="0052606C">
        <w:rPr>
          <w:lang w:val="es-ES_tradnl"/>
        </w:rPr>
        <w:t>Los datos de 2012-2013 permiten realizar un análisis detallado de esa práctica. Según esas cifras, la tasa de mujeres sometidas a mutilación genital femenina no varía mucho en función del medio, ya sea urbano o rural (variación del 1,3 %), de la situación socioeconómica de la víctima (2 %) ni de la región de que se trate (6,4 %)</w:t>
      </w:r>
      <w:r w:rsidRPr="0052606C">
        <w:rPr>
          <w:vertAlign w:val="superscript"/>
          <w:lang w:val="es-ES_tradnl"/>
        </w:rPr>
        <w:footnoteReference w:id="13"/>
      </w:r>
      <w:r w:rsidRPr="0052606C">
        <w:rPr>
          <w:lang w:val="es-ES_tradnl"/>
        </w:rPr>
        <w:t>. Asimismo, el Comité observa que en la convicción de que esa práctica debe continuar tampoco influyen mucho la situación socioeconómica (variación del 2,7 %), el lugar de residencia (3,3 %), la edad (4,8 %), la región (7,7 %) ni el nivel de escolaridad (9,7 %)</w:t>
      </w:r>
      <w:r w:rsidRPr="0052606C">
        <w:rPr>
          <w:vertAlign w:val="superscript"/>
          <w:lang w:val="es-ES_tradnl"/>
        </w:rPr>
        <w:footnoteReference w:id="14"/>
      </w:r>
      <w:r w:rsidRPr="0052606C">
        <w:rPr>
          <w:lang w:val="es-ES_tradnl"/>
        </w:rPr>
        <w:t>. Sin embargo, las cifras muestran diferencias de más del 36 % entre las etnias y del 27 % entre las confesiones</w:t>
      </w:r>
      <w:r w:rsidRPr="0052606C">
        <w:rPr>
          <w:vertAlign w:val="superscript"/>
          <w:lang w:val="es-ES_tradnl"/>
        </w:rPr>
        <w:footnoteReference w:id="15"/>
      </w:r>
      <w:r w:rsidRPr="0052606C">
        <w:rPr>
          <w:lang w:val="es-ES_tradnl"/>
        </w:rPr>
        <w:t>. También muestran que el porcentaje de mujeres convencidas de que la religión exige la mutilación genital femenina es mayor en las etnias en las que la práctica está más generalizada</w:t>
      </w:r>
      <w:r w:rsidRPr="0052606C">
        <w:rPr>
          <w:vertAlign w:val="superscript"/>
          <w:lang w:val="es-ES_tradnl"/>
        </w:rPr>
        <w:footnoteReference w:id="16"/>
      </w:r>
      <w:r w:rsidRPr="0052606C">
        <w:rPr>
          <w:lang w:val="es-ES_tradnl"/>
        </w:rPr>
        <w:t>.</w:t>
      </w:r>
    </w:p>
    <w:p w14:paraId="7F098870" w14:textId="11412223" w:rsidR="0052606C" w:rsidRDefault="0052606C" w:rsidP="00AD6601">
      <w:pPr>
        <w:pStyle w:val="SingleTxt"/>
        <w:numPr>
          <w:ilvl w:val="0"/>
          <w:numId w:val="5"/>
        </w:numPr>
        <w:ind w:left="1267"/>
        <w:rPr>
          <w:lang w:val="es-ES_tradnl"/>
        </w:rPr>
      </w:pPr>
      <w:r w:rsidRPr="0052606C">
        <w:rPr>
          <w:lang w:val="es-ES_tradnl"/>
        </w:rPr>
        <w:t>El tipo de mutilación genital femenina más practicada en el Estado parte es el tipo II, comúnmente denominada escisión (48,9 % de las mujeres de entre 15 y 49 años)</w:t>
      </w:r>
      <w:r w:rsidRPr="0052606C">
        <w:rPr>
          <w:vertAlign w:val="superscript"/>
          <w:lang w:val="es-ES_tradnl"/>
        </w:rPr>
        <w:footnoteReference w:id="17"/>
      </w:r>
      <w:r w:rsidRPr="0052606C">
        <w:rPr>
          <w:lang w:val="es-ES_tradnl"/>
        </w:rPr>
        <w:t>. El 14,6 % de las mujeres han sufrido cortes sin ablación de tejido (tipo IV) y el 10,6 %, infibulación (tipo III)</w:t>
      </w:r>
      <w:r w:rsidRPr="0052606C">
        <w:rPr>
          <w:vertAlign w:val="superscript"/>
          <w:lang w:val="es-ES_tradnl"/>
        </w:rPr>
        <w:footnoteReference w:id="18"/>
      </w:r>
      <w:r w:rsidRPr="0052606C">
        <w:rPr>
          <w:lang w:val="es-ES_tradnl"/>
        </w:rPr>
        <w:t>. El 73 % de las mujeres declararon haber sufrido una mutilación genital femenina durante la primera infancia, y solamente un 0,4 % a los 15 o más años</w:t>
      </w:r>
      <w:r w:rsidRPr="0052606C">
        <w:rPr>
          <w:vertAlign w:val="superscript"/>
          <w:lang w:val="es-ES_tradnl"/>
        </w:rPr>
        <w:footnoteReference w:id="19"/>
      </w:r>
      <w:r w:rsidRPr="0052606C">
        <w:rPr>
          <w:lang w:val="es-ES_tradnl"/>
        </w:rPr>
        <w:t>. Además, se observa que las víctimas son cada vez más jóvenes. Cabe destacar asimismo que el 90,9 % de las mujeres de entre 15 y 49 años y el 97,</w:t>
      </w:r>
      <w:r w:rsidR="004B198C" w:rsidRPr="0052606C">
        <w:rPr>
          <w:lang w:val="es-ES_tradnl"/>
        </w:rPr>
        <w:t>8</w:t>
      </w:r>
      <w:r w:rsidR="004B198C">
        <w:rPr>
          <w:lang w:val="es-ES_tradnl"/>
        </w:rPr>
        <w:t> </w:t>
      </w:r>
      <w:r w:rsidRPr="0052606C">
        <w:rPr>
          <w:lang w:val="es-ES_tradnl"/>
        </w:rPr>
        <w:t>% de las niñas de hasta 14 años que habían sufrido una mutilación genital afirmaron que esta había sido realizada por una persona que era practicante tradicional; el 0,7</w:t>
      </w:r>
      <w:r w:rsidR="004B198C">
        <w:rPr>
          <w:lang w:val="es-ES_tradnl"/>
        </w:rPr>
        <w:t> </w:t>
      </w:r>
      <w:r w:rsidRPr="0052606C">
        <w:rPr>
          <w:lang w:val="es-ES_tradnl"/>
        </w:rPr>
        <w:t>% de las mujeres de entre 15 y 49 años y el 2 % de las niñas de hasta 14 años sufrieron una mutilación genital femenina realizada por un profesional sanitario</w:t>
      </w:r>
      <w:r w:rsidRPr="0052606C">
        <w:rPr>
          <w:vertAlign w:val="superscript"/>
          <w:lang w:val="es-ES_tradnl"/>
        </w:rPr>
        <w:footnoteReference w:id="20"/>
      </w:r>
      <w:r w:rsidRPr="0052606C">
        <w:rPr>
          <w:lang w:val="es-ES_tradnl"/>
        </w:rPr>
        <w:t xml:space="preserve">. </w:t>
      </w:r>
    </w:p>
    <w:p w14:paraId="06F20677" w14:textId="0DEEBB94" w:rsidR="0052606C" w:rsidRPr="0052606C" w:rsidRDefault="0052606C" w:rsidP="0052606C">
      <w:pPr>
        <w:pStyle w:val="SingleTxt"/>
        <w:spacing w:after="0" w:line="120" w:lineRule="exact"/>
        <w:rPr>
          <w:sz w:val="10"/>
          <w:lang w:val="es-ES_tradnl"/>
        </w:rPr>
      </w:pPr>
    </w:p>
    <w:p w14:paraId="1E94C399" w14:textId="5D1184E1" w:rsidR="0052606C" w:rsidRDefault="0052606C" w:rsidP="005260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2606C">
        <w:rPr>
          <w:lang w:val="es-ES_tradnl"/>
        </w:rPr>
        <w:tab/>
        <w:t>2.</w:t>
      </w:r>
      <w:r w:rsidRPr="0052606C">
        <w:rPr>
          <w:lang w:val="es-ES_tradnl"/>
        </w:rPr>
        <w:tab/>
        <w:t>Contexto sociocultural y estereotipos de género</w:t>
      </w:r>
    </w:p>
    <w:p w14:paraId="04239252" w14:textId="63B0FA73" w:rsidR="0052606C" w:rsidRPr="0052606C" w:rsidRDefault="0052606C" w:rsidP="0052606C">
      <w:pPr>
        <w:pStyle w:val="SingleTxt"/>
        <w:spacing w:after="0" w:line="120" w:lineRule="exact"/>
        <w:rPr>
          <w:sz w:val="10"/>
          <w:lang w:val="es-ES_tradnl"/>
        </w:rPr>
      </w:pPr>
    </w:p>
    <w:p w14:paraId="1656F5DB" w14:textId="48F024FD" w:rsidR="0052606C" w:rsidRPr="0052606C" w:rsidRDefault="0052606C" w:rsidP="00AD6601">
      <w:pPr>
        <w:pStyle w:val="SingleTxt"/>
        <w:numPr>
          <w:ilvl w:val="0"/>
          <w:numId w:val="5"/>
        </w:numPr>
        <w:ind w:left="1267"/>
        <w:rPr>
          <w:lang w:val="es-ES_tradnl"/>
        </w:rPr>
      </w:pPr>
      <w:r w:rsidRPr="0052606C">
        <w:rPr>
          <w:lang w:val="es-ES_tradnl"/>
        </w:rPr>
        <w:t>En el Estado parte, el 71 % de las mujeres y el 66 % de los hombres de entre 15 y 49 años mantienen que la religión exige la mutilación genital femenina</w:t>
      </w:r>
      <w:r w:rsidRPr="0052606C">
        <w:rPr>
          <w:vertAlign w:val="superscript"/>
          <w:lang w:val="es-ES_tradnl"/>
        </w:rPr>
        <w:footnoteReference w:id="21"/>
      </w:r>
      <w:r w:rsidRPr="0052606C">
        <w:rPr>
          <w:lang w:val="es-ES_tradnl"/>
        </w:rPr>
        <w:t xml:space="preserve">. Cabe destacar que, en un diálogo celebrado en Mopti en 2010 sobre la mutilación genital femenina, los líderes religiosos condenaron las formas más graves de escisión y afirmaron su voluntad de debatir más sobre esa cuestión con las partes interesadas. Los representantes de las autoridades y de la Comisión Nacional de Derechos Humanos entrevistados en Bamako también subrayaron el carácter socioeconómico de esa práctica. No obstante, el Comité observa que entre los líderes religiosos persisten las corrientes que defienden la mutilación genital femenina y consideran que se trata de una práctica obligatoria. También observa que el conocimiento insuficiente de los textos religiosos influye en el convencimiento de que existe un vínculo entre esa práctica y la religión, y que, según los representantes de las </w:t>
      </w:r>
      <w:r w:rsidRPr="0052606C">
        <w:rPr>
          <w:lang w:val="es-ES_tradnl"/>
        </w:rPr>
        <w:lastRenderedPageBreak/>
        <w:t>autoridades regionales de Mopti, es difícil clasificar la práctica como una cuestión exclusivamente religiosa o social.</w:t>
      </w:r>
    </w:p>
    <w:p w14:paraId="2122855D" w14:textId="3FC7DB59" w:rsidR="0052606C" w:rsidRPr="0052606C" w:rsidRDefault="0052606C" w:rsidP="00AD6601">
      <w:pPr>
        <w:pStyle w:val="SingleTxt"/>
        <w:numPr>
          <w:ilvl w:val="0"/>
          <w:numId w:val="5"/>
        </w:numPr>
        <w:ind w:left="1267"/>
        <w:rPr>
          <w:lang w:val="es-ES_tradnl"/>
        </w:rPr>
      </w:pPr>
      <w:r w:rsidRPr="0052606C">
        <w:rPr>
          <w:lang w:val="es-ES_tradnl"/>
        </w:rPr>
        <w:t>En Mopti, los líderes religiosos declararon que la mutilación genital femenina permitía controlar la actividad sexual de las mujeres. En Bamako, una organización no gubernamental (ONG) y una víctima informaron de que las niñas que no habían sufrido una mutilación genital se consideraban una vergüenza para la familia, y dijeron que, según ciertas creencias, tener relaciones sexuales con una mujer que no hubiera sufrido esa mutilación podía provocar impotencia en el hombre.</w:t>
      </w:r>
    </w:p>
    <w:p w14:paraId="4462FA1B" w14:textId="7136AC36" w:rsidR="0052606C" w:rsidRPr="0052606C" w:rsidRDefault="0052606C" w:rsidP="00AD6601">
      <w:pPr>
        <w:pStyle w:val="SingleTxt"/>
        <w:numPr>
          <w:ilvl w:val="0"/>
          <w:numId w:val="5"/>
        </w:numPr>
        <w:ind w:left="1267"/>
        <w:rPr>
          <w:lang w:val="es-ES_tradnl"/>
        </w:rPr>
      </w:pPr>
      <w:r w:rsidRPr="0052606C">
        <w:rPr>
          <w:lang w:val="es-ES_tradnl"/>
        </w:rPr>
        <w:t xml:space="preserve">Una víctima explicó a las expertas en Bamako que después de haber sufrido una escisión su familia le dio la bienvenida como </w:t>
      </w:r>
      <w:r w:rsidR="00C24033">
        <w:rPr>
          <w:lang w:val="es-ES_tradnl"/>
        </w:rPr>
        <w:t>“</w:t>
      </w:r>
      <w:r w:rsidRPr="0052606C">
        <w:rPr>
          <w:lang w:val="es-ES_tradnl"/>
        </w:rPr>
        <w:t>mujer</w:t>
      </w:r>
      <w:r w:rsidR="00C24033">
        <w:rPr>
          <w:lang w:val="es-ES_tradnl"/>
        </w:rPr>
        <w:t>”</w:t>
      </w:r>
      <w:r w:rsidRPr="0052606C">
        <w:rPr>
          <w:lang w:val="es-ES_tradnl"/>
        </w:rPr>
        <w:t xml:space="preserve">. Los líderes religiosos entrevistados por las expertas en Mopti declararon que la mutilación genital era necesaria para purificar a las mujeres antes del matrimonio. Una ONG de Bamako confirmó que las familias temían que sus hijas no encontraran marido si no habían sufrido una escisión. </w:t>
      </w:r>
    </w:p>
    <w:p w14:paraId="2421B5ED" w14:textId="59798D60" w:rsidR="0052606C" w:rsidRPr="0052606C" w:rsidRDefault="0052606C" w:rsidP="00AD6601">
      <w:pPr>
        <w:pStyle w:val="SingleTxt"/>
        <w:numPr>
          <w:ilvl w:val="0"/>
          <w:numId w:val="5"/>
        </w:numPr>
        <w:ind w:left="1267"/>
        <w:rPr>
          <w:lang w:val="es-ES_tradnl"/>
        </w:rPr>
      </w:pPr>
      <w:r w:rsidRPr="0052606C">
        <w:rPr>
          <w:lang w:val="es-ES_tradnl"/>
        </w:rPr>
        <w:t>Las víctimas, las ONG entrevistadas en Bamako y Mopti, y los representantes de las autoridades entrevistados en Mopti afirmaron que la mayoría de las personas que practicaban la escisión formaban parte de la casta de los herreros y tenían un estatus importante en la sociedad. Las víctimas y las ONG puntualizaron que esas personas no podían renunciar por decisión propia a su posición social, y que, si una de ellas dejaba de practicar la escisión, no podía transmitir la práctica.</w:t>
      </w:r>
    </w:p>
    <w:p w14:paraId="3C4D0FF4" w14:textId="27317C29" w:rsidR="0052606C" w:rsidRDefault="0052606C" w:rsidP="00AD6601">
      <w:pPr>
        <w:pStyle w:val="SingleTxt"/>
        <w:numPr>
          <w:ilvl w:val="0"/>
          <w:numId w:val="5"/>
        </w:numPr>
        <w:ind w:left="1267"/>
        <w:rPr>
          <w:lang w:val="es-ES_tradnl"/>
        </w:rPr>
      </w:pPr>
      <w:r w:rsidRPr="0052606C">
        <w:rPr>
          <w:lang w:val="es-ES_tradnl"/>
        </w:rPr>
        <w:t xml:space="preserve">Los representantes de las autoridades entrevistados en Mopti y Bamako, así como una ONG y una víctima entrevistadas en Bamako, confirmaron que el jefe de la familia extensa, generalmente un hombre, era quien tomaba la decisión de someter o no a las niñas a una mutilación genital, imponiendo su autoridad sobre la de los padres, que solían acatar su decisión. </w:t>
      </w:r>
    </w:p>
    <w:p w14:paraId="0F61ED42" w14:textId="3AD7BD1E" w:rsidR="0052606C" w:rsidRPr="0052606C" w:rsidRDefault="0052606C" w:rsidP="0052606C">
      <w:pPr>
        <w:pStyle w:val="SingleTxt"/>
        <w:spacing w:after="0" w:line="120" w:lineRule="exact"/>
        <w:rPr>
          <w:sz w:val="10"/>
          <w:lang w:val="es-ES_tradnl"/>
        </w:rPr>
      </w:pPr>
    </w:p>
    <w:p w14:paraId="3C464D2E" w14:textId="7D7BA378" w:rsidR="0052606C" w:rsidRDefault="0052606C" w:rsidP="005260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2606C">
        <w:rPr>
          <w:lang w:val="es-ES_tradnl"/>
        </w:rPr>
        <w:tab/>
        <w:t>3.</w:t>
      </w:r>
      <w:r w:rsidRPr="0052606C">
        <w:rPr>
          <w:lang w:val="es-ES_tradnl"/>
        </w:rPr>
        <w:tab/>
        <w:t>Circunstancias en las que se realizan las mutilaciones genitales femeninas</w:t>
      </w:r>
    </w:p>
    <w:p w14:paraId="17A8EA2C" w14:textId="462C6B0F" w:rsidR="0052606C" w:rsidRPr="0052606C" w:rsidRDefault="0052606C" w:rsidP="0052606C">
      <w:pPr>
        <w:pStyle w:val="SingleTxt"/>
        <w:spacing w:after="0" w:line="120" w:lineRule="exact"/>
        <w:rPr>
          <w:sz w:val="10"/>
          <w:lang w:val="es-ES_tradnl"/>
        </w:rPr>
      </w:pPr>
    </w:p>
    <w:p w14:paraId="0B17BEB6" w14:textId="3074F408" w:rsidR="0052606C" w:rsidRPr="0052606C" w:rsidRDefault="0052606C" w:rsidP="00AD6601">
      <w:pPr>
        <w:pStyle w:val="SingleTxt"/>
        <w:numPr>
          <w:ilvl w:val="0"/>
          <w:numId w:val="5"/>
        </w:numPr>
        <w:ind w:left="1267"/>
        <w:rPr>
          <w:lang w:val="es-ES_tradnl"/>
        </w:rPr>
      </w:pPr>
      <w:r w:rsidRPr="0052606C">
        <w:rPr>
          <w:lang w:val="es-ES_tradnl"/>
        </w:rPr>
        <w:t xml:space="preserve">Las víctimas y la persona que practicaba la mutilación genital femenina entrevistadas en Bamako indicaron que durante la mutilación solo están presentes quien la realiza y su ayudante. En zonas urbanas, la mutilación se realiza de forma individual, a menudo en un patio apartado o en un baño de una vivienda. En las zonas rurales, se organizan mutilaciones en grupo en el contexto de actividades festivas, en las que el ruido ahoga los gritos de las víctimas. Las mutilaciones en grupo conllevan un mayor riesgo de transmisión de enfermedades, ya que se utiliza un mismo instrumento cortante para varias niñas. </w:t>
      </w:r>
    </w:p>
    <w:p w14:paraId="28FBFDCC" w14:textId="11C2A728" w:rsidR="0052606C" w:rsidRDefault="0052606C" w:rsidP="00AD6601">
      <w:pPr>
        <w:pStyle w:val="SingleTxt"/>
        <w:numPr>
          <w:ilvl w:val="0"/>
          <w:numId w:val="5"/>
        </w:numPr>
        <w:ind w:left="1267"/>
        <w:rPr>
          <w:lang w:val="es-ES_tradnl"/>
        </w:rPr>
      </w:pPr>
      <w:r w:rsidRPr="0052606C">
        <w:rPr>
          <w:lang w:val="es-ES_tradnl"/>
        </w:rPr>
        <w:t>El Comité observa que el silencio que rodea a la mutilación genital femenina y sus consecuencias negativas se mantiene incluso en las relaciones entre madres e hijas. De hecho, dos víctimas entrevistadas en Bamako que presentaban secuelas de una mutilación genital femenina afirmaron que les resultaba demasiado incómodo preguntarles a sus hijas si sufrían los mismos dolores. También en Bamako, un abogado y una víctima destacaron que ese silencio representaba un obstáculo para denunciar a los autores de las mutilaciones, incluso aunque se aprobara una ley que prohibiera la mutilación genital femenina.</w:t>
      </w:r>
    </w:p>
    <w:p w14:paraId="4890AEFF" w14:textId="719654C9" w:rsidR="0052606C" w:rsidRPr="0052606C" w:rsidRDefault="0052606C" w:rsidP="0052606C">
      <w:pPr>
        <w:pStyle w:val="SingleTxt"/>
        <w:spacing w:after="0" w:line="120" w:lineRule="exact"/>
        <w:rPr>
          <w:sz w:val="10"/>
          <w:lang w:val="es-ES_tradnl"/>
        </w:rPr>
      </w:pPr>
    </w:p>
    <w:p w14:paraId="633185D7" w14:textId="3468F5DB" w:rsidR="0052606C" w:rsidRDefault="0052606C" w:rsidP="005260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2606C">
        <w:rPr>
          <w:lang w:val="es-ES_tradnl"/>
        </w:rPr>
        <w:tab/>
        <w:t>4.</w:t>
      </w:r>
      <w:r w:rsidRPr="0052606C">
        <w:rPr>
          <w:lang w:val="es-ES_tradnl"/>
        </w:rPr>
        <w:tab/>
        <w:t>Dimensión económica</w:t>
      </w:r>
    </w:p>
    <w:p w14:paraId="39ACA295" w14:textId="2EE607AB" w:rsidR="0052606C" w:rsidRPr="0052606C" w:rsidRDefault="0052606C" w:rsidP="0052606C">
      <w:pPr>
        <w:pStyle w:val="SingleTxt"/>
        <w:spacing w:after="0" w:line="120" w:lineRule="exact"/>
        <w:rPr>
          <w:sz w:val="10"/>
          <w:lang w:val="es-ES_tradnl"/>
        </w:rPr>
      </w:pPr>
    </w:p>
    <w:p w14:paraId="59D1F0EF" w14:textId="7393719C" w:rsidR="0052606C" w:rsidRDefault="0052606C" w:rsidP="00AD6601">
      <w:pPr>
        <w:pStyle w:val="SingleTxt"/>
        <w:numPr>
          <w:ilvl w:val="0"/>
          <w:numId w:val="5"/>
        </w:numPr>
        <w:ind w:left="1267"/>
        <w:rPr>
          <w:lang w:val="es-ES_tradnl"/>
        </w:rPr>
      </w:pPr>
      <w:r w:rsidRPr="0052606C">
        <w:rPr>
          <w:lang w:val="es-ES_tradnl"/>
        </w:rPr>
        <w:t xml:space="preserve">En Bamako, la persona entrevistada que practicaba la mutilación genital femenina afirmó que la mutilación en grupo de unas 17 niñas le permitía cubrir sus necesidades alimentarias durante un año entero. Además, las ONG consultadas en Bamako apuntaron que la práctica también era lucrativa para los fetichistas, que vendían en el mercado las partes cortadas de los órganos genitales y las utilizaban para preparar remedios tradicionales. Los representantes de las autoridades de Mopti, </w:t>
      </w:r>
      <w:r w:rsidRPr="0052606C">
        <w:rPr>
          <w:lang w:val="es-ES_tradnl"/>
        </w:rPr>
        <w:lastRenderedPageBreak/>
        <w:t>así como las ONG entrevistadas en Mopti y Bamako, destacaron que las personas que practicaban la mutilación genital femenina no dejarían de hacerlo mientras siguiera habiendo demanda de sus servicios.</w:t>
      </w:r>
    </w:p>
    <w:p w14:paraId="1B1BE2A3" w14:textId="17D23AB2" w:rsidR="0052606C" w:rsidRPr="0052606C" w:rsidRDefault="0052606C" w:rsidP="0052606C">
      <w:pPr>
        <w:pStyle w:val="SingleTxt"/>
        <w:spacing w:after="0" w:line="120" w:lineRule="exact"/>
        <w:rPr>
          <w:sz w:val="10"/>
          <w:lang w:val="es-ES_tradnl"/>
        </w:rPr>
      </w:pPr>
    </w:p>
    <w:p w14:paraId="4C235A41" w14:textId="7E484ED8" w:rsidR="0052606C" w:rsidRDefault="0052606C" w:rsidP="005260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2606C">
        <w:rPr>
          <w:lang w:val="es-ES_tradnl"/>
        </w:rPr>
        <w:tab/>
        <w:t>5.</w:t>
      </w:r>
      <w:r w:rsidRPr="0052606C">
        <w:rPr>
          <w:lang w:val="es-ES_tradnl"/>
        </w:rPr>
        <w:tab/>
        <w:t xml:space="preserve">Secuelas físicas, psicológicas y sociales y contexto médico </w:t>
      </w:r>
    </w:p>
    <w:p w14:paraId="3705A922" w14:textId="6F365025" w:rsidR="0052606C" w:rsidRPr="0052606C" w:rsidRDefault="0052606C" w:rsidP="0052606C">
      <w:pPr>
        <w:pStyle w:val="SingleTxt"/>
        <w:spacing w:after="0" w:line="120" w:lineRule="exact"/>
        <w:rPr>
          <w:sz w:val="10"/>
          <w:lang w:val="es-ES_tradnl"/>
        </w:rPr>
      </w:pPr>
    </w:p>
    <w:p w14:paraId="529D8812" w14:textId="7A7A63D5" w:rsidR="0052606C" w:rsidRPr="0052606C" w:rsidRDefault="0052606C" w:rsidP="00AD6601">
      <w:pPr>
        <w:pStyle w:val="SingleTxt"/>
        <w:numPr>
          <w:ilvl w:val="0"/>
          <w:numId w:val="5"/>
        </w:numPr>
        <w:ind w:left="1267"/>
        <w:rPr>
          <w:lang w:val="es-ES_tradnl"/>
        </w:rPr>
      </w:pPr>
      <w:r w:rsidRPr="0052606C">
        <w:rPr>
          <w:lang w:val="es-ES_tradnl"/>
        </w:rPr>
        <w:t>En su declaración conjunta, los organismos de las Naciones Unidas diferenciaron los riesgos sanitarios inmediatos de los riesgos a largo plazo</w:t>
      </w:r>
      <w:r w:rsidRPr="0052606C">
        <w:rPr>
          <w:vertAlign w:val="superscript"/>
          <w:lang w:val="es-ES_tradnl"/>
        </w:rPr>
        <w:footnoteReference w:id="22"/>
      </w:r>
      <w:r w:rsidRPr="0052606C">
        <w:rPr>
          <w:lang w:val="es-ES_tradnl"/>
        </w:rPr>
        <w:t xml:space="preserve">. En Bamako y Mopti, las víctimas y las ONG confirmaron que las mujeres padecían secuelas físicas inmediatas y duraderas, como dolores temporales o crónicos, dificultades para orinar, infecciones y quistes, complicaciones durante el parto y relaciones sexuales dolorosas. Las interlocutoras hablaron muy poco de las consecuencias psicológicas. Solo dos víctimas entrevistadas en Bamako se refirieron abiertamente a la ausencia de placer en las relaciones sexuales. Esas reservas sobre las consecuencias para la salud sexual pueden explicarse por el tabú en torno a la sexualidad. </w:t>
      </w:r>
      <w:bookmarkStart w:id="2" w:name="_Hlk9349927"/>
      <w:bookmarkEnd w:id="2"/>
    </w:p>
    <w:p w14:paraId="007A0DDC" w14:textId="4454CD74" w:rsidR="0052606C" w:rsidRPr="0052606C" w:rsidRDefault="0052606C" w:rsidP="00AD6601">
      <w:pPr>
        <w:pStyle w:val="SingleTxt"/>
        <w:numPr>
          <w:ilvl w:val="0"/>
          <w:numId w:val="5"/>
        </w:numPr>
        <w:ind w:left="1267"/>
        <w:rPr>
          <w:lang w:val="es-ES_tradnl"/>
        </w:rPr>
      </w:pPr>
      <w:r w:rsidRPr="0052606C">
        <w:rPr>
          <w:lang w:val="es-ES_tradnl"/>
        </w:rPr>
        <w:t xml:space="preserve">Las víctimas entrevistadas en Bamako afirmaron que la herida se les abrió durante el parto y después se les volvió a cerrar. En Bamako, un representante de una ONG afirmó que en el momento del matrimonio se abría la herida cicatrizada de la víctima para permitir las relaciones sexuales, y que después se le volvía a cerrar. En Bamako, una víctima explicó también que, tras practicársele una mutilación genital, la herida se le cerró de manera cruel y rudimentaria, utilizando grapas, por lo que posteriormente tuvo que someterse a una dolorosa intervención para retirarlas. Señaló que aquella intervención había sido para ella una experiencia tan traumática como la primera mutilación, y que volvió a sufrirla después del parto. El Comité observa que las víctimas sufren durante toda la vida las secuelas de las mutilaciones genitales, que se realizan mayoritariamente a una edad temprana. </w:t>
      </w:r>
    </w:p>
    <w:p w14:paraId="657269F1" w14:textId="045AA459" w:rsidR="0052606C" w:rsidRPr="0052606C" w:rsidRDefault="0052606C" w:rsidP="00AD6601">
      <w:pPr>
        <w:pStyle w:val="SingleTxt"/>
        <w:numPr>
          <w:ilvl w:val="0"/>
          <w:numId w:val="5"/>
        </w:numPr>
        <w:ind w:left="1267"/>
        <w:rPr>
          <w:lang w:val="es-ES_tradnl"/>
        </w:rPr>
      </w:pPr>
      <w:r w:rsidRPr="0052606C">
        <w:rPr>
          <w:lang w:val="es-ES_tradnl"/>
        </w:rPr>
        <w:t xml:space="preserve">Las personas que practican la escisión son conscientes de que un resultado posible de sus actos puede ser la muerte. De hecho, la entrevistada en Bamako reconoció que dos niñas habían fallecido tras su intervención. </w:t>
      </w:r>
    </w:p>
    <w:p w14:paraId="71572528" w14:textId="245FAF91" w:rsidR="0052606C" w:rsidRDefault="0052606C" w:rsidP="00AD6601">
      <w:pPr>
        <w:pStyle w:val="SingleTxt"/>
        <w:numPr>
          <w:ilvl w:val="0"/>
          <w:numId w:val="5"/>
        </w:numPr>
        <w:ind w:left="1267"/>
        <w:rPr>
          <w:lang w:val="es-ES_tradnl"/>
        </w:rPr>
      </w:pPr>
      <w:r w:rsidRPr="0052606C">
        <w:rPr>
          <w:lang w:val="es-ES_tradnl"/>
        </w:rPr>
        <w:t>En Mopti, los líderes religiosos apoyaban la medicalización de la mutilación genital femenina. De hecho, querían que la mutilación fuera realizada por profesionales de la salud, porque, según ellos, eso evitaría las consecuencias negativas. Esta tendencia a favor de la medicalización también fue mencionada por el asesor especial del Ministerio de Promoción de la Mujer, la Infancia y la Familia y por varias ONG.</w:t>
      </w:r>
    </w:p>
    <w:p w14:paraId="69B8C47F" w14:textId="70572003" w:rsidR="0052606C" w:rsidRPr="0052606C" w:rsidRDefault="0052606C" w:rsidP="0052606C">
      <w:pPr>
        <w:pStyle w:val="SingleTxt"/>
        <w:spacing w:after="0" w:line="120" w:lineRule="exact"/>
        <w:rPr>
          <w:sz w:val="10"/>
          <w:lang w:val="es-ES_tradnl"/>
        </w:rPr>
      </w:pPr>
    </w:p>
    <w:p w14:paraId="2DB1DCD0" w14:textId="55CFCD83" w:rsidR="0052606C" w:rsidRDefault="0052606C" w:rsidP="005260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2606C">
        <w:rPr>
          <w:lang w:val="es-ES_tradnl"/>
        </w:rPr>
        <w:tab/>
        <w:t>6.</w:t>
      </w:r>
      <w:r w:rsidRPr="0052606C">
        <w:rPr>
          <w:lang w:val="es-ES_tradnl"/>
        </w:rPr>
        <w:tab/>
        <w:t>Carácter transnacional de la práctica</w:t>
      </w:r>
    </w:p>
    <w:p w14:paraId="200BF4A8" w14:textId="05B59140" w:rsidR="0052606C" w:rsidRPr="0052606C" w:rsidRDefault="0052606C" w:rsidP="0052606C">
      <w:pPr>
        <w:pStyle w:val="SingleTxt"/>
        <w:spacing w:after="0" w:line="120" w:lineRule="exact"/>
        <w:rPr>
          <w:sz w:val="10"/>
          <w:lang w:val="es-ES_tradnl"/>
        </w:rPr>
      </w:pPr>
    </w:p>
    <w:p w14:paraId="537D1589" w14:textId="05DF213A" w:rsidR="0052606C" w:rsidRPr="0052606C" w:rsidRDefault="0052606C" w:rsidP="00AD6601">
      <w:pPr>
        <w:pStyle w:val="SingleTxt"/>
        <w:numPr>
          <w:ilvl w:val="0"/>
          <w:numId w:val="5"/>
        </w:numPr>
        <w:ind w:left="1267"/>
        <w:rPr>
          <w:lang w:val="es-ES_tradnl"/>
        </w:rPr>
      </w:pPr>
      <w:r w:rsidRPr="0052606C">
        <w:rPr>
          <w:lang w:val="es-ES_tradnl"/>
        </w:rPr>
        <w:t xml:space="preserve">El Comité observa los esfuerzos desplegados por el Estado parte en el marco del proyecto conjunto de promoción del abandono de la práctica transfronteriza de la violencia por razón de género, incluidos la mutilación genital femenina y el matrimonio precoz, en Malí y Burkina Faso. Sin embargo, las ONG entrevistadas en Bamako y Mopti afirmaron que se seguía enviando a Malí a niñas de países vecinos que habían aprobado leyes contra la mutilación genital femenina, como Benin, Burkina Faso, Guinea y Togo, para someterlas a mutilaciones genitales. </w:t>
      </w:r>
    </w:p>
    <w:p w14:paraId="1B693D3F" w14:textId="5C0A4F7D" w:rsidR="00AD6601" w:rsidRDefault="00AD6601">
      <w:pPr>
        <w:suppressAutoHyphens w:val="0"/>
        <w:spacing w:after="200" w:line="276" w:lineRule="auto"/>
        <w:rPr>
          <w:kern w:val="14"/>
          <w:sz w:val="10"/>
          <w:lang w:val="es-ES_tradnl"/>
        </w:rPr>
      </w:pPr>
      <w:r>
        <w:rPr>
          <w:sz w:val="10"/>
          <w:lang w:val="es-ES_tradnl"/>
        </w:rPr>
        <w:br w:type="page"/>
      </w:r>
    </w:p>
    <w:p w14:paraId="2F5F6A70" w14:textId="4C0F0ACF" w:rsidR="0052606C" w:rsidRDefault="0052606C" w:rsidP="0052606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740" w:hanging="1267"/>
        <w:rPr>
          <w:lang w:val="es-ES_tradnl"/>
        </w:rPr>
      </w:pPr>
      <w:r>
        <w:rPr>
          <w:lang w:val="es-ES_tradnl"/>
        </w:rPr>
        <w:lastRenderedPageBreak/>
        <w:tab/>
      </w:r>
      <w:r w:rsidRPr="0052606C">
        <w:rPr>
          <w:lang w:val="es-ES_tradnl"/>
        </w:rPr>
        <w:t>B.</w:t>
      </w:r>
      <w:r w:rsidRPr="0052606C">
        <w:rPr>
          <w:lang w:val="es-ES_tradnl"/>
        </w:rPr>
        <w:tab/>
        <w:t>Impacto limitado de las políticas y los programas nacionales de lucha contra la mutilación genital femenina</w:t>
      </w:r>
    </w:p>
    <w:p w14:paraId="781E9737" w14:textId="489C0806" w:rsidR="0052606C" w:rsidRPr="0052606C" w:rsidRDefault="0052606C" w:rsidP="0052606C">
      <w:pPr>
        <w:pStyle w:val="SingleTxt"/>
        <w:spacing w:after="0" w:line="120" w:lineRule="exact"/>
        <w:rPr>
          <w:sz w:val="10"/>
          <w:lang w:val="es-ES_tradnl"/>
        </w:rPr>
      </w:pPr>
    </w:p>
    <w:p w14:paraId="24ECAF83" w14:textId="27160C8F" w:rsidR="0052606C" w:rsidRPr="0052606C" w:rsidRDefault="0052606C" w:rsidP="0052606C">
      <w:pPr>
        <w:pStyle w:val="SingleTxt"/>
        <w:spacing w:after="0" w:line="120" w:lineRule="exact"/>
        <w:rPr>
          <w:sz w:val="10"/>
          <w:lang w:val="es-ES_tradnl"/>
        </w:rPr>
      </w:pPr>
    </w:p>
    <w:p w14:paraId="56CAF52A" w14:textId="7729D025" w:rsidR="0052606C" w:rsidRPr="0052606C" w:rsidRDefault="0052606C" w:rsidP="00AD6601">
      <w:pPr>
        <w:pStyle w:val="SingleTxt"/>
        <w:numPr>
          <w:ilvl w:val="0"/>
          <w:numId w:val="5"/>
        </w:numPr>
        <w:ind w:left="1267"/>
        <w:rPr>
          <w:lang w:val="es-ES_tradnl"/>
        </w:rPr>
      </w:pPr>
      <w:r w:rsidRPr="0052606C">
        <w:rPr>
          <w:lang w:val="es-ES_tradnl"/>
        </w:rPr>
        <w:t xml:space="preserve">El Comité observa que el Estado parte ha realizado numerosos esfuerzos para combatir la mutilación genital femenina, como la aplicación de políticas y programas y la creación de estructuras y organismos. Esas medidas hacen hincapié esencialmente en la prevención de esas mutilaciones y en la concienciación sobre los estragos que causa en la salud de las mujeres. En ese contexto, Malí creó en 1999 un comité nacional de lucha contra las prácticas nocivas para la salud maternoinfantil y puso en marcha en 2002 el programa nacional de lucha contra la práctica de la escisión, que se encarga principalmente de la coordinación, el seguimiento y la evaluación de la política y las estrategias de lucha contra la mutilación genital femenina. Según el Estado parte, el Programa, que cuenta con un presupuesto de 120 millones de francos CFA, ha permitido atender más de 1.080 casos de complicaciones derivadas de la mutilación genital femenina y ha logrado, con el apoyo de algunos líderes religiosos, que más de 8.000 practicantes hayan abandonado esa práctica en cerca de 1.200 aldeas. </w:t>
      </w:r>
    </w:p>
    <w:p w14:paraId="432C2DAA" w14:textId="1A230278" w:rsidR="0052606C" w:rsidRPr="0052606C" w:rsidRDefault="0052606C" w:rsidP="00AD6601">
      <w:pPr>
        <w:pStyle w:val="SingleTxt"/>
        <w:numPr>
          <w:ilvl w:val="0"/>
          <w:numId w:val="5"/>
        </w:numPr>
        <w:ind w:left="1267"/>
        <w:rPr>
          <w:lang w:val="es-ES_tradnl"/>
        </w:rPr>
      </w:pPr>
      <w:r w:rsidRPr="0052606C">
        <w:rPr>
          <w:lang w:val="es-ES_tradnl"/>
        </w:rPr>
        <w:t xml:space="preserve">En 2010, se elaboró una política nacional para promover el abandono de la mutilación genital femenina y se crearon planes de acción nacionales para 2010-2014 y 2015-2019. El Ministerio de Promoción de la Mujer, la Infancia y la Familia también elaboró un plan estratégico de comunicación destinado a promover el abandono de la mutilación genital femenina para 2016-2018 y una estrategia nacional de comunicación integral sobre la violencia por razón de género para 2018-2027, en la que se incluyó la cuestión de la mutilación genital femenina. Asimismo, se han llevado a cabo varias campañas públicas de concienciación contra la dicha mutilación y se imparten clases en las escuelas sobre esa práctica. </w:t>
      </w:r>
    </w:p>
    <w:p w14:paraId="10E0B1B2" w14:textId="4C228624" w:rsidR="0052606C" w:rsidRPr="0052606C" w:rsidRDefault="0052606C" w:rsidP="00AD6601">
      <w:pPr>
        <w:pStyle w:val="SingleTxt"/>
        <w:numPr>
          <w:ilvl w:val="0"/>
          <w:numId w:val="5"/>
        </w:numPr>
        <w:ind w:left="1267"/>
        <w:rPr>
          <w:lang w:val="es-ES_tradnl"/>
        </w:rPr>
      </w:pPr>
      <w:r w:rsidRPr="0052606C">
        <w:rPr>
          <w:lang w:val="es-ES_tradnl"/>
        </w:rPr>
        <w:t xml:space="preserve">Las expertas observaron que las ONG desempeñaban un papel muy activo en la lucha contra la mutilación genital femenina, en particular en la concienciación al respecto. La MINUSMA, la Entidad de las Naciones Unidas para la Igualdad de Género y el Empoderamiento de las Mujeres (ONU-Mujeres), la Oficina del Alto Comisionado de las Naciones Unidas para los Derechos Humanos y algunos organismos de las Naciones Unidas, como el Fondo de Población de las Naciones Unidas y el Fondo de las Naciones Unidas para la Infancia, también apoyan las iniciativas. </w:t>
      </w:r>
    </w:p>
    <w:p w14:paraId="170DB276" w14:textId="6380F708" w:rsidR="0052606C" w:rsidRPr="0052606C" w:rsidRDefault="0052606C" w:rsidP="00AD6601">
      <w:pPr>
        <w:pStyle w:val="SingleTxt"/>
        <w:numPr>
          <w:ilvl w:val="0"/>
          <w:numId w:val="5"/>
        </w:numPr>
        <w:ind w:left="1267"/>
        <w:rPr>
          <w:lang w:val="es-ES_tradnl"/>
        </w:rPr>
      </w:pPr>
      <w:r w:rsidRPr="0052606C">
        <w:rPr>
          <w:lang w:val="es-ES_tradnl"/>
        </w:rPr>
        <w:t xml:space="preserve">El Comité observa que las políticas y los programas puestos en práctica no han logrado resultados significativos. Varias ONG lamentaron la ineficacia del programa nacional de lucha contra la práctica de la escisión, y los organismos de las Naciones Unidas entrevistados señalaron que los programas, en particular los dirigidos a apoyar a las víctimas, eran insuficientes, a pesar de los esfuerzos realizados y el apoyo prestado por la comunidad internacional. Además, las personas que sufrían las perniciosas secuelas de la mutilación genital femenina debían sufragar ellas mismas los servicios médicos recibidos, mientras que los dispensados en los centros gestionados por las ONG eran gratuitos. Asimismo, los organismos de las Naciones Unidas señalaron que era difícil comprobar si las aldeas que el programa declaraba públicamente que habían abandonado la mutilación genital femenina lo habían hecho realmente. </w:t>
      </w:r>
    </w:p>
    <w:p w14:paraId="03842692" w14:textId="6591D395" w:rsidR="0052606C" w:rsidRPr="0052606C" w:rsidRDefault="0052606C" w:rsidP="00AD6601">
      <w:pPr>
        <w:pStyle w:val="SingleTxt"/>
        <w:numPr>
          <w:ilvl w:val="0"/>
          <w:numId w:val="5"/>
        </w:numPr>
        <w:ind w:left="1267"/>
        <w:rPr>
          <w:lang w:val="es-ES_tradnl"/>
        </w:rPr>
      </w:pPr>
      <w:r w:rsidRPr="0052606C">
        <w:rPr>
          <w:lang w:val="es-ES_tradnl"/>
        </w:rPr>
        <w:t xml:space="preserve">El Comité observa que el programa nacional de lucha contra la práctica de la escisión carece de recursos humanos, materiales y financieros. Observa además que la ejecución de los programas de lucha contra la mutilación genital femenina no se coordina debidamente, no hay medidas constantes y existe una desconexión entre las autoridades centrales y locales. En Mopti, las autoridades regionales no parecían estar al corriente de todas las actividades realizadas en el marco del programa. Del mismo </w:t>
      </w:r>
      <w:r w:rsidRPr="0052606C">
        <w:rPr>
          <w:lang w:val="es-ES_tradnl"/>
        </w:rPr>
        <w:lastRenderedPageBreak/>
        <w:t xml:space="preserve">modo, en Bamako, una ONG señaló que las actividades del programa se limitaban fundamentalmente a la capital. La falta de representación suficiente del programa a nivel local impide realizar un seguimiento periódico. El Comité observa asimismo que no se han evaluado la eficacia ni el impacto de las medidas adoptadas ni el costo social de la mutilación genital femenina ni la repercusión de esa práctica en el desarrollo del país. </w:t>
      </w:r>
      <w:bookmarkStart w:id="3" w:name="_Hlk9350119"/>
      <w:bookmarkEnd w:id="3"/>
    </w:p>
    <w:p w14:paraId="7FC8705F" w14:textId="266EE7A1" w:rsidR="0052606C" w:rsidRPr="0052606C" w:rsidRDefault="0052606C" w:rsidP="00AD6601">
      <w:pPr>
        <w:pStyle w:val="SingleTxt"/>
        <w:numPr>
          <w:ilvl w:val="0"/>
          <w:numId w:val="5"/>
        </w:numPr>
        <w:ind w:left="1267"/>
        <w:rPr>
          <w:lang w:val="es-ES_tradnl"/>
        </w:rPr>
      </w:pPr>
      <w:r w:rsidRPr="0052606C">
        <w:rPr>
          <w:lang w:val="es-ES_tradnl"/>
        </w:rPr>
        <w:t xml:space="preserve">El Comité observa que las iniciativas de concienciación no se dirigen suficientemente a los grupos entre los que la resistencia es mayor, en particular a los líderes religiosos que se oponen a abandonar esa práctica. Por otra parte, la cobertura territorial de las medidas de concienciación es limitada y las acciones a esos efectos realizadas por el Estado parte intentan atenuar las consecuencias nocivas de la mutilación genital femenina en vez de impedir esa práctica. Asimismo, las medidas de concienciación sobre la mutilación genital femenina no van siempre acompañadas de información sobre los derechos de las mujeres. </w:t>
      </w:r>
    </w:p>
    <w:p w14:paraId="478BFBB3" w14:textId="07B8BF91" w:rsidR="0052606C" w:rsidRDefault="0052606C" w:rsidP="00AD6601">
      <w:pPr>
        <w:pStyle w:val="SingleTxt"/>
        <w:numPr>
          <w:ilvl w:val="0"/>
          <w:numId w:val="5"/>
        </w:numPr>
        <w:ind w:left="1267"/>
        <w:rPr>
          <w:lang w:val="es-ES_tradnl"/>
        </w:rPr>
      </w:pPr>
      <w:r w:rsidRPr="0052606C">
        <w:rPr>
          <w:lang w:val="es-ES_tradnl"/>
        </w:rPr>
        <w:t>El conocimiento por la población de las consecuencias nocivas de la mutilación genital femenina sigue siendo muy escaso. De hecho, el 75,2 % de las mujeres de entre 15 y 49 años se muestran favorables a la práctica de la mutilación genital femenina</w:t>
      </w:r>
      <w:r w:rsidRPr="0052606C">
        <w:rPr>
          <w:vertAlign w:val="superscript"/>
          <w:lang w:val="es-ES_tradnl"/>
        </w:rPr>
        <w:footnoteReference w:id="23"/>
      </w:r>
      <w:r w:rsidRPr="0052606C">
        <w:rPr>
          <w:lang w:val="es-ES_tradnl"/>
        </w:rPr>
        <w:t xml:space="preserve"> y el 70 % de la población dice que quiere que se mantenga esa práctica</w:t>
      </w:r>
      <w:r w:rsidRPr="0052606C">
        <w:rPr>
          <w:vertAlign w:val="superscript"/>
          <w:lang w:val="es-ES_tradnl"/>
        </w:rPr>
        <w:footnoteReference w:id="24"/>
      </w:r>
      <w:r w:rsidRPr="0052606C">
        <w:rPr>
          <w:lang w:val="es-ES_tradnl"/>
        </w:rPr>
        <w:t>. No se han adoptado medidas específicas de concienciación ni de prevención para hacer frente a los estereotipos y los prejuicios sexistas y discriminatorios que están en el origen de esta práctica a fin de lograr modificar los comportamientos. Por otra parte, solo el 15,7 % de las mujeres conocía las consecuencias negativas en su salud de la mutilación genital femenina</w:t>
      </w:r>
      <w:r w:rsidRPr="0052606C">
        <w:rPr>
          <w:vertAlign w:val="superscript"/>
          <w:lang w:val="es-ES_tradnl"/>
        </w:rPr>
        <w:footnoteReference w:id="25"/>
      </w:r>
      <w:r w:rsidRPr="0052606C">
        <w:rPr>
          <w:lang w:val="es-ES_tradnl"/>
        </w:rPr>
        <w:t xml:space="preserve">. </w:t>
      </w:r>
    </w:p>
    <w:p w14:paraId="0F179EAF" w14:textId="182F505B" w:rsidR="0052606C" w:rsidRPr="0052606C" w:rsidRDefault="0052606C" w:rsidP="0052606C">
      <w:pPr>
        <w:pStyle w:val="SingleTxt"/>
        <w:spacing w:after="0" w:line="120" w:lineRule="exact"/>
        <w:rPr>
          <w:sz w:val="10"/>
          <w:lang w:val="es-ES_tradnl"/>
        </w:rPr>
      </w:pPr>
    </w:p>
    <w:p w14:paraId="6A2A700C" w14:textId="79197704" w:rsidR="0052606C" w:rsidRPr="0052606C" w:rsidRDefault="0052606C" w:rsidP="0052606C">
      <w:pPr>
        <w:pStyle w:val="SingleTxt"/>
        <w:spacing w:after="0" w:line="120" w:lineRule="exact"/>
        <w:rPr>
          <w:sz w:val="10"/>
          <w:lang w:val="es-ES_tradnl"/>
        </w:rPr>
      </w:pPr>
    </w:p>
    <w:p w14:paraId="3D91E59E" w14:textId="5B6ACBAD" w:rsidR="0052606C" w:rsidRDefault="0052606C" w:rsidP="0045147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280" w:hanging="1267"/>
        <w:rPr>
          <w:lang w:val="es-ES_tradnl"/>
        </w:rPr>
      </w:pPr>
      <w:r w:rsidRPr="0052606C">
        <w:rPr>
          <w:lang w:val="es-ES_tradnl"/>
        </w:rPr>
        <w:tab/>
        <w:t>C.</w:t>
      </w:r>
      <w:r w:rsidRPr="0052606C">
        <w:rPr>
          <w:lang w:val="es-ES_tradnl"/>
        </w:rPr>
        <w:tab/>
        <w:t>Ausencia de un marco jurídico que tipifique como delito la mutilación genital femenina</w:t>
      </w:r>
    </w:p>
    <w:p w14:paraId="2B148EAE" w14:textId="4EB27317" w:rsidR="0052606C" w:rsidRPr="0052606C" w:rsidRDefault="0052606C" w:rsidP="0052606C">
      <w:pPr>
        <w:pStyle w:val="SingleTxt"/>
        <w:spacing w:after="0" w:line="120" w:lineRule="exact"/>
        <w:rPr>
          <w:sz w:val="10"/>
          <w:lang w:val="es-ES_tradnl"/>
        </w:rPr>
      </w:pPr>
    </w:p>
    <w:p w14:paraId="2EF616F1" w14:textId="31DAF05F" w:rsidR="0052606C" w:rsidRPr="0052606C" w:rsidRDefault="0052606C" w:rsidP="0052606C">
      <w:pPr>
        <w:pStyle w:val="SingleTxt"/>
        <w:spacing w:after="0" w:line="120" w:lineRule="exact"/>
        <w:rPr>
          <w:sz w:val="10"/>
          <w:lang w:val="es-ES_tradnl"/>
        </w:rPr>
      </w:pPr>
    </w:p>
    <w:p w14:paraId="188137EB" w14:textId="36F1BCF4" w:rsidR="0052606C" w:rsidRDefault="0052606C" w:rsidP="005260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470" w:hanging="1267"/>
        <w:rPr>
          <w:lang w:val="es-ES_tradnl"/>
        </w:rPr>
      </w:pPr>
      <w:r w:rsidRPr="0052606C">
        <w:rPr>
          <w:lang w:val="es-ES_tradnl"/>
        </w:rPr>
        <w:tab/>
        <w:t>1.</w:t>
      </w:r>
      <w:r w:rsidRPr="0052606C">
        <w:rPr>
          <w:lang w:val="es-ES_tradnl"/>
        </w:rPr>
        <w:tab/>
        <w:t>Intentos legislativos fallidos y anteproyecto de ley sobre la violencia por razón de género, incluida la mutilación genital femenina</w:t>
      </w:r>
    </w:p>
    <w:p w14:paraId="72EAAF79" w14:textId="305A9A69" w:rsidR="0052606C" w:rsidRPr="0052606C" w:rsidRDefault="0052606C" w:rsidP="0052606C">
      <w:pPr>
        <w:pStyle w:val="SingleTxt"/>
        <w:spacing w:after="0" w:line="120" w:lineRule="exact"/>
        <w:rPr>
          <w:sz w:val="10"/>
          <w:lang w:val="es-ES_tradnl"/>
        </w:rPr>
      </w:pPr>
    </w:p>
    <w:p w14:paraId="45074001" w14:textId="5599DA5E" w:rsidR="0052606C" w:rsidRPr="0052606C" w:rsidRDefault="0052606C" w:rsidP="00AD6601">
      <w:pPr>
        <w:pStyle w:val="SingleTxt"/>
        <w:numPr>
          <w:ilvl w:val="0"/>
          <w:numId w:val="5"/>
        </w:numPr>
        <w:ind w:left="1267"/>
        <w:rPr>
          <w:lang w:val="es-ES_tradnl"/>
        </w:rPr>
      </w:pPr>
      <w:r w:rsidRPr="0052606C">
        <w:rPr>
          <w:lang w:val="es-ES_tradnl"/>
        </w:rPr>
        <w:t xml:space="preserve">En 2002, el Ministro de Sanidad y la Ministra de Promoción de la Mujer, la Infancia y la Familia presentaron un anteproyecto de ley contra la escisión que fue rechazado por los líderes religiosos musulmanes con presencia en el parlamento. En 2009, el Gobierno presentó un proyecto de ley que gozaba del apoyo de un grupo considerable de diputados, pero que tampoco tuvo éxito debido a la oposición de algunos líderes religiosos. </w:t>
      </w:r>
    </w:p>
    <w:p w14:paraId="422F36E9" w14:textId="0A5B26F0" w:rsidR="0052606C" w:rsidRPr="0052606C" w:rsidRDefault="0052606C" w:rsidP="00AD6601">
      <w:pPr>
        <w:pStyle w:val="SingleTxt"/>
        <w:numPr>
          <w:ilvl w:val="0"/>
          <w:numId w:val="5"/>
        </w:numPr>
        <w:ind w:left="1267"/>
        <w:rPr>
          <w:lang w:val="es-ES_tradnl"/>
        </w:rPr>
      </w:pPr>
      <w:r w:rsidRPr="0052606C">
        <w:rPr>
          <w:lang w:val="es-ES_tradnl"/>
        </w:rPr>
        <w:t>Con posterioridad, los debates sobre la aprobación de una ley contra la mutilación genital femenina se vieron ligeramente eclipsados por las protestas contra la reforma, en 2009, del Código de la Familia. En 2017 se elaboró un anteproyecto de ley sobre prevención y castigo de la violencia por razón de género y atención a las víctimas, en el que se tipificaba como delito la práctica de la mutilación genital femenina. El anteproyecto fue elaborado con el apoyo del Ministerio de Justicia, y más tarde fue retomado por el Ministerio de Promoción de la Mujer, la Infancia y la Familia. Ese texto inserta la mutilación genital femenina en un marco legislativo amplio relacionado con la violencia por razón de género, a diferencia de los textos anteriores que se centraban en la práctica de la escisión.</w:t>
      </w:r>
    </w:p>
    <w:p w14:paraId="285A6C9A" w14:textId="65F1700B" w:rsidR="0052606C" w:rsidRPr="0052606C" w:rsidRDefault="0052606C" w:rsidP="00AD6601">
      <w:pPr>
        <w:pStyle w:val="SingleTxt"/>
        <w:numPr>
          <w:ilvl w:val="0"/>
          <w:numId w:val="5"/>
        </w:numPr>
        <w:ind w:left="1267"/>
        <w:rPr>
          <w:lang w:val="es-ES_tradnl"/>
        </w:rPr>
      </w:pPr>
      <w:r w:rsidRPr="0052606C">
        <w:rPr>
          <w:lang w:val="es-ES_tradnl"/>
        </w:rPr>
        <w:t xml:space="preserve">Según la Comisión Nacional de Derechos Humanos y las ONG, el proceso de elaboración del proyecto de ley fue inclusivo. De hecho, el Ministerio de Justicia; el </w:t>
      </w:r>
      <w:r w:rsidRPr="0052606C">
        <w:rPr>
          <w:lang w:val="es-ES_tradnl"/>
        </w:rPr>
        <w:lastRenderedPageBreak/>
        <w:t>Ministerio de Promoción de la Mujer, la Infancia y la Familia; las ONG; las asociaciones de defensa de las mujeres; los parlamentarios y algunos organismos del sistema de las Naciones Unidas contribuyeron a su elaboración. A pesar del consenso de las partes interesadas, el proyecto de ley sobre la violencia por razón de género, incluida la mutilación genital femenina, aún no se ha aprobado. Varios interlocutores también mencionaron a las expertas la Iniciativa Spotlight, cuyo objetivo es apoyar financieramente los esfuerzos de Malí en la lucha contra la violencia por razón de género.</w:t>
      </w:r>
    </w:p>
    <w:p w14:paraId="30050F43" w14:textId="7A64524D" w:rsidR="0052606C" w:rsidRPr="0052606C" w:rsidRDefault="0052606C" w:rsidP="00AD6601">
      <w:pPr>
        <w:pStyle w:val="SingleTxt"/>
        <w:numPr>
          <w:ilvl w:val="0"/>
          <w:numId w:val="5"/>
        </w:numPr>
        <w:ind w:left="1267"/>
        <w:rPr>
          <w:lang w:val="es-ES_tradnl"/>
        </w:rPr>
      </w:pPr>
      <w:r w:rsidRPr="0052606C">
        <w:rPr>
          <w:lang w:val="es-ES_tradnl"/>
        </w:rPr>
        <w:t>Según el anteproyecto de ley sobre la violencia por razón de género, una mutilación genital femenina es toda intervención que tenga como resultado una lesión o ablación parcial o total de los órganos genitales externos de la mujer o cualquier otra mutilación de los órganos genitales femeninos por motivos no médicos.</w:t>
      </w:r>
    </w:p>
    <w:p w14:paraId="4D274379" w14:textId="75B63AEC" w:rsidR="0052606C" w:rsidRPr="0052606C" w:rsidRDefault="0052606C" w:rsidP="00AD6601">
      <w:pPr>
        <w:pStyle w:val="SingleTxt"/>
        <w:numPr>
          <w:ilvl w:val="0"/>
          <w:numId w:val="5"/>
        </w:numPr>
        <w:ind w:left="1267"/>
        <w:rPr>
          <w:lang w:val="es-ES_tradnl"/>
        </w:rPr>
      </w:pPr>
      <w:r w:rsidRPr="0052606C">
        <w:rPr>
          <w:lang w:val="es-ES_tradnl"/>
        </w:rPr>
        <w:t xml:space="preserve">En relación con las sanciones aplicables, el texto dispone que cualquier persona que realice una mutilación genital femenina, la facilite o sea cómplice en ella o no preste socorro a una mujer o una niña que sufra una mutilación genital femenina será sancionada con pena de prisión de 5 a 10 años o multa de entre 3 y 5 millones de francos CFA o con ambas penas. Cualquier persona que tenga conocimiento de la inminencia de la comisión de este delito sin notificarlo a las autoridades será sancionada con una pena de prisión de seis meses a dos años o multa de entre 500.000 y 1 millón de francos CFA o con ambas penas. El texto prevé que el fallecimiento de la víctima, las complicaciones relacionadas con la mutilación genital femenina, así como la práctica periódica o con fines comerciales de la mutilación genital femenina se considerarán circunstancias agravantes. Por último, el plazo de prescripción de la actuación pública prevista en el texto es de 30 años a partir del día de la comisión del delito. </w:t>
      </w:r>
    </w:p>
    <w:p w14:paraId="76545364" w14:textId="6362B0FF" w:rsidR="0052606C" w:rsidRDefault="0052606C" w:rsidP="00AD6601">
      <w:pPr>
        <w:pStyle w:val="SingleTxt"/>
        <w:numPr>
          <w:ilvl w:val="0"/>
          <w:numId w:val="5"/>
        </w:numPr>
        <w:ind w:left="1267"/>
        <w:rPr>
          <w:lang w:val="es-ES_tradnl"/>
        </w:rPr>
      </w:pPr>
      <w:r w:rsidRPr="0052606C">
        <w:rPr>
          <w:lang w:val="es-ES_tradnl"/>
        </w:rPr>
        <w:t>En África Occidental, la mayoría de los países han aprobado leyes que prohíben la mutilación genital femenina, en particular, Benin, Burkina Faso, Côte d’Ivoire, Gambia, Ghana, Guinea, Guinea-Bissau, Mauritania, el Níger, Nigeria, el Senegal y el Togo. Según la Oficina del Alto Comisionado de las Naciones Unidas para los Derechos Humanos, las investigaciones llevadas a cabo indican que ha habido una reducción significativa de la prevalencia en los Estados que han promulgado y aplicado sanciones penales contra la mutilación genital femenina (</w:t>
      </w:r>
      <w:hyperlink r:id="rId15" w:history="1">
        <w:r w:rsidRPr="00C24033">
          <w:rPr>
            <w:rStyle w:val="Hyperlink"/>
            <w:lang w:val="es-ES_tradnl"/>
          </w:rPr>
          <w:t>A/HRC/29/20</w:t>
        </w:r>
      </w:hyperlink>
      <w:r w:rsidRPr="0052606C">
        <w:rPr>
          <w:lang w:val="es-ES_tradnl"/>
        </w:rPr>
        <w:t xml:space="preserve"> y </w:t>
      </w:r>
      <w:r w:rsidRPr="00C24033">
        <w:rPr>
          <w:lang w:val="es-ES_tradnl"/>
        </w:rPr>
        <w:t>Corr.1</w:t>
      </w:r>
      <w:r w:rsidRPr="0052606C">
        <w:rPr>
          <w:lang w:val="es-ES_tradnl"/>
        </w:rPr>
        <w:t>, párr. 13). Sin embargo, algunas autoridades indicaron que la aprobación de una ley llevaría a que la mutilación genital femenina se practicara de forma clandestina.</w:t>
      </w:r>
    </w:p>
    <w:p w14:paraId="2566C8CC" w14:textId="7331FDEB" w:rsidR="0052606C" w:rsidRPr="0052606C" w:rsidRDefault="0052606C" w:rsidP="0052606C">
      <w:pPr>
        <w:pStyle w:val="SingleTxt"/>
        <w:spacing w:after="0" w:line="120" w:lineRule="exact"/>
        <w:rPr>
          <w:sz w:val="10"/>
          <w:lang w:val="es-ES_tradnl"/>
        </w:rPr>
      </w:pPr>
    </w:p>
    <w:p w14:paraId="33917A52" w14:textId="3D5001D0" w:rsidR="0052606C" w:rsidRDefault="0052606C" w:rsidP="005260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2606C">
        <w:rPr>
          <w:lang w:val="es-ES_tradnl"/>
        </w:rPr>
        <w:tab/>
        <w:t>2.</w:t>
      </w:r>
      <w:r w:rsidRPr="0052606C">
        <w:rPr>
          <w:lang w:val="es-ES_tradnl"/>
        </w:rPr>
        <w:tab/>
        <w:t>Resistencia de los líderes religiosos y falta de voluntad política</w:t>
      </w:r>
    </w:p>
    <w:p w14:paraId="41625BBC" w14:textId="75660699" w:rsidR="0052606C" w:rsidRPr="0052606C" w:rsidRDefault="0052606C" w:rsidP="0052606C">
      <w:pPr>
        <w:pStyle w:val="SingleTxt"/>
        <w:spacing w:after="0" w:line="120" w:lineRule="exact"/>
        <w:rPr>
          <w:sz w:val="10"/>
          <w:lang w:val="es-ES_tradnl"/>
        </w:rPr>
      </w:pPr>
    </w:p>
    <w:p w14:paraId="32AD2399" w14:textId="2D6FCA93" w:rsidR="0052606C" w:rsidRDefault="0052606C" w:rsidP="005260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2606C">
        <w:rPr>
          <w:lang w:val="es-ES_tradnl"/>
        </w:rPr>
        <w:tab/>
        <w:t>a)</w:t>
      </w:r>
      <w:r w:rsidRPr="0052606C">
        <w:rPr>
          <w:lang w:val="es-ES_tradnl"/>
        </w:rPr>
        <w:tab/>
        <w:t xml:space="preserve">Oposición de los líderes religiosos </w:t>
      </w:r>
    </w:p>
    <w:p w14:paraId="34BB2C17" w14:textId="0B973B29" w:rsidR="0052606C" w:rsidRPr="0052606C" w:rsidRDefault="0052606C" w:rsidP="0052606C">
      <w:pPr>
        <w:pStyle w:val="SingleTxt"/>
        <w:spacing w:after="0" w:line="120" w:lineRule="exact"/>
        <w:rPr>
          <w:sz w:val="10"/>
          <w:lang w:val="es-ES_tradnl"/>
        </w:rPr>
      </w:pPr>
    </w:p>
    <w:p w14:paraId="373B6E03" w14:textId="620937DE" w:rsidR="0052606C" w:rsidRPr="0052606C" w:rsidRDefault="0052606C" w:rsidP="00AD6601">
      <w:pPr>
        <w:pStyle w:val="SingleTxt"/>
        <w:numPr>
          <w:ilvl w:val="0"/>
          <w:numId w:val="5"/>
        </w:numPr>
        <w:ind w:left="1267"/>
        <w:rPr>
          <w:lang w:val="es-ES_tradnl"/>
        </w:rPr>
      </w:pPr>
      <w:r w:rsidRPr="0052606C">
        <w:rPr>
          <w:lang w:val="es-ES_tradnl"/>
        </w:rPr>
        <w:t xml:space="preserve">La mayoría de los interlocutores gubernamentales, las ONG y los organismos de las Naciones Unidas señalaron que la oposición de los líderes religiosos era uno de los principales obstáculos para aprobar el proyecto de ley sobre la violencia por razón de género que prohíbe la mutilación genital femenina. En 2016, el Ministerio de Promoción de la Mujer, la Infancia y la Familia señaló al Alto Consejo Islámico, a la Asociación Maliense por la Unidad y el Progreso del Islam y a la Asociación Maliense de Escuelas Coránicas como algunas de las fuerzas que se oponían a la aprobación de una ley contra la violencia por razón de género, incluida la mutilación genital femenina. Sin embargo, según algunos observadores, la capacidad de los líderes religiosos para influir en las decisiones políticas se debía relativizar. </w:t>
      </w:r>
    </w:p>
    <w:p w14:paraId="7DF8433A" w14:textId="16B127E0" w:rsidR="0052606C" w:rsidRPr="0052606C" w:rsidRDefault="0052606C" w:rsidP="00AD6601">
      <w:pPr>
        <w:pStyle w:val="SingleTxt"/>
        <w:numPr>
          <w:ilvl w:val="0"/>
          <w:numId w:val="5"/>
        </w:numPr>
        <w:ind w:left="1267"/>
        <w:rPr>
          <w:lang w:val="es-ES_tradnl"/>
        </w:rPr>
      </w:pPr>
      <w:r w:rsidRPr="0052606C">
        <w:rPr>
          <w:lang w:val="es-ES_tradnl"/>
        </w:rPr>
        <w:t xml:space="preserve">Si bien algunos líderes religiosos apoyaban la aprobación de una ley, los líderes religiosos entrevistados en Mopti recalcaron la importancia de evitar la intervención del legislador en el ámbito religioso para regular el comportamiento de las </w:t>
      </w:r>
      <w:r w:rsidRPr="0052606C">
        <w:rPr>
          <w:lang w:val="es-ES_tradnl"/>
        </w:rPr>
        <w:lastRenderedPageBreak/>
        <w:t>comunidades. Un líder religioso advirtió de que la aprobación de la ley podría afectar al funcionamiento del país. Los líderes religiosos y comunitarios de Bamako deploraron además que no se hubiera consultado a los líderes religiosos, y señalaron que la lucha contra la mutilación genital femenina representaba un ataque contra su religión y su cultura.</w:t>
      </w:r>
    </w:p>
    <w:p w14:paraId="3837F59E" w14:textId="25538941" w:rsidR="0052606C" w:rsidRDefault="0052606C" w:rsidP="00AD6601">
      <w:pPr>
        <w:pStyle w:val="SingleTxt"/>
        <w:numPr>
          <w:ilvl w:val="0"/>
          <w:numId w:val="5"/>
        </w:numPr>
        <w:ind w:left="1267"/>
        <w:rPr>
          <w:lang w:val="es-ES_tradnl"/>
        </w:rPr>
      </w:pPr>
      <w:r w:rsidRPr="0052606C">
        <w:rPr>
          <w:lang w:val="es-ES_tradnl"/>
        </w:rPr>
        <w:t xml:space="preserve">Según el Ministerio de Asuntos Religiosos y Culto, la participación y la adhesión de los líderes religiosos son condiciones necesarias para aprobar el anteproyecto de ley sobre la violencia por razón de género, incluida la mutilación genital femenina. </w:t>
      </w:r>
    </w:p>
    <w:p w14:paraId="5BE0314B" w14:textId="42CFFB50" w:rsidR="0052606C" w:rsidRPr="0052606C" w:rsidRDefault="0052606C" w:rsidP="0052606C">
      <w:pPr>
        <w:pStyle w:val="SingleTxt"/>
        <w:spacing w:after="0" w:line="120" w:lineRule="exact"/>
        <w:rPr>
          <w:sz w:val="10"/>
          <w:lang w:val="es-ES_tradnl"/>
        </w:rPr>
      </w:pPr>
    </w:p>
    <w:p w14:paraId="76C0E642" w14:textId="6A211A40" w:rsidR="0052606C" w:rsidRDefault="0052606C" w:rsidP="005260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2606C">
        <w:rPr>
          <w:lang w:val="es-ES_tradnl"/>
        </w:rPr>
        <w:tab/>
        <w:t>b)</w:t>
      </w:r>
      <w:r w:rsidRPr="0052606C">
        <w:rPr>
          <w:lang w:val="es-ES_tradnl"/>
        </w:rPr>
        <w:tab/>
        <w:t>Falta de voluntad política</w:t>
      </w:r>
    </w:p>
    <w:p w14:paraId="12F8FEE4" w14:textId="75572B0B" w:rsidR="0052606C" w:rsidRPr="0052606C" w:rsidRDefault="0052606C" w:rsidP="0052606C">
      <w:pPr>
        <w:pStyle w:val="SingleTxt"/>
        <w:spacing w:after="0" w:line="120" w:lineRule="exact"/>
        <w:rPr>
          <w:sz w:val="10"/>
          <w:lang w:val="es-ES_tradnl"/>
        </w:rPr>
      </w:pPr>
    </w:p>
    <w:p w14:paraId="16ADA0D9" w14:textId="10C54407" w:rsidR="0052606C" w:rsidRPr="0052606C" w:rsidRDefault="0052606C" w:rsidP="00AD6601">
      <w:pPr>
        <w:pStyle w:val="SingleTxt"/>
        <w:numPr>
          <w:ilvl w:val="0"/>
          <w:numId w:val="5"/>
        </w:numPr>
        <w:ind w:left="1267"/>
        <w:rPr>
          <w:lang w:val="es-ES_tradnl"/>
        </w:rPr>
      </w:pPr>
      <w:r w:rsidRPr="0052606C">
        <w:rPr>
          <w:lang w:val="es-ES_tradnl"/>
        </w:rPr>
        <w:t xml:space="preserve">Según varios interlocutores, el Estado parte carece de voluntad política real para hacer avanzar el proyecto de ley. Esos interlocutores señalaron, a modo de comparación, que en 2015 el Gobierno había logrado que se aprobara una ley por la que se ponían en marcha medidas especiales de carácter temporal para fomentar la igualdad de género en el acceso a los cargos electivos y de libre designación, a pesar de la oposición de los líderes religiosos. Del mismo modo, el Gobierno había colaborado estrechamente con los líderes religiosos en la Ley sobre el VIH/Sida. </w:t>
      </w:r>
    </w:p>
    <w:p w14:paraId="1E005670" w14:textId="7ACF89F8" w:rsidR="0052606C" w:rsidRPr="0052606C" w:rsidRDefault="0052606C" w:rsidP="00AD6601">
      <w:pPr>
        <w:pStyle w:val="SingleTxt"/>
        <w:numPr>
          <w:ilvl w:val="0"/>
          <w:numId w:val="5"/>
        </w:numPr>
        <w:ind w:left="1267"/>
        <w:rPr>
          <w:lang w:val="es-ES_tradnl"/>
        </w:rPr>
      </w:pPr>
      <w:r w:rsidRPr="0052606C">
        <w:rPr>
          <w:lang w:val="es-ES_tradnl"/>
        </w:rPr>
        <w:t xml:space="preserve">A pesar de las garantías proporcionadas por distintos ministerios, incluidos el Ministerio de Promoción de la Mujer, la Infancia y la Familia, el Ministerio de Justicia y el Ministerio de Asuntos Religiosos y Culto, sobre la aprobación de la ley en 2019, el Comité observa que el Primer Ministro no ha tomado la decisión política de incluir el texto del proyecto de ley en el orden del día del Consejo de Ministros y que no existe ningún plazo previsto para su aprobación durante la legislatura actual. </w:t>
      </w:r>
    </w:p>
    <w:p w14:paraId="0E00C39C" w14:textId="3EDF547F" w:rsidR="0052606C" w:rsidRDefault="0052606C" w:rsidP="00AD6601">
      <w:pPr>
        <w:pStyle w:val="SingleTxt"/>
        <w:numPr>
          <w:ilvl w:val="0"/>
          <w:numId w:val="5"/>
        </w:numPr>
        <w:ind w:left="1267"/>
        <w:rPr>
          <w:lang w:val="es-ES_tradnl"/>
        </w:rPr>
      </w:pPr>
      <w:r w:rsidRPr="0052606C">
        <w:rPr>
          <w:lang w:val="es-ES_tradnl"/>
        </w:rPr>
        <w:t>En vista de todo lo anterior, el Comité observa que el Estado parte carece de voluntad política para aprobar de forma prioritaria la ley contra la violencia por razón de género que tipifica como delito la mutilación genital femenina.</w:t>
      </w:r>
    </w:p>
    <w:p w14:paraId="18B958A4" w14:textId="734DC983" w:rsidR="005A19AC" w:rsidRPr="005A19AC" w:rsidRDefault="005A19AC" w:rsidP="005A19AC">
      <w:pPr>
        <w:pStyle w:val="SingleTxt"/>
        <w:spacing w:after="0" w:line="120" w:lineRule="exact"/>
        <w:rPr>
          <w:sz w:val="10"/>
          <w:lang w:val="es-ES_tradnl"/>
        </w:rPr>
      </w:pPr>
    </w:p>
    <w:p w14:paraId="0A38A898" w14:textId="3AA88864" w:rsidR="005A19AC" w:rsidRPr="005A19AC" w:rsidRDefault="005A19AC" w:rsidP="005A19AC">
      <w:pPr>
        <w:pStyle w:val="SingleTxt"/>
        <w:spacing w:after="0" w:line="120" w:lineRule="exact"/>
        <w:rPr>
          <w:sz w:val="10"/>
          <w:lang w:val="es-ES_tradnl"/>
        </w:rPr>
      </w:pPr>
    </w:p>
    <w:p w14:paraId="6D2EAF21" w14:textId="06560453" w:rsidR="005A19AC" w:rsidRDefault="005A19AC" w:rsidP="005A19AC">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sidRPr="00834483">
        <w:rPr>
          <w:lang w:val="es-ES_tradnl"/>
        </w:rPr>
        <w:t>VIII.</w:t>
      </w:r>
      <w:r w:rsidRPr="00834483">
        <w:rPr>
          <w:lang w:val="es-ES_tradnl"/>
        </w:rPr>
        <w:tab/>
        <w:t>Conclusiones jurídicas</w:t>
      </w:r>
    </w:p>
    <w:p w14:paraId="3301899D" w14:textId="77777777" w:rsidR="005A19AC" w:rsidRPr="00834483" w:rsidRDefault="005A19AC" w:rsidP="005A19AC">
      <w:pPr>
        <w:pStyle w:val="SingleTxt"/>
        <w:spacing w:after="0" w:line="120" w:lineRule="exact"/>
        <w:rPr>
          <w:sz w:val="10"/>
          <w:lang w:val="es-ES_tradnl"/>
        </w:rPr>
      </w:pPr>
    </w:p>
    <w:p w14:paraId="5D0912FE" w14:textId="77777777" w:rsidR="005A19AC" w:rsidRPr="00834483" w:rsidRDefault="005A19AC" w:rsidP="005A19AC">
      <w:pPr>
        <w:pStyle w:val="SingleTxt"/>
        <w:spacing w:after="0" w:line="120" w:lineRule="exact"/>
        <w:rPr>
          <w:sz w:val="10"/>
          <w:lang w:val="es-ES_tradnl"/>
        </w:rPr>
      </w:pPr>
    </w:p>
    <w:p w14:paraId="402A74A3" w14:textId="77777777" w:rsidR="005A19AC" w:rsidRDefault="005A19AC" w:rsidP="005A19A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20" w:hanging="1267"/>
        <w:rPr>
          <w:lang w:val="es-ES_tradnl"/>
        </w:rPr>
      </w:pPr>
      <w:r w:rsidRPr="00834483">
        <w:rPr>
          <w:lang w:val="es-ES_tradnl"/>
        </w:rPr>
        <w:tab/>
        <w:t>A.</w:t>
      </w:r>
      <w:r w:rsidRPr="00834483">
        <w:rPr>
          <w:lang w:val="es-ES_tradnl"/>
        </w:rPr>
        <w:tab/>
        <w:t>Obligaciones que incumben al Estado parte en virtud de la Convención en relación con la mutilación genital femenina</w:t>
      </w:r>
    </w:p>
    <w:p w14:paraId="37C96D4D" w14:textId="77777777" w:rsidR="005A19AC" w:rsidRPr="00834483" w:rsidRDefault="005A19AC" w:rsidP="005A19AC">
      <w:pPr>
        <w:pStyle w:val="SingleTxt"/>
        <w:spacing w:after="0" w:line="120" w:lineRule="exact"/>
        <w:rPr>
          <w:sz w:val="10"/>
          <w:lang w:val="es-ES_tradnl"/>
        </w:rPr>
      </w:pPr>
    </w:p>
    <w:p w14:paraId="457305E1" w14:textId="77777777" w:rsidR="005A19AC" w:rsidRPr="00834483" w:rsidRDefault="005A19AC" w:rsidP="005A19AC">
      <w:pPr>
        <w:pStyle w:val="SingleTxt"/>
        <w:spacing w:after="0" w:line="120" w:lineRule="exact"/>
        <w:rPr>
          <w:sz w:val="10"/>
          <w:lang w:val="es-ES_tradnl"/>
        </w:rPr>
      </w:pPr>
    </w:p>
    <w:p w14:paraId="68B55995" w14:textId="77777777" w:rsidR="005A19AC" w:rsidRPr="00834483" w:rsidRDefault="005A19AC" w:rsidP="005A19AC">
      <w:pPr>
        <w:pStyle w:val="SingleTxt"/>
        <w:numPr>
          <w:ilvl w:val="0"/>
          <w:numId w:val="6"/>
        </w:numPr>
        <w:tabs>
          <w:tab w:val="right" w:pos="1022"/>
        </w:tabs>
        <w:ind w:left="1267" w:firstLine="0"/>
        <w:rPr>
          <w:lang w:val="es-ES_tradnl"/>
        </w:rPr>
      </w:pPr>
      <w:r w:rsidRPr="00834483">
        <w:rPr>
          <w:lang w:val="es-ES_tradnl"/>
        </w:rPr>
        <w:t>De conformidad con la Convención y la recomendación general núm. 31 del Comité para la Eliminación de la Discriminación contra la Mujer y observación general núm. 18 del Comité de los Derechos del Niño (2014) sobre las prácticas nocivas, adoptadas de manera conjunta, la mutilación genital femenina es una práctica nociva y una forma de violencia por razón de género</w:t>
      </w:r>
      <w:r>
        <w:rPr>
          <w:rStyle w:val="FootnoteReference"/>
          <w:lang w:val="es-ES_tradnl"/>
        </w:rPr>
        <w:footnoteReference w:id="26"/>
      </w:r>
      <w:r w:rsidRPr="00834483">
        <w:rPr>
          <w:lang w:val="es-ES_tradnl"/>
        </w:rPr>
        <w:t xml:space="preserve"> que representa una forma de discriminación contra las mujeres y una violación de los derechos que la Convención otorga a las mujeres y las niñas, a saber, el derecho a la protección contra la violencia por razón de género, los prejuicios y las prácticas consuetudinarias nocivas, el derecho de acceso a la justicia, el derecho a la salud y el derecho al matrimonio</w:t>
      </w:r>
      <w:r w:rsidRPr="00834483">
        <w:rPr>
          <w:vertAlign w:val="superscript"/>
          <w:lang w:val="es-ES_tradnl"/>
        </w:rPr>
        <w:footnoteReference w:id="27"/>
      </w:r>
      <w:r w:rsidRPr="00834483">
        <w:rPr>
          <w:lang w:val="es-ES_tradnl"/>
        </w:rPr>
        <w:t xml:space="preserve">. </w:t>
      </w:r>
    </w:p>
    <w:p w14:paraId="103AA8F6" w14:textId="239591A4" w:rsidR="005A19AC" w:rsidRPr="00834483" w:rsidRDefault="005A19AC" w:rsidP="005A19AC">
      <w:pPr>
        <w:pStyle w:val="SingleTxt"/>
        <w:numPr>
          <w:ilvl w:val="0"/>
          <w:numId w:val="6"/>
        </w:numPr>
        <w:ind w:left="1267" w:firstLine="0"/>
        <w:rPr>
          <w:lang w:val="es-ES_tradnl"/>
        </w:rPr>
      </w:pPr>
      <w:r w:rsidRPr="00834483">
        <w:rPr>
          <w:lang w:val="es-ES_tradnl"/>
        </w:rPr>
        <w:t xml:space="preserve">En virtud del artículo 2 de la Convención, los Estados partes tienen la obligación de no discriminar a la mujer por acción u omisión y están obligados a reaccionar activamente ante la discriminación contra la mujer, independientemente de que esas </w:t>
      </w:r>
      <w:r w:rsidRPr="00834483">
        <w:rPr>
          <w:lang w:val="es-ES_tradnl"/>
        </w:rPr>
        <w:lastRenderedPageBreak/>
        <w:t>acciones u omisiones sean cometidas por el Estado parte o por actores privados</w:t>
      </w:r>
      <w:r w:rsidRPr="00834483">
        <w:rPr>
          <w:vertAlign w:val="superscript"/>
          <w:lang w:val="es-ES_tradnl"/>
        </w:rPr>
        <w:footnoteReference w:id="28"/>
      </w:r>
      <w:r w:rsidRPr="00834483">
        <w:rPr>
          <w:lang w:val="es-ES_tradnl"/>
        </w:rPr>
        <w:t>. La discriminación puede ocurrir cuando los Estados partes no adoptan las medidas legislativas necesarias para asegurar la plena efectividad de los derechos de la mujer</w:t>
      </w:r>
      <w:r w:rsidRPr="00834483">
        <w:rPr>
          <w:vertAlign w:val="superscript"/>
          <w:lang w:val="es-ES_tradnl"/>
        </w:rPr>
        <w:footnoteReference w:id="29"/>
      </w:r>
      <w:r w:rsidRPr="00834483">
        <w:rPr>
          <w:lang w:val="es-ES_tradnl"/>
        </w:rPr>
        <w:t>. Los Estados partes tienen la obligación de ejercer la diligencia debida para adoptar leyes y velar por su aplicación a fin de responder eficazmente a toda resistencia frente a la eliminación de la discriminación relacionada con prácticas nocivas y actos de violencia contra las mujeres</w:t>
      </w:r>
      <w:r w:rsidRPr="00834483">
        <w:rPr>
          <w:vertAlign w:val="superscript"/>
          <w:lang w:val="es-ES_tradnl"/>
        </w:rPr>
        <w:footnoteReference w:id="30"/>
      </w:r>
      <w:r w:rsidRPr="00834483">
        <w:rPr>
          <w:lang w:val="es-ES_tradnl"/>
        </w:rPr>
        <w:t>. En virtud del párrafo 13 de la recomendación general núm. 31 y</w:t>
      </w:r>
      <w:r w:rsidR="00F014C5">
        <w:rPr>
          <w:lang w:val="es-ES_tradnl"/>
        </w:rPr>
        <w:t xml:space="preserve"> la</w:t>
      </w:r>
      <w:r w:rsidRPr="00834483">
        <w:rPr>
          <w:lang w:val="es-ES_tradnl"/>
        </w:rPr>
        <w:t xml:space="preserve"> observación general núm. 18, adoptadas de manera conjunta, los Estados partes deben prohibir de manera explícita por ley y tipificar como delitos las prácticas nocivas.</w:t>
      </w:r>
    </w:p>
    <w:p w14:paraId="35709433" w14:textId="77777777" w:rsidR="005A19AC" w:rsidRPr="00834483" w:rsidRDefault="005A19AC" w:rsidP="005A19AC">
      <w:pPr>
        <w:pStyle w:val="SingleTxt"/>
        <w:numPr>
          <w:ilvl w:val="0"/>
          <w:numId w:val="8"/>
        </w:numPr>
        <w:tabs>
          <w:tab w:val="clear" w:pos="475"/>
          <w:tab w:val="right" w:pos="1022"/>
        </w:tabs>
        <w:ind w:left="1267" w:right="1260"/>
        <w:rPr>
          <w:lang w:val="es-ES_tradnl"/>
        </w:rPr>
      </w:pPr>
      <w:r w:rsidRPr="00834483">
        <w:rPr>
          <w:lang w:val="es-ES_tradnl"/>
        </w:rPr>
        <w:t>De conformidad con los apartados c) y e) del artículo 2 de la Convención, los Estados partes están obligados a actuar con diligencia para eliminar la discriminación contra la mujer practicada por cualquier agente no estatal, tanto en el marco familiar como en la sociedad. Los Estados partes están obligados a adoptar todas las medidas apropiadas para prevenir, investigar, enjuiciar, castigar y ofrecer reparación por los actos u omisiones de agentes no estatales que den lugar a la violencia por razón de género contra la mujer, incluida la mutilación genital femenina</w:t>
      </w:r>
      <w:r w:rsidRPr="00834483">
        <w:rPr>
          <w:vertAlign w:val="superscript"/>
          <w:lang w:val="es-ES_tradnl"/>
        </w:rPr>
        <w:footnoteReference w:id="31"/>
      </w:r>
      <w:r w:rsidRPr="00834483">
        <w:rPr>
          <w:lang w:val="es-ES_tradnl"/>
        </w:rPr>
        <w:t>. Por lo tanto, los Estados partes incurren en responsabilidad si no adoptan este tipo de medidas. Además, en virtud del artículo 2 c)</w:t>
      </w:r>
      <w:r w:rsidRPr="00834483">
        <w:rPr>
          <w:vertAlign w:val="superscript"/>
          <w:lang w:val="es-ES_tradnl"/>
        </w:rPr>
        <w:footnoteReference w:id="32"/>
      </w:r>
      <w:r w:rsidRPr="00834483">
        <w:rPr>
          <w:lang w:val="es-ES_tradnl"/>
        </w:rPr>
        <w:t>, los Estados partes deben adoptar medidas para que las mujeres puedan presentar denuncias por violaciones de los derechos consagrados en la Convención. Deben garantizar el acceso de las víctimas de mutilación genital femenina a recursos eficaces, accesibles y oportunos, así como a asistencia jurídica gratuita de ser necesario. Los Estados partes deben proporcionar a las víctimas acceso a reparaciones adecuadas y prever medios de recuperación y reintegración</w:t>
      </w:r>
      <w:r w:rsidRPr="00834483">
        <w:rPr>
          <w:vertAlign w:val="superscript"/>
          <w:lang w:val="es-ES_tradnl"/>
        </w:rPr>
        <w:footnoteReference w:id="33"/>
      </w:r>
      <w:r w:rsidRPr="00834483">
        <w:rPr>
          <w:lang w:val="es-ES_tradnl"/>
        </w:rPr>
        <w:t>. También deben poner en marcha programas de conocimientos básicos de derecho que empoderen a las víctimas para reclamar sus derechos sin temor</w:t>
      </w:r>
      <w:r w:rsidRPr="00834483">
        <w:rPr>
          <w:vertAlign w:val="superscript"/>
          <w:lang w:val="es-ES_tradnl"/>
        </w:rPr>
        <w:footnoteReference w:id="34"/>
      </w:r>
      <w:r w:rsidRPr="00834483">
        <w:rPr>
          <w:lang w:val="es-ES_tradnl"/>
        </w:rPr>
        <w:t>.</w:t>
      </w:r>
    </w:p>
    <w:p w14:paraId="3AF23029" w14:textId="77777777" w:rsidR="005A19AC" w:rsidRPr="00834483" w:rsidRDefault="005A19AC" w:rsidP="005A19AC">
      <w:pPr>
        <w:pStyle w:val="SingleTxt"/>
        <w:numPr>
          <w:ilvl w:val="0"/>
          <w:numId w:val="8"/>
        </w:numPr>
        <w:ind w:left="1267"/>
        <w:rPr>
          <w:lang w:val="es-ES_tradnl"/>
        </w:rPr>
      </w:pPr>
      <w:bookmarkStart w:id="4" w:name="_Hlk9351166"/>
      <w:r w:rsidRPr="00834483">
        <w:rPr>
          <w:lang w:val="es-ES_tradnl"/>
        </w:rPr>
        <w:t xml:space="preserve">En virtud de los artículos 2 f), 5 a) y 16.1 a), interpretado conjuntamente con el artículo 5 a), de la Convención, los Estados partes deben erradicar los prejuicios, los estereotipos y las costumbres que subordinan a las mujeres a los hombres, crean desigualdad entre los géneros y están en el origen de la mutilación genital femenina. También deben proteger a todas las mujeres, incluidas las que no hayan sufrido una mutilación genital, de los prejuicios y los estereotipos sexistas que hacen que esa mutilación sea un requisito para el matrimonio, impidiéndoles así alcanzar la igualdad con los hombres en el disfrute del derecho al matrimonio. Además, en virtud del artículo 2 de la Convención, interpretado a la luz de la recomendación general núm. </w:t>
      </w:r>
      <w:r w:rsidRPr="00F04A7F">
        <w:t>28 (2010)</w:t>
      </w:r>
      <w:r w:rsidRPr="00834483">
        <w:rPr>
          <w:lang w:val="es-ES_tradnl"/>
        </w:rPr>
        <w:t xml:space="preserve"> del Comité, </w:t>
      </w:r>
      <w:r w:rsidRPr="00834483">
        <w:rPr>
          <w:bCs/>
          <w:lang w:val="es-ES_tradnl"/>
        </w:rPr>
        <w:t xml:space="preserve">relativa a las obligaciones básicas de los Estados partes de conformidad con el </w:t>
      </w:r>
      <w:r w:rsidRPr="00834483">
        <w:rPr>
          <w:lang w:val="es-ES_tradnl"/>
        </w:rPr>
        <w:t>artículo 2 de la Convención, y la recomendación general núm. 31 y observación general núm. 18, adoptadas de manera conjunta, los Estados partes deben adoptar medidas para modificar los modelos de comportamiento socioculturales basados en la idea de la inferioridad de las mujeres y niñas</w:t>
      </w:r>
      <w:r w:rsidRPr="00834483">
        <w:rPr>
          <w:vertAlign w:val="superscript"/>
          <w:lang w:val="es-ES_tradnl"/>
        </w:rPr>
        <w:footnoteReference w:id="35"/>
      </w:r>
      <w:r w:rsidRPr="00834483">
        <w:rPr>
          <w:lang w:val="es-ES_tradnl"/>
        </w:rPr>
        <w:t>.</w:t>
      </w:r>
      <w:bookmarkEnd w:id="4"/>
    </w:p>
    <w:p w14:paraId="782E613E" w14:textId="77777777" w:rsidR="005A19AC" w:rsidRPr="00834483" w:rsidRDefault="005A19AC" w:rsidP="005A19AC">
      <w:pPr>
        <w:pStyle w:val="SingleTxt"/>
        <w:numPr>
          <w:ilvl w:val="0"/>
          <w:numId w:val="8"/>
        </w:numPr>
        <w:ind w:left="1267"/>
        <w:rPr>
          <w:lang w:val="es-ES_tradnl"/>
        </w:rPr>
      </w:pPr>
      <w:r w:rsidRPr="00834483">
        <w:rPr>
          <w:lang w:val="es-ES_tradnl"/>
        </w:rPr>
        <w:lastRenderedPageBreak/>
        <w:t>El artículo 12.1 de la Convención garantiza el derecho de las mujeres a la salud, incluida la salud sexual y reproductiva, y obliga a los Estados partes a adoptar todas las medidas apropiadas para asegurar su acceso a servicios de atención médica. Ese artículo, complementado por los artículos 2 y 3, obliga a los Estados partes a adoptar todas las medidas apropiadas para eliminar la discriminación contra la mujer, practicada en la esfera de la atención médica por cualesquiera personas, organizaciones o empresas, para garantizar el pleno desarrollo de las mujeres en igualdad de condiciones con el hombre. Con arreglo a ese artículo, los Estados partes están obligados a subsanar toda práctica social que impida a las mujeres disfrutar de la salud y deben garantizar su acceso a la atención médica, incluso en el ámbito de la salud sexual y reproductiva. Además, los servicios de atención de la salud deben ser de calidad y asequibles</w:t>
      </w:r>
      <w:r w:rsidRPr="00834483">
        <w:rPr>
          <w:vertAlign w:val="superscript"/>
          <w:lang w:val="es-ES_tradnl"/>
        </w:rPr>
        <w:footnoteReference w:id="36"/>
      </w:r>
      <w:r w:rsidRPr="00834483">
        <w:rPr>
          <w:lang w:val="es-ES_tradnl"/>
        </w:rPr>
        <w:t>.</w:t>
      </w:r>
    </w:p>
    <w:p w14:paraId="26558B40" w14:textId="5C2D1049" w:rsidR="005A19AC" w:rsidRPr="00834483" w:rsidRDefault="005A19AC" w:rsidP="005A19AC">
      <w:pPr>
        <w:pStyle w:val="SingleTxt"/>
        <w:numPr>
          <w:ilvl w:val="0"/>
          <w:numId w:val="8"/>
        </w:numPr>
        <w:ind w:left="1267"/>
        <w:rPr>
          <w:lang w:val="es-ES_tradnl"/>
        </w:rPr>
      </w:pPr>
      <w:r w:rsidRPr="00834483">
        <w:rPr>
          <w:lang w:val="es-ES_tradnl"/>
        </w:rPr>
        <w:t>Los Estados partes deben garantizar el acceso de las mujeres y las niñas a servicios de atención médica respetando la autonomía y el derecho de estas a dar su consentimiento con pleno conocimiento de causa</w:t>
      </w:r>
      <w:r w:rsidRPr="00834483">
        <w:rPr>
          <w:vertAlign w:val="superscript"/>
          <w:lang w:val="es-ES_tradnl"/>
        </w:rPr>
        <w:footnoteReference w:id="37"/>
      </w:r>
      <w:r w:rsidRPr="00834483">
        <w:rPr>
          <w:lang w:val="es-ES_tradnl"/>
        </w:rPr>
        <w:t>. En su jurisprudencia reciente, el Comité ha subrayado además que los artículos 12 y 5 a) de la Convención obligan a los Estados partes a eliminar prácticas que afecten negativamente a la toma de decisiones libres y bien fundadas por parte de las mujeres en el ámbito de la salud (</w:t>
      </w:r>
      <w:hyperlink r:id="rId16" w:history="1">
        <w:r w:rsidRPr="00AB552C">
          <w:rPr>
            <w:rStyle w:val="Hyperlink"/>
            <w:lang w:val="es-ES_tradnl"/>
          </w:rPr>
          <w:t>CEDAW/C/OP.8/GBR/1</w:t>
        </w:r>
      </w:hyperlink>
      <w:r w:rsidRPr="00834483">
        <w:rPr>
          <w:lang w:val="es-ES_tradnl"/>
        </w:rPr>
        <w:t>, párr. 55), y que no respetar esas decisiones supone una forma de discriminación que vulnera el artículo 1 de la Convención</w:t>
      </w:r>
      <w:r w:rsidRPr="00834483">
        <w:rPr>
          <w:vertAlign w:val="superscript"/>
          <w:lang w:val="es-ES_tradnl"/>
        </w:rPr>
        <w:footnoteReference w:id="38"/>
      </w:r>
      <w:r w:rsidRPr="00834483">
        <w:rPr>
          <w:lang w:val="es-ES_tradnl"/>
        </w:rPr>
        <w:t xml:space="preserve">. </w:t>
      </w:r>
    </w:p>
    <w:p w14:paraId="3ACBD650" w14:textId="77777777" w:rsidR="005A19AC" w:rsidRDefault="005A19AC" w:rsidP="005A19AC">
      <w:pPr>
        <w:pStyle w:val="SingleTxt"/>
        <w:numPr>
          <w:ilvl w:val="0"/>
          <w:numId w:val="8"/>
        </w:numPr>
        <w:ind w:left="1267"/>
        <w:rPr>
          <w:lang w:val="es-ES_tradnl"/>
        </w:rPr>
      </w:pPr>
      <w:r w:rsidRPr="00834483">
        <w:rPr>
          <w:lang w:val="es-ES_tradnl"/>
        </w:rPr>
        <w:t>El Comité recuerda que las obligaciones contraídas por los Estados partes en virtud de la Convención no cesan en períodos de conflicto armado ni en los estados de emergencia declarados por acontecimientos políticos</w:t>
      </w:r>
      <w:r w:rsidRPr="00834483">
        <w:rPr>
          <w:vertAlign w:val="superscript"/>
          <w:lang w:val="es-ES_tradnl"/>
        </w:rPr>
        <w:footnoteReference w:id="39"/>
      </w:r>
      <w:r w:rsidRPr="00834483">
        <w:rPr>
          <w:lang w:val="es-ES_tradnl"/>
        </w:rPr>
        <w:t xml:space="preserve">. Por consiguiente, la crisis de seguridad y el estado de emergencia presentes desde 2015 no eximen a Malí de sus obligaciones en virtud de la Convención. </w:t>
      </w:r>
    </w:p>
    <w:p w14:paraId="38E9A084" w14:textId="77777777" w:rsidR="005A19AC" w:rsidRPr="00834483" w:rsidRDefault="005A19AC" w:rsidP="005A19AC">
      <w:pPr>
        <w:pStyle w:val="SingleTxt"/>
        <w:spacing w:after="0" w:line="120" w:lineRule="exact"/>
        <w:rPr>
          <w:sz w:val="10"/>
          <w:lang w:val="es-ES_tradnl"/>
        </w:rPr>
      </w:pPr>
    </w:p>
    <w:p w14:paraId="75BFBF8B" w14:textId="77777777" w:rsidR="005A19AC" w:rsidRPr="00834483" w:rsidRDefault="005A19AC" w:rsidP="005A19AC">
      <w:pPr>
        <w:pStyle w:val="SingleTxt"/>
        <w:spacing w:after="0" w:line="120" w:lineRule="exact"/>
        <w:rPr>
          <w:sz w:val="10"/>
          <w:lang w:val="es-ES_tradnl"/>
        </w:rPr>
      </w:pPr>
    </w:p>
    <w:p w14:paraId="58241E4C" w14:textId="77777777" w:rsidR="005A19AC" w:rsidRDefault="005A19AC" w:rsidP="005A19A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834483">
        <w:rPr>
          <w:lang w:val="es-ES_tradnl"/>
        </w:rPr>
        <w:tab/>
        <w:t>B.</w:t>
      </w:r>
      <w:r w:rsidRPr="00834483">
        <w:rPr>
          <w:lang w:val="es-ES_tradnl"/>
        </w:rPr>
        <w:tab/>
        <w:t>Violaciones de derechos consagrados en la Convención</w:t>
      </w:r>
    </w:p>
    <w:p w14:paraId="7CAB2B8A" w14:textId="77777777" w:rsidR="005A19AC" w:rsidRPr="00C912D9" w:rsidRDefault="005A19AC" w:rsidP="005A19AC">
      <w:pPr>
        <w:pStyle w:val="SingleTxt"/>
        <w:spacing w:after="0" w:line="120" w:lineRule="exact"/>
        <w:rPr>
          <w:sz w:val="10"/>
          <w:lang w:val="es-ES_tradnl"/>
        </w:rPr>
      </w:pPr>
    </w:p>
    <w:p w14:paraId="4DB2367B" w14:textId="77777777" w:rsidR="005A19AC" w:rsidRPr="00C912D9" w:rsidRDefault="005A19AC" w:rsidP="005A19AC">
      <w:pPr>
        <w:pStyle w:val="SingleTxt"/>
        <w:spacing w:after="0" w:line="120" w:lineRule="exact"/>
        <w:rPr>
          <w:sz w:val="10"/>
          <w:lang w:val="es-ES_tradnl"/>
        </w:rPr>
      </w:pPr>
    </w:p>
    <w:p w14:paraId="48E0F582" w14:textId="77777777" w:rsidR="005A19AC" w:rsidRDefault="005A19AC" w:rsidP="005A19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834483">
        <w:rPr>
          <w:lang w:val="es-ES_tradnl"/>
        </w:rPr>
        <w:tab/>
        <w:t>1.</w:t>
      </w:r>
      <w:r w:rsidRPr="00834483">
        <w:rPr>
          <w:lang w:val="es-ES_tradnl"/>
        </w:rPr>
        <w:tab/>
        <w:t xml:space="preserve">Derecho a vivir a salvo de la violencia por razón de género </w:t>
      </w:r>
    </w:p>
    <w:p w14:paraId="79375A7C" w14:textId="77777777" w:rsidR="005A19AC" w:rsidRPr="00C912D9" w:rsidRDefault="005A19AC" w:rsidP="005A19AC">
      <w:pPr>
        <w:pStyle w:val="SingleTxt"/>
        <w:spacing w:after="0" w:line="120" w:lineRule="exact"/>
        <w:rPr>
          <w:sz w:val="10"/>
          <w:lang w:val="es-ES_tradnl"/>
        </w:rPr>
      </w:pPr>
    </w:p>
    <w:p w14:paraId="5B973437" w14:textId="77777777" w:rsidR="005A19AC" w:rsidRDefault="005A19AC" w:rsidP="005A19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834483">
        <w:rPr>
          <w:lang w:val="es-ES_tradnl"/>
        </w:rPr>
        <w:tab/>
        <w:t>a)</w:t>
      </w:r>
      <w:r w:rsidRPr="00834483">
        <w:rPr>
          <w:lang w:val="es-ES_tradnl"/>
        </w:rPr>
        <w:tab/>
        <w:t>Marco legislativo inadecuado</w:t>
      </w:r>
    </w:p>
    <w:p w14:paraId="52BB14D8" w14:textId="77777777" w:rsidR="005A19AC" w:rsidRPr="00C912D9" w:rsidRDefault="005A19AC" w:rsidP="005A19AC">
      <w:pPr>
        <w:pStyle w:val="SingleTxt"/>
        <w:spacing w:after="0" w:line="120" w:lineRule="exact"/>
        <w:rPr>
          <w:sz w:val="10"/>
          <w:lang w:val="es-ES_tradnl"/>
        </w:rPr>
      </w:pPr>
    </w:p>
    <w:p w14:paraId="6E1B8DC3" w14:textId="77777777" w:rsidR="005A19AC" w:rsidRDefault="005A19AC" w:rsidP="005A19AC">
      <w:pPr>
        <w:pStyle w:val="SingleTxt"/>
        <w:numPr>
          <w:ilvl w:val="0"/>
          <w:numId w:val="8"/>
        </w:numPr>
        <w:ind w:left="1267"/>
        <w:rPr>
          <w:lang w:val="es-ES_tradnl"/>
        </w:rPr>
      </w:pPr>
      <w:r w:rsidRPr="00834483">
        <w:rPr>
          <w:lang w:val="es-ES_tradnl"/>
        </w:rPr>
        <w:t xml:space="preserve">El Comité observa que no existe una ley que tipifique como delito la mutilación genital femenina, puesto que el anteproyecto de ley sobre prevención y castigo de la violencia por razón de género y atención a las víctimas que tipifica como delito dicha mutilación aún no ha sido aprobado y que el Código Penal no tipifica esa práctica como delito penal. El Comité observa también que la Ley núm. 02-044 sobre Salud Reproductiva, en la que se hace referencia a la mutilación genital femenina, y la Circular núm. 99-0019, por la que se prohíbe realizar mutilación genital femenina en centros de salud, no tienen como objetivo tipificar esa práctica. El Comité señala que el hecho de que el Estado parte no haya aprobado una ley que tipifique la mutilación genital femenina priva a las víctimas de una protección jurídica efectiva contra esa práctica, expone a las niñas de Malí y de la subregión al riesgo de ser sometidas a esa mutilación e impide que las medidas adoptadas en la subregión para eliminar esa práctica tengan éxito. </w:t>
      </w:r>
    </w:p>
    <w:p w14:paraId="321A763D" w14:textId="77777777" w:rsidR="005A19AC" w:rsidRPr="00C912D9" w:rsidRDefault="005A19AC" w:rsidP="005A19AC">
      <w:pPr>
        <w:pStyle w:val="SingleTxt"/>
        <w:spacing w:after="0" w:line="120" w:lineRule="exact"/>
        <w:rPr>
          <w:sz w:val="10"/>
          <w:lang w:val="es-ES_tradnl"/>
        </w:rPr>
      </w:pPr>
    </w:p>
    <w:p w14:paraId="3C36DA80" w14:textId="77777777" w:rsidR="005A19AC" w:rsidRDefault="005A19AC" w:rsidP="005A19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834483">
        <w:rPr>
          <w:lang w:val="es-ES_tradnl"/>
        </w:rPr>
        <w:lastRenderedPageBreak/>
        <w:tab/>
        <w:t>b)</w:t>
      </w:r>
      <w:r w:rsidRPr="00834483">
        <w:rPr>
          <w:lang w:val="es-ES_tradnl"/>
        </w:rPr>
        <w:tab/>
        <w:t>Medidas de concienciación insuficientes</w:t>
      </w:r>
    </w:p>
    <w:p w14:paraId="1F694043" w14:textId="77777777" w:rsidR="005A19AC" w:rsidRPr="00C912D9" w:rsidRDefault="005A19AC" w:rsidP="005A19AC">
      <w:pPr>
        <w:pStyle w:val="SingleTxt"/>
        <w:spacing w:after="0" w:line="120" w:lineRule="exact"/>
        <w:rPr>
          <w:sz w:val="10"/>
          <w:lang w:val="es-ES_tradnl"/>
        </w:rPr>
      </w:pPr>
    </w:p>
    <w:p w14:paraId="23D30310" w14:textId="77777777" w:rsidR="005A19AC" w:rsidRDefault="005A19AC" w:rsidP="005A19AC">
      <w:pPr>
        <w:pStyle w:val="SingleTxt"/>
        <w:numPr>
          <w:ilvl w:val="0"/>
          <w:numId w:val="8"/>
        </w:numPr>
        <w:ind w:left="1267"/>
        <w:rPr>
          <w:lang w:val="es-ES_tradnl"/>
        </w:rPr>
      </w:pPr>
      <w:r w:rsidRPr="00834483">
        <w:rPr>
          <w:lang w:val="es-ES_tradnl"/>
        </w:rPr>
        <w:t xml:space="preserve">El Comité observa que el Estado parte ha hecho esfuerzos para concienciar a la población sobre los estragos que causa la mutilación genital femenina. Sin embargo, observa también que esos esfuerzos no han modificado de forma real ni en un plazo razonable los comportamientos ni han eliminado las creencias y los estereotipos discriminatorios y sexistas en los que se basa esa práctica, que están profundamente arraigados. </w:t>
      </w:r>
    </w:p>
    <w:p w14:paraId="7129438B" w14:textId="77777777" w:rsidR="005A19AC" w:rsidRPr="00C912D9" w:rsidRDefault="005A19AC" w:rsidP="005A19AC">
      <w:pPr>
        <w:pStyle w:val="SingleTxt"/>
        <w:spacing w:after="0" w:line="120" w:lineRule="exact"/>
        <w:rPr>
          <w:sz w:val="10"/>
          <w:lang w:val="es-ES_tradnl"/>
        </w:rPr>
      </w:pPr>
    </w:p>
    <w:p w14:paraId="57111751" w14:textId="77777777" w:rsidR="005A19AC" w:rsidRDefault="005A19AC" w:rsidP="005A19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6" w:name="_Hlk9415097"/>
      <w:bookmarkStart w:id="7" w:name="_Hlk9351681"/>
      <w:bookmarkEnd w:id="6"/>
      <w:bookmarkEnd w:id="7"/>
      <w:r w:rsidRPr="00834483">
        <w:rPr>
          <w:lang w:val="es-ES_tradnl"/>
        </w:rPr>
        <w:tab/>
        <w:t>c)</w:t>
      </w:r>
      <w:r w:rsidRPr="00834483">
        <w:rPr>
          <w:lang w:val="es-ES_tradnl"/>
        </w:rPr>
        <w:tab/>
        <w:t>Conclusiones</w:t>
      </w:r>
    </w:p>
    <w:p w14:paraId="45B866F3" w14:textId="77777777" w:rsidR="005A19AC" w:rsidRPr="00C912D9" w:rsidRDefault="005A19AC" w:rsidP="005A19AC">
      <w:pPr>
        <w:pStyle w:val="SingleTxt"/>
        <w:spacing w:after="0" w:line="120" w:lineRule="exact"/>
        <w:rPr>
          <w:sz w:val="10"/>
          <w:lang w:val="es-ES_tradnl"/>
        </w:rPr>
      </w:pPr>
    </w:p>
    <w:p w14:paraId="4E526107" w14:textId="77777777" w:rsidR="005A19AC" w:rsidRPr="00127B4C" w:rsidRDefault="005A19AC" w:rsidP="005A19AC">
      <w:pPr>
        <w:pStyle w:val="SingleTxt"/>
        <w:numPr>
          <w:ilvl w:val="0"/>
          <w:numId w:val="9"/>
        </w:numPr>
        <w:ind w:left="1267"/>
        <w:rPr>
          <w:lang w:val="es-ES_tradnl"/>
        </w:rPr>
      </w:pPr>
      <w:r w:rsidRPr="00127B4C">
        <w:rPr>
          <w:lang w:val="es-ES_tradnl"/>
        </w:rPr>
        <w:t>En vista de lo anterior, el Comité concluye que el Estado parte ha violado</w:t>
      </w:r>
      <w:r>
        <w:rPr>
          <w:lang w:val="es-ES_tradnl"/>
        </w:rPr>
        <w:t xml:space="preserve"> </w:t>
      </w:r>
      <w:r w:rsidRPr="00127B4C">
        <w:rPr>
          <w:lang w:val="es-ES_tradnl"/>
        </w:rPr>
        <w:t>el artículo 2 a) y b), interpretado conjuntamente con los artículos 5 a) y 12, al no haber actuado con la diligencia debida para aprobar una ley que prohíba la mutilación genital femenina y garantizar, por medio de la legislación, la aplicación eficaz del principio de igualdad entre hombres y mujeres, violando así el derecho de las mujeres malienses y de la subregión a la no discriminación y a vivir a salvo de la violencia por razón de género.</w:t>
      </w:r>
    </w:p>
    <w:p w14:paraId="496120D6" w14:textId="77777777" w:rsidR="005A19AC" w:rsidRPr="00C912D9" w:rsidRDefault="005A19AC" w:rsidP="005A19AC">
      <w:pPr>
        <w:pStyle w:val="SingleTxt"/>
        <w:spacing w:after="0" w:line="120" w:lineRule="exact"/>
        <w:rPr>
          <w:sz w:val="10"/>
          <w:lang w:val="es-ES_tradnl"/>
        </w:rPr>
      </w:pPr>
    </w:p>
    <w:p w14:paraId="2E357CAC" w14:textId="77777777" w:rsidR="005A19AC" w:rsidRDefault="005A19AC" w:rsidP="005A19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834483">
        <w:rPr>
          <w:lang w:val="es-ES_tradnl"/>
        </w:rPr>
        <w:tab/>
        <w:t>2.</w:t>
      </w:r>
      <w:r w:rsidRPr="00834483">
        <w:rPr>
          <w:lang w:val="es-ES_tradnl"/>
        </w:rPr>
        <w:tab/>
        <w:t>Derecho a la igualdad de acceso a la justicia</w:t>
      </w:r>
    </w:p>
    <w:p w14:paraId="54FC9E89" w14:textId="77777777" w:rsidR="005A19AC" w:rsidRPr="00991450" w:rsidRDefault="005A19AC" w:rsidP="005A19AC">
      <w:pPr>
        <w:pStyle w:val="SingleTxt"/>
        <w:spacing w:after="0" w:line="120" w:lineRule="exact"/>
        <w:rPr>
          <w:sz w:val="10"/>
          <w:lang w:val="es-ES_tradnl"/>
        </w:rPr>
      </w:pPr>
    </w:p>
    <w:p w14:paraId="7A5AD59E" w14:textId="77777777" w:rsidR="005A19AC" w:rsidRDefault="005A19AC" w:rsidP="005A19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834483">
        <w:rPr>
          <w:lang w:val="es-ES_tradnl"/>
        </w:rPr>
        <w:tab/>
        <w:t>a)</w:t>
      </w:r>
      <w:r w:rsidRPr="00834483">
        <w:rPr>
          <w:lang w:val="es-ES_tradnl"/>
        </w:rPr>
        <w:tab/>
        <w:t>Ausencia de recursos eficaces para las víctimas</w:t>
      </w:r>
    </w:p>
    <w:p w14:paraId="09C2052A" w14:textId="77777777" w:rsidR="005A19AC" w:rsidRPr="00991450" w:rsidRDefault="005A19AC" w:rsidP="005A19AC">
      <w:pPr>
        <w:pStyle w:val="SingleTxt"/>
        <w:spacing w:after="0" w:line="120" w:lineRule="exact"/>
        <w:rPr>
          <w:sz w:val="10"/>
          <w:lang w:val="es-ES_tradnl"/>
        </w:rPr>
      </w:pPr>
    </w:p>
    <w:p w14:paraId="734CCBFC" w14:textId="77777777" w:rsidR="005A19AC" w:rsidRPr="00834483" w:rsidRDefault="005A19AC" w:rsidP="005A19AC">
      <w:pPr>
        <w:pStyle w:val="SingleTxt"/>
        <w:numPr>
          <w:ilvl w:val="0"/>
          <w:numId w:val="9"/>
        </w:numPr>
        <w:ind w:left="1267"/>
        <w:rPr>
          <w:lang w:val="es-ES_tradnl"/>
        </w:rPr>
      </w:pPr>
      <w:r w:rsidRPr="00834483">
        <w:rPr>
          <w:lang w:val="es-ES_tradnl"/>
        </w:rPr>
        <w:t xml:space="preserve">El Comité recuerda que, de conformidad con lo dispuesto en el párrafo 23 de su recomendación general núm. </w:t>
      </w:r>
      <w:r w:rsidRPr="00F04A7F">
        <w:t>33 (2015)</w:t>
      </w:r>
      <w:r w:rsidRPr="00834483">
        <w:rPr>
          <w:lang w:val="es-ES_tradnl"/>
        </w:rPr>
        <w:t xml:space="preserve"> sobre el acceso de las mujeres a la justicia, la falta de diligencia debida en la prevención, la investigación, el enjuiciamiento, el castigo y la provisión de recursos en los casos de violaciones de los derechos de la mujer trae por resultado el incumplimiento de la obligación de asegurar que la mujer tenga igualdad de acceso a la justicia. </w:t>
      </w:r>
    </w:p>
    <w:p w14:paraId="643A776F" w14:textId="77777777" w:rsidR="005A19AC" w:rsidRPr="00834483" w:rsidRDefault="005A19AC" w:rsidP="005A19AC">
      <w:pPr>
        <w:pStyle w:val="SingleTxt"/>
        <w:numPr>
          <w:ilvl w:val="0"/>
          <w:numId w:val="9"/>
        </w:numPr>
        <w:ind w:left="1267"/>
        <w:rPr>
          <w:lang w:val="es-ES_tradnl"/>
        </w:rPr>
      </w:pPr>
      <w:r w:rsidRPr="00834483">
        <w:rPr>
          <w:lang w:val="es-ES_tradnl"/>
        </w:rPr>
        <w:t xml:space="preserve">Sin una ley que tipifique como delito la mutilación genital femenina, no es posible que las mujeres y las niñas víctimas de esa práctica nociva tengan acceso a la justicia. La falta de una ley de este tipo priva a las víctimas de recursos eficaces, dado que no es posible presentar denuncias, iniciar investigaciones o procedimientos judiciales, lograr que se castigue a los autores de las mutilaciones y conseguir una reparación adecuada por el perjuicio padecido a causa de una mutilación. </w:t>
      </w:r>
    </w:p>
    <w:p w14:paraId="3204C4F4" w14:textId="77777777" w:rsidR="005A19AC" w:rsidRPr="00834483" w:rsidRDefault="005A19AC" w:rsidP="005A19AC">
      <w:pPr>
        <w:pStyle w:val="SingleTxt"/>
        <w:numPr>
          <w:ilvl w:val="0"/>
          <w:numId w:val="9"/>
        </w:numPr>
        <w:ind w:left="1267"/>
        <w:rPr>
          <w:lang w:val="es-ES_tradnl"/>
        </w:rPr>
      </w:pPr>
      <w:r w:rsidRPr="00834483">
        <w:rPr>
          <w:lang w:val="es-ES_tradnl"/>
        </w:rPr>
        <w:t xml:space="preserve">Si bien, como se señaló durante la investigación, las víctimas pueden denunciar ante los tribunales las mutilación genital femenina sufridas basándose en las disposiciones del Código Penal relativas a las lesiones, la violencia y las torturas, el Comité considera que no se puede deducir que el Estado parte facilite recursos eficaces que permitan a las mujeres ejercer su derecho de acceso a la justicia. El Comité observa las dificultades a las que se enfrentan los jueces para citar a las personas que practican la mutilación genital femenina y castigarlas por lesiones, violencia y torturas, dado que deben observar el principio de aplicación estricta de la ley penal que rige el derecho positivo. El Comité observa la falta de investigaciones, enjuiciamientos, sanciones y reparaciones por el Estado parte en atención a una ley que tipifique como delito la mutilación genital femenina o a las lesiones, las torturas y la violencia que se tipifican en el Código Penal, lo que representa un incumplimiento por el Estado parte de su obligación de actuar con la diligencia debida, si bien el párrafo 14 e) de la recomendación general núm. 33 establece que la provisión de recursos requiere que los sistemas de justicia ofrezcan a las mujeres una protección viable y una reparación significativa de cualquier daño que puedan haber sufrido. Además, según la jurisprudencia del Comité de Derechos Humanos, si los </w:t>
      </w:r>
      <w:r w:rsidRPr="00834483">
        <w:rPr>
          <w:lang w:val="es-ES_tradnl"/>
        </w:rPr>
        <w:lastRenderedPageBreak/>
        <w:t>Estados partes no ofrecen reparación a las personas cuyos derechos han sido violados, no cumplen con la obligación de facilitar un recurso eficaz</w:t>
      </w:r>
      <w:r w:rsidRPr="00834483">
        <w:rPr>
          <w:vertAlign w:val="superscript"/>
          <w:lang w:val="es-ES_tradnl"/>
        </w:rPr>
        <w:footnoteReference w:id="40"/>
      </w:r>
      <w:r w:rsidRPr="00834483">
        <w:rPr>
          <w:lang w:val="es-ES_tradnl"/>
        </w:rPr>
        <w:t xml:space="preserve">. </w:t>
      </w:r>
    </w:p>
    <w:p w14:paraId="7C048021" w14:textId="77777777" w:rsidR="005A19AC" w:rsidRDefault="005A19AC" w:rsidP="005A19AC">
      <w:pPr>
        <w:pStyle w:val="SingleTxt"/>
        <w:numPr>
          <w:ilvl w:val="0"/>
          <w:numId w:val="9"/>
        </w:numPr>
        <w:ind w:left="1267"/>
        <w:rPr>
          <w:lang w:val="es-ES_tradnl"/>
        </w:rPr>
      </w:pPr>
      <w:r w:rsidRPr="00834483">
        <w:rPr>
          <w:lang w:val="es-ES_tradnl"/>
        </w:rPr>
        <w:t xml:space="preserve">El Comité observa además que las personas que practican la escisión se aprovechan de la ausencia de una ley penal para practicar la mutilación genital femenina sin que el Estado parte intervenga para investigar, enjuiciar o sancionar a los autores, es decir, a quienes practican la escisión y a los familiares de las víctimas, dado que la decisión de que se practique una escisión se suele adoptar en el seno de la familia. El Comité observa que existe una falta de cultura jurídica para denunciar los actos de mutilación genital femenina, que la mayoría de las mujeres se niegan a denunciar esas prácticas y que los autores suelen actuar a petición de la familia. </w:t>
      </w:r>
    </w:p>
    <w:p w14:paraId="53B47ABB" w14:textId="77777777" w:rsidR="005A19AC" w:rsidRPr="00991450" w:rsidRDefault="005A19AC" w:rsidP="005A19AC">
      <w:pPr>
        <w:pStyle w:val="SingleTxt"/>
        <w:spacing w:after="0" w:line="120" w:lineRule="exact"/>
        <w:rPr>
          <w:sz w:val="10"/>
          <w:lang w:val="es-ES_tradnl"/>
        </w:rPr>
      </w:pPr>
    </w:p>
    <w:p w14:paraId="4DD544CE" w14:textId="77777777" w:rsidR="005A19AC" w:rsidRDefault="005A19AC" w:rsidP="005A19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834483">
        <w:rPr>
          <w:lang w:val="es-ES_tradnl"/>
        </w:rPr>
        <w:tab/>
        <w:t>b)</w:t>
      </w:r>
      <w:r w:rsidRPr="00834483">
        <w:rPr>
          <w:lang w:val="es-ES_tradnl"/>
        </w:rPr>
        <w:tab/>
        <w:t>Conclusiones</w:t>
      </w:r>
    </w:p>
    <w:p w14:paraId="09BD69C2" w14:textId="77777777" w:rsidR="005A19AC" w:rsidRPr="00991450" w:rsidRDefault="005A19AC" w:rsidP="005A19AC">
      <w:pPr>
        <w:pStyle w:val="SingleTxt"/>
        <w:spacing w:after="0" w:line="120" w:lineRule="exact"/>
        <w:rPr>
          <w:sz w:val="10"/>
          <w:lang w:val="es-ES_tradnl"/>
        </w:rPr>
      </w:pPr>
    </w:p>
    <w:p w14:paraId="428EDF90" w14:textId="77777777" w:rsidR="005A19AC" w:rsidRDefault="005A19AC" w:rsidP="005A19AC">
      <w:pPr>
        <w:pStyle w:val="SingleTxt"/>
        <w:numPr>
          <w:ilvl w:val="0"/>
          <w:numId w:val="9"/>
        </w:numPr>
        <w:ind w:left="1267"/>
        <w:rPr>
          <w:lang w:val="es-ES_tradnl"/>
        </w:rPr>
      </w:pPr>
      <w:r w:rsidRPr="00834483">
        <w:rPr>
          <w:lang w:val="es-ES_tradnl"/>
        </w:rPr>
        <w:t>En vista de lo anterior, el Comité concluye que el Estado parte ha violado el artículo 2 c) y e) de la Convención al no haber actuado con la diligencia debida para investigar, enjuiciar y castigar a los autores y facilitar recursos eficaces a las víctimas e indemnizarlas con reparaciones adecuadas, privándolas así del derecho de acceso a la justicia en condiciones de igualdad.</w:t>
      </w:r>
    </w:p>
    <w:p w14:paraId="7E2377F7" w14:textId="77777777" w:rsidR="005A19AC" w:rsidRPr="00991450" w:rsidRDefault="005A19AC" w:rsidP="005A19AC">
      <w:pPr>
        <w:pStyle w:val="SingleTxt"/>
        <w:spacing w:after="0" w:line="120" w:lineRule="exact"/>
        <w:rPr>
          <w:sz w:val="10"/>
          <w:lang w:val="es-ES_tradnl"/>
        </w:rPr>
      </w:pPr>
    </w:p>
    <w:p w14:paraId="31BE4B13" w14:textId="77777777" w:rsidR="005A19AC" w:rsidRDefault="005A19AC" w:rsidP="005A19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834483">
        <w:rPr>
          <w:lang w:val="es-ES_tradnl"/>
        </w:rPr>
        <w:tab/>
        <w:t>3.</w:t>
      </w:r>
      <w:r w:rsidRPr="00834483">
        <w:rPr>
          <w:lang w:val="es-ES_tradnl"/>
        </w:rPr>
        <w:tab/>
        <w:t>Derecho a la salud</w:t>
      </w:r>
    </w:p>
    <w:p w14:paraId="6C52D39E" w14:textId="77777777" w:rsidR="005A19AC" w:rsidRPr="00991450" w:rsidRDefault="005A19AC" w:rsidP="005A19AC">
      <w:pPr>
        <w:pStyle w:val="SingleTxt"/>
        <w:spacing w:after="0" w:line="120" w:lineRule="exact"/>
        <w:rPr>
          <w:sz w:val="10"/>
          <w:lang w:val="es-ES_tradnl"/>
        </w:rPr>
      </w:pPr>
    </w:p>
    <w:p w14:paraId="408D4BAF" w14:textId="77777777" w:rsidR="005A19AC" w:rsidRPr="00834483" w:rsidRDefault="005A19AC" w:rsidP="005A19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100" w:hanging="1267"/>
        <w:rPr>
          <w:lang w:val="es-ES_tradnl"/>
        </w:rPr>
      </w:pPr>
      <w:r w:rsidRPr="00834483">
        <w:rPr>
          <w:lang w:val="es-ES_tradnl"/>
        </w:rPr>
        <w:tab/>
        <w:t>a)</w:t>
      </w:r>
      <w:r w:rsidRPr="00834483">
        <w:rPr>
          <w:lang w:val="es-ES_tradnl"/>
        </w:rPr>
        <w:tab/>
        <w:t>Violación del derecho de las mujeres a la salud, incluida la salud sexual y reproductiva</w:t>
      </w:r>
    </w:p>
    <w:p w14:paraId="079D5903" w14:textId="77777777" w:rsidR="005A19AC" w:rsidRPr="00F04A7F" w:rsidRDefault="005A19AC" w:rsidP="005A19AC">
      <w:pPr>
        <w:pStyle w:val="SingleTxt"/>
        <w:spacing w:after="0" w:line="120" w:lineRule="exact"/>
        <w:rPr>
          <w:sz w:val="10"/>
          <w:lang w:val="es-ES_tradnl"/>
        </w:rPr>
      </w:pPr>
    </w:p>
    <w:p w14:paraId="3A6C72CD" w14:textId="77777777" w:rsidR="005A19AC" w:rsidRDefault="005A19AC" w:rsidP="005A19AC">
      <w:pPr>
        <w:pStyle w:val="SingleTxt"/>
        <w:numPr>
          <w:ilvl w:val="0"/>
          <w:numId w:val="9"/>
        </w:numPr>
        <w:ind w:left="1267"/>
        <w:rPr>
          <w:lang w:val="es-ES_tradnl"/>
        </w:rPr>
      </w:pPr>
      <w:r w:rsidRPr="00834483">
        <w:rPr>
          <w:lang w:val="es-ES_tradnl"/>
        </w:rPr>
        <w:t xml:space="preserve">El Comité observa que las secuelas de la mutilación genital femenina perjudican sustancialmente la vida, la salud y el desarrollo de las víctimas. Observa que esas mutilaciones comprometen a corto y largo plazo el disfrute pleno por las mujeres y las niñas de su derecho a la salud, incluida la salud sexual y reproductiva. El Comité observa que el Estado parte no ha adoptado las medidas necesarias para proteger a las mujeres y las niñas de esos actos discriminatorios, independientemente de que las mutilaciones sean practicadas por personal sanitario u otras personas. Además, el Comité observa que el Estado parte no ha garantizado a las víctimas de mutilación genital femenina un acceso suficiente y asequible a la atención de la salud, incluida la salud sexual y reproductiva. </w:t>
      </w:r>
    </w:p>
    <w:p w14:paraId="6D7CEA7A" w14:textId="77777777" w:rsidR="005A19AC" w:rsidRPr="00991450" w:rsidRDefault="005A19AC" w:rsidP="005A19AC">
      <w:pPr>
        <w:pStyle w:val="SingleTxt"/>
        <w:spacing w:after="0" w:line="120" w:lineRule="exact"/>
        <w:rPr>
          <w:sz w:val="10"/>
          <w:lang w:val="es-ES_tradnl"/>
        </w:rPr>
      </w:pPr>
    </w:p>
    <w:p w14:paraId="6C3C3983" w14:textId="77777777" w:rsidR="005A19AC" w:rsidRDefault="005A19AC" w:rsidP="005A19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834483">
        <w:rPr>
          <w:lang w:val="es-ES_tradnl"/>
        </w:rPr>
        <w:tab/>
        <w:t>b)</w:t>
      </w:r>
      <w:r w:rsidRPr="00834483">
        <w:rPr>
          <w:lang w:val="es-ES_tradnl"/>
        </w:rPr>
        <w:tab/>
        <w:t>Violación de la autonomía de las mujeres y las niñas</w:t>
      </w:r>
    </w:p>
    <w:p w14:paraId="5D7745B5" w14:textId="77777777" w:rsidR="005A19AC" w:rsidRPr="00991450" w:rsidRDefault="005A19AC" w:rsidP="005A19AC">
      <w:pPr>
        <w:pStyle w:val="SingleTxt"/>
        <w:spacing w:after="0" w:line="120" w:lineRule="exact"/>
        <w:rPr>
          <w:sz w:val="10"/>
          <w:lang w:val="es-ES_tradnl"/>
        </w:rPr>
      </w:pPr>
    </w:p>
    <w:p w14:paraId="43BA18FB" w14:textId="77777777" w:rsidR="005A19AC" w:rsidRPr="00834483" w:rsidRDefault="005A19AC" w:rsidP="005A19AC">
      <w:pPr>
        <w:pStyle w:val="SingleTxt"/>
        <w:numPr>
          <w:ilvl w:val="0"/>
          <w:numId w:val="9"/>
        </w:numPr>
        <w:ind w:left="1267"/>
        <w:rPr>
          <w:lang w:val="es-ES_tradnl"/>
        </w:rPr>
      </w:pPr>
      <w:r w:rsidRPr="00834483">
        <w:rPr>
          <w:lang w:val="es-ES_tradnl"/>
        </w:rPr>
        <w:t xml:space="preserve">El Comité observa que no se respetan la autonomía, la capacidad de decisión y la integridad física de las mujeres. Observa también que no se permite a las mujeres que desean posicionarse contra la mutilación genital femenina tomar su decisión. Observa además el desconocimiento general de la sociedad maliense de las consecuencias graves e irreversibles de la mutilación genital femenina. </w:t>
      </w:r>
    </w:p>
    <w:p w14:paraId="555D220F" w14:textId="77777777" w:rsidR="005A19AC" w:rsidRDefault="005A19AC" w:rsidP="005A19AC">
      <w:pPr>
        <w:pStyle w:val="SingleTxt"/>
        <w:numPr>
          <w:ilvl w:val="0"/>
          <w:numId w:val="9"/>
        </w:numPr>
        <w:ind w:left="1267"/>
        <w:rPr>
          <w:lang w:val="es-ES_tradnl"/>
        </w:rPr>
      </w:pPr>
      <w:r w:rsidRPr="00834483">
        <w:rPr>
          <w:lang w:val="es-ES_tradnl"/>
        </w:rPr>
        <w:t xml:space="preserve">El Comité observa que la mutilación genital se practica exclusivamente en las mujeres y las niñas, y que las secuelas de esa práctica, incluidos los dolores y los traumas que duran toda la vida, obstaculizan su pleno desarrollo en condiciones de igualdad con los hombres en el ámbito de la salud y, en particular, de la salud sexual y reproductiva. </w:t>
      </w:r>
    </w:p>
    <w:p w14:paraId="70F08139" w14:textId="77777777" w:rsidR="005A19AC" w:rsidRPr="00991450" w:rsidRDefault="005A19AC" w:rsidP="005A19AC">
      <w:pPr>
        <w:pStyle w:val="SingleTxt"/>
        <w:spacing w:after="0" w:line="120" w:lineRule="exact"/>
        <w:rPr>
          <w:sz w:val="10"/>
          <w:lang w:val="es-ES_tradnl"/>
        </w:rPr>
      </w:pPr>
    </w:p>
    <w:p w14:paraId="5C4C322B" w14:textId="77777777" w:rsidR="00DD7E1C" w:rsidRDefault="00DD7E1C">
      <w:pPr>
        <w:suppressAutoHyphens w:val="0"/>
        <w:spacing w:after="200" w:line="276" w:lineRule="auto"/>
        <w:rPr>
          <w:b/>
          <w:spacing w:val="2"/>
          <w:kern w:val="14"/>
          <w:lang w:val="es-ES_tradnl"/>
        </w:rPr>
      </w:pPr>
      <w:r>
        <w:rPr>
          <w:lang w:val="es-ES_tradnl"/>
        </w:rPr>
        <w:br w:type="page"/>
      </w:r>
    </w:p>
    <w:p w14:paraId="559A5780" w14:textId="5CB664F7" w:rsidR="005A19AC" w:rsidRDefault="005A19AC" w:rsidP="005A19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834483">
        <w:rPr>
          <w:lang w:val="es-ES_tradnl"/>
        </w:rPr>
        <w:lastRenderedPageBreak/>
        <w:tab/>
        <w:t>c)</w:t>
      </w:r>
      <w:r w:rsidRPr="00834483">
        <w:rPr>
          <w:lang w:val="es-ES_tradnl"/>
        </w:rPr>
        <w:tab/>
        <w:t>Conclusiones</w:t>
      </w:r>
    </w:p>
    <w:p w14:paraId="1D1BA3A4" w14:textId="77777777" w:rsidR="005A19AC" w:rsidRPr="00991450" w:rsidRDefault="005A19AC" w:rsidP="005A19AC">
      <w:pPr>
        <w:pStyle w:val="SingleTxt"/>
        <w:spacing w:after="0" w:line="120" w:lineRule="exact"/>
        <w:rPr>
          <w:sz w:val="10"/>
          <w:lang w:val="es-ES_tradnl"/>
        </w:rPr>
      </w:pPr>
    </w:p>
    <w:p w14:paraId="486191C3" w14:textId="77777777" w:rsidR="005A19AC" w:rsidRPr="00834483" w:rsidRDefault="005A19AC" w:rsidP="005A19AC">
      <w:pPr>
        <w:pStyle w:val="SingleTxt"/>
        <w:numPr>
          <w:ilvl w:val="0"/>
          <w:numId w:val="9"/>
        </w:numPr>
        <w:ind w:left="1267"/>
        <w:rPr>
          <w:lang w:val="es-ES_tradnl"/>
        </w:rPr>
      </w:pPr>
      <w:r w:rsidRPr="00834483">
        <w:rPr>
          <w:lang w:val="es-ES_tradnl"/>
        </w:rPr>
        <w:t>El Comité concluye que el Estado parte ha violado los siguientes artículos de la Convención:</w:t>
      </w:r>
    </w:p>
    <w:p w14:paraId="6221AEBE" w14:textId="77777777" w:rsidR="005A19AC" w:rsidRPr="00834483" w:rsidRDefault="005A19AC" w:rsidP="005A19AC">
      <w:pPr>
        <w:pStyle w:val="SingleTxt"/>
        <w:rPr>
          <w:lang w:val="es-ES_tradnl"/>
        </w:rPr>
      </w:pPr>
      <w:r w:rsidRPr="00834483">
        <w:rPr>
          <w:lang w:val="es-ES_tradnl"/>
        </w:rPr>
        <w:tab/>
        <w:t>a)</w:t>
      </w:r>
      <w:r w:rsidRPr="00834483">
        <w:rPr>
          <w:lang w:val="es-ES_tradnl"/>
        </w:rPr>
        <w:tab/>
        <w:t>El artículo 12.1, a la vista de lo siguiente:</w:t>
      </w:r>
    </w:p>
    <w:p w14:paraId="4139A51C" w14:textId="77777777" w:rsidR="005A19AC" w:rsidRPr="00834483" w:rsidRDefault="005A19AC" w:rsidP="005A19AC">
      <w:pPr>
        <w:pStyle w:val="SingleTxt"/>
        <w:ind w:left="1742" w:hanging="475"/>
        <w:rPr>
          <w:lang w:val="es-ES_tradnl"/>
        </w:rPr>
      </w:pPr>
      <w:r w:rsidRPr="00834483">
        <w:rPr>
          <w:lang w:val="es-ES_tradnl"/>
        </w:rPr>
        <w:tab/>
        <w:t>i)</w:t>
      </w:r>
      <w:r w:rsidRPr="00834483">
        <w:rPr>
          <w:lang w:val="es-ES_tradnl"/>
        </w:rPr>
        <w:tab/>
        <w:t xml:space="preserve">La violación del derecho de las mujeres a la salud, incluida la salud sexual y reproductiva, que representa la mutilación genital femenina; </w:t>
      </w:r>
    </w:p>
    <w:p w14:paraId="5B800733" w14:textId="77777777" w:rsidR="005A19AC" w:rsidRPr="00834483" w:rsidRDefault="005A19AC" w:rsidP="005A19AC">
      <w:pPr>
        <w:pStyle w:val="SingleTxt"/>
        <w:rPr>
          <w:lang w:val="es-ES_tradnl"/>
        </w:rPr>
      </w:pPr>
      <w:r w:rsidRPr="00834483">
        <w:rPr>
          <w:lang w:val="es-ES_tradnl"/>
        </w:rPr>
        <w:tab/>
        <w:t>ii)</w:t>
      </w:r>
      <w:r w:rsidRPr="00834483">
        <w:rPr>
          <w:lang w:val="es-ES_tradnl"/>
        </w:rPr>
        <w:tab/>
        <w:t>La insuficiente atención sanitaria a las víctimas;</w:t>
      </w:r>
    </w:p>
    <w:p w14:paraId="59A11C2C" w14:textId="77777777" w:rsidR="005A19AC" w:rsidRPr="00834483" w:rsidRDefault="005A19AC" w:rsidP="005A19AC">
      <w:pPr>
        <w:pStyle w:val="SingleTxt"/>
        <w:rPr>
          <w:lang w:val="es-ES_tradnl"/>
        </w:rPr>
      </w:pPr>
      <w:r w:rsidRPr="00834483">
        <w:rPr>
          <w:lang w:val="es-ES_tradnl"/>
        </w:rPr>
        <w:tab/>
        <w:t>b)</w:t>
      </w:r>
      <w:r w:rsidRPr="00834483">
        <w:rPr>
          <w:lang w:val="es-ES_tradnl"/>
        </w:rPr>
        <w:tab/>
        <w:t>El artículo 12.1, interpretado conjuntamente con los artículos 1 y 2, debido a la discriminación que representa la mutilación genital femenina para las mujeres y las niñas, que limita su pleno disfrute del derecho a la salud, incluida la salud sexual y reproductiva;</w:t>
      </w:r>
    </w:p>
    <w:p w14:paraId="14C2AC5D" w14:textId="77777777" w:rsidR="005A19AC" w:rsidRPr="00834483" w:rsidRDefault="005A19AC" w:rsidP="005A19AC">
      <w:pPr>
        <w:pStyle w:val="SingleTxt"/>
        <w:rPr>
          <w:lang w:val="es-ES_tradnl"/>
        </w:rPr>
      </w:pPr>
      <w:r w:rsidRPr="00834483">
        <w:rPr>
          <w:lang w:val="es-ES_tradnl"/>
        </w:rPr>
        <w:tab/>
        <w:t>c)</w:t>
      </w:r>
      <w:r w:rsidRPr="00834483">
        <w:rPr>
          <w:lang w:val="es-ES_tradnl"/>
        </w:rPr>
        <w:tab/>
        <w:t>El artículo 12.1, interpretado conjuntamente con los artículos 1, 2 y 3, debido a lo siguiente:</w:t>
      </w:r>
    </w:p>
    <w:p w14:paraId="0B5B203D" w14:textId="77777777" w:rsidR="005A19AC" w:rsidRPr="00834483" w:rsidRDefault="005A19AC" w:rsidP="005A19AC">
      <w:pPr>
        <w:pStyle w:val="SingleTxt"/>
        <w:ind w:left="1742" w:hanging="475"/>
        <w:rPr>
          <w:lang w:val="es-ES_tradnl"/>
        </w:rPr>
      </w:pPr>
      <w:r w:rsidRPr="00834483">
        <w:rPr>
          <w:lang w:val="es-ES_tradnl"/>
        </w:rPr>
        <w:tab/>
        <w:t>i)</w:t>
      </w:r>
      <w:r w:rsidRPr="00834483">
        <w:rPr>
          <w:lang w:val="es-ES_tradnl"/>
        </w:rPr>
        <w:tab/>
        <w:t xml:space="preserve">Las limitaciones que impone la mutilación genital femenina al pleno desarrollo de las mujeres y las niñas en condiciones de igualdad con los hombres; </w:t>
      </w:r>
    </w:p>
    <w:p w14:paraId="41F07D55" w14:textId="77777777" w:rsidR="005A19AC" w:rsidRDefault="005A19AC" w:rsidP="005A19AC">
      <w:pPr>
        <w:pStyle w:val="SingleTxt"/>
        <w:ind w:left="1742" w:hanging="475"/>
        <w:rPr>
          <w:lang w:val="es-ES_tradnl"/>
        </w:rPr>
      </w:pPr>
      <w:r w:rsidRPr="00834483">
        <w:rPr>
          <w:lang w:val="es-ES_tradnl"/>
        </w:rPr>
        <w:tab/>
        <w:t>ii)</w:t>
      </w:r>
      <w:r w:rsidRPr="00834483">
        <w:rPr>
          <w:lang w:val="es-ES_tradnl"/>
        </w:rPr>
        <w:tab/>
        <w:t>La falta de medidas para cumplir con la obligación de actuar con la diligencia debida a fin de proteger a las niñas de los países de la subregión para que no sean sometidas a la práctica de la mutilación genital femenina en su territorio, y para abordar la dimensión comercial resultante de dicha práctica.</w:t>
      </w:r>
    </w:p>
    <w:p w14:paraId="4204F00F" w14:textId="77777777" w:rsidR="005A19AC" w:rsidRPr="00991450" w:rsidRDefault="005A19AC" w:rsidP="005A19AC">
      <w:pPr>
        <w:pStyle w:val="SingleTxt"/>
        <w:spacing w:after="0" w:line="120" w:lineRule="exact"/>
        <w:ind w:left="1742" w:hanging="475"/>
        <w:rPr>
          <w:sz w:val="10"/>
          <w:lang w:val="es-ES_tradnl"/>
        </w:rPr>
      </w:pPr>
    </w:p>
    <w:p w14:paraId="527A428B" w14:textId="77777777" w:rsidR="005A19AC" w:rsidRDefault="005A19AC" w:rsidP="005A19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sidRPr="00834483">
        <w:rPr>
          <w:lang w:val="es-ES_tradnl"/>
        </w:rPr>
        <w:t>4.</w:t>
      </w:r>
      <w:r>
        <w:rPr>
          <w:lang w:val="es-ES_tradnl"/>
        </w:rPr>
        <w:tab/>
      </w:r>
      <w:r w:rsidRPr="00834483">
        <w:rPr>
          <w:lang w:val="es-ES_tradnl"/>
        </w:rPr>
        <w:t>Derecho a contraer matrimonio</w:t>
      </w:r>
    </w:p>
    <w:p w14:paraId="3757B932" w14:textId="77777777" w:rsidR="005A19AC" w:rsidRPr="00991450" w:rsidRDefault="005A19AC" w:rsidP="005A19AC">
      <w:pPr>
        <w:pStyle w:val="SingleTxt"/>
        <w:spacing w:after="0" w:line="120" w:lineRule="exact"/>
        <w:rPr>
          <w:sz w:val="10"/>
          <w:lang w:val="es-ES_tradnl"/>
        </w:rPr>
      </w:pPr>
    </w:p>
    <w:p w14:paraId="3B687FD1" w14:textId="77777777" w:rsidR="005A19AC" w:rsidRDefault="005A19AC" w:rsidP="005A19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sidRPr="00834483">
        <w:rPr>
          <w:lang w:val="es-ES_tradnl"/>
        </w:rPr>
        <w:t>a)</w:t>
      </w:r>
      <w:r w:rsidRPr="00834483">
        <w:rPr>
          <w:lang w:val="es-ES_tradnl"/>
        </w:rPr>
        <w:tab/>
        <w:t>Violación del derecho a contraer matrimonio</w:t>
      </w:r>
    </w:p>
    <w:p w14:paraId="32FC47CC" w14:textId="77777777" w:rsidR="005A19AC" w:rsidRPr="00991450" w:rsidRDefault="005A19AC" w:rsidP="005A19AC">
      <w:pPr>
        <w:pStyle w:val="SingleTxt"/>
        <w:spacing w:after="0" w:line="120" w:lineRule="exact"/>
        <w:rPr>
          <w:sz w:val="10"/>
          <w:lang w:val="es-ES_tradnl"/>
        </w:rPr>
      </w:pPr>
    </w:p>
    <w:p w14:paraId="135B32E8" w14:textId="77777777" w:rsidR="005A19AC" w:rsidRDefault="005A19AC" w:rsidP="005A19AC">
      <w:pPr>
        <w:pStyle w:val="SingleTxt"/>
        <w:numPr>
          <w:ilvl w:val="0"/>
          <w:numId w:val="9"/>
        </w:numPr>
        <w:ind w:left="1267"/>
        <w:rPr>
          <w:lang w:val="es-ES_tradnl"/>
        </w:rPr>
      </w:pPr>
      <w:r w:rsidRPr="00834483">
        <w:rPr>
          <w:lang w:val="es-ES_tradnl"/>
        </w:rPr>
        <w:t>El Comité observa que, debido a la aceptación social de la MGF, a la prevalencia de los prejuicios y los estereotipos de género sobre las mujeres y las niñas que no han sufrido una escisión, y a la presión de que son objeto las familias a fin de que sometan a sus hijas a una mutilación genital para que puedan casarse, esa práctica se considera una condición para contraer matrimonio. El Comité observa además que no se impone ninguna condición a los hombres para casarse y que el Estado parte no ha adoptado suficientes medidas para prevenir esta discriminación, que tiene consecuencias negativas para el derecho de las mujeres a contraer matrimonio en igualdad de condiciones con los hombres.</w:t>
      </w:r>
    </w:p>
    <w:p w14:paraId="2CBCA0EF" w14:textId="77777777" w:rsidR="005A19AC" w:rsidRPr="00991450" w:rsidRDefault="005A19AC" w:rsidP="005A19AC">
      <w:pPr>
        <w:pStyle w:val="SingleTxt"/>
        <w:spacing w:after="0" w:line="120" w:lineRule="exact"/>
        <w:rPr>
          <w:sz w:val="10"/>
          <w:lang w:val="es-ES_tradnl"/>
        </w:rPr>
      </w:pPr>
    </w:p>
    <w:p w14:paraId="5B76C292" w14:textId="77777777" w:rsidR="005A19AC" w:rsidRDefault="005A19AC" w:rsidP="005A19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834483">
        <w:rPr>
          <w:lang w:val="es-ES_tradnl"/>
        </w:rPr>
        <w:tab/>
        <w:t>b)</w:t>
      </w:r>
      <w:r w:rsidRPr="00834483">
        <w:rPr>
          <w:lang w:val="es-ES_tradnl"/>
        </w:rPr>
        <w:tab/>
        <w:t>Conclusiones</w:t>
      </w:r>
    </w:p>
    <w:p w14:paraId="76133B65" w14:textId="77777777" w:rsidR="005A19AC" w:rsidRPr="00991450" w:rsidRDefault="005A19AC" w:rsidP="005A19AC">
      <w:pPr>
        <w:pStyle w:val="SingleTxt"/>
        <w:spacing w:after="0" w:line="120" w:lineRule="exact"/>
        <w:rPr>
          <w:sz w:val="10"/>
          <w:lang w:val="es-ES_tradnl"/>
        </w:rPr>
      </w:pPr>
    </w:p>
    <w:p w14:paraId="5ADA8228" w14:textId="77777777" w:rsidR="005A19AC" w:rsidRDefault="005A19AC" w:rsidP="005A19AC">
      <w:pPr>
        <w:pStyle w:val="SingleTxt"/>
        <w:numPr>
          <w:ilvl w:val="0"/>
          <w:numId w:val="9"/>
        </w:numPr>
        <w:ind w:left="1267"/>
        <w:rPr>
          <w:lang w:val="es-ES_tradnl"/>
        </w:rPr>
      </w:pPr>
      <w:r w:rsidRPr="00834483">
        <w:rPr>
          <w:lang w:val="es-ES_tradnl"/>
        </w:rPr>
        <w:t>A la luz de lo que antecede, el Comité concluye que el Estado parte ha violado el artículo 5 a), interpretado conjuntamente con los artículos 2 y 16.1, por la ineficacia de las medidas adoptadas para cambiar los comportamientos y responder eficazmente a los estereotipos sexistas y discriminatorios que perpetúan la legitimación social, cultural y religiosa de esta práctica y obstaculizan su eliminación, y para modificar los esquemas de comportamiento socioculturales y erradicar la práctica de la MGF y garantizar la igualdad con los hombres en el ejercicio del derecho al matrimonio.</w:t>
      </w:r>
    </w:p>
    <w:p w14:paraId="0BC02B1A" w14:textId="77777777" w:rsidR="005A19AC" w:rsidRPr="00991450" w:rsidRDefault="005A19AC" w:rsidP="005A19AC">
      <w:pPr>
        <w:pStyle w:val="SingleTxt"/>
        <w:spacing w:after="0" w:line="120" w:lineRule="exact"/>
        <w:rPr>
          <w:sz w:val="10"/>
          <w:lang w:val="es-ES_tradnl"/>
        </w:rPr>
      </w:pPr>
    </w:p>
    <w:p w14:paraId="66422D81" w14:textId="77777777" w:rsidR="005A19AC" w:rsidRPr="00991450" w:rsidRDefault="005A19AC" w:rsidP="005A19AC">
      <w:pPr>
        <w:pStyle w:val="SingleTxt"/>
        <w:spacing w:after="0" w:line="120" w:lineRule="exact"/>
        <w:rPr>
          <w:sz w:val="10"/>
          <w:lang w:val="es-ES_tradnl"/>
        </w:rPr>
      </w:pPr>
    </w:p>
    <w:p w14:paraId="13D89C63" w14:textId="77777777" w:rsidR="005A19AC" w:rsidRDefault="005A19AC" w:rsidP="005A19A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370" w:hanging="1267"/>
        <w:rPr>
          <w:lang w:val="es-ES_tradnl"/>
        </w:rPr>
      </w:pPr>
      <w:r w:rsidRPr="00834483">
        <w:rPr>
          <w:lang w:val="es-ES_tradnl"/>
        </w:rPr>
        <w:tab/>
        <w:t>C.</w:t>
      </w:r>
      <w:r w:rsidRPr="00834483">
        <w:rPr>
          <w:lang w:val="es-ES_tradnl"/>
        </w:rPr>
        <w:tab/>
        <w:t xml:space="preserve">Principales violaciones observadas de las disposiciones de la Convención </w:t>
      </w:r>
    </w:p>
    <w:p w14:paraId="77F4325E" w14:textId="77777777" w:rsidR="005A19AC" w:rsidRPr="00991450" w:rsidRDefault="005A19AC" w:rsidP="005A19AC">
      <w:pPr>
        <w:pStyle w:val="SingleTxt"/>
        <w:spacing w:after="0" w:line="120" w:lineRule="exact"/>
        <w:rPr>
          <w:sz w:val="10"/>
          <w:lang w:val="es-ES_tradnl"/>
        </w:rPr>
      </w:pPr>
    </w:p>
    <w:p w14:paraId="6E3D2706" w14:textId="77777777" w:rsidR="005A19AC" w:rsidRPr="00991450" w:rsidRDefault="005A19AC" w:rsidP="005A19AC">
      <w:pPr>
        <w:pStyle w:val="SingleTxt"/>
        <w:spacing w:after="0" w:line="120" w:lineRule="exact"/>
        <w:rPr>
          <w:sz w:val="10"/>
          <w:lang w:val="es-ES_tradnl"/>
        </w:rPr>
      </w:pPr>
    </w:p>
    <w:p w14:paraId="3B0EFA28" w14:textId="77777777" w:rsidR="005A19AC" w:rsidRDefault="005A19AC" w:rsidP="005A19AC">
      <w:pPr>
        <w:pStyle w:val="SingleTxt"/>
        <w:numPr>
          <w:ilvl w:val="0"/>
          <w:numId w:val="9"/>
        </w:numPr>
        <w:ind w:left="1267"/>
        <w:rPr>
          <w:lang w:val="es-ES_tradnl"/>
        </w:rPr>
      </w:pPr>
      <w:r w:rsidRPr="00834483">
        <w:rPr>
          <w:lang w:val="es-ES_tradnl"/>
        </w:rPr>
        <w:t xml:space="preserve">A la luz de lo anterior, y dado que el contexto de crisis política y de seguridad no exime al Estado parte de sus obligaciones, el Comité concluye que el Estado parte </w:t>
      </w:r>
      <w:r w:rsidRPr="00DD7E1C">
        <w:rPr>
          <w:spacing w:val="6"/>
          <w:lang w:val="es-ES_tradnl"/>
        </w:rPr>
        <w:t xml:space="preserve">ha violado los siguientes artículos de la Convención: artículo 2 a), b), c) y e); </w:t>
      </w:r>
      <w:r w:rsidRPr="00DD7E1C">
        <w:rPr>
          <w:spacing w:val="6"/>
          <w:lang w:val="es-ES_tradnl"/>
        </w:rPr>
        <w:lastRenderedPageBreak/>
        <w:t>artículo</w:t>
      </w:r>
      <w:r w:rsidRPr="00834483">
        <w:rPr>
          <w:lang w:val="es-ES_tradnl"/>
        </w:rPr>
        <w:t xml:space="preserve"> 5 a), interpretado conjuntamente con los artículos 2, 3 y 4.1; artículo 12.1, interpretado conjuntamente con los artículos 1, 2, 3 y 5 a); y artículo 16.1 a), interpretado conjuntamente con el artículo 5 a). Estos artículos se deben interpretar conjuntamente con las recomendaciones generales siguientes del Comité: la recomendación general núm. </w:t>
      </w:r>
      <w:r w:rsidRPr="00F04A7F">
        <w:t>14 (1990)</w:t>
      </w:r>
      <w:r w:rsidRPr="00834483">
        <w:rPr>
          <w:lang w:val="es-ES_tradnl"/>
        </w:rPr>
        <w:t xml:space="preserve"> sobre la circuncisión femenina; la recomendación general núm. </w:t>
      </w:r>
      <w:r w:rsidRPr="00F04A7F">
        <w:t>21 (1994)</w:t>
      </w:r>
      <w:r w:rsidRPr="00834483">
        <w:rPr>
          <w:lang w:val="es-ES_tradnl"/>
        </w:rPr>
        <w:t xml:space="preserve"> sobre la igualdad en el matrimonio y en las relaciones familiares; la recomendación general núm. </w:t>
      </w:r>
      <w:r w:rsidRPr="00F04A7F">
        <w:t>24 (1999)</w:t>
      </w:r>
      <w:r w:rsidRPr="00834483">
        <w:rPr>
          <w:lang w:val="es-ES_tradnl"/>
        </w:rPr>
        <w:t xml:space="preserve"> relativa a la mujer y la salud; la recomendación general núm. 28; la recomendación general núm. </w:t>
      </w:r>
      <w:r w:rsidRPr="00F04A7F">
        <w:t>30 (2013)</w:t>
      </w:r>
      <w:r w:rsidRPr="00834483">
        <w:rPr>
          <w:lang w:val="es-ES_tradnl"/>
        </w:rPr>
        <w:t xml:space="preserve"> sobre las mujeres en la prevención de conflictos y en situaciones de conflicto y posteriores a conflictos; la recomendación general núm. 31 y observación general núm. 18, adoptadas de manera conjunta; la recomendación general núm. 33 y la recomendación general núm.</w:t>
      </w:r>
      <w:r>
        <w:rPr>
          <w:lang w:val="es-ES_tradnl"/>
        </w:rPr>
        <w:t xml:space="preserve"> </w:t>
      </w:r>
      <w:r w:rsidRPr="00F04A7F">
        <w:t>35 (2017)</w:t>
      </w:r>
      <w:r w:rsidRPr="00834483">
        <w:rPr>
          <w:lang w:val="es-ES_tradnl"/>
        </w:rPr>
        <w:t xml:space="preserve"> sobre la violencia por razón de género contra la mujer, por la que se actualiza la recomendación general núm. 19.</w:t>
      </w:r>
    </w:p>
    <w:p w14:paraId="489F9670" w14:textId="77777777" w:rsidR="005A19AC" w:rsidRPr="00991450" w:rsidRDefault="005A19AC" w:rsidP="005A19AC">
      <w:pPr>
        <w:pStyle w:val="SingleTxt"/>
        <w:spacing w:after="0" w:line="120" w:lineRule="exact"/>
        <w:rPr>
          <w:sz w:val="10"/>
          <w:lang w:val="es-ES_tradnl"/>
        </w:rPr>
      </w:pPr>
    </w:p>
    <w:p w14:paraId="2D5B3296" w14:textId="77777777" w:rsidR="005A19AC" w:rsidRPr="00991450" w:rsidRDefault="005A19AC" w:rsidP="005A19AC">
      <w:pPr>
        <w:pStyle w:val="SingleTxt"/>
        <w:spacing w:after="0" w:line="120" w:lineRule="exact"/>
        <w:rPr>
          <w:sz w:val="10"/>
          <w:lang w:val="es-ES_tradnl"/>
        </w:rPr>
      </w:pPr>
    </w:p>
    <w:p w14:paraId="1EB06D8D" w14:textId="77777777" w:rsidR="005A19AC" w:rsidRDefault="005A19AC" w:rsidP="005A19A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834483">
        <w:rPr>
          <w:lang w:val="es-ES_tradnl"/>
        </w:rPr>
        <w:tab/>
        <w:t>D.</w:t>
      </w:r>
      <w:r w:rsidRPr="00834483">
        <w:rPr>
          <w:lang w:val="es-ES_tradnl"/>
        </w:rPr>
        <w:tab/>
        <w:t>Carácter grave o sistemático de las violaciones</w:t>
      </w:r>
    </w:p>
    <w:p w14:paraId="71677184" w14:textId="77777777" w:rsidR="005A19AC" w:rsidRPr="00991450" w:rsidRDefault="005A19AC" w:rsidP="005A19AC">
      <w:pPr>
        <w:pStyle w:val="SingleTxt"/>
        <w:spacing w:after="0" w:line="120" w:lineRule="exact"/>
        <w:rPr>
          <w:sz w:val="10"/>
          <w:lang w:val="es-ES_tradnl"/>
        </w:rPr>
      </w:pPr>
    </w:p>
    <w:p w14:paraId="287AD71B" w14:textId="77777777" w:rsidR="005A19AC" w:rsidRPr="00991450" w:rsidRDefault="005A19AC" w:rsidP="005A19AC">
      <w:pPr>
        <w:pStyle w:val="SingleTxt"/>
        <w:spacing w:after="0" w:line="120" w:lineRule="exact"/>
        <w:rPr>
          <w:sz w:val="10"/>
          <w:lang w:val="es-ES_tradnl"/>
        </w:rPr>
      </w:pPr>
    </w:p>
    <w:p w14:paraId="0B9AEDEB" w14:textId="77777777" w:rsidR="005A19AC" w:rsidRPr="00834483" w:rsidRDefault="005A19AC" w:rsidP="005A19AC">
      <w:pPr>
        <w:pStyle w:val="SingleTxt"/>
        <w:numPr>
          <w:ilvl w:val="0"/>
          <w:numId w:val="9"/>
        </w:numPr>
        <w:ind w:left="1267"/>
        <w:rPr>
          <w:lang w:val="es-ES_tradnl"/>
        </w:rPr>
      </w:pPr>
      <w:r w:rsidRPr="00834483">
        <w:rPr>
          <w:lang w:val="es-ES_tradnl"/>
        </w:rPr>
        <w:t xml:space="preserve">De conformidad con el artículo 8 del Protocolo Facultativo y el artículo 83 de su reglamento, el Comité debe evaluar si las violaciones de los derechos son de carácter grave o sistemático. </w:t>
      </w:r>
    </w:p>
    <w:p w14:paraId="51A6124F" w14:textId="77777777" w:rsidR="005A19AC" w:rsidRPr="00834483" w:rsidRDefault="005A19AC" w:rsidP="005A19AC">
      <w:pPr>
        <w:pStyle w:val="SingleTxt"/>
        <w:numPr>
          <w:ilvl w:val="0"/>
          <w:numId w:val="9"/>
        </w:numPr>
        <w:ind w:left="1267"/>
        <w:rPr>
          <w:lang w:val="es-ES_tradnl"/>
        </w:rPr>
      </w:pPr>
      <w:r w:rsidRPr="00834483">
        <w:rPr>
          <w:lang w:val="es-ES_tradnl"/>
        </w:rPr>
        <w:t xml:space="preserve">El Comité considera que las violaciones son “graves” cuando es probable que causen un daño considerable a las víctimas. La determinación de la gravedad de las violaciones debe tener en cuenta la magnitud, la prevalencia, el carácter y la incidencia de las violaciones constatadas. </w:t>
      </w:r>
    </w:p>
    <w:p w14:paraId="6B19348B" w14:textId="77777777" w:rsidR="005A19AC" w:rsidRPr="00834483" w:rsidRDefault="005A19AC" w:rsidP="005A19AC">
      <w:pPr>
        <w:pStyle w:val="SingleTxt"/>
        <w:numPr>
          <w:ilvl w:val="0"/>
          <w:numId w:val="9"/>
        </w:numPr>
        <w:ind w:left="1267"/>
        <w:rPr>
          <w:lang w:val="es-ES_tradnl"/>
        </w:rPr>
      </w:pPr>
      <w:r w:rsidRPr="00834483">
        <w:rPr>
          <w:lang w:val="es-ES_tradnl"/>
        </w:rPr>
        <w:t>El término “sistemático” se refiere al carácter organizado de los actos que dan lugar a las violaciones y la improbabilidad de que ocurran al azar. El Comité ha subrayado que la denegación sistemática de la igualdad de derechos a las mujeres puede producirse deliberadamente, es decir, por intención del Estado parte de cometer tales actos, o como resultado de leyes o políticas discriminatorias, con dicho propósito o sin él. También se puede determinar el carácter sistemático de las violaciones por la existencia de una serie de actos apreciables y persistentes que no ocurren al azar.</w:t>
      </w:r>
    </w:p>
    <w:p w14:paraId="41019C27" w14:textId="77777777" w:rsidR="005A19AC" w:rsidRPr="00834483" w:rsidRDefault="005A19AC" w:rsidP="005A19AC">
      <w:pPr>
        <w:pStyle w:val="SingleTxt"/>
        <w:numPr>
          <w:ilvl w:val="0"/>
          <w:numId w:val="9"/>
        </w:numPr>
        <w:ind w:left="1267"/>
        <w:rPr>
          <w:lang w:val="es-ES_tradnl"/>
        </w:rPr>
      </w:pPr>
      <w:r w:rsidRPr="00834483">
        <w:rPr>
          <w:lang w:val="es-ES_tradnl"/>
        </w:rPr>
        <w:t xml:space="preserve">El Comité evalúa la gravedad de las violaciones cometidas en el Estado parte en lo relacionado con la MFG teniendo en cuenta el sufrimiento considerable infligido a las mujeres y las niñas desde una edad muy temprana y de forma múltiple y repetida. Observa que la práctica nociva de la mutilación genital femenina tiene consecuencias graves para la salud física y psicológica, incluida la salud sexual y reproductiva, y afecta al desarrollo de la víctima en el momento de la intervención misma y durante toda su vida. Observa por último que la mutilación genital femenina puede causar la muerte de la víctima. </w:t>
      </w:r>
    </w:p>
    <w:p w14:paraId="75D04E1F" w14:textId="77777777" w:rsidR="005A19AC" w:rsidRPr="00834483" w:rsidRDefault="005A19AC" w:rsidP="005A19AC">
      <w:pPr>
        <w:pStyle w:val="SingleTxt"/>
        <w:numPr>
          <w:ilvl w:val="0"/>
          <w:numId w:val="9"/>
        </w:numPr>
        <w:ind w:left="1267"/>
        <w:rPr>
          <w:lang w:val="es-ES_tradnl"/>
        </w:rPr>
      </w:pPr>
      <w:r w:rsidRPr="00834483">
        <w:rPr>
          <w:lang w:val="es-ES_tradnl"/>
        </w:rPr>
        <w:t xml:space="preserve">El carácter sistemático de las violaciones cometidas en el Estado parte en lo relacionado con la mutilación genital femenina está vinculado al alcance y a la persistencia de esa práctica, que demuestran que esa violación de los derechos de las mujeres no es aleatoria. En realidad, el 82,7 % de las mujeres de entre 15 y 49 años y el 76,4 % de las niñas de hasta 14 años fueron víctimas de ella en 2015. El carácter sistemático también está dado por el hecho de que el Estado no ha prohibido deliberadamente esta práctica, lo que impide que las víctimas tengan acceso a la justicia y permite que la práctica se lleve a cabo con total impunidad. Si bien el Estado parte reconoce el alcance de esta práctica nociva, no ha realizado esfuerzos sistemáticos para: a) concienciar a la población afectada y la opinión pública en un plazo razonable sobre los efectos perjudiciales en la salud física y psicológica de las mujeres y las niñas; b) eliminar los estereotipos sexistas y discriminatorios que legitiman la práctica; c) modificar las actitudes tradicionales en las que se basa esta </w:t>
      </w:r>
      <w:r w:rsidRPr="00834483">
        <w:rPr>
          <w:lang w:val="es-ES_tradnl"/>
        </w:rPr>
        <w:lastRenderedPageBreak/>
        <w:t xml:space="preserve">violencia contra las mujeres; y d) evitar la estigmatización de las mujeres y las niñas que no hayan sufrido una escisión. </w:t>
      </w:r>
    </w:p>
    <w:p w14:paraId="5351DFD1" w14:textId="77777777" w:rsidR="005A19AC" w:rsidRPr="00834483" w:rsidRDefault="005A19AC" w:rsidP="005A19AC">
      <w:pPr>
        <w:pStyle w:val="SingleTxt"/>
        <w:numPr>
          <w:ilvl w:val="0"/>
          <w:numId w:val="9"/>
        </w:numPr>
        <w:ind w:left="1267"/>
        <w:rPr>
          <w:lang w:val="es-ES_tradnl"/>
        </w:rPr>
      </w:pPr>
      <w:r w:rsidRPr="00834483">
        <w:rPr>
          <w:lang w:val="es-ES_tradnl"/>
        </w:rPr>
        <w:t>El Comité considera que el Estado parte es responsable de:</w:t>
      </w:r>
    </w:p>
    <w:p w14:paraId="070425C7" w14:textId="77777777" w:rsidR="005A19AC" w:rsidRPr="00834483" w:rsidRDefault="005A19AC" w:rsidP="005A19AC">
      <w:pPr>
        <w:pStyle w:val="SingleTxt"/>
        <w:rPr>
          <w:lang w:val="es-ES_tradnl"/>
        </w:rPr>
      </w:pPr>
      <w:r w:rsidRPr="00834483">
        <w:rPr>
          <w:lang w:val="es-ES_tradnl"/>
        </w:rPr>
        <w:tab/>
        <w:t>a)</w:t>
      </w:r>
      <w:r w:rsidRPr="00834483">
        <w:rPr>
          <w:lang w:val="es-ES_tradnl"/>
        </w:rPr>
        <w:tab/>
        <w:t>Violaciones graves de los derechos consagrados en la Convención, dado el carácter discriminatorio de la mutilación genital femenina y el incumplimiento de su obligación de proteger a una mayoría de mujeres y niñas de esta práctica y garantizarles un acceso adecuado a la atención sanitaria y la justicia, lo que las expone a un sufrimiento físico y mental extremo, obstaculiza la realización de investigaciones e impide el acceso de las víctimas a recursos;</w:t>
      </w:r>
    </w:p>
    <w:p w14:paraId="4529F665" w14:textId="77777777" w:rsidR="005A19AC" w:rsidRPr="00834483" w:rsidRDefault="005A19AC" w:rsidP="005A19AC">
      <w:pPr>
        <w:pStyle w:val="SingleTxt"/>
        <w:rPr>
          <w:lang w:val="es-ES_tradnl"/>
        </w:rPr>
      </w:pPr>
      <w:r w:rsidRPr="00834483">
        <w:rPr>
          <w:lang w:val="es-ES_tradnl"/>
        </w:rPr>
        <w:tab/>
        <w:t>b)</w:t>
      </w:r>
      <w:r w:rsidRPr="00834483">
        <w:rPr>
          <w:lang w:val="es-ES_tradnl"/>
        </w:rPr>
        <w:tab/>
        <w:t>Violaciones sistemáticas de los derechos reconocidos en la Convención, teniendo en cuenta que el Estado parte no ha adoptado a sabiendas medidas adecuadas para:</w:t>
      </w:r>
    </w:p>
    <w:p w14:paraId="75DE55E2" w14:textId="77777777" w:rsidR="005A19AC" w:rsidRPr="00834483" w:rsidRDefault="005A19AC" w:rsidP="005A19AC">
      <w:pPr>
        <w:pStyle w:val="SingleTxt"/>
        <w:ind w:left="1742" w:hanging="475"/>
        <w:rPr>
          <w:lang w:val="es-ES_tradnl"/>
        </w:rPr>
      </w:pPr>
      <w:r w:rsidRPr="00834483">
        <w:rPr>
          <w:lang w:val="es-ES_tradnl"/>
        </w:rPr>
        <w:tab/>
        <w:t>i)</w:t>
      </w:r>
      <w:r w:rsidRPr="00834483">
        <w:rPr>
          <w:lang w:val="es-ES_tradnl"/>
        </w:rPr>
        <w:tab/>
        <w:t>Penalizar y prohibir la mutilación genital femenina y garantizar que el delito sea castigado con severas sanciones;</w:t>
      </w:r>
    </w:p>
    <w:p w14:paraId="6D91AD18" w14:textId="77777777" w:rsidR="005A19AC" w:rsidRPr="00834483" w:rsidRDefault="005A19AC" w:rsidP="005A19AC">
      <w:pPr>
        <w:pStyle w:val="SingleTxt"/>
        <w:ind w:left="1742" w:hanging="475"/>
        <w:rPr>
          <w:lang w:val="es-ES_tradnl"/>
        </w:rPr>
      </w:pPr>
      <w:r w:rsidRPr="00834483">
        <w:rPr>
          <w:lang w:val="es-ES_tradnl"/>
        </w:rPr>
        <w:tab/>
        <w:t>ii)</w:t>
      </w:r>
      <w:r w:rsidRPr="00834483">
        <w:rPr>
          <w:lang w:val="es-ES_tradnl"/>
        </w:rPr>
        <w:tab/>
        <w:t>Adoptar medidas, incluso de carácter legislativo, para proteger, atender y rehabilitar a las víctimas de la mutilación genital femenina;</w:t>
      </w:r>
    </w:p>
    <w:p w14:paraId="08AA6470" w14:textId="77777777" w:rsidR="005A19AC" w:rsidRDefault="005A19AC" w:rsidP="005A19AC">
      <w:pPr>
        <w:pStyle w:val="SingleTxt"/>
        <w:ind w:left="1742" w:hanging="475"/>
        <w:rPr>
          <w:lang w:val="es-ES_tradnl"/>
        </w:rPr>
      </w:pPr>
      <w:r w:rsidRPr="00834483">
        <w:rPr>
          <w:lang w:val="es-ES_tradnl"/>
        </w:rPr>
        <w:tab/>
        <w:t>iii)</w:t>
      </w:r>
      <w:r w:rsidRPr="00834483">
        <w:rPr>
          <w:lang w:val="es-ES_tradnl"/>
        </w:rPr>
        <w:tab/>
        <w:t>Luchar contra las actitudes culturales y las normas sociales negativas que legitiman la mutilación genital femenina y contra la estigmatización de las mujeres y las niñas que no se someten a esa mutilación.</w:t>
      </w:r>
    </w:p>
    <w:p w14:paraId="0BDBD3C3" w14:textId="77777777" w:rsidR="005A19AC" w:rsidRPr="00991450" w:rsidRDefault="005A19AC" w:rsidP="005A19AC">
      <w:pPr>
        <w:pStyle w:val="SingleTxt"/>
        <w:spacing w:after="0" w:line="120" w:lineRule="exact"/>
        <w:ind w:left="1742" w:hanging="475"/>
        <w:rPr>
          <w:sz w:val="10"/>
          <w:lang w:val="es-ES_tradnl"/>
        </w:rPr>
      </w:pPr>
    </w:p>
    <w:p w14:paraId="0B57A6BA" w14:textId="77777777" w:rsidR="005A19AC" w:rsidRPr="00991450" w:rsidRDefault="005A19AC" w:rsidP="005A19AC">
      <w:pPr>
        <w:pStyle w:val="SingleTxt"/>
        <w:spacing w:after="0" w:line="120" w:lineRule="exact"/>
        <w:ind w:left="1742" w:hanging="475"/>
        <w:rPr>
          <w:sz w:val="10"/>
          <w:lang w:val="es-ES_tradnl"/>
        </w:rPr>
      </w:pPr>
    </w:p>
    <w:p w14:paraId="3CA3DA9A" w14:textId="77777777" w:rsidR="005A19AC" w:rsidRDefault="005A19AC" w:rsidP="005A19AC">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834483">
        <w:rPr>
          <w:lang w:val="es-ES_tradnl"/>
        </w:rPr>
        <w:tab/>
        <w:t>IX.</w:t>
      </w:r>
      <w:r w:rsidRPr="00834483">
        <w:rPr>
          <w:lang w:val="es-ES_tradnl"/>
        </w:rPr>
        <w:tab/>
        <w:t>Recomendaciones</w:t>
      </w:r>
    </w:p>
    <w:p w14:paraId="75062626" w14:textId="77777777" w:rsidR="005A19AC" w:rsidRPr="00991450" w:rsidRDefault="005A19AC" w:rsidP="005A19AC">
      <w:pPr>
        <w:pStyle w:val="SingleTxt"/>
        <w:spacing w:after="0" w:line="120" w:lineRule="exact"/>
        <w:rPr>
          <w:sz w:val="10"/>
          <w:lang w:val="es-ES_tradnl"/>
        </w:rPr>
      </w:pPr>
    </w:p>
    <w:p w14:paraId="07F288B4" w14:textId="77777777" w:rsidR="005A19AC" w:rsidRPr="00991450" w:rsidRDefault="005A19AC" w:rsidP="005A19AC">
      <w:pPr>
        <w:pStyle w:val="SingleTxt"/>
        <w:spacing w:after="0" w:line="120" w:lineRule="exact"/>
        <w:rPr>
          <w:sz w:val="10"/>
          <w:lang w:val="es-ES_tradnl"/>
        </w:rPr>
      </w:pPr>
    </w:p>
    <w:p w14:paraId="7E730F78" w14:textId="77777777" w:rsidR="005A19AC" w:rsidRDefault="005A19AC" w:rsidP="005A19A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834483">
        <w:rPr>
          <w:lang w:val="es-ES_tradnl"/>
        </w:rPr>
        <w:tab/>
        <w:t>A.</w:t>
      </w:r>
      <w:r w:rsidRPr="00834483">
        <w:rPr>
          <w:lang w:val="es-ES_tradnl"/>
        </w:rPr>
        <w:tab/>
        <w:t>Medidas de protección y reconocimiento efectivo de los derechos de las mujeres</w:t>
      </w:r>
    </w:p>
    <w:p w14:paraId="1F2563A2" w14:textId="77777777" w:rsidR="005A19AC" w:rsidRPr="00991450" w:rsidRDefault="005A19AC" w:rsidP="005A19AC">
      <w:pPr>
        <w:pStyle w:val="SingleTxt"/>
        <w:spacing w:after="0" w:line="120" w:lineRule="exact"/>
        <w:rPr>
          <w:sz w:val="10"/>
          <w:lang w:val="es-ES_tradnl"/>
        </w:rPr>
      </w:pPr>
    </w:p>
    <w:p w14:paraId="786C0D33" w14:textId="77777777" w:rsidR="005A19AC" w:rsidRPr="00991450" w:rsidRDefault="005A19AC" w:rsidP="005A19AC">
      <w:pPr>
        <w:pStyle w:val="SingleTxt"/>
        <w:spacing w:after="0" w:line="120" w:lineRule="exact"/>
        <w:rPr>
          <w:sz w:val="10"/>
          <w:lang w:val="es-ES_tradnl"/>
        </w:rPr>
      </w:pPr>
    </w:p>
    <w:p w14:paraId="64434514" w14:textId="77777777" w:rsidR="005A19AC" w:rsidRPr="00834483" w:rsidRDefault="005A19AC" w:rsidP="005A19AC">
      <w:pPr>
        <w:pStyle w:val="SingleTxt"/>
        <w:numPr>
          <w:ilvl w:val="0"/>
          <w:numId w:val="9"/>
        </w:numPr>
        <w:ind w:left="1267"/>
        <w:rPr>
          <w:lang w:val="es-ES_tradnl"/>
        </w:rPr>
      </w:pPr>
      <w:r w:rsidRPr="00834483">
        <w:rPr>
          <w:b/>
          <w:lang w:val="es-ES_tradnl"/>
        </w:rPr>
        <w:t>Para poner fin a una práctica nociva generalizada, proteger a las víctimas, poner fin a la impunidad y dar seguimiento a las obligaciones contraídas por el Estado parte, y teniendo presente la urgencia política que reviste la aprobación de esa ley, en vista de los progresos que se han registrado en los demás países de la subregión y de su dimensión estratégica para combatir la violencia de género, así como del grave e irreversible sufrimiento que experimentan las víctimas, equiparable a la tortura, y del daño que sufren las niñas en la subregión, el Comité recomienda que el Estado parte</w:t>
      </w:r>
      <w:r w:rsidRPr="00834483">
        <w:rPr>
          <w:lang w:val="es-ES_tradnl"/>
        </w:rPr>
        <w:t xml:space="preserve">: </w:t>
      </w:r>
    </w:p>
    <w:p w14:paraId="03BDEB4F" w14:textId="0F934599" w:rsidR="005A19AC" w:rsidRPr="00834483" w:rsidRDefault="005A19AC" w:rsidP="005A19AC">
      <w:pPr>
        <w:pStyle w:val="SingleTxt"/>
        <w:rPr>
          <w:lang w:val="es-ES_tradnl"/>
        </w:rPr>
      </w:pPr>
      <w:r w:rsidRPr="00834483">
        <w:rPr>
          <w:lang w:val="es-ES_tradnl"/>
        </w:rPr>
        <w:tab/>
      </w:r>
      <w:r w:rsidRPr="00834483">
        <w:rPr>
          <w:b/>
          <w:lang w:val="es-ES_tradnl"/>
        </w:rPr>
        <w:t>a)</w:t>
      </w:r>
      <w:r w:rsidRPr="00834483">
        <w:rPr>
          <w:b/>
          <w:lang w:val="es-ES_tradnl"/>
        </w:rPr>
        <w:tab/>
        <w:t>Apruebe sin demoras el proyecto de ley de prevención y castigo de la violencia por razón de género y atención a las víctimas que tipifica como delito penal la mutilación genital femenina, de conformidad con las recomendaciones anteriores del Comité (</w:t>
      </w:r>
      <w:hyperlink r:id="rId17" w:history="1">
        <w:r w:rsidRPr="00AB552C">
          <w:rPr>
            <w:rStyle w:val="Hyperlink"/>
            <w:b/>
            <w:lang w:val="es-ES_tradnl"/>
          </w:rPr>
          <w:t>CEDAW/C/MLI/CO/6-7</w:t>
        </w:r>
      </w:hyperlink>
      <w:r w:rsidRPr="00834483">
        <w:rPr>
          <w:b/>
          <w:lang w:val="es-ES_tradnl"/>
        </w:rPr>
        <w:t xml:space="preserve">, párr. 20 y </w:t>
      </w:r>
      <w:hyperlink r:id="rId18" w:history="1">
        <w:r w:rsidRPr="00AB552C">
          <w:rPr>
            <w:rStyle w:val="Hyperlink"/>
            <w:b/>
            <w:lang w:val="es-ES_tradnl"/>
          </w:rPr>
          <w:t>CEDAW/C/MLI/CO/5</w:t>
        </w:r>
      </w:hyperlink>
      <w:r w:rsidRPr="00834483">
        <w:rPr>
          <w:b/>
          <w:lang w:val="es-ES_tradnl"/>
        </w:rPr>
        <w:t>, párr. 24) y conforme al Objetivo 5 de los Objetivos de Desarrollo Sostenible (meta 5.3) y al examen al cabo de 25 años de la aplicación de la Declaración y la Plataforma de Acción de Beijing</w:t>
      </w:r>
      <w:r w:rsidRPr="00834483">
        <w:rPr>
          <w:lang w:val="es-ES_tradnl"/>
        </w:rPr>
        <w:t>;</w:t>
      </w:r>
    </w:p>
    <w:p w14:paraId="27F8DD6A" w14:textId="77777777" w:rsidR="005A19AC" w:rsidRPr="00834483" w:rsidRDefault="005A19AC" w:rsidP="005A19AC">
      <w:pPr>
        <w:pStyle w:val="SingleTxt"/>
        <w:rPr>
          <w:lang w:val="es-ES_tradnl"/>
        </w:rPr>
      </w:pPr>
      <w:r w:rsidRPr="00834483">
        <w:rPr>
          <w:lang w:val="es-ES_tradnl"/>
        </w:rPr>
        <w:tab/>
      </w:r>
      <w:r w:rsidRPr="00834483">
        <w:rPr>
          <w:b/>
          <w:lang w:val="es-ES_tradnl"/>
        </w:rPr>
        <w:t>b)</w:t>
      </w:r>
      <w:r w:rsidRPr="00834483">
        <w:rPr>
          <w:b/>
          <w:lang w:val="es-ES_tradnl"/>
        </w:rPr>
        <w:tab/>
        <w:t>Vele por que la aprobación de esta ley por el Parlamento vaya acompañada de las siguientes medidas</w:t>
      </w:r>
      <w:r w:rsidRPr="00834483">
        <w:rPr>
          <w:lang w:val="es-ES_tradnl"/>
        </w:rPr>
        <w:t>:</w:t>
      </w:r>
    </w:p>
    <w:p w14:paraId="1152E954" w14:textId="77777777" w:rsidR="005A19AC" w:rsidRPr="00834483" w:rsidRDefault="005A19AC" w:rsidP="005A19AC">
      <w:pPr>
        <w:pStyle w:val="SingleTxt"/>
        <w:ind w:left="1742" w:hanging="475"/>
        <w:rPr>
          <w:lang w:val="es-ES_tradnl"/>
        </w:rPr>
      </w:pPr>
      <w:r w:rsidRPr="00834483">
        <w:rPr>
          <w:lang w:val="es-ES_tradnl"/>
        </w:rPr>
        <w:tab/>
      </w:r>
      <w:r w:rsidRPr="00834483">
        <w:rPr>
          <w:b/>
          <w:lang w:val="es-ES_tradnl"/>
        </w:rPr>
        <w:t>i)</w:t>
      </w:r>
      <w:r w:rsidRPr="00834483">
        <w:rPr>
          <w:b/>
          <w:lang w:val="es-ES_tradnl"/>
        </w:rPr>
        <w:tab/>
        <w:t>Elaboración de un plan estratégico de aplicación de la ley y creación de un mecanismo de coordinación nacional encargado de aplicar el plan estratégico, en el que participen los ministerios competentes, los parlamentarios, los líderes religiosos y comunitarios, los representantes de las autoridades locales, la Comisión Nacional de Derechos Humanos, la sociedad civil, las ONG, los organismos de las Naciones Unidas y las victimas</w:t>
      </w:r>
      <w:r w:rsidRPr="00834483">
        <w:rPr>
          <w:lang w:val="es-ES_tradnl"/>
        </w:rPr>
        <w:t>;</w:t>
      </w:r>
    </w:p>
    <w:p w14:paraId="34CDE95F" w14:textId="77777777" w:rsidR="005A19AC" w:rsidRPr="00834483" w:rsidRDefault="005A19AC" w:rsidP="0016448C">
      <w:pPr>
        <w:pStyle w:val="SingleTxt"/>
        <w:spacing w:line="238" w:lineRule="exact"/>
        <w:ind w:left="1742" w:hanging="475"/>
        <w:rPr>
          <w:lang w:val="es-ES_tradnl"/>
        </w:rPr>
      </w:pPr>
      <w:r w:rsidRPr="00834483">
        <w:rPr>
          <w:lang w:val="es-ES_tradnl"/>
        </w:rPr>
        <w:lastRenderedPageBreak/>
        <w:tab/>
      </w:r>
      <w:r w:rsidRPr="00834483">
        <w:rPr>
          <w:b/>
          <w:lang w:val="es-ES_tradnl"/>
        </w:rPr>
        <w:t>ii)</w:t>
      </w:r>
      <w:r w:rsidRPr="00834483">
        <w:rPr>
          <w:b/>
          <w:lang w:val="es-ES_tradnl"/>
        </w:rPr>
        <w:tab/>
        <w:t>Elaboración de una estrategia de comunicación sobre la ley, adaptada a las regiones, idiomas y localidades del país, para dar a conocer la ley y garantizar su aplicación efectiva</w:t>
      </w:r>
      <w:r w:rsidRPr="00834483">
        <w:rPr>
          <w:lang w:val="es-ES_tradnl"/>
        </w:rPr>
        <w:t xml:space="preserve">; </w:t>
      </w:r>
    </w:p>
    <w:p w14:paraId="5A7EC1A5" w14:textId="77777777" w:rsidR="005A19AC" w:rsidRPr="00834483" w:rsidRDefault="005A19AC" w:rsidP="0016448C">
      <w:pPr>
        <w:pStyle w:val="SingleTxt"/>
        <w:spacing w:line="238" w:lineRule="exact"/>
        <w:ind w:left="1742" w:hanging="475"/>
        <w:rPr>
          <w:lang w:val="es-ES_tradnl"/>
        </w:rPr>
      </w:pPr>
      <w:r w:rsidRPr="00834483">
        <w:rPr>
          <w:lang w:val="es-ES_tradnl"/>
        </w:rPr>
        <w:tab/>
      </w:r>
      <w:r w:rsidRPr="00834483">
        <w:rPr>
          <w:b/>
          <w:lang w:val="es-ES_tradnl"/>
        </w:rPr>
        <w:t>iii)</w:t>
      </w:r>
      <w:r w:rsidRPr="00834483">
        <w:rPr>
          <w:b/>
          <w:lang w:val="es-ES_tradnl"/>
        </w:rPr>
        <w:tab/>
        <w:t>Elaboración por la Comisión Nacional de Derechos Humanos de un informe anual de evaluación de la aplicación de la ley</w:t>
      </w:r>
      <w:r w:rsidRPr="00834483">
        <w:rPr>
          <w:lang w:val="es-ES_tradnl"/>
        </w:rPr>
        <w:t>;</w:t>
      </w:r>
    </w:p>
    <w:p w14:paraId="4BD7B281" w14:textId="77777777" w:rsidR="005A19AC" w:rsidRPr="00834483" w:rsidRDefault="005A19AC" w:rsidP="0016448C">
      <w:pPr>
        <w:pStyle w:val="SingleTxt"/>
        <w:spacing w:line="238" w:lineRule="exact"/>
        <w:rPr>
          <w:lang w:val="es-ES_tradnl"/>
        </w:rPr>
      </w:pPr>
      <w:r w:rsidRPr="00834483">
        <w:rPr>
          <w:lang w:val="es-ES_tradnl"/>
        </w:rPr>
        <w:tab/>
      </w:r>
      <w:r w:rsidRPr="00834483">
        <w:rPr>
          <w:b/>
          <w:lang w:val="es-ES_tradnl"/>
        </w:rPr>
        <w:t>c)</w:t>
      </w:r>
      <w:r w:rsidRPr="00834483">
        <w:rPr>
          <w:b/>
          <w:lang w:val="es-ES_tradnl"/>
        </w:rPr>
        <w:tab/>
        <w:t>Movilice asistencia técnica regional e internacional para la aplicación y el seguimiento de la ley, entre otras cosas en el marco de la Iniciativa Spotlight</w:t>
      </w:r>
      <w:r w:rsidRPr="00834483">
        <w:rPr>
          <w:lang w:val="es-ES_tradnl"/>
        </w:rPr>
        <w:t xml:space="preserve">; </w:t>
      </w:r>
    </w:p>
    <w:p w14:paraId="2CE7D75B" w14:textId="1FE1A8C5" w:rsidR="005A19AC" w:rsidRPr="00834483" w:rsidRDefault="005A19AC" w:rsidP="0016448C">
      <w:pPr>
        <w:pStyle w:val="SingleTxt"/>
        <w:spacing w:line="238" w:lineRule="exact"/>
        <w:rPr>
          <w:lang w:val="es-ES_tradnl"/>
        </w:rPr>
      </w:pPr>
      <w:r w:rsidRPr="00834483">
        <w:rPr>
          <w:lang w:val="es-ES_tradnl"/>
        </w:rPr>
        <w:tab/>
      </w:r>
      <w:r w:rsidRPr="00834483">
        <w:rPr>
          <w:b/>
          <w:lang w:val="es-ES_tradnl"/>
        </w:rPr>
        <w:t>d)</w:t>
      </w:r>
      <w:r w:rsidRPr="00834483">
        <w:rPr>
          <w:b/>
          <w:lang w:val="es-ES_tradnl"/>
        </w:rPr>
        <w:tab/>
        <w:t xml:space="preserve">Se asegure de que la aprobación de esta ley, como medida para el empoderamiento social y político de la mujer, sea un elemento clave del proceso de paz, de la recuperación del Estado parte y del restablecimiento del estado de derecho para promover la estabilidad, la seguridad y la construcción del Estado, a la luz de la Convención; la recomendación general núm. 30 del Comité, de conformidad con la cual los derechos de la mujer no se pueden separar de las cuestiones relacionadas con la seguridad; y la resolución </w:t>
      </w:r>
      <w:bookmarkStart w:id="9" w:name="SCName"/>
      <w:r>
        <w:rPr>
          <w:b/>
          <w:lang w:val="es-ES_tradnl"/>
        </w:rPr>
        <w:fldChar w:fldCharType="begin"/>
      </w:r>
      <w:r w:rsidRPr="00AB552C">
        <w:rPr>
          <w:b/>
          <w:lang w:val="es-ES_tradnl"/>
        </w:rPr>
        <w:instrText xml:space="preserve"> HYPERLINK "https://undocs.org/sp/S/RES/1325 (2000)" </w:instrText>
      </w:r>
      <w:r>
        <w:rPr>
          <w:b/>
          <w:lang w:val="es-ES_tradnl"/>
        </w:rPr>
      </w:r>
      <w:r>
        <w:rPr>
          <w:b/>
          <w:lang w:val="es-ES_tradnl"/>
        </w:rPr>
        <w:fldChar w:fldCharType="separate"/>
      </w:r>
      <w:r w:rsidRPr="00AB552C">
        <w:rPr>
          <w:rStyle w:val="Hyperlink"/>
          <w:b/>
          <w:lang w:val="es-ES_tradnl"/>
        </w:rPr>
        <w:t>1325 (2000)</w:t>
      </w:r>
      <w:bookmarkEnd w:id="9"/>
      <w:r>
        <w:rPr>
          <w:b/>
          <w:lang w:val="es-ES_tradnl"/>
        </w:rPr>
        <w:fldChar w:fldCharType="end"/>
      </w:r>
      <w:r w:rsidRPr="00834483">
        <w:rPr>
          <w:b/>
          <w:lang w:val="es-ES_tradnl"/>
        </w:rPr>
        <w:t xml:space="preserve"> del Consejo de Seguridad sobre las mujeres y la paz y la seguridad</w:t>
      </w:r>
      <w:r w:rsidRPr="00834483">
        <w:rPr>
          <w:lang w:val="es-ES_tradnl"/>
        </w:rPr>
        <w:t>;</w:t>
      </w:r>
    </w:p>
    <w:p w14:paraId="553D8564" w14:textId="77777777" w:rsidR="005A19AC" w:rsidRDefault="005A19AC" w:rsidP="0016448C">
      <w:pPr>
        <w:pStyle w:val="SingleTxt"/>
        <w:spacing w:line="238" w:lineRule="exact"/>
        <w:rPr>
          <w:lang w:val="es-ES_tradnl"/>
        </w:rPr>
      </w:pPr>
      <w:r w:rsidRPr="00834483">
        <w:rPr>
          <w:lang w:val="es-ES_tradnl"/>
        </w:rPr>
        <w:tab/>
      </w:r>
      <w:r w:rsidRPr="00834483">
        <w:rPr>
          <w:b/>
          <w:lang w:val="es-ES_tradnl"/>
        </w:rPr>
        <w:t>e)</w:t>
      </w:r>
      <w:r w:rsidRPr="00834483">
        <w:rPr>
          <w:b/>
          <w:lang w:val="es-ES_tradnl"/>
        </w:rPr>
        <w:tab/>
        <w:t>Refuerce la capacidad del Ministerio de Promoción de la Mujer, la Infancia y la Familia para que pueda coordinar, descentralizar y aplicar las medidas adoptadas y darles seguimiento</w:t>
      </w:r>
      <w:r w:rsidRPr="00834483">
        <w:rPr>
          <w:lang w:val="es-ES_tradnl"/>
        </w:rPr>
        <w:t>.</w:t>
      </w:r>
    </w:p>
    <w:p w14:paraId="3433242C" w14:textId="77777777" w:rsidR="005A19AC" w:rsidRPr="00991450" w:rsidRDefault="005A19AC" w:rsidP="0016448C">
      <w:pPr>
        <w:pStyle w:val="SingleTxt"/>
        <w:spacing w:after="0" w:line="100" w:lineRule="exact"/>
        <w:rPr>
          <w:sz w:val="10"/>
          <w:lang w:val="es-ES_tradnl"/>
        </w:rPr>
      </w:pPr>
    </w:p>
    <w:p w14:paraId="28FF7378" w14:textId="77777777" w:rsidR="005A19AC" w:rsidRPr="00991450" w:rsidRDefault="005A19AC" w:rsidP="0016448C">
      <w:pPr>
        <w:pStyle w:val="SingleTxt"/>
        <w:spacing w:after="0" w:line="100" w:lineRule="exact"/>
        <w:rPr>
          <w:sz w:val="10"/>
          <w:lang w:val="es-ES_tradnl"/>
        </w:rPr>
      </w:pPr>
    </w:p>
    <w:p w14:paraId="6AFD8102" w14:textId="77777777" w:rsidR="005A19AC" w:rsidRDefault="005A19AC" w:rsidP="005A19A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834483">
        <w:rPr>
          <w:lang w:val="es-ES_tradnl"/>
        </w:rPr>
        <w:tab/>
        <w:t>B.</w:t>
      </w:r>
      <w:r w:rsidRPr="00834483">
        <w:rPr>
          <w:lang w:val="es-ES_tradnl"/>
        </w:rPr>
        <w:tab/>
        <w:t>Acceso a la justicia</w:t>
      </w:r>
    </w:p>
    <w:p w14:paraId="1A4B0F55" w14:textId="77777777" w:rsidR="005A19AC" w:rsidRPr="00991450" w:rsidRDefault="005A19AC" w:rsidP="005A19AC">
      <w:pPr>
        <w:pStyle w:val="SingleTxt"/>
        <w:spacing w:after="0" w:line="120" w:lineRule="exact"/>
        <w:rPr>
          <w:sz w:val="10"/>
          <w:lang w:val="es-ES_tradnl"/>
        </w:rPr>
      </w:pPr>
    </w:p>
    <w:p w14:paraId="4C97EF0B" w14:textId="77777777" w:rsidR="005A19AC" w:rsidRPr="00991450" w:rsidRDefault="005A19AC" w:rsidP="005A19AC">
      <w:pPr>
        <w:pStyle w:val="SingleTxt"/>
        <w:spacing w:after="0" w:line="120" w:lineRule="exact"/>
        <w:rPr>
          <w:sz w:val="10"/>
          <w:lang w:val="es-ES_tradnl"/>
        </w:rPr>
      </w:pPr>
    </w:p>
    <w:p w14:paraId="7BBA578D" w14:textId="77777777" w:rsidR="005A19AC" w:rsidRPr="00834483" w:rsidRDefault="005A19AC" w:rsidP="005A19AC">
      <w:pPr>
        <w:pStyle w:val="SingleTxt"/>
        <w:numPr>
          <w:ilvl w:val="0"/>
          <w:numId w:val="9"/>
        </w:numPr>
        <w:ind w:left="1267"/>
        <w:rPr>
          <w:lang w:val="es-ES_tradnl"/>
        </w:rPr>
      </w:pPr>
      <w:r w:rsidRPr="00834483">
        <w:rPr>
          <w:b/>
          <w:lang w:val="es-ES_tradnl"/>
        </w:rPr>
        <w:t>El Comité recomienda que el Estado parte</w:t>
      </w:r>
      <w:r w:rsidRPr="00834483">
        <w:rPr>
          <w:lang w:val="es-ES_tradnl"/>
        </w:rPr>
        <w:t xml:space="preserve">: </w:t>
      </w:r>
    </w:p>
    <w:p w14:paraId="36BDC544" w14:textId="77777777" w:rsidR="005A19AC" w:rsidRPr="00834483" w:rsidRDefault="005A19AC" w:rsidP="005A19AC">
      <w:pPr>
        <w:pStyle w:val="SingleTxt"/>
        <w:rPr>
          <w:b/>
          <w:lang w:val="es-ES_tradnl"/>
        </w:rPr>
      </w:pPr>
      <w:r w:rsidRPr="00834483">
        <w:rPr>
          <w:b/>
          <w:bCs/>
          <w:lang w:val="es-ES_tradnl"/>
        </w:rPr>
        <w:tab/>
        <w:t>a)</w:t>
      </w:r>
      <w:r w:rsidRPr="00834483">
        <w:rPr>
          <w:b/>
          <w:bCs/>
          <w:lang w:val="es-ES_tradnl"/>
        </w:rPr>
        <w:tab/>
      </w:r>
      <w:r w:rsidRPr="00834483">
        <w:rPr>
          <w:b/>
          <w:lang w:val="es-ES_tradnl"/>
        </w:rPr>
        <w:t>Garantice la formación sistemática de los jueces y agentes de policía judicial en las cuestiones relativas a la mutilación genital femenina, de conformidad con lo dispuesto en la Convención y el Protocolo de Maputo;</w:t>
      </w:r>
    </w:p>
    <w:p w14:paraId="2945A416" w14:textId="77777777" w:rsidR="005A19AC" w:rsidRPr="00834483" w:rsidRDefault="005A19AC" w:rsidP="005A19AC">
      <w:pPr>
        <w:pStyle w:val="SingleTxt"/>
        <w:rPr>
          <w:lang w:val="es-ES_tradnl"/>
        </w:rPr>
      </w:pPr>
      <w:r w:rsidRPr="00834483">
        <w:rPr>
          <w:b/>
          <w:bCs/>
          <w:lang w:val="es-ES_tradnl"/>
        </w:rPr>
        <w:tab/>
        <w:t>b)</w:t>
      </w:r>
      <w:r w:rsidRPr="00834483">
        <w:rPr>
          <w:b/>
          <w:bCs/>
          <w:lang w:val="es-ES_tradnl"/>
        </w:rPr>
        <w:tab/>
      </w:r>
      <w:r w:rsidRPr="00834483">
        <w:rPr>
          <w:b/>
          <w:lang w:val="es-ES_tradnl"/>
        </w:rPr>
        <w:t>Dote a los agentes del poder judicial y de las instituciones penales, así como a los demás agentes encargados de hacer cumplir la ley, de recursos suficientes para luchar contra la impunidad en los casos de mutilación genital femenina</w:t>
      </w:r>
      <w:r w:rsidRPr="00834483">
        <w:rPr>
          <w:lang w:val="es-ES_tradnl"/>
        </w:rPr>
        <w:t xml:space="preserve">; </w:t>
      </w:r>
    </w:p>
    <w:p w14:paraId="6FB4A66C" w14:textId="77777777" w:rsidR="005A19AC" w:rsidRPr="00834483" w:rsidRDefault="005A19AC" w:rsidP="005A19AC">
      <w:pPr>
        <w:pStyle w:val="SingleTxt"/>
        <w:rPr>
          <w:lang w:val="es-ES_tradnl"/>
        </w:rPr>
      </w:pPr>
      <w:r w:rsidRPr="00834483">
        <w:rPr>
          <w:lang w:val="es-ES_tradnl"/>
        </w:rPr>
        <w:tab/>
      </w:r>
      <w:r w:rsidRPr="00834483">
        <w:rPr>
          <w:b/>
          <w:lang w:val="es-ES_tradnl"/>
        </w:rPr>
        <w:t>c)</w:t>
      </w:r>
      <w:r w:rsidRPr="00834483">
        <w:rPr>
          <w:b/>
          <w:lang w:val="es-ES_tradnl"/>
        </w:rPr>
        <w:tab/>
        <w:t>Vele por que las víctimas y las mujeres expuestas a la mutilación genital femenina puedan denunciar a los autores de esa práctica, incluidos los cabezas de familia y las personas que practiquen la escisión y sus ayudantes, entre otras cosas estableciendo una línea telefónica gratuita para que las víctimas puedan recibir orientaciones e información</w:t>
      </w:r>
      <w:r w:rsidRPr="00834483">
        <w:rPr>
          <w:lang w:val="es-ES_tradnl"/>
        </w:rPr>
        <w:t>;</w:t>
      </w:r>
    </w:p>
    <w:p w14:paraId="0061738D" w14:textId="77777777" w:rsidR="005A19AC" w:rsidRPr="00834483" w:rsidRDefault="005A19AC" w:rsidP="005A19AC">
      <w:pPr>
        <w:pStyle w:val="SingleTxt"/>
        <w:rPr>
          <w:lang w:val="es-ES_tradnl"/>
        </w:rPr>
      </w:pPr>
      <w:r w:rsidRPr="00834483">
        <w:rPr>
          <w:lang w:val="es-ES_tradnl"/>
        </w:rPr>
        <w:tab/>
      </w:r>
      <w:r w:rsidRPr="00834483">
        <w:rPr>
          <w:b/>
          <w:lang w:val="es-ES_tradnl"/>
        </w:rPr>
        <w:t>d)</w:t>
      </w:r>
      <w:r w:rsidRPr="00834483">
        <w:rPr>
          <w:b/>
          <w:lang w:val="es-ES_tradnl"/>
        </w:rPr>
        <w:tab/>
        <w:t>Aplique la Circular núm. 99-0019 del Ministerio de Sanidad, Personas de Edad y Solidaridad, de 7 de enero de 1999, sobre todo sensibilizando al personal de salud sobre su contenido y castigando a quienes la incumplan, incluidos los directores de los centros que son responsables de ese personal</w:t>
      </w:r>
      <w:r w:rsidRPr="00834483">
        <w:rPr>
          <w:lang w:val="es-ES_tradnl"/>
        </w:rPr>
        <w:t>;</w:t>
      </w:r>
    </w:p>
    <w:p w14:paraId="359A9482" w14:textId="77777777" w:rsidR="005A19AC" w:rsidRDefault="005A19AC" w:rsidP="005A19AC">
      <w:pPr>
        <w:pStyle w:val="SingleTxt"/>
        <w:rPr>
          <w:lang w:val="es-ES_tradnl"/>
        </w:rPr>
      </w:pPr>
      <w:r w:rsidRPr="00834483">
        <w:rPr>
          <w:lang w:val="es-ES_tradnl"/>
        </w:rPr>
        <w:tab/>
      </w:r>
      <w:r w:rsidRPr="00834483">
        <w:rPr>
          <w:b/>
          <w:lang w:val="es-ES_tradnl"/>
        </w:rPr>
        <w:t>e)</w:t>
      </w:r>
      <w:r w:rsidRPr="00834483">
        <w:rPr>
          <w:b/>
          <w:lang w:val="es-ES_tradnl"/>
        </w:rPr>
        <w:tab/>
        <w:t>Obligue a los profesionales y las instituciones que trabajen con mujeres y niñas a denunciar inmediatamente los casos de mutilación genital femenina o el riesgo de que se produzca un caso de ese tipo, y garantice la confidencialidad del denunciante</w:t>
      </w:r>
      <w:r w:rsidRPr="00834483">
        <w:rPr>
          <w:lang w:val="es-ES_tradnl"/>
        </w:rPr>
        <w:t>.</w:t>
      </w:r>
    </w:p>
    <w:p w14:paraId="0640001F" w14:textId="77777777" w:rsidR="005A19AC" w:rsidRPr="00991450" w:rsidRDefault="005A19AC" w:rsidP="005A19AC">
      <w:pPr>
        <w:pStyle w:val="SingleTxt"/>
        <w:spacing w:after="0" w:line="120" w:lineRule="exact"/>
        <w:rPr>
          <w:sz w:val="10"/>
          <w:lang w:val="es-ES_tradnl"/>
        </w:rPr>
      </w:pPr>
    </w:p>
    <w:p w14:paraId="60514C4C" w14:textId="77777777" w:rsidR="005A19AC" w:rsidRPr="00991450" w:rsidRDefault="005A19AC" w:rsidP="005A19AC">
      <w:pPr>
        <w:pStyle w:val="SingleTxt"/>
        <w:spacing w:after="0" w:line="120" w:lineRule="exact"/>
        <w:rPr>
          <w:sz w:val="10"/>
          <w:lang w:val="es-ES_tradnl"/>
        </w:rPr>
      </w:pPr>
    </w:p>
    <w:p w14:paraId="29E8F1CD" w14:textId="77777777" w:rsidR="005A19AC" w:rsidRDefault="005A19AC" w:rsidP="005A19A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834483">
        <w:rPr>
          <w:lang w:val="es-ES_tradnl"/>
        </w:rPr>
        <w:tab/>
        <w:t>C.</w:t>
      </w:r>
      <w:r w:rsidRPr="00834483">
        <w:rPr>
          <w:lang w:val="es-ES_tradnl"/>
        </w:rPr>
        <w:tab/>
        <w:t xml:space="preserve">Atención a las víctimas </w:t>
      </w:r>
    </w:p>
    <w:p w14:paraId="6891186B" w14:textId="77777777" w:rsidR="005A19AC" w:rsidRPr="00991450" w:rsidRDefault="005A19AC" w:rsidP="005A19AC">
      <w:pPr>
        <w:pStyle w:val="SingleTxt"/>
        <w:spacing w:after="0" w:line="120" w:lineRule="exact"/>
        <w:rPr>
          <w:sz w:val="10"/>
          <w:lang w:val="es-ES_tradnl"/>
        </w:rPr>
      </w:pPr>
    </w:p>
    <w:p w14:paraId="21629DA2" w14:textId="77777777" w:rsidR="005A19AC" w:rsidRPr="00991450" w:rsidRDefault="005A19AC" w:rsidP="005A19AC">
      <w:pPr>
        <w:pStyle w:val="SingleTxt"/>
        <w:spacing w:after="0" w:line="120" w:lineRule="exact"/>
        <w:rPr>
          <w:sz w:val="10"/>
          <w:lang w:val="es-ES_tradnl"/>
        </w:rPr>
      </w:pPr>
    </w:p>
    <w:p w14:paraId="5F4624BE" w14:textId="77777777" w:rsidR="005A19AC" w:rsidRPr="00834483" w:rsidRDefault="005A19AC" w:rsidP="005A19AC">
      <w:pPr>
        <w:pStyle w:val="SingleTxt"/>
        <w:numPr>
          <w:ilvl w:val="0"/>
          <w:numId w:val="9"/>
        </w:numPr>
        <w:ind w:left="1267"/>
        <w:rPr>
          <w:lang w:val="es-ES_tradnl"/>
        </w:rPr>
      </w:pPr>
      <w:r w:rsidRPr="00834483">
        <w:rPr>
          <w:b/>
          <w:lang w:val="es-ES_tradnl"/>
        </w:rPr>
        <w:t>El Comité recomienda que el Estado parte</w:t>
      </w:r>
      <w:r w:rsidRPr="00834483">
        <w:rPr>
          <w:lang w:val="es-ES_tradnl"/>
        </w:rPr>
        <w:t xml:space="preserve">: </w:t>
      </w:r>
    </w:p>
    <w:p w14:paraId="20FC8583" w14:textId="77777777" w:rsidR="005A19AC" w:rsidRPr="00834483" w:rsidRDefault="005A19AC" w:rsidP="005A19AC">
      <w:pPr>
        <w:pStyle w:val="SingleTxt"/>
        <w:rPr>
          <w:lang w:val="es-ES_tradnl"/>
        </w:rPr>
      </w:pPr>
      <w:r w:rsidRPr="00834483">
        <w:rPr>
          <w:lang w:val="es-ES_tradnl"/>
        </w:rPr>
        <w:tab/>
      </w:r>
      <w:r w:rsidRPr="00834483">
        <w:rPr>
          <w:b/>
          <w:lang w:val="es-ES_tradnl"/>
        </w:rPr>
        <w:t>a)</w:t>
      </w:r>
      <w:r w:rsidRPr="00834483">
        <w:rPr>
          <w:b/>
          <w:lang w:val="es-ES_tradnl"/>
        </w:rPr>
        <w:tab/>
        <w:t>Proporcione sistemáticamente atención especializada adecuada a las víctimas de mutilación genital femenina y garantice acceso financiero, geográfico y físico a esa atención</w:t>
      </w:r>
      <w:r w:rsidRPr="00834483">
        <w:rPr>
          <w:lang w:val="es-ES_tradnl"/>
        </w:rPr>
        <w:t xml:space="preserve">; </w:t>
      </w:r>
    </w:p>
    <w:p w14:paraId="129AA911" w14:textId="77777777" w:rsidR="005A19AC" w:rsidRPr="00834483" w:rsidRDefault="005A19AC" w:rsidP="005A19AC">
      <w:pPr>
        <w:pStyle w:val="SingleTxt"/>
        <w:rPr>
          <w:lang w:val="es-ES_tradnl"/>
        </w:rPr>
      </w:pPr>
      <w:r w:rsidRPr="00834483">
        <w:rPr>
          <w:lang w:val="es-ES_tradnl"/>
        </w:rPr>
        <w:lastRenderedPageBreak/>
        <w:tab/>
      </w:r>
      <w:r w:rsidRPr="00834483">
        <w:rPr>
          <w:b/>
          <w:lang w:val="es-ES_tradnl"/>
        </w:rPr>
        <w:t>b)</w:t>
      </w:r>
      <w:r w:rsidRPr="00834483">
        <w:rPr>
          <w:b/>
          <w:lang w:val="es-ES_tradnl"/>
        </w:rPr>
        <w:tab/>
        <w:t>Refuerce las capacidades de los profesionales de la salud, la guardia de fronteras, los docentes y los proveedores de servicios que trabajen con mujeres y niñas, sobre los derechos de las mujeres, incluido el derecho a la no discriminación y el derecho a la salud, así como sobre los efectos nocivos de la mutilación genital femenina y sobre las herramientas para gestionarlos, a la luz de las directrices de la Organización Mundial de la Salud sobre la gestión de las complicaciones resultantes de la mutilación genital femenina</w:t>
      </w:r>
      <w:r w:rsidRPr="00834483">
        <w:rPr>
          <w:lang w:val="es-ES_tradnl"/>
        </w:rPr>
        <w:t>;</w:t>
      </w:r>
    </w:p>
    <w:p w14:paraId="5254A6AC" w14:textId="77777777" w:rsidR="005A19AC" w:rsidRPr="00834483" w:rsidRDefault="005A19AC" w:rsidP="005A19AC">
      <w:pPr>
        <w:pStyle w:val="SingleTxt"/>
        <w:rPr>
          <w:lang w:val="es-ES_tradnl"/>
        </w:rPr>
      </w:pPr>
      <w:r w:rsidRPr="00834483">
        <w:rPr>
          <w:lang w:val="es-ES_tradnl"/>
        </w:rPr>
        <w:tab/>
      </w:r>
      <w:r w:rsidRPr="00834483">
        <w:rPr>
          <w:b/>
          <w:lang w:val="es-ES_tradnl"/>
        </w:rPr>
        <w:t>c)</w:t>
      </w:r>
      <w:r w:rsidRPr="00834483">
        <w:rPr>
          <w:b/>
          <w:lang w:val="es-ES_tradnl"/>
        </w:rPr>
        <w:tab/>
        <w:t>Establezca centros de acogida para las víctimas de mutilación genital femenina y las niñas en riesgo de sufrir una mutilación genital que busquen refugio, y proporcione asistencia financiera para el funcionamiento de esos centros, incluidos los gestionados por asociaciones de mujeres</w:t>
      </w:r>
      <w:r w:rsidRPr="00834483">
        <w:rPr>
          <w:lang w:val="es-ES_tradnl"/>
        </w:rPr>
        <w:t xml:space="preserve">; </w:t>
      </w:r>
    </w:p>
    <w:p w14:paraId="148B08DA" w14:textId="77777777" w:rsidR="005A19AC" w:rsidRDefault="005A19AC" w:rsidP="005A19AC">
      <w:pPr>
        <w:pStyle w:val="SingleTxt"/>
        <w:rPr>
          <w:lang w:val="es-ES_tradnl"/>
        </w:rPr>
      </w:pPr>
      <w:r w:rsidRPr="00834483">
        <w:rPr>
          <w:lang w:val="es-ES_tradnl"/>
        </w:rPr>
        <w:tab/>
      </w:r>
      <w:r w:rsidRPr="00834483">
        <w:rPr>
          <w:b/>
          <w:lang w:val="es-ES_tradnl"/>
        </w:rPr>
        <w:t>d)</w:t>
      </w:r>
      <w:r w:rsidRPr="00834483">
        <w:rPr>
          <w:b/>
          <w:lang w:val="es-ES_tradnl"/>
        </w:rPr>
        <w:tab/>
        <w:t>Proporcione apoyo financiero a las ONG que promueven la aplicación de la política nacional para el abandono de la mutilación genital femenina y el cumplimiento del plan de acción sobre la mutilación genital femenina, y colabore con las ONG en el seguimiento de las declaraciones de abandono de la mutilación genital femenina</w:t>
      </w:r>
      <w:r w:rsidRPr="00834483">
        <w:rPr>
          <w:lang w:val="es-ES_tradnl"/>
        </w:rPr>
        <w:t>.</w:t>
      </w:r>
    </w:p>
    <w:p w14:paraId="34DF4A0B" w14:textId="77777777" w:rsidR="005A19AC" w:rsidRPr="00991450" w:rsidRDefault="005A19AC" w:rsidP="005A19AC">
      <w:pPr>
        <w:pStyle w:val="SingleTxt"/>
        <w:spacing w:after="0" w:line="120" w:lineRule="exact"/>
        <w:rPr>
          <w:sz w:val="10"/>
          <w:lang w:val="es-ES_tradnl"/>
        </w:rPr>
      </w:pPr>
    </w:p>
    <w:p w14:paraId="75286055" w14:textId="77777777" w:rsidR="005A19AC" w:rsidRPr="00991450" w:rsidRDefault="005A19AC" w:rsidP="005A19AC">
      <w:pPr>
        <w:pStyle w:val="SingleTxt"/>
        <w:spacing w:after="0" w:line="120" w:lineRule="exact"/>
        <w:rPr>
          <w:sz w:val="10"/>
          <w:lang w:val="es-ES_tradnl"/>
        </w:rPr>
      </w:pPr>
    </w:p>
    <w:p w14:paraId="2904A301" w14:textId="77777777" w:rsidR="005A19AC" w:rsidRDefault="005A19AC" w:rsidP="005A19A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834483">
        <w:rPr>
          <w:lang w:val="es-ES_tradnl"/>
        </w:rPr>
        <w:tab/>
        <w:t>D.</w:t>
      </w:r>
      <w:r w:rsidRPr="00834483">
        <w:rPr>
          <w:lang w:val="es-ES_tradnl"/>
        </w:rPr>
        <w:tab/>
        <w:t>Participación e implicación de los líderes religiosos y comunitarios</w:t>
      </w:r>
    </w:p>
    <w:p w14:paraId="31EE163C" w14:textId="77777777" w:rsidR="005A19AC" w:rsidRPr="00991450" w:rsidRDefault="005A19AC" w:rsidP="005A19AC">
      <w:pPr>
        <w:pStyle w:val="SingleTxt"/>
        <w:spacing w:after="0" w:line="120" w:lineRule="exact"/>
        <w:rPr>
          <w:sz w:val="10"/>
          <w:lang w:val="es-ES_tradnl"/>
        </w:rPr>
      </w:pPr>
    </w:p>
    <w:p w14:paraId="15D7D078" w14:textId="77777777" w:rsidR="005A19AC" w:rsidRPr="00991450" w:rsidRDefault="005A19AC" w:rsidP="005A19AC">
      <w:pPr>
        <w:pStyle w:val="SingleTxt"/>
        <w:spacing w:after="0" w:line="120" w:lineRule="exact"/>
        <w:rPr>
          <w:sz w:val="10"/>
          <w:lang w:val="es-ES_tradnl"/>
        </w:rPr>
      </w:pPr>
    </w:p>
    <w:p w14:paraId="136548D0" w14:textId="77777777" w:rsidR="005A19AC" w:rsidRPr="00834483" w:rsidRDefault="005A19AC" w:rsidP="005A19AC">
      <w:pPr>
        <w:pStyle w:val="SingleTxt"/>
        <w:numPr>
          <w:ilvl w:val="0"/>
          <w:numId w:val="9"/>
        </w:numPr>
        <w:ind w:left="1267"/>
        <w:rPr>
          <w:lang w:val="es-ES_tradnl"/>
        </w:rPr>
      </w:pPr>
      <w:r w:rsidRPr="00834483">
        <w:rPr>
          <w:b/>
          <w:lang w:val="es-ES_tradnl"/>
        </w:rPr>
        <w:t>El Comité recomienda que el Estado parte</w:t>
      </w:r>
      <w:r w:rsidRPr="00834483">
        <w:rPr>
          <w:lang w:val="es-ES_tradnl"/>
        </w:rPr>
        <w:t xml:space="preserve">: </w:t>
      </w:r>
    </w:p>
    <w:p w14:paraId="2FA71666" w14:textId="77777777" w:rsidR="005A19AC" w:rsidRPr="00834483" w:rsidRDefault="005A19AC" w:rsidP="005A19AC">
      <w:pPr>
        <w:pStyle w:val="SingleTxt"/>
        <w:rPr>
          <w:lang w:val="es-ES_tradnl"/>
        </w:rPr>
      </w:pPr>
      <w:r w:rsidRPr="00834483">
        <w:rPr>
          <w:lang w:val="es-ES_tradnl"/>
        </w:rPr>
        <w:tab/>
      </w:r>
      <w:r w:rsidRPr="00834483">
        <w:rPr>
          <w:b/>
          <w:lang w:val="es-ES_tradnl"/>
        </w:rPr>
        <w:t>a)</w:t>
      </w:r>
      <w:r w:rsidRPr="00834483">
        <w:rPr>
          <w:b/>
          <w:lang w:val="es-ES_tradnl"/>
        </w:rPr>
        <w:tab/>
        <w:t>Refuerce el diálogo con los líderes religiosos y comunitarios, incluidos los líderes religiosos musulmanes, sobre la mutilación genital femenina y vele por que sean consultados y participen de forma efectiva en la elaboración y la aplicación de los programas y políticas de lucha contra dicha mutilación, así como en el proceso de aprobación de la ley sobre la violencia por razón de género que tipifica como delito la mutilación genital femenina</w:t>
      </w:r>
      <w:r w:rsidRPr="00834483">
        <w:rPr>
          <w:lang w:val="es-ES_tradnl"/>
        </w:rPr>
        <w:t>;</w:t>
      </w:r>
    </w:p>
    <w:p w14:paraId="381321CB" w14:textId="77777777" w:rsidR="005A19AC" w:rsidRPr="00834483" w:rsidRDefault="005A19AC" w:rsidP="005A19AC">
      <w:pPr>
        <w:pStyle w:val="SingleTxt"/>
        <w:rPr>
          <w:lang w:val="es-ES_tradnl"/>
        </w:rPr>
      </w:pPr>
      <w:r w:rsidRPr="00834483">
        <w:rPr>
          <w:lang w:val="es-ES_tradnl"/>
        </w:rPr>
        <w:tab/>
      </w:r>
      <w:r w:rsidRPr="00834483">
        <w:rPr>
          <w:b/>
          <w:lang w:val="es-ES_tradnl"/>
        </w:rPr>
        <w:t>b)</w:t>
      </w:r>
      <w:r w:rsidRPr="00834483">
        <w:rPr>
          <w:b/>
          <w:lang w:val="es-ES_tradnl"/>
        </w:rPr>
        <w:tab/>
        <w:t>Imparta a los líderes religiosos y comunitarios cursos de capacitación sobre los derechos de las mujeres y los principios de no discriminación e igualdad entre los géneros consagrados en la Convención, entre otras cosas a la luz de las disposiciones religiosas al respecto, en colaboración con el Ministerio de Asuntos Religiosos y Culto, la Comisión Nacional de Derechos Humanos, los organismos de las Naciones Unidas y la sociedad civil</w:t>
      </w:r>
      <w:r w:rsidRPr="00834483">
        <w:rPr>
          <w:lang w:val="es-ES_tradnl"/>
        </w:rPr>
        <w:t xml:space="preserve">; </w:t>
      </w:r>
    </w:p>
    <w:p w14:paraId="51044150" w14:textId="77777777" w:rsidR="005A19AC" w:rsidRPr="00834483" w:rsidRDefault="005A19AC" w:rsidP="005A19AC">
      <w:pPr>
        <w:pStyle w:val="SingleTxt"/>
        <w:rPr>
          <w:lang w:val="es-ES_tradnl"/>
        </w:rPr>
      </w:pPr>
      <w:r w:rsidRPr="00834483">
        <w:rPr>
          <w:lang w:val="es-ES_tradnl"/>
        </w:rPr>
        <w:tab/>
      </w:r>
      <w:r w:rsidRPr="00834483">
        <w:rPr>
          <w:b/>
          <w:lang w:val="es-ES_tradnl"/>
        </w:rPr>
        <w:t>c)</w:t>
      </w:r>
      <w:r w:rsidRPr="00834483">
        <w:rPr>
          <w:b/>
          <w:lang w:val="es-ES_tradnl"/>
        </w:rPr>
        <w:tab/>
        <w:t>Apoye al Ministerio de Asuntos Religiosos y Culto con miras a facilitar la aprobación por los líderes religiosos de Malí de una declaración pública a favor del abandono de la mutilación genital femenina, y a organizar en Malí un foro de líderes religiosos sobre esa práctica que cuente con la participación de países que hayan declarado oficialmente que esa práctica es contraria a la religión, siguiendo el modelo del coloquio organizado por los líderes religiosos en Mauritania en 2011, a fin de modificar la percepción de los líderes religiosos de Malí sobre la cuestión de la mutilación genital femenina</w:t>
      </w:r>
      <w:r w:rsidRPr="00834483">
        <w:rPr>
          <w:lang w:val="es-ES_tradnl"/>
        </w:rPr>
        <w:t>;</w:t>
      </w:r>
    </w:p>
    <w:p w14:paraId="2B4A685D" w14:textId="77777777" w:rsidR="005A19AC" w:rsidRDefault="005A19AC" w:rsidP="005A19AC">
      <w:pPr>
        <w:pStyle w:val="SingleTxt"/>
        <w:rPr>
          <w:lang w:val="es-ES_tradnl"/>
        </w:rPr>
      </w:pPr>
      <w:r w:rsidRPr="00834483">
        <w:rPr>
          <w:lang w:val="es-ES_tradnl"/>
        </w:rPr>
        <w:tab/>
      </w:r>
      <w:r w:rsidRPr="00834483">
        <w:rPr>
          <w:b/>
          <w:lang w:val="es-ES_tradnl"/>
        </w:rPr>
        <w:t>d)</w:t>
      </w:r>
      <w:r w:rsidRPr="00834483">
        <w:rPr>
          <w:b/>
          <w:lang w:val="es-ES_tradnl"/>
        </w:rPr>
        <w:tab/>
        <w:t>Apoye las iniciativas de los líderes religiosos y comunitarios para eliminar la mutilación genital femenina, entre otras cosas prestándoles apoyo financiero, y refuerce los recursos humanos, financieros y materiales del Ministerio de Asuntos Religiosos y Culto</w:t>
      </w:r>
      <w:r w:rsidRPr="00834483">
        <w:rPr>
          <w:lang w:val="es-ES_tradnl"/>
        </w:rPr>
        <w:t>.</w:t>
      </w:r>
    </w:p>
    <w:p w14:paraId="60928A81" w14:textId="77777777" w:rsidR="005A19AC" w:rsidRPr="00991450" w:rsidRDefault="005A19AC" w:rsidP="005A19AC">
      <w:pPr>
        <w:pStyle w:val="SingleTxt"/>
        <w:spacing w:after="0" w:line="120" w:lineRule="exact"/>
        <w:rPr>
          <w:sz w:val="10"/>
          <w:lang w:val="es-ES_tradnl"/>
        </w:rPr>
      </w:pPr>
    </w:p>
    <w:p w14:paraId="70D86515" w14:textId="77777777" w:rsidR="005A19AC" w:rsidRPr="00991450" w:rsidRDefault="005A19AC" w:rsidP="005A19AC">
      <w:pPr>
        <w:pStyle w:val="SingleTxt"/>
        <w:spacing w:after="0" w:line="120" w:lineRule="exact"/>
        <w:rPr>
          <w:sz w:val="10"/>
          <w:lang w:val="es-ES_tradnl"/>
        </w:rPr>
      </w:pPr>
    </w:p>
    <w:p w14:paraId="566191A2" w14:textId="77777777" w:rsidR="00DD7E1C" w:rsidRDefault="00DD7E1C">
      <w:pPr>
        <w:suppressAutoHyphens w:val="0"/>
        <w:spacing w:after="200" w:line="276" w:lineRule="auto"/>
        <w:rPr>
          <w:b/>
          <w:kern w:val="14"/>
          <w:sz w:val="24"/>
          <w:lang w:val="es-ES_tradnl"/>
        </w:rPr>
      </w:pPr>
      <w:r>
        <w:rPr>
          <w:lang w:val="es-ES_tradnl"/>
        </w:rPr>
        <w:br w:type="page"/>
      </w:r>
    </w:p>
    <w:p w14:paraId="38AAB7E3" w14:textId="722D7EAC" w:rsidR="005A19AC" w:rsidRDefault="005A19AC" w:rsidP="005A19A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834483">
        <w:rPr>
          <w:lang w:val="es-ES_tradnl"/>
        </w:rPr>
        <w:lastRenderedPageBreak/>
        <w:tab/>
        <w:t>E.</w:t>
      </w:r>
      <w:r w:rsidRPr="00834483">
        <w:rPr>
          <w:lang w:val="es-ES_tradnl"/>
        </w:rPr>
        <w:tab/>
        <w:t>Medidas contra quienes practican la escisión</w:t>
      </w:r>
    </w:p>
    <w:p w14:paraId="085D509E" w14:textId="77777777" w:rsidR="005A19AC" w:rsidRPr="00991450" w:rsidRDefault="005A19AC" w:rsidP="005A19AC">
      <w:pPr>
        <w:pStyle w:val="SingleTxt"/>
        <w:spacing w:after="0" w:line="120" w:lineRule="exact"/>
        <w:rPr>
          <w:sz w:val="10"/>
          <w:lang w:val="es-ES_tradnl"/>
        </w:rPr>
      </w:pPr>
    </w:p>
    <w:p w14:paraId="7EEA6602" w14:textId="77777777" w:rsidR="005A19AC" w:rsidRPr="00991450" w:rsidRDefault="005A19AC" w:rsidP="005A19AC">
      <w:pPr>
        <w:pStyle w:val="SingleTxt"/>
        <w:spacing w:after="0" w:line="120" w:lineRule="exact"/>
        <w:rPr>
          <w:sz w:val="10"/>
          <w:lang w:val="es-ES_tradnl"/>
        </w:rPr>
      </w:pPr>
    </w:p>
    <w:p w14:paraId="015845CE" w14:textId="77777777" w:rsidR="005A19AC" w:rsidRPr="00834483" w:rsidRDefault="005A19AC" w:rsidP="005A19AC">
      <w:pPr>
        <w:pStyle w:val="SingleTxt"/>
        <w:numPr>
          <w:ilvl w:val="0"/>
          <w:numId w:val="9"/>
        </w:numPr>
        <w:ind w:left="1267"/>
        <w:rPr>
          <w:lang w:val="es-ES_tradnl"/>
        </w:rPr>
      </w:pPr>
      <w:r w:rsidRPr="00834483">
        <w:rPr>
          <w:b/>
          <w:lang w:val="es-ES_tradnl"/>
        </w:rPr>
        <w:t>El Comité recomienda que el Estado parte</w:t>
      </w:r>
      <w:r w:rsidRPr="00834483">
        <w:rPr>
          <w:lang w:val="es-ES_tradnl"/>
        </w:rPr>
        <w:t xml:space="preserve">: </w:t>
      </w:r>
    </w:p>
    <w:p w14:paraId="327A92AE" w14:textId="77777777" w:rsidR="005A19AC" w:rsidRPr="00834483" w:rsidRDefault="005A19AC" w:rsidP="005A19AC">
      <w:pPr>
        <w:pStyle w:val="SingleTxt"/>
        <w:rPr>
          <w:lang w:val="es-ES_tradnl"/>
        </w:rPr>
      </w:pPr>
      <w:r w:rsidRPr="00834483">
        <w:rPr>
          <w:lang w:val="es-ES_tradnl"/>
        </w:rPr>
        <w:tab/>
      </w:r>
      <w:r w:rsidRPr="00834483">
        <w:rPr>
          <w:b/>
          <w:lang w:val="es-ES_tradnl"/>
        </w:rPr>
        <w:t>a)</w:t>
      </w:r>
      <w:r w:rsidRPr="00834483">
        <w:rPr>
          <w:b/>
          <w:lang w:val="es-ES_tradnl"/>
        </w:rPr>
        <w:tab/>
        <w:t>Refuerce las medidas dirigidas a promover el abandono de la mutilación genital femenina por las personas que la practican y a ayudar a esas personas a obtener otras fuentes de ingresos, por ejemplo mediante actividades de formación, así como de apoyo al empleo y la creación de empresas</w:t>
      </w:r>
      <w:r w:rsidRPr="00834483">
        <w:rPr>
          <w:lang w:val="es-ES_tradnl"/>
        </w:rPr>
        <w:t>;</w:t>
      </w:r>
    </w:p>
    <w:p w14:paraId="2359E273" w14:textId="77777777" w:rsidR="005A19AC" w:rsidRDefault="005A19AC" w:rsidP="005A19AC">
      <w:pPr>
        <w:pStyle w:val="SingleTxt"/>
        <w:rPr>
          <w:lang w:val="es-ES_tradnl"/>
        </w:rPr>
      </w:pPr>
      <w:r w:rsidRPr="00834483">
        <w:rPr>
          <w:lang w:val="es-ES_tradnl"/>
        </w:rPr>
        <w:tab/>
      </w:r>
      <w:r w:rsidRPr="00834483">
        <w:rPr>
          <w:b/>
          <w:lang w:val="es-ES_tradnl"/>
        </w:rPr>
        <w:t>b)</w:t>
      </w:r>
      <w:r w:rsidRPr="00834483">
        <w:rPr>
          <w:b/>
          <w:lang w:val="es-ES_tradnl"/>
        </w:rPr>
        <w:tab/>
        <w:t>Promueva ritos iniciáticos positivos que marquen el paso de las niñas a la edad adulta sin mutilación genital y den un papel central a quienes hayan dejado de practicar la escisión, como sucede en las ceremonias que se han instituido en Gambia, Kenya y la República Unida de Tanzanía</w:t>
      </w:r>
      <w:r w:rsidRPr="00834483">
        <w:rPr>
          <w:lang w:val="es-ES_tradnl"/>
        </w:rPr>
        <w:t xml:space="preserve">. </w:t>
      </w:r>
    </w:p>
    <w:p w14:paraId="4A510E76" w14:textId="77777777" w:rsidR="005A19AC" w:rsidRPr="00991450" w:rsidRDefault="005A19AC" w:rsidP="005A19AC">
      <w:pPr>
        <w:pStyle w:val="SingleTxt"/>
        <w:spacing w:after="0" w:line="120" w:lineRule="exact"/>
        <w:rPr>
          <w:sz w:val="10"/>
          <w:lang w:val="es-ES_tradnl"/>
        </w:rPr>
      </w:pPr>
    </w:p>
    <w:p w14:paraId="22A49B4D" w14:textId="77777777" w:rsidR="005A19AC" w:rsidRPr="00991450" w:rsidRDefault="005A19AC" w:rsidP="005A19AC">
      <w:pPr>
        <w:pStyle w:val="SingleTxt"/>
        <w:spacing w:after="0" w:line="120" w:lineRule="exact"/>
        <w:rPr>
          <w:sz w:val="10"/>
          <w:lang w:val="es-ES_tradnl"/>
        </w:rPr>
      </w:pPr>
    </w:p>
    <w:p w14:paraId="1FE68D46" w14:textId="77777777" w:rsidR="005A19AC" w:rsidRDefault="005A19AC" w:rsidP="005A19A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834483">
        <w:rPr>
          <w:lang w:val="es-ES_tradnl"/>
        </w:rPr>
        <w:tab/>
        <w:t>F.</w:t>
      </w:r>
      <w:r w:rsidRPr="00834483">
        <w:rPr>
          <w:lang w:val="es-ES_tradnl"/>
        </w:rPr>
        <w:tab/>
        <w:t xml:space="preserve">Prevención y sensibilización </w:t>
      </w:r>
    </w:p>
    <w:p w14:paraId="6AC68806" w14:textId="77777777" w:rsidR="005A19AC" w:rsidRPr="00991450" w:rsidRDefault="005A19AC" w:rsidP="005A19AC">
      <w:pPr>
        <w:pStyle w:val="SingleTxt"/>
        <w:spacing w:after="0" w:line="120" w:lineRule="exact"/>
        <w:rPr>
          <w:sz w:val="10"/>
          <w:lang w:val="es-ES_tradnl"/>
        </w:rPr>
      </w:pPr>
    </w:p>
    <w:p w14:paraId="5D5D46F6" w14:textId="77777777" w:rsidR="005A19AC" w:rsidRPr="00991450" w:rsidRDefault="005A19AC" w:rsidP="005A19AC">
      <w:pPr>
        <w:pStyle w:val="SingleTxt"/>
        <w:spacing w:after="0" w:line="120" w:lineRule="exact"/>
        <w:rPr>
          <w:sz w:val="10"/>
          <w:lang w:val="es-ES_tradnl"/>
        </w:rPr>
      </w:pPr>
    </w:p>
    <w:p w14:paraId="5E784413" w14:textId="77777777" w:rsidR="005A19AC" w:rsidRPr="00834483" w:rsidRDefault="005A19AC" w:rsidP="005A19AC">
      <w:pPr>
        <w:pStyle w:val="SingleTxt"/>
        <w:numPr>
          <w:ilvl w:val="0"/>
          <w:numId w:val="9"/>
        </w:numPr>
        <w:ind w:left="1267"/>
        <w:rPr>
          <w:lang w:val="es-ES_tradnl"/>
        </w:rPr>
      </w:pPr>
      <w:r w:rsidRPr="00834483">
        <w:rPr>
          <w:b/>
          <w:lang w:val="es-ES_tradnl"/>
        </w:rPr>
        <w:t>El Comité recomienda que el Estado parte</w:t>
      </w:r>
      <w:r w:rsidRPr="00834483">
        <w:rPr>
          <w:lang w:val="es-ES_tradnl"/>
        </w:rPr>
        <w:t>:</w:t>
      </w:r>
    </w:p>
    <w:p w14:paraId="46D87EA5" w14:textId="77777777" w:rsidR="005A19AC" w:rsidRPr="00834483" w:rsidRDefault="005A19AC" w:rsidP="005A19AC">
      <w:pPr>
        <w:pStyle w:val="SingleTxt"/>
        <w:rPr>
          <w:lang w:val="es-ES_tradnl"/>
        </w:rPr>
      </w:pPr>
      <w:r w:rsidRPr="00834483">
        <w:rPr>
          <w:b/>
          <w:lang w:val="es-ES_tradnl"/>
        </w:rPr>
        <w:tab/>
        <w:t>a)</w:t>
      </w:r>
      <w:r w:rsidRPr="00834483">
        <w:rPr>
          <w:b/>
          <w:lang w:val="es-ES_tradnl"/>
        </w:rPr>
        <w:tab/>
        <w:t>Cree delegaciones regionales permanentes del programa nacional de lucha contra la práctica de la escisión y le otorgue los recursos técnicos, humanos y financieros necesarios para garantizar un seguimiento eficaz de las medidas, incluidas las dirigidas a cuestionar y modificar las actitudes culturales y sociales, las tradiciones y las costumbres en las que se basa la práctica de la mutilación genital femenina</w:t>
      </w:r>
      <w:r w:rsidRPr="00834483">
        <w:rPr>
          <w:lang w:val="es-ES_tradnl"/>
        </w:rPr>
        <w:t xml:space="preserve">; </w:t>
      </w:r>
    </w:p>
    <w:p w14:paraId="7A7F4F70" w14:textId="77777777" w:rsidR="005A19AC" w:rsidRPr="00834483" w:rsidRDefault="005A19AC" w:rsidP="005A19AC">
      <w:pPr>
        <w:pStyle w:val="SingleTxt"/>
        <w:rPr>
          <w:lang w:val="es-ES_tradnl"/>
        </w:rPr>
      </w:pPr>
      <w:r w:rsidRPr="00834483">
        <w:rPr>
          <w:lang w:val="es-ES_tradnl"/>
        </w:rPr>
        <w:tab/>
      </w:r>
      <w:r w:rsidRPr="00834483">
        <w:rPr>
          <w:b/>
          <w:lang w:val="es-ES_tradnl"/>
        </w:rPr>
        <w:t>b)</w:t>
      </w:r>
      <w:r w:rsidRPr="00834483">
        <w:rPr>
          <w:b/>
          <w:lang w:val="es-ES_tradnl"/>
        </w:rPr>
        <w:tab/>
        <w:t>Asigne recursos técnicos, humanos y financieros suficientes para implementar medidas de concienciación en los idiomas nacionales de una forma que se ajuste a la población rural y urbana y a la diáspora maliense, y centradas en los efectos nocivos de la mutilación genital femenina y los derechos de las mujeres, incluidos el derecho a la salud y el derecho a dar o denegar con conocimiento de causa el consentimiento a cualquier tratamiento que tenga consecuencias para la salud</w:t>
      </w:r>
      <w:r w:rsidRPr="00834483">
        <w:rPr>
          <w:lang w:val="es-ES_tradnl"/>
        </w:rPr>
        <w:t>;</w:t>
      </w:r>
    </w:p>
    <w:p w14:paraId="0117712E" w14:textId="77777777" w:rsidR="005A19AC" w:rsidRPr="00834483" w:rsidRDefault="005A19AC" w:rsidP="005A19AC">
      <w:pPr>
        <w:pStyle w:val="SingleTxt"/>
        <w:rPr>
          <w:lang w:val="es-ES_tradnl"/>
        </w:rPr>
      </w:pPr>
      <w:r w:rsidRPr="00834483">
        <w:rPr>
          <w:lang w:val="es-ES_tradnl"/>
        </w:rPr>
        <w:tab/>
      </w:r>
      <w:r w:rsidRPr="00834483">
        <w:rPr>
          <w:b/>
          <w:lang w:val="es-ES_tradnl"/>
        </w:rPr>
        <w:t>c)</w:t>
      </w:r>
      <w:r w:rsidRPr="00834483">
        <w:rPr>
          <w:b/>
          <w:lang w:val="es-ES_tradnl"/>
        </w:rPr>
        <w:tab/>
        <w:t>Ponga en marcha, en particular a nivel local, mediante diálogos intergeneracionales y con el apoyo de comunicadores tradicionales, programas de sensibilización dirigidos a los jefes de familia y líderes comunitarios, que proyecten una imagen positiva de las mujeres casadas y solteras que no hayan sufrido una escisión</w:t>
      </w:r>
      <w:r w:rsidRPr="00834483">
        <w:rPr>
          <w:lang w:val="es-ES_tradnl"/>
        </w:rPr>
        <w:t>;</w:t>
      </w:r>
    </w:p>
    <w:p w14:paraId="7B5D9DFE" w14:textId="77777777" w:rsidR="005A19AC" w:rsidRPr="00834483" w:rsidRDefault="005A19AC" w:rsidP="005A19AC">
      <w:pPr>
        <w:pStyle w:val="SingleTxt"/>
        <w:rPr>
          <w:lang w:val="es-ES_tradnl"/>
        </w:rPr>
      </w:pPr>
      <w:r w:rsidRPr="00834483">
        <w:rPr>
          <w:lang w:val="es-ES_tradnl"/>
        </w:rPr>
        <w:tab/>
      </w:r>
      <w:r w:rsidRPr="00834483">
        <w:rPr>
          <w:b/>
          <w:lang w:val="es-ES_tradnl"/>
        </w:rPr>
        <w:t>d)</w:t>
      </w:r>
      <w:r w:rsidRPr="00834483">
        <w:rPr>
          <w:b/>
          <w:lang w:val="es-ES_tradnl"/>
        </w:rPr>
        <w:tab/>
        <w:t>Refuerce las medidas destinadas a eliminar los estereotipos de género, modificar los patrones de comportamiento, prevenir la estigmatización de las mujeres y niñas que no hayan sufrido una escisión y erradicar la discriminación que estas padecen, en especial en lo que respecta al derecho a contraer matrimonio en igualdad de condiciones con el hombre</w:t>
      </w:r>
      <w:r w:rsidRPr="00834483">
        <w:rPr>
          <w:lang w:val="es-ES_tradnl"/>
        </w:rPr>
        <w:t>;</w:t>
      </w:r>
    </w:p>
    <w:p w14:paraId="51830086" w14:textId="77777777" w:rsidR="005A19AC" w:rsidRPr="00834483" w:rsidRDefault="005A19AC" w:rsidP="005A19AC">
      <w:pPr>
        <w:pStyle w:val="SingleTxt"/>
        <w:rPr>
          <w:lang w:val="es-ES_tradnl"/>
        </w:rPr>
      </w:pPr>
      <w:r w:rsidRPr="00834483">
        <w:rPr>
          <w:b/>
          <w:lang w:val="es-ES_tradnl"/>
        </w:rPr>
        <w:tab/>
        <w:t>e)</w:t>
      </w:r>
      <w:r w:rsidRPr="00834483">
        <w:rPr>
          <w:b/>
          <w:lang w:val="es-ES_tradnl"/>
        </w:rPr>
        <w:tab/>
        <w:t>Integre la mutilación genital femenina en la educación formal y no formal para que el tema sea tratado abiertamente y sin estigmas, de modo que las niñas y mujeres puedan recibir información precisa sobre los efectos perjudiciales y nocivos de esta práctica, y garantice el acceso de las mujeres y niñas de Malí a la educación como herramienta esencial para alcanzar la igualdad de género, el empoderamiento de las mujeres y el desarrollo personal</w:t>
      </w:r>
      <w:r w:rsidRPr="00F04A7F">
        <w:rPr>
          <w:bCs/>
          <w:lang w:val="es-ES_tradnl"/>
        </w:rPr>
        <w:t>;</w:t>
      </w:r>
    </w:p>
    <w:p w14:paraId="29B80599" w14:textId="77777777" w:rsidR="005A19AC" w:rsidRPr="00834483" w:rsidRDefault="005A19AC" w:rsidP="005A19AC">
      <w:pPr>
        <w:pStyle w:val="SingleTxt"/>
        <w:rPr>
          <w:lang w:val="es-ES_tradnl"/>
        </w:rPr>
      </w:pPr>
      <w:r w:rsidRPr="00834483">
        <w:rPr>
          <w:lang w:val="es-ES_tradnl"/>
        </w:rPr>
        <w:tab/>
      </w:r>
      <w:r w:rsidRPr="00834483">
        <w:rPr>
          <w:b/>
          <w:lang w:val="es-ES_tradnl"/>
        </w:rPr>
        <w:t>f)</w:t>
      </w:r>
      <w:r w:rsidRPr="00834483">
        <w:rPr>
          <w:b/>
          <w:lang w:val="es-ES_tradnl"/>
        </w:rPr>
        <w:tab/>
        <w:t>Adopte las medidas necesarias, incluidas medidas de apoyo financiero, para reestructurar la red de organizaciones no gubernamentales que luchan contra la mutilación genital femenina, con miras a aplicar la ley sobre la violencia por razón de género, incluida la mutilación genital femenina, una vez que se apruebe</w:t>
      </w:r>
      <w:r w:rsidRPr="00834483">
        <w:rPr>
          <w:lang w:val="es-ES_tradnl"/>
        </w:rPr>
        <w:t xml:space="preserve">; </w:t>
      </w:r>
    </w:p>
    <w:p w14:paraId="13BB8E29" w14:textId="77777777" w:rsidR="005A19AC" w:rsidRPr="00834483" w:rsidRDefault="005A19AC" w:rsidP="005A19AC">
      <w:pPr>
        <w:pStyle w:val="SingleTxt"/>
        <w:rPr>
          <w:lang w:val="es-ES_tradnl"/>
        </w:rPr>
      </w:pPr>
      <w:r w:rsidRPr="00834483">
        <w:rPr>
          <w:b/>
          <w:lang w:val="es-ES_tradnl"/>
        </w:rPr>
        <w:lastRenderedPageBreak/>
        <w:tab/>
        <w:t>g)</w:t>
      </w:r>
      <w:r w:rsidRPr="00834483">
        <w:rPr>
          <w:b/>
          <w:lang w:val="es-ES_tradnl"/>
        </w:rPr>
        <w:tab/>
        <w:t>Refuerce el apoyo a las organizaciones no gubernamentales que luchan contra la mutilación genital femenina para que puedan establecer una red de grupos de prevención y alerta en relación con la mutilación genital femenina</w:t>
      </w:r>
      <w:r w:rsidRPr="00F04A7F">
        <w:rPr>
          <w:bCs/>
          <w:lang w:val="es-ES_tradnl"/>
        </w:rPr>
        <w:t>;</w:t>
      </w:r>
    </w:p>
    <w:p w14:paraId="1D496AA0" w14:textId="77777777" w:rsidR="005A19AC" w:rsidRDefault="005A19AC" w:rsidP="005A19AC">
      <w:pPr>
        <w:pStyle w:val="SingleTxt"/>
        <w:rPr>
          <w:lang w:val="es-ES_tradnl"/>
        </w:rPr>
      </w:pPr>
      <w:r w:rsidRPr="00834483">
        <w:rPr>
          <w:lang w:val="es-ES_tradnl"/>
        </w:rPr>
        <w:tab/>
      </w:r>
      <w:r w:rsidRPr="00834483">
        <w:rPr>
          <w:b/>
          <w:lang w:val="es-ES_tradnl"/>
        </w:rPr>
        <w:t>h)</w:t>
      </w:r>
      <w:r w:rsidRPr="00834483">
        <w:rPr>
          <w:b/>
          <w:lang w:val="es-ES_tradnl"/>
        </w:rPr>
        <w:tab/>
        <w:t>Refuerce la colaboración con los países de la subregión para prevenir la mutilación genital femenina y proteger y ayudar a las víctimas, mediante proyectos conjuntos que promuevan el abandono de la práctica transfronteriza de la mutilación genital femenina</w:t>
      </w:r>
      <w:r w:rsidRPr="00834483">
        <w:rPr>
          <w:lang w:val="es-ES_tradnl"/>
        </w:rPr>
        <w:t>.</w:t>
      </w:r>
    </w:p>
    <w:p w14:paraId="248C4AA7" w14:textId="77777777" w:rsidR="005A19AC" w:rsidRPr="00991450" w:rsidRDefault="005A19AC" w:rsidP="005A19AC">
      <w:pPr>
        <w:pStyle w:val="SingleTxt"/>
        <w:spacing w:after="0" w:line="120" w:lineRule="exact"/>
        <w:rPr>
          <w:sz w:val="10"/>
          <w:lang w:val="es-ES_tradnl"/>
        </w:rPr>
      </w:pPr>
    </w:p>
    <w:p w14:paraId="3518A9EE" w14:textId="77777777" w:rsidR="005A19AC" w:rsidRPr="00991450" w:rsidRDefault="005A19AC" w:rsidP="005A19AC">
      <w:pPr>
        <w:pStyle w:val="SingleTxt"/>
        <w:spacing w:after="0" w:line="120" w:lineRule="exact"/>
        <w:rPr>
          <w:sz w:val="10"/>
          <w:lang w:val="es-ES_tradnl"/>
        </w:rPr>
      </w:pPr>
    </w:p>
    <w:p w14:paraId="0E3BF152" w14:textId="77777777" w:rsidR="005A19AC" w:rsidRDefault="005A19AC" w:rsidP="005A19A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834483">
        <w:rPr>
          <w:lang w:val="es-ES_tradnl"/>
        </w:rPr>
        <w:tab/>
        <w:t>G.</w:t>
      </w:r>
      <w:r w:rsidRPr="00834483">
        <w:rPr>
          <w:lang w:val="es-ES_tradnl"/>
        </w:rPr>
        <w:tab/>
        <w:t>Recopilación de datos</w:t>
      </w:r>
    </w:p>
    <w:p w14:paraId="2CA592CF" w14:textId="77777777" w:rsidR="005A19AC" w:rsidRPr="00991450" w:rsidRDefault="005A19AC" w:rsidP="005A19AC">
      <w:pPr>
        <w:pStyle w:val="SingleTxt"/>
        <w:spacing w:after="0" w:line="120" w:lineRule="exact"/>
        <w:rPr>
          <w:sz w:val="10"/>
          <w:lang w:val="es-ES_tradnl"/>
        </w:rPr>
      </w:pPr>
    </w:p>
    <w:p w14:paraId="66FDD5A1" w14:textId="77777777" w:rsidR="005A19AC" w:rsidRPr="00991450" w:rsidRDefault="005A19AC" w:rsidP="005A19AC">
      <w:pPr>
        <w:pStyle w:val="SingleTxt"/>
        <w:spacing w:after="0" w:line="120" w:lineRule="exact"/>
        <w:rPr>
          <w:sz w:val="10"/>
          <w:lang w:val="es-ES_tradnl"/>
        </w:rPr>
      </w:pPr>
    </w:p>
    <w:p w14:paraId="32F977CD" w14:textId="77777777" w:rsidR="005A19AC" w:rsidRPr="00834483" w:rsidRDefault="005A19AC" w:rsidP="005A19AC">
      <w:pPr>
        <w:pStyle w:val="SingleTxt"/>
        <w:numPr>
          <w:ilvl w:val="0"/>
          <w:numId w:val="9"/>
        </w:numPr>
        <w:ind w:left="1267"/>
        <w:rPr>
          <w:lang w:val="es-ES_tradnl"/>
        </w:rPr>
      </w:pPr>
      <w:r w:rsidRPr="00834483">
        <w:rPr>
          <w:b/>
          <w:lang w:val="es-ES_tradnl"/>
        </w:rPr>
        <w:t>El Comité recomienda que el Estado parte</w:t>
      </w:r>
      <w:r w:rsidRPr="00834483">
        <w:rPr>
          <w:lang w:val="es-ES_tradnl"/>
        </w:rPr>
        <w:t xml:space="preserve">: </w:t>
      </w:r>
    </w:p>
    <w:p w14:paraId="2775C60C" w14:textId="77777777" w:rsidR="005A19AC" w:rsidRPr="00834483" w:rsidRDefault="005A19AC" w:rsidP="005A19AC">
      <w:pPr>
        <w:pStyle w:val="SingleTxt"/>
        <w:rPr>
          <w:lang w:val="es-ES_tradnl"/>
        </w:rPr>
      </w:pPr>
      <w:r w:rsidRPr="00834483">
        <w:rPr>
          <w:lang w:val="es-ES_tradnl"/>
        </w:rPr>
        <w:tab/>
      </w:r>
      <w:r w:rsidRPr="00834483">
        <w:rPr>
          <w:b/>
          <w:lang w:val="es-ES_tradnl"/>
        </w:rPr>
        <w:t>a)</w:t>
      </w:r>
      <w:r w:rsidRPr="00834483">
        <w:rPr>
          <w:b/>
          <w:lang w:val="es-ES_tradnl"/>
        </w:rPr>
        <w:tab/>
        <w:t>Intensifique y sistematice la recopilación de datos cuantitativos y cualitativos sobre la mutilación genital femenina, desglosados por edad, sexo, etnia, religión y región</w:t>
      </w:r>
      <w:r w:rsidRPr="00834483">
        <w:rPr>
          <w:lang w:val="es-ES_tradnl"/>
        </w:rPr>
        <w:t xml:space="preserve">; </w:t>
      </w:r>
    </w:p>
    <w:p w14:paraId="6C3B7447" w14:textId="77777777" w:rsidR="005A19AC" w:rsidRPr="00834483" w:rsidRDefault="005A19AC" w:rsidP="005A19AC">
      <w:pPr>
        <w:pStyle w:val="SingleTxt"/>
        <w:rPr>
          <w:lang w:val="es-ES_tradnl"/>
        </w:rPr>
      </w:pPr>
      <w:r w:rsidRPr="00834483">
        <w:rPr>
          <w:lang w:val="es-ES_tradnl"/>
        </w:rPr>
        <w:tab/>
      </w:r>
      <w:r w:rsidRPr="00834483">
        <w:rPr>
          <w:b/>
          <w:lang w:val="es-ES_tradnl"/>
        </w:rPr>
        <w:t>b)</w:t>
      </w:r>
      <w:r w:rsidRPr="00834483">
        <w:rPr>
          <w:b/>
          <w:lang w:val="es-ES_tradnl"/>
        </w:rPr>
        <w:tab/>
        <w:t>Recopile las buenas prácticas sobre prevención, tipificación y abandono de la mutilación genital femenina, especialmente en África Occidental, y las divulgue entre los profesionales</w:t>
      </w:r>
      <w:r w:rsidRPr="00834483">
        <w:rPr>
          <w:lang w:val="es-ES_tradnl"/>
        </w:rPr>
        <w:t xml:space="preserve">; </w:t>
      </w:r>
    </w:p>
    <w:p w14:paraId="3FE8B14B" w14:textId="77777777" w:rsidR="005A19AC" w:rsidRDefault="005A19AC" w:rsidP="005A19AC">
      <w:pPr>
        <w:pStyle w:val="SingleTxt"/>
        <w:rPr>
          <w:b/>
          <w:lang w:val="es-ES_tradnl"/>
        </w:rPr>
      </w:pPr>
      <w:r w:rsidRPr="00834483">
        <w:rPr>
          <w:lang w:val="es-ES_tradnl"/>
        </w:rPr>
        <w:tab/>
      </w:r>
      <w:r w:rsidRPr="00834483">
        <w:rPr>
          <w:b/>
          <w:lang w:val="es-ES_tradnl"/>
        </w:rPr>
        <w:t>c)</w:t>
      </w:r>
      <w:r w:rsidRPr="00834483">
        <w:rPr>
          <w:b/>
          <w:lang w:val="es-ES_tradnl"/>
        </w:rPr>
        <w:tab/>
        <w:t>Cree un sistema de datos que permita evaluar</w:t>
      </w:r>
      <w:r w:rsidRPr="00F04A7F">
        <w:rPr>
          <w:bCs/>
          <w:lang w:val="es-ES_tradnl"/>
        </w:rPr>
        <w:t xml:space="preserve">: </w:t>
      </w:r>
    </w:p>
    <w:p w14:paraId="5CE65A7E" w14:textId="77777777" w:rsidR="005A19AC" w:rsidRDefault="005A19AC" w:rsidP="005A19AC">
      <w:pPr>
        <w:pStyle w:val="SingleTxt"/>
        <w:ind w:left="1742" w:hanging="475"/>
        <w:rPr>
          <w:b/>
          <w:bCs/>
          <w:lang w:val="es-ES_tradnl"/>
        </w:rPr>
      </w:pPr>
      <w:r>
        <w:rPr>
          <w:b/>
          <w:bCs/>
          <w:lang w:val="es-ES_tradnl"/>
        </w:rPr>
        <w:tab/>
      </w:r>
      <w:r w:rsidRPr="0035434F">
        <w:rPr>
          <w:b/>
          <w:bCs/>
          <w:lang w:val="es-ES_tradnl"/>
        </w:rPr>
        <w:t>i)</w:t>
      </w:r>
      <w:r>
        <w:rPr>
          <w:b/>
          <w:bCs/>
          <w:lang w:val="es-ES_tradnl"/>
        </w:rPr>
        <w:tab/>
        <w:t>L</w:t>
      </w:r>
      <w:r w:rsidRPr="0035434F">
        <w:rPr>
          <w:b/>
          <w:bCs/>
          <w:lang w:val="es-ES_tradnl"/>
        </w:rPr>
        <w:t>a eficacia de las medidas aplicadas para eliminar la mutilación genital femenina</w:t>
      </w:r>
      <w:r w:rsidRPr="00F04A7F">
        <w:rPr>
          <w:lang w:val="es-ES_tradnl"/>
        </w:rPr>
        <w:t>;</w:t>
      </w:r>
    </w:p>
    <w:p w14:paraId="0C2A8239" w14:textId="77777777" w:rsidR="005A19AC" w:rsidRDefault="005A19AC" w:rsidP="005A19AC">
      <w:pPr>
        <w:pStyle w:val="SingleTxt"/>
        <w:ind w:left="1742" w:hanging="475"/>
        <w:rPr>
          <w:b/>
          <w:bCs/>
          <w:lang w:val="es-ES_tradnl"/>
        </w:rPr>
      </w:pPr>
      <w:r>
        <w:rPr>
          <w:b/>
          <w:bCs/>
          <w:lang w:val="es-ES_tradnl"/>
        </w:rPr>
        <w:tab/>
      </w:r>
      <w:r w:rsidRPr="0035434F">
        <w:rPr>
          <w:b/>
          <w:bCs/>
          <w:lang w:val="es-ES_tradnl"/>
        </w:rPr>
        <w:t>ii)</w:t>
      </w:r>
      <w:r>
        <w:rPr>
          <w:b/>
          <w:bCs/>
          <w:lang w:val="es-ES_tradnl"/>
        </w:rPr>
        <w:tab/>
        <w:t>E</w:t>
      </w:r>
      <w:r w:rsidRPr="0035434F">
        <w:rPr>
          <w:b/>
          <w:bCs/>
          <w:lang w:val="es-ES_tradnl"/>
        </w:rPr>
        <w:t xml:space="preserve">l impacto de esas medidas en la dimensión trasnacional de la práctica; y </w:t>
      </w:r>
    </w:p>
    <w:p w14:paraId="7822661D" w14:textId="781CC525" w:rsidR="005A19AC" w:rsidRDefault="005A19AC" w:rsidP="005139BB">
      <w:pPr>
        <w:pStyle w:val="SingleTxt"/>
        <w:ind w:left="1742" w:hanging="475"/>
        <w:rPr>
          <w:lang w:val="es-ES_tradnl"/>
        </w:rPr>
      </w:pPr>
      <w:r>
        <w:rPr>
          <w:b/>
          <w:bCs/>
          <w:lang w:val="es-ES_tradnl"/>
        </w:rPr>
        <w:tab/>
      </w:r>
      <w:r w:rsidRPr="0035434F">
        <w:rPr>
          <w:b/>
          <w:bCs/>
          <w:lang w:val="es-ES_tradnl"/>
        </w:rPr>
        <w:t>iii)</w:t>
      </w:r>
      <w:r>
        <w:rPr>
          <w:b/>
          <w:bCs/>
          <w:lang w:val="es-ES_tradnl"/>
        </w:rPr>
        <w:tab/>
        <w:t>E</w:t>
      </w:r>
      <w:r w:rsidRPr="0035434F">
        <w:rPr>
          <w:b/>
          <w:bCs/>
          <w:lang w:val="es-ES_tradnl"/>
        </w:rPr>
        <w:t>l costo social y el impacto de la mutilación genital femenina en el desarrollo económico y social del país</w:t>
      </w:r>
      <w:r w:rsidRPr="00F04A7F">
        <w:rPr>
          <w:lang w:val="es-ES_tradnl"/>
        </w:rPr>
        <w:t>.</w:t>
      </w:r>
    </w:p>
    <w:p w14:paraId="02C41FB8" w14:textId="0C56D0F3" w:rsidR="00DD7E1C" w:rsidRPr="0052606C" w:rsidRDefault="00DD7E1C" w:rsidP="005A19AC">
      <w:pPr>
        <w:pStyle w:val="SingleTxt"/>
        <w:rPr>
          <w:lang w:val="es-ES_tradnl"/>
        </w:rPr>
      </w:pPr>
      <w:r>
        <w:rPr>
          <w:noProof/>
          <w:w w:val="100"/>
          <w:lang w:val="es-ES_tradnl"/>
        </w:rPr>
        <mc:AlternateContent>
          <mc:Choice Requires="wps">
            <w:drawing>
              <wp:anchor distT="0" distB="0" distL="114300" distR="114300" simplePos="0" relativeHeight="251659264" behindDoc="0" locked="0" layoutInCell="1" allowOverlap="1" wp14:anchorId="799AA223" wp14:editId="2EA78D11">
                <wp:simplePos x="0" y="0"/>
                <wp:positionH relativeFrom="column">
                  <wp:posOffset>2669540</wp:posOffset>
                </wp:positionH>
                <wp:positionV relativeFrom="paragraph">
                  <wp:posOffset>304800</wp:posOffset>
                </wp:positionV>
                <wp:extent cx="914400" cy="0"/>
                <wp:effectExtent l="0" t="0" r="0" b="0"/>
                <wp:wrapNone/>
                <wp:docPr id="2" name="Straight Connector 2"/>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EFAD3FA" id="Straight Connector 2"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z&#10;XH9y2QEAAAwEAAAOAAAAAAAAAAAAAAAAAC4CAABkcnMvZTJvRG9jLnhtbFBLAQItABQABgAIAAAA&#10;IQCFoHiC3wAAAAkBAAAPAAAAAAAAAAAAAAAAADMEAABkcnMvZG93bnJldi54bWxQSwUGAAAAAAQA&#10;BADzAAAAPwUAAAAA&#10;" strokecolor="#010000" strokeweight=".25pt"/>
            </w:pict>
          </mc:Fallback>
        </mc:AlternateContent>
      </w:r>
    </w:p>
    <w:sectPr w:rsidR="00DD7E1C" w:rsidRPr="0052606C" w:rsidSect="003C20FF">
      <w:endnotePr>
        <w:numFmt w:val="decimal"/>
      </w:endnotePr>
      <w:type w:val="continuous"/>
      <w:pgSz w:w="12240" w:h="15840"/>
      <w:pgMar w:top="1440" w:right="1200" w:bottom="1152" w:left="1200" w:header="432" w:footer="504" w:gutter="0"/>
      <w:pgNumType w:start="1"/>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7F649A" w14:textId="77777777" w:rsidR="00376429" w:rsidRDefault="00376429" w:rsidP="00101B18">
      <w:r>
        <w:separator/>
      </w:r>
    </w:p>
  </w:endnote>
  <w:endnote w:type="continuationSeparator" w:id="0">
    <w:p w14:paraId="3D94C4D4" w14:textId="77777777" w:rsidR="00376429" w:rsidRDefault="00376429"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altName w:val="Calibri"/>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CellMar>
        <w:left w:w="0" w:type="dxa"/>
        <w:right w:w="0" w:type="dxa"/>
      </w:tblCellMar>
      <w:tblLook w:val="0000" w:firstRow="0" w:lastRow="0" w:firstColumn="0" w:lastColumn="0" w:noHBand="0" w:noVBand="0"/>
    </w:tblPr>
    <w:tblGrid>
      <w:gridCol w:w="4920"/>
      <w:gridCol w:w="4920"/>
    </w:tblGrid>
    <w:tr w:rsidR="00DD7E1C" w14:paraId="1FB717BB" w14:textId="77777777" w:rsidTr="00966568">
      <w:tc>
        <w:tcPr>
          <w:tcW w:w="4920" w:type="dxa"/>
          <w:vAlign w:val="bottom"/>
        </w:tcPr>
        <w:p w14:paraId="4C1AA06F" w14:textId="77777777" w:rsidR="00DD7E1C" w:rsidRPr="00966568" w:rsidRDefault="00DD7E1C" w:rsidP="00966568">
          <w:pPr>
            <w:pStyle w:val="Footer"/>
            <w:rPr>
              <w:color w:val="000000"/>
            </w:rPr>
          </w:pPr>
          <w:r>
            <w:fldChar w:fldCharType="begin"/>
          </w:r>
          <w:r>
            <w:instrText xml:space="preserve"> PAGE  \* Arabic  \* MERGEFORMAT </w:instrText>
          </w:r>
          <w:r>
            <w:fldChar w:fldCharType="separate"/>
          </w:r>
          <w:r>
            <w:t>3</w:t>
          </w:r>
          <w:r>
            <w:fldChar w:fldCharType="end"/>
          </w:r>
          <w:r>
            <w:t>/</w:t>
          </w:r>
          <w:fldSimple w:instr=" NUMPAGES  \* Arabic  \* MERGEFORMAT ">
            <w:r>
              <w:t>4</w:t>
            </w:r>
          </w:fldSimple>
        </w:p>
      </w:tc>
      <w:tc>
        <w:tcPr>
          <w:tcW w:w="4920" w:type="dxa"/>
          <w:vAlign w:val="bottom"/>
        </w:tcPr>
        <w:p w14:paraId="3489A621" w14:textId="0C2DCE34" w:rsidR="00DD7E1C" w:rsidRPr="00966568" w:rsidRDefault="00DD7E1C" w:rsidP="00966568">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DE76F4">
            <w:rPr>
              <w:b w:val="0"/>
              <w:color w:val="000000"/>
              <w:sz w:val="14"/>
            </w:rPr>
            <w:t>19-22454</w:t>
          </w:r>
          <w:r>
            <w:rPr>
              <w:b w:val="0"/>
              <w:color w:val="000000"/>
              <w:sz w:val="14"/>
            </w:rPr>
            <w:fldChar w:fldCharType="end"/>
          </w:r>
        </w:p>
      </w:tc>
    </w:tr>
  </w:tbl>
  <w:p w14:paraId="4E162F4F" w14:textId="77777777" w:rsidR="00DD7E1C" w:rsidRPr="00966568" w:rsidRDefault="00DD7E1C" w:rsidP="0096656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CellMar>
        <w:left w:w="0" w:type="dxa"/>
        <w:right w:w="0" w:type="dxa"/>
      </w:tblCellMar>
      <w:tblLook w:val="0000" w:firstRow="0" w:lastRow="0" w:firstColumn="0" w:lastColumn="0" w:noHBand="0" w:noVBand="0"/>
    </w:tblPr>
    <w:tblGrid>
      <w:gridCol w:w="4920"/>
      <w:gridCol w:w="4920"/>
    </w:tblGrid>
    <w:tr w:rsidR="00DD7E1C" w14:paraId="27BF3CE4" w14:textId="77777777" w:rsidTr="00966568">
      <w:tc>
        <w:tcPr>
          <w:tcW w:w="4920" w:type="dxa"/>
          <w:vAlign w:val="bottom"/>
        </w:tcPr>
        <w:p w14:paraId="5E519710" w14:textId="12108C02" w:rsidR="00DD7E1C" w:rsidRPr="00966568" w:rsidRDefault="00DD7E1C" w:rsidP="00966568">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DE76F4">
            <w:rPr>
              <w:b w:val="0"/>
              <w:color w:val="000000"/>
              <w:sz w:val="14"/>
            </w:rPr>
            <w:t>19-22454</w:t>
          </w:r>
          <w:r>
            <w:rPr>
              <w:b w:val="0"/>
              <w:color w:val="000000"/>
              <w:sz w:val="14"/>
            </w:rPr>
            <w:fldChar w:fldCharType="end"/>
          </w:r>
        </w:p>
      </w:tc>
      <w:tc>
        <w:tcPr>
          <w:tcW w:w="4920" w:type="dxa"/>
          <w:vAlign w:val="bottom"/>
        </w:tcPr>
        <w:p w14:paraId="7B1D2271" w14:textId="77777777" w:rsidR="00DD7E1C" w:rsidRPr="00966568" w:rsidRDefault="00DD7E1C" w:rsidP="00966568">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6E8FC9C5" w14:textId="77777777" w:rsidR="00DD7E1C" w:rsidRPr="00966568" w:rsidRDefault="00DD7E1C" w:rsidP="0096656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7A275D" w14:textId="77777777" w:rsidR="00DD7E1C" w:rsidRPr="00966568" w:rsidRDefault="00DD7E1C" w:rsidP="00966568">
    <w:pPr>
      <w:pStyle w:val="Footer"/>
      <w:spacing w:line="120" w:lineRule="exact"/>
      <w:rPr>
        <w:b w:val="0"/>
        <w:sz w:val="10"/>
      </w:rPr>
    </w:pPr>
    <w:r>
      <w:rPr>
        <w:b w:val="0"/>
        <w:sz w:val="10"/>
      </w:rPr>
      <w:drawing>
        <wp:anchor distT="0" distB="0" distL="114300" distR="114300" simplePos="0" relativeHeight="251658240" behindDoc="0" locked="0" layoutInCell="1" allowOverlap="1" wp14:anchorId="69802AE2" wp14:editId="74FA04BA">
          <wp:simplePos x="0" y="0"/>
          <wp:positionH relativeFrom="column">
            <wp:posOffset>5568315</wp:posOffset>
          </wp:positionH>
          <wp:positionV relativeFrom="paragraph">
            <wp:posOffset>-283210</wp:posOffset>
          </wp:positionV>
          <wp:extent cx="694690" cy="694690"/>
          <wp:effectExtent l="0" t="0" r="0" b="0"/>
          <wp:wrapNone/>
          <wp:docPr id="11" name="Picture 11" descr="https://undocs.org/m2/QRCode2.ashx?DS=CEDAW/C/OP.8/MLI/R.1/Rev.2 &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OP.8/MLI/R.1/Rev.2 &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DD7E1C" w14:paraId="4EDC5D7D" w14:textId="77777777" w:rsidTr="00966568">
      <w:tc>
        <w:tcPr>
          <w:tcW w:w="3830" w:type="dxa"/>
        </w:tcPr>
        <w:p w14:paraId="4144FE84" w14:textId="6A1ACF0E" w:rsidR="00DD7E1C" w:rsidRDefault="00DD7E1C" w:rsidP="00966568">
          <w:pPr>
            <w:pStyle w:val="ReleaseDate0"/>
          </w:pPr>
          <w:r>
            <w:t>19-22454 (S)    080120    270120</w:t>
          </w:r>
        </w:p>
        <w:p w14:paraId="0EE4DEBB" w14:textId="77777777" w:rsidR="00DD7E1C" w:rsidRPr="00966568" w:rsidRDefault="00DD7E1C" w:rsidP="00966568">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*1922454*</w:t>
          </w:r>
        </w:p>
      </w:tc>
      <w:tc>
        <w:tcPr>
          <w:tcW w:w="4920" w:type="dxa"/>
        </w:tcPr>
        <w:p w14:paraId="7D415810" w14:textId="77777777" w:rsidR="00DD7E1C" w:rsidRDefault="00DD7E1C" w:rsidP="00966568">
          <w:pPr>
            <w:pStyle w:val="Footer"/>
            <w:jc w:val="right"/>
            <w:rPr>
              <w:b w:val="0"/>
              <w:sz w:val="20"/>
            </w:rPr>
          </w:pPr>
          <w:r>
            <w:rPr>
              <w:b w:val="0"/>
              <w:sz w:val="20"/>
            </w:rPr>
            <w:drawing>
              <wp:inline distT="0" distB="0" distL="0" distR="0" wp14:anchorId="3694519A" wp14:editId="730B4880">
                <wp:extent cx="1082042" cy="231648"/>
                <wp:effectExtent l="0" t="0" r="3810" b="0"/>
                <wp:docPr id="12" name="Picture 1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76FB7207" w14:textId="77777777" w:rsidR="00DD7E1C" w:rsidRPr="00966568" w:rsidRDefault="00DD7E1C" w:rsidP="00966568">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DDA27D" w14:textId="77777777" w:rsidR="00376429" w:rsidRPr="0052606C" w:rsidRDefault="00376429" w:rsidP="0052606C">
      <w:pPr>
        <w:pStyle w:val="Footer"/>
        <w:spacing w:after="80"/>
        <w:ind w:left="792"/>
        <w:rPr>
          <w:sz w:val="16"/>
        </w:rPr>
      </w:pPr>
      <w:r w:rsidRPr="0052606C">
        <w:rPr>
          <w:sz w:val="16"/>
        </w:rPr>
        <w:t>__________________</w:t>
      </w:r>
    </w:p>
  </w:footnote>
  <w:footnote w:type="continuationSeparator" w:id="0">
    <w:p w14:paraId="261DBDFE" w14:textId="77777777" w:rsidR="00376429" w:rsidRPr="0052606C" w:rsidRDefault="00376429" w:rsidP="0052606C">
      <w:pPr>
        <w:pStyle w:val="Footer"/>
        <w:spacing w:after="80"/>
        <w:ind w:left="792"/>
        <w:rPr>
          <w:sz w:val="16"/>
        </w:rPr>
      </w:pPr>
      <w:r w:rsidRPr="0052606C">
        <w:rPr>
          <w:sz w:val="16"/>
        </w:rPr>
        <w:t>__________________</w:t>
      </w:r>
    </w:p>
  </w:footnote>
  <w:footnote w:id="1">
    <w:p w14:paraId="673D317A" w14:textId="77777777" w:rsidR="00DD7E1C" w:rsidRPr="00DD7E1C" w:rsidRDefault="00DD7E1C" w:rsidP="0052606C">
      <w:pPr>
        <w:pStyle w:val="FootnoteText"/>
        <w:tabs>
          <w:tab w:val="clear" w:pos="418"/>
          <w:tab w:val="right" w:pos="1195"/>
          <w:tab w:val="left" w:pos="1267"/>
          <w:tab w:val="left" w:pos="1742"/>
          <w:tab w:val="left" w:pos="2218"/>
          <w:tab w:val="left" w:pos="2693"/>
        </w:tabs>
        <w:ind w:left="1267" w:right="1267" w:hanging="432"/>
        <w:rPr>
          <w:lang w:val="es-ES_tradnl"/>
        </w:rPr>
      </w:pPr>
      <w:r w:rsidRPr="00DD7E1C">
        <w:rPr>
          <w:lang w:val="es-ES_tradnl"/>
        </w:rPr>
        <w:tab/>
      </w:r>
      <w:r w:rsidRPr="00DD7E1C">
        <w:rPr>
          <w:rStyle w:val="FootnoteReference"/>
          <w:lang w:val="es-ES_tradnl"/>
        </w:rPr>
        <w:footnoteRef/>
      </w:r>
      <w:r w:rsidRPr="00DD7E1C">
        <w:rPr>
          <w:lang w:val="es-ES_tradnl"/>
        </w:rPr>
        <w:t xml:space="preserve"> </w:t>
      </w:r>
      <w:r w:rsidRPr="00DD7E1C">
        <w:rPr>
          <w:lang w:val="es-ES_tradnl"/>
        </w:rPr>
        <w:tab/>
        <w:t>Solo una de las tres organizaciones, Equality Now, ha permitido que su nombre figure en el presente documento.</w:t>
      </w:r>
    </w:p>
  </w:footnote>
  <w:footnote w:id="2">
    <w:p w14:paraId="31A0141A" w14:textId="77777777" w:rsidR="00DD7E1C" w:rsidRPr="00DD7E1C" w:rsidRDefault="00DD7E1C" w:rsidP="0052606C">
      <w:pPr>
        <w:pStyle w:val="FootnoteText"/>
        <w:tabs>
          <w:tab w:val="clear" w:pos="418"/>
          <w:tab w:val="right" w:pos="1195"/>
          <w:tab w:val="left" w:pos="1267"/>
          <w:tab w:val="left" w:pos="1742"/>
          <w:tab w:val="left" w:pos="2218"/>
          <w:tab w:val="left" w:pos="2693"/>
        </w:tabs>
        <w:ind w:left="1267" w:right="1267" w:hanging="432"/>
        <w:rPr>
          <w:lang w:val="es-ES_tradnl"/>
        </w:rPr>
      </w:pPr>
      <w:r w:rsidRPr="00DD7E1C">
        <w:rPr>
          <w:lang w:val="es-ES_tradnl"/>
        </w:rPr>
        <w:tab/>
      </w:r>
      <w:r w:rsidRPr="00DD7E1C">
        <w:rPr>
          <w:rStyle w:val="FootnoteReference"/>
          <w:lang w:val="es-ES_tradnl"/>
        </w:rPr>
        <w:footnoteRef/>
      </w:r>
      <w:r w:rsidRPr="00DD7E1C">
        <w:rPr>
          <w:lang w:val="es-ES_tradnl"/>
        </w:rPr>
        <w:tab/>
        <w:t>Recomendación general núm. 31 del Comité para la Eliminación de la Discriminación contra la Mujer y observación general núm. 18 del Comité de los Derechos del Niño (2014) sobre las prácticas nocivas, adoptadas de manera conjunta, párr. 19.</w:t>
      </w:r>
    </w:p>
  </w:footnote>
  <w:footnote w:id="3">
    <w:p w14:paraId="652FE9CF" w14:textId="77777777" w:rsidR="00DD7E1C" w:rsidRPr="00DD7E1C" w:rsidRDefault="00DD7E1C" w:rsidP="0052606C">
      <w:pPr>
        <w:pStyle w:val="FootnoteText"/>
        <w:tabs>
          <w:tab w:val="clear" w:pos="418"/>
          <w:tab w:val="right" w:pos="1195"/>
          <w:tab w:val="left" w:pos="1267"/>
          <w:tab w:val="left" w:pos="1742"/>
          <w:tab w:val="left" w:pos="2218"/>
          <w:tab w:val="left" w:pos="2693"/>
        </w:tabs>
        <w:ind w:left="1267" w:right="1267" w:hanging="432"/>
        <w:rPr>
          <w:lang w:val="es-ES_tradnl"/>
        </w:rPr>
      </w:pPr>
      <w:r w:rsidRPr="00DD7E1C">
        <w:rPr>
          <w:lang w:val="es-ES_tradnl"/>
        </w:rPr>
        <w:tab/>
      </w:r>
      <w:r w:rsidRPr="00DD7E1C">
        <w:rPr>
          <w:rStyle w:val="FootnoteReference"/>
          <w:lang w:val="es-ES_tradnl"/>
        </w:rPr>
        <w:footnoteRef/>
      </w:r>
      <w:r w:rsidRPr="00DD7E1C">
        <w:rPr>
          <w:lang w:val="es-ES_tradnl"/>
        </w:rPr>
        <w:tab/>
        <w:t xml:space="preserve">La mutilación genital femenina se clasifica en cuatro tipos (véase Organización Mundial de la Salud, </w:t>
      </w:r>
      <w:r w:rsidRPr="00DD7E1C">
        <w:rPr>
          <w:i/>
          <w:iCs/>
          <w:szCs w:val="18"/>
          <w:lang w:val="es-ES_tradnl"/>
        </w:rPr>
        <w:t>Éliminer les mutilations sexuelles féminines : déclaration interinstitutions – HCDH, OMS, ONUSIDA, PNUD, UNCEA, UNESCO, UNFPA, UNHCR, UNICEF, UNIFEM</w:t>
      </w:r>
      <w:r w:rsidRPr="00DD7E1C">
        <w:rPr>
          <w:szCs w:val="18"/>
          <w:lang w:val="es-ES_tradnl"/>
        </w:rPr>
        <w:t xml:space="preserve"> (Ginebra, 2008)</w:t>
      </w:r>
      <w:r w:rsidRPr="00DD7E1C">
        <w:rPr>
          <w:iCs/>
          <w:szCs w:val="18"/>
          <w:lang w:val="es-ES_tradnl"/>
        </w:rPr>
        <w:t>)</w:t>
      </w:r>
      <w:r w:rsidRPr="00DD7E1C">
        <w:rPr>
          <w:i/>
          <w:iCs/>
          <w:szCs w:val="18"/>
          <w:lang w:val="es-ES_tradnl"/>
        </w:rPr>
        <w:t>.</w:t>
      </w:r>
    </w:p>
  </w:footnote>
  <w:footnote w:id="4">
    <w:p w14:paraId="7A298529" w14:textId="4D105B80" w:rsidR="00DD7E1C" w:rsidRPr="00DD7E1C" w:rsidRDefault="00DD7E1C" w:rsidP="0052606C">
      <w:pPr>
        <w:pStyle w:val="FootnoteText"/>
        <w:tabs>
          <w:tab w:val="clear" w:pos="418"/>
          <w:tab w:val="right" w:pos="1195"/>
          <w:tab w:val="left" w:pos="1267"/>
          <w:tab w:val="left" w:pos="1742"/>
          <w:tab w:val="left" w:pos="2218"/>
          <w:tab w:val="left" w:pos="2693"/>
        </w:tabs>
        <w:ind w:left="1267" w:right="1267" w:hanging="432"/>
        <w:rPr>
          <w:lang w:val="es-ES_tradnl"/>
        </w:rPr>
      </w:pPr>
      <w:r w:rsidRPr="00DD7E1C">
        <w:rPr>
          <w:lang w:val="es-ES_tradnl"/>
        </w:rPr>
        <w:tab/>
      </w:r>
      <w:r w:rsidRPr="00DD7E1C">
        <w:rPr>
          <w:rStyle w:val="FootnoteReference"/>
          <w:lang w:val="es-ES_tradnl"/>
        </w:rPr>
        <w:footnoteRef/>
      </w:r>
      <w:r w:rsidRPr="00DD7E1C">
        <w:rPr>
          <w:lang w:val="es-ES_tradnl"/>
        </w:rPr>
        <w:tab/>
        <w:t xml:space="preserve">Programa de las Naciones Unidas para el Desarrollo, </w:t>
      </w:r>
      <w:r w:rsidRPr="00DD7E1C">
        <w:rPr>
          <w:i/>
          <w:iCs/>
          <w:lang w:val="es-ES_tradnl"/>
        </w:rPr>
        <w:t>Human Development Indices and Indicators: 2018 Statistical Update</w:t>
      </w:r>
      <w:r w:rsidRPr="00DD7E1C">
        <w:rPr>
          <w:lang w:val="es-ES_tradnl"/>
        </w:rPr>
        <w:t xml:space="preserve"> (Nueva York, 2018), figura 1.</w:t>
      </w:r>
    </w:p>
  </w:footnote>
  <w:footnote w:id="5">
    <w:p w14:paraId="25E6635E" w14:textId="2F144B29" w:rsidR="00DD7E1C" w:rsidRPr="00DD7E1C" w:rsidRDefault="00DD7E1C" w:rsidP="0052606C">
      <w:pPr>
        <w:pStyle w:val="FootnoteText"/>
        <w:tabs>
          <w:tab w:val="clear" w:pos="418"/>
          <w:tab w:val="right" w:pos="1195"/>
          <w:tab w:val="left" w:pos="1267"/>
          <w:tab w:val="left" w:pos="1742"/>
          <w:tab w:val="left" w:pos="2218"/>
          <w:tab w:val="left" w:pos="2693"/>
        </w:tabs>
        <w:ind w:left="1267" w:right="1267" w:hanging="432"/>
        <w:rPr>
          <w:lang w:val="es-ES_tradnl"/>
        </w:rPr>
      </w:pPr>
      <w:r w:rsidRPr="00DD7E1C">
        <w:rPr>
          <w:lang w:val="es-ES_tradnl"/>
        </w:rPr>
        <w:tab/>
      </w:r>
      <w:r w:rsidRPr="00DD7E1C">
        <w:rPr>
          <w:rStyle w:val="FootnoteReference"/>
          <w:lang w:val="es-ES_tradnl"/>
        </w:rPr>
        <w:footnoteRef/>
      </w:r>
      <w:r w:rsidRPr="005122BA">
        <w:rPr>
          <w:lang w:val="fr-FR"/>
        </w:rPr>
        <w:tab/>
        <w:t xml:space="preserve">Malí, Instituto Nacional de Estadística, </w:t>
      </w:r>
      <w:r w:rsidRPr="005122BA">
        <w:rPr>
          <w:i/>
          <w:iCs/>
          <w:lang w:val="fr-FR"/>
        </w:rPr>
        <w:t>Enquête modulaire et permanente auprès des ménages (EMOP)</w:t>
      </w:r>
      <w:r w:rsidRPr="005122BA">
        <w:rPr>
          <w:lang w:val="fr-FR"/>
        </w:rPr>
        <w:t xml:space="preserve"> (agosto de 2017), págs. </w:t>
      </w:r>
      <w:r w:rsidRPr="00DD7E1C">
        <w:rPr>
          <w:lang w:val="es-ES_tradnl"/>
        </w:rPr>
        <w:t xml:space="preserve">11 y 37. Puede consultarse en: </w:t>
      </w:r>
      <w:hyperlink r:id="rId1" w:history="1">
        <w:r w:rsidRPr="00DD7E1C">
          <w:rPr>
            <w:rStyle w:val="Hyperlink"/>
            <w:lang w:val="es-ES_tradnl"/>
          </w:rPr>
          <w:t>www.instat-mali.org/contenu/eq/rana17pas1_eq.pdf</w:t>
        </w:r>
      </w:hyperlink>
      <w:r w:rsidRPr="00DD7E1C">
        <w:rPr>
          <w:lang w:val="es-ES_tradnl"/>
        </w:rPr>
        <w:t>.</w:t>
      </w:r>
    </w:p>
  </w:footnote>
  <w:footnote w:id="6">
    <w:p w14:paraId="127ECF2A" w14:textId="77777777" w:rsidR="00DD7E1C" w:rsidRPr="00DD7E1C" w:rsidRDefault="00DD7E1C" w:rsidP="0052606C">
      <w:pPr>
        <w:pStyle w:val="FootnoteText"/>
        <w:tabs>
          <w:tab w:val="clear" w:pos="418"/>
          <w:tab w:val="right" w:pos="1195"/>
          <w:tab w:val="left" w:pos="1267"/>
          <w:tab w:val="left" w:pos="1742"/>
          <w:tab w:val="left" w:pos="2218"/>
          <w:tab w:val="left" w:pos="2693"/>
        </w:tabs>
        <w:ind w:left="1267" w:right="1267" w:hanging="432"/>
        <w:rPr>
          <w:lang w:val="es-ES_tradnl"/>
        </w:rPr>
      </w:pPr>
      <w:r w:rsidRPr="00DD7E1C">
        <w:rPr>
          <w:lang w:val="es-ES_tradnl"/>
        </w:rPr>
        <w:tab/>
      </w:r>
      <w:r w:rsidRPr="00DD7E1C">
        <w:rPr>
          <w:rStyle w:val="FootnoteReference"/>
          <w:lang w:val="es-ES_tradnl"/>
        </w:rPr>
        <w:footnoteRef/>
      </w:r>
      <w:r w:rsidRPr="00DD7E1C">
        <w:rPr>
          <w:lang w:val="es-ES_tradnl"/>
        </w:rPr>
        <w:t xml:space="preserve"> </w:t>
      </w:r>
      <w:r w:rsidRPr="00DD7E1C">
        <w:rPr>
          <w:lang w:val="es-ES_tradnl"/>
        </w:rPr>
        <w:tab/>
      </w:r>
      <w:r w:rsidRPr="00DD7E1C">
        <w:rPr>
          <w:szCs w:val="18"/>
          <w:lang w:val="es-ES_tradnl"/>
        </w:rPr>
        <w:t xml:space="preserve">Malí, </w:t>
      </w:r>
      <w:r w:rsidRPr="00DD7E1C">
        <w:rPr>
          <w:lang w:val="es-ES_tradnl" w:eastAsia="zh-CN"/>
        </w:rPr>
        <w:t>Ministerio de Promoción de la Mujer, la Infancia y la Familia</w:t>
      </w:r>
      <w:r w:rsidRPr="00DD7E1C">
        <w:rPr>
          <w:szCs w:val="18"/>
          <w:lang w:val="es-ES_tradnl"/>
        </w:rPr>
        <w:t xml:space="preserve"> y </w:t>
      </w:r>
      <w:r w:rsidRPr="00DD7E1C">
        <w:rPr>
          <w:lang w:val="es-ES_tradnl" w:eastAsia="zh-CN"/>
        </w:rPr>
        <w:t>programa nacional de lucha contra la práctica de la escisión</w:t>
      </w:r>
      <w:r w:rsidRPr="00DD7E1C">
        <w:rPr>
          <w:szCs w:val="18"/>
          <w:lang w:val="es-ES_tradnl"/>
        </w:rPr>
        <w:t xml:space="preserve">, </w:t>
      </w:r>
      <w:r w:rsidRPr="00DD7E1C">
        <w:rPr>
          <w:i/>
          <w:lang w:val="es-ES_tradnl"/>
        </w:rPr>
        <w:t>Analyse critique des acteurs d’influence à l’accélération de l’abandon de la pratique des MGF/excision au Mali</w:t>
      </w:r>
      <w:r w:rsidRPr="00DD7E1C">
        <w:rPr>
          <w:szCs w:val="18"/>
          <w:lang w:val="es-ES_tradnl"/>
        </w:rPr>
        <w:t>, abril de 2016, pág. 34.</w:t>
      </w:r>
    </w:p>
  </w:footnote>
  <w:footnote w:id="7">
    <w:p w14:paraId="25DE32B6" w14:textId="730EBC6A" w:rsidR="00DD7E1C" w:rsidRPr="005122BA" w:rsidRDefault="00DD7E1C" w:rsidP="0052606C">
      <w:pPr>
        <w:pStyle w:val="FootnoteText"/>
        <w:tabs>
          <w:tab w:val="clear" w:pos="418"/>
          <w:tab w:val="right" w:pos="1195"/>
          <w:tab w:val="left" w:pos="1267"/>
          <w:tab w:val="left" w:pos="1742"/>
          <w:tab w:val="left" w:pos="2218"/>
          <w:tab w:val="left" w:pos="2693"/>
        </w:tabs>
        <w:ind w:left="1267" w:right="1267" w:hanging="432"/>
        <w:rPr>
          <w:lang w:val="fr-FR"/>
        </w:rPr>
      </w:pPr>
      <w:r w:rsidRPr="00DD7E1C">
        <w:rPr>
          <w:lang w:val="es-ES_tradnl"/>
        </w:rPr>
        <w:tab/>
      </w:r>
      <w:r w:rsidRPr="00DD7E1C">
        <w:rPr>
          <w:rStyle w:val="FootnoteReference"/>
          <w:lang w:val="es-ES_tradnl"/>
        </w:rPr>
        <w:footnoteRef/>
      </w:r>
      <w:r w:rsidRPr="005122BA">
        <w:rPr>
          <w:lang w:val="fr-FR"/>
        </w:rPr>
        <w:tab/>
      </w:r>
      <w:r w:rsidRPr="005122BA">
        <w:rPr>
          <w:szCs w:val="18"/>
          <w:lang w:val="fr-FR"/>
        </w:rPr>
        <w:t xml:space="preserve">Malí, </w:t>
      </w:r>
      <w:r w:rsidRPr="005122BA">
        <w:rPr>
          <w:lang w:val="fr-FR" w:eastAsia="zh-CN"/>
        </w:rPr>
        <w:t>Ministerio de Promoción de la Mujer, la Infancia y la Familia</w:t>
      </w:r>
      <w:r w:rsidRPr="005122BA">
        <w:rPr>
          <w:color w:val="000000"/>
          <w:lang w:val="fr-FR"/>
        </w:rPr>
        <w:t>, “</w:t>
      </w:r>
      <w:r w:rsidRPr="005122BA">
        <w:rPr>
          <w:i/>
          <w:iCs/>
          <w:lang w:val="fr-FR"/>
        </w:rPr>
        <w:t>Yéélén”</w:t>
      </w:r>
      <w:r w:rsidRPr="005122BA">
        <w:rPr>
          <w:i/>
          <w:lang w:val="fr-FR"/>
        </w:rPr>
        <w:t>: stratégie nationale de communication holistique sur les violences basées sur le genre (2018-2027)</w:t>
      </w:r>
      <w:r w:rsidRPr="005122BA">
        <w:rPr>
          <w:color w:val="000000"/>
          <w:lang w:val="fr-FR"/>
        </w:rPr>
        <w:t xml:space="preserve">, </w:t>
      </w:r>
      <w:r w:rsidRPr="005122BA">
        <w:rPr>
          <w:color w:val="000000"/>
          <w:lang w:val="fr-FR"/>
        </w:rPr>
        <w:br/>
        <w:t xml:space="preserve">pág. </w:t>
      </w:r>
      <w:r w:rsidRPr="005122BA">
        <w:rPr>
          <w:lang w:val="fr-FR"/>
        </w:rPr>
        <w:t>63</w:t>
      </w:r>
      <w:r w:rsidRPr="005122BA">
        <w:rPr>
          <w:color w:val="000000"/>
          <w:lang w:val="fr-FR"/>
        </w:rPr>
        <w:t xml:space="preserve">. </w:t>
      </w:r>
    </w:p>
  </w:footnote>
  <w:footnote w:id="8">
    <w:p w14:paraId="584C2949" w14:textId="77777777" w:rsidR="00DD7E1C" w:rsidRPr="005122BA" w:rsidRDefault="00DD7E1C" w:rsidP="0052606C">
      <w:pPr>
        <w:pStyle w:val="FootnoteText"/>
        <w:tabs>
          <w:tab w:val="clear" w:pos="418"/>
          <w:tab w:val="right" w:pos="1195"/>
          <w:tab w:val="left" w:pos="1267"/>
          <w:tab w:val="left" w:pos="1742"/>
          <w:tab w:val="left" w:pos="2218"/>
          <w:tab w:val="left" w:pos="2693"/>
        </w:tabs>
        <w:ind w:left="1267" w:right="1267" w:hanging="432"/>
        <w:rPr>
          <w:lang w:val="fr-FR"/>
        </w:rPr>
      </w:pPr>
      <w:r w:rsidRPr="005122BA">
        <w:rPr>
          <w:lang w:val="fr-FR"/>
        </w:rPr>
        <w:tab/>
      </w:r>
      <w:r w:rsidRPr="00DD7E1C">
        <w:rPr>
          <w:rStyle w:val="FootnoteReference"/>
          <w:lang w:val="es-ES_tradnl"/>
        </w:rPr>
        <w:footnoteRef/>
      </w:r>
      <w:r w:rsidRPr="005122BA">
        <w:rPr>
          <w:lang w:val="fr-FR"/>
        </w:rPr>
        <w:tab/>
        <w:t xml:space="preserve">Malí, Instituto Nacional de Estadística, </w:t>
      </w:r>
      <w:r w:rsidRPr="005122BA">
        <w:rPr>
          <w:i/>
          <w:iCs/>
          <w:lang w:val="fr-FR"/>
        </w:rPr>
        <w:t>Enquête par grappes à indicateurs multiples (MICS), rapport final, 2015</w:t>
      </w:r>
      <w:r w:rsidRPr="005122BA">
        <w:rPr>
          <w:lang w:val="fr-FR"/>
        </w:rPr>
        <w:t xml:space="preserve"> (Bamako, 2015)</w:t>
      </w:r>
      <w:r w:rsidRPr="005122BA">
        <w:rPr>
          <w:i/>
          <w:iCs/>
          <w:lang w:val="fr-FR"/>
        </w:rPr>
        <w:t xml:space="preserve">, </w:t>
      </w:r>
      <w:r w:rsidRPr="005122BA">
        <w:rPr>
          <w:lang w:val="fr-FR"/>
        </w:rPr>
        <w:t>pág. 17.</w:t>
      </w:r>
    </w:p>
  </w:footnote>
  <w:footnote w:id="9">
    <w:p w14:paraId="7CD8C60F" w14:textId="77777777" w:rsidR="00DD7E1C" w:rsidRPr="005122BA" w:rsidRDefault="00DD7E1C" w:rsidP="0052606C">
      <w:pPr>
        <w:pStyle w:val="FootnoteText"/>
        <w:tabs>
          <w:tab w:val="clear" w:pos="418"/>
          <w:tab w:val="right" w:pos="1195"/>
          <w:tab w:val="left" w:pos="1267"/>
          <w:tab w:val="left" w:pos="1742"/>
          <w:tab w:val="left" w:pos="2218"/>
          <w:tab w:val="left" w:pos="2693"/>
        </w:tabs>
        <w:ind w:left="1267" w:right="1267" w:hanging="432"/>
        <w:rPr>
          <w:lang w:val="fr-FR"/>
        </w:rPr>
      </w:pPr>
      <w:r w:rsidRPr="005122BA">
        <w:rPr>
          <w:lang w:val="fr-FR"/>
        </w:rPr>
        <w:tab/>
      </w:r>
      <w:r w:rsidRPr="00DD7E1C">
        <w:rPr>
          <w:rStyle w:val="FootnoteReference"/>
          <w:lang w:val="es-ES_tradnl"/>
        </w:rPr>
        <w:footnoteRef/>
      </w:r>
      <w:r w:rsidRPr="005122BA">
        <w:rPr>
          <w:lang w:val="fr-FR"/>
        </w:rPr>
        <w:tab/>
      </w:r>
      <w:r w:rsidRPr="005122BA">
        <w:rPr>
          <w:i/>
          <w:iCs/>
          <w:lang w:val="fr-FR"/>
        </w:rPr>
        <w:t xml:space="preserve">Ibid. </w:t>
      </w:r>
      <w:r w:rsidRPr="005122BA">
        <w:rPr>
          <w:lang w:val="fr-FR"/>
        </w:rPr>
        <w:t>y</w:t>
      </w:r>
      <w:r w:rsidRPr="005122BA">
        <w:rPr>
          <w:i/>
          <w:iCs/>
          <w:lang w:val="fr-FR"/>
        </w:rPr>
        <w:t xml:space="preserve"> </w:t>
      </w:r>
      <w:r w:rsidRPr="005122BA">
        <w:rPr>
          <w:lang w:val="fr-FR"/>
        </w:rPr>
        <w:t xml:space="preserve">Malí, Instituto Nacional de Estadística, </w:t>
      </w:r>
      <w:r w:rsidRPr="005122BA">
        <w:rPr>
          <w:i/>
          <w:szCs w:val="18"/>
          <w:lang w:val="fr-FR"/>
        </w:rPr>
        <w:t>Enquête par grappes à indicateurs multiples (MICS) au Mali: rapport final</w:t>
      </w:r>
      <w:r w:rsidRPr="005122BA">
        <w:rPr>
          <w:szCs w:val="18"/>
          <w:lang w:val="fr-FR"/>
        </w:rPr>
        <w:t xml:space="preserve"> – </w:t>
      </w:r>
      <w:r w:rsidRPr="005122BA">
        <w:rPr>
          <w:i/>
          <w:szCs w:val="18"/>
          <w:lang w:val="fr-FR"/>
        </w:rPr>
        <w:t>2012-2013</w:t>
      </w:r>
      <w:r w:rsidRPr="005122BA">
        <w:rPr>
          <w:i/>
          <w:iCs/>
          <w:lang w:val="fr-FR"/>
        </w:rPr>
        <w:t>.</w:t>
      </w:r>
    </w:p>
  </w:footnote>
  <w:footnote w:id="10">
    <w:p w14:paraId="233326E9" w14:textId="77777777" w:rsidR="00DD7E1C" w:rsidRPr="00DD7E1C" w:rsidRDefault="00DD7E1C" w:rsidP="0052606C">
      <w:pPr>
        <w:pStyle w:val="FootnoteText"/>
        <w:tabs>
          <w:tab w:val="clear" w:pos="418"/>
          <w:tab w:val="right" w:pos="1195"/>
          <w:tab w:val="left" w:pos="1267"/>
          <w:tab w:val="left" w:pos="1742"/>
          <w:tab w:val="left" w:pos="2218"/>
          <w:tab w:val="left" w:pos="2693"/>
        </w:tabs>
        <w:ind w:left="1267" w:right="1267" w:hanging="432"/>
        <w:rPr>
          <w:lang w:val="es-ES_tradnl"/>
        </w:rPr>
      </w:pPr>
      <w:r w:rsidRPr="005122BA">
        <w:rPr>
          <w:lang w:val="fr-FR"/>
        </w:rPr>
        <w:tab/>
      </w:r>
      <w:r w:rsidRPr="00DD7E1C">
        <w:rPr>
          <w:rStyle w:val="FootnoteReference"/>
          <w:lang w:val="es-ES_tradnl"/>
        </w:rPr>
        <w:footnoteRef/>
      </w:r>
      <w:r w:rsidRPr="00DD7E1C">
        <w:rPr>
          <w:lang w:val="es-ES_tradnl"/>
        </w:rPr>
        <w:t xml:space="preserve"> </w:t>
      </w:r>
      <w:r w:rsidRPr="00DD7E1C">
        <w:rPr>
          <w:lang w:val="es-ES_tradnl"/>
        </w:rPr>
        <w:tab/>
        <w:t xml:space="preserve">Malí, Dependencia de Planificación y Estadística y otros, </w:t>
      </w:r>
      <w:r w:rsidRPr="00DD7E1C">
        <w:rPr>
          <w:i/>
          <w:iCs/>
          <w:szCs w:val="18"/>
          <w:lang w:val="es-ES_tradnl"/>
        </w:rPr>
        <w:t>Enquête démographique et de santé (EDSM</w:t>
      </w:r>
      <w:r w:rsidRPr="00DD7E1C">
        <w:rPr>
          <w:i/>
          <w:iCs/>
          <w:szCs w:val="18"/>
          <w:lang w:val="es-ES_tradnl"/>
        </w:rPr>
        <w:noBreakHyphen/>
        <w:t>V): 2012-2013</w:t>
      </w:r>
      <w:r w:rsidRPr="00DD7E1C">
        <w:rPr>
          <w:szCs w:val="18"/>
          <w:lang w:val="es-ES_tradnl"/>
        </w:rPr>
        <w:t>, mayo de 2014, pág. 291.</w:t>
      </w:r>
      <w:r w:rsidRPr="00DD7E1C">
        <w:rPr>
          <w:lang w:val="es-ES_tradnl"/>
        </w:rPr>
        <w:t xml:space="preserve"> De las niñas de hasta 14 años, alrededor de </w:t>
      </w:r>
      <w:r w:rsidRPr="00DD7E1C">
        <w:rPr>
          <w:lang w:val="es-ES_tradnl"/>
        </w:rPr>
        <w:br/>
        <w:t>7 de cada 10 habían sufrido una mutilación genital (el 69 %).</w:t>
      </w:r>
    </w:p>
  </w:footnote>
  <w:footnote w:id="11">
    <w:p w14:paraId="7C687D0D" w14:textId="38942336" w:rsidR="00DD7E1C" w:rsidRPr="00DD7E1C" w:rsidRDefault="00DD7E1C" w:rsidP="0052606C">
      <w:pPr>
        <w:pStyle w:val="FootnoteText"/>
        <w:tabs>
          <w:tab w:val="clear" w:pos="418"/>
          <w:tab w:val="right" w:pos="1195"/>
          <w:tab w:val="left" w:pos="1267"/>
          <w:tab w:val="left" w:pos="1742"/>
          <w:tab w:val="left" w:pos="2218"/>
          <w:tab w:val="left" w:pos="2693"/>
        </w:tabs>
        <w:ind w:left="1267" w:right="1267" w:hanging="432"/>
        <w:rPr>
          <w:lang w:val="es-ES_tradnl"/>
        </w:rPr>
      </w:pPr>
      <w:r w:rsidRPr="00DD7E1C">
        <w:rPr>
          <w:lang w:val="es-ES_tradnl"/>
        </w:rPr>
        <w:tab/>
      </w:r>
      <w:r w:rsidRPr="00DD7E1C">
        <w:rPr>
          <w:rStyle w:val="FootnoteReference"/>
          <w:lang w:val="es-ES_tradnl"/>
        </w:rPr>
        <w:footnoteRef/>
      </w:r>
      <w:r w:rsidRPr="005122BA">
        <w:rPr>
          <w:lang w:val="en-US"/>
        </w:rPr>
        <w:t xml:space="preserve"> </w:t>
      </w:r>
      <w:r w:rsidRPr="005122BA">
        <w:rPr>
          <w:lang w:val="en-US"/>
        </w:rPr>
        <w:tab/>
      </w:r>
      <w:r w:rsidRPr="005122BA">
        <w:rPr>
          <w:szCs w:val="18"/>
          <w:lang w:val="en-US"/>
        </w:rPr>
        <w:t>Ngianga-Bakwin Kandala y colaboradores</w:t>
      </w:r>
      <w:r w:rsidRPr="005122BA">
        <w:rPr>
          <w:lang w:val="en-US"/>
        </w:rPr>
        <w:t xml:space="preserve">, “Secular trends in the prevalence of female genital mutilation/cutting among girls: a systematic analysis”, </w:t>
      </w:r>
      <w:r w:rsidRPr="005122BA">
        <w:rPr>
          <w:i/>
          <w:iCs/>
          <w:lang w:val="en-US"/>
        </w:rPr>
        <w:t>BMJ Global Health</w:t>
      </w:r>
      <w:r w:rsidRPr="005122BA">
        <w:rPr>
          <w:lang w:val="en-US"/>
        </w:rPr>
        <w:t xml:space="preserve">, vol. 3, núm. </w:t>
      </w:r>
      <w:hyperlink r:id="rId2" w:history="1">
        <w:r w:rsidRPr="00DD7E1C">
          <w:rPr>
            <w:rStyle w:val="Hyperlink"/>
            <w:lang w:val="es-ES_tradnl"/>
          </w:rPr>
          <w:t>5 (2018)</w:t>
        </w:r>
      </w:hyperlink>
      <w:r w:rsidRPr="00DD7E1C">
        <w:rPr>
          <w:lang w:val="es-ES_tradnl"/>
        </w:rPr>
        <w:t>, pág. 4. En 2017, las tasas de prevalencia más elevadas en África Occidental correspondían a Malí (72,59 %), Mauritania (61,20 %) y Gambia (53,43 %).</w:t>
      </w:r>
    </w:p>
  </w:footnote>
  <w:footnote w:id="12">
    <w:p w14:paraId="4F9255B5" w14:textId="77777777" w:rsidR="00DD7E1C" w:rsidRPr="00DD7E1C" w:rsidRDefault="00DD7E1C" w:rsidP="0052606C">
      <w:pPr>
        <w:pStyle w:val="FootnoteText"/>
        <w:tabs>
          <w:tab w:val="clear" w:pos="418"/>
          <w:tab w:val="right" w:pos="1195"/>
          <w:tab w:val="left" w:pos="1267"/>
          <w:tab w:val="left" w:pos="1742"/>
          <w:tab w:val="left" w:pos="2218"/>
          <w:tab w:val="left" w:pos="2693"/>
        </w:tabs>
        <w:ind w:left="1267" w:right="1267" w:hanging="432"/>
        <w:rPr>
          <w:lang w:val="es-ES_tradnl"/>
        </w:rPr>
      </w:pPr>
      <w:r w:rsidRPr="00DD7E1C">
        <w:rPr>
          <w:lang w:val="es-ES_tradnl"/>
        </w:rPr>
        <w:tab/>
      </w:r>
      <w:r w:rsidRPr="00DD7E1C">
        <w:rPr>
          <w:rStyle w:val="FootnoteReference"/>
          <w:lang w:val="es-ES_tradnl"/>
        </w:rPr>
        <w:footnoteRef/>
      </w:r>
      <w:r w:rsidRPr="00DD7E1C">
        <w:rPr>
          <w:lang w:val="es-ES_tradnl"/>
        </w:rPr>
        <w:t xml:space="preserve"> </w:t>
      </w:r>
      <w:r w:rsidRPr="00DD7E1C">
        <w:rPr>
          <w:lang w:val="es-ES_tradnl"/>
        </w:rPr>
        <w:tab/>
      </w:r>
      <w:r w:rsidRPr="00DD7E1C">
        <w:rPr>
          <w:i/>
          <w:iCs/>
          <w:lang w:val="es-ES_tradnl"/>
        </w:rPr>
        <w:t>Ibid</w:t>
      </w:r>
      <w:r w:rsidRPr="00DD7E1C">
        <w:rPr>
          <w:lang w:val="es-ES_tradnl"/>
        </w:rPr>
        <w:t>., pág. 3.</w:t>
      </w:r>
    </w:p>
  </w:footnote>
  <w:footnote w:id="13">
    <w:p w14:paraId="3BEECF81" w14:textId="77777777" w:rsidR="00DD7E1C" w:rsidRPr="00DD7E1C" w:rsidRDefault="00DD7E1C" w:rsidP="0052606C">
      <w:pPr>
        <w:pStyle w:val="FootnoteText"/>
        <w:tabs>
          <w:tab w:val="clear" w:pos="418"/>
          <w:tab w:val="right" w:pos="1195"/>
          <w:tab w:val="left" w:pos="1267"/>
          <w:tab w:val="left" w:pos="1742"/>
          <w:tab w:val="left" w:pos="2218"/>
          <w:tab w:val="left" w:pos="2693"/>
        </w:tabs>
        <w:ind w:left="1267" w:right="1267" w:hanging="432"/>
        <w:rPr>
          <w:lang w:val="es-ES_tradnl"/>
        </w:rPr>
      </w:pPr>
      <w:r w:rsidRPr="00DD7E1C">
        <w:rPr>
          <w:lang w:val="es-ES_tradnl"/>
        </w:rPr>
        <w:tab/>
      </w:r>
      <w:r w:rsidRPr="00DD7E1C">
        <w:rPr>
          <w:rStyle w:val="FootnoteReference"/>
          <w:lang w:val="es-ES_tradnl"/>
        </w:rPr>
        <w:footnoteRef/>
      </w:r>
      <w:r w:rsidRPr="00DD7E1C">
        <w:rPr>
          <w:lang w:val="es-ES_tradnl"/>
        </w:rPr>
        <w:tab/>
        <w:t xml:space="preserve">Malí, Dependencia de Planificación y Estadística y otros, </w:t>
      </w:r>
      <w:r w:rsidRPr="00DD7E1C">
        <w:rPr>
          <w:i/>
          <w:iCs/>
          <w:szCs w:val="18"/>
          <w:lang w:val="es-ES_tradnl"/>
        </w:rPr>
        <w:t>Enquête démographique et de santé (EDSM-V): 2012-2013</w:t>
      </w:r>
      <w:r w:rsidRPr="00DD7E1C">
        <w:rPr>
          <w:lang w:val="es-ES_tradnl"/>
        </w:rPr>
        <w:t>,</w:t>
      </w:r>
      <w:r w:rsidRPr="00DD7E1C">
        <w:rPr>
          <w:i/>
          <w:iCs/>
          <w:lang w:val="es-ES_tradnl"/>
        </w:rPr>
        <w:t xml:space="preserve"> </w:t>
      </w:r>
      <w:r w:rsidRPr="00DD7E1C">
        <w:rPr>
          <w:lang w:val="es-ES_tradnl"/>
        </w:rPr>
        <w:t>cuadro 18.2.</w:t>
      </w:r>
    </w:p>
  </w:footnote>
  <w:footnote w:id="14">
    <w:p w14:paraId="539B5E08" w14:textId="77777777" w:rsidR="00DD7E1C" w:rsidRPr="00DD7E1C" w:rsidRDefault="00DD7E1C" w:rsidP="0052606C">
      <w:pPr>
        <w:pStyle w:val="FootnoteText"/>
        <w:tabs>
          <w:tab w:val="clear" w:pos="418"/>
          <w:tab w:val="right" w:pos="1195"/>
          <w:tab w:val="left" w:pos="1267"/>
          <w:tab w:val="left" w:pos="1742"/>
          <w:tab w:val="left" w:pos="2218"/>
          <w:tab w:val="left" w:pos="2693"/>
        </w:tabs>
        <w:ind w:left="1267" w:right="1267" w:hanging="432"/>
        <w:rPr>
          <w:lang w:val="es-ES_tradnl"/>
        </w:rPr>
      </w:pPr>
      <w:r w:rsidRPr="00DD7E1C">
        <w:rPr>
          <w:lang w:val="es-ES_tradnl"/>
        </w:rPr>
        <w:tab/>
      </w:r>
      <w:r w:rsidRPr="00DD7E1C">
        <w:rPr>
          <w:rStyle w:val="FootnoteReference"/>
          <w:lang w:val="es-ES_tradnl"/>
        </w:rPr>
        <w:footnoteRef/>
      </w:r>
      <w:r w:rsidRPr="00DD7E1C">
        <w:rPr>
          <w:lang w:val="es-ES_tradnl"/>
        </w:rPr>
        <w:tab/>
      </w:r>
      <w:r w:rsidRPr="00DD7E1C">
        <w:rPr>
          <w:i/>
          <w:iCs/>
          <w:lang w:val="es-ES_tradnl"/>
        </w:rPr>
        <w:t>Ibid.</w:t>
      </w:r>
      <w:r w:rsidRPr="00DD7E1C">
        <w:rPr>
          <w:lang w:val="es-ES_tradnl"/>
        </w:rPr>
        <w:t>, cuadro 18.9.</w:t>
      </w:r>
    </w:p>
  </w:footnote>
  <w:footnote w:id="15">
    <w:p w14:paraId="0A732E67" w14:textId="77777777" w:rsidR="00DD7E1C" w:rsidRPr="00DD7E1C" w:rsidRDefault="00DD7E1C" w:rsidP="0052606C">
      <w:pPr>
        <w:pStyle w:val="FootnoteText"/>
        <w:tabs>
          <w:tab w:val="clear" w:pos="418"/>
          <w:tab w:val="right" w:pos="1195"/>
          <w:tab w:val="left" w:pos="1267"/>
          <w:tab w:val="left" w:pos="1742"/>
          <w:tab w:val="left" w:pos="2218"/>
          <w:tab w:val="left" w:pos="2693"/>
        </w:tabs>
        <w:ind w:left="1267" w:right="1267" w:hanging="432"/>
        <w:rPr>
          <w:lang w:val="es-ES_tradnl"/>
        </w:rPr>
      </w:pPr>
      <w:r w:rsidRPr="00DD7E1C">
        <w:rPr>
          <w:lang w:val="es-ES_tradnl"/>
        </w:rPr>
        <w:tab/>
      </w:r>
      <w:r w:rsidRPr="00DD7E1C">
        <w:rPr>
          <w:rStyle w:val="FootnoteReference"/>
          <w:lang w:val="es-ES_tradnl"/>
        </w:rPr>
        <w:footnoteRef/>
      </w:r>
      <w:r w:rsidRPr="00DD7E1C">
        <w:rPr>
          <w:lang w:val="es-ES_tradnl"/>
        </w:rPr>
        <w:t xml:space="preserve"> </w:t>
      </w:r>
      <w:r w:rsidRPr="00DD7E1C">
        <w:rPr>
          <w:lang w:val="es-ES_tradnl"/>
        </w:rPr>
        <w:tab/>
      </w:r>
      <w:r w:rsidRPr="00DD7E1C">
        <w:rPr>
          <w:i/>
          <w:iCs/>
          <w:lang w:val="es-ES_tradnl"/>
        </w:rPr>
        <w:t>Ibid.</w:t>
      </w:r>
      <w:r w:rsidRPr="00DD7E1C">
        <w:rPr>
          <w:lang w:val="es-ES_tradnl"/>
        </w:rPr>
        <w:t>, cuadro 18.2.</w:t>
      </w:r>
    </w:p>
  </w:footnote>
  <w:footnote w:id="16">
    <w:p w14:paraId="7FC7E28E" w14:textId="77777777" w:rsidR="00DD7E1C" w:rsidRPr="00DD7E1C" w:rsidRDefault="00DD7E1C" w:rsidP="0052606C">
      <w:pPr>
        <w:pStyle w:val="FootnoteText"/>
        <w:tabs>
          <w:tab w:val="clear" w:pos="418"/>
          <w:tab w:val="right" w:pos="1195"/>
          <w:tab w:val="left" w:pos="1267"/>
          <w:tab w:val="left" w:pos="1742"/>
          <w:tab w:val="left" w:pos="2218"/>
          <w:tab w:val="left" w:pos="2693"/>
        </w:tabs>
        <w:ind w:left="1267" w:right="1267" w:hanging="432"/>
        <w:rPr>
          <w:lang w:val="es-ES_tradnl"/>
        </w:rPr>
      </w:pPr>
      <w:r w:rsidRPr="00DD7E1C">
        <w:rPr>
          <w:lang w:val="es-ES_tradnl"/>
        </w:rPr>
        <w:tab/>
      </w:r>
      <w:r w:rsidRPr="00DD7E1C">
        <w:rPr>
          <w:rStyle w:val="FootnoteReference"/>
          <w:lang w:val="es-ES_tradnl"/>
        </w:rPr>
        <w:footnoteRef/>
      </w:r>
      <w:r w:rsidRPr="00DD7E1C">
        <w:rPr>
          <w:lang w:val="es-ES_tradnl"/>
        </w:rPr>
        <w:t xml:space="preserve"> </w:t>
      </w:r>
      <w:r w:rsidRPr="00DD7E1C">
        <w:rPr>
          <w:lang w:val="es-ES_tradnl"/>
        </w:rPr>
        <w:tab/>
      </w:r>
      <w:r w:rsidRPr="00DD7E1C">
        <w:rPr>
          <w:i/>
          <w:iCs/>
          <w:lang w:val="es-ES_tradnl"/>
        </w:rPr>
        <w:t>Ibid.</w:t>
      </w:r>
      <w:r w:rsidRPr="00DD7E1C">
        <w:rPr>
          <w:lang w:val="es-ES_tradnl"/>
        </w:rPr>
        <w:t>, cuadro 18.8.</w:t>
      </w:r>
    </w:p>
  </w:footnote>
  <w:footnote w:id="17">
    <w:p w14:paraId="324B6A2E" w14:textId="77777777" w:rsidR="00DD7E1C" w:rsidRPr="00DD7E1C" w:rsidRDefault="00DD7E1C" w:rsidP="0052606C">
      <w:pPr>
        <w:pStyle w:val="FootnoteText"/>
        <w:tabs>
          <w:tab w:val="clear" w:pos="418"/>
          <w:tab w:val="right" w:pos="1195"/>
          <w:tab w:val="left" w:pos="1267"/>
          <w:tab w:val="left" w:pos="1742"/>
          <w:tab w:val="left" w:pos="2218"/>
          <w:tab w:val="left" w:pos="2693"/>
        </w:tabs>
        <w:ind w:left="1267" w:right="1267" w:hanging="432"/>
        <w:rPr>
          <w:lang w:val="es-ES_tradnl"/>
        </w:rPr>
      </w:pPr>
      <w:r w:rsidRPr="00DD7E1C">
        <w:rPr>
          <w:lang w:val="es-ES_tradnl"/>
        </w:rPr>
        <w:tab/>
      </w:r>
      <w:r w:rsidRPr="00DD7E1C">
        <w:rPr>
          <w:rStyle w:val="FootnoteReference"/>
          <w:lang w:val="es-ES_tradnl"/>
        </w:rPr>
        <w:footnoteRef/>
      </w:r>
      <w:r w:rsidRPr="00DD7E1C">
        <w:rPr>
          <w:lang w:val="es-ES_tradnl"/>
        </w:rPr>
        <w:t xml:space="preserve"> </w:t>
      </w:r>
      <w:r w:rsidRPr="00DD7E1C">
        <w:rPr>
          <w:lang w:val="es-ES_tradnl"/>
        </w:rPr>
        <w:tab/>
      </w:r>
      <w:r w:rsidRPr="00DD7E1C">
        <w:rPr>
          <w:i/>
          <w:iCs/>
          <w:lang w:val="es-ES_tradnl"/>
        </w:rPr>
        <w:t>Ibid.</w:t>
      </w:r>
      <w:r w:rsidRPr="00DD7E1C">
        <w:rPr>
          <w:lang w:val="es-ES_tradnl"/>
        </w:rPr>
        <w:t>, cuadro 18.2.</w:t>
      </w:r>
    </w:p>
  </w:footnote>
  <w:footnote w:id="18">
    <w:p w14:paraId="123545A6" w14:textId="77777777" w:rsidR="00DD7E1C" w:rsidRPr="00DD7E1C" w:rsidRDefault="00DD7E1C" w:rsidP="0052606C">
      <w:pPr>
        <w:pStyle w:val="FootnoteText"/>
        <w:tabs>
          <w:tab w:val="clear" w:pos="418"/>
          <w:tab w:val="right" w:pos="1195"/>
          <w:tab w:val="left" w:pos="1267"/>
          <w:tab w:val="left" w:pos="1742"/>
          <w:tab w:val="left" w:pos="2218"/>
          <w:tab w:val="left" w:pos="2693"/>
        </w:tabs>
        <w:ind w:left="1267" w:right="1267" w:hanging="432"/>
        <w:rPr>
          <w:lang w:val="es-ES_tradnl"/>
        </w:rPr>
      </w:pPr>
      <w:r w:rsidRPr="00DD7E1C">
        <w:rPr>
          <w:lang w:val="es-ES_tradnl"/>
        </w:rPr>
        <w:tab/>
      </w:r>
      <w:r w:rsidRPr="00DD7E1C">
        <w:rPr>
          <w:rStyle w:val="FootnoteReference"/>
          <w:lang w:val="es-ES_tradnl"/>
        </w:rPr>
        <w:footnoteRef/>
      </w:r>
      <w:r w:rsidRPr="00DD7E1C">
        <w:rPr>
          <w:lang w:val="es-ES_tradnl"/>
        </w:rPr>
        <w:t xml:space="preserve"> </w:t>
      </w:r>
      <w:r w:rsidRPr="00DD7E1C">
        <w:rPr>
          <w:lang w:val="es-ES_tradnl"/>
        </w:rPr>
        <w:tab/>
      </w:r>
      <w:r w:rsidRPr="00DD7E1C">
        <w:rPr>
          <w:i/>
          <w:iCs/>
          <w:lang w:val="es-ES_tradnl"/>
        </w:rPr>
        <w:t>Ibid</w:t>
      </w:r>
      <w:r w:rsidRPr="00DD7E1C">
        <w:rPr>
          <w:lang w:val="es-ES_tradnl"/>
        </w:rPr>
        <w:t>.</w:t>
      </w:r>
    </w:p>
  </w:footnote>
  <w:footnote w:id="19">
    <w:p w14:paraId="20BDAA1A" w14:textId="77777777" w:rsidR="00DD7E1C" w:rsidRPr="00DD7E1C" w:rsidRDefault="00DD7E1C" w:rsidP="0052606C">
      <w:pPr>
        <w:pStyle w:val="FootnoteText"/>
        <w:tabs>
          <w:tab w:val="clear" w:pos="418"/>
          <w:tab w:val="right" w:pos="1195"/>
          <w:tab w:val="left" w:pos="1267"/>
          <w:tab w:val="left" w:pos="1742"/>
          <w:tab w:val="left" w:pos="2218"/>
          <w:tab w:val="left" w:pos="2693"/>
        </w:tabs>
        <w:ind w:left="1267" w:right="1267" w:hanging="432"/>
        <w:rPr>
          <w:lang w:val="es-ES_tradnl"/>
        </w:rPr>
      </w:pPr>
      <w:r w:rsidRPr="00DD7E1C">
        <w:rPr>
          <w:lang w:val="es-ES_tradnl"/>
        </w:rPr>
        <w:tab/>
      </w:r>
      <w:r w:rsidRPr="00DD7E1C">
        <w:rPr>
          <w:rStyle w:val="FootnoteReference"/>
          <w:lang w:val="es-ES_tradnl"/>
        </w:rPr>
        <w:footnoteRef/>
      </w:r>
      <w:r w:rsidRPr="00DD7E1C">
        <w:rPr>
          <w:lang w:val="es-ES_tradnl"/>
        </w:rPr>
        <w:t xml:space="preserve"> </w:t>
      </w:r>
      <w:r w:rsidRPr="00DD7E1C">
        <w:rPr>
          <w:lang w:val="es-ES_tradnl"/>
        </w:rPr>
        <w:tab/>
      </w:r>
      <w:r w:rsidRPr="00DD7E1C">
        <w:rPr>
          <w:i/>
          <w:iCs/>
          <w:lang w:val="es-ES_tradnl"/>
        </w:rPr>
        <w:t>Ibid.</w:t>
      </w:r>
      <w:r w:rsidRPr="00DD7E1C">
        <w:rPr>
          <w:lang w:val="es-ES_tradnl"/>
        </w:rPr>
        <w:t>, cuadro 18.3.</w:t>
      </w:r>
    </w:p>
  </w:footnote>
  <w:footnote w:id="20">
    <w:p w14:paraId="27337526" w14:textId="77777777" w:rsidR="00DD7E1C" w:rsidRPr="00DD7E1C" w:rsidRDefault="00DD7E1C" w:rsidP="0052606C">
      <w:pPr>
        <w:pStyle w:val="FootnoteText"/>
        <w:tabs>
          <w:tab w:val="clear" w:pos="418"/>
          <w:tab w:val="right" w:pos="1195"/>
          <w:tab w:val="left" w:pos="1267"/>
          <w:tab w:val="left" w:pos="1742"/>
          <w:tab w:val="left" w:pos="2218"/>
          <w:tab w:val="left" w:pos="2693"/>
        </w:tabs>
        <w:ind w:left="1267" w:right="1267" w:hanging="432"/>
        <w:rPr>
          <w:lang w:val="es-ES_tradnl"/>
        </w:rPr>
      </w:pPr>
      <w:r w:rsidRPr="00DD7E1C">
        <w:rPr>
          <w:lang w:val="es-ES_tradnl"/>
        </w:rPr>
        <w:tab/>
      </w:r>
      <w:r w:rsidRPr="00DD7E1C">
        <w:rPr>
          <w:rStyle w:val="FootnoteReference"/>
          <w:lang w:val="es-ES_tradnl"/>
        </w:rPr>
        <w:footnoteRef/>
      </w:r>
      <w:r w:rsidRPr="00DD7E1C">
        <w:rPr>
          <w:lang w:val="es-ES_tradnl"/>
        </w:rPr>
        <w:t xml:space="preserve"> </w:t>
      </w:r>
      <w:r w:rsidRPr="00DD7E1C">
        <w:rPr>
          <w:lang w:val="es-ES_tradnl"/>
        </w:rPr>
        <w:tab/>
      </w:r>
      <w:r w:rsidRPr="00DD7E1C">
        <w:rPr>
          <w:i/>
          <w:iCs/>
          <w:lang w:val="es-ES_tradnl"/>
        </w:rPr>
        <w:t>Ibid.</w:t>
      </w:r>
      <w:r w:rsidRPr="00DD7E1C">
        <w:rPr>
          <w:lang w:val="es-ES_tradnl"/>
        </w:rPr>
        <w:t>, cuadro 18.7.</w:t>
      </w:r>
    </w:p>
  </w:footnote>
  <w:footnote w:id="21">
    <w:p w14:paraId="7C21F424" w14:textId="77777777" w:rsidR="00DD7E1C" w:rsidRPr="00DD7E1C" w:rsidRDefault="00DD7E1C" w:rsidP="0052606C">
      <w:pPr>
        <w:pStyle w:val="FootnoteText"/>
        <w:tabs>
          <w:tab w:val="clear" w:pos="418"/>
          <w:tab w:val="right" w:pos="1195"/>
          <w:tab w:val="left" w:pos="1267"/>
          <w:tab w:val="left" w:pos="1742"/>
          <w:tab w:val="left" w:pos="2218"/>
          <w:tab w:val="left" w:pos="2693"/>
        </w:tabs>
        <w:ind w:left="1267" w:right="1267" w:hanging="432"/>
        <w:rPr>
          <w:lang w:val="es-ES_tradnl"/>
        </w:rPr>
      </w:pPr>
      <w:r w:rsidRPr="00DD7E1C">
        <w:rPr>
          <w:lang w:val="es-ES_tradnl"/>
        </w:rPr>
        <w:tab/>
      </w:r>
      <w:r w:rsidRPr="00DD7E1C">
        <w:rPr>
          <w:rStyle w:val="FootnoteReference"/>
          <w:lang w:val="es-ES_tradnl"/>
        </w:rPr>
        <w:footnoteRef/>
      </w:r>
      <w:r w:rsidRPr="00DD7E1C">
        <w:rPr>
          <w:lang w:val="es-ES_tradnl"/>
        </w:rPr>
        <w:t xml:space="preserve"> </w:t>
      </w:r>
      <w:r w:rsidRPr="00DD7E1C">
        <w:rPr>
          <w:lang w:val="es-ES_tradnl"/>
        </w:rPr>
        <w:tab/>
      </w:r>
      <w:r w:rsidRPr="00DD7E1C">
        <w:rPr>
          <w:i/>
          <w:iCs/>
          <w:lang w:val="es-ES_tradnl"/>
        </w:rPr>
        <w:t>Ibid.</w:t>
      </w:r>
      <w:r w:rsidRPr="00DD7E1C">
        <w:rPr>
          <w:lang w:val="es-ES_tradnl"/>
        </w:rPr>
        <w:t>, cuadro 18.8.</w:t>
      </w:r>
    </w:p>
  </w:footnote>
  <w:footnote w:id="22">
    <w:p w14:paraId="3D9FF1E7" w14:textId="77777777" w:rsidR="00DD7E1C" w:rsidRPr="00DD7E1C" w:rsidRDefault="00DD7E1C" w:rsidP="0052606C">
      <w:pPr>
        <w:pStyle w:val="FootnoteText"/>
        <w:tabs>
          <w:tab w:val="clear" w:pos="418"/>
          <w:tab w:val="right" w:pos="1195"/>
          <w:tab w:val="left" w:pos="1267"/>
          <w:tab w:val="left" w:pos="1742"/>
          <w:tab w:val="left" w:pos="2218"/>
          <w:tab w:val="left" w:pos="2693"/>
        </w:tabs>
        <w:ind w:left="1267" w:right="1267" w:hanging="432"/>
        <w:rPr>
          <w:lang w:val="es-ES_tradnl"/>
        </w:rPr>
      </w:pPr>
      <w:r w:rsidRPr="00DD7E1C">
        <w:rPr>
          <w:lang w:val="es-ES_tradnl"/>
        </w:rPr>
        <w:tab/>
      </w:r>
      <w:r w:rsidRPr="00DD7E1C">
        <w:rPr>
          <w:rStyle w:val="FootnoteReference"/>
          <w:lang w:val="es-ES_tradnl"/>
        </w:rPr>
        <w:footnoteRef/>
      </w:r>
      <w:r w:rsidRPr="00DD7E1C">
        <w:rPr>
          <w:lang w:val="es-ES_tradnl"/>
        </w:rPr>
        <w:tab/>
      </w:r>
      <w:r w:rsidRPr="00DD7E1C">
        <w:rPr>
          <w:szCs w:val="18"/>
          <w:lang w:val="es-ES_tradnl"/>
        </w:rPr>
        <w:t xml:space="preserve">Organización Mundial de la Salud, </w:t>
      </w:r>
      <w:r w:rsidRPr="00DD7E1C">
        <w:rPr>
          <w:i/>
          <w:iCs/>
          <w:lang w:val="es-ES_tradnl"/>
        </w:rPr>
        <w:t>Éliminer les mutilations sexuelles féminines</w:t>
      </w:r>
      <w:r w:rsidRPr="00DD7E1C">
        <w:rPr>
          <w:lang w:val="es-ES_tradnl"/>
        </w:rPr>
        <w:t>, anexo 5.</w:t>
      </w:r>
    </w:p>
  </w:footnote>
  <w:footnote w:id="23">
    <w:p w14:paraId="3C100941" w14:textId="77777777" w:rsidR="00DD7E1C" w:rsidRPr="00DD7E1C" w:rsidRDefault="00DD7E1C" w:rsidP="0052606C">
      <w:pPr>
        <w:pStyle w:val="FootnoteText"/>
        <w:tabs>
          <w:tab w:val="clear" w:pos="418"/>
          <w:tab w:val="right" w:pos="1195"/>
          <w:tab w:val="left" w:pos="1267"/>
          <w:tab w:val="left" w:pos="1742"/>
          <w:tab w:val="left" w:pos="2218"/>
          <w:tab w:val="left" w:pos="2693"/>
        </w:tabs>
        <w:ind w:left="1267" w:right="1267" w:hanging="432"/>
        <w:rPr>
          <w:lang w:val="es-ES_tradnl"/>
        </w:rPr>
      </w:pPr>
      <w:r w:rsidRPr="00DD7E1C">
        <w:rPr>
          <w:lang w:val="es-ES_tradnl"/>
        </w:rPr>
        <w:tab/>
      </w:r>
      <w:r w:rsidRPr="00DD7E1C">
        <w:rPr>
          <w:rStyle w:val="FootnoteReference"/>
          <w:lang w:val="es-ES_tradnl"/>
        </w:rPr>
        <w:footnoteRef/>
      </w:r>
      <w:r w:rsidRPr="00DD7E1C">
        <w:rPr>
          <w:lang w:val="es-ES_tradnl"/>
        </w:rPr>
        <w:tab/>
        <w:t xml:space="preserve">Malí, Instituto Nacional de Estadística, </w:t>
      </w:r>
      <w:r w:rsidRPr="00DD7E1C">
        <w:rPr>
          <w:i/>
          <w:iCs/>
          <w:lang w:val="es-ES_tradnl"/>
        </w:rPr>
        <w:t>Enquête par grappes à indicateurs multiples (MICS) au Mali: rapport final –</w:t>
      </w:r>
      <w:r w:rsidRPr="00DD7E1C">
        <w:rPr>
          <w:lang w:val="es-ES_tradnl"/>
        </w:rPr>
        <w:t xml:space="preserve"> </w:t>
      </w:r>
      <w:r w:rsidRPr="00DD7E1C">
        <w:rPr>
          <w:i/>
          <w:iCs/>
          <w:lang w:val="es-ES_tradnl"/>
        </w:rPr>
        <w:t xml:space="preserve">2015 </w:t>
      </w:r>
      <w:r w:rsidRPr="00DD7E1C">
        <w:rPr>
          <w:lang w:val="es-ES_tradnl"/>
        </w:rPr>
        <w:t>(Bamako, 2015), pág. 17.</w:t>
      </w:r>
    </w:p>
  </w:footnote>
  <w:footnote w:id="24">
    <w:p w14:paraId="4E3FD063" w14:textId="2AB45269" w:rsidR="00DD7E1C" w:rsidRPr="00DD7E1C" w:rsidRDefault="00DD7E1C" w:rsidP="0052606C">
      <w:pPr>
        <w:pStyle w:val="FootnoteText"/>
        <w:tabs>
          <w:tab w:val="clear" w:pos="418"/>
          <w:tab w:val="right" w:pos="1195"/>
          <w:tab w:val="left" w:pos="1267"/>
          <w:tab w:val="left" w:pos="1742"/>
          <w:tab w:val="left" w:pos="2218"/>
          <w:tab w:val="left" w:pos="2693"/>
        </w:tabs>
        <w:ind w:left="1267" w:right="1267" w:hanging="432"/>
        <w:rPr>
          <w:lang w:val="es-ES_tradnl"/>
        </w:rPr>
      </w:pPr>
      <w:r w:rsidRPr="00DD7E1C">
        <w:rPr>
          <w:lang w:val="es-ES_tradnl"/>
        </w:rPr>
        <w:tab/>
      </w:r>
      <w:r w:rsidRPr="00DD7E1C">
        <w:rPr>
          <w:rStyle w:val="FootnoteReference"/>
          <w:lang w:val="es-ES_tradnl"/>
        </w:rPr>
        <w:footnoteRef/>
      </w:r>
      <w:r w:rsidRPr="00DD7E1C">
        <w:rPr>
          <w:lang w:val="es-ES_tradnl"/>
        </w:rPr>
        <w:tab/>
        <w:t>Malí, Ministerio de Promoción de la Mujer, la Infancia y la Familia, “</w:t>
      </w:r>
      <w:r w:rsidRPr="00DD7E1C">
        <w:rPr>
          <w:i/>
          <w:iCs/>
          <w:lang w:val="es-ES_tradnl"/>
        </w:rPr>
        <w:t>Yéélen</w:t>
      </w:r>
      <w:r w:rsidR="0068567C">
        <w:rPr>
          <w:i/>
          <w:iCs/>
          <w:lang w:val="es-ES_tradnl"/>
        </w:rPr>
        <w:t>”</w:t>
      </w:r>
      <w:r w:rsidRPr="00DD7E1C">
        <w:rPr>
          <w:i/>
          <w:iCs/>
          <w:lang w:val="es-ES_tradnl"/>
        </w:rPr>
        <w:t xml:space="preserve">, </w:t>
      </w:r>
      <w:r w:rsidRPr="00DD7E1C">
        <w:rPr>
          <w:lang w:val="es-ES_tradnl"/>
        </w:rPr>
        <w:t>pág. 64.</w:t>
      </w:r>
    </w:p>
  </w:footnote>
  <w:footnote w:id="25">
    <w:p w14:paraId="012A54A3" w14:textId="77777777" w:rsidR="00DD7E1C" w:rsidRPr="00DD7E1C" w:rsidRDefault="00DD7E1C" w:rsidP="0052606C">
      <w:pPr>
        <w:pStyle w:val="FootnoteText"/>
        <w:tabs>
          <w:tab w:val="clear" w:pos="418"/>
          <w:tab w:val="right" w:pos="1195"/>
          <w:tab w:val="left" w:pos="1267"/>
          <w:tab w:val="left" w:pos="1742"/>
          <w:tab w:val="left" w:pos="2218"/>
          <w:tab w:val="left" w:pos="2693"/>
        </w:tabs>
        <w:ind w:left="1267" w:right="1267" w:hanging="432"/>
        <w:rPr>
          <w:lang w:val="es-ES_tradnl"/>
        </w:rPr>
      </w:pPr>
      <w:r w:rsidRPr="00DD7E1C">
        <w:rPr>
          <w:lang w:val="es-ES_tradnl"/>
        </w:rPr>
        <w:tab/>
      </w:r>
      <w:r w:rsidRPr="00DD7E1C">
        <w:rPr>
          <w:rStyle w:val="FootnoteReference"/>
          <w:lang w:val="es-ES_tradnl"/>
        </w:rPr>
        <w:footnoteRef/>
      </w:r>
      <w:r w:rsidRPr="00DD7E1C">
        <w:rPr>
          <w:lang w:val="es-ES_tradnl"/>
        </w:rPr>
        <w:tab/>
      </w:r>
      <w:r w:rsidRPr="00DD7E1C">
        <w:rPr>
          <w:i/>
          <w:iCs/>
          <w:lang w:val="es-ES_tradnl"/>
        </w:rPr>
        <w:t>Ibid</w:t>
      </w:r>
      <w:r w:rsidRPr="00DD7E1C">
        <w:rPr>
          <w:lang w:val="es-ES_tradnl"/>
        </w:rPr>
        <w:t>.</w:t>
      </w:r>
    </w:p>
  </w:footnote>
  <w:footnote w:id="26">
    <w:p w14:paraId="04D84614" w14:textId="77777777" w:rsidR="00DD7E1C" w:rsidRPr="00DD7E1C" w:rsidRDefault="00DD7E1C" w:rsidP="005A19A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ES_tradnl"/>
        </w:rPr>
      </w:pPr>
      <w:r w:rsidRPr="00DD7E1C">
        <w:rPr>
          <w:lang w:val="es-ES_tradnl"/>
        </w:rPr>
        <w:tab/>
      </w:r>
      <w:r w:rsidRPr="00DD7E1C">
        <w:rPr>
          <w:rStyle w:val="FootnoteReference"/>
          <w:lang w:val="es-ES_tradnl"/>
        </w:rPr>
        <w:footnoteRef/>
      </w:r>
      <w:r w:rsidRPr="00DD7E1C">
        <w:rPr>
          <w:lang w:val="es-ES_tradnl"/>
        </w:rPr>
        <w:t xml:space="preserve"> </w:t>
      </w:r>
      <w:r w:rsidRPr="00DD7E1C">
        <w:rPr>
          <w:lang w:val="es-ES_tradnl"/>
        </w:rPr>
        <w:tab/>
        <w:t>Recomendación general núm. 35 (2017) sobre la violencia por razón de género contra la mujer, por la que se actualiza la recomendación general núm. 19, párr. 14; y recomendación general núm. 19 (1992) sobre la violencia contra la mujer, párrs. 19 y 20.</w:t>
      </w:r>
    </w:p>
  </w:footnote>
  <w:footnote w:id="27">
    <w:p w14:paraId="78052F6D" w14:textId="77777777" w:rsidR="00DD7E1C" w:rsidRPr="00DD7E1C" w:rsidRDefault="00DD7E1C" w:rsidP="005A19AC">
      <w:pPr>
        <w:pStyle w:val="FootnoteText"/>
        <w:tabs>
          <w:tab w:val="clear" w:pos="418"/>
          <w:tab w:val="right" w:pos="1195"/>
          <w:tab w:val="left" w:pos="1267"/>
          <w:tab w:val="left" w:pos="1742"/>
          <w:tab w:val="left" w:pos="2218"/>
          <w:tab w:val="left" w:pos="2693"/>
        </w:tabs>
        <w:ind w:left="1267" w:right="1267" w:hanging="432"/>
        <w:rPr>
          <w:lang w:val="es-ES_tradnl"/>
        </w:rPr>
      </w:pPr>
      <w:r w:rsidRPr="00DD7E1C">
        <w:rPr>
          <w:lang w:val="es-ES_tradnl"/>
        </w:rPr>
        <w:tab/>
      </w:r>
      <w:r w:rsidRPr="00DD7E1C">
        <w:rPr>
          <w:rStyle w:val="FootnoteReference"/>
          <w:lang w:val="es-ES_tradnl"/>
        </w:rPr>
        <w:footnoteRef/>
      </w:r>
      <w:r w:rsidRPr="00DD7E1C">
        <w:rPr>
          <w:lang w:val="es-ES_tradnl"/>
        </w:rPr>
        <w:t xml:space="preserve"> </w:t>
      </w:r>
      <w:r w:rsidRPr="00DD7E1C">
        <w:rPr>
          <w:lang w:val="es-ES_tradnl"/>
        </w:rPr>
        <w:tab/>
        <w:t>Recomendación general núm. 31 y observación general núm. 18, adoptadas de manera conjunta, párrs. 15 y 19.</w:t>
      </w:r>
    </w:p>
  </w:footnote>
  <w:footnote w:id="28">
    <w:p w14:paraId="79F95158" w14:textId="77777777" w:rsidR="00DD7E1C" w:rsidRPr="00DD7E1C" w:rsidRDefault="00DD7E1C" w:rsidP="005A19AC">
      <w:pPr>
        <w:pStyle w:val="FootnoteText"/>
        <w:tabs>
          <w:tab w:val="clear" w:pos="418"/>
          <w:tab w:val="right" w:pos="1195"/>
          <w:tab w:val="left" w:pos="1267"/>
          <w:tab w:val="left" w:pos="1742"/>
          <w:tab w:val="left" w:pos="2218"/>
          <w:tab w:val="left" w:pos="2693"/>
        </w:tabs>
        <w:ind w:left="1267" w:right="1267" w:hanging="432"/>
        <w:rPr>
          <w:lang w:val="es-ES_tradnl"/>
        </w:rPr>
      </w:pPr>
      <w:r w:rsidRPr="00DD7E1C">
        <w:rPr>
          <w:lang w:val="es-ES_tradnl"/>
        </w:rPr>
        <w:tab/>
      </w:r>
      <w:r w:rsidRPr="00DD7E1C">
        <w:rPr>
          <w:rStyle w:val="FootnoteReference"/>
          <w:lang w:val="es-ES_tradnl"/>
        </w:rPr>
        <w:footnoteRef/>
      </w:r>
      <w:r w:rsidRPr="00DD7E1C">
        <w:rPr>
          <w:lang w:val="es-ES_tradnl"/>
        </w:rPr>
        <w:t xml:space="preserve"> </w:t>
      </w:r>
      <w:r w:rsidRPr="00DD7E1C">
        <w:rPr>
          <w:lang w:val="es-ES_tradnl"/>
        </w:rPr>
        <w:tab/>
        <w:t>Recomendación general núm. 28 (2010)</w:t>
      </w:r>
      <w:r w:rsidRPr="00DD7E1C">
        <w:rPr>
          <w:sz w:val="18"/>
          <w:szCs w:val="18"/>
          <w:lang w:val="es-ES_tradnl"/>
        </w:rPr>
        <w:t xml:space="preserve"> </w:t>
      </w:r>
      <w:r w:rsidRPr="00DD7E1C">
        <w:rPr>
          <w:bCs/>
          <w:color w:val="000000"/>
          <w:sz w:val="18"/>
          <w:szCs w:val="18"/>
          <w:lang w:val="es-ES_tradnl"/>
        </w:rPr>
        <w:t xml:space="preserve">relativa a las obligaciones básicas de los Estados partes de conformidad con el </w:t>
      </w:r>
      <w:r w:rsidRPr="00DD7E1C">
        <w:rPr>
          <w:sz w:val="18"/>
          <w:szCs w:val="18"/>
          <w:lang w:val="es-ES_tradnl"/>
        </w:rPr>
        <w:t>artículo 2 de la Convención</w:t>
      </w:r>
      <w:r w:rsidRPr="00DD7E1C">
        <w:rPr>
          <w:lang w:val="es-ES_tradnl"/>
        </w:rPr>
        <w:t>, párr. 10.</w:t>
      </w:r>
    </w:p>
  </w:footnote>
  <w:footnote w:id="29">
    <w:p w14:paraId="6CB29AC5" w14:textId="77777777" w:rsidR="00DD7E1C" w:rsidRPr="00DD7E1C" w:rsidRDefault="00DD7E1C" w:rsidP="005A19AC">
      <w:pPr>
        <w:pStyle w:val="FootnoteText"/>
        <w:tabs>
          <w:tab w:val="clear" w:pos="418"/>
          <w:tab w:val="right" w:pos="1195"/>
          <w:tab w:val="left" w:pos="1267"/>
          <w:tab w:val="left" w:pos="1742"/>
          <w:tab w:val="left" w:pos="2218"/>
          <w:tab w:val="left" w:pos="2693"/>
        </w:tabs>
        <w:ind w:left="1267" w:right="1267" w:hanging="432"/>
        <w:rPr>
          <w:lang w:val="es-ES_tradnl"/>
        </w:rPr>
      </w:pPr>
      <w:r w:rsidRPr="00DD7E1C">
        <w:rPr>
          <w:lang w:val="es-ES_tradnl"/>
        </w:rPr>
        <w:tab/>
      </w:r>
      <w:r w:rsidRPr="00DD7E1C">
        <w:rPr>
          <w:rStyle w:val="FootnoteReference"/>
          <w:lang w:val="es-ES_tradnl"/>
        </w:rPr>
        <w:footnoteRef/>
      </w:r>
      <w:r w:rsidRPr="00DD7E1C">
        <w:rPr>
          <w:lang w:val="es-ES_tradnl"/>
        </w:rPr>
        <w:t xml:space="preserve"> </w:t>
      </w:r>
      <w:r w:rsidRPr="00DD7E1C">
        <w:rPr>
          <w:lang w:val="es-ES_tradnl"/>
        </w:rPr>
        <w:tab/>
      </w:r>
      <w:r w:rsidRPr="00DD7E1C">
        <w:rPr>
          <w:i/>
          <w:iCs/>
          <w:lang w:val="es-ES_tradnl"/>
        </w:rPr>
        <w:t>Ibid.</w:t>
      </w:r>
    </w:p>
  </w:footnote>
  <w:footnote w:id="30">
    <w:p w14:paraId="1AE876DF" w14:textId="77777777" w:rsidR="00DD7E1C" w:rsidRPr="00DD7E1C" w:rsidRDefault="00DD7E1C" w:rsidP="005A19AC">
      <w:pPr>
        <w:pStyle w:val="FootnoteText"/>
        <w:tabs>
          <w:tab w:val="clear" w:pos="418"/>
          <w:tab w:val="right" w:pos="1195"/>
          <w:tab w:val="left" w:pos="1267"/>
          <w:tab w:val="left" w:pos="1742"/>
          <w:tab w:val="left" w:pos="2218"/>
          <w:tab w:val="left" w:pos="2693"/>
        </w:tabs>
        <w:ind w:left="1267" w:right="1267" w:hanging="432"/>
        <w:rPr>
          <w:lang w:val="es-ES_tradnl"/>
        </w:rPr>
      </w:pPr>
      <w:r w:rsidRPr="00DD7E1C">
        <w:rPr>
          <w:lang w:val="es-ES_tradnl"/>
        </w:rPr>
        <w:tab/>
      </w:r>
      <w:r w:rsidRPr="00DD7E1C">
        <w:rPr>
          <w:rStyle w:val="FootnoteReference"/>
          <w:lang w:val="es-ES_tradnl"/>
        </w:rPr>
        <w:footnoteRef/>
      </w:r>
      <w:r w:rsidRPr="00DD7E1C">
        <w:rPr>
          <w:lang w:val="es-ES_tradnl"/>
        </w:rPr>
        <w:t xml:space="preserve"> </w:t>
      </w:r>
      <w:r w:rsidRPr="00DD7E1C">
        <w:rPr>
          <w:lang w:val="es-ES_tradnl"/>
        </w:rPr>
        <w:tab/>
        <w:t>Recomendación general núm. 35, párr. 24 b) y Recomendación general núm. 31 y observación general núm. 18, adoptadas de manera conjunta, párrs. 31 y 41.</w:t>
      </w:r>
    </w:p>
  </w:footnote>
  <w:footnote w:id="31">
    <w:p w14:paraId="632513DD" w14:textId="77777777" w:rsidR="00DD7E1C" w:rsidRPr="00DD7E1C" w:rsidRDefault="00DD7E1C" w:rsidP="005A19AC">
      <w:pPr>
        <w:pStyle w:val="FootnoteText"/>
        <w:tabs>
          <w:tab w:val="clear" w:pos="418"/>
          <w:tab w:val="right" w:pos="1195"/>
          <w:tab w:val="left" w:pos="1267"/>
          <w:tab w:val="left" w:pos="1742"/>
          <w:tab w:val="left" w:pos="2218"/>
          <w:tab w:val="left" w:pos="2693"/>
        </w:tabs>
        <w:ind w:left="1267" w:right="1267" w:hanging="432"/>
        <w:rPr>
          <w:lang w:val="es-ES_tradnl"/>
        </w:rPr>
      </w:pPr>
      <w:r w:rsidRPr="00DD7E1C">
        <w:rPr>
          <w:lang w:val="es-ES_tradnl"/>
        </w:rPr>
        <w:tab/>
      </w:r>
      <w:r w:rsidRPr="00DD7E1C">
        <w:rPr>
          <w:rStyle w:val="FootnoteReference"/>
          <w:lang w:val="es-ES_tradnl"/>
        </w:rPr>
        <w:footnoteRef/>
      </w:r>
      <w:r w:rsidRPr="00DD7E1C">
        <w:rPr>
          <w:lang w:val="es-ES_tradnl"/>
        </w:rPr>
        <w:t xml:space="preserve"> </w:t>
      </w:r>
      <w:r w:rsidRPr="00DD7E1C">
        <w:rPr>
          <w:lang w:val="es-ES_tradnl"/>
        </w:rPr>
        <w:tab/>
        <w:t>Recomendación general núm. 35, párr. 24 b), recomendación general núm. 28, párrs. 36 y 37, y recomendación general núm. 31 y observación general núm. 18, adoptadas de manera conjunta, párr. 11.</w:t>
      </w:r>
    </w:p>
  </w:footnote>
  <w:footnote w:id="32">
    <w:p w14:paraId="2077F0BC" w14:textId="77777777" w:rsidR="00DD7E1C" w:rsidRPr="00DD7E1C" w:rsidRDefault="00DD7E1C" w:rsidP="005A19AC">
      <w:pPr>
        <w:pStyle w:val="FootnoteText"/>
        <w:tabs>
          <w:tab w:val="clear" w:pos="418"/>
          <w:tab w:val="right" w:pos="1195"/>
          <w:tab w:val="left" w:pos="1267"/>
          <w:tab w:val="left" w:pos="1742"/>
          <w:tab w:val="left" w:pos="2218"/>
          <w:tab w:val="left" w:pos="2693"/>
        </w:tabs>
        <w:ind w:left="1267" w:right="1267" w:hanging="432"/>
        <w:rPr>
          <w:lang w:val="es-ES_tradnl"/>
        </w:rPr>
      </w:pPr>
      <w:r w:rsidRPr="00DD7E1C">
        <w:rPr>
          <w:szCs w:val="18"/>
          <w:lang w:val="es-ES_tradnl"/>
        </w:rPr>
        <w:tab/>
      </w:r>
      <w:r w:rsidRPr="00DD7E1C">
        <w:rPr>
          <w:rStyle w:val="FootnoteReference"/>
          <w:szCs w:val="18"/>
          <w:lang w:val="es-ES_tradnl"/>
        </w:rPr>
        <w:footnoteRef/>
      </w:r>
      <w:r w:rsidRPr="00DD7E1C">
        <w:rPr>
          <w:lang w:val="es-ES_tradnl"/>
        </w:rPr>
        <w:t xml:space="preserve"> </w:t>
      </w:r>
      <w:r w:rsidRPr="00DD7E1C">
        <w:rPr>
          <w:lang w:val="es-ES_tradnl"/>
        </w:rPr>
        <w:tab/>
        <w:t>Interpretado a la luz de la recomendación general núm. 28, párrs. 34 y 36.</w:t>
      </w:r>
    </w:p>
  </w:footnote>
  <w:footnote w:id="33">
    <w:p w14:paraId="345B21E8" w14:textId="77777777" w:rsidR="00DD7E1C" w:rsidRPr="00DD7E1C" w:rsidRDefault="00DD7E1C" w:rsidP="005A19AC">
      <w:pPr>
        <w:pStyle w:val="FootnoteText"/>
        <w:tabs>
          <w:tab w:val="clear" w:pos="418"/>
          <w:tab w:val="right" w:pos="1195"/>
          <w:tab w:val="left" w:pos="1267"/>
          <w:tab w:val="left" w:pos="1742"/>
          <w:tab w:val="left" w:pos="2218"/>
          <w:tab w:val="left" w:pos="2693"/>
        </w:tabs>
        <w:ind w:left="1267" w:right="1267" w:hanging="432"/>
        <w:rPr>
          <w:szCs w:val="18"/>
          <w:lang w:val="es-ES_tradnl"/>
        </w:rPr>
      </w:pPr>
      <w:r w:rsidRPr="00DD7E1C">
        <w:rPr>
          <w:lang w:val="es-ES_tradnl"/>
        </w:rPr>
        <w:tab/>
      </w:r>
      <w:r w:rsidRPr="00DD7E1C">
        <w:rPr>
          <w:rStyle w:val="FootnoteReference"/>
          <w:lang w:val="es-ES_tradnl"/>
        </w:rPr>
        <w:footnoteRef/>
      </w:r>
      <w:r w:rsidRPr="00DD7E1C">
        <w:rPr>
          <w:lang w:val="es-ES_tradnl"/>
        </w:rPr>
        <w:t xml:space="preserve"> </w:t>
      </w:r>
      <w:r w:rsidRPr="00DD7E1C">
        <w:rPr>
          <w:lang w:val="es-ES_tradnl"/>
        </w:rPr>
        <w:tab/>
        <w:t>Recomendación general núm. 31 y observación general núm. 18, adoptadas de manera conjunta, párr. 13.</w:t>
      </w:r>
    </w:p>
  </w:footnote>
  <w:footnote w:id="34">
    <w:p w14:paraId="2730914E" w14:textId="77777777" w:rsidR="00DD7E1C" w:rsidRPr="00DD7E1C" w:rsidRDefault="00DD7E1C" w:rsidP="005A19AC">
      <w:pPr>
        <w:pStyle w:val="FootnoteText"/>
        <w:tabs>
          <w:tab w:val="clear" w:pos="418"/>
          <w:tab w:val="right" w:pos="1195"/>
          <w:tab w:val="left" w:pos="1267"/>
          <w:tab w:val="left" w:pos="1742"/>
          <w:tab w:val="left" w:pos="2218"/>
          <w:tab w:val="left" w:pos="2693"/>
        </w:tabs>
        <w:ind w:left="1267" w:right="1267" w:hanging="432"/>
        <w:rPr>
          <w:szCs w:val="18"/>
          <w:lang w:val="es-ES_tradnl"/>
        </w:rPr>
      </w:pPr>
      <w:r w:rsidRPr="00DD7E1C">
        <w:rPr>
          <w:szCs w:val="18"/>
          <w:lang w:val="es-ES_tradnl"/>
        </w:rPr>
        <w:tab/>
      </w:r>
      <w:r w:rsidRPr="00DD7E1C">
        <w:rPr>
          <w:rStyle w:val="FootnoteReference"/>
          <w:szCs w:val="18"/>
          <w:lang w:val="es-ES_tradnl"/>
        </w:rPr>
        <w:footnoteRef/>
      </w:r>
      <w:r w:rsidRPr="00DD7E1C">
        <w:rPr>
          <w:lang w:val="es-ES_tradnl"/>
        </w:rPr>
        <w:t xml:space="preserve"> </w:t>
      </w:r>
      <w:r w:rsidRPr="00DD7E1C">
        <w:rPr>
          <w:lang w:val="es-ES_tradnl"/>
        </w:rPr>
        <w:tab/>
        <w:t xml:space="preserve">Recomendación general núm. 33 (2015) sobre el acceso de las mujeres a la justicia, párr. 33 c). </w:t>
      </w:r>
    </w:p>
  </w:footnote>
  <w:footnote w:id="35">
    <w:p w14:paraId="0D4336E1" w14:textId="77777777" w:rsidR="00DD7E1C" w:rsidRPr="00DD7E1C" w:rsidRDefault="00DD7E1C" w:rsidP="005A19AC">
      <w:pPr>
        <w:pStyle w:val="FootnoteText"/>
        <w:tabs>
          <w:tab w:val="clear" w:pos="418"/>
          <w:tab w:val="right" w:pos="1195"/>
          <w:tab w:val="left" w:pos="1267"/>
          <w:tab w:val="left" w:pos="1742"/>
          <w:tab w:val="left" w:pos="2218"/>
          <w:tab w:val="left" w:pos="2693"/>
        </w:tabs>
        <w:ind w:left="1267" w:right="1267" w:hanging="432"/>
        <w:rPr>
          <w:szCs w:val="18"/>
          <w:lang w:val="es-ES_tradnl"/>
        </w:rPr>
      </w:pPr>
      <w:r w:rsidRPr="00DD7E1C">
        <w:rPr>
          <w:szCs w:val="18"/>
          <w:lang w:val="es-ES_tradnl"/>
        </w:rPr>
        <w:tab/>
      </w:r>
      <w:r w:rsidRPr="00DD7E1C">
        <w:rPr>
          <w:rStyle w:val="FootnoteReference"/>
          <w:szCs w:val="18"/>
          <w:lang w:val="es-ES_tradnl"/>
        </w:rPr>
        <w:footnoteRef/>
      </w:r>
      <w:r w:rsidRPr="00DD7E1C">
        <w:rPr>
          <w:lang w:val="es-ES_tradnl"/>
        </w:rPr>
        <w:t xml:space="preserve"> </w:t>
      </w:r>
      <w:r w:rsidRPr="00DD7E1C">
        <w:rPr>
          <w:lang w:val="es-ES_tradnl"/>
        </w:rPr>
        <w:tab/>
        <w:t>Recomendación general núm. 31 y observación general núm. 18, adoptadas de manera conjunta, párr. 31, y recomendación general núm. 28, párr. 29.</w:t>
      </w:r>
    </w:p>
  </w:footnote>
  <w:footnote w:id="36">
    <w:p w14:paraId="669D0B89" w14:textId="77777777" w:rsidR="00DD7E1C" w:rsidRPr="005122BA" w:rsidRDefault="00DD7E1C" w:rsidP="005A19AC">
      <w:pPr>
        <w:pStyle w:val="FootnoteText"/>
        <w:tabs>
          <w:tab w:val="clear" w:pos="418"/>
          <w:tab w:val="right" w:pos="1195"/>
          <w:tab w:val="left" w:pos="1267"/>
          <w:tab w:val="left" w:pos="1742"/>
          <w:tab w:val="left" w:pos="2218"/>
          <w:tab w:val="left" w:pos="2693"/>
        </w:tabs>
        <w:ind w:left="1267" w:right="1267" w:hanging="432"/>
        <w:rPr>
          <w:lang w:val="en-US"/>
        </w:rPr>
      </w:pPr>
      <w:r w:rsidRPr="00DD7E1C">
        <w:rPr>
          <w:lang w:val="es-ES_tradnl"/>
        </w:rPr>
        <w:tab/>
      </w:r>
      <w:r w:rsidRPr="00DD7E1C">
        <w:rPr>
          <w:rStyle w:val="FootnoteReference"/>
          <w:lang w:val="es-ES_tradnl"/>
        </w:rPr>
        <w:footnoteRef/>
      </w:r>
      <w:r w:rsidRPr="00DD7E1C">
        <w:rPr>
          <w:lang w:val="es-ES_tradnl"/>
        </w:rPr>
        <w:tab/>
        <w:t xml:space="preserve">Recomendación general núm. 24 (1999) sobre la mujer y la salud, párr. </w:t>
      </w:r>
      <w:r w:rsidRPr="005122BA">
        <w:rPr>
          <w:lang w:val="en-US"/>
        </w:rPr>
        <w:t>29.</w:t>
      </w:r>
    </w:p>
  </w:footnote>
  <w:footnote w:id="37">
    <w:p w14:paraId="31D070A5" w14:textId="77777777" w:rsidR="00DD7E1C" w:rsidRPr="005122BA" w:rsidRDefault="00DD7E1C" w:rsidP="005A19AC">
      <w:pPr>
        <w:pStyle w:val="FootnoteText"/>
        <w:tabs>
          <w:tab w:val="clear" w:pos="418"/>
          <w:tab w:val="right" w:pos="1195"/>
          <w:tab w:val="left" w:pos="1267"/>
          <w:tab w:val="left" w:pos="1742"/>
          <w:tab w:val="left" w:pos="2218"/>
          <w:tab w:val="left" w:pos="2693"/>
        </w:tabs>
        <w:ind w:left="1267" w:right="1267" w:hanging="432"/>
        <w:rPr>
          <w:lang w:val="en-US"/>
        </w:rPr>
      </w:pPr>
      <w:r w:rsidRPr="005122BA">
        <w:rPr>
          <w:lang w:val="en-US"/>
        </w:rPr>
        <w:tab/>
      </w:r>
      <w:r w:rsidRPr="00DD7E1C">
        <w:rPr>
          <w:rStyle w:val="FootnoteReference"/>
          <w:lang w:val="es-ES_tradnl"/>
        </w:rPr>
        <w:footnoteRef/>
      </w:r>
      <w:r w:rsidRPr="005122BA">
        <w:rPr>
          <w:lang w:val="en-US"/>
        </w:rPr>
        <w:tab/>
      </w:r>
      <w:r w:rsidRPr="005122BA">
        <w:rPr>
          <w:i/>
          <w:iCs/>
          <w:w w:val="100"/>
          <w:lang w:val="en-US"/>
        </w:rPr>
        <w:t>Ibid</w:t>
      </w:r>
      <w:r w:rsidRPr="005122BA">
        <w:rPr>
          <w:w w:val="100"/>
          <w:lang w:val="en-US"/>
        </w:rPr>
        <w:t>., párrs. 22 y 31 e).</w:t>
      </w:r>
    </w:p>
  </w:footnote>
  <w:footnote w:id="38">
    <w:p w14:paraId="247E36AC" w14:textId="77777777" w:rsidR="00DD7E1C" w:rsidRPr="00DD7E1C" w:rsidRDefault="00DD7E1C" w:rsidP="005A19AC">
      <w:pPr>
        <w:pStyle w:val="FootnoteText"/>
        <w:tabs>
          <w:tab w:val="clear" w:pos="418"/>
          <w:tab w:val="right" w:pos="1195"/>
          <w:tab w:val="left" w:pos="1267"/>
          <w:tab w:val="left" w:pos="1742"/>
          <w:tab w:val="left" w:pos="2218"/>
          <w:tab w:val="left" w:pos="2693"/>
        </w:tabs>
        <w:ind w:left="1267" w:right="1267" w:hanging="432"/>
        <w:rPr>
          <w:szCs w:val="18"/>
          <w:lang w:val="es-ES_tradnl"/>
        </w:rPr>
      </w:pPr>
      <w:r w:rsidRPr="005122BA">
        <w:rPr>
          <w:szCs w:val="18"/>
          <w:lang w:val="en-US"/>
        </w:rPr>
        <w:tab/>
      </w:r>
      <w:r w:rsidRPr="00DD7E1C">
        <w:rPr>
          <w:rStyle w:val="FootnoteReference"/>
          <w:szCs w:val="18"/>
          <w:lang w:val="es-ES_tradnl"/>
        </w:rPr>
        <w:footnoteRef/>
      </w:r>
      <w:r w:rsidRPr="005122BA">
        <w:rPr>
          <w:lang w:val="en-US"/>
        </w:rPr>
        <w:tab/>
        <w:t xml:space="preserve">Véase Comité para la Eliminación de la Discriminación contra la Mujer, “Statement of the Committee on the Elimination of Discrimination against Women on sexual and reproductive health and rights: Beyond 2014 ICPD review”. </w:t>
      </w:r>
      <w:r w:rsidRPr="00DD7E1C">
        <w:rPr>
          <w:lang w:val="es-ES_tradnl"/>
        </w:rPr>
        <w:t>Se puede consultar en: https://www.ohchr.org/Documents/HRBodies/CEDAW/Statements/SRHR26Feb2014.pdf.</w:t>
      </w:r>
      <w:bookmarkStart w:id="5" w:name="_Hlk9351514"/>
      <w:bookmarkEnd w:id="5"/>
    </w:p>
  </w:footnote>
  <w:footnote w:id="39">
    <w:p w14:paraId="190417F6" w14:textId="77777777" w:rsidR="00DD7E1C" w:rsidRPr="00DD7E1C" w:rsidRDefault="00DD7E1C" w:rsidP="005A19AC">
      <w:pPr>
        <w:pStyle w:val="FootnoteText"/>
        <w:tabs>
          <w:tab w:val="clear" w:pos="418"/>
          <w:tab w:val="right" w:pos="1195"/>
          <w:tab w:val="left" w:pos="1267"/>
          <w:tab w:val="left" w:pos="1742"/>
          <w:tab w:val="left" w:pos="2218"/>
          <w:tab w:val="left" w:pos="2693"/>
        </w:tabs>
        <w:ind w:left="1267" w:right="1267" w:hanging="432"/>
        <w:rPr>
          <w:lang w:val="es-ES_tradnl"/>
        </w:rPr>
      </w:pPr>
      <w:r w:rsidRPr="00DD7E1C">
        <w:rPr>
          <w:szCs w:val="18"/>
          <w:lang w:val="es-ES_tradnl"/>
        </w:rPr>
        <w:tab/>
      </w:r>
      <w:r w:rsidRPr="00DD7E1C">
        <w:rPr>
          <w:rStyle w:val="FootnoteReference"/>
          <w:szCs w:val="18"/>
          <w:lang w:val="es-ES_tradnl"/>
        </w:rPr>
        <w:footnoteRef/>
      </w:r>
      <w:r w:rsidRPr="00DD7E1C">
        <w:rPr>
          <w:lang w:val="es-ES_tradnl"/>
        </w:rPr>
        <w:t xml:space="preserve"> </w:t>
      </w:r>
      <w:r w:rsidRPr="00DD7E1C">
        <w:rPr>
          <w:lang w:val="es-ES_tradnl"/>
        </w:rPr>
        <w:tab/>
        <w:t>Recomendación general núm. 28, párr. 11.</w:t>
      </w:r>
    </w:p>
  </w:footnote>
  <w:footnote w:id="40">
    <w:p w14:paraId="4D180A0A" w14:textId="77777777" w:rsidR="00DD7E1C" w:rsidRPr="00DD7E1C" w:rsidRDefault="00DD7E1C" w:rsidP="005A19AC">
      <w:pPr>
        <w:pStyle w:val="FootnoteText"/>
        <w:tabs>
          <w:tab w:val="clear" w:pos="418"/>
          <w:tab w:val="right" w:pos="1195"/>
          <w:tab w:val="left" w:pos="1267"/>
          <w:tab w:val="left" w:pos="1742"/>
          <w:tab w:val="left" w:pos="2218"/>
          <w:tab w:val="left" w:pos="2693"/>
        </w:tabs>
        <w:ind w:left="1267" w:right="1267" w:hanging="432"/>
        <w:rPr>
          <w:w w:val="100"/>
          <w:lang w:val="es-ES_tradnl"/>
        </w:rPr>
      </w:pPr>
      <w:r w:rsidRPr="00DD7E1C">
        <w:rPr>
          <w:lang w:val="es-ES_tradnl"/>
        </w:rPr>
        <w:tab/>
      </w:r>
      <w:r w:rsidRPr="00DD7E1C">
        <w:rPr>
          <w:rStyle w:val="FootnoteReference"/>
          <w:lang w:val="es-ES_tradnl"/>
        </w:rPr>
        <w:footnoteRef/>
      </w:r>
      <w:r w:rsidRPr="00DD7E1C">
        <w:rPr>
          <w:lang w:val="es-ES_tradnl"/>
        </w:rPr>
        <w:t xml:space="preserve"> </w:t>
      </w:r>
      <w:r w:rsidRPr="00DD7E1C">
        <w:rPr>
          <w:lang w:val="es-ES_tradnl"/>
        </w:rPr>
        <w:tab/>
      </w:r>
      <w:r w:rsidRPr="00DD7E1C">
        <w:rPr>
          <w:w w:val="100"/>
          <w:lang w:val="es-ES_tradnl"/>
        </w:rPr>
        <w:t xml:space="preserve">Observación general núm. </w:t>
      </w:r>
      <w:r w:rsidRPr="00DD7E1C">
        <w:rPr>
          <w:lang w:val="es-ES_tradnl"/>
        </w:rPr>
        <w:t>20 (1992)</w:t>
      </w:r>
      <w:r w:rsidRPr="00DD7E1C">
        <w:rPr>
          <w:w w:val="100"/>
          <w:lang w:val="es-ES_tradnl"/>
        </w:rPr>
        <w:t xml:space="preserve"> del Comité de Derechos Humanos, relativa a la prohibición de la tortura u otros tratos o penas crueles, inhumanos o degradantes, párr. 15 y observación general núm. </w:t>
      </w:r>
      <w:r w:rsidRPr="00DD7E1C">
        <w:rPr>
          <w:lang w:val="es-ES_tradnl"/>
        </w:rPr>
        <w:t>31 (2004)</w:t>
      </w:r>
      <w:r w:rsidRPr="00DD7E1C">
        <w:rPr>
          <w:w w:val="100"/>
          <w:lang w:val="es-ES_tradnl"/>
        </w:rPr>
        <w:t xml:space="preserve"> del Comité de Derechos Humanos sobre la naturaleza de la obligación jurídica general impuesta a los Estados partes en el Pacto, párr. 16.</w:t>
      </w:r>
      <w:bookmarkStart w:id="8" w:name="_Hlk9351841"/>
      <w:bookmarkEnd w:id="8"/>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DD7E1C" w:rsidRPr="005139BB" w14:paraId="29758A46" w14:textId="77777777" w:rsidTr="00966568">
      <w:trPr>
        <w:trHeight w:hRule="exact" w:val="864"/>
      </w:trPr>
      <w:tc>
        <w:tcPr>
          <w:tcW w:w="4920" w:type="dxa"/>
          <w:vAlign w:val="bottom"/>
        </w:tcPr>
        <w:p w14:paraId="09388349" w14:textId="6DFECED1" w:rsidR="00DD7E1C" w:rsidRPr="00966568" w:rsidRDefault="00DD7E1C" w:rsidP="00966568">
          <w:pPr>
            <w:pStyle w:val="Header"/>
            <w:spacing w:after="80"/>
            <w:rPr>
              <w:b/>
            </w:rPr>
          </w:pPr>
          <w:r>
            <w:rPr>
              <w:b/>
            </w:rPr>
            <w:fldChar w:fldCharType="begin"/>
          </w:r>
          <w:r>
            <w:rPr>
              <w:b/>
            </w:rPr>
            <w:instrText xml:space="preserve"> DOCVARIABLE "sss1" \* MERGEFORMAT </w:instrText>
          </w:r>
          <w:r>
            <w:rPr>
              <w:b/>
            </w:rPr>
            <w:fldChar w:fldCharType="separate"/>
          </w:r>
          <w:r w:rsidR="00DE76F4">
            <w:rPr>
              <w:b/>
            </w:rPr>
            <w:t xml:space="preserve">CEDAW/C/OP.8/MLI/R.1/Rev.2 </w:t>
          </w:r>
          <w:r>
            <w:rPr>
              <w:b/>
            </w:rPr>
            <w:fldChar w:fldCharType="end"/>
          </w:r>
        </w:p>
      </w:tc>
      <w:tc>
        <w:tcPr>
          <w:tcW w:w="4920" w:type="dxa"/>
          <w:vAlign w:val="bottom"/>
        </w:tcPr>
        <w:p w14:paraId="58114449" w14:textId="77777777" w:rsidR="00DD7E1C" w:rsidRDefault="00DD7E1C" w:rsidP="00966568">
          <w:pPr>
            <w:pStyle w:val="Header"/>
          </w:pPr>
        </w:p>
      </w:tc>
    </w:tr>
  </w:tbl>
  <w:p w14:paraId="1D466C89" w14:textId="77777777" w:rsidR="00DD7E1C" w:rsidRPr="00966568" w:rsidRDefault="00DD7E1C" w:rsidP="0096656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DD7E1C" w:rsidRPr="005139BB" w14:paraId="3DF90E73" w14:textId="77777777" w:rsidTr="00966568">
      <w:trPr>
        <w:trHeight w:hRule="exact" w:val="864"/>
      </w:trPr>
      <w:tc>
        <w:tcPr>
          <w:tcW w:w="4920" w:type="dxa"/>
          <w:vAlign w:val="bottom"/>
        </w:tcPr>
        <w:p w14:paraId="726A63A2" w14:textId="77777777" w:rsidR="00DD7E1C" w:rsidRDefault="00DD7E1C" w:rsidP="00966568">
          <w:pPr>
            <w:pStyle w:val="Header"/>
          </w:pPr>
        </w:p>
      </w:tc>
      <w:tc>
        <w:tcPr>
          <w:tcW w:w="4920" w:type="dxa"/>
          <w:vAlign w:val="bottom"/>
        </w:tcPr>
        <w:p w14:paraId="767D3F79" w14:textId="3B636CF9" w:rsidR="00DD7E1C" w:rsidRPr="00966568" w:rsidRDefault="00DD7E1C" w:rsidP="00966568">
          <w:pPr>
            <w:pStyle w:val="Header"/>
            <w:spacing w:after="80"/>
            <w:jc w:val="right"/>
            <w:rPr>
              <w:b/>
            </w:rPr>
          </w:pPr>
          <w:r>
            <w:rPr>
              <w:b/>
            </w:rPr>
            <w:fldChar w:fldCharType="begin"/>
          </w:r>
          <w:r>
            <w:rPr>
              <w:b/>
            </w:rPr>
            <w:instrText xml:space="preserve"> DOCVARIABLE "sss1" \* MERGEFORMAT </w:instrText>
          </w:r>
          <w:r>
            <w:rPr>
              <w:b/>
            </w:rPr>
            <w:fldChar w:fldCharType="separate"/>
          </w:r>
          <w:r w:rsidR="00DE76F4">
            <w:rPr>
              <w:b/>
            </w:rPr>
            <w:t xml:space="preserve">CEDAW/C/OP.8/MLI/R.1/Rev.2 </w:t>
          </w:r>
          <w:r>
            <w:rPr>
              <w:b/>
            </w:rPr>
            <w:fldChar w:fldCharType="end"/>
          </w:r>
        </w:p>
      </w:tc>
    </w:tr>
  </w:tbl>
  <w:p w14:paraId="16AC379C" w14:textId="77777777" w:rsidR="00DD7E1C" w:rsidRPr="00966568" w:rsidRDefault="00DD7E1C" w:rsidP="0096656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DD7E1C" w:rsidRPr="005139BB" w14:paraId="500CF979" w14:textId="77777777" w:rsidTr="00966568">
      <w:trPr>
        <w:gridAfter w:val="1"/>
        <w:wAfter w:w="15" w:type="dxa"/>
        <w:trHeight w:hRule="exact" w:val="864"/>
      </w:trPr>
      <w:tc>
        <w:tcPr>
          <w:tcW w:w="1267" w:type="dxa"/>
          <w:tcBorders>
            <w:bottom w:val="single" w:sz="4" w:space="0" w:color="auto"/>
          </w:tcBorders>
          <w:vAlign w:val="bottom"/>
        </w:tcPr>
        <w:p w14:paraId="37149458" w14:textId="77777777" w:rsidR="00DD7E1C" w:rsidRDefault="00DD7E1C" w:rsidP="00966568">
          <w:pPr>
            <w:pStyle w:val="Header"/>
            <w:spacing w:after="120"/>
          </w:pPr>
        </w:p>
      </w:tc>
      <w:tc>
        <w:tcPr>
          <w:tcW w:w="2059" w:type="dxa"/>
          <w:tcBorders>
            <w:bottom w:val="single" w:sz="4" w:space="0" w:color="auto"/>
          </w:tcBorders>
          <w:vAlign w:val="bottom"/>
        </w:tcPr>
        <w:p w14:paraId="2B8BD407" w14:textId="77777777" w:rsidR="00DD7E1C" w:rsidRPr="00966568" w:rsidRDefault="00DD7E1C" w:rsidP="00966568">
          <w:pPr>
            <w:pStyle w:val="HCh0"/>
            <w:spacing w:after="80"/>
            <w:rPr>
              <w:b w:val="0"/>
              <w:spacing w:val="2"/>
              <w:w w:val="96"/>
            </w:rPr>
          </w:pPr>
          <w:r>
            <w:rPr>
              <w:b w:val="0"/>
              <w:spacing w:val="2"/>
              <w:w w:val="96"/>
            </w:rPr>
            <w:t>Naciones Unidas</w:t>
          </w:r>
        </w:p>
      </w:tc>
      <w:tc>
        <w:tcPr>
          <w:tcW w:w="58" w:type="dxa"/>
          <w:tcBorders>
            <w:bottom w:val="single" w:sz="4" w:space="0" w:color="auto"/>
          </w:tcBorders>
          <w:vAlign w:val="bottom"/>
        </w:tcPr>
        <w:p w14:paraId="2E51E523" w14:textId="77777777" w:rsidR="00DD7E1C" w:rsidRDefault="00DD7E1C" w:rsidP="00966568">
          <w:pPr>
            <w:pStyle w:val="Header"/>
            <w:spacing w:after="120"/>
          </w:pPr>
        </w:p>
      </w:tc>
      <w:tc>
        <w:tcPr>
          <w:tcW w:w="6480" w:type="dxa"/>
          <w:gridSpan w:val="3"/>
          <w:tcBorders>
            <w:bottom w:val="single" w:sz="4" w:space="0" w:color="auto"/>
          </w:tcBorders>
          <w:vAlign w:val="bottom"/>
        </w:tcPr>
        <w:p w14:paraId="16D04C54" w14:textId="77777777" w:rsidR="00DD7E1C" w:rsidRPr="003C20FF" w:rsidRDefault="00DD7E1C" w:rsidP="00966568">
          <w:pPr>
            <w:spacing w:after="80" w:line="240" w:lineRule="auto"/>
            <w:jc w:val="right"/>
            <w:rPr>
              <w:position w:val="-4"/>
              <w:lang w:val="en-US"/>
            </w:rPr>
          </w:pPr>
          <w:r w:rsidRPr="003C20FF">
            <w:rPr>
              <w:position w:val="-4"/>
              <w:sz w:val="40"/>
              <w:lang w:val="en-US"/>
            </w:rPr>
            <w:t>CEDAW</w:t>
          </w:r>
          <w:r w:rsidRPr="003C20FF">
            <w:rPr>
              <w:position w:val="-4"/>
              <w:lang w:val="en-US"/>
            </w:rPr>
            <w:t xml:space="preserve">/C/OP.8/MLI/R.1/Rev.2 </w:t>
          </w:r>
        </w:p>
      </w:tc>
    </w:tr>
    <w:tr w:rsidR="00DD7E1C" w:rsidRPr="00966568" w14:paraId="7A69F061" w14:textId="77777777" w:rsidTr="00966568">
      <w:trPr>
        <w:trHeight w:hRule="exact" w:val="2880"/>
      </w:trPr>
      <w:tc>
        <w:tcPr>
          <w:tcW w:w="1267" w:type="dxa"/>
          <w:tcBorders>
            <w:top w:val="single" w:sz="4" w:space="0" w:color="auto"/>
            <w:bottom w:val="single" w:sz="12" w:space="0" w:color="auto"/>
          </w:tcBorders>
        </w:tcPr>
        <w:p w14:paraId="1CCB7153" w14:textId="77777777" w:rsidR="00DD7E1C" w:rsidRPr="00966568" w:rsidRDefault="00DD7E1C" w:rsidP="00966568">
          <w:pPr>
            <w:pStyle w:val="Header"/>
            <w:spacing w:before="120"/>
            <w:jc w:val="center"/>
          </w:pPr>
          <w:r>
            <w:t xml:space="preserve"> </w:t>
          </w:r>
          <w:r>
            <w:drawing>
              <wp:inline distT="0" distB="0" distL="0" distR="0" wp14:anchorId="1841C00B" wp14:editId="2D712AB5">
                <wp:extent cx="713232" cy="597103"/>
                <wp:effectExtent l="0" t="0" r="0" b="0"/>
                <wp:docPr id="10" name="Picture 10"/>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tcPr>
        <w:p w14:paraId="43C732E0" w14:textId="77777777" w:rsidR="00DD7E1C" w:rsidRPr="00966568" w:rsidRDefault="00DD7E1C" w:rsidP="00966568">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tcPr>
        <w:p w14:paraId="4BF79E48" w14:textId="77777777" w:rsidR="00DD7E1C" w:rsidRPr="003C20FF" w:rsidRDefault="00DD7E1C" w:rsidP="00966568">
          <w:pPr>
            <w:pStyle w:val="Header"/>
            <w:spacing w:before="109"/>
            <w:rPr>
              <w:lang w:val="es-419"/>
            </w:rPr>
          </w:pPr>
        </w:p>
      </w:tc>
      <w:tc>
        <w:tcPr>
          <w:tcW w:w="3140" w:type="dxa"/>
          <w:gridSpan w:val="2"/>
          <w:tcBorders>
            <w:top w:val="single" w:sz="4" w:space="0" w:color="auto"/>
            <w:bottom w:val="single" w:sz="12" w:space="0" w:color="auto"/>
          </w:tcBorders>
        </w:tcPr>
        <w:p w14:paraId="75800100" w14:textId="77777777" w:rsidR="00DD7E1C" w:rsidRDefault="00DD7E1C" w:rsidP="00966568">
          <w:pPr>
            <w:pStyle w:val="Distribution"/>
            <w:spacing w:before="240"/>
          </w:pPr>
          <w:r>
            <w:t>Distr. reservada</w:t>
          </w:r>
        </w:p>
        <w:p w14:paraId="4AB35CD4" w14:textId="0AC7448D" w:rsidR="00DD7E1C" w:rsidRDefault="00DD7E1C" w:rsidP="00966568">
          <w:pPr>
            <w:pStyle w:val="Publication"/>
          </w:pPr>
          <w:r>
            <w:t>24 de diciembre de 2019</w:t>
          </w:r>
        </w:p>
        <w:p w14:paraId="5DFD065C" w14:textId="77777777" w:rsidR="00DD7E1C" w:rsidRDefault="00DD7E1C" w:rsidP="00966568">
          <w:r>
            <w:t>Español</w:t>
          </w:r>
        </w:p>
        <w:p w14:paraId="74AE3F9B" w14:textId="627C29A1" w:rsidR="00DD7E1C" w:rsidRPr="003C20FF" w:rsidRDefault="00DD7E1C" w:rsidP="003C20FF">
          <w:pPr>
            <w:pStyle w:val="Original"/>
          </w:pPr>
          <w:r>
            <w:t xml:space="preserve">Original: </w:t>
          </w:r>
          <w:r w:rsidRPr="00F274E0">
            <w:t>inglés</w:t>
          </w:r>
        </w:p>
        <w:p w14:paraId="4EE9CCFD" w14:textId="77777777" w:rsidR="00DD7E1C" w:rsidRPr="00966568" w:rsidRDefault="00DD7E1C" w:rsidP="003C20FF">
          <w:r w:rsidRPr="003C20FF">
            <w:t xml:space="preserve">Español, francés e inglés únicamente </w:t>
          </w:r>
        </w:p>
      </w:tc>
    </w:tr>
  </w:tbl>
  <w:p w14:paraId="4D37BDB6" w14:textId="77777777" w:rsidR="00DD7E1C" w:rsidRPr="003C20FF" w:rsidRDefault="00DD7E1C" w:rsidP="00966568">
    <w:pPr>
      <w:pStyle w:val="Header"/>
      <w:rPr>
        <w:sz w:val="2"/>
        <w:lang w:val="es-419"/>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2B2035F9"/>
    <w:multiLevelType w:val="singleLevel"/>
    <w:tmpl w:val="FCB0AEC6"/>
    <w:lvl w:ilvl="0">
      <w:start w:val="55"/>
      <w:numFmt w:val="decimal"/>
      <w:lvlRestart w:val="0"/>
      <w:lvlText w:val="%1."/>
      <w:lvlJc w:val="left"/>
      <w:pPr>
        <w:tabs>
          <w:tab w:val="num" w:pos="475"/>
        </w:tabs>
        <w:ind w:left="0" w:firstLine="0"/>
      </w:pPr>
    </w:lvl>
  </w:abstractNum>
  <w:abstractNum w:abstractNumId="2"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4" w15:restartNumberingAfterBreak="0">
    <w:nsid w:val="608819AB"/>
    <w:multiLevelType w:val="singleLevel"/>
    <w:tmpl w:val="590A50F8"/>
    <w:lvl w:ilvl="0">
      <w:start w:val="53"/>
      <w:numFmt w:val="decimal"/>
      <w:lvlRestart w:val="0"/>
      <w:lvlText w:val="%1."/>
      <w:lvlJc w:val="left"/>
      <w:pPr>
        <w:tabs>
          <w:tab w:val="num" w:pos="475"/>
        </w:tabs>
        <w:ind w:left="0" w:firstLine="0"/>
      </w:pPr>
      <w:rPr>
        <w:spacing w:val="0"/>
        <w:w w:val="100"/>
      </w:rPr>
    </w:lvl>
  </w:abstractNum>
  <w:abstractNum w:abstractNumId="5"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6" w15:restartNumberingAfterBreak="0">
    <w:nsid w:val="6BC77CEE"/>
    <w:multiLevelType w:val="singleLevel"/>
    <w:tmpl w:val="EE18D4B6"/>
    <w:lvl w:ilvl="0">
      <w:start w:val="1"/>
      <w:numFmt w:val="decimal"/>
      <w:lvlRestart w:val="0"/>
      <w:lvlText w:val="%1."/>
      <w:lvlJc w:val="left"/>
      <w:pPr>
        <w:tabs>
          <w:tab w:val="num" w:pos="475"/>
        </w:tabs>
        <w:ind w:left="0" w:firstLine="0"/>
      </w:pPr>
    </w:lvl>
  </w:abstractNum>
  <w:num w:numId="1" w16cid:durableId="754477552">
    <w:abstractNumId w:val="5"/>
  </w:num>
  <w:num w:numId="2" w16cid:durableId="1836844060">
    <w:abstractNumId w:val="0"/>
  </w:num>
  <w:num w:numId="3" w16cid:durableId="1114785470">
    <w:abstractNumId w:val="3"/>
  </w:num>
  <w:num w:numId="4" w16cid:durableId="542718142">
    <w:abstractNumId w:val="2"/>
  </w:num>
  <w:num w:numId="5" w16cid:durableId="190193250">
    <w:abstractNumId w:val="6"/>
  </w:num>
  <w:num w:numId="6" w16cid:durableId="107553335">
    <w:abstractNumId w:val="4"/>
    <w:lvlOverride w:ilvl="0">
      <w:lvl w:ilvl="0">
        <w:start w:val="1"/>
        <w:numFmt w:val="decimal"/>
        <w:lvlText w:val="%1."/>
        <w:lvlJc w:val="left"/>
        <w:pPr>
          <w:ind w:left="720" w:hanging="360"/>
        </w:pPr>
      </w:lvl>
    </w:lvlOverride>
  </w:num>
  <w:num w:numId="7" w16cid:durableId="956832534">
    <w:abstractNumId w:val="4"/>
    <w:lvlOverride w:ilvl="0">
      <w:lvl w:ilvl="0">
        <w:start w:val="1"/>
        <w:numFmt w:val="decimal"/>
        <w:lvlText w:val="%1."/>
        <w:lvlJc w:val="left"/>
        <w:pPr>
          <w:ind w:left="720" w:hanging="360"/>
        </w:pPr>
      </w:lvl>
    </w:lvlOverride>
  </w:num>
  <w:num w:numId="8" w16cid:durableId="1479570157">
    <w:abstractNumId w:val="1"/>
  </w:num>
  <w:num w:numId="9" w16cid:durableId="24452717">
    <w:abstractNumId w:val="1"/>
    <w:lvlOverride w:ilvl="0">
      <w:lvl w:ilvl="0">
        <w:start w:val="55"/>
        <w:numFmt w:val="decimal"/>
        <w:lvlRestart w:val="0"/>
        <w:lvlText w:val="%1."/>
        <w:lvlJc w:val="left"/>
        <w:pPr>
          <w:tabs>
            <w:tab w:val="num" w:pos="475"/>
          </w:tabs>
          <w:ind w:left="0" w:firstLine="0"/>
        </w:pPr>
      </w:lvl>
    </w:lvlOverride>
  </w:num>
  <w:num w:numId="10" w16cid:durableId="1298488319">
    <w:abstractNumId w:val="1"/>
    <w:lvlOverride w:ilvl="0">
      <w:lvl w:ilvl="0">
        <w:start w:val="55"/>
        <w:numFmt w:val="decimal"/>
        <w:lvlRestart w:val="0"/>
        <w:lvlText w:val="%1."/>
        <w:lvlJc w:val="left"/>
        <w:pPr>
          <w:tabs>
            <w:tab w:val="num" w:pos="475"/>
          </w:tabs>
          <w:ind w:left="0" w:firstLine="0"/>
        </w:pPr>
      </w:lvl>
    </w:lvlOverride>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6"/>
  <w:hideSpellingErrors/>
  <w:defaultTabStop w:val="475"/>
  <w:autoHyphenation/>
  <w:hyphenationZone w:val="425"/>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922454*"/>
    <w:docVar w:name="CreationDt" w:val="09/01/2020 7:13: PM"/>
    <w:docVar w:name="DocCategory" w:val="Doc"/>
    <w:docVar w:name="DocType" w:val="Final"/>
    <w:docVar w:name="DutyStation" w:val="New York"/>
    <w:docVar w:name="FooterJN" w:val="19-22454"/>
    <w:docVar w:name="jobn" w:val="19-22454 (S)"/>
    <w:docVar w:name="jobnDT" w:val="19-22454 (S)   090120"/>
    <w:docVar w:name="jobnDTDT" w:val="19-22454 (S)   090120   090120"/>
    <w:docVar w:name="JobNo" w:val="1922454S"/>
    <w:docVar w:name="JobNo2" w:val="19435657:13: PM"/>
    <w:docVar w:name="LocalDrive" w:val="0"/>
    <w:docVar w:name="OandT" w:val="MAO/Maria de la Fuente"/>
    <w:docVar w:name="sss1" w:val="CEDAW/C/OP.8/MLI/R.1/Rev.2 "/>
    <w:docVar w:name="sss2" w:val="-"/>
    <w:docVar w:name="Symbol1" w:val="CEDAW/C/OP.8/MLI/R.1/Rev.2 "/>
    <w:docVar w:name="Symbol2" w:val="-"/>
  </w:docVars>
  <w:rsids>
    <w:rsidRoot w:val="00CF64C4"/>
    <w:rsid w:val="00002584"/>
    <w:rsid w:val="000034F2"/>
    <w:rsid w:val="00013D7A"/>
    <w:rsid w:val="000264B1"/>
    <w:rsid w:val="0006491F"/>
    <w:rsid w:val="00067B89"/>
    <w:rsid w:val="00071D43"/>
    <w:rsid w:val="00077E8D"/>
    <w:rsid w:val="00082144"/>
    <w:rsid w:val="00086E4D"/>
    <w:rsid w:val="000E18AF"/>
    <w:rsid w:val="000E364E"/>
    <w:rsid w:val="000F1F99"/>
    <w:rsid w:val="00101B18"/>
    <w:rsid w:val="00117EA0"/>
    <w:rsid w:val="00122A56"/>
    <w:rsid w:val="001303AD"/>
    <w:rsid w:val="00134FEE"/>
    <w:rsid w:val="00143C77"/>
    <w:rsid w:val="00146C6A"/>
    <w:rsid w:val="00147570"/>
    <w:rsid w:val="001502F0"/>
    <w:rsid w:val="00151388"/>
    <w:rsid w:val="0016448C"/>
    <w:rsid w:val="00166A0D"/>
    <w:rsid w:val="0017659F"/>
    <w:rsid w:val="00184F88"/>
    <w:rsid w:val="0018565A"/>
    <w:rsid w:val="001D246E"/>
    <w:rsid w:val="001D5969"/>
    <w:rsid w:val="001E4B50"/>
    <w:rsid w:val="002416FB"/>
    <w:rsid w:val="00241B93"/>
    <w:rsid w:val="002478A0"/>
    <w:rsid w:val="00250948"/>
    <w:rsid w:val="00273916"/>
    <w:rsid w:val="002A5E20"/>
    <w:rsid w:val="002D1584"/>
    <w:rsid w:val="0030047A"/>
    <w:rsid w:val="00304428"/>
    <w:rsid w:val="003304FC"/>
    <w:rsid w:val="00356DCA"/>
    <w:rsid w:val="00357D59"/>
    <w:rsid w:val="00366D21"/>
    <w:rsid w:val="00376429"/>
    <w:rsid w:val="0039127C"/>
    <w:rsid w:val="003A675A"/>
    <w:rsid w:val="003B24AA"/>
    <w:rsid w:val="003C20FF"/>
    <w:rsid w:val="003C4AEC"/>
    <w:rsid w:val="003D096D"/>
    <w:rsid w:val="003F1EE9"/>
    <w:rsid w:val="003F61E1"/>
    <w:rsid w:val="00400B40"/>
    <w:rsid w:val="00413A8A"/>
    <w:rsid w:val="00415E1D"/>
    <w:rsid w:val="004242E8"/>
    <w:rsid w:val="00431198"/>
    <w:rsid w:val="00431E47"/>
    <w:rsid w:val="00432F46"/>
    <w:rsid w:val="00440C93"/>
    <w:rsid w:val="00450641"/>
    <w:rsid w:val="00451470"/>
    <w:rsid w:val="00480B84"/>
    <w:rsid w:val="004B198C"/>
    <w:rsid w:val="004B64F9"/>
    <w:rsid w:val="004C1A25"/>
    <w:rsid w:val="005122BA"/>
    <w:rsid w:val="005139BB"/>
    <w:rsid w:val="005140F9"/>
    <w:rsid w:val="00515991"/>
    <w:rsid w:val="005225EC"/>
    <w:rsid w:val="00525097"/>
    <w:rsid w:val="0052606C"/>
    <w:rsid w:val="005509B6"/>
    <w:rsid w:val="005560DF"/>
    <w:rsid w:val="00593FD4"/>
    <w:rsid w:val="005A19AC"/>
    <w:rsid w:val="005B36CD"/>
    <w:rsid w:val="005B37BB"/>
    <w:rsid w:val="005F1F5F"/>
    <w:rsid w:val="00622288"/>
    <w:rsid w:val="00632C10"/>
    <w:rsid w:val="00653B42"/>
    <w:rsid w:val="00657C5A"/>
    <w:rsid w:val="00674C5B"/>
    <w:rsid w:val="0068567C"/>
    <w:rsid w:val="00690698"/>
    <w:rsid w:val="006B001D"/>
    <w:rsid w:val="006E4A4B"/>
    <w:rsid w:val="00703106"/>
    <w:rsid w:val="007459AE"/>
    <w:rsid w:val="007526FF"/>
    <w:rsid w:val="007531A5"/>
    <w:rsid w:val="00753D8A"/>
    <w:rsid w:val="00771C9E"/>
    <w:rsid w:val="00783685"/>
    <w:rsid w:val="007B051C"/>
    <w:rsid w:val="007B2CE3"/>
    <w:rsid w:val="007D6884"/>
    <w:rsid w:val="0080543C"/>
    <w:rsid w:val="00807B29"/>
    <w:rsid w:val="0082045E"/>
    <w:rsid w:val="00821C6E"/>
    <w:rsid w:val="008222A3"/>
    <w:rsid w:val="00827F55"/>
    <w:rsid w:val="00840664"/>
    <w:rsid w:val="00882CFB"/>
    <w:rsid w:val="008B2385"/>
    <w:rsid w:val="008B3FC7"/>
    <w:rsid w:val="008C00FA"/>
    <w:rsid w:val="008C3F02"/>
    <w:rsid w:val="008F3462"/>
    <w:rsid w:val="00900D5C"/>
    <w:rsid w:val="00901D98"/>
    <w:rsid w:val="0090336D"/>
    <w:rsid w:val="00935932"/>
    <w:rsid w:val="009559A6"/>
    <w:rsid w:val="00960590"/>
    <w:rsid w:val="00966568"/>
    <w:rsid w:val="009775DB"/>
    <w:rsid w:val="00980D21"/>
    <w:rsid w:val="009810F7"/>
    <w:rsid w:val="00983BF2"/>
    <w:rsid w:val="00993CB7"/>
    <w:rsid w:val="00996E77"/>
    <w:rsid w:val="009A6DB4"/>
    <w:rsid w:val="009D0EE3"/>
    <w:rsid w:val="009E626A"/>
    <w:rsid w:val="00A1038C"/>
    <w:rsid w:val="00A2494D"/>
    <w:rsid w:val="00A31C1D"/>
    <w:rsid w:val="00A45AB7"/>
    <w:rsid w:val="00A536A1"/>
    <w:rsid w:val="00A60FB9"/>
    <w:rsid w:val="00AB0B7D"/>
    <w:rsid w:val="00AD5F2F"/>
    <w:rsid w:val="00AD6601"/>
    <w:rsid w:val="00AF4336"/>
    <w:rsid w:val="00B114E4"/>
    <w:rsid w:val="00B53FE6"/>
    <w:rsid w:val="00B858D5"/>
    <w:rsid w:val="00B97520"/>
    <w:rsid w:val="00BA1EBA"/>
    <w:rsid w:val="00BB462D"/>
    <w:rsid w:val="00BD113B"/>
    <w:rsid w:val="00BE213E"/>
    <w:rsid w:val="00C026EE"/>
    <w:rsid w:val="00C07FF6"/>
    <w:rsid w:val="00C165D7"/>
    <w:rsid w:val="00C24033"/>
    <w:rsid w:val="00C32BC2"/>
    <w:rsid w:val="00C43505"/>
    <w:rsid w:val="00C5036A"/>
    <w:rsid w:val="00C556C7"/>
    <w:rsid w:val="00CB06FB"/>
    <w:rsid w:val="00CB63C5"/>
    <w:rsid w:val="00CF64C4"/>
    <w:rsid w:val="00D0035F"/>
    <w:rsid w:val="00D3073B"/>
    <w:rsid w:val="00D30EED"/>
    <w:rsid w:val="00DB32F0"/>
    <w:rsid w:val="00DB66DE"/>
    <w:rsid w:val="00DC7881"/>
    <w:rsid w:val="00DD5701"/>
    <w:rsid w:val="00DD7E1C"/>
    <w:rsid w:val="00DE1AD7"/>
    <w:rsid w:val="00DE76F4"/>
    <w:rsid w:val="00E04CC6"/>
    <w:rsid w:val="00E117BC"/>
    <w:rsid w:val="00E343A6"/>
    <w:rsid w:val="00E4042B"/>
    <w:rsid w:val="00E443AC"/>
    <w:rsid w:val="00E47A1E"/>
    <w:rsid w:val="00E517AD"/>
    <w:rsid w:val="00E56789"/>
    <w:rsid w:val="00E61937"/>
    <w:rsid w:val="00E7105F"/>
    <w:rsid w:val="00E818DE"/>
    <w:rsid w:val="00ED471D"/>
    <w:rsid w:val="00EE37EC"/>
    <w:rsid w:val="00EF2DFA"/>
    <w:rsid w:val="00F014C5"/>
    <w:rsid w:val="00F0704E"/>
    <w:rsid w:val="00F272D7"/>
    <w:rsid w:val="00F274E0"/>
    <w:rsid w:val="00F313F6"/>
    <w:rsid w:val="00F4326E"/>
    <w:rsid w:val="00F45B70"/>
    <w:rsid w:val="00F5012D"/>
    <w:rsid w:val="00F73093"/>
    <w:rsid w:val="00F873D4"/>
    <w:rsid w:val="00FA3D05"/>
    <w:rsid w:val="00FA5CC9"/>
    <w:rsid w:val="00FB0A2C"/>
    <w:rsid w:val="00FC1F72"/>
    <w:rsid w:val="00FC59F1"/>
    <w:rsid w:val="00FF784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2E94240"/>
  <w15:chartTrackingRefBased/>
  <w15:docId w15:val="{EDF3A4DC-128A-4534-98FB-487D4BA265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10F7"/>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9810F7"/>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9810F7"/>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9810F7"/>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9810F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9810F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9810F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9810F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9810F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9810F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9810F7"/>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9810F7"/>
    <w:pPr>
      <w:spacing w:line="360" w:lineRule="exact"/>
    </w:pPr>
    <w:rPr>
      <w:spacing w:val="-3"/>
      <w:w w:val="99"/>
      <w:sz w:val="34"/>
    </w:rPr>
  </w:style>
  <w:style w:type="paragraph" w:customStyle="1" w:styleId="H23">
    <w:name w:val="_ H_2/3"/>
    <w:basedOn w:val="H1"/>
    <w:next w:val="SingleTxt"/>
    <w:qFormat/>
    <w:rsid w:val="009810F7"/>
    <w:pPr>
      <w:spacing w:line="240" w:lineRule="exact"/>
      <w:outlineLvl w:val="1"/>
    </w:pPr>
    <w:rPr>
      <w:spacing w:val="2"/>
      <w:sz w:val="20"/>
    </w:rPr>
  </w:style>
  <w:style w:type="paragraph" w:customStyle="1" w:styleId="H4">
    <w:name w:val="_ H_4"/>
    <w:basedOn w:val="Normal"/>
    <w:next w:val="Normal"/>
    <w:qFormat/>
    <w:rsid w:val="009810F7"/>
    <w:pPr>
      <w:keepNext/>
      <w:keepLines/>
      <w:tabs>
        <w:tab w:val="right" w:pos="360"/>
      </w:tabs>
      <w:outlineLvl w:val="3"/>
    </w:pPr>
    <w:rPr>
      <w:i/>
      <w:spacing w:val="3"/>
      <w:kern w:val="14"/>
    </w:rPr>
  </w:style>
  <w:style w:type="paragraph" w:customStyle="1" w:styleId="H56">
    <w:name w:val="_ H_5/6"/>
    <w:basedOn w:val="Normal"/>
    <w:next w:val="Normal"/>
    <w:qFormat/>
    <w:rsid w:val="009810F7"/>
    <w:pPr>
      <w:keepNext/>
      <w:keepLines/>
      <w:tabs>
        <w:tab w:val="right" w:pos="360"/>
      </w:tabs>
      <w:outlineLvl w:val="4"/>
    </w:pPr>
    <w:rPr>
      <w:kern w:val="14"/>
    </w:rPr>
  </w:style>
  <w:style w:type="paragraph" w:customStyle="1" w:styleId="DualTxt">
    <w:name w:val="__Dual Txt"/>
    <w:basedOn w:val="Normal"/>
    <w:qFormat/>
    <w:rsid w:val="009810F7"/>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9810F7"/>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9810F7"/>
    <w:pPr>
      <w:spacing w:line="540" w:lineRule="exact"/>
    </w:pPr>
    <w:rPr>
      <w:spacing w:val="-8"/>
      <w:w w:val="96"/>
      <w:sz w:val="57"/>
    </w:rPr>
  </w:style>
  <w:style w:type="paragraph" w:customStyle="1" w:styleId="SS">
    <w:name w:val="__S_S"/>
    <w:basedOn w:val="HCh0"/>
    <w:next w:val="Normal"/>
    <w:qFormat/>
    <w:rsid w:val="009810F7"/>
    <w:pPr>
      <w:ind w:left="1267" w:right="1267"/>
    </w:pPr>
  </w:style>
  <w:style w:type="paragraph" w:customStyle="1" w:styleId="SingleTxt">
    <w:name w:val="__Single Txt"/>
    <w:basedOn w:val="Normal"/>
    <w:qFormat/>
    <w:rsid w:val="009810F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9810F7"/>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9810F7"/>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9810F7"/>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9810F7"/>
    <w:rPr>
      <w:rFonts w:ascii="Tahoma" w:hAnsi="Tahoma" w:cs="Tahoma"/>
      <w:sz w:val="16"/>
      <w:szCs w:val="16"/>
    </w:rPr>
  </w:style>
  <w:style w:type="character" w:customStyle="1" w:styleId="BalloonTextChar">
    <w:name w:val="Balloon Text Char"/>
    <w:basedOn w:val="DefaultParagraphFont"/>
    <w:link w:val="BalloonText"/>
    <w:semiHidden/>
    <w:rsid w:val="009810F7"/>
    <w:rPr>
      <w:rFonts w:ascii="Tahoma" w:eastAsiaTheme="minorHAnsi" w:hAnsi="Tahoma" w:cs="Tahoma"/>
      <w:spacing w:val="4"/>
      <w:w w:val="103"/>
      <w:sz w:val="16"/>
      <w:szCs w:val="16"/>
      <w:lang w:val="es-ES" w:eastAsia="en-US"/>
    </w:rPr>
  </w:style>
  <w:style w:type="paragraph" w:customStyle="1" w:styleId="Bullet1">
    <w:name w:val="Bullet 1"/>
    <w:basedOn w:val="Normal"/>
    <w:qFormat/>
    <w:rsid w:val="009810F7"/>
    <w:pPr>
      <w:numPr>
        <w:numId w:val="1"/>
      </w:numPr>
      <w:spacing w:after="120"/>
      <w:ind w:right="1264"/>
      <w:jc w:val="both"/>
    </w:pPr>
  </w:style>
  <w:style w:type="paragraph" w:customStyle="1" w:styleId="Bullet2">
    <w:name w:val="Bullet 2"/>
    <w:basedOn w:val="Normal"/>
    <w:qFormat/>
    <w:rsid w:val="009810F7"/>
    <w:pPr>
      <w:numPr>
        <w:numId w:val="2"/>
      </w:numPr>
      <w:spacing w:after="120"/>
      <w:ind w:right="1264"/>
      <w:jc w:val="both"/>
    </w:pPr>
  </w:style>
  <w:style w:type="paragraph" w:customStyle="1" w:styleId="Bullet3">
    <w:name w:val="Bullet 3"/>
    <w:basedOn w:val="SingleTxt"/>
    <w:qFormat/>
    <w:rsid w:val="009810F7"/>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9810F7"/>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9810F7"/>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9810F7"/>
    <w:pPr>
      <w:spacing w:after="80"/>
    </w:pPr>
  </w:style>
  <w:style w:type="character" w:customStyle="1" w:styleId="EndnoteTextChar">
    <w:name w:val="Endnote Text Char"/>
    <w:basedOn w:val="DefaultParagraphFont"/>
    <w:link w:val="EndnoteText"/>
    <w:semiHidden/>
    <w:rsid w:val="009810F7"/>
    <w:rPr>
      <w:rFonts w:ascii="Times New Roman" w:eastAsiaTheme="minorHAnsi" w:hAnsi="Times New Roman" w:cs="Times New Roman"/>
      <w:spacing w:val="5"/>
      <w:w w:val="104"/>
      <w:sz w:val="17"/>
      <w:lang w:val="es-ES" w:eastAsia="en-US"/>
    </w:rPr>
  </w:style>
  <w:style w:type="paragraph" w:styleId="Footer">
    <w:name w:val="footer"/>
    <w:link w:val="FooterChar"/>
    <w:qFormat/>
    <w:rsid w:val="009810F7"/>
    <w:pPr>
      <w:tabs>
        <w:tab w:val="center" w:pos="4320"/>
        <w:tab w:val="right" w:pos="8640"/>
      </w:tabs>
      <w:spacing w:after="0" w:line="240" w:lineRule="auto"/>
    </w:pPr>
    <w:rPr>
      <w:rFonts w:ascii="Times New Roman" w:eastAsiaTheme="minorHAnsi" w:hAnsi="Times New Roman" w:cs="Times New Roman"/>
      <w:b/>
      <w:noProof/>
      <w:sz w:val="17"/>
      <w:lang w:val="en-US" w:eastAsia="en-US"/>
    </w:rPr>
  </w:style>
  <w:style w:type="character" w:customStyle="1" w:styleId="FooterChar">
    <w:name w:val="Footer Char"/>
    <w:basedOn w:val="DefaultParagraphFont"/>
    <w:link w:val="Footer"/>
    <w:rsid w:val="009810F7"/>
    <w:rPr>
      <w:rFonts w:ascii="Times New Roman" w:eastAsiaTheme="minorHAnsi" w:hAnsi="Times New Roman" w:cs="Times New Roman"/>
      <w:b/>
      <w:noProof/>
      <w:sz w:val="17"/>
      <w:lang w:val="en-US" w:eastAsia="en-US"/>
    </w:rPr>
  </w:style>
  <w:style w:type="character" w:styleId="FootnoteReference">
    <w:name w:val="footnote reference"/>
    <w:semiHidden/>
    <w:rsid w:val="009810F7"/>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uiPriority w:val="99"/>
    <w:qFormat/>
    <w:rsid w:val="009810F7"/>
    <w:pPr>
      <w:tabs>
        <w:tab w:val="right" w:pos="418"/>
      </w:tabs>
      <w:spacing w:line="210" w:lineRule="exact"/>
      <w:ind w:left="475" w:hanging="475"/>
    </w:pPr>
    <w:rPr>
      <w:spacing w:val="5"/>
      <w:w w:val="104"/>
      <w:sz w:val="17"/>
    </w:rPr>
  </w:style>
  <w:style w:type="character" w:customStyle="1" w:styleId="FootnoteTextChar">
    <w:name w:val="Footnote Text Char"/>
    <w:aliases w:val="5_G Char"/>
    <w:basedOn w:val="DefaultParagraphFont"/>
    <w:link w:val="FootnoteText"/>
    <w:rsid w:val="009810F7"/>
    <w:rPr>
      <w:rFonts w:ascii="Times New Roman" w:eastAsiaTheme="minorHAnsi" w:hAnsi="Times New Roman" w:cs="Times New Roman"/>
      <w:spacing w:val="5"/>
      <w:w w:val="104"/>
      <w:sz w:val="17"/>
      <w:lang w:val="es-ES" w:eastAsia="en-US"/>
    </w:rPr>
  </w:style>
  <w:style w:type="paragraph" w:styleId="Header">
    <w:name w:val="header"/>
    <w:link w:val="HeaderChar"/>
    <w:qFormat/>
    <w:rsid w:val="009810F7"/>
    <w:pPr>
      <w:tabs>
        <w:tab w:val="center" w:pos="4320"/>
        <w:tab w:val="right" w:pos="8640"/>
      </w:tabs>
      <w:spacing w:after="0" w:line="240" w:lineRule="auto"/>
    </w:pPr>
    <w:rPr>
      <w:rFonts w:ascii="Times New Roman" w:eastAsiaTheme="minorHAnsi" w:hAnsi="Times New Roman" w:cs="Times New Roman"/>
      <w:noProof/>
      <w:sz w:val="17"/>
      <w:lang w:val="en-US" w:eastAsia="en-US"/>
    </w:rPr>
  </w:style>
  <w:style w:type="character" w:customStyle="1" w:styleId="HeaderChar">
    <w:name w:val="Header Char"/>
    <w:basedOn w:val="DefaultParagraphFont"/>
    <w:link w:val="Header"/>
    <w:rsid w:val="009810F7"/>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9810F7"/>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9810F7"/>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9810F7"/>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rsid w:val="009810F7"/>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9810F7"/>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9810F7"/>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9810F7"/>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9810F7"/>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9810F7"/>
    <w:rPr>
      <w:rFonts w:ascii="Cambria" w:eastAsia="Times New Roman" w:hAnsi="Cambria" w:cs="Times New Roman"/>
      <w:i/>
      <w:iCs/>
      <w:spacing w:val="5"/>
      <w:w w:val="103"/>
      <w:sz w:val="20"/>
      <w:szCs w:val="20"/>
      <w:lang w:val="es-ES" w:eastAsia="en-US"/>
    </w:rPr>
  </w:style>
  <w:style w:type="character" w:styleId="LineNumber">
    <w:name w:val="line number"/>
    <w:qFormat/>
    <w:rsid w:val="009810F7"/>
    <w:rPr>
      <w:sz w:val="14"/>
    </w:rPr>
  </w:style>
  <w:style w:type="paragraph" w:styleId="ListParagraph">
    <w:name w:val="List Paragraph"/>
    <w:basedOn w:val="Normal"/>
    <w:uiPriority w:val="34"/>
    <w:rsid w:val="00BD113B"/>
    <w:pPr>
      <w:ind w:left="720"/>
      <w:contextualSpacing/>
    </w:pPr>
  </w:style>
  <w:style w:type="paragraph" w:styleId="NoSpacing">
    <w:name w:val="No Spacing"/>
    <w:basedOn w:val="Normal"/>
    <w:uiPriority w:val="1"/>
    <w:rsid w:val="009810F7"/>
    <w:pPr>
      <w:spacing w:line="240" w:lineRule="auto"/>
    </w:pPr>
  </w:style>
  <w:style w:type="paragraph" w:customStyle="1" w:styleId="Original">
    <w:name w:val="Original"/>
    <w:next w:val="Normal"/>
    <w:autoRedefine/>
    <w:qFormat/>
    <w:rsid w:val="009810F7"/>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9810F7"/>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9810F7"/>
    <w:pPr>
      <w:tabs>
        <w:tab w:val="right" w:pos="9965"/>
      </w:tabs>
      <w:spacing w:line="210" w:lineRule="exact"/>
    </w:pPr>
    <w:rPr>
      <w:spacing w:val="5"/>
      <w:w w:val="104"/>
      <w:kern w:val="14"/>
      <w:sz w:val="17"/>
    </w:rPr>
  </w:style>
  <w:style w:type="paragraph" w:customStyle="1" w:styleId="SmallX">
    <w:name w:val="SmallX"/>
    <w:basedOn w:val="Small"/>
    <w:next w:val="Normal"/>
    <w:qFormat/>
    <w:rsid w:val="009810F7"/>
    <w:pPr>
      <w:spacing w:line="180" w:lineRule="exact"/>
      <w:jc w:val="right"/>
    </w:pPr>
    <w:rPr>
      <w:spacing w:val="6"/>
      <w:w w:val="106"/>
      <w:sz w:val="14"/>
    </w:rPr>
  </w:style>
  <w:style w:type="character" w:styleId="Strong">
    <w:name w:val="Strong"/>
    <w:uiPriority w:val="22"/>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9810F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9810F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9810F7"/>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eastAsiaTheme="minorHAnsi" w:hAnsi="Times New Roman" w:cs="Times New Roman"/>
      <w:spacing w:val="4"/>
      <w:w w:val="103"/>
      <w:sz w:val="20"/>
      <w:lang w:val="es-ES" w:eastAsia="en-US"/>
    </w:rPr>
  </w:style>
  <w:style w:type="paragraph" w:customStyle="1" w:styleId="7P">
    <w:name w:val="_ 7_ P"/>
    <w:basedOn w:val="Normal"/>
    <w:next w:val="Normal"/>
    <w:qFormat/>
    <w:rsid w:val="009810F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SingleTxt"/>
    <w:qFormat/>
    <w:rsid w:val="009810F7"/>
    <w:pPr>
      <w:spacing w:line="300" w:lineRule="exact"/>
    </w:pPr>
    <w:rPr>
      <w:spacing w:val="-2"/>
      <w:sz w:val="28"/>
    </w:rPr>
  </w:style>
  <w:style w:type="paragraph" w:styleId="Caption">
    <w:name w:val="caption"/>
    <w:basedOn w:val="Normal"/>
    <w:next w:val="Normal"/>
    <w:uiPriority w:val="35"/>
    <w:semiHidden/>
    <w:unhideWhenUsed/>
    <w:rsid w:val="009810F7"/>
    <w:pPr>
      <w:spacing w:line="240" w:lineRule="auto"/>
    </w:pPr>
    <w:rPr>
      <w:b/>
      <w:bCs/>
      <w:color w:val="4F81BD"/>
      <w:sz w:val="18"/>
      <w:szCs w:val="18"/>
    </w:rPr>
  </w:style>
  <w:style w:type="character" w:styleId="CommentReference">
    <w:name w:val="annotation reference"/>
    <w:semiHidden/>
    <w:rsid w:val="009810F7"/>
    <w:rPr>
      <w:sz w:val="6"/>
    </w:rPr>
  </w:style>
  <w:style w:type="paragraph" w:customStyle="1" w:styleId="HdBanner">
    <w:name w:val="Hd Banner"/>
    <w:basedOn w:val="Normal"/>
    <w:next w:val="Normal"/>
    <w:qFormat/>
    <w:rsid w:val="009810F7"/>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9810F7"/>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9810F7"/>
    <w:pPr>
      <w:spacing w:before="240"/>
    </w:pPr>
    <w:rPr>
      <w:b/>
      <w:spacing w:val="-2"/>
      <w:w w:val="100"/>
    </w:rPr>
  </w:style>
  <w:style w:type="paragraph" w:customStyle="1" w:styleId="HdChapterBdLg">
    <w:name w:val="Hd Chapter Bd Lg"/>
    <w:basedOn w:val="HdChapterBD"/>
    <w:next w:val="Normal"/>
    <w:qFormat/>
    <w:rsid w:val="009810F7"/>
    <w:rPr>
      <w:spacing w:val="-3"/>
      <w:w w:val="99"/>
      <w:kern w:val="14"/>
      <w:sz w:val="34"/>
      <w:szCs w:val="34"/>
    </w:rPr>
  </w:style>
  <w:style w:type="paragraph" w:customStyle="1" w:styleId="JournalHeading1">
    <w:name w:val="Journal_Heading1"/>
    <w:basedOn w:val="Normal"/>
    <w:next w:val="Normal"/>
    <w:qFormat/>
    <w:rsid w:val="009810F7"/>
    <w:pPr>
      <w:keepNext/>
      <w:spacing w:before="190" w:line="270" w:lineRule="exact"/>
    </w:pPr>
    <w:rPr>
      <w:b/>
      <w:kern w:val="14"/>
      <w:sz w:val="24"/>
    </w:rPr>
  </w:style>
  <w:style w:type="paragraph" w:customStyle="1" w:styleId="JournalHeading2">
    <w:name w:val="Journal_Heading2"/>
    <w:basedOn w:val="Normal"/>
    <w:next w:val="Normal"/>
    <w:qFormat/>
    <w:rsid w:val="009810F7"/>
    <w:pPr>
      <w:keepNext/>
      <w:keepLines/>
      <w:spacing w:before="240"/>
      <w:outlineLvl w:val="1"/>
    </w:pPr>
    <w:rPr>
      <w:b/>
      <w:spacing w:val="2"/>
      <w:kern w:val="14"/>
    </w:rPr>
  </w:style>
  <w:style w:type="paragraph" w:customStyle="1" w:styleId="JournalHeading4">
    <w:name w:val="Journal_Heading4"/>
    <w:basedOn w:val="Normal"/>
    <w:next w:val="Normal"/>
    <w:qFormat/>
    <w:rsid w:val="009810F7"/>
    <w:pPr>
      <w:keepNext/>
      <w:keepLines/>
      <w:spacing w:before="240"/>
      <w:outlineLvl w:val="3"/>
    </w:pPr>
    <w:rPr>
      <w:i/>
      <w:kern w:val="14"/>
    </w:rPr>
  </w:style>
  <w:style w:type="paragraph" w:customStyle="1" w:styleId="NormalBullet">
    <w:name w:val="Normal Bullet"/>
    <w:basedOn w:val="Normal"/>
    <w:next w:val="Normal"/>
    <w:qFormat/>
    <w:rsid w:val="009810F7"/>
    <w:pPr>
      <w:keepLines/>
      <w:numPr>
        <w:numId w:val="4"/>
      </w:numPr>
      <w:tabs>
        <w:tab w:val="left" w:pos="2218"/>
      </w:tabs>
      <w:spacing w:before="40" w:after="80"/>
      <w:ind w:right="302"/>
    </w:pPr>
    <w:rPr>
      <w:kern w:val="14"/>
    </w:rPr>
  </w:style>
  <w:style w:type="paragraph" w:customStyle="1" w:styleId="NormalSchedule">
    <w:name w:val="Normal Schedule"/>
    <w:basedOn w:val="Normal"/>
    <w:next w:val="Normal"/>
    <w:qFormat/>
    <w:rsid w:val="009810F7"/>
    <w:pPr>
      <w:tabs>
        <w:tab w:val="left" w:leader="dot" w:pos="2218"/>
        <w:tab w:val="left" w:pos="2707"/>
        <w:tab w:val="right" w:leader="dot" w:pos="9835"/>
      </w:tabs>
    </w:pPr>
    <w:rPr>
      <w:kern w:val="14"/>
    </w:rPr>
  </w:style>
  <w:style w:type="paragraph" w:customStyle="1" w:styleId="ReleaseDate0">
    <w:name w:val="ReleaseDate"/>
    <w:next w:val="Footer"/>
    <w:autoRedefine/>
    <w:qFormat/>
    <w:rsid w:val="009810F7"/>
    <w:pPr>
      <w:spacing w:after="0" w:line="240" w:lineRule="auto"/>
    </w:pPr>
    <w:rPr>
      <w:rFonts w:ascii="Times New Roman" w:eastAsiaTheme="minorHAnsi"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9810F7"/>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99"/>
    <w:semiHidden/>
    <w:unhideWhenUsed/>
    <w:rsid w:val="00E818DE"/>
    <w:rPr>
      <w:color w:val="0000FF"/>
      <w:u w:val="none"/>
    </w:rPr>
  </w:style>
  <w:style w:type="character" w:styleId="Hyperlink">
    <w:name w:val="Hyperlink"/>
    <w:basedOn w:val="DefaultParagraphFont"/>
    <w:uiPriority w:val="99"/>
    <w:unhideWhenUsed/>
    <w:rsid w:val="00E818DE"/>
    <w:rPr>
      <w:color w:val="0000FF"/>
      <w:u w:val="none"/>
    </w:rPr>
  </w:style>
  <w:style w:type="paragraph" w:customStyle="1" w:styleId="AgendaItemNumber">
    <w:name w:val="Agenda_Item_Number"/>
    <w:next w:val="Normal"/>
    <w:qFormat/>
    <w:rsid w:val="00E818DE"/>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966568"/>
    <w:pPr>
      <w:spacing w:line="240" w:lineRule="auto"/>
    </w:pPr>
    <w:rPr>
      <w:szCs w:val="20"/>
    </w:rPr>
  </w:style>
  <w:style w:type="character" w:customStyle="1" w:styleId="CommentTextChar">
    <w:name w:val="Comment Text Char"/>
    <w:basedOn w:val="DefaultParagraphFont"/>
    <w:link w:val="CommentText"/>
    <w:uiPriority w:val="99"/>
    <w:semiHidden/>
    <w:rsid w:val="00966568"/>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966568"/>
    <w:rPr>
      <w:b/>
      <w:bCs/>
    </w:rPr>
  </w:style>
  <w:style w:type="character" w:customStyle="1" w:styleId="CommentSubjectChar">
    <w:name w:val="Comment Subject Char"/>
    <w:basedOn w:val="CommentTextChar"/>
    <w:link w:val="CommentSubject"/>
    <w:uiPriority w:val="99"/>
    <w:semiHidden/>
    <w:rsid w:val="00966568"/>
    <w:rPr>
      <w:rFonts w:ascii="Times New Roman" w:eastAsiaTheme="minorHAnsi" w:hAnsi="Times New Roman" w:cs="Times New Roman"/>
      <w:b/>
      <w:bCs/>
      <w:spacing w:val="4"/>
      <w:w w:val="103"/>
      <w:sz w:val="20"/>
      <w:szCs w:val="20"/>
      <w:lang w:val="es-ES" w:eastAsia="en-US"/>
    </w:rPr>
  </w:style>
  <w:style w:type="character" w:styleId="UnresolvedMention">
    <w:name w:val="Unresolved Mention"/>
    <w:basedOn w:val="DefaultParagraphFont"/>
    <w:uiPriority w:val="99"/>
    <w:semiHidden/>
    <w:unhideWhenUsed/>
    <w:rsid w:val="0052606C"/>
    <w:rPr>
      <w:color w:val="605E5C"/>
      <w:shd w:val="clear" w:color="auto" w:fill="E1DFDD"/>
    </w:rPr>
  </w:style>
  <w:style w:type="paragraph" w:styleId="Revision">
    <w:name w:val="Revision"/>
    <w:hidden/>
    <w:uiPriority w:val="99"/>
    <w:semiHidden/>
    <w:rsid w:val="00C24033"/>
    <w:pPr>
      <w:spacing w:after="0" w:line="240" w:lineRule="auto"/>
    </w:pPr>
    <w:rPr>
      <w:rFonts w:ascii="Times New Roman" w:eastAsiaTheme="minorHAnsi"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yperlink" Target="https://undocs.org/sp/S/RES/1325%20(2000)" TargetMode="External"/><Relationship Id="rId18" Type="http://schemas.openxmlformats.org/officeDocument/2006/relationships/hyperlink" Target="https://undocs.org/sp/CEDAW/C/MLI/CO/5" TargetMode="Externa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sp/CEDAW/C/MLI/CO/6-7" TargetMode="External"/><Relationship Id="rId2" Type="http://schemas.openxmlformats.org/officeDocument/2006/relationships/styles" Target="styles.xml"/><Relationship Id="rId16" Type="http://schemas.openxmlformats.org/officeDocument/2006/relationships/hyperlink" Target="https://undocs.org/sp/CEDAW/C/OP.8/GBR/1"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s://undocs.org/sp/A/HRC/29/20" TargetMode="External"/><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s://undocs.org/sp/S/RES/2480%20(2019)"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2" Type="http://schemas.openxmlformats.org/officeDocument/2006/relationships/hyperlink" Target="https://undocs.org/sp/S/RES/5%20(2018)" TargetMode="External"/><Relationship Id="rId1" Type="http://schemas.openxmlformats.org/officeDocument/2006/relationships/hyperlink" Target="http://www.instat-mali.org/contenu/eq/rana17pas1_eq.pdf"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22</Pages>
  <Words>10103</Words>
  <Characters>57592</Characters>
  <Application>Microsoft Office Word</Application>
  <DocSecurity>0</DocSecurity>
  <Lines>479</Lines>
  <Paragraphs>135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Mariana Ortiz</dc:creator>
  <cp:keywords/>
  <dc:description/>
  <cp:lastModifiedBy>Isabelle Fleche</cp:lastModifiedBy>
  <cp:revision>4</cp:revision>
  <cp:lastPrinted>2020-01-27T16:31:00Z</cp:lastPrinted>
  <dcterms:created xsi:type="dcterms:W3CDTF">2020-01-27T16:31:00Z</dcterms:created>
  <dcterms:modified xsi:type="dcterms:W3CDTF">2025-11-19T15:10:00Z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1922454</vt:lpwstr>
  </property>
  <property fmtid="{D5CDD505-2E9C-101B-9397-08002B2CF9AE}" pid="3" name="ODSRefJobNo">
    <vt:lpwstr>1943565</vt:lpwstr>
  </property>
  <property fmtid="{D5CDD505-2E9C-101B-9397-08002B2CF9AE}" pid="4" name="Symbol1">
    <vt:lpwstr>CEDAW/C/OP.8/MLI/R.1/Rev.2 </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Comment">
    <vt:lpwstr>1922454.MFN.EDT _x000d_
Hecho hasta párr. 52 inclusive. Pág 14 del inglés</vt:lpwstr>
  </property>
  <property fmtid="{D5CDD505-2E9C-101B-9397-08002B2CF9AE}" pid="9" name="DraftPages">
    <vt:lpwstr> </vt:lpwstr>
  </property>
  <property fmtid="{D5CDD505-2E9C-101B-9397-08002B2CF9AE}" pid="10" name="Operator">
    <vt:lpwstr>MAO/pl</vt:lpwstr>
  </property>
  <property fmtid="{D5CDD505-2E9C-101B-9397-08002B2CF9AE}" pid="11" name="Translator">
    <vt:lpwstr>Maria de la Fuente</vt:lpwstr>
  </property>
  <property fmtid="{D5CDD505-2E9C-101B-9397-08002B2CF9AE}" pid="12" name="Release Date">
    <vt:lpwstr>080120</vt:lpwstr>
  </property>
  <property fmtid="{D5CDD505-2E9C-101B-9397-08002B2CF9AE}" pid="13" name="Title1">
    <vt:lpwstr>		Investigación sobre Malí con arreglo al artículo 8 del Protocolo Facultativo de la Convención sobre la Eliminación de Todas las Formas de Discriminación contra la Mujer_x000d_</vt:lpwstr>
  </property>
  <property fmtid="{D5CDD505-2E9C-101B-9397-08002B2CF9AE}" pid="14" name="Title2">
    <vt:lpwstr>		Informe del Comité_x000d_</vt:lpwstr>
  </property>
</Properties>
</file>