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Fonts w:ascii="var(--docx-minorHAnsi-font)" w:cs="var(--docx-minorHAnsi-font)" w:eastAsia="var(--docx-minorHAnsi-font)" w:hAnsi="var(--docx-minorHAnsi-font)"/>
          <w:b w:val="1"/>
          <w:i w:val="0"/>
          <w:smallCaps w:val="0"/>
          <w:strike w:val="0"/>
          <w:color w:val="000000"/>
          <w:sz w:val="24"/>
          <w:szCs w:val="24"/>
          <w:highlight w:val="white"/>
          <w:u w:val="none"/>
          <w:vertAlign w:val="baseline"/>
          <w:rtl w:val="0"/>
        </w:rPr>
        <w:br w:type="textWrapping"/>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1094105</wp:posOffset>
            </wp:positionH>
            <wp:positionV relativeFrom="paragraph">
              <wp:posOffset>354301</wp:posOffset>
            </wp:positionV>
            <wp:extent cx="3543300" cy="1213485"/>
            <wp:effectExtent b="0" l="0" r="0" t="0"/>
            <wp:wrapSquare wrapText="bothSides" distB="0" distT="0" distL="0" distR="0"/>
            <wp:docPr descr="A yellow and black circle with a black background&#10;&#10;Description automatically generated" id="2" name="image1.png"/>
            <a:graphic>
              <a:graphicData uri="http://schemas.openxmlformats.org/drawingml/2006/picture">
                <pic:pic>
                  <pic:nvPicPr>
                    <pic:cNvPr descr="A yellow and black circle with a black background&#10;&#10;Description automatically generated" id="0" name="image1.png"/>
                    <pic:cNvPicPr preferRelativeResize="0"/>
                  </pic:nvPicPr>
                  <pic:blipFill>
                    <a:blip r:embed="rId8"/>
                    <a:srcRect b="0" l="0" r="0" t="0"/>
                    <a:stretch>
                      <a:fillRect/>
                    </a:stretch>
                  </pic:blipFill>
                  <pic:spPr>
                    <a:xfrm>
                      <a:off x="0" y="0"/>
                      <a:ext cx="3543300" cy="1213485"/>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var(--docx-minorHAnsi-font)" w:cs="var(--docx-minorHAnsi-font)" w:eastAsia="var(--docx-minorHAnsi-font)" w:hAnsi="var(--docx-minorHAnsi-font)"/>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color w:val="000000"/>
          <w:sz w:val="32"/>
          <w:szCs w:val="32"/>
          <w:highlight w:val="white"/>
        </w:rPr>
      </w:pPr>
      <w:r w:rsidDel="00000000" w:rsidR="00000000" w:rsidRPr="00000000">
        <w:rPr>
          <w:rFonts w:ascii="Times New Roman" w:cs="Times New Roman" w:eastAsia="Times New Roman" w:hAnsi="Times New Roman"/>
          <w:b w:val="1"/>
          <w:color w:val="000000"/>
          <w:sz w:val="32"/>
          <w:szCs w:val="32"/>
          <w:highlight w:val="white"/>
          <w:rtl w:val="0"/>
        </w:rPr>
        <w:t xml:space="preserve">Submission on the Implementation of the International Covenant on Civil and Political Rights (ICCPR)</w:t>
      </w:r>
    </w:p>
    <w:p w:rsidR="00000000" w:rsidDel="00000000" w:rsidP="00000000" w:rsidRDefault="00000000" w:rsidRPr="00000000" w14:paraId="00000009">
      <w:pPr>
        <w:rPr>
          <w:rFonts w:ascii="Times New Roman" w:cs="Times New Roman" w:eastAsia="Times New Roman" w:hAnsi="Times New Roman"/>
          <w:b w:val="1"/>
          <w:color w:val="000000"/>
          <w:sz w:val="26"/>
          <w:szCs w:val="26"/>
          <w:highlight w:val="white"/>
        </w:rPr>
      </w:pPr>
      <w:r w:rsidDel="00000000" w:rsidR="00000000" w:rsidRPr="00000000">
        <w:rPr>
          <w:rFonts w:ascii="Times New Roman" w:cs="Times New Roman" w:eastAsia="Times New Roman" w:hAnsi="Times New Roman"/>
          <w:b w:val="1"/>
          <w:color w:val="000000"/>
          <w:sz w:val="26"/>
          <w:szCs w:val="26"/>
          <w:highlight w:val="white"/>
          <w:rtl w:val="0"/>
        </w:rPr>
        <w:t xml:space="preserve">Human Rights Committee 141</w:t>
      </w:r>
      <w:r w:rsidDel="00000000" w:rsidR="00000000" w:rsidRPr="00000000">
        <w:rPr>
          <w:rFonts w:ascii="Times New Roman" w:cs="Times New Roman" w:eastAsia="Times New Roman" w:hAnsi="Times New Roman"/>
          <w:b w:val="1"/>
          <w:color w:val="000000"/>
          <w:sz w:val="26"/>
          <w:szCs w:val="26"/>
          <w:highlight w:val="white"/>
          <w:vertAlign w:val="superscript"/>
          <w:rtl w:val="0"/>
        </w:rPr>
        <w:t xml:space="preserve">st</w:t>
      </w:r>
      <w:r w:rsidDel="00000000" w:rsidR="00000000" w:rsidRPr="00000000">
        <w:rPr>
          <w:rFonts w:ascii="Times New Roman" w:cs="Times New Roman" w:eastAsia="Times New Roman" w:hAnsi="Times New Roman"/>
          <w:b w:val="1"/>
          <w:color w:val="000000"/>
          <w:sz w:val="26"/>
          <w:szCs w:val="26"/>
          <w:highlight w:val="white"/>
          <w:rtl w:val="0"/>
        </w:rPr>
        <w:t xml:space="preserve"> Session, 1-23 July 2024</w:t>
      </w:r>
    </w:p>
    <w:p w:rsidR="00000000" w:rsidDel="00000000" w:rsidP="00000000" w:rsidRDefault="00000000" w:rsidRPr="00000000" w14:paraId="0000000A">
      <w:pPr>
        <w:rPr>
          <w:rFonts w:ascii="Times New Roman" w:cs="Times New Roman" w:eastAsia="Times New Roman" w:hAnsi="Times New Roman"/>
          <w:b w:val="1"/>
          <w:color w:val="000000"/>
          <w:sz w:val="26"/>
          <w:szCs w:val="26"/>
          <w:highlight w:val="white"/>
        </w:rPr>
      </w:pPr>
      <w:r w:rsidDel="00000000" w:rsidR="00000000" w:rsidRPr="00000000">
        <w:rPr>
          <w:rFonts w:ascii="Times New Roman" w:cs="Times New Roman" w:eastAsia="Times New Roman" w:hAnsi="Times New Roman"/>
          <w:b w:val="1"/>
          <w:color w:val="000000"/>
          <w:sz w:val="26"/>
          <w:szCs w:val="26"/>
          <w:rtl w:val="0"/>
        </w:rPr>
        <w:t xml:space="preserve">India</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ffffff" w:val="clear"/>
        <w:spacing w:after="120" w:before="12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color w:val="000000"/>
          <w:sz w:val="32"/>
          <w:szCs w:val="32"/>
          <w:highlight w:val="white"/>
        </w:rPr>
      </w:pPr>
      <w:r w:rsidDel="00000000" w:rsidR="00000000" w:rsidRPr="00000000">
        <w:rPr>
          <w:rFonts w:ascii="Times New Roman" w:cs="Times New Roman" w:eastAsia="Times New Roman" w:hAnsi="Times New Roman"/>
          <w:b w:val="1"/>
          <w:color w:val="000000"/>
          <w:sz w:val="32"/>
          <w:szCs w:val="32"/>
          <w:highlight w:val="white"/>
          <w:rtl w:val="0"/>
        </w:rPr>
        <w:t xml:space="preserve">Nagalim</w:t>
      </w:r>
    </w:p>
    <w:p w:rsidR="00000000" w:rsidDel="00000000" w:rsidP="00000000" w:rsidRDefault="00000000" w:rsidRPr="00000000" w14:paraId="0000000E">
      <w:pPr>
        <w:jc w:val="center"/>
        <w:rPr>
          <w:rFonts w:ascii="Times New Roman" w:cs="Times New Roman" w:eastAsia="Times New Roman" w:hAnsi="Times New Roman"/>
          <w:b w:val="1"/>
          <w:color w:val="000000"/>
          <w:sz w:val="24"/>
          <w:szCs w:val="24"/>
          <w:highlight w:val="white"/>
        </w:rPr>
      </w:pPr>
      <w:r w:rsidDel="00000000" w:rsidR="00000000" w:rsidRPr="00000000">
        <w:rPr>
          <w:rFonts w:ascii="Times New Roman" w:cs="Times New Roman" w:eastAsia="Times New Roman" w:hAnsi="Times New Roman"/>
          <w:b w:val="1"/>
          <w:color w:val="000000"/>
          <w:sz w:val="24"/>
          <w:szCs w:val="24"/>
          <w:highlight w:val="white"/>
          <w:rtl w:val="0"/>
        </w:rPr>
        <w:t xml:space="preserve">July 2024</w:t>
      </w:r>
    </w:p>
    <w:p w:rsidR="00000000" w:rsidDel="00000000" w:rsidP="00000000" w:rsidRDefault="00000000" w:rsidRPr="00000000" w14:paraId="0000000F">
      <w:pPr>
        <w:jc w:val="center"/>
        <w:rPr>
          <w:rFonts w:ascii="Times New Roman" w:cs="Times New Roman" w:eastAsia="Times New Roman" w:hAnsi="Times New Roman"/>
          <w:b w:val="1"/>
          <w:color w:val="000000"/>
          <w:sz w:val="24"/>
          <w:szCs w:val="24"/>
          <w:highlight w:val="white"/>
        </w:rPr>
      </w:pPr>
      <w:r w:rsidDel="00000000" w:rsidR="00000000" w:rsidRPr="00000000">
        <w:rPr>
          <w:rtl w:val="0"/>
        </w:rPr>
      </w:r>
    </w:p>
    <w:p w:rsidR="00000000" w:rsidDel="00000000" w:rsidP="00000000" w:rsidRDefault="00000000" w:rsidRPr="00000000" w14:paraId="00000010">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Submitting Organisation: Unrepresented Nations and Peoples Organization (UNPO)</w:t>
      </w:r>
    </w:p>
    <w:p w:rsidR="00000000" w:rsidDel="00000000" w:rsidP="00000000" w:rsidRDefault="00000000" w:rsidRPr="00000000" w14:paraId="00000011">
      <w:pPr>
        <w:jc w:val="right"/>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rtl w:val="0"/>
        </w:rPr>
        <w:t xml:space="preserve">The Unrepresented Nations and Peoples Organization (UNPO) is an international, nonviolent and democratic membership organisation. Its Members are indigenous peoples, minorities, unrecognised States and occupied territories that have joined together to defend their political, social and cultural rights, to preserve their environments and to promote their right to self-determination. </w:t>
      </w:r>
      <w:r w:rsidDel="00000000" w:rsidR="00000000" w:rsidRPr="00000000">
        <w:rPr>
          <w:rFonts w:ascii="Times New Roman" w:cs="Times New Roman" w:eastAsia="Times New Roman" w:hAnsi="Times New Roman"/>
          <w:highlight w:val="white"/>
          <w:rtl w:val="0"/>
        </w:rPr>
        <w:t xml:space="preserve">The Naga people are represented in the UNPO </w:t>
      </w:r>
      <w:r w:rsidDel="00000000" w:rsidR="00000000" w:rsidRPr="00000000">
        <w:rPr>
          <w:rFonts w:ascii="Times New Roman" w:cs="Times New Roman" w:eastAsia="Times New Roman" w:hAnsi="Times New Roman"/>
          <w:rtl w:val="0"/>
        </w:rPr>
        <w:t xml:space="preserve">by the National Socialist Council of Nagalim (NSCN(IM)). </w:t>
      </w:r>
      <w:r w:rsidDel="00000000" w:rsidR="00000000" w:rsidRPr="00000000">
        <w:rPr>
          <w:rFonts w:ascii="Times New Roman" w:cs="Times New Roman" w:eastAsia="Times New Roman" w:hAnsi="Times New Roman"/>
          <w:highlight w:val="white"/>
          <w:rtl w:val="0"/>
        </w:rPr>
        <w:t xml:space="preserve">They have been a member of the UNPO since 1993.</w:t>
      </w:r>
    </w:p>
    <w:p w:rsidR="00000000" w:rsidDel="00000000" w:rsidP="00000000" w:rsidRDefault="00000000" w:rsidRPr="00000000" w14:paraId="00000012">
      <w:pPr>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i w:val="1"/>
          <w:rtl w:val="0"/>
        </w:rPr>
        <w:t xml:space="preserve">Contact:</w:t>
      </w:r>
      <w:r w:rsidDel="00000000" w:rsidR="00000000" w:rsidRPr="00000000">
        <w:rPr>
          <w:rFonts w:ascii="Times New Roman" w:cs="Times New Roman" w:eastAsia="Times New Roman" w:hAnsi="Times New Roman"/>
          <w:rtl w:val="0"/>
        </w:rPr>
        <w:t xml:space="preserve"> Rue de Trèves 49/51, Box 18, Brussels, B-1040 Belgium | unpo@unpo.org | https://unpo.org/</w:t>
      </w:r>
    </w:p>
    <w:p w:rsidR="00000000" w:rsidDel="00000000" w:rsidP="00000000" w:rsidRDefault="00000000" w:rsidRPr="00000000" w14:paraId="00000013">
      <w:pPr>
        <w:rPr>
          <w:rFonts w:ascii="var(--docx-minorHAnsi-font)" w:cs="var(--docx-minorHAnsi-font)" w:eastAsia="var(--docx-minorHAnsi-font)" w:hAnsi="var(--docx-minorHAnsi-font)"/>
          <w:b w:val="1"/>
          <w:color w:val="000000"/>
          <w:highlight w:val="white"/>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C">
      <w:pPr>
        <w:pStyle w:val="Heading1"/>
        <w:numPr>
          <w:ilvl w:val="0"/>
          <w:numId w:val="1"/>
        </w:numPr>
        <w:ind w:left="720" w:hanging="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Summary</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has been prepared by the Unrepresented Nations and Peoples Organisation (UNPO) and submitted to the Human Rights Committee for it’s 141st Session, scheduled for 1</w:t>
      </w:r>
      <w:r w:rsidDel="00000000" w:rsidR="00000000" w:rsidRPr="00000000">
        <w:rPr>
          <w:rFonts w:ascii="Times New Roman" w:cs="Times New Roman" w:eastAsia="Times New Roman" w:hAnsi="Times New Roman"/>
          <w:sz w:val="24"/>
          <w:szCs w:val="24"/>
          <w:vertAlign w:val="superscript"/>
          <w:rtl w:val="0"/>
        </w:rPr>
        <w:t xml:space="preserve">st</w:t>
      </w:r>
      <w:r w:rsidDel="00000000" w:rsidR="00000000" w:rsidRPr="00000000">
        <w:rPr>
          <w:rFonts w:ascii="Times New Roman" w:cs="Times New Roman" w:eastAsia="Times New Roman" w:hAnsi="Times New Roman"/>
          <w:sz w:val="24"/>
          <w:szCs w:val="24"/>
          <w:rtl w:val="0"/>
        </w:rPr>
        <w:t xml:space="preserve">-23</w:t>
      </w:r>
      <w:r w:rsidDel="00000000" w:rsidR="00000000" w:rsidRPr="00000000">
        <w:rPr>
          <w:rFonts w:ascii="Times New Roman" w:cs="Times New Roman" w:eastAsia="Times New Roman" w:hAnsi="Times New Roman"/>
          <w:sz w:val="24"/>
          <w:szCs w:val="24"/>
          <w:vertAlign w:val="superscript"/>
          <w:rtl w:val="0"/>
        </w:rPr>
        <w:t xml:space="preserve">rd</w:t>
      </w:r>
      <w:r w:rsidDel="00000000" w:rsidR="00000000" w:rsidRPr="00000000">
        <w:rPr>
          <w:rFonts w:ascii="Times New Roman" w:cs="Times New Roman" w:eastAsia="Times New Roman" w:hAnsi="Times New Roman"/>
          <w:sz w:val="24"/>
          <w:szCs w:val="24"/>
          <w:rtl w:val="0"/>
        </w:rPr>
        <w:t xml:space="preserve">  July 2024. The report critically examines the ongoing human rights violations in India, focusing on the the Naga people and the implementation of the International Covenant on Civil and Political Rights (ICCPR). </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Nagas, an ethnic group inhabiting northeastern India and northwestern Myanmar. Historically, they enjoyed independence until British colonization, after which their homeland was divided between India and Burma. Since India's independence in 1947, the Nagas have sought self-determination, resulting in periodic peace negotiations with the Indian government.</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initial promises and agreements, including the 2015 Framework Agreement, the realization of their rights remains elusive due to India's centralized control and neglect of agreements, which is exacerbated by India’s continued militarization in the region, patricianly via the Armed Forces Special Powers Act (AFSPA).</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Urgent reforms, including the repeal of the AFSPA and genuine dialogue with Naga stakeholders, are essential to address historical grievances and ensure the rights and dignity of the Nagas are respected.</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pStyle w:val="Heading1"/>
        <w:numPr>
          <w:ilvl w:val="0"/>
          <w:numId w:val="1"/>
        </w:numPr>
        <w:ind w:left="720" w:hanging="360"/>
        <w:rPr>
          <w:rFonts w:ascii="Times New Roman" w:cs="Times New Roman" w:eastAsia="Times New Roman" w:hAnsi="Times New Roman"/>
          <w:b w:val="1"/>
          <w:color w:val="000000"/>
          <w:sz w:val="28"/>
          <w:szCs w:val="28"/>
        </w:rPr>
      </w:pPr>
      <w:r w:rsidDel="00000000" w:rsidR="00000000" w:rsidRPr="00000000">
        <w:rPr>
          <w:rFonts w:ascii="Times New Roman" w:cs="Times New Roman" w:eastAsia="Times New Roman" w:hAnsi="Times New Roman"/>
          <w:b w:val="1"/>
          <w:color w:val="000000"/>
          <w:sz w:val="28"/>
          <w:szCs w:val="28"/>
          <w:rtl w:val="0"/>
        </w:rPr>
        <w:t xml:space="preserve">The Nagas</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Nagalim lies between the strategically significant and important tri-junction of India, China and Myanmar (erstwhile Burma). The total area of Nagalim territory is approximately 120, 000 sq. km. Nagas are Mongoloid by race and form several tribes (55+), nubering around 4 million approximately.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in India their territory has been divided by artificial state boundaries and placed in the four states of present Assam, Arunachal Pradesh, Manipur and Nagaland. In Myanmar (erstwhile Burma) Nagas are placed under Sagaing region and Kachin State and many important province and townships like Hkhampti, Homalin and Tamu have been removed from the Naga Self-Administered Zone (NSAZ) in Sagaing region which has an approximate area of Sq. Km. 93,702.48.</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 Nagalim refers to the entire Naga ancestral domain which was partitioned by the British between India and Burma, now Myanmar. The Nagas' history is one of colonisation, in the 19th century by the British, and then by India, who inherited the territory from the British colonial power.   The Nagas' history comprises several periods of peace negotiations with the Indian government, during which the Nagas attempted to exercise their right to self-determination, up until today. Naga nationalism is a movement of liberation and resistance against the occupational forces of India and Myanmar. Defending their history and sovereignty and the integration and unification of all Nagalim territory is the central political agenda of  Naga nationalism.</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Respecting international political norms and appeal for peaceful resolution of political conflict the National Socialist Council of Nagalim (NSCN) entered into a political dialogue with the Government of India (GoI) since august 1, 1997. In the political negotiation two important official political agreements were signed between the GoI and the NSCN which recognized the “unique history and situation” and “sovereignty” of Nagalim. They were (1) Amsterdam Joint </w:t>
      </w:r>
      <w:r w:rsidDel="00000000" w:rsidR="00000000" w:rsidRPr="00000000">
        <w:rPr>
          <w:rFonts w:ascii="Times New Roman" w:cs="Times New Roman" w:eastAsia="Times New Roman" w:hAnsi="Times New Roman"/>
          <w:sz w:val="24"/>
          <w:szCs w:val="24"/>
          <w:rtl w:val="0"/>
        </w:rPr>
        <w:t xml:space="preserve">Communiqué of July 11, 2002, and (2) Framework Agreement of August 3, 2015.</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Modi government declared that while negotiations with the National Socialist Council of Nagalim (NSCN(IM)) were ongoing, it would not engage in talks with other groups. In 2015, the parties reached a historical Framework Agreement which “recognises the unique history, the identity, the sovereignty, the territories of the Nagas. It also recognises the legitimate right of the Nagas to the integration of all Naga territories”, according to the NSCN(IM). </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currently nearly a decade after the signing of the framework agreement between the Prime Minister Narendra Modi and the leadership of NSCN(IM), the fulfilment of the peace deal still seems distant. Given that the negotiations with the Indian leadership have been ongoing for decades, Nagas are increasingly losing faith in the process and urging for a fair and equitable political solution to the issue. </w:t>
      </w:r>
    </w:p>
    <w:p w:rsidR="00000000" w:rsidDel="00000000" w:rsidP="00000000" w:rsidRDefault="00000000" w:rsidRPr="00000000" w14:paraId="0000002A">
      <w:pPr>
        <w:pStyle w:val="Heading1"/>
        <w:numPr>
          <w:ilvl w:val="0"/>
          <w:numId w:val="1"/>
        </w:numPr>
        <w:ind w:left="720" w:hanging="360"/>
        <w:rPr>
          <w:rFonts w:ascii="Times New Roman" w:cs="Times New Roman" w:eastAsia="Times New Roman" w:hAnsi="Times New Roman"/>
          <w:b w:val="1"/>
          <w:color w:val="000000"/>
          <w:sz w:val="28"/>
          <w:szCs w:val="28"/>
        </w:rPr>
      </w:pPr>
      <w:bookmarkStart w:colFirst="0" w:colLast="0" w:name="_heading=h.gjdgxs" w:id="0"/>
      <w:bookmarkEnd w:id="0"/>
      <w:r w:rsidDel="00000000" w:rsidR="00000000" w:rsidRPr="00000000">
        <w:rPr>
          <w:rFonts w:ascii="Times New Roman" w:cs="Times New Roman" w:eastAsia="Times New Roman" w:hAnsi="Times New Roman"/>
          <w:b w:val="1"/>
          <w:color w:val="000000"/>
          <w:sz w:val="28"/>
          <w:szCs w:val="28"/>
          <w:rtl w:val="0"/>
        </w:rPr>
        <w:t xml:space="preserve">Implementation of the International Covenant on Civil and Political Rights</w:t>
      </w:r>
    </w:p>
    <w:p w:rsidR="00000000" w:rsidDel="00000000" w:rsidP="00000000" w:rsidRDefault="00000000" w:rsidRPr="00000000" w14:paraId="0000002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pStyle w:val="Heading2"/>
        <w:numPr>
          <w:ilvl w:val="0"/>
          <w:numId w:val="2"/>
        </w:numPr>
        <w:ind w:left="0" w:firstLine="0"/>
        <w:rPr>
          <w:rFonts w:ascii="Times New Roman" w:cs="Times New Roman" w:eastAsia="Times New Roman" w:hAnsi="Times New Roman"/>
          <w:b w:val="1"/>
          <w:color w:val="000000"/>
          <w:sz w:val="24"/>
          <w:szCs w:val="24"/>
        </w:rPr>
      </w:pPr>
      <w:bookmarkStart w:colFirst="0" w:colLast="0" w:name="_heading=h.30j0zll" w:id="1"/>
      <w:bookmarkEnd w:id="1"/>
      <w:r w:rsidDel="00000000" w:rsidR="00000000" w:rsidRPr="00000000">
        <w:rPr>
          <w:rFonts w:ascii="Times New Roman" w:cs="Times New Roman" w:eastAsia="Times New Roman" w:hAnsi="Times New Roman"/>
          <w:b w:val="1"/>
          <w:color w:val="000000"/>
          <w:sz w:val="24"/>
          <w:szCs w:val="24"/>
          <w:rtl w:val="0"/>
        </w:rPr>
        <w:t xml:space="preserve">Article 1: Right to Self-Determination</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right to self-determination is prominently placed as Article 1 of the UN Charter,  the International Covenant on Civil and Political Rights (ICCPR), and the International Covenant on Economic, Social and Cultural Rights (ICESCR). Since the inception of these cornerstone human rights instruments, it has been recognized that the achievement of peace is closely tied to the respect for the right to self-determination, and it is emphasized as a foundational right serving as a prerequisite for the realization of subsequent social, political, and economic rights.</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by virtue of the right to self-determination that peoples are entitled to determine their political status and freely pursue their economic, social and cultural development. Accordingly, and as highlighted by the UN Human Rights Council, “</w:t>
      </w:r>
      <w:r w:rsidDel="00000000" w:rsidR="00000000" w:rsidRPr="00000000">
        <w:rPr>
          <w:rFonts w:ascii="Times New Roman" w:cs="Times New Roman" w:eastAsia="Times New Roman" w:hAnsi="Times New Roman"/>
          <w:i w:val="1"/>
          <w:sz w:val="24"/>
          <w:szCs w:val="24"/>
          <w:rtl w:val="0"/>
        </w:rPr>
        <w:t xml:space="preserve">The right of self-determination is of particular importance because its realization is an essential condition for the effective guarantee and observance of individual human rights and for the promotion and strengthening of those rights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2F">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Naga Self-Determination: Historical Context </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the arrival of the British, the Nagas enjoyed complete independence and lived in a homeland of their own. The issue of Naga self-determination intensified in the postcolonial period beginning in 1947, when India and Burma became independent nation-states and assumed control over the Naga homeland, depriving the people of their political rights and agency against their expressed and documented will.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Today, the Nagas are divided by an international boundary, residing in four Indian states—Assam, Arunachal Pradesh, Manipur, and Nagaland—as well as in the Myanmar regions of Sagaing and Kachin. These physical divisions have severely impacted the Nagas' ability to maintain relationships and unity as an indigenous nation. Such artificial separations violate the Naga people's human rights and contravene Article 36 of the United Nations Declaration on the Rights of Indigenous Peoples.</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Naga political movement dates back to January 10, 1929, when the first Naga memorandum for self-determination was submitted to the Simon Commission of the British Parliament. This was followed by a self-declaration of Naga independence on August 14, 1947. The Nagas boycotted the first general elections of the newly independent Republic of India. In 1951, the Naga National Council (NNC) conducted a voluntary plebiscite among the Nagas, in which 99% voted for independence. India ignored the plebiscite results, leading the Nagas to engage in peaceful mass protests, which were met with Indian military force. By 1956, two divisions and thirty-five battalions of the Indian armed forces were operating in the Naga homeland, amounting to approximately one Indian soldier for every male Naga. This compelled the Nagas to take up armed resistance against India's aggression.</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Decades later, the Naga people's aspiration for self-determination and the integration of their homeland remains strong, yet unfulfilled. The Nagas resisted joining the Indian Union even before the British left the subcontinent and have sustained their struggle for self-determination for more than seven decades. The struggle has become increasingly complex due to opposition from both India and Myanmar.</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Several peace agreements and accords have been signed between the Government of India and the Nagas to resolve the Indo-Naga political conflict, but none have produced a peaceful resolution. Instead, these efforts have created divisions and numerous complicated problems.</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Notably, the Government of India signed separate ceasefire agreements in 1997 and 2000 with two factions of the National Socialist Council of Nagaland (NSCN) to initiate political dialogue aimed at resolving the Indo-Naga conflict. Since then, numerous rounds of talks have been held in New Delhi and abroad between the Indian government and various Naga organizations. These negotiations culminated in the historic Framework Agreement of 2015 between the Government of India and NSCN (IM), setting the stage for a Shared Sovereignty as a dignified solution to the longstanding issue.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Framework Agreement aimed to establish a new, enduring, and inclusive relationship for peaceful coexistence between India and the Nagas. Subsequently, however, the Indian government's Interlocutor and signatory to the Framework Agreement was appointed Governor of Nagaland. He subsequently signed another agreement, the Agreed Position of 2017, with several splinter groups of Naga nationalists who had formed the Naga National Political Groups (NNPGs). After a period of deadlock, negotiations between the Indian government and NSCN (IM) have resumed, leaving open questions about how the Framework Agreement will be incorporated into the final settlement.</w:t>
      </w:r>
    </w:p>
    <w:p w:rsidR="00000000" w:rsidDel="00000000" w:rsidP="00000000" w:rsidRDefault="00000000" w:rsidRPr="00000000" w14:paraId="00000037">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Naga Self-Determination: Current Challenges</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state's approach has frequently been criticized for its lack of good faith in negotiations and its failure to honour agreements. This has been particularly evident since the signing of the Framework Agreement in 2015, where promises made have not translated into tangible progress towards resolving the core issues underlying the conflict. Overall, the barriers hindering the successful resolution of the Indo-Naga problem are multifaceted.</w:t>
      </w:r>
    </w:p>
    <w:p w:rsidR="00000000" w:rsidDel="00000000" w:rsidP="00000000" w:rsidRDefault="00000000" w:rsidRPr="00000000" w14:paraId="00000039">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The imposition of repressive military laws, such as the Armed Forces (Special Powers) Act, 1958 (AFSPA), (see the next section for more detail) continues to violate civil rights within the Naga homeland. Despite ongoing peace negotiations, the continued militarization poses a significant challenge to efforts aimed at achieving lasting peace and resolving the conflict.</w:t>
      </w:r>
      <w:r w:rsidDel="00000000" w:rsidR="00000000" w:rsidRPr="00000000">
        <w:rPr>
          <w:rtl w:val="0"/>
        </w:rPr>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Moreover, the peace accords reached thus far have failed to adequately address the foundational grievances of the Naga people, including the military repression they have endured in their struggle for self-determination and the denial of their rights as an indigenous group with an undivided homeland. This lack of substantive progress in negotiations has not only strained relations between India and Naga negotiators but has also, at times, promoted internal divisions among the Nagas themselves, who have been grappling with these issues for over seven decades.</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Transparency in peace processes has also been a significant concern, with critical stakeholders often marginalized or excluded from negotiations. This lack of inclusivity, driven by vested interests and power dynamics, has undermined the legitimacy and effectiveness of previous peace efforts and agreements.</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Lastly, the human rights situation in the Naga homeland has been dire since the imposition of AFSPA in 1958 (see next section). The region has been marred by armed conflicts and heavy militarization, resulting in widespread human rights abuses, including arbitrary arrests, torture, sexual abuse, and destruction of property. These violations not only undermine the basic rights and liberties of the Nagas but also stifle their socio-economic progress and contribute to a pervasive atmosphere of fear and distrust. Such conditions are detrimental to fostering genuine peace, public trust, and hope for a sustainable resolution to the longstanding Indo-Naga conflict.</w:t>
      </w:r>
    </w:p>
    <w:p w:rsidR="00000000" w:rsidDel="00000000" w:rsidP="00000000" w:rsidRDefault="00000000" w:rsidRPr="00000000" w14:paraId="0000003D">
      <w:pPr>
        <w:spacing w:after="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Framework Agreement of August 3, 2015 agrees for a “new relationship” based on sharing of sovereign power. According to NSCN, There has been a </w:t>
      </w:r>
      <w:r w:rsidDel="00000000" w:rsidR="00000000" w:rsidRPr="00000000">
        <w:rPr>
          <w:rFonts w:ascii="Times New Roman" w:cs="Times New Roman" w:eastAsia="Times New Roman" w:hAnsi="Times New Roman"/>
          <w:sz w:val="24"/>
          <w:szCs w:val="24"/>
          <w:rtl w:val="0"/>
        </w:rPr>
        <w:t xml:space="preserve">betrayal of the letter and spirit of the Amsterdam Joint Communiqué of July 11, 2002 and Framework Agreement of August 3, 2015 and ultimatums to sign an agreement within the constitution of India.</w:t>
      </w:r>
      <w:r w:rsidDel="00000000" w:rsidR="00000000" w:rsidRPr="00000000">
        <w:rPr>
          <w:rtl w:val="0"/>
        </w:rPr>
      </w:r>
    </w:p>
    <w:p w:rsidR="00000000" w:rsidDel="00000000" w:rsidP="00000000" w:rsidRDefault="00000000" w:rsidRPr="00000000" w14:paraId="0000003E">
      <w:pPr>
        <w:spacing w:after="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hold that the only </w:t>
      </w:r>
      <w:r w:rsidDel="00000000" w:rsidR="00000000" w:rsidRPr="00000000">
        <w:rPr>
          <w:rFonts w:ascii="Times New Roman" w:cs="Times New Roman" w:eastAsia="Times New Roman" w:hAnsi="Times New Roman"/>
          <w:sz w:val="24"/>
          <w:szCs w:val="24"/>
          <w:rtl w:val="0"/>
        </w:rPr>
        <w:t xml:space="preserve">honorable and acceptable political agreement can be concluded between the GoI and the NSCN, if the GoI respect the letter and spirit of the Framework Agreement of August 3, 2015, duly respecting and recognizing Nagalim sovereignty and acknowledging the sovereign Nagalim national flag and the sovereign Nagalim constitution, amongst others.</w:t>
      </w:r>
    </w:p>
    <w:p w:rsidR="00000000" w:rsidDel="00000000" w:rsidP="00000000" w:rsidRDefault="00000000" w:rsidRPr="00000000" w14:paraId="0000003F">
      <w:pPr>
        <w:spacing w:after="0" w:before="240" w:line="276"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spacing w:after="0" w:before="240" w:line="276"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Despite the Nagas' historical and documented desire for autonomy and self-governance, India's approach has often disregarded their aspirations, instead imposing control and centralization over Naga territories. The suppression of Naga protests and dissent through military force, as documented in historical accounts and human rights reports, reflects a systematic denial of the Nagas' right to freely determine their political status and pursue their economic, social, and cultural development. </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negotiations proceed and the implementation of agreements remains contentious, addressing these historical grievances and respecting the Nagas' right to self-determination will be crucial in achieving a durable resolution to the conflict.</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pStyle w:val="Heading2"/>
        <w:numPr>
          <w:ilvl w:val="0"/>
          <w:numId w:val="2"/>
        </w:numPr>
        <w:ind w:left="0" w:firstLine="0"/>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Article 6: The Right to Life</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6 of the ICCPR protects the right to life, stating that every human being has the inherent right to life and that this right shall be protected by law. It prohibits arbitrary deprivation of life and imposes strict limitations on the circumstances under which a state may lawfully take a person's life, such as in cases of capital punishment or during armed conflict.</w:t>
      </w:r>
    </w:p>
    <w:p w:rsidR="00000000" w:rsidDel="00000000" w:rsidP="00000000" w:rsidRDefault="00000000" w:rsidRPr="00000000" w14:paraId="00000048">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The Armed Forces Special Powers Act (AFSPA)</w:t>
      </w:r>
    </w:p>
    <w:p w:rsidR="00000000" w:rsidDel="00000000" w:rsidP="00000000" w:rsidRDefault="00000000" w:rsidRPr="00000000" w14:paraId="0000004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India,</w:t>
      </w:r>
      <w:r w:rsidDel="00000000" w:rsidR="00000000" w:rsidRPr="00000000">
        <w:rPr>
          <w:rFonts w:ascii="Times New Roman" w:cs="Times New Roman" w:eastAsia="Times New Roman" w:hAnsi="Times New Roman"/>
          <w:color w:val="333333"/>
          <w:sz w:val="24"/>
          <w:szCs w:val="24"/>
          <w:highlight w:val="white"/>
          <w:rtl w:val="0"/>
        </w:rPr>
        <w:t xml:space="preserve"> </w:t>
      </w:r>
      <w:r w:rsidDel="00000000" w:rsidR="00000000" w:rsidRPr="00000000">
        <w:rPr>
          <w:rFonts w:ascii="Times New Roman" w:cs="Times New Roman" w:eastAsia="Times New Roman" w:hAnsi="Times New Roman"/>
          <w:sz w:val="24"/>
          <w:szCs w:val="24"/>
          <w:rtl w:val="0"/>
        </w:rPr>
        <w:t xml:space="preserve">under the Armed Forces Special Powers Act (AFSPA), the central government can declare a state or union territory as a “disturbed area,” granting security forces the authority to use lethal force to "maintain law and order" and detain individuals based on reasonable suspicion without disclosing the grounds for arrest. The law also shields security forces from civilian prosecution for actions taken in areas under AFSPA. However, in 2016, the Supreme Court ruled that every death caused by the armed forces in such areas, whether of a civilian or a militant, must be rigorously investigated, emphasizing the need for equal application of the law.</w:t>
      </w:r>
    </w:p>
    <w:p w:rsidR="00000000" w:rsidDel="00000000" w:rsidP="00000000" w:rsidRDefault="00000000" w:rsidRPr="00000000" w14:paraId="0000004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AFSPA, originally enacted in 1958 to enable army deployment against an armed separatist movement in the Naga Hills, has remained in effect for more than sixty years. It is currently enforced not only in Nagaland but also in Manipur, Assam, parts of Arunachal Pradesh in India’s northeast, and in the union territory of Jammu and Kashmir.</w:t>
      </w:r>
    </w:p>
    <w:p w:rsidR="00000000" w:rsidDel="00000000" w:rsidP="00000000" w:rsidRDefault="00000000" w:rsidRPr="00000000" w14:paraId="0000004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Human Rights Watch, the AFSPA grants extensive powers to the armed forces, including the authority to use lethal force, make arrests without substantial justification, conduct searches without warrants, and demolish structures under the guise of "aiding civil power."</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Fonts w:ascii="Times New Roman" w:cs="Times New Roman" w:eastAsia="Times New Roman" w:hAnsi="Times New Roman"/>
          <w:sz w:val="24"/>
          <w:szCs w:val="24"/>
          <w:rtl w:val="0"/>
        </w:rPr>
        <w:t xml:space="preserve"> These powers are activated once an area is designated as “disturbed” by the central or state government, a decision exempt from judicial review.</w:t>
      </w:r>
    </w:p>
    <w:p w:rsidR="00000000" w:rsidDel="00000000" w:rsidP="00000000" w:rsidRDefault="00000000" w:rsidRPr="00000000" w14:paraId="0000004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Empowered by these special provisions, military personnel have reportedly committed acts such as rape, torture, forced disappearances, and killings without facing accountability.</w:t>
      </w:r>
      <w:r w:rsidDel="00000000" w:rsidR="00000000" w:rsidRPr="00000000">
        <w:rPr>
          <w:rFonts w:ascii="Times New Roman" w:cs="Times New Roman" w:eastAsia="Times New Roman" w:hAnsi="Times New Roman"/>
          <w:sz w:val="24"/>
          <w:szCs w:val="24"/>
          <w:vertAlign w:val="superscript"/>
        </w:rPr>
        <w:footnoteReference w:customMarkFollows="0" w:id="3"/>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D">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law has been widely criticised for violates international human rights standards, including the rights to life, as well as protection from arbitrary arrest and detention, and freedom from torture and cruel, inhuman, or degrading treatment. Furthermore, it denies victims and their families the right to seek justice and reparations.</w:t>
      </w:r>
    </w:p>
    <w:p w:rsidR="00000000" w:rsidDel="00000000" w:rsidP="00000000" w:rsidRDefault="00000000" w:rsidRPr="00000000" w14:paraId="0000004E">
      <w:pPr>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2021 Nagaland Killings</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December 4, 2021, soldiers of the 21 Para Special Forces army unit fatally shot six coal miners in Nagaland’s Mon district, reportedly mistaking them for militants. This incident triggered violent clashes between local villagers and troops, resulting in the deaths of seven additional civilians and one soldier. The following day, the Assam Rifles army unit fatally shot another individual after their camp was attacked by protesters.</w:t>
      </w:r>
      <w:r w:rsidDel="00000000" w:rsidR="00000000" w:rsidRPr="00000000">
        <w:rPr>
          <w:rFonts w:ascii="Times New Roman" w:cs="Times New Roman" w:eastAsia="Times New Roman" w:hAnsi="Times New Roman"/>
          <w:sz w:val="24"/>
          <w:szCs w:val="24"/>
          <w:vertAlign w:val="superscript"/>
        </w:rPr>
        <w:footnoteReference w:customMarkFollows="0" w:id="4"/>
      </w: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the army expressed regret over the killings, the Nagaland police has lodged a complaint against the security forces, saying that it is "obvious" that their "intention" was to "murder and injure civilians".</w:t>
      </w:r>
      <w:r w:rsidDel="00000000" w:rsidR="00000000" w:rsidRPr="00000000">
        <w:rPr>
          <w:rFonts w:ascii="Times New Roman" w:cs="Times New Roman" w:eastAsia="Times New Roman" w:hAnsi="Times New Roman"/>
          <w:sz w:val="24"/>
          <w:szCs w:val="24"/>
          <w:vertAlign w:val="superscript"/>
        </w:rPr>
        <w:footnoteReference w:customMarkFollows="0" w:id="5"/>
      </w: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 June 2022, charges were filed against 30 soldiers, including a major, following a special investigation team's conclusion that the military had improperly identified and fatally shot the miners with intent to kill. However, in April 2023, the Indian government refused permission to pursue prosecution.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6"/>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denial of justice underscores the urgent need to repeal the AFSPA, which grants sweeping powers to security forces and shields them from accountability for serious human rights abuses. The AFSPA's continued application undermines the rule of law and perpetuates a cycle of impunity, fuelling mistrust and conflict in regions affected by its enforcement.</w:t>
      </w:r>
    </w:p>
    <w:p w:rsidR="00000000" w:rsidDel="00000000" w:rsidP="00000000" w:rsidRDefault="00000000" w:rsidRPr="00000000" w14:paraId="00000053">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2023-2024 Manipur Violence</w:t>
      </w:r>
      <w:r w:rsidDel="00000000" w:rsidR="00000000" w:rsidRPr="00000000">
        <w:rPr>
          <w:rtl w:val="0"/>
        </w:rPr>
      </w:r>
    </w:p>
    <w:p w:rsidR="00000000" w:rsidDel="00000000" w:rsidP="00000000" w:rsidRDefault="00000000" w:rsidRPr="00000000" w14:paraId="00000054">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2023 until present, there has been a severe outbreak of violence in the northeastern state of Manipur, India. This violence, largely attributed to ethnic tensions and insurgent activities, resulted in widespread human rights abuses, including killings, forced displacements, and destruction of property. While the primary conflict involved the Meitei and Kuki communities, reports indicate that the Naga population in the region also suffered significant casualties and abuses.</w:t>
      </w:r>
    </w:p>
    <w:p w:rsidR="00000000" w:rsidDel="00000000" w:rsidP="00000000" w:rsidRDefault="00000000" w:rsidRPr="00000000" w14:paraId="00000055">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UNPO sources have documented that several Nagas were killed during this period of unrest, often caught in the crossfire between Kuki insurgent groups and state security forces. In some instances, Nagas were specifically targeted by Kuki groups, exacerbating the existing ethnic tensions and mistrust among the indigenous communities of Manipur.</w:t>
      </w:r>
    </w:p>
    <w:p w:rsidR="00000000" w:rsidDel="00000000" w:rsidP="00000000" w:rsidRDefault="00000000" w:rsidRPr="00000000" w14:paraId="00000056">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violence from insurgent groups, there are credible reports that security forces in Manipur have also been implicated in the killings of Naga individuals.</w:t>
      </w:r>
    </w:p>
    <w:p w:rsidR="00000000" w:rsidDel="00000000" w:rsidP="00000000" w:rsidRDefault="00000000" w:rsidRPr="00000000" w14:paraId="00000057">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most troubling aspects, again, is the apparent impunity enjoyed by those responsible for atrocities against Nagas. There has been a notable lack of accountability for both insurgent groups and security forces. This impunity is facilitated by legal protections such as the abovementioned AFSPA, which shields security personnel from prosecution for actions taken in the course of their duties.</w:t>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By denying victims and their families access to justice and upholding this draconian law, India violates Article 6 of the International Covenant on Civil and Political Rights, which guarantees the right to life and prohibits arbitrary deprivation of life.</w:t>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 Article 9: Right to Liberty and Security of Persons</w:t>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Article 9 protects individuals against arbitrary arrest and detention. It asserts that no one shall be subjected to arbitrary arrest or detention and that individuals deprived of their liberty must be promptly informed of the reasons for their arrest and any charges against them.</w:t>
      </w:r>
    </w:p>
    <w:p w:rsidR="00000000" w:rsidDel="00000000" w:rsidP="00000000" w:rsidRDefault="00000000" w:rsidRPr="00000000" w14:paraId="0000005C">
      <w:pPr>
        <w:pStyle w:val="Heading3"/>
        <w:keepNext w:val="0"/>
        <w:keepLines w:val="0"/>
        <w:spacing w:before="280" w:lineRule="auto"/>
        <w:rPr>
          <w:rFonts w:ascii="Times New Roman" w:cs="Times New Roman" w:eastAsia="Times New Roman" w:hAnsi="Times New Roman"/>
          <w:b w:val="1"/>
          <w:i w:val="1"/>
          <w:color w:val="000000"/>
          <w:sz w:val="24"/>
          <w:szCs w:val="24"/>
        </w:rPr>
      </w:pPr>
      <w:bookmarkStart w:colFirst="0" w:colLast="0" w:name="_heading=h.hxkw43ncarc5" w:id="2"/>
      <w:bookmarkEnd w:id="2"/>
      <w:r w:rsidDel="00000000" w:rsidR="00000000" w:rsidRPr="00000000">
        <w:rPr>
          <w:rFonts w:ascii="Times New Roman" w:cs="Times New Roman" w:eastAsia="Times New Roman" w:hAnsi="Times New Roman"/>
          <w:b w:val="1"/>
          <w:i w:val="1"/>
          <w:color w:val="000000"/>
          <w:sz w:val="24"/>
          <w:szCs w:val="24"/>
          <w:rtl w:val="0"/>
        </w:rPr>
        <w:t xml:space="preserve">Incarceration of NSCN Members as Prisoners of War</w:t>
      </w:r>
    </w:p>
    <w:p w:rsidR="00000000" w:rsidDel="00000000" w:rsidP="00000000" w:rsidRDefault="00000000" w:rsidRPr="00000000" w14:paraId="0000005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Members of the National Socialist Council of Nagaland (NSCN) have been systematically detained and incarcerated in Indian jails, often treated as prisoners of war. The NSCN has been involved in the struggle for Naga self-determination for decades. Their members have faced severe repercussions, including arbitrary arrests, extended detentions without trial, and harsh prison conditions.</w:t>
      </w:r>
    </w:p>
    <w:p w:rsidR="00000000" w:rsidDel="00000000" w:rsidP="00000000" w:rsidRDefault="00000000" w:rsidRPr="00000000" w14:paraId="0000005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Indian government’s approach towards NSCN members reflects a broader strategy of suppressing the Naga movement for autonomy and self-determination. Many NSCN members are detained under laws such as the Unlawful Activities (Prevention) Act (UAPA) and the Armed Forces Special Powers Act (AFSPA), which allow for prolonged detention without due process. As already raised in previous sections, these laws have been heavily criticized for their broad and vague provisions that enable the government to target political dissidents and activists.</w:t>
      </w:r>
    </w:p>
    <w:p w:rsidR="00000000" w:rsidDel="00000000" w:rsidP="00000000" w:rsidRDefault="00000000" w:rsidRPr="00000000" w14:paraId="0000005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Reports indicate that detained NSCN members often endure inhumane treatment and violations of their basic rights while incarcerated. They are frequently denied access to legal representation, family visits, and adequate medical care. The conditions in these jails are often poor, with overcrowding, insufficient sanitation, and lack of proper nutrition being common issues. This treatment not only contravenes international human rights standards (particularly Article 7 ICCPR), but also exacerbates the mistrust and resentment among the Naga people towards the Indian government.</w:t>
      </w:r>
    </w:p>
    <w:p w:rsidR="00000000" w:rsidDel="00000000" w:rsidP="00000000" w:rsidRDefault="00000000" w:rsidRPr="00000000" w14:paraId="0000006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treatment of NSCN members as prisoners of war highlights the need for a political rather than a militaristic solution to the Naga issue. The ongoing detention and harsh treatment of these individuals undermine efforts towards peace and reconciliation. </w:t>
      </w:r>
    </w:p>
    <w:p w:rsidR="00000000" w:rsidDel="00000000" w:rsidP="00000000" w:rsidRDefault="00000000" w:rsidRPr="00000000" w14:paraId="000000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 Article 12: Freedom of Movement and Residence</w:t>
      </w:r>
    </w:p>
    <w:p w:rsidR="00000000" w:rsidDel="00000000" w:rsidP="00000000" w:rsidRDefault="00000000" w:rsidRPr="00000000" w14:paraId="00000064">
      <w:pPr>
        <w:pStyle w:val="Heading3"/>
        <w:keepNext w:val="0"/>
        <w:keepLines w:val="0"/>
        <w:spacing w:before="280" w:lineRule="auto"/>
        <w:rPr>
          <w:rFonts w:ascii="Times New Roman" w:cs="Times New Roman" w:eastAsia="Times New Roman" w:hAnsi="Times New Roman"/>
          <w:color w:val="000000"/>
          <w:sz w:val="24"/>
          <w:szCs w:val="24"/>
        </w:rPr>
      </w:pPr>
      <w:bookmarkStart w:colFirst="0" w:colLast="0" w:name="_heading=h.a5ld1m2yrwwj" w:id="3"/>
      <w:bookmarkEnd w:id="3"/>
      <w:r w:rsidDel="00000000" w:rsidR="00000000" w:rsidRPr="00000000">
        <w:rPr>
          <w:rFonts w:ascii="Times New Roman" w:cs="Times New Roman" w:eastAsia="Times New Roman" w:hAnsi="Times New Roman"/>
          <w:color w:val="000000"/>
          <w:sz w:val="24"/>
          <w:szCs w:val="24"/>
          <w:rtl w:val="0"/>
        </w:rPr>
        <w:t xml:space="preserve">Article 12 of the International Covenant on Civil and Political Rights (ICCPR) ensures the right to freedom of movement and residence within the borders of a State and the right to leave any country, including one's own. These rights are subject to restrictions only if they are provided by law and necessary to protect national security, public order, public health or morals, or the rights and freedoms of others. The article also stipulates that no one shall be arbitrarily deprived of the right to enter their own country, underscoring the protection against unjustified limitations on movement and travel.</w:t>
      </w:r>
      <w:r w:rsidDel="00000000" w:rsidR="00000000" w:rsidRPr="00000000">
        <w:rPr>
          <w:rtl w:val="0"/>
        </w:rPr>
      </w:r>
    </w:p>
    <w:p w:rsidR="00000000" w:rsidDel="00000000" w:rsidP="00000000" w:rsidRDefault="00000000" w:rsidRPr="00000000" w14:paraId="00000065">
      <w:pPr>
        <w:pStyle w:val="Heading3"/>
        <w:keepNext w:val="0"/>
        <w:keepLines w:val="0"/>
        <w:spacing w:before="280" w:lineRule="auto"/>
        <w:rPr>
          <w:rFonts w:ascii="Times New Roman" w:cs="Times New Roman" w:eastAsia="Times New Roman" w:hAnsi="Times New Roman"/>
          <w:b w:val="1"/>
          <w:i w:val="1"/>
          <w:color w:val="000000"/>
          <w:sz w:val="24"/>
          <w:szCs w:val="24"/>
        </w:rPr>
      </w:pPr>
      <w:bookmarkStart w:colFirst="0" w:colLast="0" w:name="_heading=h.yytvz1yf80s1" w:id="4"/>
      <w:bookmarkEnd w:id="4"/>
      <w:r w:rsidDel="00000000" w:rsidR="00000000" w:rsidRPr="00000000">
        <w:rPr>
          <w:rFonts w:ascii="Times New Roman" w:cs="Times New Roman" w:eastAsia="Times New Roman" w:hAnsi="Times New Roman"/>
          <w:b w:val="1"/>
          <w:i w:val="1"/>
          <w:color w:val="000000"/>
          <w:sz w:val="24"/>
          <w:szCs w:val="24"/>
          <w:rtl w:val="0"/>
        </w:rPr>
        <w:t xml:space="preserve">Restrictions on Travel for Human Rights Activists</w:t>
      </w:r>
    </w:p>
    <w:p w:rsidR="00000000" w:rsidDel="00000000" w:rsidP="00000000" w:rsidRDefault="00000000" w:rsidRPr="00000000" w14:paraId="00000066">
      <w:pPr>
        <w:spacing w:after="240" w:before="240" w:lineRule="auto"/>
        <w:rPr>
          <w:rFonts w:ascii="Times New Roman" w:cs="Times New Roman" w:eastAsia="Times New Roman" w:hAnsi="Times New Roman"/>
          <w:i w:val="0"/>
          <w:color w:val="000000"/>
          <w:sz w:val="24"/>
          <w:szCs w:val="24"/>
        </w:rPr>
      </w:pPr>
      <w:r w:rsidDel="00000000" w:rsidR="00000000" w:rsidRPr="00000000">
        <w:rPr>
          <w:rFonts w:ascii="Times New Roman" w:cs="Times New Roman" w:eastAsia="Times New Roman" w:hAnsi="Times New Roman"/>
          <w:sz w:val="24"/>
          <w:szCs w:val="24"/>
          <w:rtl w:val="0"/>
        </w:rPr>
        <w:t xml:space="preserve">In recent years, the Government of India (GoI) has increasingly imposed travel restrictions on human rights activists, including Nagas, effectively preventing them from participating in international forums and sharing their experiences and concerns on a global platform. These restrictions not only infringe upon the fundamental rights of these activists but also hinder the international community's understanding of the human rights situation in India.</w:t>
      </w:r>
      <w:r w:rsidDel="00000000" w:rsidR="00000000" w:rsidRPr="00000000">
        <w:rPr>
          <w:rtl w:val="0"/>
        </w:rPr>
      </w:r>
    </w:p>
    <w:p w:rsidR="00000000" w:rsidDel="00000000" w:rsidP="00000000" w:rsidRDefault="00000000" w:rsidRPr="00000000" w14:paraId="00000067">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Human rights activists play a critical role in advocating for the protection and promotion of human rights, holding governments accountable, and fostering international cooperation. However, by restricting their travel, the GoI undermines these essential functions. Activists who seek to attend international conferences, engage with global human rights bodies, or testify before international courts are often barred from leaving the country.</w:t>
      </w:r>
    </w:p>
    <w:p w:rsidR="00000000" w:rsidDel="00000000" w:rsidP="00000000" w:rsidRDefault="00000000" w:rsidRPr="00000000" w14:paraId="0000006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GoI utilizes a range of legal and administrative measures to enforce travel bans on activists, including L</w:t>
      </w:r>
      <w:r w:rsidDel="00000000" w:rsidR="00000000" w:rsidRPr="00000000">
        <w:rPr>
          <w:rFonts w:ascii="Times New Roman" w:cs="Times New Roman" w:eastAsia="Times New Roman" w:hAnsi="Times New Roman"/>
          <w:sz w:val="24"/>
          <w:szCs w:val="24"/>
          <w:rtl w:val="0"/>
        </w:rPr>
        <w:t xml:space="preserve">ook Out Circulars (LOCs), which are </w:t>
      </w:r>
      <w:r w:rsidDel="00000000" w:rsidR="00000000" w:rsidRPr="00000000">
        <w:rPr>
          <w:rFonts w:ascii="Times New Roman" w:cs="Times New Roman" w:eastAsia="Times New Roman" w:hAnsi="Times New Roman"/>
          <w:sz w:val="24"/>
          <w:szCs w:val="24"/>
          <w:rtl w:val="0"/>
        </w:rPr>
        <w:t xml:space="preserve">issued by law enforcement agencies, and are used to prevent individuals from leaving the country by alerting immigration authorities. Other methods include passport seizures, or refusal to accept renewal applications, as well as immobilising activists through subjecting the to prolonged investigations and legal proceedings, creating a pretext for imposing travel restrictions.</w:t>
      </w:r>
    </w:p>
    <w:p w:rsidR="00000000" w:rsidDel="00000000" w:rsidP="00000000" w:rsidRDefault="00000000" w:rsidRPr="00000000" w14:paraId="0000006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These travel restrictions are a violation of the right to freedom of movement as enshrined in Article 12 of the International Covenant on Civil and Political Rights (ICCPR), to which India is a party. </w:t>
      </w: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 Article 19: Freedom of Expression</w:t>
      </w:r>
    </w:p>
    <w:p w:rsidR="00000000" w:rsidDel="00000000" w:rsidP="00000000" w:rsidRDefault="00000000" w:rsidRPr="00000000" w14:paraId="0000006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Freedom of expression is a fundamental human right enshrined in Article 19 of the ICCPR, which guarantees the right to hold opinions without interference and to seek, receive, and impart information and ideas through any media regardless of frontiers. </w:t>
      </w:r>
    </w:p>
    <w:p w:rsidR="00000000" w:rsidDel="00000000" w:rsidP="00000000" w:rsidRDefault="00000000" w:rsidRPr="00000000" w14:paraId="0000006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 India, this right is significantly curtailed for the Naga people. State agencies employ direct threats and foster a pervasive threat perception, effectively silencing dissent and curbing free speech among the Nagas.</w:t>
      </w:r>
    </w:p>
    <w:p w:rsidR="00000000" w:rsidDel="00000000" w:rsidP="00000000" w:rsidRDefault="00000000" w:rsidRPr="00000000" w14:paraId="0000006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Activists, journalists, and ordinary citizens face intimidation, harassment, and even violence for expressing views critical of the government or advocating for Naga rights. This environment of fear is perpetuated by the state's heavy-handed tactics, including arbitrary arrests, surveillance, and the misuse of draconian laws such as the Armed Forces Special Powers Act (AFSPA). These measures not only stifle legitimate expressions of dissent but also erode trust in the state's commitment to democratic principles and human rights.</w:t>
      </w:r>
    </w:p>
    <w:p w:rsidR="00000000" w:rsidDel="00000000" w:rsidP="00000000" w:rsidRDefault="00000000" w:rsidRPr="00000000" w14:paraId="0000006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suppression of free expression among the Nagas exacerbates existing grievances around the lack of good faith in negotiations with the NSCN, and fuels further mistrust and conflict. Ensuring that the Naga people's voices can be heard without fear of retribution is crucial for any meaningful dialogue and reconciliation process.</w:t>
      </w:r>
    </w:p>
    <w:p w:rsidR="00000000" w:rsidDel="00000000" w:rsidP="00000000" w:rsidRDefault="00000000" w:rsidRPr="00000000" w14:paraId="0000006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Government of India must take immediate and concrete steps to protect and promote the freedom of expression for the Naga people, as guaranteed by Article 19 of the ICCPR. This includes ending the use of intimidation, harassment, and violence against individuals exercising their right to free speech.</w:t>
      </w:r>
      <w:r w:rsidDel="00000000" w:rsidR="00000000" w:rsidRPr="00000000">
        <w:rPr>
          <w:rtl w:val="0"/>
        </w:rPr>
      </w:r>
    </w:p>
    <w:p w:rsidR="00000000" w:rsidDel="00000000" w:rsidP="00000000" w:rsidRDefault="00000000" w:rsidRPr="00000000" w14:paraId="00000070">
      <w:pPr>
        <w:pStyle w:val="Heading1"/>
        <w:numPr>
          <w:ilvl w:val="0"/>
          <w:numId w:val="1"/>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color w:val="000000"/>
          <w:sz w:val="28"/>
          <w:szCs w:val="28"/>
          <w:rtl w:val="0"/>
        </w:rPr>
        <w:t xml:space="preserve">Recommendations</w:t>
      </w:r>
      <w:r w:rsidDel="00000000" w:rsidR="00000000" w:rsidRPr="00000000">
        <w:rPr>
          <w:rtl w:val="0"/>
        </w:rPr>
      </w:r>
    </w:p>
    <w:p w:rsidR="00000000" w:rsidDel="00000000" w:rsidP="00000000" w:rsidRDefault="00000000" w:rsidRPr="00000000" w14:paraId="0000007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In light of these findings, the Unrepresented Nations and Peoples Organisation (UNPO) calls upon the HRC to urgently address the human rights violations in India, particularly in the Naga region:</w:t>
      </w: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Repeal the Armed Forces Special Powers Act (AFSPA) and replace it with legislation that upholds human rights standards and accountability.</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Urge the Indian government to initiate and support independent investigations into all reported incidents of violence involving Naga victims. These investigations should be conducted by impartial bodies to ensure transparency and credibility.</w:t>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Engage in genuine, inclusive dialogue with Naga representatives to address their aspirations for self-determination and territorial integrity.</w:t>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Ensure thorough, independent investigations into human rights abuses, including the 2021 Nagaland killings, and hold perpetrators accountable under civilian jurisdiction.</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Facilitate transparent and participatory peace processes that respect the rights and dignity of all stakeholders, including indigenous peoples like the Nagas.</w:t>
      </w:r>
      <w:r w:rsidDel="00000000" w:rsidR="00000000" w:rsidRPr="00000000">
        <w:rPr>
          <w:rtl w:val="0"/>
        </w:rPr>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Urge the protection of human rights defenders, journalists, and activists who document and report on the situation of the Nagas.</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afterAutospacing="0" w:before="0" w:line="259"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Cease arbitrary arrests and detentions of NSCN members. Ensure that any deprivation of liberty is based on clear legal grounds, with individuals promptly informed of the reasons for their arrest and any charges against them.</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Cease all retaliatory actions against Naga activists for their human rights work, including the issuance of LOCs and passport seizures.</w:t>
      </w:r>
    </w:p>
    <w:p w:rsidR="00000000" w:rsidDel="00000000" w:rsidP="00000000" w:rsidRDefault="00000000" w:rsidRPr="00000000" w14:paraId="0000007A">
      <w:pPr>
        <w:rPr/>
      </w:pPr>
      <w:r w:rsidDel="00000000" w:rsidR="00000000" w:rsidRPr="00000000">
        <w:rPr>
          <w:rtl w:val="0"/>
        </w:rPr>
      </w:r>
    </w:p>
    <w:sectPr>
      <w:head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var(--docx-minorHAnsi-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UNPO, ‘Sustainable and Peaceful Societies’ (2021) </w:t>
      </w:r>
      <w:hyperlink r:id="rId1">
        <w:r w:rsidDel="00000000" w:rsidR="00000000" w:rsidRPr="00000000">
          <w:rPr>
            <w:rFonts w:ascii="Times New Roman" w:cs="Times New Roman" w:eastAsia="Times New Roman" w:hAnsi="Times New Roman"/>
            <w:b w:val="0"/>
            <w:i w:val="0"/>
            <w:smallCaps w:val="0"/>
            <w:strike w:val="0"/>
            <w:color w:val="0563c1"/>
            <w:sz w:val="18"/>
            <w:szCs w:val="18"/>
            <w:u w:val="single"/>
            <w:shd w:fill="auto" w:val="clear"/>
            <w:vertAlign w:val="baseline"/>
            <w:rtl w:val="0"/>
          </w:rPr>
          <w:t xml:space="preserve">https://unpo.org/article/22129</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p>
  </w:footnote>
  <w:footnote w:id="1">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CCPR General Comment No. 12: Article 1 (Right to Self-determination) The Right to Self-determination of Peoples </w:t>
      </w:r>
      <w:hyperlink r:id="rId2">
        <w:r w:rsidDel="00000000" w:rsidR="00000000" w:rsidRPr="00000000">
          <w:rPr>
            <w:rFonts w:ascii="Times New Roman" w:cs="Times New Roman" w:eastAsia="Times New Roman" w:hAnsi="Times New Roman"/>
            <w:b w:val="0"/>
            <w:i w:val="0"/>
            <w:smallCaps w:val="0"/>
            <w:strike w:val="0"/>
            <w:color w:val="0563c1"/>
            <w:sz w:val="18"/>
            <w:szCs w:val="18"/>
            <w:u w:val="single"/>
            <w:shd w:fill="auto" w:val="clear"/>
            <w:vertAlign w:val="baseline"/>
            <w:rtl w:val="0"/>
          </w:rPr>
          <w:t xml:space="preserve">https://www.refworld.org/docid/453883f822.html</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 w:id="2">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Human Rights Watch, 'India: Army Kills 14 Civilians in Nagaland,' December 8, 2021, https://www.hrw.org/news/2021/12/08/india-army-kills-14-civilians-nagaland</w:t>
      </w:r>
    </w:p>
  </w:footnote>
  <w:footnote w:id="3">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 </w:t>
      </w:r>
    </w:p>
  </w:footnote>
  <w:footnote w:id="4">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BBC News, 'Nagaland: India Withdraws AFSPA Law After Deadly Protests,' December 16, 2021, </w:t>
      </w:r>
      <w:hyperlink r:id="rId3">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https://www.bbc.com/news/world-asia-india-59544599</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w:t>
      </w:r>
    </w:p>
  </w:footnote>
  <w:footnote w:id="6">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U.S. Department of State, 'India 2023 Country Reports on Human Rights Practices,' accessed July 4, 2024, </w:t>
      </w:r>
      <w:hyperlink r:id="rId4">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https://www.state.gov/reports/2023-country-reports-on-human-rights-practices/india/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color w:val="000000"/>
        <w:sz w:val="28"/>
        <w:szCs w:val="28"/>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1."/>
      <w:lvlJc w:val="left"/>
      <w:pPr>
        <w:ind w:left="360" w:hanging="360"/>
      </w:pPr>
      <w:rPr>
        <w:color w:val="000000"/>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color w:val="2f5496"/>
      <w:sz w:val="28"/>
      <w:szCs w:val="28"/>
    </w:rPr>
  </w:style>
  <w:style w:type="paragraph" w:styleId="Heading4">
    <w:name w:val="heading 4"/>
    <w:basedOn w:val="Normal"/>
    <w:next w:val="Normal"/>
    <w:pPr>
      <w:keepNext w:val="1"/>
      <w:keepLines w:val="1"/>
      <w:spacing w:after="40" w:before="80" w:lineRule="auto"/>
    </w:pPr>
    <w:rPr>
      <w:i w:val="1"/>
      <w:color w:val="2f5496"/>
    </w:rPr>
  </w:style>
  <w:style w:type="paragraph" w:styleId="Heading5">
    <w:name w:val="heading 5"/>
    <w:basedOn w:val="Normal"/>
    <w:next w:val="Normal"/>
    <w:pPr>
      <w:keepNext w:val="1"/>
      <w:keepLines w:val="1"/>
      <w:spacing w:after="40" w:before="80" w:lineRule="auto"/>
    </w:pPr>
    <w:rPr>
      <w:color w:val="2f5496"/>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Normal" w:default="1">
    <w:name w:val="Normal"/>
    <w:qFormat w:val="1"/>
    <w:rsid w:val="007854F3"/>
  </w:style>
  <w:style w:type="paragraph" w:styleId="Heading1">
    <w:name w:val="heading 1"/>
    <w:basedOn w:val="Normal"/>
    <w:next w:val="Normal"/>
    <w:link w:val="Heading1Char"/>
    <w:uiPriority w:val="9"/>
    <w:qFormat w:val="1"/>
    <w:rsid w:val="007854F3"/>
    <w:pPr>
      <w:keepNext w:val="1"/>
      <w:keepLines w:val="1"/>
      <w:spacing w:after="80" w:before="360"/>
      <w:outlineLvl w:val="0"/>
    </w:pPr>
    <w:rPr>
      <w:rFonts w:asciiTheme="majorHAnsi" w:cstheme="majorBidi" w:eastAsiaTheme="majorEastAsia" w:hAnsiTheme="majorHAnsi"/>
      <w:color w:val="2f5496" w:themeColor="accent1" w:themeShade="0000BF"/>
      <w:sz w:val="40"/>
      <w:szCs w:val="40"/>
    </w:rPr>
  </w:style>
  <w:style w:type="paragraph" w:styleId="Heading2">
    <w:name w:val="heading 2"/>
    <w:basedOn w:val="Normal"/>
    <w:next w:val="Normal"/>
    <w:link w:val="Heading2Char"/>
    <w:uiPriority w:val="9"/>
    <w:unhideWhenUsed w:val="1"/>
    <w:qFormat w:val="1"/>
    <w:rsid w:val="007854F3"/>
    <w:pPr>
      <w:keepNext w:val="1"/>
      <w:keepLines w:val="1"/>
      <w:spacing w:after="80" w:before="160"/>
      <w:outlineLvl w:val="1"/>
    </w:pPr>
    <w:rPr>
      <w:rFonts w:asciiTheme="majorHAnsi" w:cstheme="majorBidi" w:eastAsiaTheme="majorEastAsia" w:hAnsiTheme="majorHAnsi"/>
      <w:color w:val="2f5496" w:themeColor="accent1" w:themeShade="0000BF"/>
      <w:sz w:val="32"/>
      <w:szCs w:val="32"/>
    </w:rPr>
  </w:style>
  <w:style w:type="paragraph" w:styleId="Heading3">
    <w:name w:val="heading 3"/>
    <w:basedOn w:val="Normal"/>
    <w:next w:val="Normal"/>
    <w:link w:val="Heading3Char"/>
    <w:uiPriority w:val="9"/>
    <w:semiHidden w:val="1"/>
    <w:unhideWhenUsed w:val="1"/>
    <w:qFormat w:val="1"/>
    <w:rsid w:val="007854F3"/>
    <w:pPr>
      <w:keepNext w:val="1"/>
      <w:keepLines w:val="1"/>
      <w:spacing w:after="80" w:before="160"/>
      <w:outlineLvl w:val="2"/>
    </w:pPr>
    <w:rPr>
      <w:rFonts w:cstheme="majorBidi" w:eastAsiaTheme="majorEastAsia"/>
      <w:color w:val="2f5496" w:themeColor="accent1" w:themeShade="0000BF"/>
      <w:sz w:val="28"/>
      <w:szCs w:val="28"/>
    </w:rPr>
  </w:style>
  <w:style w:type="paragraph" w:styleId="Heading4">
    <w:name w:val="heading 4"/>
    <w:basedOn w:val="Normal"/>
    <w:next w:val="Normal"/>
    <w:link w:val="Heading4Char"/>
    <w:uiPriority w:val="9"/>
    <w:semiHidden w:val="1"/>
    <w:unhideWhenUsed w:val="1"/>
    <w:qFormat w:val="1"/>
    <w:rsid w:val="007854F3"/>
    <w:pPr>
      <w:keepNext w:val="1"/>
      <w:keepLines w:val="1"/>
      <w:spacing w:after="40" w:before="80"/>
      <w:outlineLvl w:val="3"/>
    </w:pPr>
    <w:rPr>
      <w:rFonts w:cstheme="majorBidi" w:eastAsiaTheme="majorEastAsia"/>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7854F3"/>
    <w:pPr>
      <w:keepNext w:val="1"/>
      <w:keepLines w:val="1"/>
      <w:spacing w:after="40" w:before="80"/>
      <w:outlineLvl w:val="4"/>
    </w:pPr>
    <w:rPr>
      <w:rFonts w:cstheme="majorBidi" w:eastAsiaTheme="majorEastAsia"/>
      <w:color w:val="2f5496" w:themeColor="accent1" w:themeShade="0000BF"/>
    </w:rPr>
  </w:style>
  <w:style w:type="paragraph" w:styleId="Heading6">
    <w:name w:val="heading 6"/>
    <w:basedOn w:val="Normal"/>
    <w:next w:val="Normal"/>
    <w:link w:val="Heading6Char"/>
    <w:uiPriority w:val="9"/>
    <w:semiHidden w:val="1"/>
    <w:unhideWhenUsed w:val="1"/>
    <w:qFormat w:val="1"/>
    <w:rsid w:val="007854F3"/>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7854F3"/>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7854F3"/>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7854F3"/>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7854F3"/>
    <w:rPr>
      <w:rFonts w:asciiTheme="majorHAnsi" w:cstheme="majorBidi" w:eastAsiaTheme="majorEastAsia" w:hAnsiTheme="majorHAnsi"/>
      <w:color w:val="2f5496" w:themeColor="accent1" w:themeShade="0000BF"/>
      <w:sz w:val="40"/>
      <w:szCs w:val="40"/>
    </w:rPr>
  </w:style>
  <w:style w:type="character" w:styleId="Heading2Char" w:customStyle="1">
    <w:name w:val="Heading 2 Char"/>
    <w:basedOn w:val="DefaultParagraphFont"/>
    <w:link w:val="Heading2"/>
    <w:uiPriority w:val="9"/>
    <w:rsid w:val="007854F3"/>
    <w:rPr>
      <w:rFonts w:asciiTheme="majorHAnsi" w:cstheme="majorBidi" w:eastAsiaTheme="majorEastAsia" w:hAnsiTheme="majorHAnsi"/>
      <w:color w:val="2f5496" w:themeColor="accent1" w:themeShade="0000BF"/>
      <w:sz w:val="32"/>
      <w:szCs w:val="32"/>
    </w:rPr>
  </w:style>
  <w:style w:type="character" w:styleId="Heading3Char" w:customStyle="1">
    <w:name w:val="Heading 3 Char"/>
    <w:basedOn w:val="DefaultParagraphFont"/>
    <w:link w:val="Heading3"/>
    <w:uiPriority w:val="9"/>
    <w:semiHidden w:val="1"/>
    <w:rsid w:val="007854F3"/>
    <w:rPr>
      <w:rFonts w:cstheme="majorBidi" w:eastAsiaTheme="majorEastAsia"/>
      <w:color w:val="2f5496" w:themeColor="accent1" w:themeShade="0000BF"/>
      <w:sz w:val="28"/>
      <w:szCs w:val="28"/>
    </w:rPr>
  </w:style>
  <w:style w:type="character" w:styleId="Heading4Char" w:customStyle="1">
    <w:name w:val="Heading 4 Char"/>
    <w:basedOn w:val="DefaultParagraphFont"/>
    <w:link w:val="Heading4"/>
    <w:uiPriority w:val="9"/>
    <w:semiHidden w:val="1"/>
    <w:rsid w:val="007854F3"/>
    <w:rPr>
      <w:rFonts w:cstheme="majorBidi" w:eastAsiaTheme="majorEastAsia"/>
      <w:i w:val="1"/>
      <w:iCs w:val="1"/>
      <w:color w:val="2f5496" w:themeColor="accent1" w:themeShade="0000BF"/>
    </w:rPr>
  </w:style>
  <w:style w:type="character" w:styleId="Heading5Char" w:customStyle="1">
    <w:name w:val="Heading 5 Char"/>
    <w:basedOn w:val="DefaultParagraphFont"/>
    <w:link w:val="Heading5"/>
    <w:uiPriority w:val="9"/>
    <w:semiHidden w:val="1"/>
    <w:rsid w:val="007854F3"/>
    <w:rPr>
      <w:rFonts w:cstheme="majorBidi" w:eastAsiaTheme="majorEastAsia"/>
      <w:color w:val="2f5496" w:themeColor="accent1" w:themeShade="0000BF"/>
    </w:rPr>
  </w:style>
  <w:style w:type="character" w:styleId="Heading6Char" w:customStyle="1">
    <w:name w:val="Heading 6 Char"/>
    <w:basedOn w:val="DefaultParagraphFont"/>
    <w:link w:val="Heading6"/>
    <w:uiPriority w:val="9"/>
    <w:semiHidden w:val="1"/>
    <w:rsid w:val="007854F3"/>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7854F3"/>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7854F3"/>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7854F3"/>
    <w:rPr>
      <w:rFonts w:cstheme="majorBidi" w:eastAsiaTheme="majorEastAsia"/>
      <w:color w:val="272727" w:themeColor="text1" w:themeTint="0000D8"/>
    </w:rPr>
  </w:style>
  <w:style w:type="paragraph" w:styleId="Title">
    <w:name w:val="Title"/>
    <w:basedOn w:val="Normal"/>
    <w:next w:val="Normal"/>
    <w:link w:val="TitleChar"/>
    <w:uiPriority w:val="10"/>
    <w:qFormat w:val="1"/>
    <w:rsid w:val="007854F3"/>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7854F3"/>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7854F3"/>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7854F3"/>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7854F3"/>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7854F3"/>
    <w:rPr>
      <w:i w:val="1"/>
      <w:iCs w:val="1"/>
      <w:color w:val="404040" w:themeColor="text1" w:themeTint="0000BF"/>
    </w:rPr>
  </w:style>
  <w:style w:type="paragraph" w:styleId="ListParagraph">
    <w:name w:val="List Paragraph"/>
    <w:basedOn w:val="Normal"/>
    <w:uiPriority w:val="34"/>
    <w:qFormat w:val="1"/>
    <w:rsid w:val="007854F3"/>
    <w:pPr>
      <w:ind w:left="720"/>
      <w:contextualSpacing w:val="1"/>
    </w:pPr>
  </w:style>
  <w:style w:type="character" w:styleId="IntenseEmphasis">
    <w:name w:val="Intense Emphasis"/>
    <w:basedOn w:val="DefaultParagraphFont"/>
    <w:uiPriority w:val="21"/>
    <w:qFormat w:val="1"/>
    <w:rsid w:val="007854F3"/>
    <w:rPr>
      <w:i w:val="1"/>
      <w:iCs w:val="1"/>
      <w:color w:val="2f5496" w:themeColor="accent1" w:themeShade="0000BF"/>
    </w:rPr>
  </w:style>
  <w:style w:type="paragraph" w:styleId="IntenseQuote">
    <w:name w:val="Intense Quote"/>
    <w:basedOn w:val="Normal"/>
    <w:next w:val="Normal"/>
    <w:link w:val="IntenseQuoteChar"/>
    <w:uiPriority w:val="30"/>
    <w:qFormat w:val="1"/>
    <w:rsid w:val="007854F3"/>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7854F3"/>
    <w:rPr>
      <w:i w:val="1"/>
      <w:iCs w:val="1"/>
      <w:color w:val="2f5496" w:themeColor="accent1" w:themeShade="0000BF"/>
    </w:rPr>
  </w:style>
  <w:style w:type="character" w:styleId="IntenseReference">
    <w:name w:val="Intense Reference"/>
    <w:basedOn w:val="DefaultParagraphFont"/>
    <w:uiPriority w:val="32"/>
    <w:qFormat w:val="1"/>
    <w:rsid w:val="007854F3"/>
    <w:rPr>
      <w:b w:val="1"/>
      <w:bCs w:val="1"/>
      <w:smallCaps w:val="1"/>
      <w:color w:val="2f5496" w:themeColor="accent1" w:themeShade="0000BF"/>
      <w:spacing w:val="5"/>
    </w:rPr>
  </w:style>
  <w:style w:type="paragraph" w:styleId="NormalWeb">
    <w:name w:val="Normal (Web)"/>
    <w:basedOn w:val="Normal"/>
    <w:uiPriority w:val="99"/>
    <w:unhideWhenUsed w:val="1"/>
    <w:rsid w:val="007854F3"/>
    <w:pPr>
      <w:spacing w:after="100" w:afterAutospacing="1" w:before="100" w:beforeAutospacing="1" w:line="240" w:lineRule="auto"/>
    </w:pPr>
    <w:rPr>
      <w:rFonts w:ascii="Times New Roman" w:cs="Times New Roman" w:eastAsia="Times New Roman" w:hAnsi="Times New Roman"/>
      <w:kern w:val="0"/>
      <w:sz w:val="24"/>
      <w:szCs w:val="24"/>
    </w:rPr>
  </w:style>
  <w:style w:type="character" w:styleId="Hyperlink">
    <w:name w:val="Hyperlink"/>
    <w:basedOn w:val="DefaultParagraphFont"/>
    <w:uiPriority w:val="99"/>
    <w:unhideWhenUsed w:val="1"/>
    <w:rsid w:val="007854F3"/>
    <w:rPr>
      <w:color w:val="0563c1" w:themeColor="hyperlink"/>
      <w:u w:val="single"/>
    </w:rPr>
  </w:style>
  <w:style w:type="paragraph" w:styleId="TOC2">
    <w:name w:val="toc 2"/>
    <w:basedOn w:val="Normal"/>
    <w:next w:val="Normal"/>
    <w:autoRedefine w:val="1"/>
    <w:uiPriority w:val="39"/>
    <w:unhideWhenUsed w:val="1"/>
    <w:rsid w:val="007854F3"/>
    <w:pPr>
      <w:spacing w:after="100"/>
      <w:ind w:left="220"/>
    </w:pPr>
  </w:style>
  <w:style w:type="character" w:styleId="Strong">
    <w:name w:val="Strong"/>
    <w:basedOn w:val="DefaultParagraphFont"/>
    <w:uiPriority w:val="22"/>
    <w:qFormat w:val="1"/>
    <w:rsid w:val="00D93526"/>
    <w:rPr>
      <w:b w:val="1"/>
      <w:bCs w:val="1"/>
    </w:rPr>
  </w:style>
  <w:style w:type="paragraph" w:styleId="Header">
    <w:name w:val="header"/>
    <w:basedOn w:val="Normal"/>
    <w:link w:val="HeaderChar"/>
    <w:uiPriority w:val="99"/>
    <w:unhideWhenUsed w:val="1"/>
    <w:rsid w:val="005F12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5F1284"/>
  </w:style>
  <w:style w:type="paragraph" w:styleId="Footer">
    <w:name w:val="footer"/>
    <w:basedOn w:val="Normal"/>
    <w:link w:val="FooterChar"/>
    <w:uiPriority w:val="99"/>
    <w:unhideWhenUsed w:val="1"/>
    <w:rsid w:val="005F12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5F1284"/>
  </w:style>
  <w:style w:type="paragraph" w:styleId="FootnoteText">
    <w:name w:val="footnote text"/>
    <w:link w:val="FootnoteTextChar"/>
    <w:rsid w:val="00896037"/>
    <w:pPr>
      <w:pBdr>
        <w:top w:space="0" w:sz="0" w:val="nil"/>
        <w:left w:space="0" w:sz="0" w:val="nil"/>
        <w:bottom w:space="0" w:sz="0" w:val="nil"/>
        <w:right w:space="0" w:sz="0" w:val="nil"/>
        <w:between w:space="0" w:sz="0" w:val="nil"/>
        <w:bar w:space="0" w:sz="0" w:val="nil"/>
      </w:pBdr>
      <w:spacing w:after="0" w:line="240" w:lineRule="auto"/>
    </w:pPr>
    <w:rPr>
      <w:rFonts w:ascii="Calibri" w:cs="Calibri" w:eastAsia="Calibri" w:hAnsi="Calibri"/>
      <w:color w:val="000000"/>
      <w:kern w:val="0"/>
      <w:sz w:val="20"/>
      <w:szCs w:val="20"/>
      <w:u w:color="000000"/>
      <w:bdr w:space="0" w:sz="0" w:val="nil"/>
      <w:lang w:eastAsia="fr-FR" w:val="fr-FR"/>
    </w:rPr>
  </w:style>
  <w:style w:type="character" w:styleId="FootnoteTextChar" w:customStyle="1">
    <w:name w:val="Footnote Text Char"/>
    <w:basedOn w:val="DefaultParagraphFont"/>
    <w:link w:val="FootnoteText"/>
    <w:rsid w:val="00896037"/>
    <w:rPr>
      <w:rFonts w:ascii="Calibri" w:cs="Calibri" w:eastAsia="Calibri" w:hAnsi="Calibri"/>
      <w:color w:val="000000"/>
      <w:kern w:val="0"/>
      <w:sz w:val="20"/>
      <w:szCs w:val="20"/>
      <w:u w:color="000000"/>
      <w:bdr w:space="0" w:sz="0" w:val="nil"/>
      <w:lang w:eastAsia="fr-FR" w:val="fr-FR"/>
    </w:rPr>
  </w:style>
  <w:style w:type="character" w:styleId="FootnoteReference">
    <w:name w:val="footnote reference"/>
    <w:basedOn w:val="DefaultParagraphFont"/>
    <w:uiPriority w:val="99"/>
    <w:semiHidden w:val="1"/>
    <w:unhideWhenUsed w:val="1"/>
    <w:rsid w:val="00896037"/>
    <w:rPr>
      <w:vertAlign w:val="superscript"/>
    </w:rPr>
  </w:style>
  <w:style w:type="character" w:styleId="UnresolvedMention">
    <w:name w:val="Unresolved Mention"/>
    <w:basedOn w:val="DefaultParagraphFont"/>
    <w:uiPriority w:val="99"/>
    <w:semiHidden w:val="1"/>
    <w:unhideWhenUsed w:val="1"/>
    <w:rsid w:val="007D6FD2"/>
    <w:rPr>
      <w:color w:val="605e5c"/>
      <w:shd w:color="auto" w:fill="e1dfdd" w:val="clear"/>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3.xml"/><Relationship Id="rId5" Type="http://schemas.openxmlformats.org/officeDocument/2006/relationships/numbering" Target="numbering.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unpo.org/article/22129" TargetMode="External"/><Relationship Id="rId2" Type="http://schemas.openxmlformats.org/officeDocument/2006/relationships/hyperlink" Target="https://www.refworld.org/docid/453883f822.html" TargetMode="External"/><Relationship Id="rId3" Type="http://schemas.openxmlformats.org/officeDocument/2006/relationships/hyperlink" Target="https://www.bbc.com/news/world-asia-india-59544599" TargetMode="External"/><Relationship Id="rId4" Type="http://schemas.openxmlformats.org/officeDocument/2006/relationships/hyperlink" Target="https://www.state.gov/reports/2023-country-reports-on-human-rights-practices/in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I5EJPTMNvX7PNWfbS8TrRP+vtg==">CgMxLjAyCGguZ2pkZ3hzMgloLjMwajB6bGwyDmguaHhrdzQzbmNhcmM1Mg5oLmE1bGQxbTJ5cnd3ajIOaC55eXR2ejF5ZjgwczE4AHIhMUhwZmQ5TmI0NF9oeDhCcEg5emVBUHlGZTFhRTVEVm1E</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A89F7732-EC3E-4101-9158-9228C97C746D}"/>
</file>

<file path=customXML/itemProps3.xml><?xml version="1.0" encoding="utf-8"?>
<ds:datastoreItem xmlns:ds="http://schemas.openxmlformats.org/officeDocument/2006/customXml" ds:itemID="{2A93EF43-CFC1-473E-81CC-84E1C8101BA9}"/>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2024-07-04T05:13:00Z</dcterms:created>
  <dc:creator>elysia rezki</dc:creator>
</cp:coreProperties>
</file>