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29B8B" w14:textId="77777777" w:rsidR="00822F51" w:rsidRDefault="001A22F2">
      <w:pPr>
        <w:rPr>
          <w:rFonts w:ascii="Calibri" w:eastAsia="Calibri" w:hAnsi="Calibri" w:cs="Calibri"/>
          <w:b/>
          <w:bCs/>
        </w:rPr>
      </w:pPr>
      <w:r>
        <w:rPr>
          <w:rFonts w:ascii="Calibri" w:eastAsia="Calibri" w:hAnsi="Calibri" w:cs="Calibri"/>
          <w:b/>
          <w:bCs/>
          <w:noProof/>
        </w:rPr>
        <w:drawing>
          <wp:inline distT="114300" distB="114300" distL="114300" distR="114300" wp14:anchorId="6A91A7BC" wp14:editId="70DCD493">
            <wp:extent cx="5943600" cy="10033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943600" cy="1003300"/>
                    </a:xfrm>
                    <a:prstGeom prst="rect">
                      <a:avLst/>
                    </a:prstGeom>
                    <a:ln/>
                  </pic:spPr>
                </pic:pic>
              </a:graphicData>
            </a:graphic>
          </wp:inline>
        </w:drawing>
      </w:r>
    </w:p>
    <w:p w14:paraId="3805DC11" w14:textId="77777777" w:rsidR="00822F51" w:rsidRDefault="00822F51">
      <w:pPr>
        <w:rPr>
          <w:rFonts w:ascii="Calibri" w:eastAsia="Calibri" w:hAnsi="Calibri" w:cs="Calibri"/>
          <w:b/>
          <w:bCs/>
        </w:rPr>
      </w:pPr>
    </w:p>
    <w:p w14:paraId="53D85755" w14:textId="49E226AD" w:rsidR="00822F51" w:rsidRDefault="001A22F2">
      <w:pPr>
        <w:rPr>
          <w:rFonts w:ascii="Calibri" w:eastAsia="Calibri" w:hAnsi="Calibri" w:cs="Calibri"/>
          <w:b/>
          <w:bCs/>
        </w:rPr>
      </w:pPr>
      <w:r>
        <w:rPr>
          <w:rFonts w:ascii="Calibri" w:eastAsia="Calibri" w:hAnsi="Calibri" w:cs="Calibri"/>
          <w:b/>
          <w:bCs/>
        </w:rPr>
        <w:t>The International Justice and Human Rights Clinic’s submissions in advance of the consideration of the seventh Periodic Report of Canada, Human Rights Committee, 145th session, March 2026</w:t>
      </w:r>
    </w:p>
    <w:p w14:paraId="2D9B4BF2" w14:textId="77777777" w:rsidR="00822F51" w:rsidRDefault="00822F51">
      <w:pPr>
        <w:rPr>
          <w:rFonts w:ascii="Calibri" w:eastAsia="Calibri" w:hAnsi="Calibri" w:cs="Calibri"/>
          <w:b/>
          <w:bCs/>
        </w:rPr>
      </w:pPr>
    </w:p>
    <w:p w14:paraId="39BD4441" w14:textId="77777777" w:rsidR="00822F51" w:rsidRDefault="001A22F2">
      <w:pPr>
        <w:jc w:val="center"/>
        <w:rPr>
          <w:rFonts w:ascii="Calibri" w:eastAsia="Calibri" w:hAnsi="Calibri" w:cs="Calibri"/>
          <w:b/>
          <w:bCs/>
          <w:sz w:val="26"/>
          <w:szCs w:val="26"/>
          <w:highlight w:val="yellow"/>
          <w:u w:val="single"/>
        </w:rPr>
      </w:pPr>
      <w:r>
        <w:rPr>
          <w:rFonts w:ascii="Calibri" w:eastAsia="Calibri" w:hAnsi="Calibri" w:cs="Calibri"/>
          <w:b/>
          <w:bCs/>
          <w:sz w:val="26"/>
          <w:szCs w:val="26"/>
          <w:u w:val="single"/>
        </w:rPr>
        <w:t xml:space="preserve">Protection of Whistleblowers </w:t>
      </w:r>
    </w:p>
    <w:p w14:paraId="2CF03413" w14:textId="77777777" w:rsidR="00822F51" w:rsidRDefault="001A22F2">
      <w:pPr>
        <w:jc w:val="right"/>
        <w:rPr>
          <w:rFonts w:ascii="Calibri" w:eastAsia="Calibri" w:hAnsi="Calibri" w:cs="Calibri"/>
        </w:rPr>
      </w:pPr>
      <w:r>
        <w:rPr>
          <w:noProof/>
        </w:rPr>
        <w:drawing>
          <wp:anchor distT="114300" distB="114300" distL="114300" distR="114300" simplePos="0" relativeHeight="251658240" behindDoc="1" locked="0" layoutInCell="1" hidden="0" allowOverlap="1" wp14:anchorId="62D40037" wp14:editId="7A191EB6">
            <wp:simplePos x="0" y="0"/>
            <wp:positionH relativeFrom="column">
              <wp:posOffset>838200</wp:posOffset>
            </wp:positionH>
            <wp:positionV relativeFrom="paragraph">
              <wp:posOffset>243737</wp:posOffset>
            </wp:positionV>
            <wp:extent cx="681038" cy="521202"/>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81038" cy="521202"/>
                    </a:xfrm>
                    <a:prstGeom prst="rect">
                      <a:avLst/>
                    </a:prstGeom>
                    <a:ln/>
                  </pic:spPr>
                </pic:pic>
              </a:graphicData>
            </a:graphic>
          </wp:anchor>
        </w:drawing>
      </w:r>
    </w:p>
    <w:p w14:paraId="160A9B2A" w14:textId="77777777" w:rsidR="00822F51" w:rsidRDefault="001A22F2">
      <w:pPr>
        <w:jc w:val="right"/>
        <w:rPr>
          <w:rFonts w:ascii="Calibri" w:eastAsia="Calibri" w:hAnsi="Calibri" w:cs="Calibri"/>
        </w:rPr>
      </w:pPr>
      <w:r>
        <w:rPr>
          <w:rFonts w:ascii="Calibri" w:eastAsia="Calibri" w:hAnsi="Calibri" w:cs="Calibri"/>
        </w:rPr>
        <w:t>February 2026</w:t>
      </w:r>
    </w:p>
    <w:p w14:paraId="2FEF6111" w14:textId="77777777" w:rsidR="00822F51" w:rsidRDefault="001A22F2">
      <w:pPr>
        <w:rPr>
          <w:rFonts w:ascii="Calibri" w:eastAsia="Calibri" w:hAnsi="Calibri" w:cs="Calibri"/>
          <w:sz w:val="21"/>
          <w:szCs w:val="21"/>
        </w:rPr>
      </w:pPr>
      <w:r>
        <w:rPr>
          <w:rFonts w:ascii="Calibri" w:eastAsia="Calibri" w:hAnsi="Calibri" w:cs="Calibri"/>
        </w:rPr>
        <w:t xml:space="preserve">Endorsed </w:t>
      </w:r>
      <w:proofErr w:type="gramStart"/>
      <w:r>
        <w:rPr>
          <w:rFonts w:ascii="Calibri" w:eastAsia="Calibri" w:hAnsi="Calibri" w:cs="Calibri"/>
        </w:rPr>
        <w:t>by :</w:t>
      </w:r>
      <w:proofErr w:type="gramEnd"/>
      <w:r>
        <w:rPr>
          <w:rFonts w:ascii="Calibri" w:eastAsia="Calibri" w:hAnsi="Calibri" w:cs="Calibri"/>
        </w:rPr>
        <w:t xml:space="preserve">  </w:t>
      </w:r>
      <w:r>
        <w:rPr>
          <w:rFonts w:ascii="Calibri" w:eastAsia="Calibri" w:hAnsi="Calibri" w:cs="Calibri"/>
          <w:sz w:val="24"/>
          <w:szCs w:val="24"/>
        </w:rPr>
        <w:t xml:space="preserve">                    </w:t>
      </w:r>
      <w:r>
        <w:rPr>
          <w:rFonts w:ascii="Calibri" w:eastAsia="Calibri" w:hAnsi="Calibri" w:cs="Calibri"/>
          <w:sz w:val="21"/>
          <w:szCs w:val="21"/>
        </w:rPr>
        <w:t>Whistleblowing Canada Research Society</w:t>
      </w:r>
    </w:p>
    <w:p w14:paraId="0D6B959B" w14:textId="77777777" w:rsidR="00822F51" w:rsidRDefault="00822F51">
      <w:pPr>
        <w:jc w:val="center"/>
        <w:rPr>
          <w:rFonts w:ascii="Calibri" w:eastAsia="Calibri" w:hAnsi="Calibri" w:cs="Calibri"/>
          <w:sz w:val="19"/>
          <w:szCs w:val="19"/>
        </w:rPr>
      </w:pPr>
    </w:p>
    <w:p w14:paraId="73571946" w14:textId="77777777" w:rsidR="00822F51" w:rsidRDefault="001A22F2">
      <w:pPr>
        <w:jc w:val="center"/>
        <w:rPr>
          <w:rFonts w:ascii="Calibri" w:eastAsia="Calibri" w:hAnsi="Calibri" w:cs="Calibri"/>
          <w:b/>
          <w:bCs/>
          <w:sz w:val="24"/>
          <w:szCs w:val="24"/>
          <w:u w:val="single"/>
        </w:rPr>
      </w:pPr>
      <w:r>
        <w:rPr>
          <w:rFonts w:ascii="Calibri" w:eastAsia="Calibri" w:hAnsi="Calibri" w:cs="Calibri"/>
          <w:b/>
          <w:bCs/>
          <w:sz w:val="24"/>
          <w:szCs w:val="24"/>
          <w:u w:val="single"/>
        </w:rPr>
        <w:t>_____________________________________________________</w:t>
      </w:r>
    </w:p>
    <w:p w14:paraId="6F717495" w14:textId="77777777" w:rsidR="00822F51" w:rsidRDefault="00822F51">
      <w:pPr>
        <w:jc w:val="center"/>
        <w:rPr>
          <w:rFonts w:ascii="Calibri" w:eastAsia="Calibri" w:hAnsi="Calibri" w:cs="Calibri"/>
          <w:b/>
          <w:bCs/>
          <w:sz w:val="24"/>
          <w:szCs w:val="24"/>
          <w:u w:val="single"/>
        </w:rPr>
      </w:pPr>
    </w:p>
    <w:p w14:paraId="6E927688" w14:textId="77777777" w:rsidR="00822F51" w:rsidRDefault="001A22F2">
      <w:pPr>
        <w:jc w:val="center"/>
        <w:rPr>
          <w:rFonts w:ascii="Calibri" w:eastAsia="Calibri" w:hAnsi="Calibri" w:cs="Calibri"/>
          <w:b/>
          <w:bCs/>
          <w:sz w:val="24"/>
          <w:szCs w:val="24"/>
          <w:u w:val="single"/>
        </w:rPr>
      </w:pPr>
      <w:r>
        <w:rPr>
          <w:rFonts w:ascii="Calibri" w:eastAsia="Calibri" w:hAnsi="Calibri" w:cs="Calibri"/>
          <w:b/>
          <w:bCs/>
          <w:sz w:val="24"/>
          <w:szCs w:val="24"/>
          <w:u w:val="single"/>
        </w:rPr>
        <w:t>Executive Summary</w:t>
      </w:r>
    </w:p>
    <w:p w14:paraId="03DA29BC" w14:textId="77777777" w:rsidR="00822F51" w:rsidRDefault="001A22F2">
      <w:pPr>
        <w:ind w:firstLine="720"/>
        <w:jc w:val="both"/>
        <w:rPr>
          <w:rFonts w:ascii="Calibri" w:eastAsia="Calibri" w:hAnsi="Calibri" w:cs="Calibri"/>
        </w:rPr>
      </w:pPr>
      <w:r>
        <w:rPr>
          <w:rFonts w:ascii="Calibri" w:eastAsia="Calibri" w:hAnsi="Calibri" w:cs="Calibri"/>
        </w:rPr>
        <w:t xml:space="preserve">This shadow report identifies six key issues concerning Canada’s whistleblower protection framework in response to </w:t>
      </w:r>
      <w:r>
        <w:rPr>
          <w:rFonts w:ascii="Calibri" w:eastAsia="Calibri" w:hAnsi="Calibri" w:cs="Calibri"/>
          <w:b/>
          <w:bCs/>
        </w:rPr>
        <w:t>paragraph 22 of the List of Issues</w:t>
      </w:r>
      <w:r>
        <w:rPr>
          <w:rFonts w:ascii="Calibri" w:eastAsia="Calibri" w:hAnsi="Calibri" w:cs="Calibri"/>
        </w:rPr>
        <w:t xml:space="preserve"> prior to the submission of Canada’s periodic report under the </w:t>
      </w:r>
      <w:r>
        <w:rPr>
          <w:rFonts w:ascii="Calibri" w:eastAsia="Calibri" w:hAnsi="Calibri" w:cs="Calibri"/>
          <w:b/>
          <w:bCs/>
        </w:rPr>
        <w:t>International Covenant on Civil and Political Rights</w:t>
      </w:r>
      <w:r>
        <w:rPr>
          <w:rFonts w:ascii="Calibri" w:eastAsia="Calibri" w:hAnsi="Calibri" w:cs="Calibri"/>
        </w:rPr>
        <w:t xml:space="preserve"> (ICCPR). This report demonstrates that the federal </w:t>
      </w:r>
      <w:r>
        <w:rPr>
          <w:rFonts w:ascii="Calibri" w:eastAsia="Calibri" w:hAnsi="Calibri" w:cs="Calibri"/>
          <w:b/>
          <w:bCs/>
          <w:i/>
          <w:iCs/>
        </w:rPr>
        <w:t>Public Servants Disclosure Protection Act</w:t>
      </w:r>
      <w:r>
        <w:rPr>
          <w:rFonts w:ascii="Calibri" w:eastAsia="Calibri" w:hAnsi="Calibri" w:cs="Calibri"/>
        </w:rPr>
        <w:t xml:space="preserve"> (“</w:t>
      </w:r>
      <w:r>
        <w:rPr>
          <w:rFonts w:ascii="Calibri" w:eastAsia="Calibri" w:hAnsi="Calibri" w:cs="Calibri"/>
          <w:b/>
          <w:bCs/>
        </w:rPr>
        <w:t>PSPDA</w:t>
      </w:r>
      <w:r>
        <w:rPr>
          <w:rFonts w:ascii="Calibri" w:eastAsia="Calibri" w:hAnsi="Calibri" w:cs="Calibri"/>
        </w:rPr>
        <w:t xml:space="preserve">”) significantly fails to meet the minimal threshold required for effective whistleblower protection. Such systemic deficiencies in the federal </w:t>
      </w:r>
      <w:r>
        <w:rPr>
          <w:rFonts w:ascii="Calibri" w:eastAsia="Calibri" w:hAnsi="Calibri" w:cs="Calibri"/>
          <w:b/>
          <w:bCs/>
        </w:rPr>
        <w:t xml:space="preserve">PSPDA </w:t>
      </w:r>
      <w:r>
        <w:rPr>
          <w:rFonts w:ascii="Calibri" w:eastAsia="Calibri" w:hAnsi="Calibri" w:cs="Calibri"/>
        </w:rPr>
        <w:t>are also consistently replicated across provincial and territorial whistleblowers’ protection legislation, resul</w:t>
      </w:r>
      <w:r>
        <w:rPr>
          <w:rFonts w:ascii="Calibri" w:eastAsia="Calibri" w:hAnsi="Calibri" w:cs="Calibri"/>
        </w:rPr>
        <w:t xml:space="preserve">ting in a fragmented, ineffective, and unequal system of protection for individuals who disclose wrongdoing in the public interest across Canada. Collectively, these deficiencies undermine freedom of expression, impede access to an effective remedy, and result in unequal protection under the law, in breach of </w:t>
      </w:r>
      <w:r>
        <w:rPr>
          <w:rFonts w:ascii="Calibri" w:eastAsia="Calibri" w:hAnsi="Calibri" w:cs="Calibri"/>
          <w:b/>
          <w:bCs/>
        </w:rPr>
        <w:t>Articles 19, 2(3), and 26 of the ICCPR</w:t>
      </w:r>
      <w:r>
        <w:rPr>
          <w:rFonts w:ascii="Calibri" w:eastAsia="Calibri" w:hAnsi="Calibri" w:cs="Calibri"/>
        </w:rPr>
        <w:t>.</w:t>
      </w:r>
    </w:p>
    <w:p w14:paraId="637FBB2E" w14:textId="77777777" w:rsidR="00822F51" w:rsidRDefault="00822F51">
      <w:pPr>
        <w:jc w:val="both"/>
        <w:rPr>
          <w:rFonts w:ascii="Calibri" w:eastAsia="Calibri" w:hAnsi="Calibri" w:cs="Calibri"/>
          <w:b/>
          <w:bCs/>
          <w:u w:val="single"/>
        </w:rPr>
      </w:pPr>
    </w:p>
    <w:p w14:paraId="363CC228" w14:textId="77777777" w:rsidR="00822F51" w:rsidRDefault="001A22F2">
      <w:pPr>
        <w:jc w:val="both"/>
        <w:rPr>
          <w:rFonts w:ascii="Calibri" w:eastAsia="Calibri" w:hAnsi="Calibri" w:cs="Calibri"/>
          <w:b/>
          <w:bCs/>
          <w:u w:val="single"/>
        </w:rPr>
      </w:pPr>
      <w:r>
        <w:rPr>
          <w:rFonts w:ascii="Calibri" w:eastAsia="Calibri" w:hAnsi="Calibri" w:cs="Calibri"/>
          <w:b/>
          <w:bCs/>
          <w:u w:val="single"/>
        </w:rPr>
        <w:t>Key Issue 1: Narrow and Status-based Scope of Protection (p. 11-14)</w:t>
      </w:r>
    </w:p>
    <w:p w14:paraId="53F14854" w14:textId="77777777" w:rsidR="00822F51" w:rsidRDefault="001A22F2">
      <w:pPr>
        <w:ind w:firstLine="720"/>
        <w:jc w:val="both"/>
        <w:rPr>
          <w:rFonts w:ascii="Calibri" w:eastAsia="Calibri" w:hAnsi="Calibri" w:cs="Calibri"/>
        </w:rPr>
      </w:pPr>
      <w:r>
        <w:rPr>
          <w:rFonts w:ascii="Calibri" w:eastAsia="Calibri" w:hAnsi="Calibri" w:cs="Calibri"/>
        </w:rPr>
        <w:t xml:space="preserve">The federal </w:t>
      </w:r>
      <w:r>
        <w:rPr>
          <w:rFonts w:ascii="Calibri" w:eastAsia="Calibri" w:hAnsi="Calibri" w:cs="Calibri"/>
          <w:b/>
          <w:bCs/>
          <w:i/>
          <w:iCs/>
        </w:rPr>
        <w:t>PSDPA</w:t>
      </w:r>
      <w:r>
        <w:rPr>
          <w:rFonts w:ascii="Calibri" w:eastAsia="Calibri" w:hAnsi="Calibri" w:cs="Calibri"/>
        </w:rPr>
        <w:t xml:space="preserve"> confines whistleblower protection to a narrowly defined class of "public servants”, excluding contractors, consultants, interns, volunteers, and others who routinely perform public functions or process information of public interest. Protection is thus conditioned on employment status rather than the nature of the disclosure or its public interest value, an approach that fails to reflect contemporary governance arrangements involving arms-length and private actors. Provincial and territorial whistlebl</w:t>
      </w:r>
      <w:r>
        <w:rPr>
          <w:rFonts w:ascii="Calibri" w:eastAsia="Calibri" w:hAnsi="Calibri" w:cs="Calibri"/>
        </w:rPr>
        <w:t xml:space="preserve">ower statutes largely replicate this model (with Quebec as an exception), resulting in materially different levels of protection and access to remedies for individuals who disclose comparable wrongdoing based solely on contractual status. </w:t>
      </w:r>
    </w:p>
    <w:p w14:paraId="6A70A983" w14:textId="77777777" w:rsidR="00822F51" w:rsidRDefault="00822F51">
      <w:pPr>
        <w:jc w:val="both"/>
        <w:rPr>
          <w:rFonts w:ascii="Calibri" w:eastAsia="Calibri" w:hAnsi="Calibri" w:cs="Calibri"/>
          <w:b/>
          <w:bCs/>
          <w:u w:val="single"/>
        </w:rPr>
      </w:pPr>
    </w:p>
    <w:p w14:paraId="7F23EF1C" w14:textId="77777777" w:rsidR="00822F51" w:rsidRDefault="001A22F2">
      <w:pPr>
        <w:jc w:val="both"/>
        <w:rPr>
          <w:rFonts w:ascii="Calibri" w:eastAsia="Calibri" w:hAnsi="Calibri" w:cs="Calibri"/>
          <w:b/>
          <w:bCs/>
          <w:u w:val="single"/>
        </w:rPr>
      </w:pPr>
      <w:r>
        <w:rPr>
          <w:rFonts w:ascii="Calibri" w:eastAsia="Calibri" w:hAnsi="Calibri" w:cs="Calibri"/>
          <w:b/>
          <w:bCs/>
          <w:u w:val="single"/>
        </w:rPr>
        <w:t>Key Issue 2: Good Faith Requirement (p. 15)</w:t>
      </w:r>
    </w:p>
    <w:p w14:paraId="2099144A" w14:textId="77777777" w:rsidR="00822F51" w:rsidRDefault="001A22F2">
      <w:pPr>
        <w:jc w:val="both"/>
        <w:rPr>
          <w:rFonts w:ascii="Calibri" w:eastAsia="Calibri" w:hAnsi="Calibri" w:cs="Calibri"/>
        </w:rPr>
      </w:pPr>
      <w:r>
        <w:rPr>
          <w:rFonts w:ascii="Calibri" w:eastAsia="Calibri" w:hAnsi="Calibri" w:cs="Calibri"/>
        </w:rPr>
        <w:tab/>
        <w:t xml:space="preserve">The </w:t>
      </w:r>
      <w:r>
        <w:rPr>
          <w:rFonts w:ascii="Calibri" w:eastAsia="Calibri" w:hAnsi="Calibri" w:cs="Calibri"/>
          <w:b/>
          <w:bCs/>
          <w:i/>
          <w:iCs/>
        </w:rPr>
        <w:t>PSDPA</w:t>
      </w:r>
      <w:r>
        <w:rPr>
          <w:rFonts w:ascii="Calibri" w:eastAsia="Calibri" w:hAnsi="Calibri" w:cs="Calibri"/>
        </w:rPr>
        <w:t xml:space="preserve"> conditions whistleblower protection on a vague </w:t>
      </w:r>
      <w:r>
        <w:rPr>
          <w:rFonts w:ascii="Calibri" w:eastAsia="Calibri" w:hAnsi="Calibri" w:cs="Calibri"/>
          <w:b/>
          <w:bCs/>
        </w:rPr>
        <w:t>“good faith”</w:t>
      </w:r>
      <w:r>
        <w:rPr>
          <w:rFonts w:ascii="Calibri" w:eastAsia="Calibri" w:hAnsi="Calibri" w:cs="Calibri"/>
        </w:rPr>
        <w:t xml:space="preserve"> requirement that permits retrospective scrutiny of a whistleblower’s motives. Such a requirement has been </w:t>
      </w:r>
      <w:proofErr w:type="spellStart"/>
      <w:r>
        <w:rPr>
          <w:rFonts w:ascii="Calibri" w:eastAsia="Calibri" w:hAnsi="Calibri" w:cs="Calibri"/>
        </w:rPr>
        <w:t>recognised</w:t>
      </w:r>
      <w:proofErr w:type="spellEnd"/>
      <w:r>
        <w:rPr>
          <w:rFonts w:ascii="Calibri" w:eastAsia="Calibri" w:hAnsi="Calibri" w:cs="Calibri"/>
        </w:rPr>
        <w:t xml:space="preserve"> by </w:t>
      </w:r>
      <w:r>
        <w:rPr>
          <w:rFonts w:ascii="Calibri" w:eastAsia="Calibri" w:hAnsi="Calibri" w:cs="Calibri"/>
        </w:rPr>
        <w:lastRenderedPageBreak/>
        <w:t xml:space="preserve">Parliamentary review as chilling disclosure, particularly in cases involving senior officials or systemic misconduct. Additionally, it is an intentional tactic to shift the focus from the content of the disclosure to the whistleblower themselves.  </w:t>
      </w:r>
      <w:r>
        <w:rPr>
          <w:rFonts w:ascii="Calibri" w:eastAsia="Calibri" w:hAnsi="Calibri" w:cs="Calibri"/>
          <w:b/>
          <w:bCs/>
        </w:rPr>
        <w:t>All</w:t>
      </w:r>
      <w:r>
        <w:rPr>
          <w:rFonts w:ascii="Calibri" w:eastAsia="Calibri" w:hAnsi="Calibri" w:cs="Calibri"/>
        </w:rPr>
        <w:t xml:space="preserve"> provincial whistleblower regimes replicate this requirement from the feder</w:t>
      </w:r>
      <w:r>
        <w:rPr>
          <w:rFonts w:ascii="Calibri" w:eastAsia="Calibri" w:hAnsi="Calibri" w:cs="Calibri"/>
        </w:rPr>
        <w:t xml:space="preserve">al </w:t>
      </w:r>
      <w:r>
        <w:rPr>
          <w:rFonts w:ascii="Calibri" w:eastAsia="Calibri" w:hAnsi="Calibri" w:cs="Calibri"/>
          <w:b/>
          <w:bCs/>
          <w:i/>
          <w:iCs/>
        </w:rPr>
        <w:t>PSDPA</w:t>
      </w:r>
      <w:r>
        <w:rPr>
          <w:rFonts w:ascii="Calibri" w:eastAsia="Calibri" w:hAnsi="Calibri" w:cs="Calibri"/>
        </w:rPr>
        <w:t>, despite longstanding criticism of the standard, creating uncertainty and discouraging disclosures by allowing motive and credibility to be contested after retaliation has occurred.</w:t>
      </w:r>
    </w:p>
    <w:p w14:paraId="2BAC0BF6" w14:textId="77777777" w:rsidR="00822F51" w:rsidRDefault="00822F51">
      <w:pPr>
        <w:jc w:val="both"/>
        <w:rPr>
          <w:rFonts w:ascii="Calibri" w:eastAsia="Calibri" w:hAnsi="Calibri" w:cs="Calibri"/>
        </w:rPr>
      </w:pPr>
    </w:p>
    <w:p w14:paraId="0253B53C" w14:textId="77777777" w:rsidR="00822F51" w:rsidRDefault="001A22F2">
      <w:pPr>
        <w:jc w:val="both"/>
        <w:rPr>
          <w:rFonts w:ascii="Calibri" w:eastAsia="Calibri" w:hAnsi="Calibri" w:cs="Calibri"/>
          <w:b/>
          <w:bCs/>
          <w:u w:val="single"/>
        </w:rPr>
      </w:pPr>
      <w:r>
        <w:rPr>
          <w:rFonts w:ascii="Calibri" w:eastAsia="Calibri" w:hAnsi="Calibri" w:cs="Calibri"/>
          <w:b/>
          <w:bCs/>
          <w:u w:val="single"/>
        </w:rPr>
        <w:t>Key Issue 3: Confidentiality and Gag-Orders (p. 15-16)</w:t>
      </w:r>
    </w:p>
    <w:p w14:paraId="605C829B" w14:textId="77777777" w:rsidR="00822F51" w:rsidRDefault="001A22F2">
      <w:pPr>
        <w:jc w:val="both"/>
        <w:rPr>
          <w:rFonts w:ascii="Calibri" w:eastAsia="Calibri" w:hAnsi="Calibri" w:cs="Calibri"/>
        </w:rPr>
      </w:pPr>
      <w:r>
        <w:rPr>
          <w:rFonts w:ascii="Calibri" w:eastAsia="Calibri" w:hAnsi="Calibri" w:cs="Calibri"/>
        </w:rPr>
        <w:tab/>
        <w:t xml:space="preserve">Although the </w:t>
      </w:r>
      <w:r>
        <w:rPr>
          <w:rFonts w:ascii="Calibri" w:eastAsia="Calibri" w:hAnsi="Calibri" w:cs="Calibri"/>
          <w:b/>
          <w:bCs/>
          <w:i/>
          <w:iCs/>
        </w:rPr>
        <w:t xml:space="preserve">PSDPA </w:t>
      </w:r>
      <w:r>
        <w:rPr>
          <w:rFonts w:ascii="Calibri" w:eastAsia="Calibri" w:hAnsi="Calibri" w:cs="Calibri"/>
        </w:rPr>
        <w:t xml:space="preserve">formally </w:t>
      </w:r>
      <w:proofErr w:type="spellStart"/>
      <w:r>
        <w:rPr>
          <w:rFonts w:ascii="Calibri" w:eastAsia="Calibri" w:hAnsi="Calibri" w:cs="Calibri"/>
        </w:rPr>
        <w:t>recognises</w:t>
      </w:r>
      <w:proofErr w:type="spellEnd"/>
      <w:r>
        <w:rPr>
          <w:rFonts w:ascii="Calibri" w:eastAsia="Calibri" w:hAnsi="Calibri" w:cs="Calibri"/>
        </w:rPr>
        <w:t xml:space="preserve"> confidentiality, it fails to protect identifying information in practice, does not extend protection to anonymous disclosures, and allows broad discretion that can expose whistleblowers to retaliation. The Act also does not invalidate confidentiality or non-disclosure agreements that suppress reporting, leaving whistleblowers vulnerable to legal and professional consequences. These weak confidentiality protections are also found in provincial statutes, with British Columbia as an e</w:t>
      </w:r>
      <w:r>
        <w:rPr>
          <w:rFonts w:ascii="Calibri" w:eastAsia="Calibri" w:hAnsi="Calibri" w:cs="Calibri"/>
        </w:rPr>
        <w:t>xception.</w:t>
      </w:r>
    </w:p>
    <w:p w14:paraId="580B5CE9" w14:textId="77777777" w:rsidR="00822F51" w:rsidRDefault="00822F51">
      <w:pPr>
        <w:jc w:val="both"/>
        <w:rPr>
          <w:rFonts w:ascii="Calibri" w:eastAsia="Calibri" w:hAnsi="Calibri" w:cs="Calibri"/>
        </w:rPr>
      </w:pPr>
    </w:p>
    <w:p w14:paraId="46F83701" w14:textId="77777777" w:rsidR="00822F51" w:rsidRDefault="001A22F2">
      <w:pPr>
        <w:jc w:val="both"/>
        <w:rPr>
          <w:rFonts w:ascii="Calibri" w:eastAsia="Calibri" w:hAnsi="Calibri" w:cs="Calibri"/>
          <w:b/>
          <w:bCs/>
          <w:u w:val="single"/>
        </w:rPr>
      </w:pPr>
      <w:r>
        <w:rPr>
          <w:rFonts w:ascii="Calibri" w:eastAsia="Calibri" w:hAnsi="Calibri" w:cs="Calibri"/>
          <w:b/>
          <w:bCs/>
          <w:u w:val="single"/>
        </w:rPr>
        <w:t>Key Issue 4: Narrow Definitions of Reprisals and Onerous Burden of Proof (p. 17-19)</w:t>
      </w:r>
    </w:p>
    <w:p w14:paraId="3B62EB78" w14:textId="77777777" w:rsidR="00822F51" w:rsidRDefault="001A22F2">
      <w:pPr>
        <w:jc w:val="both"/>
        <w:rPr>
          <w:rFonts w:ascii="Calibri" w:eastAsia="Calibri" w:hAnsi="Calibri" w:cs="Calibri"/>
        </w:rPr>
      </w:pPr>
      <w:r>
        <w:rPr>
          <w:rFonts w:ascii="Calibri" w:eastAsia="Calibri" w:hAnsi="Calibri" w:cs="Calibri"/>
        </w:rPr>
        <w:tab/>
        <w:t>The</w:t>
      </w:r>
      <w:r>
        <w:rPr>
          <w:rFonts w:ascii="Calibri" w:eastAsia="Calibri" w:hAnsi="Calibri" w:cs="Calibri"/>
          <w:b/>
          <w:bCs/>
          <w:i/>
          <w:iCs/>
        </w:rPr>
        <w:t xml:space="preserve"> PSDPA </w:t>
      </w:r>
      <w:r>
        <w:rPr>
          <w:rFonts w:ascii="Calibri" w:eastAsia="Calibri" w:hAnsi="Calibri" w:cs="Calibri"/>
        </w:rPr>
        <w:t>defines reprisal narrowly,</w:t>
      </w:r>
      <w:r>
        <w:rPr>
          <w:rFonts w:ascii="Calibri" w:eastAsia="Calibri" w:hAnsi="Calibri" w:cs="Calibri"/>
          <w:b/>
          <w:bCs/>
        </w:rPr>
        <w:t xml:space="preserve"> excluding common forms of retaliation</w:t>
      </w:r>
      <w:r>
        <w:rPr>
          <w:rFonts w:ascii="Calibri" w:eastAsia="Calibri" w:hAnsi="Calibri" w:cs="Calibri"/>
        </w:rPr>
        <w:t xml:space="preserve"> such as harassment, reputational harm, and spillover reprisals (reprisals affecting those who are mistakenly perceived to have blown the whistle, and those who facilitate, assist or are associated with the whistleblower). The Act also requires whistleblowers to prove causation despite employers’ control over key evidence. Most provincial regimes replicate these narrow definitions and evidentiary burdens, making successful reprisal claim</w:t>
      </w:r>
      <w:r>
        <w:rPr>
          <w:rFonts w:ascii="Calibri" w:eastAsia="Calibri" w:hAnsi="Calibri" w:cs="Calibri"/>
        </w:rPr>
        <w:t>s difficult in practice.</w:t>
      </w:r>
    </w:p>
    <w:p w14:paraId="5CF026B8" w14:textId="77777777" w:rsidR="00822F51" w:rsidRDefault="00822F51">
      <w:pPr>
        <w:jc w:val="both"/>
        <w:rPr>
          <w:rFonts w:ascii="Calibri" w:eastAsia="Calibri" w:hAnsi="Calibri" w:cs="Calibri"/>
          <w:b/>
          <w:bCs/>
          <w:u w:val="single"/>
        </w:rPr>
      </w:pPr>
    </w:p>
    <w:p w14:paraId="040A4FAB" w14:textId="77777777" w:rsidR="00822F51" w:rsidRDefault="001A22F2">
      <w:pPr>
        <w:jc w:val="both"/>
        <w:rPr>
          <w:rFonts w:ascii="Calibri" w:eastAsia="Calibri" w:hAnsi="Calibri" w:cs="Calibri"/>
          <w:b/>
          <w:bCs/>
          <w:u w:val="single"/>
        </w:rPr>
      </w:pPr>
      <w:r>
        <w:rPr>
          <w:rFonts w:ascii="Calibri" w:eastAsia="Calibri" w:hAnsi="Calibri" w:cs="Calibri"/>
          <w:b/>
          <w:bCs/>
          <w:u w:val="single"/>
        </w:rPr>
        <w:t>Key Issue 5: Procedural Gatekeeping (p. 19-21)</w:t>
      </w:r>
    </w:p>
    <w:p w14:paraId="1A9EF90A" w14:textId="77777777" w:rsidR="00822F51" w:rsidRDefault="001A22F2">
      <w:pPr>
        <w:jc w:val="both"/>
        <w:rPr>
          <w:rFonts w:ascii="Calibri" w:eastAsia="Calibri" w:hAnsi="Calibri" w:cs="Calibri"/>
        </w:rPr>
      </w:pPr>
      <w:r>
        <w:rPr>
          <w:rFonts w:ascii="Calibri" w:eastAsia="Calibri" w:hAnsi="Calibri" w:cs="Calibri"/>
        </w:rPr>
        <w:tab/>
        <w:t xml:space="preserve">Under the </w:t>
      </w:r>
      <w:r>
        <w:rPr>
          <w:rFonts w:ascii="Calibri" w:eastAsia="Calibri" w:hAnsi="Calibri" w:cs="Calibri"/>
          <w:b/>
          <w:bCs/>
          <w:i/>
          <w:iCs/>
        </w:rPr>
        <w:t>PSDPA</w:t>
      </w:r>
      <w:r>
        <w:rPr>
          <w:rFonts w:ascii="Calibri" w:eastAsia="Calibri" w:hAnsi="Calibri" w:cs="Calibri"/>
        </w:rPr>
        <w:t>, whistleblowers cannot access the Public Servants Disclosure Protection Tribunal directly and must rely on discretionary referral by the Public Sector Integrity Commissioner, severely restricting access to adjudication in reprisal cases. Between 2007 and January 2026:</w:t>
      </w:r>
    </w:p>
    <w:p w14:paraId="5FC4A4A9" w14:textId="77777777" w:rsidR="00822F51" w:rsidRDefault="001A22F2">
      <w:pPr>
        <w:numPr>
          <w:ilvl w:val="0"/>
          <w:numId w:val="14"/>
        </w:numPr>
        <w:jc w:val="both"/>
        <w:rPr>
          <w:rFonts w:ascii="Calibri" w:eastAsia="Calibri" w:hAnsi="Calibri" w:cs="Calibri"/>
        </w:rPr>
      </w:pPr>
      <w:r>
        <w:rPr>
          <w:rFonts w:ascii="Calibri" w:eastAsia="Calibri" w:hAnsi="Calibri" w:cs="Calibri"/>
          <w:b/>
          <w:bCs/>
        </w:rPr>
        <w:t>651</w:t>
      </w:r>
      <w:r>
        <w:rPr>
          <w:rFonts w:ascii="Calibri" w:eastAsia="Calibri" w:hAnsi="Calibri" w:cs="Calibri"/>
        </w:rPr>
        <w:t xml:space="preserve"> reprisal complaints were filed;</w:t>
      </w:r>
    </w:p>
    <w:p w14:paraId="15EDD1CC" w14:textId="77777777" w:rsidR="00822F51" w:rsidRDefault="001A22F2">
      <w:pPr>
        <w:numPr>
          <w:ilvl w:val="0"/>
          <w:numId w:val="14"/>
        </w:numPr>
        <w:jc w:val="both"/>
        <w:rPr>
          <w:rFonts w:ascii="Calibri" w:eastAsia="Calibri" w:hAnsi="Calibri" w:cs="Calibri"/>
        </w:rPr>
      </w:pPr>
      <w:r>
        <w:rPr>
          <w:rFonts w:ascii="Calibri" w:eastAsia="Calibri" w:hAnsi="Calibri" w:cs="Calibri"/>
        </w:rPr>
        <w:t xml:space="preserve">only </w:t>
      </w:r>
      <w:r>
        <w:rPr>
          <w:rFonts w:ascii="Calibri" w:eastAsia="Calibri" w:hAnsi="Calibri" w:cs="Calibri"/>
          <w:b/>
          <w:bCs/>
        </w:rPr>
        <w:t>11</w:t>
      </w:r>
      <w:r>
        <w:rPr>
          <w:rFonts w:ascii="Calibri" w:eastAsia="Calibri" w:hAnsi="Calibri" w:cs="Calibri"/>
        </w:rPr>
        <w:t xml:space="preserve"> were referred to the Tribunal;</w:t>
      </w:r>
    </w:p>
    <w:p w14:paraId="5F962FE3" w14:textId="77777777" w:rsidR="00822F51" w:rsidRDefault="001A22F2">
      <w:pPr>
        <w:numPr>
          <w:ilvl w:val="0"/>
          <w:numId w:val="14"/>
        </w:numPr>
        <w:jc w:val="both"/>
        <w:rPr>
          <w:rFonts w:ascii="Calibri" w:eastAsia="Calibri" w:hAnsi="Calibri" w:cs="Calibri"/>
        </w:rPr>
      </w:pPr>
      <w:r>
        <w:rPr>
          <w:rFonts w:ascii="Calibri" w:eastAsia="Calibri" w:hAnsi="Calibri" w:cs="Calibri"/>
        </w:rPr>
        <w:t>only</w:t>
      </w:r>
      <w:r>
        <w:rPr>
          <w:rFonts w:ascii="Calibri" w:eastAsia="Calibri" w:hAnsi="Calibri" w:cs="Calibri"/>
          <w:b/>
          <w:bCs/>
        </w:rPr>
        <w:t xml:space="preserve"> 2</w:t>
      </w:r>
      <w:r>
        <w:rPr>
          <w:rFonts w:ascii="Calibri" w:eastAsia="Calibri" w:hAnsi="Calibri" w:cs="Calibri"/>
        </w:rPr>
        <w:t xml:space="preserve"> cases received decisions on the merits;</w:t>
      </w:r>
    </w:p>
    <w:p w14:paraId="1FB7FAD2" w14:textId="77777777" w:rsidR="00822F51" w:rsidRDefault="001A22F2">
      <w:pPr>
        <w:numPr>
          <w:ilvl w:val="0"/>
          <w:numId w:val="14"/>
        </w:numPr>
        <w:jc w:val="both"/>
        <w:rPr>
          <w:rFonts w:ascii="Calibri" w:eastAsia="Calibri" w:hAnsi="Calibri" w:cs="Calibri"/>
        </w:rPr>
      </w:pPr>
      <w:r>
        <w:rPr>
          <w:rFonts w:ascii="Calibri" w:eastAsia="Calibri" w:hAnsi="Calibri" w:cs="Calibri"/>
        </w:rPr>
        <w:t xml:space="preserve">none ruled in </w:t>
      </w:r>
      <w:proofErr w:type="spellStart"/>
      <w:r>
        <w:rPr>
          <w:rFonts w:ascii="Calibri" w:eastAsia="Calibri" w:hAnsi="Calibri" w:cs="Calibri"/>
        </w:rPr>
        <w:t>favour</w:t>
      </w:r>
      <w:proofErr w:type="spellEnd"/>
      <w:r>
        <w:rPr>
          <w:rFonts w:ascii="Calibri" w:eastAsia="Calibri" w:hAnsi="Calibri" w:cs="Calibri"/>
        </w:rPr>
        <w:t xml:space="preserve"> of the whistleblower.</w:t>
      </w:r>
    </w:p>
    <w:p w14:paraId="701E1E95" w14:textId="77777777" w:rsidR="00822F51" w:rsidRDefault="001A22F2">
      <w:pPr>
        <w:jc w:val="both"/>
        <w:rPr>
          <w:rFonts w:ascii="Calibri" w:eastAsia="Calibri" w:hAnsi="Calibri" w:cs="Calibri"/>
        </w:rPr>
      </w:pPr>
      <w:r>
        <w:rPr>
          <w:rFonts w:ascii="Calibri" w:eastAsia="Calibri" w:hAnsi="Calibri" w:cs="Calibri"/>
        </w:rPr>
        <w:t xml:space="preserve">The vast majority of complaints never received an adjudicative forum, a pattern largely seen in provincial regimes through similar discretionary administrative screening and limited appeal mechanisms. By conditioning access to an independent adjudicative body on the discretionary referral of the Public Sector Integrity Commissioner, the </w:t>
      </w:r>
      <w:r>
        <w:rPr>
          <w:rFonts w:ascii="Calibri" w:eastAsia="Calibri" w:hAnsi="Calibri" w:cs="Calibri"/>
          <w:b/>
          <w:bCs/>
          <w:i/>
          <w:iCs/>
        </w:rPr>
        <w:t xml:space="preserve">PSDPA </w:t>
      </w:r>
      <w:r>
        <w:rPr>
          <w:rFonts w:ascii="Calibri" w:eastAsia="Calibri" w:hAnsi="Calibri" w:cs="Calibri"/>
        </w:rPr>
        <w:t>creates a structural barrier to independent adjudication in reprisal cases. In practice, this has resulted in very few cases being heard on the merits.</w:t>
      </w:r>
    </w:p>
    <w:p w14:paraId="4E88213B" w14:textId="77777777" w:rsidR="00822F51" w:rsidRDefault="00822F51">
      <w:pPr>
        <w:jc w:val="both"/>
        <w:rPr>
          <w:rFonts w:ascii="Calibri" w:eastAsia="Calibri" w:hAnsi="Calibri" w:cs="Calibri"/>
        </w:rPr>
      </w:pPr>
    </w:p>
    <w:p w14:paraId="576FABE0" w14:textId="77777777" w:rsidR="00822F51" w:rsidRDefault="001A22F2">
      <w:pPr>
        <w:jc w:val="both"/>
        <w:rPr>
          <w:rFonts w:ascii="Calibri" w:eastAsia="Calibri" w:hAnsi="Calibri" w:cs="Calibri"/>
          <w:b/>
          <w:bCs/>
          <w:u w:val="single"/>
        </w:rPr>
      </w:pPr>
      <w:r>
        <w:rPr>
          <w:rFonts w:ascii="Calibri" w:eastAsia="Calibri" w:hAnsi="Calibri" w:cs="Calibri"/>
          <w:b/>
          <w:bCs/>
          <w:u w:val="single"/>
        </w:rPr>
        <w:t xml:space="preserve">Key Issue 6: Absence of Interim Protections and Ineffective Remedies (p. 21-23) </w:t>
      </w:r>
    </w:p>
    <w:p w14:paraId="7221893D" w14:textId="77777777" w:rsidR="00822F51" w:rsidRDefault="001A22F2">
      <w:pPr>
        <w:ind w:firstLine="720"/>
        <w:jc w:val="both"/>
        <w:rPr>
          <w:rFonts w:ascii="Calibri" w:eastAsia="Calibri" w:hAnsi="Calibri" w:cs="Calibri"/>
        </w:rPr>
      </w:pPr>
      <w:r>
        <w:rPr>
          <w:rFonts w:ascii="Calibri" w:eastAsia="Calibri" w:hAnsi="Calibri" w:cs="Calibri"/>
        </w:rPr>
        <w:t xml:space="preserve">The </w:t>
      </w:r>
      <w:r>
        <w:rPr>
          <w:rFonts w:ascii="Calibri" w:eastAsia="Calibri" w:hAnsi="Calibri" w:cs="Calibri"/>
          <w:b/>
          <w:bCs/>
          <w:i/>
          <w:iCs/>
        </w:rPr>
        <w:t xml:space="preserve">PSDPA </w:t>
      </w:r>
      <w:r>
        <w:rPr>
          <w:rFonts w:ascii="Calibri" w:eastAsia="Calibri" w:hAnsi="Calibri" w:cs="Calibri"/>
        </w:rPr>
        <w:t xml:space="preserve">provides no interim protection during lengthy proceedings that routinely extend over many years. Available remedies are discretionary and limited in scope, do not address future loss of earnings or non-economic harm, and have never resulted in sanctions against retaliatory employers. Legal assistance is discretionary and capped at amounts insufficient to sustain complex, multi-year proceedings. Provincial statutes replicate the federal absence of interim relief, limited post-hoc remedies, and </w:t>
      </w:r>
      <w:r>
        <w:rPr>
          <w:rFonts w:ascii="Calibri" w:eastAsia="Calibri" w:hAnsi="Calibri" w:cs="Calibri"/>
        </w:rPr>
        <w:lastRenderedPageBreak/>
        <w:t>discreti</w:t>
      </w:r>
      <w:r>
        <w:rPr>
          <w:rFonts w:ascii="Calibri" w:eastAsia="Calibri" w:hAnsi="Calibri" w:cs="Calibri"/>
        </w:rPr>
        <w:t>onary legal assistance, leaving whistleblowers exposed to prolonged and irreparable professional and mental harm. Without legal aid, many whistleblowers cannot afford to act on their rights, and without interim relief, there is no incentive for employers to settle cases and every incentive to drag out proceedings as long as possible. By the time remedies are available, whistleblowers’ employment, professional standing and career trajectories are often permanently damaged. Even if these whistleblowers prevai</w:t>
      </w:r>
      <w:r>
        <w:rPr>
          <w:rFonts w:ascii="Calibri" w:eastAsia="Calibri" w:hAnsi="Calibri" w:cs="Calibri"/>
        </w:rPr>
        <w:t xml:space="preserve">l, their wins still impose losses due to the absence of any “make whole” remedies, which would restore them to their original position. </w:t>
      </w:r>
    </w:p>
    <w:p w14:paraId="0B9AD356" w14:textId="77777777" w:rsidR="00822F51" w:rsidRDefault="00822F51">
      <w:pPr>
        <w:rPr>
          <w:rFonts w:ascii="Calibri" w:eastAsia="Calibri" w:hAnsi="Calibri" w:cs="Calibri"/>
          <w:b/>
          <w:bCs/>
          <w:sz w:val="24"/>
          <w:szCs w:val="24"/>
          <w:u w:val="single"/>
        </w:rPr>
      </w:pPr>
    </w:p>
    <w:p w14:paraId="4DAA4C8E" w14:textId="77777777" w:rsidR="00822F51" w:rsidRDefault="001A22F2">
      <w:pPr>
        <w:jc w:val="both"/>
        <w:rPr>
          <w:rFonts w:ascii="Calibri" w:eastAsia="Calibri" w:hAnsi="Calibri" w:cs="Calibri"/>
          <w:b/>
          <w:bCs/>
          <w:sz w:val="24"/>
          <w:szCs w:val="24"/>
          <w:u w:val="single"/>
        </w:rPr>
      </w:pPr>
      <w:r>
        <w:rPr>
          <w:rFonts w:ascii="Calibri" w:eastAsia="Calibri" w:hAnsi="Calibri" w:cs="Calibri"/>
          <w:b/>
          <w:bCs/>
          <w:sz w:val="24"/>
          <w:szCs w:val="24"/>
          <w:u w:val="single"/>
        </w:rPr>
        <w:t xml:space="preserve">Recommended Questions </w:t>
      </w:r>
    </w:p>
    <w:p w14:paraId="1947B3E9" w14:textId="77777777" w:rsidR="00822F51" w:rsidRDefault="001A22F2">
      <w:pPr>
        <w:jc w:val="both"/>
        <w:rPr>
          <w:rFonts w:ascii="Calibri" w:eastAsia="Calibri" w:hAnsi="Calibri" w:cs="Calibri"/>
        </w:rPr>
      </w:pPr>
      <w:r>
        <w:rPr>
          <w:rFonts w:ascii="Calibri" w:eastAsia="Calibri" w:hAnsi="Calibri" w:cs="Calibri"/>
        </w:rPr>
        <w:t>Additional recommendations and questions are provided in the detailed report below. We recommend that the questions listed here represent the highest priorities for the Committee, highlighting the most significant deficiencies in the current regime:</w:t>
      </w:r>
    </w:p>
    <w:p w14:paraId="6ECDC0B1" w14:textId="77777777" w:rsidR="00822F51" w:rsidRDefault="00822F51">
      <w:pPr>
        <w:jc w:val="both"/>
        <w:rPr>
          <w:rFonts w:ascii="Calibri" w:eastAsia="Calibri" w:hAnsi="Calibri" w:cs="Calibri"/>
          <w:sz w:val="24"/>
          <w:szCs w:val="24"/>
        </w:rPr>
      </w:pPr>
    </w:p>
    <w:p w14:paraId="66663857" w14:textId="77777777" w:rsidR="00822F51" w:rsidRDefault="001A22F2">
      <w:pPr>
        <w:numPr>
          <w:ilvl w:val="0"/>
          <w:numId w:val="9"/>
        </w:numPr>
        <w:jc w:val="both"/>
        <w:rPr>
          <w:rFonts w:ascii="Calibri" w:eastAsia="Calibri" w:hAnsi="Calibri" w:cs="Calibri"/>
          <w:b/>
          <w:bCs/>
        </w:rPr>
      </w:pPr>
      <w:r>
        <w:rPr>
          <w:rFonts w:ascii="Calibri" w:eastAsia="Calibri" w:hAnsi="Calibri" w:cs="Calibri"/>
          <w:b/>
          <w:bCs/>
        </w:rPr>
        <w:t xml:space="preserve">The </w:t>
      </w:r>
      <w:r>
        <w:rPr>
          <w:rFonts w:ascii="Calibri" w:eastAsia="Calibri" w:hAnsi="Calibri" w:cs="Calibri"/>
          <w:b/>
          <w:bCs/>
          <w:i/>
          <w:iCs/>
        </w:rPr>
        <w:t>Public Servants Disclosure Protection Act</w:t>
      </w:r>
      <w:r>
        <w:rPr>
          <w:rFonts w:ascii="Calibri" w:eastAsia="Calibri" w:hAnsi="Calibri" w:cs="Calibri"/>
          <w:b/>
          <w:bCs/>
        </w:rPr>
        <w:t xml:space="preserve"> (PSDPA) excludes government contractors, volunteers, and other non-employee workers by defining them outside the scope of “public servants”. Canada also currently has no federal legislation protecting private-sector whistleblowers. How does Canada ensure effective protection for individuals excluded from these frameworks, and what steps will it take to safeguard their freedom of expression and access to timely, effective and restorative remedies and legal assistance</w:t>
      </w:r>
      <w:r>
        <w:rPr>
          <w:rFonts w:ascii="Calibri" w:eastAsia="Calibri" w:hAnsi="Calibri" w:cs="Calibri"/>
          <w:b/>
          <w:bCs/>
        </w:rPr>
        <w:t xml:space="preserve"> when disclosing wrongdoing? Additionally, what is the public policy rationale for excluding non-public servants?</w:t>
      </w:r>
    </w:p>
    <w:p w14:paraId="7A8C4D20" w14:textId="77777777" w:rsidR="00822F51" w:rsidRDefault="00822F51">
      <w:pPr>
        <w:ind w:left="720"/>
        <w:jc w:val="both"/>
        <w:rPr>
          <w:rFonts w:ascii="Calibri" w:eastAsia="Calibri" w:hAnsi="Calibri" w:cs="Calibri"/>
          <w:b/>
          <w:bCs/>
        </w:rPr>
      </w:pPr>
    </w:p>
    <w:p w14:paraId="7377B790" w14:textId="77777777" w:rsidR="00822F51" w:rsidRDefault="001A22F2">
      <w:pPr>
        <w:numPr>
          <w:ilvl w:val="0"/>
          <w:numId w:val="9"/>
        </w:numPr>
        <w:jc w:val="both"/>
        <w:rPr>
          <w:rFonts w:ascii="Calibri" w:eastAsia="Calibri" w:hAnsi="Calibri" w:cs="Calibri"/>
          <w:b/>
          <w:bCs/>
        </w:rPr>
      </w:pPr>
      <w:r>
        <w:rPr>
          <w:rFonts w:ascii="Calibri" w:eastAsia="Calibri" w:hAnsi="Calibri" w:cs="Calibri"/>
          <w:b/>
          <w:bCs/>
        </w:rPr>
        <w:t>Canadian whistleblower laws narrowly define reprisal and exclude common forms of harassment from statutory protection, while also requiring whistleblowers to prove that reprisals occurred. How will Canada ensure that its laws cover not only formal disciplinary actions but also indirect, subtle, or cumulative forms of retaliation, and take steps to reverse the burden of proof so that once a protected disclosure and an adverse action are established, the employer must demonstrate that no reprisal took place?</w:t>
      </w:r>
    </w:p>
    <w:p w14:paraId="52CA01BA" w14:textId="77777777" w:rsidR="00822F51" w:rsidRDefault="00822F51">
      <w:pPr>
        <w:ind w:left="720"/>
        <w:jc w:val="both"/>
        <w:rPr>
          <w:rFonts w:ascii="Calibri" w:eastAsia="Calibri" w:hAnsi="Calibri" w:cs="Calibri"/>
          <w:b/>
          <w:bCs/>
        </w:rPr>
      </w:pPr>
    </w:p>
    <w:p w14:paraId="2AB1247F" w14:textId="77777777" w:rsidR="00822F51" w:rsidRDefault="001A22F2">
      <w:pPr>
        <w:numPr>
          <w:ilvl w:val="0"/>
          <w:numId w:val="9"/>
        </w:numPr>
        <w:jc w:val="both"/>
        <w:rPr>
          <w:rFonts w:ascii="Calibri" w:eastAsia="Calibri" w:hAnsi="Calibri" w:cs="Calibri"/>
          <w:b/>
          <w:bCs/>
        </w:rPr>
      </w:pPr>
      <w:r>
        <w:rPr>
          <w:rFonts w:ascii="Calibri" w:eastAsia="Calibri" w:hAnsi="Calibri" w:cs="Calibri"/>
          <w:b/>
          <w:bCs/>
        </w:rPr>
        <w:t>What steps will Canada take to repeal the “good-faith” requirement, ensuring that whistleblower protections are based on a reasonable belief in the disclosure, while also strengthening safeguards for whistleblowers’ identities and preventing contractual non-disclosure clauses from blocking protected disclosures or reprisal complaints?</w:t>
      </w:r>
    </w:p>
    <w:p w14:paraId="68D1F380" w14:textId="77777777" w:rsidR="00822F51" w:rsidRDefault="00822F51">
      <w:pPr>
        <w:jc w:val="both"/>
        <w:rPr>
          <w:rFonts w:ascii="Calibri" w:eastAsia="Calibri" w:hAnsi="Calibri" w:cs="Calibri"/>
        </w:rPr>
      </w:pPr>
    </w:p>
    <w:p w14:paraId="59776DC2" w14:textId="77777777" w:rsidR="00822F51" w:rsidRDefault="00822F51">
      <w:pPr>
        <w:jc w:val="both"/>
        <w:rPr>
          <w:rFonts w:ascii="Calibri" w:eastAsia="Calibri" w:hAnsi="Calibri" w:cs="Calibri"/>
          <w:b/>
          <w:bCs/>
          <w:sz w:val="24"/>
          <w:szCs w:val="24"/>
          <w:u w:val="single"/>
        </w:rPr>
      </w:pPr>
    </w:p>
    <w:p w14:paraId="55BA99C5" w14:textId="77777777" w:rsidR="00822F51" w:rsidRDefault="00822F51">
      <w:pPr>
        <w:jc w:val="both"/>
        <w:rPr>
          <w:rFonts w:ascii="Calibri" w:eastAsia="Calibri" w:hAnsi="Calibri" w:cs="Calibri"/>
          <w:b/>
          <w:bCs/>
          <w:sz w:val="24"/>
          <w:szCs w:val="24"/>
          <w:u w:val="single"/>
        </w:rPr>
      </w:pPr>
    </w:p>
    <w:p w14:paraId="72AA02CA" w14:textId="77777777" w:rsidR="00822F51" w:rsidRDefault="00822F51">
      <w:pPr>
        <w:jc w:val="both"/>
        <w:rPr>
          <w:rFonts w:ascii="Calibri" w:eastAsia="Calibri" w:hAnsi="Calibri" w:cs="Calibri"/>
          <w:b/>
          <w:bCs/>
          <w:sz w:val="24"/>
          <w:szCs w:val="24"/>
          <w:u w:val="single"/>
        </w:rPr>
      </w:pPr>
    </w:p>
    <w:p w14:paraId="7F39F29E" w14:textId="77777777" w:rsidR="00822F51" w:rsidRDefault="00822F51">
      <w:pPr>
        <w:jc w:val="both"/>
        <w:rPr>
          <w:rFonts w:ascii="Calibri" w:eastAsia="Calibri" w:hAnsi="Calibri" w:cs="Calibri"/>
          <w:b/>
          <w:bCs/>
          <w:sz w:val="24"/>
          <w:szCs w:val="24"/>
          <w:u w:val="single"/>
        </w:rPr>
      </w:pPr>
    </w:p>
    <w:p w14:paraId="6D1DA5AF" w14:textId="77777777" w:rsidR="00822F51" w:rsidRDefault="00822F51">
      <w:pPr>
        <w:jc w:val="both"/>
        <w:rPr>
          <w:rFonts w:ascii="Calibri" w:eastAsia="Calibri" w:hAnsi="Calibri" w:cs="Calibri"/>
          <w:b/>
          <w:bCs/>
          <w:sz w:val="24"/>
          <w:szCs w:val="24"/>
          <w:u w:val="single"/>
        </w:rPr>
      </w:pPr>
    </w:p>
    <w:p w14:paraId="4843F1BB" w14:textId="77777777" w:rsidR="006C032A" w:rsidRDefault="006C032A">
      <w:pPr>
        <w:jc w:val="both"/>
        <w:rPr>
          <w:rFonts w:ascii="Calibri" w:eastAsia="Calibri" w:hAnsi="Calibri" w:cs="Calibri"/>
          <w:b/>
          <w:bCs/>
          <w:sz w:val="24"/>
          <w:szCs w:val="24"/>
          <w:u w:val="single"/>
        </w:rPr>
      </w:pPr>
    </w:p>
    <w:p w14:paraId="256A2861" w14:textId="77777777" w:rsidR="00822F51" w:rsidRDefault="00822F51">
      <w:pPr>
        <w:jc w:val="both"/>
        <w:rPr>
          <w:rFonts w:ascii="Calibri" w:eastAsia="Calibri" w:hAnsi="Calibri" w:cs="Calibri"/>
          <w:b/>
          <w:bCs/>
          <w:sz w:val="24"/>
          <w:szCs w:val="24"/>
          <w:u w:val="single"/>
        </w:rPr>
      </w:pPr>
    </w:p>
    <w:p w14:paraId="749BEA2D" w14:textId="77777777" w:rsidR="00822F51" w:rsidRDefault="00822F51">
      <w:pPr>
        <w:jc w:val="both"/>
        <w:rPr>
          <w:rFonts w:ascii="Calibri" w:eastAsia="Calibri" w:hAnsi="Calibri" w:cs="Calibri"/>
          <w:b/>
          <w:bCs/>
          <w:sz w:val="24"/>
          <w:szCs w:val="24"/>
          <w:u w:val="single"/>
        </w:rPr>
      </w:pPr>
    </w:p>
    <w:p w14:paraId="1C73B17E" w14:textId="77777777" w:rsidR="00822F51" w:rsidRDefault="001A22F2">
      <w:pPr>
        <w:jc w:val="both"/>
        <w:rPr>
          <w:rFonts w:ascii="Calibri" w:eastAsia="Calibri" w:hAnsi="Calibri" w:cs="Calibri"/>
        </w:rPr>
      </w:pPr>
      <w:r>
        <w:rPr>
          <w:rFonts w:ascii="Calibri" w:eastAsia="Calibri" w:hAnsi="Calibri" w:cs="Calibri"/>
          <w:b/>
          <w:bCs/>
          <w:sz w:val="24"/>
          <w:szCs w:val="24"/>
          <w:u w:val="single"/>
        </w:rPr>
        <w:lastRenderedPageBreak/>
        <w:t xml:space="preserve">Recommendations </w:t>
      </w:r>
    </w:p>
    <w:p w14:paraId="1D6CED0B" w14:textId="5C79216E" w:rsidR="00822F51" w:rsidRDefault="001A22F2">
      <w:pPr>
        <w:numPr>
          <w:ilvl w:val="0"/>
          <w:numId w:val="2"/>
        </w:numPr>
        <w:jc w:val="both"/>
        <w:rPr>
          <w:rFonts w:ascii="Calibri" w:eastAsia="Calibri" w:hAnsi="Calibri" w:cs="Calibri"/>
        </w:rPr>
      </w:pPr>
      <w:r>
        <w:rPr>
          <w:rFonts w:ascii="Calibri" w:eastAsia="Calibri" w:hAnsi="Calibri" w:cs="Calibri"/>
        </w:rPr>
        <w:t>Take steps to review and adopt the 2017 recommendations from the Canadian House of Commons’s Standing Committee on Government Operations and Estimates</w:t>
      </w:r>
      <w:r w:rsidR="00310030">
        <w:rPr>
          <w:rStyle w:val="FootnoteReference"/>
          <w:rFonts w:ascii="Calibri" w:eastAsia="Calibri" w:hAnsi="Calibri" w:cs="Calibri"/>
        </w:rPr>
        <w:footnoteReference w:id="1"/>
      </w:r>
      <w:r>
        <w:rPr>
          <w:rFonts w:ascii="Calibri" w:eastAsia="Calibri" w:hAnsi="Calibri" w:cs="Calibri"/>
        </w:rPr>
        <w:t xml:space="preserve"> to amend the</w:t>
      </w:r>
      <w:r>
        <w:rPr>
          <w:rFonts w:ascii="Calibri" w:eastAsia="Calibri" w:hAnsi="Calibri" w:cs="Calibri"/>
          <w:b/>
          <w:bCs/>
          <w:i/>
          <w:iCs/>
        </w:rPr>
        <w:t xml:space="preserve"> Public Servants Disclosure Protection Act</w:t>
      </w:r>
      <w:r>
        <w:rPr>
          <w:rFonts w:ascii="Calibri" w:eastAsia="Calibri" w:hAnsi="Calibri" w:cs="Calibri"/>
        </w:rPr>
        <w:t>.</w:t>
      </w:r>
    </w:p>
    <w:p w14:paraId="76CE704C" w14:textId="77777777" w:rsidR="00822F51" w:rsidRDefault="00822F51">
      <w:pPr>
        <w:jc w:val="both"/>
        <w:rPr>
          <w:rFonts w:ascii="Calibri" w:eastAsia="Calibri" w:hAnsi="Calibri" w:cs="Calibri"/>
        </w:rPr>
      </w:pPr>
    </w:p>
    <w:p w14:paraId="68B70161" w14:textId="77777777" w:rsidR="00822F51" w:rsidRDefault="001A22F2">
      <w:pPr>
        <w:numPr>
          <w:ilvl w:val="0"/>
          <w:numId w:val="2"/>
        </w:numPr>
        <w:jc w:val="both"/>
        <w:rPr>
          <w:rFonts w:ascii="Calibri" w:eastAsia="Calibri" w:hAnsi="Calibri" w:cs="Calibri"/>
        </w:rPr>
      </w:pPr>
      <w:r>
        <w:rPr>
          <w:rFonts w:ascii="Calibri" w:eastAsia="Calibri" w:hAnsi="Calibri" w:cs="Calibri"/>
        </w:rPr>
        <w:t xml:space="preserve">Additionally, Canada should amend the </w:t>
      </w:r>
      <w:r>
        <w:rPr>
          <w:rFonts w:ascii="Calibri" w:eastAsia="Calibri" w:hAnsi="Calibri" w:cs="Calibri"/>
          <w:b/>
          <w:bCs/>
          <w:i/>
          <w:iCs/>
        </w:rPr>
        <w:t>Public Servants Disclosure Protection Act</w:t>
      </w:r>
      <w:r>
        <w:rPr>
          <w:rFonts w:ascii="Calibri" w:eastAsia="Calibri" w:hAnsi="Calibri" w:cs="Calibri"/>
          <w:b/>
          <w:bCs/>
        </w:rPr>
        <w:t xml:space="preserve"> </w:t>
      </w:r>
      <w:r>
        <w:rPr>
          <w:rFonts w:ascii="Calibri" w:eastAsia="Calibri" w:hAnsi="Calibri" w:cs="Calibri"/>
        </w:rPr>
        <w:t>to extend whistleblower protection on a sector-blind basis to all individuals who acquire information through work-related activities and disclose wrongdoing in the public interest, regardless of sector, through targeted amendments to its scope without altering the Act’s architecture.</w:t>
      </w:r>
    </w:p>
    <w:p w14:paraId="4FBCC41F" w14:textId="77777777" w:rsidR="00822F51" w:rsidRDefault="001A22F2">
      <w:pPr>
        <w:spacing w:before="240" w:after="240"/>
        <w:ind w:firstLine="720"/>
        <w:jc w:val="both"/>
        <w:rPr>
          <w:rFonts w:ascii="Calibri" w:eastAsia="Calibri" w:hAnsi="Calibri" w:cs="Calibri"/>
        </w:rPr>
      </w:pPr>
      <w:r>
        <w:rPr>
          <w:rFonts w:ascii="Calibri" w:eastAsia="Calibri" w:hAnsi="Calibri" w:cs="Calibri"/>
        </w:rPr>
        <w:t xml:space="preserve">In particular, the Act should be </w:t>
      </w:r>
      <w:r>
        <w:rPr>
          <w:rFonts w:ascii="Calibri" w:eastAsia="Calibri" w:hAnsi="Calibri" w:cs="Calibri"/>
          <w:b/>
          <w:bCs/>
        </w:rPr>
        <w:t>amended to</w:t>
      </w:r>
      <w:r>
        <w:rPr>
          <w:rFonts w:ascii="Calibri" w:eastAsia="Calibri" w:hAnsi="Calibri" w:cs="Calibri"/>
        </w:rPr>
        <w:t>:</w:t>
      </w:r>
    </w:p>
    <w:p w14:paraId="17BCC9F5" w14:textId="77777777" w:rsidR="00822F51" w:rsidRDefault="001A22F2">
      <w:pPr>
        <w:spacing w:before="240" w:after="240"/>
        <w:ind w:left="1440"/>
        <w:jc w:val="both"/>
        <w:rPr>
          <w:rFonts w:ascii="Calibri" w:eastAsia="Calibri" w:hAnsi="Calibri" w:cs="Calibri"/>
        </w:rPr>
      </w:pPr>
      <w:r>
        <w:rPr>
          <w:rFonts w:ascii="Calibri" w:eastAsia="Calibri" w:hAnsi="Calibri" w:cs="Calibri"/>
        </w:rPr>
        <w:t xml:space="preserve">(a)  extend protections to “any person” (in line with </w:t>
      </w:r>
      <w:r>
        <w:rPr>
          <w:rFonts w:ascii="Calibri" w:eastAsia="Calibri" w:hAnsi="Calibri" w:cs="Calibri"/>
          <w:b/>
          <w:bCs/>
        </w:rPr>
        <w:t>Quebec</w:t>
      </w:r>
      <w:r>
        <w:rPr>
          <w:rFonts w:ascii="Calibri" w:eastAsia="Calibri" w:hAnsi="Calibri" w:cs="Calibri"/>
        </w:rPr>
        <w:t xml:space="preserve">’s standard) or introduce a parallel category of </w:t>
      </w:r>
      <w:r>
        <w:rPr>
          <w:rFonts w:ascii="Calibri" w:eastAsia="Calibri" w:hAnsi="Calibri" w:cs="Calibri"/>
          <w:b/>
          <w:bCs/>
        </w:rPr>
        <w:t>“protected person”</w:t>
      </w:r>
      <w:r>
        <w:rPr>
          <w:rFonts w:ascii="Calibri" w:eastAsia="Calibri" w:hAnsi="Calibri" w:cs="Calibri"/>
        </w:rPr>
        <w:t xml:space="preserve"> to include employees, contractors, consultants, agency workers, interns, volunteers, job applicants, and former workers in both public and private entities where the disclosure concerns wrongdoing affecting the public interest, as well as to individuals who assist whistleblowers, witnesses, and those perceived to be whistleblowers;</w:t>
      </w:r>
    </w:p>
    <w:p w14:paraId="409C76AC" w14:textId="77777777" w:rsidR="00822F51" w:rsidRDefault="001A22F2">
      <w:pPr>
        <w:spacing w:before="240" w:after="240"/>
        <w:ind w:left="1440"/>
        <w:jc w:val="both"/>
        <w:rPr>
          <w:rFonts w:ascii="Calibri" w:eastAsia="Calibri" w:hAnsi="Calibri" w:cs="Calibri"/>
        </w:rPr>
      </w:pPr>
      <w:r>
        <w:rPr>
          <w:rFonts w:ascii="Calibri" w:eastAsia="Calibri" w:hAnsi="Calibri" w:cs="Calibri"/>
        </w:rPr>
        <w:t>(b) permit protected disclosures to be made in relation to wrongdoing occurring in private-sector entities where there is a sufficient public interest nexus, including through the use of public funds, delivery of public services, illegality, or impact on public health, safety, or integrity; and</w:t>
      </w:r>
    </w:p>
    <w:p w14:paraId="4D8186F1" w14:textId="77777777" w:rsidR="00822F51" w:rsidRDefault="001A22F2">
      <w:pPr>
        <w:spacing w:before="240" w:after="240"/>
        <w:ind w:left="1440"/>
        <w:jc w:val="both"/>
        <w:rPr>
          <w:rFonts w:ascii="Calibri" w:eastAsia="Calibri" w:hAnsi="Calibri" w:cs="Calibri"/>
        </w:rPr>
      </w:pPr>
      <w:r>
        <w:rPr>
          <w:rFonts w:ascii="Calibri" w:eastAsia="Calibri" w:hAnsi="Calibri" w:cs="Calibri"/>
        </w:rPr>
        <w:t>(c) ensure that protections against reprisal, access to remedies, and enforcement mechanisms apply equally to all protected persons, irrespective of sector.</w:t>
      </w:r>
    </w:p>
    <w:p w14:paraId="7D2298F3" w14:textId="77777777" w:rsidR="00822F51" w:rsidRDefault="001A22F2">
      <w:pPr>
        <w:numPr>
          <w:ilvl w:val="0"/>
          <w:numId w:val="2"/>
        </w:numPr>
        <w:jc w:val="both"/>
        <w:rPr>
          <w:rFonts w:ascii="Calibri" w:eastAsia="Calibri" w:hAnsi="Calibri" w:cs="Calibri"/>
        </w:rPr>
      </w:pPr>
      <w:r>
        <w:rPr>
          <w:rFonts w:ascii="Calibri" w:eastAsia="Calibri" w:hAnsi="Calibri" w:cs="Calibri"/>
        </w:rPr>
        <w:t>The State party should ensure that the Office of the Public Sector Integrity Commissioner and the Public Servants Disclosure Protection Tribunal are provided with sufficient and sustained financial, technical, and logistical resources to enable timely investigation and adjudication of disclosures and reprisal complaints.</w:t>
      </w:r>
    </w:p>
    <w:p w14:paraId="33529478" w14:textId="77777777" w:rsidR="00822F51" w:rsidRDefault="00822F51">
      <w:pPr>
        <w:ind w:left="720"/>
        <w:jc w:val="both"/>
        <w:rPr>
          <w:rFonts w:ascii="Calibri" w:eastAsia="Calibri" w:hAnsi="Calibri" w:cs="Calibri"/>
        </w:rPr>
      </w:pPr>
    </w:p>
    <w:p w14:paraId="0216928B" w14:textId="77777777" w:rsidR="00822F51" w:rsidRDefault="001A22F2">
      <w:pPr>
        <w:numPr>
          <w:ilvl w:val="0"/>
          <w:numId w:val="2"/>
        </w:numPr>
        <w:jc w:val="both"/>
        <w:rPr>
          <w:rFonts w:ascii="Calibri" w:eastAsia="Calibri" w:hAnsi="Calibri" w:cs="Calibri"/>
        </w:rPr>
      </w:pPr>
      <w:r>
        <w:rPr>
          <w:rFonts w:ascii="Calibri" w:eastAsia="Calibri" w:hAnsi="Calibri" w:cs="Calibri"/>
        </w:rPr>
        <w:t xml:space="preserve">Canada should amend the </w:t>
      </w:r>
      <w:r>
        <w:rPr>
          <w:rFonts w:ascii="Calibri" w:eastAsia="Calibri" w:hAnsi="Calibri" w:cs="Calibri"/>
          <w:b/>
          <w:bCs/>
          <w:i/>
          <w:iCs/>
        </w:rPr>
        <w:t>Public Servants Disclosure Protection Act</w:t>
      </w:r>
      <w:r>
        <w:rPr>
          <w:rFonts w:ascii="Calibri" w:eastAsia="Calibri" w:hAnsi="Calibri" w:cs="Calibri"/>
        </w:rPr>
        <w:t xml:space="preserve"> to grant whistleblowers a direct right of appeal to the Public Servants Disclosure Protection Tribunal in reprisal matters, without requiring prior referral or validation by the Public Sector Integrity Commissioner, and to ensure that refusals to investigate or refer a complaint are subject to independent review.</w:t>
      </w:r>
    </w:p>
    <w:p w14:paraId="370094E5" w14:textId="77777777" w:rsidR="00822F51" w:rsidRDefault="00822F51">
      <w:pPr>
        <w:ind w:left="720"/>
        <w:jc w:val="both"/>
        <w:rPr>
          <w:rFonts w:ascii="Calibri" w:eastAsia="Calibri" w:hAnsi="Calibri" w:cs="Calibri"/>
        </w:rPr>
      </w:pPr>
    </w:p>
    <w:p w14:paraId="2C5CEA17" w14:textId="77777777" w:rsidR="00822F51" w:rsidRDefault="001A22F2">
      <w:pPr>
        <w:numPr>
          <w:ilvl w:val="0"/>
          <w:numId w:val="2"/>
        </w:numPr>
        <w:jc w:val="both"/>
        <w:rPr>
          <w:rFonts w:ascii="Calibri" w:eastAsia="Calibri" w:hAnsi="Calibri" w:cs="Calibri"/>
        </w:rPr>
      </w:pPr>
      <w:r>
        <w:rPr>
          <w:rFonts w:ascii="Calibri" w:eastAsia="Calibri" w:hAnsi="Calibri" w:cs="Calibri"/>
        </w:rPr>
        <w:t xml:space="preserve">Canada should clarify and broaden the definition of “reprisal” to include all acts or omissions inconsistent with the duty to protect and support whistleblowers and related persons, including </w:t>
      </w:r>
      <w:r>
        <w:rPr>
          <w:rFonts w:ascii="Calibri" w:eastAsia="Calibri" w:hAnsi="Calibri" w:cs="Calibri"/>
        </w:rPr>
        <w:lastRenderedPageBreak/>
        <w:t>subtle or cumulative forms of retaliation such as ostracizing the whistleblower, blacklisting, bullying, reputational harm, and/or the strategic use of civil processes.</w:t>
      </w:r>
    </w:p>
    <w:p w14:paraId="038D371F" w14:textId="77777777" w:rsidR="00822F51" w:rsidRDefault="00822F51">
      <w:pPr>
        <w:jc w:val="both"/>
        <w:rPr>
          <w:rFonts w:ascii="Calibri" w:eastAsia="Calibri" w:hAnsi="Calibri" w:cs="Calibri"/>
        </w:rPr>
      </w:pPr>
    </w:p>
    <w:p w14:paraId="5B884DAB" w14:textId="77777777" w:rsidR="00822F51" w:rsidRDefault="001A22F2">
      <w:pPr>
        <w:numPr>
          <w:ilvl w:val="0"/>
          <w:numId w:val="2"/>
        </w:numPr>
        <w:jc w:val="both"/>
        <w:rPr>
          <w:rFonts w:ascii="Calibri" w:eastAsia="Calibri" w:hAnsi="Calibri" w:cs="Calibri"/>
        </w:rPr>
      </w:pPr>
      <w:r>
        <w:rPr>
          <w:rFonts w:ascii="Calibri" w:eastAsia="Calibri" w:hAnsi="Calibri" w:cs="Calibri"/>
        </w:rPr>
        <w:t>Canada should reverse the burden of proof in reprisal proceedings, so that once a protected disclosure and adverse action are prima facie established, the employer must demonstrate that no reprisal occurred.</w:t>
      </w:r>
    </w:p>
    <w:p w14:paraId="171875CF" w14:textId="77777777" w:rsidR="00822F51" w:rsidRDefault="00822F51">
      <w:pPr>
        <w:ind w:left="720"/>
        <w:jc w:val="both"/>
        <w:rPr>
          <w:rFonts w:ascii="Calibri" w:eastAsia="Calibri" w:hAnsi="Calibri" w:cs="Calibri"/>
        </w:rPr>
      </w:pPr>
    </w:p>
    <w:p w14:paraId="206C5420" w14:textId="77777777" w:rsidR="00822F51" w:rsidRDefault="001A22F2">
      <w:pPr>
        <w:numPr>
          <w:ilvl w:val="0"/>
          <w:numId w:val="2"/>
        </w:numPr>
        <w:jc w:val="both"/>
        <w:rPr>
          <w:rFonts w:ascii="Calibri" w:eastAsia="Calibri" w:hAnsi="Calibri" w:cs="Calibri"/>
        </w:rPr>
      </w:pPr>
      <w:r>
        <w:rPr>
          <w:rFonts w:ascii="Calibri" w:eastAsia="Calibri" w:hAnsi="Calibri" w:cs="Calibri"/>
        </w:rPr>
        <w:t>Canada should repeal the “good faith” requirement under the existing whistleblowers’ protection laws, and ensure that protection depends on whether the whistleblower had a reasonable belief the information disclosed was true.</w:t>
      </w:r>
    </w:p>
    <w:p w14:paraId="76E425DD" w14:textId="77777777" w:rsidR="00822F51" w:rsidRDefault="00822F51">
      <w:pPr>
        <w:ind w:left="720"/>
        <w:jc w:val="both"/>
        <w:rPr>
          <w:rFonts w:ascii="Calibri" w:eastAsia="Calibri" w:hAnsi="Calibri" w:cs="Calibri"/>
        </w:rPr>
      </w:pPr>
    </w:p>
    <w:p w14:paraId="298D921D" w14:textId="77777777" w:rsidR="00822F51" w:rsidRDefault="001A22F2">
      <w:pPr>
        <w:numPr>
          <w:ilvl w:val="0"/>
          <w:numId w:val="2"/>
        </w:numPr>
        <w:jc w:val="both"/>
        <w:rPr>
          <w:rFonts w:ascii="Calibri" w:eastAsia="Calibri" w:hAnsi="Calibri" w:cs="Calibri"/>
        </w:rPr>
      </w:pPr>
      <w:r>
        <w:rPr>
          <w:rFonts w:ascii="Calibri" w:eastAsia="Calibri" w:hAnsi="Calibri" w:cs="Calibri"/>
        </w:rPr>
        <w:t>Canada should strengthen confidentiality safeguards, narrow information permitting disclosure of a whistleblower's identity, and extend protections to anonymous disclosures.</w:t>
      </w:r>
    </w:p>
    <w:p w14:paraId="372B1BB5" w14:textId="77777777" w:rsidR="00822F51" w:rsidRDefault="00822F51">
      <w:pPr>
        <w:ind w:left="720"/>
        <w:jc w:val="both"/>
        <w:rPr>
          <w:rFonts w:ascii="Calibri" w:eastAsia="Calibri" w:hAnsi="Calibri" w:cs="Calibri"/>
        </w:rPr>
      </w:pPr>
    </w:p>
    <w:p w14:paraId="0BD2B8F0" w14:textId="77777777" w:rsidR="00822F51" w:rsidRDefault="001A22F2">
      <w:pPr>
        <w:numPr>
          <w:ilvl w:val="0"/>
          <w:numId w:val="2"/>
        </w:numPr>
        <w:jc w:val="both"/>
        <w:rPr>
          <w:rFonts w:ascii="Calibri" w:eastAsia="Calibri" w:hAnsi="Calibri" w:cs="Calibri"/>
        </w:rPr>
      </w:pPr>
      <w:r>
        <w:rPr>
          <w:rFonts w:ascii="Calibri" w:eastAsia="Calibri" w:hAnsi="Calibri" w:cs="Calibri"/>
        </w:rPr>
        <w:t xml:space="preserve">Canada should amend the </w:t>
      </w:r>
      <w:r>
        <w:rPr>
          <w:rFonts w:ascii="Calibri" w:eastAsia="Calibri" w:hAnsi="Calibri" w:cs="Calibri"/>
          <w:b/>
          <w:bCs/>
          <w:i/>
          <w:iCs/>
        </w:rPr>
        <w:t>Public Servants Disclosure Protection Act</w:t>
      </w:r>
      <w:r>
        <w:rPr>
          <w:rFonts w:ascii="Calibri" w:eastAsia="Calibri" w:hAnsi="Calibri" w:cs="Calibri"/>
        </w:rPr>
        <w:t xml:space="preserve"> to expressly prohibit any policies, forms or agreements that conflict with rights and remedies articulated in the Act.</w:t>
      </w:r>
    </w:p>
    <w:p w14:paraId="2E0D7BEC" w14:textId="77777777" w:rsidR="00822F51" w:rsidRDefault="00822F51">
      <w:pPr>
        <w:ind w:left="720"/>
        <w:jc w:val="both"/>
        <w:rPr>
          <w:rFonts w:ascii="Calibri" w:eastAsia="Calibri" w:hAnsi="Calibri" w:cs="Calibri"/>
          <w:highlight w:val="yellow"/>
        </w:rPr>
      </w:pPr>
    </w:p>
    <w:p w14:paraId="5657D111" w14:textId="77777777" w:rsidR="00822F51" w:rsidRDefault="001A22F2">
      <w:pPr>
        <w:numPr>
          <w:ilvl w:val="0"/>
          <w:numId w:val="2"/>
        </w:numPr>
        <w:jc w:val="both"/>
        <w:rPr>
          <w:rFonts w:ascii="Calibri" w:eastAsia="Calibri" w:hAnsi="Calibri" w:cs="Calibri"/>
        </w:rPr>
      </w:pPr>
      <w:r>
        <w:rPr>
          <w:rFonts w:ascii="Calibri" w:eastAsia="Calibri" w:hAnsi="Calibri" w:cs="Calibri"/>
        </w:rPr>
        <w:t xml:space="preserve">Canada should provide statutory authority for interim relief, including suspension of disciplinary measures, voluntary transfer, or preservation of employment conditions, while reprisal complaints are under investigation or adjudication. </w:t>
      </w:r>
    </w:p>
    <w:p w14:paraId="01FC6C32" w14:textId="77777777" w:rsidR="00822F51" w:rsidRDefault="00822F51">
      <w:pPr>
        <w:ind w:left="720"/>
        <w:jc w:val="both"/>
        <w:rPr>
          <w:rFonts w:ascii="Calibri" w:eastAsia="Calibri" w:hAnsi="Calibri" w:cs="Calibri"/>
        </w:rPr>
      </w:pPr>
    </w:p>
    <w:p w14:paraId="4BCF66AC" w14:textId="77777777" w:rsidR="00822F51" w:rsidRDefault="001A22F2">
      <w:pPr>
        <w:numPr>
          <w:ilvl w:val="0"/>
          <w:numId w:val="2"/>
        </w:numPr>
        <w:jc w:val="both"/>
        <w:rPr>
          <w:rFonts w:ascii="Calibri" w:eastAsia="Calibri" w:hAnsi="Calibri" w:cs="Calibri"/>
        </w:rPr>
      </w:pPr>
      <w:r>
        <w:rPr>
          <w:rFonts w:ascii="Calibri" w:eastAsia="Calibri" w:hAnsi="Calibri" w:cs="Calibri"/>
        </w:rPr>
        <w:t>Canada should ensure that all whistleblower protection legislation provides timely, effective and restorative remedies, including remedies that restore pre-disclosure employment status, compensating for losses, while ensuring that corrective measures and sanctions may still be ordered against wrongdoers.</w:t>
      </w:r>
    </w:p>
    <w:p w14:paraId="6EA2AA47" w14:textId="77777777" w:rsidR="00822F51" w:rsidRDefault="00822F51">
      <w:pPr>
        <w:ind w:left="720"/>
        <w:jc w:val="both"/>
        <w:rPr>
          <w:rFonts w:ascii="Calibri" w:eastAsia="Calibri" w:hAnsi="Calibri" w:cs="Calibri"/>
        </w:rPr>
      </w:pPr>
    </w:p>
    <w:p w14:paraId="716B55CF" w14:textId="77777777" w:rsidR="00822F51" w:rsidRDefault="001A22F2">
      <w:pPr>
        <w:numPr>
          <w:ilvl w:val="0"/>
          <w:numId w:val="2"/>
        </w:numPr>
        <w:jc w:val="both"/>
        <w:rPr>
          <w:rFonts w:ascii="Calibri" w:eastAsia="Calibri" w:hAnsi="Calibri" w:cs="Calibri"/>
        </w:rPr>
      </w:pPr>
      <w:r>
        <w:rPr>
          <w:rFonts w:ascii="Calibri" w:eastAsia="Calibri" w:hAnsi="Calibri" w:cs="Calibri"/>
        </w:rPr>
        <w:t>​​</w:t>
      </w:r>
      <w:r>
        <w:rPr>
          <w:rFonts w:ascii="Calibri" w:eastAsia="Calibri" w:hAnsi="Calibri" w:cs="Calibri"/>
        </w:rPr>
        <w:t>Canada should work with provinces and territories to establish minimum standards for whistleblower protection, in order to reduce disparities in coverage and remedies across jurisdictions.</w:t>
      </w:r>
    </w:p>
    <w:p w14:paraId="3DC7D551" w14:textId="77777777" w:rsidR="00822F51" w:rsidRDefault="001A22F2">
      <w:pPr>
        <w:jc w:val="center"/>
        <w:rPr>
          <w:rFonts w:ascii="Calibri" w:eastAsia="Calibri" w:hAnsi="Calibri" w:cs="Calibri"/>
          <w:b/>
          <w:bCs/>
          <w:sz w:val="24"/>
          <w:szCs w:val="24"/>
          <w:u w:val="single"/>
        </w:rPr>
      </w:pPr>
      <w:r>
        <w:rPr>
          <w:rFonts w:ascii="Calibri" w:eastAsia="Calibri" w:hAnsi="Calibri" w:cs="Calibri"/>
          <w:b/>
          <w:bCs/>
          <w:sz w:val="24"/>
          <w:szCs w:val="24"/>
          <w:u w:val="single"/>
        </w:rPr>
        <w:t>_____________________________________________________</w:t>
      </w:r>
    </w:p>
    <w:p w14:paraId="364F6CA7" w14:textId="77777777" w:rsidR="00822F51" w:rsidRDefault="00822F51">
      <w:pPr>
        <w:jc w:val="center"/>
        <w:rPr>
          <w:rFonts w:ascii="Calibri" w:eastAsia="Calibri" w:hAnsi="Calibri" w:cs="Calibri"/>
          <w:b/>
          <w:bCs/>
          <w:sz w:val="24"/>
          <w:szCs w:val="24"/>
          <w:u w:val="single"/>
        </w:rPr>
      </w:pPr>
    </w:p>
    <w:p w14:paraId="20080F8C" w14:textId="77777777" w:rsidR="00822F51" w:rsidRDefault="00822F51">
      <w:pPr>
        <w:jc w:val="center"/>
        <w:rPr>
          <w:rFonts w:ascii="Calibri" w:eastAsia="Calibri" w:hAnsi="Calibri" w:cs="Calibri"/>
          <w:b/>
          <w:bCs/>
          <w:sz w:val="24"/>
          <w:szCs w:val="24"/>
          <w:u w:val="single"/>
        </w:rPr>
      </w:pPr>
    </w:p>
    <w:p w14:paraId="70492F45" w14:textId="77777777" w:rsidR="00822F51" w:rsidRDefault="00822F51">
      <w:pPr>
        <w:jc w:val="center"/>
        <w:rPr>
          <w:rFonts w:ascii="Calibri" w:eastAsia="Calibri" w:hAnsi="Calibri" w:cs="Calibri"/>
          <w:b/>
          <w:bCs/>
          <w:sz w:val="24"/>
          <w:szCs w:val="24"/>
          <w:u w:val="single"/>
        </w:rPr>
      </w:pPr>
    </w:p>
    <w:p w14:paraId="42A759DC" w14:textId="77777777" w:rsidR="00822F51" w:rsidRDefault="00822F51">
      <w:pPr>
        <w:jc w:val="center"/>
        <w:rPr>
          <w:rFonts w:ascii="Calibri" w:eastAsia="Calibri" w:hAnsi="Calibri" w:cs="Calibri"/>
          <w:b/>
          <w:bCs/>
          <w:sz w:val="24"/>
          <w:szCs w:val="24"/>
          <w:u w:val="single"/>
        </w:rPr>
      </w:pPr>
    </w:p>
    <w:p w14:paraId="292F2710" w14:textId="77777777" w:rsidR="00822F51" w:rsidRDefault="00822F51">
      <w:pPr>
        <w:jc w:val="center"/>
        <w:rPr>
          <w:rFonts w:ascii="Calibri" w:eastAsia="Calibri" w:hAnsi="Calibri" w:cs="Calibri"/>
          <w:b/>
          <w:bCs/>
          <w:sz w:val="24"/>
          <w:szCs w:val="24"/>
          <w:u w:val="single"/>
        </w:rPr>
      </w:pPr>
    </w:p>
    <w:p w14:paraId="10FA57FF" w14:textId="77777777" w:rsidR="00822F51" w:rsidRDefault="00822F51">
      <w:pPr>
        <w:jc w:val="center"/>
        <w:rPr>
          <w:rFonts w:ascii="Calibri" w:eastAsia="Calibri" w:hAnsi="Calibri" w:cs="Calibri"/>
          <w:b/>
          <w:bCs/>
          <w:sz w:val="24"/>
          <w:szCs w:val="24"/>
          <w:u w:val="single"/>
        </w:rPr>
      </w:pPr>
    </w:p>
    <w:p w14:paraId="6F0E9A8A" w14:textId="77777777" w:rsidR="00822F51" w:rsidRDefault="00822F51">
      <w:pPr>
        <w:jc w:val="center"/>
        <w:rPr>
          <w:rFonts w:ascii="Calibri" w:eastAsia="Calibri" w:hAnsi="Calibri" w:cs="Calibri"/>
          <w:b/>
          <w:bCs/>
          <w:sz w:val="24"/>
          <w:szCs w:val="24"/>
          <w:u w:val="single"/>
        </w:rPr>
      </w:pPr>
    </w:p>
    <w:p w14:paraId="1B9D1729" w14:textId="77777777" w:rsidR="00822F51" w:rsidRDefault="00822F51">
      <w:pPr>
        <w:jc w:val="center"/>
        <w:rPr>
          <w:rFonts w:ascii="Calibri" w:eastAsia="Calibri" w:hAnsi="Calibri" w:cs="Calibri"/>
          <w:b/>
          <w:bCs/>
          <w:sz w:val="24"/>
          <w:szCs w:val="24"/>
          <w:u w:val="single"/>
        </w:rPr>
      </w:pPr>
    </w:p>
    <w:p w14:paraId="57F90962" w14:textId="77777777" w:rsidR="00310030" w:rsidRDefault="00310030">
      <w:pPr>
        <w:jc w:val="center"/>
        <w:rPr>
          <w:rFonts w:ascii="Calibri" w:eastAsia="Calibri" w:hAnsi="Calibri" w:cs="Calibri"/>
          <w:b/>
          <w:bCs/>
          <w:sz w:val="24"/>
          <w:szCs w:val="24"/>
          <w:u w:val="single"/>
        </w:rPr>
      </w:pPr>
    </w:p>
    <w:p w14:paraId="748E41E7" w14:textId="77777777" w:rsidR="00822F51" w:rsidRDefault="00822F51">
      <w:pPr>
        <w:rPr>
          <w:rFonts w:ascii="Calibri" w:eastAsia="Calibri" w:hAnsi="Calibri" w:cs="Calibri"/>
          <w:b/>
          <w:bCs/>
          <w:sz w:val="24"/>
          <w:szCs w:val="24"/>
          <w:u w:val="single"/>
        </w:rPr>
      </w:pPr>
    </w:p>
    <w:sdt>
      <w:sdtPr>
        <w:id w:val="2007627709"/>
        <w:docPartObj>
          <w:docPartGallery w:val="Table of Contents"/>
          <w:docPartUnique/>
        </w:docPartObj>
      </w:sdtPr>
      <w:sdtEndPr/>
      <w:sdtContent>
        <w:p w14:paraId="10833C19" w14:textId="77777777" w:rsidR="00822F51" w:rsidRDefault="00822F51">
          <w:pPr>
            <w:widowControl w:val="0"/>
            <w:tabs>
              <w:tab w:val="right" w:pos="12000"/>
            </w:tabs>
            <w:spacing w:before="60" w:line="240" w:lineRule="auto"/>
            <w:rPr>
              <w:rFonts w:ascii="Calibri" w:eastAsia="Calibri" w:hAnsi="Calibri" w:cs="Calibri"/>
              <w:b/>
              <w:bCs/>
              <w:sz w:val="24"/>
              <w:szCs w:val="24"/>
              <w:u w:val="single"/>
            </w:rPr>
          </w:pPr>
          <w:r>
            <w:fldChar w:fldCharType="begin"/>
          </w:r>
          <w:r>
            <w:instrText xml:space="preserve"> TOC \h \u \z \t "Heading 1,1,Heading 2,2,Heading 3,3,Heading 4,4,Heading 5,5,Heading 6,6,"</w:instrText>
          </w:r>
          <w:r>
            <w:fldChar w:fldCharType="separate"/>
          </w:r>
          <w:r>
            <w:rPr>
              <w:rFonts w:ascii="Calibri" w:eastAsia="Calibri" w:hAnsi="Calibri" w:cs="Calibri"/>
              <w:b/>
              <w:bCs/>
              <w:sz w:val="24"/>
              <w:szCs w:val="24"/>
              <w:u w:val="single"/>
            </w:rPr>
            <w:t>Table of Contents</w:t>
          </w:r>
        </w:p>
        <w:p w14:paraId="15A54441" w14:textId="77777777" w:rsidR="00822F51" w:rsidRDefault="00822F51">
          <w:pPr>
            <w:widowControl w:val="0"/>
            <w:tabs>
              <w:tab w:val="right" w:pos="12000"/>
            </w:tabs>
            <w:spacing w:before="60" w:line="240" w:lineRule="auto"/>
            <w:rPr>
              <w:rFonts w:ascii="Calibri" w:eastAsia="Calibri" w:hAnsi="Calibri" w:cs="Calibri"/>
              <w:b/>
              <w:bCs/>
              <w:sz w:val="24"/>
              <w:szCs w:val="24"/>
              <w:u w:val="single"/>
            </w:rPr>
          </w:pPr>
        </w:p>
        <w:p w14:paraId="00383BCC" w14:textId="77777777" w:rsidR="00822F51" w:rsidRDefault="00822F51">
          <w:pPr>
            <w:widowControl w:val="0"/>
            <w:tabs>
              <w:tab w:val="right" w:pos="12000"/>
            </w:tabs>
            <w:spacing w:before="60" w:line="240" w:lineRule="auto"/>
            <w:rPr>
              <w:b/>
              <w:bCs/>
              <w:color w:val="000000"/>
            </w:rPr>
          </w:pPr>
          <w:hyperlink w:anchor="_wz17673b3acp">
            <w:r>
              <w:rPr>
                <w:rFonts w:ascii="Calibri" w:eastAsia="Calibri" w:hAnsi="Calibri" w:cs="Calibri"/>
                <w:b/>
                <w:bCs/>
                <w:color w:val="000000"/>
              </w:rPr>
              <w:t>Introduction</w:t>
            </w:r>
            <w:r>
              <w:rPr>
                <w:rFonts w:ascii="Calibri" w:eastAsia="Calibri" w:hAnsi="Calibri" w:cs="Calibri"/>
                <w:b/>
                <w:bCs/>
                <w:color w:val="000000"/>
              </w:rPr>
              <w:tab/>
              <w:t>7</w:t>
            </w:r>
          </w:hyperlink>
        </w:p>
        <w:p w14:paraId="085AADD8" w14:textId="77777777" w:rsidR="00822F51" w:rsidRDefault="00822F51">
          <w:pPr>
            <w:widowControl w:val="0"/>
            <w:tabs>
              <w:tab w:val="right" w:pos="12000"/>
            </w:tabs>
            <w:spacing w:before="60" w:line="240" w:lineRule="auto"/>
            <w:rPr>
              <w:b/>
              <w:bCs/>
              <w:color w:val="000000"/>
            </w:rPr>
          </w:pPr>
          <w:hyperlink w:anchor="_s1t7qegi4kzm">
            <w:r>
              <w:rPr>
                <w:rFonts w:ascii="Calibri" w:eastAsia="Calibri" w:hAnsi="Calibri" w:cs="Calibri"/>
                <w:b/>
                <w:bCs/>
                <w:color w:val="000000"/>
              </w:rPr>
              <w:t>I. Mapping Canadian Whistleblower Protections: Law and Jurisprudence</w:t>
            </w:r>
            <w:r>
              <w:rPr>
                <w:rFonts w:ascii="Calibri" w:eastAsia="Calibri" w:hAnsi="Calibri" w:cs="Calibri"/>
                <w:b/>
                <w:bCs/>
                <w:color w:val="000000"/>
              </w:rPr>
              <w:tab/>
              <w:t>8</w:t>
            </w:r>
          </w:hyperlink>
        </w:p>
        <w:p w14:paraId="19CBFBCF" w14:textId="77777777" w:rsidR="00822F51" w:rsidRDefault="00822F51">
          <w:pPr>
            <w:widowControl w:val="0"/>
            <w:tabs>
              <w:tab w:val="right" w:pos="12000"/>
            </w:tabs>
            <w:spacing w:before="60" w:line="240" w:lineRule="auto"/>
            <w:ind w:left="360"/>
            <w:rPr>
              <w:color w:val="000000"/>
            </w:rPr>
          </w:pPr>
          <w:hyperlink w:anchor="_z59efruhvxj8">
            <w:r>
              <w:rPr>
                <w:rFonts w:ascii="Calibri" w:eastAsia="Calibri" w:hAnsi="Calibri" w:cs="Calibri"/>
                <w:color w:val="000000"/>
              </w:rPr>
              <w:t>A. The Criminal Code</w:t>
            </w:r>
            <w:r>
              <w:rPr>
                <w:rFonts w:ascii="Calibri" w:eastAsia="Calibri" w:hAnsi="Calibri" w:cs="Calibri"/>
                <w:color w:val="000000"/>
              </w:rPr>
              <w:tab/>
              <w:t>8</w:t>
            </w:r>
          </w:hyperlink>
        </w:p>
        <w:p w14:paraId="4187E8DD" w14:textId="77777777" w:rsidR="00822F51" w:rsidRDefault="00822F51">
          <w:pPr>
            <w:widowControl w:val="0"/>
            <w:tabs>
              <w:tab w:val="right" w:pos="12000"/>
            </w:tabs>
            <w:spacing w:before="60" w:line="240" w:lineRule="auto"/>
            <w:ind w:left="360"/>
            <w:rPr>
              <w:color w:val="000000"/>
            </w:rPr>
          </w:pPr>
          <w:hyperlink w:anchor="_8mhypo8ghurn">
            <w:r>
              <w:rPr>
                <w:rFonts w:ascii="Calibri" w:eastAsia="Calibri" w:hAnsi="Calibri" w:cs="Calibri"/>
                <w:color w:val="000000"/>
              </w:rPr>
              <w:t>B. Federal Legislation - Public Servants Disclosure Protection Act (“PSDPA”)</w:t>
            </w:r>
            <w:r>
              <w:rPr>
                <w:rFonts w:ascii="Calibri" w:eastAsia="Calibri" w:hAnsi="Calibri" w:cs="Calibri"/>
                <w:color w:val="000000"/>
              </w:rPr>
              <w:tab/>
              <w:t>8</w:t>
            </w:r>
          </w:hyperlink>
        </w:p>
        <w:p w14:paraId="15FD4B7B" w14:textId="77777777" w:rsidR="00822F51" w:rsidRDefault="00822F51">
          <w:pPr>
            <w:widowControl w:val="0"/>
            <w:tabs>
              <w:tab w:val="right" w:pos="12000"/>
            </w:tabs>
            <w:spacing w:before="60" w:line="240" w:lineRule="auto"/>
            <w:ind w:left="360"/>
            <w:rPr>
              <w:color w:val="000000"/>
            </w:rPr>
          </w:pPr>
          <w:hyperlink w:anchor="_kl7rqvubhz24">
            <w:r>
              <w:rPr>
                <w:rFonts w:ascii="Calibri" w:eastAsia="Calibri" w:hAnsi="Calibri" w:cs="Calibri"/>
                <w:color w:val="000000"/>
              </w:rPr>
              <w:t>C. Provincial Legislation</w:t>
            </w:r>
            <w:r>
              <w:rPr>
                <w:rFonts w:ascii="Calibri" w:eastAsia="Calibri" w:hAnsi="Calibri" w:cs="Calibri"/>
                <w:color w:val="000000"/>
              </w:rPr>
              <w:tab/>
              <w:t>10</w:t>
            </w:r>
          </w:hyperlink>
        </w:p>
        <w:p w14:paraId="314559BE" w14:textId="77777777" w:rsidR="00822F51" w:rsidRDefault="00822F51">
          <w:pPr>
            <w:widowControl w:val="0"/>
            <w:tabs>
              <w:tab w:val="right" w:pos="12000"/>
            </w:tabs>
            <w:spacing w:before="60" w:line="240" w:lineRule="auto"/>
            <w:rPr>
              <w:b/>
              <w:bCs/>
              <w:color w:val="000000"/>
            </w:rPr>
          </w:pPr>
          <w:hyperlink w:anchor="_valww7wzsoyo">
            <w:r>
              <w:rPr>
                <w:rFonts w:ascii="Calibri" w:eastAsia="Calibri" w:hAnsi="Calibri" w:cs="Calibri"/>
                <w:b/>
                <w:bCs/>
                <w:color w:val="000000"/>
              </w:rPr>
              <w:t>II. Scope of Coverage</w:t>
            </w:r>
            <w:r>
              <w:rPr>
                <w:rFonts w:ascii="Calibri" w:eastAsia="Calibri" w:hAnsi="Calibri" w:cs="Calibri"/>
                <w:b/>
                <w:bCs/>
                <w:color w:val="000000"/>
              </w:rPr>
              <w:tab/>
              <w:t>11</w:t>
            </w:r>
          </w:hyperlink>
        </w:p>
        <w:p w14:paraId="4C90A05F" w14:textId="77777777" w:rsidR="00822F51" w:rsidRDefault="00822F51">
          <w:pPr>
            <w:widowControl w:val="0"/>
            <w:tabs>
              <w:tab w:val="right" w:pos="12000"/>
            </w:tabs>
            <w:spacing w:before="60" w:line="240" w:lineRule="auto"/>
            <w:ind w:left="360"/>
            <w:rPr>
              <w:color w:val="000000"/>
            </w:rPr>
          </w:pPr>
          <w:hyperlink w:anchor="_8fl7b7xctnq6">
            <w:r>
              <w:rPr>
                <w:rFonts w:ascii="Calibri" w:eastAsia="Calibri" w:hAnsi="Calibri" w:cs="Calibri"/>
                <w:color w:val="000000"/>
              </w:rPr>
              <w:t>A. Who is Protected? The Public Sector</w:t>
            </w:r>
            <w:r>
              <w:rPr>
                <w:rFonts w:ascii="Calibri" w:eastAsia="Calibri" w:hAnsi="Calibri" w:cs="Calibri"/>
                <w:color w:val="000000"/>
              </w:rPr>
              <w:tab/>
              <w:t>11</w:t>
            </w:r>
          </w:hyperlink>
        </w:p>
        <w:p w14:paraId="636527E3" w14:textId="77777777" w:rsidR="00822F51" w:rsidRDefault="00822F51">
          <w:pPr>
            <w:widowControl w:val="0"/>
            <w:tabs>
              <w:tab w:val="right" w:pos="12000"/>
            </w:tabs>
            <w:spacing w:before="60" w:line="240" w:lineRule="auto"/>
            <w:ind w:left="720"/>
            <w:rPr>
              <w:color w:val="000000"/>
            </w:rPr>
          </w:pPr>
          <w:hyperlink w:anchor="_wdbq91ih5c12">
            <w:r>
              <w:rPr>
                <w:rFonts w:ascii="Calibri" w:eastAsia="Calibri" w:hAnsi="Calibri" w:cs="Calibri"/>
                <w:color w:val="000000"/>
              </w:rPr>
              <w:t>Federal Legislation</w:t>
            </w:r>
            <w:r>
              <w:rPr>
                <w:rFonts w:ascii="Calibri" w:eastAsia="Calibri" w:hAnsi="Calibri" w:cs="Calibri"/>
                <w:color w:val="000000"/>
              </w:rPr>
              <w:tab/>
              <w:t>11</w:t>
            </w:r>
          </w:hyperlink>
        </w:p>
        <w:p w14:paraId="3AB82554" w14:textId="77777777" w:rsidR="00822F51" w:rsidRDefault="00822F51">
          <w:pPr>
            <w:widowControl w:val="0"/>
            <w:tabs>
              <w:tab w:val="right" w:pos="12000"/>
            </w:tabs>
            <w:spacing w:before="60" w:line="240" w:lineRule="auto"/>
            <w:ind w:left="720"/>
            <w:rPr>
              <w:color w:val="000000"/>
            </w:rPr>
          </w:pPr>
          <w:hyperlink w:anchor="_1bqkfpcrkope">
            <w:r>
              <w:rPr>
                <w:rFonts w:ascii="Calibri" w:eastAsia="Calibri" w:hAnsi="Calibri" w:cs="Calibri"/>
                <w:color w:val="000000"/>
              </w:rPr>
              <w:t>Provincial Legislation</w:t>
            </w:r>
            <w:r>
              <w:rPr>
                <w:rFonts w:ascii="Calibri" w:eastAsia="Calibri" w:hAnsi="Calibri" w:cs="Calibri"/>
                <w:color w:val="000000"/>
              </w:rPr>
              <w:tab/>
              <w:t>12</w:t>
            </w:r>
          </w:hyperlink>
        </w:p>
        <w:p w14:paraId="457CD6A4" w14:textId="77777777" w:rsidR="00822F51" w:rsidRDefault="00822F51">
          <w:pPr>
            <w:widowControl w:val="0"/>
            <w:tabs>
              <w:tab w:val="right" w:pos="12000"/>
            </w:tabs>
            <w:spacing w:before="60" w:line="240" w:lineRule="auto"/>
            <w:ind w:left="360"/>
            <w:rPr>
              <w:color w:val="000000"/>
            </w:rPr>
          </w:pPr>
          <w:hyperlink w:anchor="_19o1fdelboam">
            <w:r>
              <w:rPr>
                <w:rFonts w:ascii="Calibri" w:eastAsia="Calibri" w:hAnsi="Calibri" w:cs="Calibri"/>
                <w:color w:val="000000"/>
              </w:rPr>
              <w:t>B. Who is Not Protected? The Private Sector</w:t>
            </w:r>
            <w:r>
              <w:rPr>
                <w:rFonts w:ascii="Calibri" w:eastAsia="Calibri" w:hAnsi="Calibri" w:cs="Calibri"/>
                <w:color w:val="000000"/>
              </w:rPr>
              <w:tab/>
              <w:t>13</w:t>
            </w:r>
          </w:hyperlink>
        </w:p>
        <w:p w14:paraId="61432439" w14:textId="77777777" w:rsidR="00822F51" w:rsidRDefault="00822F51">
          <w:pPr>
            <w:widowControl w:val="0"/>
            <w:tabs>
              <w:tab w:val="right" w:pos="12000"/>
            </w:tabs>
            <w:spacing w:before="60" w:line="240" w:lineRule="auto"/>
            <w:ind w:left="1080"/>
            <w:rPr>
              <w:color w:val="000000"/>
            </w:rPr>
          </w:pPr>
          <w:hyperlink w:anchor="_r9c7mu2aap1s">
            <w:r>
              <w:rPr>
                <w:rFonts w:ascii="Calibri" w:eastAsia="Calibri" w:hAnsi="Calibri" w:cs="Calibri"/>
                <w:color w:val="000000"/>
              </w:rPr>
              <w:t>Recommended Questions and Recommendations</w:t>
            </w:r>
            <w:r>
              <w:rPr>
                <w:rFonts w:ascii="Calibri" w:eastAsia="Calibri" w:hAnsi="Calibri" w:cs="Calibri"/>
                <w:color w:val="000000"/>
              </w:rPr>
              <w:tab/>
              <w:t>13</w:t>
            </w:r>
          </w:hyperlink>
        </w:p>
        <w:p w14:paraId="67D185F5" w14:textId="77777777" w:rsidR="00822F51" w:rsidRDefault="00822F51">
          <w:pPr>
            <w:widowControl w:val="0"/>
            <w:tabs>
              <w:tab w:val="right" w:pos="12000"/>
            </w:tabs>
            <w:spacing w:before="60" w:line="240" w:lineRule="auto"/>
            <w:rPr>
              <w:b/>
              <w:bCs/>
              <w:color w:val="000000"/>
            </w:rPr>
          </w:pPr>
          <w:hyperlink w:anchor="_rbnhiaxv71ll">
            <w:r>
              <w:rPr>
                <w:rFonts w:ascii="Calibri" w:eastAsia="Calibri" w:hAnsi="Calibri" w:cs="Calibri"/>
                <w:b/>
                <w:bCs/>
                <w:color w:val="000000"/>
              </w:rPr>
              <w:t>III. Making a Disclosure</w:t>
            </w:r>
            <w:r>
              <w:rPr>
                <w:rFonts w:ascii="Calibri" w:eastAsia="Calibri" w:hAnsi="Calibri" w:cs="Calibri"/>
                <w:b/>
                <w:bCs/>
                <w:color w:val="000000"/>
              </w:rPr>
              <w:tab/>
              <w:t>14</w:t>
            </w:r>
          </w:hyperlink>
        </w:p>
        <w:p w14:paraId="6C0CED61" w14:textId="77777777" w:rsidR="00822F51" w:rsidRDefault="00822F51">
          <w:pPr>
            <w:widowControl w:val="0"/>
            <w:tabs>
              <w:tab w:val="right" w:pos="12000"/>
            </w:tabs>
            <w:spacing w:before="60" w:line="240" w:lineRule="auto"/>
            <w:ind w:left="360"/>
            <w:rPr>
              <w:color w:val="000000"/>
            </w:rPr>
          </w:pPr>
          <w:hyperlink w:anchor="_87yrdcr9nhfd">
            <w:r>
              <w:rPr>
                <w:rFonts w:ascii="Calibri" w:eastAsia="Calibri" w:hAnsi="Calibri" w:cs="Calibri"/>
                <w:color w:val="000000"/>
              </w:rPr>
              <w:t>A. Good Faith Requirement</w:t>
            </w:r>
            <w:r>
              <w:rPr>
                <w:rFonts w:ascii="Calibri" w:eastAsia="Calibri" w:hAnsi="Calibri" w:cs="Calibri"/>
                <w:color w:val="000000"/>
              </w:rPr>
              <w:tab/>
              <w:t>15</w:t>
            </w:r>
          </w:hyperlink>
        </w:p>
        <w:p w14:paraId="46FB9939" w14:textId="77777777" w:rsidR="00822F51" w:rsidRDefault="00822F51">
          <w:pPr>
            <w:widowControl w:val="0"/>
            <w:tabs>
              <w:tab w:val="right" w:pos="12000"/>
            </w:tabs>
            <w:spacing w:before="60" w:line="240" w:lineRule="auto"/>
            <w:ind w:left="360"/>
            <w:rPr>
              <w:color w:val="000000"/>
            </w:rPr>
          </w:pPr>
          <w:hyperlink w:anchor="_q8oihrexou0d">
            <w:r>
              <w:rPr>
                <w:rFonts w:ascii="Calibri" w:eastAsia="Calibri" w:hAnsi="Calibri" w:cs="Calibri"/>
                <w:color w:val="000000"/>
              </w:rPr>
              <w:t>B. Confidentiality</w:t>
            </w:r>
            <w:r>
              <w:rPr>
                <w:rFonts w:ascii="Calibri" w:eastAsia="Calibri" w:hAnsi="Calibri" w:cs="Calibri"/>
                <w:color w:val="000000"/>
              </w:rPr>
              <w:tab/>
              <w:t>15</w:t>
            </w:r>
          </w:hyperlink>
        </w:p>
        <w:p w14:paraId="3D320AA1" w14:textId="77777777" w:rsidR="00822F51" w:rsidRDefault="00822F51">
          <w:pPr>
            <w:widowControl w:val="0"/>
            <w:tabs>
              <w:tab w:val="right" w:pos="12000"/>
            </w:tabs>
            <w:spacing w:before="60" w:line="240" w:lineRule="auto"/>
            <w:ind w:left="1080"/>
            <w:rPr>
              <w:color w:val="000000"/>
            </w:rPr>
          </w:pPr>
          <w:hyperlink w:anchor="_9rnrrphb5hgi">
            <w:r>
              <w:rPr>
                <w:rFonts w:ascii="Calibri" w:eastAsia="Calibri" w:hAnsi="Calibri" w:cs="Calibri"/>
                <w:color w:val="000000"/>
              </w:rPr>
              <w:t>Recommended Questions and Recommendations</w:t>
            </w:r>
            <w:r>
              <w:rPr>
                <w:rFonts w:ascii="Calibri" w:eastAsia="Calibri" w:hAnsi="Calibri" w:cs="Calibri"/>
                <w:color w:val="000000"/>
              </w:rPr>
              <w:tab/>
              <w:t>16</w:t>
            </w:r>
          </w:hyperlink>
        </w:p>
        <w:p w14:paraId="43CEA40C" w14:textId="77777777" w:rsidR="00822F51" w:rsidRDefault="00822F51">
          <w:pPr>
            <w:widowControl w:val="0"/>
            <w:tabs>
              <w:tab w:val="right" w:pos="12000"/>
            </w:tabs>
            <w:spacing w:before="60" w:line="240" w:lineRule="auto"/>
            <w:rPr>
              <w:b/>
              <w:bCs/>
              <w:color w:val="000000"/>
            </w:rPr>
          </w:pPr>
          <w:hyperlink w:anchor="_y6g2aeegrwe0">
            <w:r>
              <w:rPr>
                <w:rFonts w:ascii="Calibri" w:eastAsia="Calibri" w:hAnsi="Calibri" w:cs="Calibri"/>
                <w:b/>
                <w:bCs/>
                <w:color w:val="000000"/>
              </w:rPr>
              <w:t>IV. Reprisals and Burden of Proof</w:t>
            </w:r>
            <w:r>
              <w:rPr>
                <w:rFonts w:ascii="Calibri" w:eastAsia="Calibri" w:hAnsi="Calibri" w:cs="Calibri"/>
                <w:b/>
                <w:bCs/>
                <w:color w:val="000000"/>
              </w:rPr>
              <w:tab/>
              <w:t>17</w:t>
            </w:r>
          </w:hyperlink>
        </w:p>
        <w:p w14:paraId="697826DD" w14:textId="77777777" w:rsidR="00822F51" w:rsidRDefault="00822F51">
          <w:pPr>
            <w:widowControl w:val="0"/>
            <w:tabs>
              <w:tab w:val="right" w:pos="12000"/>
            </w:tabs>
            <w:spacing w:before="60" w:line="240" w:lineRule="auto"/>
            <w:ind w:left="360"/>
            <w:rPr>
              <w:color w:val="000000"/>
            </w:rPr>
          </w:pPr>
          <w:hyperlink w:anchor="_cqjqabd3vyyi">
            <w:r>
              <w:rPr>
                <w:rFonts w:ascii="Calibri" w:eastAsia="Calibri" w:hAnsi="Calibri" w:cs="Calibri"/>
                <w:color w:val="000000"/>
              </w:rPr>
              <w:t>A. Narrow Definition of Reprisals</w:t>
            </w:r>
            <w:r>
              <w:rPr>
                <w:rFonts w:ascii="Calibri" w:eastAsia="Calibri" w:hAnsi="Calibri" w:cs="Calibri"/>
                <w:color w:val="000000"/>
              </w:rPr>
              <w:tab/>
              <w:t>17</w:t>
            </w:r>
          </w:hyperlink>
        </w:p>
        <w:p w14:paraId="4177E991" w14:textId="77777777" w:rsidR="00822F51" w:rsidRDefault="00822F51">
          <w:pPr>
            <w:widowControl w:val="0"/>
            <w:tabs>
              <w:tab w:val="right" w:pos="12000"/>
            </w:tabs>
            <w:spacing w:before="60" w:line="240" w:lineRule="auto"/>
            <w:ind w:left="720"/>
            <w:rPr>
              <w:color w:val="000000"/>
            </w:rPr>
          </w:pPr>
          <w:hyperlink w:anchor="_uhf2p2nybnzf">
            <w:r>
              <w:rPr>
                <w:rFonts w:ascii="Calibri" w:eastAsia="Calibri" w:hAnsi="Calibri" w:cs="Calibri"/>
                <w:color w:val="000000"/>
              </w:rPr>
              <w:t>Federal Legislation</w:t>
            </w:r>
            <w:r>
              <w:rPr>
                <w:rFonts w:ascii="Calibri" w:eastAsia="Calibri" w:hAnsi="Calibri" w:cs="Calibri"/>
                <w:color w:val="000000"/>
              </w:rPr>
              <w:tab/>
              <w:t>17</w:t>
            </w:r>
          </w:hyperlink>
        </w:p>
        <w:p w14:paraId="30482E21" w14:textId="77777777" w:rsidR="00822F51" w:rsidRDefault="00822F51">
          <w:pPr>
            <w:widowControl w:val="0"/>
            <w:tabs>
              <w:tab w:val="right" w:pos="12000"/>
            </w:tabs>
            <w:spacing w:before="60" w:line="240" w:lineRule="auto"/>
            <w:ind w:left="720"/>
            <w:rPr>
              <w:color w:val="000000"/>
            </w:rPr>
          </w:pPr>
          <w:hyperlink w:anchor="_w630f9er51">
            <w:r>
              <w:rPr>
                <w:rFonts w:ascii="Calibri" w:eastAsia="Calibri" w:hAnsi="Calibri" w:cs="Calibri"/>
                <w:color w:val="000000"/>
              </w:rPr>
              <w:t>Provincial Legislation</w:t>
            </w:r>
            <w:r>
              <w:rPr>
                <w:rFonts w:ascii="Calibri" w:eastAsia="Calibri" w:hAnsi="Calibri" w:cs="Calibri"/>
                <w:color w:val="000000"/>
              </w:rPr>
              <w:tab/>
              <w:t>18</w:t>
            </w:r>
          </w:hyperlink>
        </w:p>
        <w:p w14:paraId="5C1E6248" w14:textId="77777777" w:rsidR="00822F51" w:rsidRDefault="00822F51">
          <w:pPr>
            <w:widowControl w:val="0"/>
            <w:tabs>
              <w:tab w:val="right" w:pos="12000"/>
            </w:tabs>
            <w:spacing w:before="60" w:line="240" w:lineRule="auto"/>
            <w:ind w:left="360"/>
            <w:rPr>
              <w:color w:val="000000"/>
            </w:rPr>
          </w:pPr>
          <w:hyperlink w:anchor="_173hg748lx4">
            <w:r>
              <w:rPr>
                <w:rFonts w:ascii="Calibri" w:eastAsia="Calibri" w:hAnsi="Calibri" w:cs="Calibri"/>
                <w:color w:val="000000"/>
              </w:rPr>
              <w:t>B. Reprisal Complaints: Burden of Proof</w:t>
            </w:r>
            <w:r>
              <w:rPr>
                <w:rFonts w:ascii="Calibri" w:eastAsia="Calibri" w:hAnsi="Calibri" w:cs="Calibri"/>
                <w:color w:val="000000"/>
              </w:rPr>
              <w:tab/>
              <w:t>18</w:t>
            </w:r>
          </w:hyperlink>
        </w:p>
        <w:p w14:paraId="14AD4A23" w14:textId="77777777" w:rsidR="00822F51" w:rsidRDefault="00822F51">
          <w:pPr>
            <w:widowControl w:val="0"/>
            <w:tabs>
              <w:tab w:val="right" w:pos="12000"/>
            </w:tabs>
            <w:spacing w:before="60" w:line="240" w:lineRule="auto"/>
            <w:ind w:left="720"/>
            <w:rPr>
              <w:color w:val="000000"/>
            </w:rPr>
          </w:pPr>
          <w:hyperlink w:anchor="_tow2f5nvztro">
            <w:r>
              <w:rPr>
                <w:rFonts w:ascii="Calibri" w:eastAsia="Calibri" w:hAnsi="Calibri" w:cs="Calibri"/>
                <w:color w:val="000000"/>
              </w:rPr>
              <w:t>Federal Legislation</w:t>
            </w:r>
            <w:r>
              <w:rPr>
                <w:rFonts w:ascii="Calibri" w:eastAsia="Calibri" w:hAnsi="Calibri" w:cs="Calibri"/>
                <w:color w:val="000000"/>
              </w:rPr>
              <w:tab/>
              <w:t>18</w:t>
            </w:r>
          </w:hyperlink>
        </w:p>
        <w:p w14:paraId="5701DC5B" w14:textId="77777777" w:rsidR="00822F51" w:rsidRDefault="00822F51">
          <w:pPr>
            <w:widowControl w:val="0"/>
            <w:tabs>
              <w:tab w:val="right" w:pos="12000"/>
            </w:tabs>
            <w:spacing w:before="60" w:line="240" w:lineRule="auto"/>
            <w:ind w:left="720"/>
            <w:rPr>
              <w:color w:val="000000"/>
            </w:rPr>
          </w:pPr>
          <w:hyperlink w:anchor="_jm9e0uemjlqq">
            <w:r>
              <w:rPr>
                <w:rFonts w:ascii="Calibri" w:eastAsia="Calibri" w:hAnsi="Calibri" w:cs="Calibri"/>
                <w:color w:val="000000"/>
              </w:rPr>
              <w:t>Provincial Legislation</w:t>
            </w:r>
            <w:r>
              <w:rPr>
                <w:rFonts w:ascii="Calibri" w:eastAsia="Calibri" w:hAnsi="Calibri" w:cs="Calibri"/>
                <w:color w:val="000000"/>
              </w:rPr>
              <w:tab/>
              <w:t>18</w:t>
            </w:r>
          </w:hyperlink>
        </w:p>
        <w:p w14:paraId="7D6F7F5F" w14:textId="77777777" w:rsidR="00822F51" w:rsidRDefault="00822F51">
          <w:pPr>
            <w:widowControl w:val="0"/>
            <w:tabs>
              <w:tab w:val="right" w:pos="12000"/>
            </w:tabs>
            <w:spacing w:before="60" w:line="240" w:lineRule="auto"/>
            <w:ind w:left="1080"/>
            <w:rPr>
              <w:color w:val="000000"/>
            </w:rPr>
          </w:pPr>
          <w:hyperlink w:anchor="_60ho0e19tkh1">
            <w:r>
              <w:rPr>
                <w:rFonts w:ascii="Calibri" w:eastAsia="Calibri" w:hAnsi="Calibri" w:cs="Calibri"/>
                <w:color w:val="000000"/>
              </w:rPr>
              <w:t>Recommended Questions and Recommendations</w:t>
            </w:r>
            <w:r>
              <w:rPr>
                <w:rFonts w:ascii="Calibri" w:eastAsia="Calibri" w:hAnsi="Calibri" w:cs="Calibri"/>
                <w:color w:val="000000"/>
              </w:rPr>
              <w:tab/>
              <w:t>19</w:t>
            </w:r>
          </w:hyperlink>
        </w:p>
        <w:p w14:paraId="39766A6E" w14:textId="77777777" w:rsidR="00822F51" w:rsidRDefault="00822F51">
          <w:pPr>
            <w:widowControl w:val="0"/>
            <w:tabs>
              <w:tab w:val="right" w:pos="12000"/>
            </w:tabs>
            <w:spacing w:before="60" w:line="240" w:lineRule="auto"/>
            <w:rPr>
              <w:b/>
              <w:bCs/>
              <w:color w:val="000000"/>
            </w:rPr>
          </w:pPr>
          <w:hyperlink w:anchor="_depxidhm7fz2">
            <w:r>
              <w:rPr>
                <w:rFonts w:ascii="Calibri" w:eastAsia="Calibri" w:hAnsi="Calibri" w:cs="Calibri"/>
                <w:b/>
                <w:bCs/>
                <w:color w:val="000000"/>
              </w:rPr>
              <w:t>V. Access to Forum and Remedy</w:t>
            </w:r>
            <w:r>
              <w:rPr>
                <w:rFonts w:ascii="Calibri" w:eastAsia="Calibri" w:hAnsi="Calibri" w:cs="Calibri"/>
                <w:b/>
                <w:bCs/>
                <w:color w:val="000000"/>
              </w:rPr>
              <w:tab/>
              <w:t>19</w:t>
            </w:r>
          </w:hyperlink>
        </w:p>
        <w:p w14:paraId="0EDDCED0" w14:textId="77777777" w:rsidR="00822F51" w:rsidRDefault="00822F51">
          <w:pPr>
            <w:widowControl w:val="0"/>
            <w:tabs>
              <w:tab w:val="right" w:pos="12000"/>
            </w:tabs>
            <w:spacing w:before="60" w:line="240" w:lineRule="auto"/>
            <w:ind w:left="360"/>
            <w:rPr>
              <w:color w:val="000000"/>
            </w:rPr>
          </w:pPr>
          <w:hyperlink w:anchor="_qy1ef6v1pd00">
            <w:r>
              <w:rPr>
                <w:rFonts w:ascii="Calibri" w:eastAsia="Calibri" w:hAnsi="Calibri" w:cs="Calibri"/>
                <w:color w:val="000000"/>
              </w:rPr>
              <w:t>A. Procedural Gatekeeping</w:t>
            </w:r>
            <w:r>
              <w:rPr>
                <w:rFonts w:ascii="Calibri" w:eastAsia="Calibri" w:hAnsi="Calibri" w:cs="Calibri"/>
                <w:color w:val="000000"/>
              </w:rPr>
              <w:tab/>
              <w:t>19</w:t>
            </w:r>
          </w:hyperlink>
        </w:p>
        <w:p w14:paraId="6E53B4A9" w14:textId="77777777" w:rsidR="00822F51" w:rsidRDefault="00822F51">
          <w:pPr>
            <w:widowControl w:val="0"/>
            <w:tabs>
              <w:tab w:val="right" w:pos="12000"/>
            </w:tabs>
            <w:spacing w:before="60" w:line="240" w:lineRule="auto"/>
            <w:ind w:left="720"/>
            <w:rPr>
              <w:color w:val="000000"/>
            </w:rPr>
          </w:pPr>
          <w:hyperlink w:anchor="_csq5ppu1fl2d">
            <w:r>
              <w:rPr>
                <w:rFonts w:ascii="Calibri" w:eastAsia="Calibri" w:hAnsi="Calibri" w:cs="Calibri"/>
                <w:color w:val="000000"/>
              </w:rPr>
              <w:t>Federal Legislation</w:t>
            </w:r>
            <w:r>
              <w:rPr>
                <w:rFonts w:ascii="Calibri" w:eastAsia="Calibri" w:hAnsi="Calibri" w:cs="Calibri"/>
                <w:color w:val="000000"/>
              </w:rPr>
              <w:tab/>
              <w:t>19</w:t>
            </w:r>
          </w:hyperlink>
        </w:p>
        <w:p w14:paraId="1C46B2F4" w14:textId="77777777" w:rsidR="00822F51" w:rsidRDefault="00822F51">
          <w:pPr>
            <w:widowControl w:val="0"/>
            <w:tabs>
              <w:tab w:val="right" w:pos="12000"/>
            </w:tabs>
            <w:spacing w:before="60" w:line="240" w:lineRule="auto"/>
            <w:ind w:left="720"/>
            <w:rPr>
              <w:color w:val="000000"/>
            </w:rPr>
          </w:pPr>
          <w:hyperlink w:anchor="_7l755f6m2oix">
            <w:r>
              <w:rPr>
                <w:rFonts w:ascii="Calibri" w:eastAsia="Calibri" w:hAnsi="Calibri" w:cs="Calibri"/>
                <w:color w:val="000000"/>
              </w:rPr>
              <w:t>Provincial Legislation</w:t>
            </w:r>
            <w:r>
              <w:rPr>
                <w:rFonts w:ascii="Calibri" w:eastAsia="Calibri" w:hAnsi="Calibri" w:cs="Calibri"/>
                <w:color w:val="000000"/>
              </w:rPr>
              <w:tab/>
              <w:t>20</w:t>
            </w:r>
          </w:hyperlink>
        </w:p>
        <w:p w14:paraId="5F4C0258" w14:textId="77777777" w:rsidR="00822F51" w:rsidRDefault="00822F51">
          <w:pPr>
            <w:widowControl w:val="0"/>
            <w:tabs>
              <w:tab w:val="right" w:pos="12000"/>
            </w:tabs>
            <w:spacing w:before="60" w:line="240" w:lineRule="auto"/>
            <w:ind w:left="1080"/>
            <w:rPr>
              <w:color w:val="000000"/>
            </w:rPr>
          </w:pPr>
          <w:hyperlink w:anchor="_unrb3yaawest">
            <w:r>
              <w:rPr>
                <w:rFonts w:ascii="Calibri" w:eastAsia="Calibri" w:hAnsi="Calibri" w:cs="Calibri"/>
                <w:color w:val="000000"/>
              </w:rPr>
              <w:t>Recommended Question and Recommendations</w:t>
            </w:r>
            <w:r>
              <w:rPr>
                <w:rFonts w:ascii="Calibri" w:eastAsia="Calibri" w:hAnsi="Calibri" w:cs="Calibri"/>
                <w:color w:val="000000"/>
              </w:rPr>
              <w:tab/>
              <w:t>21</w:t>
            </w:r>
          </w:hyperlink>
        </w:p>
        <w:p w14:paraId="0202E3A8" w14:textId="77777777" w:rsidR="00822F51" w:rsidRDefault="00822F51">
          <w:pPr>
            <w:widowControl w:val="0"/>
            <w:tabs>
              <w:tab w:val="right" w:pos="12000"/>
            </w:tabs>
            <w:spacing w:before="60" w:line="240" w:lineRule="auto"/>
            <w:ind w:left="360"/>
            <w:rPr>
              <w:color w:val="000000"/>
            </w:rPr>
          </w:pPr>
          <w:hyperlink w:anchor="_4bvq4o584ed1">
            <w:r>
              <w:rPr>
                <w:rFonts w:ascii="Calibri" w:eastAsia="Calibri" w:hAnsi="Calibri" w:cs="Calibri"/>
                <w:color w:val="000000"/>
              </w:rPr>
              <w:t>B. Remedies &amp; Legal Assistance</w:t>
            </w:r>
            <w:r>
              <w:rPr>
                <w:rFonts w:ascii="Calibri" w:eastAsia="Calibri" w:hAnsi="Calibri" w:cs="Calibri"/>
                <w:color w:val="000000"/>
              </w:rPr>
              <w:tab/>
              <w:t>21</w:t>
            </w:r>
          </w:hyperlink>
        </w:p>
        <w:p w14:paraId="43E456E8" w14:textId="77777777" w:rsidR="00822F51" w:rsidRDefault="00822F51">
          <w:pPr>
            <w:widowControl w:val="0"/>
            <w:tabs>
              <w:tab w:val="right" w:pos="12000"/>
            </w:tabs>
            <w:spacing w:before="60" w:line="240" w:lineRule="auto"/>
            <w:ind w:left="720"/>
            <w:rPr>
              <w:color w:val="000000"/>
            </w:rPr>
          </w:pPr>
          <w:hyperlink w:anchor="_krpny2r3yo1n">
            <w:r>
              <w:rPr>
                <w:rFonts w:ascii="Calibri" w:eastAsia="Calibri" w:hAnsi="Calibri" w:cs="Calibri"/>
                <w:color w:val="000000"/>
              </w:rPr>
              <w:t>Federal Legislation</w:t>
            </w:r>
            <w:r>
              <w:rPr>
                <w:rFonts w:ascii="Calibri" w:eastAsia="Calibri" w:hAnsi="Calibri" w:cs="Calibri"/>
                <w:color w:val="000000"/>
              </w:rPr>
              <w:tab/>
              <w:t>21</w:t>
            </w:r>
          </w:hyperlink>
        </w:p>
        <w:p w14:paraId="29E6E8F0" w14:textId="77777777" w:rsidR="00822F51" w:rsidRDefault="00822F51">
          <w:pPr>
            <w:widowControl w:val="0"/>
            <w:tabs>
              <w:tab w:val="right" w:pos="12000"/>
            </w:tabs>
            <w:spacing w:before="60" w:line="240" w:lineRule="auto"/>
            <w:ind w:left="720"/>
            <w:rPr>
              <w:color w:val="000000"/>
            </w:rPr>
          </w:pPr>
          <w:hyperlink w:anchor="_5bgmpzutefb7">
            <w:r>
              <w:rPr>
                <w:rFonts w:ascii="Calibri" w:eastAsia="Calibri" w:hAnsi="Calibri" w:cs="Calibri"/>
                <w:color w:val="000000"/>
              </w:rPr>
              <w:t>Provincial Legislation</w:t>
            </w:r>
            <w:r>
              <w:rPr>
                <w:rFonts w:ascii="Calibri" w:eastAsia="Calibri" w:hAnsi="Calibri" w:cs="Calibri"/>
                <w:color w:val="000000"/>
              </w:rPr>
              <w:tab/>
              <w:t>22</w:t>
            </w:r>
          </w:hyperlink>
        </w:p>
        <w:p w14:paraId="1A8303D3" w14:textId="77777777" w:rsidR="00822F51" w:rsidRDefault="00822F51">
          <w:pPr>
            <w:widowControl w:val="0"/>
            <w:tabs>
              <w:tab w:val="right" w:pos="12000"/>
            </w:tabs>
            <w:spacing w:before="60" w:line="240" w:lineRule="auto"/>
            <w:ind w:left="1080"/>
            <w:rPr>
              <w:color w:val="000000"/>
            </w:rPr>
          </w:pPr>
          <w:hyperlink w:anchor="_en5vi59j9vyk">
            <w:r>
              <w:rPr>
                <w:rFonts w:ascii="Calibri" w:eastAsia="Calibri" w:hAnsi="Calibri" w:cs="Calibri"/>
                <w:color w:val="000000"/>
              </w:rPr>
              <w:t>Recommended Questions and Recommendations</w:t>
            </w:r>
            <w:r>
              <w:rPr>
                <w:rFonts w:ascii="Calibri" w:eastAsia="Calibri" w:hAnsi="Calibri" w:cs="Calibri"/>
                <w:color w:val="000000"/>
              </w:rPr>
              <w:tab/>
              <w:t>23</w:t>
            </w:r>
          </w:hyperlink>
        </w:p>
        <w:p w14:paraId="2F3677D1" w14:textId="77777777" w:rsidR="00822F51" w:rsidRDefault="00822F51">
          <w:pPr>
            <w:widowControl w:val="0"/>
            <w:tabs>
              <w:tab w:val="right" w:pos="12000"/>
            </w:tabs>
            <w:spacing w:before="60" w:line="240" w:lineRule="auto"/>
            <w:rPr>
              <w:b/>
              <w:bCs/>
              <w:color w:val="000000"/>
            </w:rPr>
          </w:pPr>
          <w:hyperlink w:anchor="_3x4tabkg19ui">
            <w:r>
              <w:rPr>
                <w:rFonts w:ascii="Calibri" w:eastAsia="Calibri" w:hAnsi="Calibri" w:cs="Calibri"/>
                <w:b/>
                <w:bCs/>
                <w:color w:val="000000"/>
              </w:rPr>
              <w:t>Appendix</w:t>
            </w:r>
            <w:r>
              <w:rPr>
                <w:rFonts w:ascii="Calibri" w:eastAsia="Calibri" w:hAnsi="Calibri" w:cs="Calibri"/>
                <w:b/>
                <w:bCs/>
                <w:color w:val="000000"/>
              </w:rPr>
              <w:tab/>
              <w:t>24</w:t>
            </w:r>
          </w:hyperlink>
        </w:p>
        <w:p w14:paraId="579F4F50" w14:textId="77777777" w:rsidR="00822F51" w:rsidRDefault="00822F51">
          <w:pPr>
            <w:widowControl w:val="0"/>
            <w:tabs>
              <w:tab w:val="right" w:pos="12000"/>
            </w:tabs>
            <w:spacing w:before="60" w:line="240" w:lineRule="auto"/>
            <w:ind w:left="360"/>
            <w:rPr>
              <w:color w:val="000000"/>
            </w:rPr>
          </w:pPr>
          <w:hyperlink w:anchor="_pkccejz4m42r">
            <w:r>
              <w:rPr>
                <w:rFonts w:ascii="Calibri" w:eastAsia="Calibri" w:hAnsi="Calibri" w:cs="Calibri"/>
                <w:color w:val="000000"/>
              </w:rPr>
              <w:t>Canada’s Compliance with International Best Practices for Whistleblower Policies</w:t>
            </w:r>
            <w:r>
              <w:rPr>
                <w:rFonts w:ascii="Calibri" w:eastAsia="Calibri" w:hAnsi="Calibri" w:cs="Calibri"/>
                <w:color w:val="000000"/>
              </w:rPr>
              <w:tab/>
              <w:t>24</w:t>
            </w:r>
          </w:hyperlink>
          <w:r>
            <w:fldChar w:fldCharType="end"/>
          </w:r>
        </w:p>
      </w:sdtContent>
    </w:sdt>
    <w:p w14:paraId="15B2875B" w14:textId="77777777" w:rsidR="00822F51" w:rsidRDefault="00822F51">
      <w:pPr>
        <w:pStyle w:val="Heading1"/>
        <w:ind w:left="0" w:firstLine="0"/>
        <w:jc w:val="both"/>
      </w:pPr>
      <w:bookmarkStart w:id="0" w:name="_3vyrger823wz" w:colFirst="0" w:colLast="0"/>
      <w:bookmarkEnd w:id="0"/>
    </w:p>
    <w:p w14:paraId="7CFF78FC" w14:textId="77777777" w:rsidR="00822F51" w:rsidRDefault="00822F51">
      <w:pPr>
        <w:pStyle w:val="Heading1"/>
        <w:ind w:left="0" w:firstLine="0"/>
        <w:jc w:val="both"/>
      </w:pPr>
      <w:bookmarkStart w:id="1" w:name="_pvweg1s1wnu9" w:colFirst="0" w:colLast="0"/>
      <w:bookmarkEnd w:id="1"/>
    </w:p>
    <w:p w14:paraId="6FD14DF6" w14:textId="77777777" w:rsidR="00822F51" w:rsidRDefault="00822F51"/>
    <w:p w14:paraId="4BA8BE4B" w14:textId="77777777" w:rsidR="00822F51" w:rsidRDefault="001A22F2">
      <w:pPr>
        <w:pStyle w:val="Heading1"/>
        <w:ind w:left="0" w:firstLine="0"/>
        <w:jc w:val="both"/>
      </w:pPr>
      <w:bookmarkStart w:id="2" w:name="_wz17673b3acp" w:colFirst="0" w:colLast="0"/>
      <w:bookmarkEnd w:id="2"/>
      <w:r>
        <w:lastRenderedPageBreak/>
        <w:t>Introduction</w:t>
      </w:r>
    </w:p>
    <w:p w14:paraId="23991AB1" w14:textId="77777777" w:rsidR="00822F51" w:rsidRDefault="001A22F2">
      <w:pPr>
        <w:ind w:firstLine="720"/>
        <w:jc w:val="both"/>
        <w:rPr>
          <w:rFonts w:ascii="Calibri" w:eastAsia="Calibri" w:hAnsi="Calibri" w:cs="Calibri"/>
          <w:b/>
          <w:bCs/>
        </w:rPr>
      </w:pPr>
      <w:r>
        <w:rPr>
          <w:rFonts w:ascii="Calibri" w:eastAsia="Calibri" w:hAnsi="Calibri" w:cs="Calibri"/>
        </w:rPr>
        <w:t xml:space="preserve">This shadow report is submitted for Canada’s review before the Human Rights Committee under the International Covenant on Civil and Political Rights (ICCPR) in response to </w:t>
      </w:r>
      <w:r>
        <w:rPr>
          <w:rFonts w:ascii="Calibri" w:eastAsia="Calibri" w:hAnsi="Calibri" w:cs="Calibri"/>
          <w:b/>
          <w:bCs/>
        </w:rPr>
        <w:t>paragraph 22 on the List of Issues prior to submission of Canada’s periodic report</w:t>
      </w:r>
      <w:r>
        <w:rPr>
          <w:rFonts w:ascii="Calibri" w:eastAsia="Calibri" w:hAnsi="Calibri" w:cs="Calibri"/>
        </w:rPr>
        <w:t>. It examines Canada’s compliance with its Covenant obligations concerning the protection of reporting persons or “whistleblowers” who disclose wrongdoing in the public interest, and assesses the inadequacy of Canada’s federal and provincial whistleblower protection frameworks, with a focus on their chilling effect on</w:t>
      </w:r>
      <w:r>
        <w:rPr>
          <w:rFonts w:ascii="Calibri" w:eastAsia="Calibri" w:hAnsi="Calibri" w:cs="Calibri"/>
          <w:b/>
          <w:bCs/>
        </w:rPr>
        <w:t xml:space="preserve"> freedom of expression under Article 19, obstacles to a right to an effective remedy under Article 2(3), and th</w:t>
      </w:r>
      <w:r>
        <w:rPr>
          <w:rFonts w:ascii="Calibri" w:eastAsia="Calibri" w:hAnsi="Calibri" w:cs="Calibri"/>
          <w:b/>
          <w:bCs/>
        </w:rPr>
        <w:t xml:space="preserve">e lack of equal protection under the law in Article 26. </w:t>
      </w:r>
    </w:p>
    <w:p w14:paraId="43A1AACD" w14:textId="77777777" w:rsidR="00822F51" w:rsidRDefault="00822F51">
      <w:pPr>
        <w:ind w:firstLine="720"/>
        <w:jc w:val="both"/>
        <w:rPr>
          <w:rFonts w:ascii="Calibri" w:eastAsia="Calibri" w:hAnsi="Calibri" w:cs="Calibri"/>
          <w:b/>
          <w:bCs/>
        </w:rPr>
      </w:pPr>
    </w:p>
    <w:p w14:paraId="2C2264A6" w14:textId="77777777" w:rsidR="00822F51" w:rsidRDefault="001A22F2">
      <w:pPr>
        <w:ind w:firstLine="720"/>
        <w:jc w:val="both"/>
        <w:rPr>
          <w:rFonts w:ascii="Calibri" w:eastAsia="Calibri" w:hAnsi="Calibri" w:cs="Calibri"/>
        </w:rPr>
      </w:pPr>
      <w:r>
        <w:rPr>
          <w:rFonts w:ascii="Calibri" w:eastAsia="Calibri" w:hAnsi="Calibri" w:cs="Calibri"/>
        </w:rPr>
        <w:t>Whistleblowing is a crucial governance mechanism that enables transparency and accountability for wrongdoing within public and private institutions. Protecting whistleblowers from recourse is vital to protecting Canadians from corruption and ensuring a truly fair and equal democratic society.</w:t>
      </w:r>
      <w:r>
        <w:rPr>
          <w:rFonts w:ascii="Calibri" w:eastAsia="Calibri" w:hAnsi="Calibri" w:cs="Calibri"/>
          <w:vertAlign w:val="superscript"/>
        </w:rPr>
        <w:footnoteReference w:id="2"/>
      </w:r>
      <w:r>
        <w:rPr>
          <w:rFonts w:ascii="Calibri" w:eastAsia="Calibri" w:hAnsi="Calibri" w:cs="Calibri"/>
        </w:rPr>
        <w:t xml:space="preserve"> The Committee has </w:t>
      </w:r>
      <w:proofErr w:type="spellStart"/>
      <w:r>
        <w:rPr>
          <w:rFonts w:ascii="Calibri" w:eastAsia="Calibri" w:hAnsi="Calibri" w:cs="Calibri"/>
        </w:rPr>
        <w:t>emphasised</w:t>
      </w:r>
      <w:proofErr w:type="spellEnd"/>
      <w:r>
        <w:rPr>
          <w:rFonts w:ascii="Calibri" w:eastAsia="Calibri" w:hAnsi="Calibri" w:cs="Calibri"/>
        </w:rPr>
        <w:t xml:space="preserve"> that </w:t>
      </w:r>
      <w:r>
        <w:rPr>
          <w:rFonts w:ascii="Calibri" w:eastAsia="Calibri" w:hAnsi="Calibri" w:cs="Calibri"/>
          <w:b/>
          <w:bCs/>
        </w:rPr>
        <w:t>Article 19 of the ICCPR</w:t>
      </w:r>
      <w:r>
        <w:rPr>
          <w:rFonts w:ascii="Calibri" w:eastAsia="Calibri" w:hAnsi="Calibri" w:cs="Calibri"/>
        </w:rPr>
        <w:t xml:space="preserve"> protects the disclosure of information on matters of public interest</w:t>
      </w:r>
      <w:r>
        <w:rPr>
          <w:rFonts w:ascii="Calibri" w:eastAsia="Calibri" w:hAnsi="Calibri" w:cs="Calibri"/>
          <w:vertAlign w:val="superscript"/>
        </w:rPr>
        <w:footnoteReference w:id="3"/>
      </w:r>
      <w:r>
        <w:rPr>
          <w:rFonts w:ascii="Calibri" w:eastAsia="Calibri" w:hAnsi="Calibri" w:cs="Calibri"/>
        </w:rPr>
        <w:t xml:space="preserve"> and has further stressed that States must ensure effective and enforceable remedies where individuals suffer reprisals for exercising protected expression.</w:t>
      </w:r>
      <w:r>
        <w:rPr>
          <w:rFonts w:ascii="Calibri" w:eastAsia="Calibri" w:hAnsi="Calibri" w:cs="Calibri"/>
          <w:vertAlign w:val="superscript"/>
        </w:rPr>
        <w:footnoteReference w:id="4"/>
      </w:r>
      <w:r>
        <w:rPr>
          <w:rFonts w:ascii="Calibri" w:eastAsia="Calibri" w:hAnsi="Calibri" w:cs="Calibri"/>
        </w:rPr>
        <w:t xml:space="preserve"> </w:t>
      </w:r>
    </w:p>
    <w:p w14:paraId="3E7BF68B" w14:textId="77777777" w:rsidR="00822F51" w:rsidRDefault="00822F51">
      <w:pPr>
        <w:ind w:firstLine="720"/>
        <w:jc w:val="both"/>
        <w:rPr>
          <w:rFonts w:ascii="Calibri" w:eastAsia="Calibri" w:hAnsi="Calibri" w:cs="Calibri"/>
        </w:rPr>
      </w:pPr>
    </w:p>
    <w:p w14:paraId="34ADFBDA" w14:textId="5338B9FA" w:rsidR="00822F51" w:rsidRDefault="001A22F2">
      <w:pPr>
        <w:ind w:firstLine="720"/>
        <w:jc w:val="both"/>
        <w:rPr>
          <w:rFonts w:ascii="Calibri" w:eastAsia="Calibri" w:hAnsi="Calibri" w:cs="Calibri"/>
          <w:b/>
          <w:bCs/>
          <w:u w:val="single"/>
        </w:rPr>
      </w:pPr>
      <w:r>
        <w:rPr>
          <w:rFonts w:ascii="Calibri" w:eastAsia="Calibri" w:hAnsi="Calibri" w:cs="Calibri"/>
        </w:rPr>
        <w:t>Despite the guidance from the ICCPR, Canada’s whistleblower protection frameworks, both at the federal and provincial levels, are characterized by limited coverage, narrow definitions, weak safeguards against retaliation, and limited access to independent and effective remedies.</w:t>
      </w:r>
      <w:r>
        <w:rPr>
          <w:rFonts w:ascii="Calibri" w:eastAsia="Calibri" w:hAnsi="Calibri" w:cs="Calibri"/>
          <w:vertAlign w:val="superscript"/>
        </w:rPr>
        <w:footnoteReference w:id="5"/>
      </w:r>
      <w:r>
        <w:rPr>
          <w:rFonts w:ascii="Calibri" w:eastAsia="Calibri" w:hAnsi="Calibri" w:cs="Calibri"/>
        </w:rPr>
        <w:t xml:space="preserve"> International assessment conducted by the </w:t>
      </w:r>
      <w:r>
        <w:rPr>
          <w:rFonts w:ascii="Calibri" w:eastAsia="Calibri" w:hAnsi="Calibri" w:cs="Calibri"/>
          <w:i/>
          <w:iCs/>
        </w:rPr>
        <w:t>Government Accountability Project</w:t>
      </w:r>
      <w:r>
        <w:rPr>
          <w:rFonts w:ascii="Calibri" w:eastAsia="Calibri" w:hAnsi="Calibri" w:cs="Calibri"/>
        </w:rPr>
        <w:t xml:space="preserve"> and the </w:t>
      </w:r>
      <w:r>
        <w:rPr>
          <w:rFonts w:ascii="Calibri" w:eastAsia="Calibri" w:hAnsi="Calibri" w:cs="Calibri"/>
          <w:i/>
          <w:iCs/>
        </w:rPr>
        <w:t xml:space="preserve">International Bar Association </w:t>
      </w:r>
      <w:r>
        <w:rPr>
          <w:rFonts w:ascii="Calibri" w:eastAsia="Calibri" w:hAnsi="Calibri" w:cs="Calibri"/>
        </w:rPr>
        <w:t>ranks Canadian legislation joined last among 37 states, behind peers with comparable human rights commitments.</w:t>
      </w:r>
      <w:r w:rsidR="00310030">
        <w:rPr>
          <w:rStyle w:val="FootnoteReference"/>
          <w:rFonts w:ascii="Calibri" w:eastAsia="Calibri" w:hAnsi="Calibri" w:cs="Calibri"/>
        </w:rPr>
        <w:footnoteReference w:id="6"/>
      </w:r>
      <w:r w:rsidR="00310030">
        <w:rPr>
          <w:rFonts w:ascii="Calibri" w:eastAsia="Calibri" w:hAnsi="Calibri" w:cs="Calibri"/>
        </w:rPr>
        <w:t xml:space="preserve"> </w:t>
      </w:r>
      <w:r>
        <w:rPr>
          <w:rFonts w:ascii="Calibri" w:eastAsia="Calibri" w:hAnsi="Calibri" w:cs="Calibri"/>
        </w:rPr>
        <w:t xml:space="preserve">A </w:t>
      </w:r>
      <w:r>
        <w:rPr>
          <w:rFonts w:ascii="Calibri" w:eastAsia="Calibri" w:hAnsi="Calibri" w:cs="Calibri"/>
        </w:rPr>
        <w:lastRenderedPageBreak/>
        <w:t xml:space="preserve">parliamentary review of the federal </w:t>
      </w:r>
      <w:r>
        <w:rPr>
          <w:rFonts w:ascii="Calibri" w:eastAsia="Calibri" w:hAnsi="Calibri" w:cs="Calibri"/>
          <w:b/>
          <w:bCs/>
          <w:i/>
          <w:iCs/>
        </w:rPr>
        <w:t>Public Servants Disclosure Protection Act</w:t>
      </w:r>
      <w:r>
        <w:rPr>
          <w:rFonts w:ascii="Calibri" w:eastAsia="Calibri" w:hAnsi="Calibri" w:cs="Calibri"/>
        </w:rPr>
        <w:t xml:space="preserve"> (</w:t>
      </w:r>
      <w:r>
        <w:rPr>
          <w:rFonts w:ascii="Calibri" w:eastAsia="Calibri" w:hAnsi="Calibri" w:cs="Calibri"/>
          <w:b/>
          <w:bCs/>
          <w:i/>
          <w:iCs/>
        </w:rPr>
        <w:t>PSDPA</w:t>
      </w:r>
      <w:r>
        <w:rPr>
          <w:rFonts w:ascii="Calibri" w:eastAsia="Calibri" w:hAnsi="Calibri" w:cs="Calibri"/>
        </w:rPr>
        <w:t>) has acknowledged the deficiencies of Canada’s whistleblower protections,</w:t>
      </w:r>
      <w:r>
        <w:rPr>
          <w:rFonts w:ascii="Calibri" w:eastAsia="Calibri" w:hAnsi="Calibri" w:cs="Calibri"/>
          <w:vertAlign w:val="superscript"/>
        </w:rPr>
        <w:footnoteReference w:id="7"/>
      </w:r>
      <w:r>
        <w:rPr>
          <w:rFonts w:ascii="Calibri" w:eastAsia="Calibri" w:hAnsi="Calibri" w:cs="Calibri"/>
        </w:rPr>
        <w:t xml:space="preserve"> with similar structural deficiencies reproduced across provincial statutes. This report demonstrates that Canada’s current approach relies on procedural mechanisms that rarely deliver tangible outcomes for whistleblowers, due to the absence of interim relief, the onerous burden of proof, and discretionary control over remedies. As a result, Canada has failed to comply with its obligation under </w:t>
      </w:r>
      <w:r>
        <w:rPr>
          <w:rFonts w:ascii="Calibri" w:eastAsia="Calibri" w:hAnsi="Calibri" w:cs="Calibri"/>
          <w:b/>
          <w:bCs/>
        </w:rPr>
        <w:t>Articles 2(3), 19, and 26</w:t>
      </w:r>
      <w:r>
        <w:rPr>
          <w:rFonts w:ascii="Calibri" w:eastAsia="Calibri" w:hAnsi="Calibri" w:cs="Calibri"/>
        </w:rPr>
        <w:t xml:space="preserve"> of the </w:t>
      </w:r>
      <w:r>
        <w:rPr>
          <w:rFonts w:ascii="Calibri" w:eastAsia="Calibri" w:hAnsi="Calibri" w:cs="Calibri"/>
          <w:b/>
          <w:bCs/>
        </w:rPr>
        <w:t>ICCPR</w:t>
      </w:r>
      <w:r>
        <w:rPr>
          <w:rFonts w:ascii="Calibri" w:eastAsia="Calibri" w:hAnsi="Calibri" w:cs="Calibri"/>
        </w:rPr>
        <w:t xml:space="preserve">. </w:t>
      </w:r>
    </w:p>
    <w:p w14:paraId="11A3AD5E" w14:textId="77777777" w:rsidR="00822F51" w:rsidRDefault="00822F51">
      <w:pPr>
        <w:rPr>
          <w:rFonts w:ascii="Calibri" w:eastAsia="Calibri" w:hAnsi="Calibri" w:cs="Calibri"/>
        </w:rPr>
      </w:pPr>
    </w:p>
    <w:p w14:paraId="4F3EBA73" w14:textId="77777777" w:rsidR="00822F51" w:rsidRDefault="001A22F2">
      <w:pPr>
        <w:pStyle w:val="Heading1"/>
        <w:numPr>
          <w:ilvl w:val="0"/>
          <w:numId w:val="17"/>
        </w:numPr>
      </w:pPr>
      <w:bookmarkStart w:id="3" w:name="_s1t7qegi4kzm" w:colFirst="0" w:colLast="0"/>
      <w:bookmarkEnd w:id="3"/>
      <w:r>
        <w:t xml:space="preserve">Mapping Canadian Whistleblower Protections: Law and Jurisprudence </w:t>
      </w:r>
    </w:p>
    <w:p w14:paraId="3483BCAC" w14:textId="77777777" w:rsidR="00822F51" w:rsidRDefault="00822F51">
      <w:pPr>
        <w:rPr>
          <w:rFonts w:ascii="Calibri" w:eastAsia="Calibri" w:hAnsi="Calibri" w:cs="Calibri"/>
          <w:b/>
          <w:bCs/>
          <w:u w:val="single"/>
        </w:rPr>
      </w:pPr>
    </w:p>
    <w:p w14:paraId="3CE9E5BB" w14:textId="77777777" w:rsidR="00822F51" w:rsidRDefault="001A22F2">
      <w:pPr>
        <w:pStyle w:val="Heading2"/>
        <w:numPr>
          <w:ilvl w:val="0"/>
          <w:numId w:val="3"/>
        </w:numPr>
        <w:rPr>
          <w:u w:val="none"/>
        </w:rPr>
      </w:pPr>
      <w:bookmarkStart w:id="4" w:name="_z59efruhvxj8" w:colFirst="0" w:colLast="0"/>
      <w:bookmarkEnd w:id="4"/>
      <w:r>
        <w:rPr>
          <w:i w:val="0"/>
          <w:iCs w:val="0"/>
        </w:rPr>
        <w:t xml:space="preserve">The </w:t>
      </w:r>
      <w:r>
        <w:t>Criminal Code</w:t>
      </w:r>
    </w:p>
    <w:p w14:paraId="741F0934" w14:textId="77777777" w:rsidR="00822F51" w:rsidRDefault="001A22F2">
      <w:pPr>
        <w:ind w:firstLine="720"/>
        <w:jc w:val="both"/>
        <w:rPr>
          <w:rFonts w:ascii="Calibri" w:eastAsia="Calibri" w:hAnsi="Calibri" w:cs="Calibri"/>
        </w:rPr>
      </w:pPr>
      <w:r>
        <w:rPr>
          <w:rFonts w:ascii="Calibri" w:eastAsia="Calibri" w:hAnsi="Calibri" w:cs="Calibri"/>
        </w:rPr>
        <w:t xml:space="preserve">Canadian whistleblower laws are fragmented across both federal and provincial statutory schemes. </w:t>
      </w:r>
      <w:r>
        <w:rPr>
          <w:rFonts w:ascii="Calibri" w:eastAsia="Calibri" w:hAnsi="Calibri" w:cs="Calibri"/>
          <w:b/>
          <w:bCs/>
        </w:rPr>
        <w:t>S. 425.1</w:t>
      </w:r>
      <w:r>
        <w:rPr>
          <w:rFonts w:ascii="Calibri" w:eastAsia="Calibri" w:hAnsi="Calibri" w:cs="Calibri"/>
        </w:rPr>
        <w:t xml:space="preserve"> of the</w:t>
      </w:r>
      <w:r>
        <w:rPr>
          <w:rFonts w:ascii="Calibri" w:eastAsia="Calibri" w:hAnsi="Calibri" w:cs="Calibri"/>
          <w:b/>
          <w:bCs/>
        </w:rPr>
        <w:t xml:space="preserve"> </w:t>
      </w:r>
      <w:r>
        <w:rPr>
          <w:rFonts w:ascii="Calibri" w:eastAsia="Calibri" w:hAnsi="Calibri" w:cs="Calibri"/>
          <w:b/>
          <w:bCs/>
          <w:i/>
          <w:iCs/>
        </w:rPr>
        <w:t>Criminal Code</w:t>
      </w:r>
      <w:r>
        <w:rPr>
          <w:rFonts w:ascii="Calibri" w:eastAsia="Calibri" w:hAnsi="Calibri" w:cs="Calibri"/>
        </w:rPr>
        <w:t xml:space="preserve"> prohibits employers from retaliating against, disciplining, or “adversely affect[</w:t>
      </w:r>
      <w:proofErr w:type="spellStart"/>
      <w:r>
        <w:rPr>
          <w:rFonts w:ascii="Calibri" w:eastAsia="Calibri" w:hAnsi="Calibri" w:cs="Calibri"/>
        </w:rPr>
        <w:t>ing</w:t>
      </w:r>
      <w:proofErr w:type="spellEnd"/>
      <w:r>
        <w:rPr>
          <w:rFonts w:ascii="Calibri" w:eastAsia="Calibri" w:hAnsi="Calibri" w:cs="Calibri"/>
        </w:rPr>
        <w:t>] the employment” of employees who have reported an employer, officer, or other employee to law enforcement for committing an offence contrary to a federal or provincial act or regulation.</w:t>
      </w:r>
      <w:r>
        <w:rPr>
          <w:rFonts w:ascii="Calibri" w:eastAsia="Calibri" w:hAnsi="Calibri" w:cs="Calibri"/>
          <w:vertAlign w:val="superscript"/>
        </w:rPr>
        <w:footnoteReference w:id="8"/>
      </w:r>
      <w:r>
        <w:rPr>
          <w:rFonts w:ascii="Calibri" w:eastAsia="Calibri" w:hAnsi="Calibri" w:cs="Calibri"/>
        </w:rPr>
        <w:t xml:space="preserve"> While contravening s. 425.1 is punishable by up to five years’ imprisonment or on summary conviction, there have been no prosecutions brought under this provision.</w:t>
      </w:r>
      <w:r>
        <w:rPr>
          <w:rFonts w:ascii="Calibri" w:eastAsia="Calibri" w:hAnsi="Calibri" w:cs="Calibri"/>
          <w:vertAlign w:val="superscript"/>
        </w:rPr>
        <w:footnoteReference w:id="9"/>
      </w:r>
    </w:p>
    <w:p w14:paraId="65B0FAA9" w14:textId="77777777" w:rsidR="00822F51" w:rsidRDefault="00822F51">
      <w:pPr>
        <w:ind w:firstLine="720"/>
        <w:jc w:val="both"/>
        <w:rPr>
          <w:rFonts w:ascii="Calibri" w:eastAsia="Calibri" w:hAnsi="Calibri" w:cs="Calibri"/>
        </w:rPr>
      </w:pPr>
    </w:p>
    <w:p w14:paraId="518D1F74" w14:textId="07B046FB" w:rsidR="00822F51" w:rsidRDefault="001A22F2">
      <w:pPr>
        <w:ind w:firstLine="720"/>
        <w:jc w:val="both"/>
        <w:rPr>
          <w:rFonts w:ascii="Calibri" w:eastAsia="Calibri" w:hAnsi="Calibri" w:cs="Calibri"/>
        </w:rPr>
      </w:pPr>
      <w:r>
        <w:rPr>
          <w:rFonts w:ascii="Calibri" w:eastAsia="Calibri" w:hAnsi="Calibri" w:cs="Calibri"/>
        </w:rPr>
        <w:t xml:space="preserve">Judicial interpretation has further constrained the scope of s. 425.1. In the case of </w:t>
      </w:r>
      <w:r>
        <w:rPr>
          <w:rFonts w:ascii="Calibri" w:eastAsia="Calibri" w:hAnsi="Calibri" w:cs="Calibri"/>
          <w:i/>
          <w:iCs/>
        </w:rPr>
        <w:t>Anderson v. IMTT-Québec Inc</w:t>
      </w:r>
      <w:r>
        <w:rPr>
          <w:rFonts w:ascii="Calibri" w:eastAsia="Calibri" w:hAnsi="Calibri" w:cs="Calibri"/>
        </w:rPr>
        <w:t>, the Court upheld a high threshold that an employee’s duty of fidelity to one’s employer requires exhaustion of internal whistleblowing mechanisms (“up the ladder approach” before turning outwards), and that the provision does not protect against “reckless” disclosures.</w:t>
      </w:r>
      <w:r>
        <w:rPr>
          <w:rFonts w:ascii="Calibri" w:eastAsia="Calibri" w:hAnsi="Calibri" w:cs="Calibri"/>
          <w:vertAlign w:val="superscript"/>
        </w:rPr>
        <w:footnoteReference w:id="10"/>
      </w:r>
      <w:r>
        <w:rPr>
          <w:rFonts w:ascii="Calibri" w:eastAsia="Calibri" w:hAnsi="Calibri" w:cs="Calibri"/>
        </w:rPr>
        <w:t xml:space="preserve"> Canadian courts’ restrictive interpretation, combined with the absence of any prosecutions under s. 425.1, renders the provision largely illusory as a source of protection for whistleblowers and ineffective as a deterrent for retaliatory employers</w:t>
      </w:r>
      <w:r w:rsidR="00310030">
        <w:rPr>
          <w:rFonts w:ascii="Calibri" w:eastAsia="Calibri" w:hAnsi="Calibri" w:cs="Calibri"/>
        </w:rPr>
        <w:t>.</w:t>
      </w:r>
      <w:r w:rsidR="00310030">
        <w:rPr>
          <w:rStyle w:val="FootnoteReference"/>
          <w:rFonts w:ascii="Calibri" w:eastAsia="Calibri" w:hAnsi="Calibri" w:cs="Calibri"/>
        </w:rPr>
        <w:footnoteReference w:id="11"/>
      </w:r>
    </w:p>
    <w:p w14:paraId="2DFC7ADC" w14:textId="77777777" w:rsidR="00822F51" w:rsidRDefault="00822F51">
      <w:pPr>
        <w:ind w:firstLine="720"/>
        <w:jc w:val="both"/>
        <w:rPr>
          <w:rFonts w:ascii="Calibri" w:eastAsia="Calibri" w:hAnsi="Calibri" w:cs="Calibri"/>
        </w:rPr>
      </w:pPr>
    </w:p>
    <w:p w14:paraId="4A021BF8" w14:textId="77777777" w:rsidR="00822F51" w:rsidRDefault="001A22F2">
      <w:pPr>
        <w:pStyle w:val="Heading2"/>
        <w:numPr>
          <w:ilvl w:val="0"/>
          <w:numId w:val="3"/>
        </w:numPr>
        <w:jc w:val="both"/>
        <w:rPr>
          <w:u w:val="none"/>
        </w:rPr>
      </w:pPr>
      <w:bookmarkStart w:id="5" w:name="_8mhypo8ghurn" w:colFirst="0" w:colLast="0"/>
      <w:bookmarkEnd w:id="5"/>
      <w:r>
        <w:rPr>
          <w:i w:val="0"/>
          <w:iCs w:val="0"/>
        </w:rPr>
        <w:t xml:space="preserve">Federal Legislation - </w:t>
      </w:r>
      <w:r>
        <w:t>Public Servants Disclosure Protection Act (“PSDPA”)</w:t>
      </w:r>
    </w:p>
    <w:p w14:paraId="4DF7CEF6" w14:textId="44F7EA96" w:rsidR="00822F51" w:rsidRDefault="001A22F2">
      <w:pPr>
        <w:ind w:firstLine="720"/>
        <w:jc w:val="both"/>
        <w:rPr>
          <w:rFonts w:ascii="Calibri" w:eastAsia="Calibri" w:hAnsi="Calibri" w:cs="Calibri"/>
        </w:rPr>
      </w:pPr>
      <w:r>
        <w:rPr>
          <w:rFonts w:ascii="Calibri" w:eastAsia="Calibri" w:hAnsi="Calibri" w:cs="Calibri"/>
        </w:rPr>
        <w:t xml:space="preserve">At the federal level, the </w:t>
      </w:r>
      <w:r>
        <w:rPr>
          <w:rFonts w:ascii="Calibri" w:eastAsia="Calibri" w:hAnsi="Calibri" w:cs="Calibri"/>
          <w:b/>
          <w:bCs/>
          <w:i/>
          <w:iCs/>
        </w:rPr>
        <w:t>PSDPA</w:t>
      </w:r>
      <w:r>
        <w:rPr>
          <w:rFonts w:ascii="Calibri" w:eastAsia="Calibri" w:hAnsi="Calibri" w:cs="Calibri"/>
        </w:rPr>
        <w:t xml:space="preserve"> came into force in 2007, establishing a </w:t>
      </w:r>
      <w:proofErr w:type="spellStart"/>
      <w:r>
        <w:rPr>
          <w:rFonts w:ascii="Calibri" w:eastAsia="Calibri" w:hAnsi="Calibri" w:cs="Calibri"/>
        </w:rPr>
        <w:t>centralised</w:t>
      </w:r>
      <w:proofErr w:type="spellEnd"/>
      <w:r>
        <w:rPr>
          <w:rFonts w:ascii="Calibri" w:eastAsia="Calibri" w:hAnsi="Calibri" w:cs="Calibri"/>
        </w:rPr>
        <w:t xml:space="preserve"> administrative framework for the receipt and investigation of disclosures of wrongdoing within the federal public sector.</w:t>
      </w:r>
      <w:r>
        <w:rPr>
          <w:rFonts w:ascii="Calibri" w:eastAsia="Calibri" w:hAnsi="Calibri" w:cs="Calibri"/>
          <w:vertAlign w:val="superscript"/>
        </w:rPr>
        <w:footnoteReference w:id="12"/>
      </w:r>
      <w:r>
        <w:rPr>
          <w:rFonts w:ascii="Calibri" w:eastAsia="Calibri" w:hAnsi="Calibri" w:cs="Calibri"/>
        </w:rPr>
        <w:t xml:space="preserve"> The Act requires each chief executive officer of a public sector entity to establish internal </w:t>
      </w:r>
      <w:r>
        <w:rPr>
          <w:rFonts w:ascii="Calibri" w:eastAsia="Calibri" w:hAnsi="Calibri" w:cs="Calibri"/>
        </w:rPr>
        <w:lastRenderedPageBreak/>
        <w:t>disclosure procedures and designate a senior officer to receive disclosures.</w:t>
      </w:r>
      <w:r>
        <w:rPr>
          <w:rFonts w:ascii="Calibri" w:eastAsia="Calibri" w:hAnsi="Calibri" w:cs="Calibri"/>
          <w:vertAlign w:val="superscript"/>
        </w:rPr>
        <w:footnoteReference w:id="13"/>
      </w:r>
      <w:r>
        <w:rPr>
          <w:rFonts w:ascii="Calibri" w:eastAsia="Calibri" w:hAnsi="Calibri" w:cs="Calibri"/>
        </w:rPr>
        <w:t xml:space="preserve"> Public servants may disclose wrongdoing either to the designated officer, or directly to the Public Sector Integrity Commissioner (“Integrity Commissioner”), without being required to exhaust internal channels.</w:t>
      </w:r>
      <w:r>
        <w:rPr>
          <w:rFonts w:ascii="Calibri" w:eastAsia="Calibri" w:hAnsi="Calibri" w:cs="Calibri"/>
          <w:vertAlign w:val="superscript"/>
        </w:rPr>
        <w:footnoteReference w:id="14"/>
      </w:r>
      <w:r>
        <w:rPr>
          <w:rFonts w:ascii="Calibri" w:eastAsia="Calibri" w:hAnsi="Calibri" w:cs="Calibri"/>
        </w:rPr>
        <w:t xml:space="preserve"> The Integrity Commissioner is an independent officer of Parliament empowered to receive disclosures and reprisal complaints, conduct investigations, and report findings, and exercises powers equivalent to those of a commissioner under Part II of the </w:t>
      </w:r>
      <w:r>
        <w:rPr>
          <w:rFonts w:ascii="Calibri" w:eastAsia="Calibri" w:hAnsi="Calibri" w:cs="Calibri"/>
          <w:i/>
          <w:iCs/>
        </w:rPr>
        <w:t>Inquiries Act</w:t>
      </w:r>
      <w:r w:rsidR="00310030">
        <w:rPr>
          <w:rFonts w:ascii="Calibri" w:eastAsia="Calibri" w:hAnsi="Calibri" w:cs="Calibri"/>
        </w:rPr>
        <w:t>.</w:t>
      </w:r>
      <w:r w:rsidR="00310030">
        <w:rPr>
          <w:rStyle w:val="FootnoteReference"/>
          <w:rFonts w:ascii="Calibri" w:eastAsia="Calibri" w:hAnsi="Calibri" w:cs="Calibri"/>
        </w:rPr>
        <w:footnoteReference w:id="15"/>
      </w:r>
    </w:p>
    <w:p w14:paraId="36CB935A" w14:textId="77777777" w:rsidR="00822F51" w:rsidRDefault="00822F51">
      <w:pPr>
        <w:ind w:firstLine="720"/>
        <w:jc w:val="both"/>
        <w:rPr>
          <w:rFonts w:ascii="Calibri" w:eastAsia="Calibri" w:hAnsi="Calibri" w:cs="Calibri"/>
        </w:rPr>
      </w:pPr>
    </w:p>
    <w:p w14:paraId="3AE0B152" w14:textId="77777777" w:rsidR="00822F51" w:rsidRDefault="001A22F2">
      <w:pPr>
        <w:ind w:firstLine="720"/>
        <w:jc w:val="both"/>
        <w:rPr>
          <w:rFonts w:ascii="Calibri" w:eastAsia="Calibri" w:hAnsi="Calibri" w:cs="Calibri"/>
        </w:rPr>
      </w:pPr>
      <w:r>
        <w:rPr>
          <w:rFonts w:ascii="Calibri" w:eastAsia="Calibri" w:hAnsi="Calibri" w:cs="Calibri"/>
        </w:rPr>
        <w:t>Reprisal enforcement under the PSDPA operates through a two-step process: (1) the Integrity Commissioner investigates reprisal complaints and may attempt conciliation; (2) the Integrity Commissioner may apply to the Public Servants Disclosure Protection Tribunal (“Tribunal”) for adjudication and remedies.</w:t>
      </w:r>
      <w:r>
        <w:rPr>
          <w:rFonts w:ascii="Calibri" w:eastAsia="Calibri" w:hAnsi="Calibri" w:cs="Calibri"/>
          <w:vertAlign w:val="superscript"/>
        </w:rPr>
        <w:footnoteReference w:id="16"/>
      </w:r>
      <w:r>
        <w:rPr>
          <w:rFonts w:ascii="Calibri" w:eastAsia="Calibri" w:hAnsi="Calibri" w:cs="Calibri"/>
        </w:rPr>
        <w:t xml:space="preserve"> The Tribunal is composed of Federal Court or superior court judges and proceeds only on referral by the Integrity Commissioner, with no right of direct access for complainants.</w:t>
      </w:r>
      <w:r>
        <w:rPr>
          <w:rFonts w:ascii="Calibri" w:eastAsia="Calibri" w:hAnsi="Calibri" w:cs="Calibri"/>
          <w:vertAlign w:val="superscript"/>
        </w:rPr>
        <w:footnoteReference w:id="17"/>
      </w:r>
      <w:r>
        <w:rPr>
          <w:rFonts w:ascii="Calibri" w:eastAsia="Calibri" w:hAnsi="Calibri" w:cs="Calibri"/>
        </w:rPr>
        <w:t xml:space="preserve"> While the Act and the common law permits whistleblowers to make public disclosures in limited circumstances, such disclosures are tightly constrained to situations involving urgent and serious danger or serious offences.</w:t>
      </w:r>
      <w:r>
        <w:rPr>
          <w:rFonts w:ascii="Calibri" w:eastAsia="Calibri" w:hAnsi="Calibri" w:cs="Calibri"/>
          <w:vertAlign w:val="superscript"/>
        </w:rPr>
        <w:footnoteReference w:id="18"/>
      </w:r>
      <w:r>
        <w:rPr>
          <w:rFonts w:ascii="Calibri" w:eastAsia="Calibri" w:hAnsi="Calibri" w:cs="Calibri"/>
        </w:rPr>
        <w:t xml:space="preserve"> In all other cases, whistleblowers are required, under the common law duty of loyalty to their employer, to exhaust internal reporting channels before turning outward.</w:t>
      </w:r>
      <w:r>
        <w:rPr>
          <w:rFonts w:ascii="Calibri" w:eastAsia="Calibri" w:hAnsi="Calibri" w:cs="Calibri"/>
          <w:vertAlign w:val="superscript"/>
        </w:rPr>
        <w:footnoteReference w:id="19"/>
      </w:r>
    </w:p>
    <w:p w14:paraId="58FF7785" w14:textId="77777777" w:rsidR="00822F51" w:rsidRDefault="00822F51">
      <w:pPr>
        <w:ind w:firstLine="720"/>
        <w:jc w:val="both"/>
        <w:rPr>
          <w:rFonts w:ascii="Calibri" w:eastAsia="Calibri" w:hAnsi="Calibri" w:cs="Calibri"/>
        </w:rPr>
      </w:pPr>
    </w:p>
    <w:p w14:paraId="5B991643" w14:textId="77777777" w:rsidR="00822F51" w:rsidRDefault="001A22F2">
      <w:pPr>
        <w:ind w:firstLine="720"/>
        <w:jc w:val="both"/>
        <w:rPr>
          <w:rFonts w:ascii="Calibri" w:eastAsia="Calibri" w:hAnsi="Calibri" w:cs="Calibri"/>
        </w:rPr>
      </w:pPr>
      <w:r>
        <w:rPr>
          <w:rFonts w:ascii="Calibri" w:eastAsia="Calibri" w:hAnsi="Calibri" w:cs="Calibri"/>
        </w:rPr>
        <w:t xml:space="preserve">Given the Integrity Commissioner’s central role as the gateway to investigation and adjudication, the effectiveness of reprisal protection under the </w:t>
      </w:r>
      <w:r>
        <w:rPr>
          <w:rFonts w:ascii="Calibri" w:eastAsia="Calibri" w:hAnsi="Calibri" w:cs="Calibri"/>
          <w:b/>
          <w:bCs/>
          <w:i/>
          <w:iCs/>
        </w:rPr>
        <w:t xml:space="preserve">PSDPA </w:t>
      </w:r>
      <w:r>
        <w:rPr>
          <w:rFonts w:ascii="Calibri" w:eastAsia="Calibri" w:hAnsi="Calibri" w:cs="Calibri"/>
        </w:rPr>
        <w:t>is highly sensitive to the capacity and resourcing of that office. In January 2026, the Integrity Commissioner publicly warned that the Office of the Public Sector Integrity Commissioner was facing an unprecedented volume of work and that resourcing has not kept pace. Resource constraints have caused significant delays and have threatened the Office’s ability to meet its legislated mandate. The current Integrity Commissioner has sought a one-time injection of $6.7 million, in addition to the annual bu</w:t>
      </w:r>
      <w:r>
        <w:rPr>
          <w:rFonts w:ascii="Calibri" w:eastAsia="Calibri" w:hAnsi="Calibri" w:cs="Calibri"/>
        </w:rPr>
        <w:t>dget increase of $14.5 million, warning that without additional resources the Office risks institutional “collapse”.</w:t>
      </w:r>
      <w:r>
        <w:rPr>
          <w:rFonts w:ascii="Calibri" w:eastAsia="Calibri" w:hAnsi="Calibri" w:cs="Calibri"/>
          <w:vertAlign w:val="superscript"/>
        </w:rPr>
        <w:footnoteReference w:id="20"/>
      </w:r>
      <w:r>
        <w:rPr>
          <w:rFonts w:ascii="Calibri" w:eastAsia="Calibri" w:hAnsi="Calibri" w:cs="Calibri"/>
        </w:rPr>
        <w:t xml:space="preserve"> </w:t>
      </w:r>
    </w:p>
    <w:p w14:paraId="1AF7E63A" w14:textId="77777777" w:rsidR="00822F51" w:rsidRDefault="00822F51">
      <w:pPr>
        <w:ind w:firstLine="720"/>
        <w:jc w:val="both"/>
        <w:rPr>
          <w:rFonts w:ascii="Calibri" w:eastAsia="Calibri" w:hAnsi="Calibri" w:cs="Calibri"/>
        </w:rPr>
      </w:pPr>
    </w:p>
    <w:p w14:paraId="33480966" w14:textId="6B99AAA4" w:rsidR="00822F51" w:rsidRDefault="001A22F2">
      <w:pPr>
        <w:ind w:firstLine="720"/>
        <w:jc w:val="both"/>
        <w:rPr>
          <w:rFonts w:ascii="Calibri" w:eastAsia="Calibri" w:hAnsi="Calibri" w:cs="Calibri"/>
        </w:rPr>
      </w:pPr>
      <w:r>
        <w:rPr>
          <w:rFonts w:ascii="Calibri" w:eastAsia="Calibri" w:hAnsi="Calibri" w:cs="Calibri"/>
        </w:rPr>
        <w:t xml:space="preserve">The </w:t>
      </w:r>
      <w:r>
        <w:rPr>
          <w:rFonts w:ascii="Calibri" w:eastAsia="Calibri" w:hAnsi="Calibri" w:cs="Calibri"/>
          <w:b/>
          <w:bCs/>
          <w:i/>
          <w:iCs/>
        </w:rPr>
        <w:t>PSDPA</w:t>
      </w:r>
      <w:r>
        <w:rPr>
          <w:rFonts w:ascii="Calibri" w:eastAsia="Calibri" w:hAnsi="Calibri" w:cs="Calibri"/>
        </w:rPr>
        <w:t xml:space="preserve"> has been widely </w:t>
      </w:r>
      <w:proofErr w:type="spellStart"/>
      <w:r>
        <w:rPr>
          <w:rFonts w:ascii="Calibri" w:eastAsia="Calibri" w:hAnsi="Calibri" w:cs="Calibri"/>
        </w:rPr>
        <w:t>criticised</w:t>
      </w:r>
      <w:proofErr w:type="spellEnd"/>
      <w:r>
        <w:rPr>
          <w:rFonts w:ascii="Calibri" w:eastAsia="Calibri" w:hAnsi="Calibri" w:cs="Calibri"/>
        </w:rPr>
        <w:t xml:space="preserve"> both internationally and by civil society, as a “cardboard shield” because its design provides limited coverage, narrow definitions, lacks transparency, conditions </w:t>
      </w:r>
      <w:r>
        <w:rPr>
          <w:rFonts w:ascii="Calibri" w:eastAsia="Calibri" w:hAnsi="Calibri" w:cs="Calibri"/>
        </w:rPr>
        <w:lastRenderedPageBreak/>
        <w:t>protection on discretionary gatekeeping, and fails to provide timely, effective remedies.</w:t>
      </w:r>
      <w:r>
        <w:rPr>
          <w:rFonts w:ascii="Calibri" w:eastAsia="Calibri" w:hAnsi="Calibri" w:cs="Calibri"/>
          <w:vertAlign w:val="superscript"/>
        </w:rPr>
        <w:footnoteReference w:id="21"/>
      </w:r>
      <w:r>
        <w:rPr>
          <w:rFonts w:ascii="Calibri" w:eastAsia="Calibri" w:hAnsi="Calibri" w:cs="Calibri"/>
        </w:rPr>
        <w:t xml:space="preserve"> According to a study conducted by the Government Accountability Project, the </w:t>
      </w:r>
      <w:r>
        <w:rPr>
          <w:rFonts w:ascii="Calibri" w:eastAsia="Calibri" w:hAnsi="Calibri" w:cs="Calibri"/>
          <w:b/>
          <w:bCs/>
          <w:i/>
          <w:iCs/>
        </w:rPr>
        <w:t>PSPDA</w:t>
      </w:r>
      <w:r>
        <w:rPr>
          <w:rFonts w:ascii="Calibri" w:eastAsia="Calibri" w:hAnsi="Calibri" w:cs="Calibri"/>
        </w:rPr>
        <w:t xml:space="preserve"> meets only one of 20 International Best Practices for Whistleblowers (see Appendix).</w:t>
      </w:r>
      <w:r>
        <w:rPr>
          <w:rFonts w:ascii="Calibri" w:eastAsia="Calibri" w:hAnsi="Calibri" w:cs="Calibri"/>
          <w:vertAlign w:val="superscript"/>
        </w:rPr>
        <w:footnoteReference w:id="22"/>
      </w:r>
      <w:r>
        <w:rPr>
          <w:rFonts w:ascii="Calibri" w:eastAsia="Calibri" w:hAnsi="Calibri" w:cs="Calibri"/>
        </w:rPr>
        <w:t xml:space="preserve">  Even that sole criterion — the requirement of periodic review — is satisfied only on paper: despite s. 54 of the Act mandating a statutory review </w:t>
      </w:r>
      <w:r w:rsidR="00595B6B">
        <w:rPr>
          <w:rFonts w:ascii="Calibri" w:eastAsia="Calibri" w:hAnsi="Calibri" w:cs="Calibri"/>
        </w:rPr>
        <w:t>after</w:t>
      </w:r>
      <w:r>
        <w:rPr>
          <w:rFonts w:ascii="Calibri" w:eastAsia="Calibri" w:hAnsi="Calibri" w:cs="Calibri"/>
        </w:rPr>
        <w:t xml:space="preserve"> five years, no independent review has ever been conducted</w:t>
      </w:r>
      <w:r w:rsidR="00310030">
        <w:rPr>
          <w:rFonts w:ascii="Calibri" w:eastAsia="Calibri" w:hAnsi="Calibri" w:cs="Calibri"/>
        </w:rPr>
        <w:t>.</w:t>
      </w:r>
      <w:r w:rsidR="00310030">
        <w:rPr>
          <w:rStyle w:val="FootnoteReference"/>
          <w:rFonts w:ascii="Calibri" w:eastAsia="Calibri" w:hAnsi="Calibri" w:cs="Calibri"/>
        </w:rPr>
        <w:footnoteReference w:id="23"/>
      </w:r>
    </w:p>
    <w:p w14:paraId="6D9D6F16" w14:textId="77777777" w:rsidR="00822F51" w:rsidRDefault="00822F51">
      <w:pPr>
        <w:ind w:firstLine="720"/>
        <w:jc w:val="both"/>
        <w:rPr>
          <w:rFonts w:ascii="Calibri" w:eastAsia="Calibri" w:hAnsi="Calibri" w:cs="Calibri"/>
        </w:rPr>
      </w:pPr>
    </w:p>
    <w:p w14:paraId="4BBB8173" w14:textId="03F2A0FB" w:rsidR="00822F51" w:rsidRDefault="00EB3534">
      <w:pPr>
        <w:ind w:firstLine="720"/>
        <w:jc w:val="both"/>
        <w:rPr>
          <w:rFonts w:ascii="Calibri" w:eastAsia="Calibri" w:hAnsi="Calibri" w:cs="Calibri"/>
        </w:rPr>
      </w:pPr>
      <w:r w:rsidRPr="00EB3534">
        <w:rPr>
          <w:rFonts w:ascii="Calibri" w:hAnsi="Calibri" w:cs="Calibri"/>
          <w:lang w:val="en-US"/>
        </w:rPr>
        <w:t>In 2017, the Parliament’s Standing Committee on Government Operations and Estimates (OGGO) issued Report No. 9, which included numerous recommendations to strengthen the PSDPA.</w:t>
      </w:r>
      <w:r w:rsidR="00155F46">
        <w:rPr>
          <w:rStyle w:val="FootnoteReference"/>
          <w:rFonts w:ascii="Calibri" w:hAnsi="Calibri" w:cs="Calibri"/>
          <w:lang w:val="en-US"/>
        </w:rPr>
        <w:footnoteReference w:id="24"/>
      </w:r>
      <w:r w:rsidRPr="00EB3534">
        <w:rPr>
          <w:rFonts w:ascii="Calibri" w:hAnsi="Calibri" w:cs="Calibri"/>
          <w:lang w:val="en-US"/>
        </w:rPr>
        <w:t xml:space="preserve"> However, the report’s proposed amendments were never implemented.</w:t>
      </w:r>
      <w:r w:rsidRPr="00EB3534">
        <w:rPr>
          <w:rFonts w:ascii="Calibri" w:hAnsi="Calibri" w:cs="Calibri"/>
          <w:sz w:val="24"/>
          <w:szCs w:val="24"/>
          <w:lang w:val="en-US"/>
        </w:rPr>
        <w:t xml:space="preserve"> </w:t>
      </w:r>
      <w:r w:rsidR="00595B6B" w:rsidRPr="00EB3534">
        <w:rPr>
          <w:rFonts w:ascii="Calibri" w:hAnsi="Calibri" w:cs="Calibri"/>
        </w:rPr>
        <w:t>In</w:t>
      </w:r>
      <w:r w:rsidR="00595B6B">
        <w:rPr>
          <w:rFonts w:ascii="Calibri" w:hAnsi="Calibri" w:cs="Calibri"/>
        </w:rPr>
        <w:t xml:space="preserve"> 2024</w:t>
      </w:r>
      <w:r w:rsidR="00360D43">
        <w:rPr>
          <w:rFonts w:ascii="Calibri" w:hAnsi="Calibri" w:cs="Calibri"/>
        </w:rPr>
        <w:t>,</w:t>
      </w:r>
      <w:r w:rsidR="00595B6B">
        <w:rPr>
          <w:rFonts w:ascii="Calibri" w:hAnsi="Calibri" w:cs="Calibri"/>
        </w:rPr>
        <w:t xml:space="preserve"> a Private Members Bill, Bill C-290, </w:t>
      </w:r>
      <w:r w:rsidR="00595B6B">
        <w:rPr>
          <w:rFonts w:ascii="Calibri" w:eastAsia="Calibri" w:hAnsi="Calibri" w:cs="Calibri"/>
        </w:rPr>
        <w:t xml:space="preserve">passed parliament, but ultimately failed to advance beyond second reading in the Senate. Had Bill C-290 been enacted, it would have substantially improved the </w:t>
      </w:r>
      <w:r w:rsidR="00595B6B">
        <w:rPr>
          <w:rFonts w:ascii="Calibri" w:eastAsia="Calibri" w:hAnsi="Calibri" w:cs="Calibri"/>
          <w:b/>
          <w:bCs/>
          <w:i/>
          <w:iCs/>
        </w:rPr>
        <w:t>PSDPA</w:t>
      </w:r>
      <w:r w:rsidR="00595B6B">
        <w:rPr>
          <w:rFonts w:ascii="Calibri" w:eastAsia="Calibri" w:hAnsi="Calibri" w:cs="Calibri"/>
        </w:rPr>
        <w:t>’s alignment with international whistleblower best practices, increasing Canada’s score from 1 out of 20 to 8 out of 20</w:t>
      </w:r>
      <w:r w:rsidR="00310030">
        <w:rPr>
          <w:rFonts w:ascii="Calibri" w:eastAsia="Calibri" w:hAnsi="Calibri" w:cs="Calibri"/>
        </w:rPr>
        <w:t>.</w:t>
      </w:r>
      <w:r w:rsidR="00310030">
        <w:rPr>
          <w:rStyle w:val="FootnoteReference"/>
          <w:rFonts w:ascii="Calibri" w:eastAsia="Calibri" w:hAnsi="Calibri" w:cs="Calibri"/>
        </w:rPr>
        <w:footnoteReference w:id="25"/>
      </w:r>
    </w:p>
    <w:p w14:paraId="7361E653" w14:textId="77777777" w:rsidR="00822F51" w:rsidRDefault="00822F51">
      <w:pPr>
        <w:pStyle w:val="Heading3"/>
        <w:jc w:val="both"/>
      </w:pPr>
      <w:bookmarkStart w:id="6" w:name="_fzux10oi80nn" w:colFirst="0" w:colLast="0"/>
      <w:bookmarkEnd w:id="6"/>
    </w:p>
    <w:p w14:paraId="0DCDFE48" w14:textId="77777777" w:rsidR="00822F51" w:rsidRDefault="001A22F2">
      <w:pPr>
        <w:pStyle w:val="Heading2"/>
        <w:numPr>
          <w:ilvl w:val="0"/>
          <w:numId w:val="3"/>
        </w:numPr>
        <w:jc w:val="both"/>
        <w:rPr>
          <w:i w:val="0"/>
          <w:iCs w:val="0"/>
        </w:rPr>
      </w:pPr>
      <w:bookmarkStart w:id="7" w:name="_kl7rqvubhz24" w:colFirst="0" w:colLast="0"/>
      <w:bookmarkEnd w:id="7"/>
      <w:r>
        <w:rPr>
          <w:i w:val="0"/>
          <w:iCs w:val="0"/>
        </w:rPr>
        <w:t>Provincial Legislation</w:t>
      </w:r>
    </w:p>
    <w:p w14:paraId="32A0DB03" w14:textId="1947110E" w:rsidR="00822F51" w:rsidRDefault="001A22F2">
      <w:pPr>
        <w:ind w:firstLine="720"/>
        <w:jc w:val="both"/>
        <w:rPr>
          <w:rFonts w:ascii="Calibri" w:eastAsia="Calibri" w:hAnsi="Calibri" w:cs="Calibri"/>
        </w:rPr>
      </w:pPr>
      <w:r>
        <w:rPr>
          <w:rFonts w:ascii="Calibri" w:eastAsia="Calibri" w:hAnsi="Calibri" w:cs="Calibri"/>
        </w:rPr>
        <w:t xml:space="preserve">Provincially, whistleblower protection legislation exists in the majority of Canada’s provincial and territorial jurisdictions (10 of 13), including </w:t>
      </w:r>
      <w:r>
        <w:rPr>
          <w:rFonts w:ascii="Calibri" w:eastAsia="Calibri" w:hAnsi="Calibri" w:cs="Calibri"/>
          <w:b/>
          <w:bCs/>
        </w:rPr>
        <w:t>Alberta, British Columbia, Manitoba, New Brunswick, Newfoundland and Labrador, Nova Scotia, Prince Edward Island, Quebec, Saskatchewan and the Yukon</w:t>
      </w:r>
      <w:r w:rsidR="00310030">
        <w:rPr>
          <w:rFonts w:ascii="Calibri" w:eastAsia="Calibri" w:hAnsi="Calibri" w:cs="Calibri"/>
        </w:rPr>
        <w:t>.</w:t>
      </w:r>
      <w:r w:rsidR="00310030">
        <w:rPr>
          <w:rStyle w:val="FootnoteReference"/>
          <w:rFonts w:ascii="Calibri" w:eastAsia="Calibri" w:hAnsi="Calibri" w:cs="Calibri"/>
        </w:rPr>
        <w:footnoteReference w:id="26"/>
      </w:r>
      <w:r w:rsidR="00310030">
        <w:rPr>
          <w:rFonts w:ascii="Calibri" w:eastAsia="Calibri" w:hAnsi="Calibri" w:cs="Calibri"/>
        </w:rPr>
        <w:t xml:space="preserve"> </w:t>
      </w:r>
      <w:r>
        <w:rPr>
          <w:rFonts w:ascii="Calibri" w:eastAsia="Calibri" w:hAnsi="Calibri" w:cs="Calibri"/>
        </w:rPr>
        <w:t xml:space="preserve">For the remaining three provinces and territories, </w:t>
      </w:r>
      <w:r>
        <w:rPr>
          <w:rFonts w:ascii="Calibri" w:eastAsia="Calibri" w:hAnsi="Calibri" w:cs="Calibri"/>
          <w:b/>
          <w:bCs/>
        </w:rPr>
        <w:t>Nunavut</w:t>
      </w:r>
      <w:r>
        <w:rPr>
          <w:rFonts w:ascii="Calibri" w:eastAsia="Calibri" w:hAnsi="Calibri" w:cs="Calibri"/>
        </w:rPr>
        <w:t xml:space="preserve"> and </w:t>
      </w:r>
      <w:r>
        <w:rPr>
          <w:rFonts w:ascii="Calibri" w:eastAsia="Calibri" w:hAnsi="Calibri" w:cs="Calibri"/>
          <w:b/>
          <w:bCs/>
        </w:rPr>
        <w:t xml:space="preserve">Ontario </w:t>
      </w:r>
      <w:r>
        <w:rPr>
          <w:rFonts w:ascii="Calibri" w:eastAsia="Calibri" w:hAnsi="Calibri" w:cs="Calibri"/>
        </w:rPr>
        <w:t xml:space="preserve">embedded whistleblower protections within their respective </w:t>
      </w:r>
      <w:r>
        <w:rPr>
          <w:rFonts w:ascii="Calibri" w:eastAsia="Calibri" w:hAnsi="Calibri" w:cs="Calibri"/>
          <w:i/>
          <w:iCs/>
        </w:rPr>
        <w:t>Public Service Acts</w:t>
      </w:r>
      <w:r>
        <w:rPr>
          <w:rFonts w:ascii="Calibri" w:eastAsia="Calibri" w:hAnsi="Calibri" w:cs="Calibri"/>
        </w:rPr>
        <w:t xml:space="preserve">, while the </w:t>
      </w:r>
      <w:r>
        <w:rPr>
          <w:rFonts w:ascii="Calibri" w:eastAsia="Calibri" w:hAnsi="Calibri" w:cs="Calibri"/>
          <w:b/>
          <w:bCs/>
        </w:rPr>
        <w:t>Northwest Territories</w:t>
      </w:r>
      <w:r>
        <w:rPr>
          <w:rFonts w:ascii="Calibri" w:eastAsia="Calibri" w:hAnsi="Calibri" w:cs="Calibri"/>
        </w:rPr>
        <w:t xml:space="preserve"> have no specific whistleblower protection laws outside the federal </w:t>
      </w:r>
      <w:r>
        <w:rPr>
          <w:rFonts w:ascii="Calibri" w:eastAsia="Calibri" w:hAnsi="Calibri" w:cs="Calibri"/>
          <w:b/>
          <w:bCs/>
          <w:i/>
          <w:iCs/>
        </w:rPr>
        <w:t>PSDPA</w:t>
      </w:r>
      <w:r>
        <w:rPr>
          <w:rFonts w:ascii="Calibri" w:eastAsia="Calibri" w:hAnsi="Calibri" w:cs="Calibri"/>
        </w:rPr>
        <w:t>.</w:t>
      </w:r>
      <w:r>
        <w:rPr>
          <w:rFonts w:ascii="Calibri" w:eastAsia="Calibri" w:hAnsi="Calibri" w:cs="Calibri"/>
          <w:vertAlign w:val="superscript"/>
        </w:rPr>
        <w:footnoteReference w:id="27"/>
      </w:r>
      <w:r>
        <w:rPr>
          <w:rFonts w:ascii="Calibri" w:eastAsia="Calibri" w:hAnsi="Calibri" w:cs="Calibri"/>
        </w:rPr>
        <w:t xml:space="preserve"> </w:t>
      </w:r>
    </w:p>
    <w:p w14:paraId="5FFEC72C" w14:textId="77777777" w:rsidR="00822F51" w:rsidRDefault="00822F51">
      <w:pPr>
        <w:ind w:firstLine="720"/>
        <w:jc w:val="both"/>
        <w:rPr>
          <w:rFonts w:ascii="Calibri" w:eastAsia="Calibri" w:hAnsi="Calibri" w:cs="Calibri"/>
        </w:rPr>
      </w:pPr>
    </w:p>
    <w:p w14:paraId="4C2BCEF5" w14:textId="77777777" w:rsidR="00822F51" w:rsidRDefault="001A22F2">
      <w:pPr>
        <w:ind w:firstLine="720"/>
        <w:jc w:val="both"/>
        <w:rPr>
          <w:rFonts w:ascii="Calibri" w:eastAsia="Calibri" w:hAnsi="Calibri" w:cs="Calibri"/>
        </w:rPr>
      </w:pPr>
      <w:r>
        <w:rPr>
          <w:rFonts w:ascii="Calibri" w:eastAsia="Calibri" w:hAnsi="Calibri" w:cs="Calibri"/>
        </w:rPr>
        <w:t xml:space="preserve">Similar to the federal </w:t>
      </w:r>
      <w:r>
        <w:rPr>
          <w:rFonts w:ascii="Calibri" w:eastAsia="Calibri" w:hAnsi="Calibri" w:cs="Calibri"/>
          <w:b/>
          <w:bCs/>
          <w:i/>
          <w:iCs/>
        </w:rPr>
        <w:t>PSDPA</w:t>
      </w:r>
      <w:r>
        <w:rPr>
          <w:rFonts w:ascii="Calibri" w:eastAsia="Calibri" w:hAnsi="Calibri" w:cs="Calibri"/>
        </w:rPr>
        <w:t>, provincial laws have attracted sustained criticism from civil society groups.</w:t>
      </w:r>
      <w:r>
        <w:rPr>
          <w:rFonts w:ascii="Calibri" w:eastAsia="Calibri" w:hAnsi="Calibri" w:cs="Calibri"/>
          <w:vertAlign w:val="superscript"/>
        </w:rPr>
        <w:footnoteReference w:id="28"/>
      </w:r>
      <w:r>
        <w:rPr>
          <w:rFonts w:ascii="Calibri" w:eastAsia="Calibri" w:hAnsi="Calibri" w:cs="Calibri"/>
        </w:rPr>
        <w:t xml:space="preserve"> Many of these concerns recur across jurisdictions, reflecting structural deficiencies inherent in the design and operation of the </w:t>
      </w:r>
      <w:r>
        <w:rPr>
          <w:rFonts w:ascii="Calibri" w:eastAsia="Calibri" w:hAnsi="Calibri" w:cs="Calibri"/>
          <w:b/>
          <w:bCs/>
          <w:i/>
          <w:iCs/>
        </w:rPr>
        <w:t xml:space="preserve">PSDPA </w:t>
      </w:r>
      <w:r>
        <w:rPr>
          <w:rFonts w:ascii="Calibri" w:eastAsia="Calibri" w:hAnsi="Calibri" w:cs="Calibri"/>
        </w:rPr>
        <w:t xml:space="preserve">itself, which provincial schemes frequently mirror or replicate. </w:t>
      </w:r>
    </w:p>
    <w:p w14:paraId="47AF5D07" w14:textId="77777777" w:rsidR="00822F51" w:rsidRDefault="00822F51">
      <w:pPr>
        <w:rPr>
          <w:rFonts w:ascii="Calibri" w:eastAsia="Calibri" w:hAnsi="Calibri" w:cs="Calibri"/>
        </w:rPr>
      </w:pPr>
    </w:p>
    <w:p w14:paraId="2D90AF15" w14:textId="77777777" w:rsidR="00822F51" w:rsidRDefault="001A22F2">
      <w:pPr>
        <w:pStyle w:val="Heading1"/>
        <w:numPr>
          <w:ilvl w:val="0"/>
          <w:numId w:val="17"/>
        </w:numPr>
      </w:pPr>
      <w:bookmarkStart w:id="8" w:name="_valww7wzsoyo" w:colFirst="0" w:colLast="0"/>
      <w:bookmarkEnd w:id="8"/>
      <w:r>
        <w:t>Scope of Coverage</w:t>
      </w:r>
    </w:p>
    <w:p w14:paraId="229994CB" w14:textId="77777777" w:rsidR="00822F51" w:rsidRDefault="00822F51">
      <w:pPr>
        <w:ind w:left="720"/>
      </w:pPr>
    </w:p>
    <w:p w14:paraId="78EDF341" w14:textId="77777777" w:rsidR="00822F51" w:rsidRDefault="001A22F2">
      <w:pPr>
        <w:pStyle w:val="Heading2"/>
        <w:numPr>
          <w:ilvl w:val="0"/>
          <w:numId w:val="10"/>
        </w:numPr>
        <w:jc w:val="both"/>
        <w:rPr>
          <w:i w:val="0"/>
          <w:iCs w:val="0"/>
        </w:rPr>
      </w:pPr>
      <w:bookmarkStart w:id="9" w:name="_8fl7b7xctnq6" w:colFirst="0" w:colLast="0"/>
      <w:bookmarkEnd w:id="9"/>
      <w:r>
        <w:rPr>
          <w:i w:val="0"/>
          <w:iCs w:val="0"/>
        </w:rPr>
        <w:t>Who is Protected? The Public Sector</w:t>
      </w:r>
    </w:p>
    <w:p w14:paraId="5B99F7B4" w14:textId="77777777" w:rsidR="00822F51" w:rsidRDefault="001A22F2">
      <w:pPr>
        <w:ind w:firstLine="720"/>
        <w:jc w:val="both"/>
        <w:rPr>
          <w:rFonts w:ascii="Calibri" w:eastAsia="Calibri" w:hAnsi="Calibri" w:cs="Calibri"/>
          <w:b/>
          <w:bCs/>
        </w:rPr>
      </w:pPr>
      <w:r>
        <w:rPr>
          <w:rFonts w:ascii="Calibri" w:eastAsia="Calibri" w:hAnsi="Calibri" w:cs="Calibri"/>
        </w:rPr>
        <w:t xml:space="preserve">Canadian whistleblower regimes condition protection on employment status rather than the nature of the disclosure, denying equal protection in violation of </w:t>
      </w:r>
      <w:r>
        <w:rPr>
          <w:rFonts w:ascii="Calibri" w:eastAsia="Calibri" w:hAnsi="Calibri" w:cs="Calibri"/>
          <w:b/>
          <w:bCs/>
        </w:rPr>
        <w:t>Article 26</w:t>
      </w:r>
      <w:r>
        <w:rPr>
          <w:rFonts w:ascii="Calibri" w:eastAsia="Calibri" w:hAnsi="Calibri" w:cs="Calibri"/>
        </w:rPr>
        <w:t xml:space="preserve"> of the ICCPR. The exclusion of a large number of potential whistleblowers based on their employment status deters the disclosure of information of public interest, undermines the effective exercise of freedom of expression protected under</w:t>
      </w:r>
      <w:r>
        <w:rPr>
          <w:rFonts w:ascii="Calibri" w:eastAsia="Calibri" w:hAnsi="Calibri" w:cs="Calibri"/>
          <w:b/>
          <w:bCs/>
        </w:rPr>
        <w:t xml:space="preserve"> Article 19</w:t>
      </w:r>
      <w:r>
        <w:rPr>
          <w:rFonts w:ascii="Calibri" w:eastAsia="Calibri" w:hAnsi="Calibri" w:cs="Calibri"/>
        </w:rPr>
        <w:t xml:space="preserve"> and limits access to remedies under </w:t>
      </w:r>
      <w:r>
        <w:rPr>
          <w:rFonts w:ascii="Calibri" w:eastAsia="Calibri" w:hAnsi="Calibri" w:cs="Calibri"/>
          <w:b/>
          <w:bCs/>
        </w:rPr>
        <w:t>Article 2(3</w:t>
      </w:r>
      <w:r>
        <w:rPr>
          <w:rFonts w:ascii="Calibri" w:eastAsia="Calibri" w:hAnsi="Calibri" w:cs="Calibri"/>
        </w:rPr>
        <w:t>).</w:t>
      </w:r>
    </w:p>
    <w:p w14:paraId="3CC08E3B" w14:textId="77777777" w:rsidR="00822F51" w:rsidRDefault="00822F51">
      <w:pPr>
        <w:ind w:firstLine="720"/>
        <w:jc w:val="both"/>
        <w:rPr>
          <w:rFonts w:ascii="Calibri" w:eastAsia="Calibri" w:hAnsi="Calibri" w:cs="Calibri"/>
        </w:rPr>
      </w:pPr>
    </w:p>
    <w:p w14:paraId="421D3F1B" w14:textId="77777777" w:rsidR="00822F51" w:rsidRDefault="001A22F2">
      <w:pPr>
        <w:pStyle w:val="Heading3"/>
        <w:jc w:val="both"/>
      </w:pPr>
      <w:bookmarkStart w:id="10" w:name="_wdbq91ih5c12" w:colFirst="0" w:colLast="0"/>
      <w:bookmarkEnd w:id="10"/>
      <w:r>
        <w:lastRenderedPageBreak/>
        <w:t>Federal Legislation</w:t>
      </w:r>
    </w:p>
    <w:p w14:paraId="770AC832" w14:textId="77777777" w:rsidR="00822F51" w:rsidRDefault="001A22F2">
      <w:pPr>
        <w:ind w:firstLine="720"/>
        <w:jc w:val="both"/>
        <w:rPr>
          <w:rFonts w:ascii="Calibri" w:eastAsia="Calibri" w:hAnsi="Calibri" w:cs="Calibri"/>
        </w:rPr>
      </w:pPr>
      <w:r>
        <w:rPr>
          <w:rFonts w:ascii="Calibri" w:eastAsia="Calibri" w:hAnsi="Calibri" w:cs="Calibri"/>
        </w:rPr>
        <w:t xml:space="preserve">Federally, the </w:t>
      </w:r>
      <w:r>
        <w:rPr>
          <w:rFonts w:ascii="Calibri" w:eastAsia="Calibri" w:hAnsi="Calibri" w:cs="Calibri"/>
          <w:b/>
          <w:bCs/>
          <w:i/>
          <w:iCs/>
        </w:rPr>
        <w:t>PSDPA</w:t>
      </w:r>
      <w:r>
        <w:rPr>
          <w:rFonts w:ascii="Calibri" w:eastAsia="Calibri" w:hAnsi="Calibri" w:cs="Calibri"/>
        </w:rPr>
        <w:t xml:space="preserve"> centers protection on public servants and confines disclosures to prescribed institutional channels.</w:t>
      </w:r>
      <w:r>
        <w:rPr>
          <w:rFonts w:ascii="Calibri" w:eastAsia="Calibri" w:hAnsi="Calibri" w:cs="Calibri"/>
          <w:vertAlign w:val="superscript"/>
        </w:rPr>
        <w:footnoteReference w:id="29"/>
      </w:r>
      <w:r>
        <w:rPr>
          <w:rFonts w:ascii="Calibri" w:eastAsia="Calibri" w:hAnsi="Calibri" w:cs="Calibri"/>
        </w:rPr>
        <w:t xml:space="preserve"> For the purposes of the Act, a “public servant” refers to every person employed in the public sector, but expressly excludes employees of the Canadian Forces, Canadian Security Intelligence Service and Communications Security Establishment.</w:t>
      </w:r>
      <w:r>
        <w:rPr>
          <w:rFonts w:ascii="Calibri" w:eastAsia="Calibri" w:hAnsi="Calibri" w:cs="Calibri"/>
          <w:vertAlign w:val="superscript"/>
        </w:rPr>
        <w:footnoteReference w:id="30"/>
      </w:r>
      <w:r>
        <w:rPr>
          <w:rFonts w:ascii="Calibri" w:eastAsia="Calibri" w:hAnsi="Calibri" w:cs="Calibri"/>
        </w:rPr>
        <w:t xml:space="preserve"> This statutory definition narrows the scope of protection at the outset and leaves categories of individuals within certain federal public services, and individuals working as contractors, consultants, temporary staff, interns, and volunteers, outside the whistleblower protection framework. </w:t>
      </w:r>
    </w:p>
    <w:p w14:paraId="73AF1AC0" w14:textId="77777777" w:rsidR="00822F51" w:rsidRDefault="00822F51">
      <w:pPr>
        <w:ind w:firstLine="720"/>
        <w:jc w:val="both"/>
        <w:rPr>
          <w:rFonts w:ascii="Calibri" w:eastAsia="Calibri" w:hAnsi="Calibri" w:cs="Calibri"/>
        </w:rPr>
      </w:pPr>
    </w:p>
    <w:p w14:paraId="1FA229DE" w14:textId="1B7F70E8" w:rsidR="00822F51" w:rsidRDefault="001A22F2">
      <w:pPr>
        <w:ind w:firstLine="720"/>
        <w:jc w:val="both"/>
        <w:rPr>
          <w:rFonts w:ascii="Calibri" w:eastAsia="Calibri" w:hAnsi="Calibri" w:cs="Calibri"/>
        </w:rPr>
      </w:pPr>
      <w:r>
        <w:rPr>
          <w:rFonts w:ascii="Calibri" w:eastAsia="Calibri" w:hAnsi="Calibri" w:cs="Calibri"/>
        </w:rPr>
        <w:t>Parliamentary Committee review has acknowledged that the employment-based model fails to reflect the reality of contemporary governance, as public services are routinely delivered through arm’s-length entities and private contractors, creating significant gaps in protection for those engaged in public functions outside narrowly defined “public servants”</w:t>
      </w:r>
      <w:r w:rsidR="00310030">
        <w:rPr>
          <w:rFonts w:ascii="Calibri" w:eastAsia="Calibri" w:hAnsi="Calibri" w:cs="Calibri"/>
        </w:rPr>
        <w:t>.</w:t>
      </w:r>
      <w:r w:rsidR="00310030">
        <w:rPr>
          <w:rStyle w:val="FootnoteReference"/>
          <w:rFonts w:ascii="Calibri" w:eastAsia="Calibri" w:hAnsi="Calibri" w:cs="Calibri"/>
        </w:rPr>
        <w:footnoteReference w:id="31"/>
      </w:r>
      <w:r w:rsidR="00310030">
        <w:rPr>
          <w:rFonts w:ascii="Calibri" w:eastAsia="Calibri" w:hAnsi="Calibri" w:cs="Calibri"/>
        </w:rPr>
        <w:t xml:space="preserve"> </w:t>
      </w:r>
      <w:r>
        <w:rPr>
          <w:rFonts w:ascii="Calibri" w:eastAsia="Calibri" w:hAnsi="Calibri" w:cs="Calibri"/>
        </w:rPr>
        <w:t>Scholars similarly identify status-based exclusion as a weakness of Canadian whistleblower law, contributing to underreporting and chilled disclosure.</w:t>
      </w:r>
      <w:r>
        <w:rPr>
          <w:rFonts w:ascii="Calibri" w:eastAsia="Calibri" w:hAnsi="Calibri" w:cs="Calibri"/>
          <w:vertAlign w:val="superscript"/>
        </w:rPr>
        <w:footnoteReference w:id="32"/>
      </w:r>
      <w:r>
        <w:rPr>
          <w:rFonts w:ascii="Calibri" w:eastAsia="Calibri" w:hAnsi="Calibri" w:cs="Calibri"/>
        </w:rPr>
        <w:t xml:space="preserve"> Contrastingly, international best practices, recommended by </w:t>
      </w:r>
      <w:r>
        <w:rPr>
          <w:rFonts w:ascii="Calibri" w:eastAsia="Calibri" w:hAnsi="Calibri" w:cs="Calibri"/>
          <w:i/>
          <w:iCs/>
        </w:rPr>
        <w:t xml:space="preserve">Transparency International Canada,  </w:t>
      </w:r>
      <w:r>
        <w:rPr>
          <w:rFonts w:ascii="Calibri" w:eastAsia="Calibri" w:hAnsi="Calibri" w:cs="Calibri"/>
        </w:rPr>
        <w:t xml:space="preserve">extend whistleblower protection to the public interest function performed, rather than formal employment status, by providing protection to any person who acquired information through work-related activities where retaliation could create a chilling effect on public accountability. </w:t>
      </w:r>
      <w:r>
        <w:rPr>
          <w:rFonts w:ascii="Calibri" w:eastAsia="Calibri" w:hAnsi="Calibri" w:cs="Calibri"/>
          <w:vertAlign w:val="superscript"/>
        </w:rPr>
        <w:footnoteReference w:id="33"/>
      </w:r>
    </w:p>
    <w:p w14:paraId="2B2CF5B4" w14:textId="77777777" w:rsidR="00822F51" w:rsidRDefault="00822F51">
      <w:pPr>
        <w:jc w:val="both"/>
        <w:rPr>
          <w:rFonts w:ascii="Calibri" w:eastAsia="Calibri" w:hAnsi="Calibri" w:cs="Calibri"/>
          <w:b/>
          <w:bCs/>
          <w:u w:val="single"/>
        </w:rPr>
      </w:pPr>
    </w:p>
    <w:p w14:paraId="76DABBE0" w14:textId="77777777" w:rsidR="00822F51" w:rsidRDefault="001A22F2">
      <w:pPr>
        <w:pStyle w:val="Heading3"/>
        <w:jc w:val="both"/>
      </w:pPr>
      <w:bookmarkStart w:id="11" w:name="_1bqkfpcrkope" w:colFirst="0" w:colLast="0"/>
      <w:bookmarkEnd w:id="11"/>
      <w:r>
        <w:t>Provincial Legislation</w:t>
      </w:r>
    </w:p>
    <w:p w14:paraId="40667723" w14:textId="77777777" w:rsidR="00822F51" w:rsidRDefault="001A22F2">
      <w:pPr>
        <w:ind w:firstLine="720"/>
        <w:jc w:val="both"/>
        <w:rPr>
          <w:rFonts w:ascii="Calibri" w:eastAsia="Calibri" w:hAnsi="Calibri" w:cs="Calibri"/>
        </w:rPr>
      </w:pPr>
      <w:r>
        <w:rPr>
          <w:rFonts w:ascii="Calibri" w:eastAsia="Calibri" w:hAnsi="Calibri" w:cs="Calibri"/>
        </w:rPr>
        <w:t>Provincial legislation reproduces this employment-based approach. In</w:t>
      </w:r>
      <w:r>
        <w:rPr>
          <w:rFonts w:ascii="Calibri" w:eastAsia="Calibri" w:hAnsi="Calibri" w:cs="Calibri"/>
          <w:b/>
          <w:bCs/>
        </w:rPr>
        <w:t xml:space="preserve"> British Columbia, Prince Edward Island, Newfoundland and Labrador, and New Brunswick</w:t>
      </w:r>
      <w:r>
        <w:rPr>
          <w:rFonts w:ascii="Calibri" w:eastAsia="Calibri" w:hAnsi="Calibri" w:cs="Calibri"/>
        </w:rPr>
        <w:t>, protection is limited to current or former public servants, excluding contractors and non-employees who perform public work or have access to relevant information.</w:t>
      </w:r>
      <w:r>
        <w:rPr>
          <w:rFonts w:ascii="Calibri" w:eastAsia="Calibri" w:hAnsi="Calibri" w:cs="Calibri"/>
          <w:vertAlign w:val="superscript"/>
        </w:rPr>
        <w:footnoteReference w:id="34"/>
      </w:r>
      <w:r>
        <w:rPr>
          <w:rFonts w:ascii="Calibri" w:eastAsia="Calibri" w:hAnsi="Calibri" w:cs="Calibri"/>
        </w:rPr>
        <w:t xml:space="preserve"> </w:t>
      </w:r>
      <w:r>
        <w:rPr>
          <w:rFonts w:ascii="Calibri" w:eastAsia="Calibri" w:hAnsi="Calibri" w:cs="Calibri"/>
          <w:b/>
          <w:bCs/>
        </w:rPr>
        <w:t>Nova Scotia</w:t>
      </w:r>
      <w:r>
        <w:rPr>
          <w:rFonts w:ascii="Calibri" w:eastAsia="Calibri" w:hAnsi="Calibri" w:cs="Calibri"/>
        </w:rPr>
        <w:t xml:space="preserve"> and </w:t>
      </w:r>
      <w:r>
        <w:rPr>
          <w:rFonts w:ascii="Calibri" w:eastAsia="Calibri" w:hAnsi="Calibri" w:cs="Calibri"/>
          <w:b/>
          <w:bCs/>
        </w:rPr>
        <w:t>Saskatchewan</w:t>
      </w:r>
      <w:r>
        <w:rPr>
          <w:rFonts w:ascii="Calibri" w:eastAsia="Calibri" w:hAnsi="Calibri" w:cs="Calibri"/>
        </w:rPr>
        <w:t xml:space="preserve"> similarly restrict coverage to employees, notwithstanding extensive reliance on contracted service delivery in sectors such as healthcare, infrastructure, and social services.</w:t>
      </w:r>
      <w:r>
        <w:rPr>
          <w:rFonts w:ascii="Calibri" w:eastAsia="Calibri" w:hAnsi="Calibri" w:cs="Calibri"/>
          <w:vertAlign w:val="superscript"/>
        </w:rPr>
        <w:footnoteReference w:id="35"/>
      </w:r>
    </w:p>
    <w:p w14:paraId="35F54FCF" w14:textId="77777777" w:rsidR="00822F51" w:rsidRDefault="001A22F2">
      <w:pPr>
        <w:ind w:firstLine="720"/>
        <w:jc w:val="both"/>
        <w:rPr>
          <w:rFonts w:ascii="Calibri" w:eastAsia="Calibri" w:hAnsi="Calibri" w:cs="Calibri"/>
        </w:rPr>
      </w:pPr>
      <w:r>
        <w:rPr>
          <w:rFonts w:ascii="Calibri" w:eastAsia="Calibri" w:hAnsi="Calibri" w:cs="Calibri"/>
        </w:rPr>
        <w:lastRenderedPageBreak/>
        <w:t>Some provinces have taken limited steps toward broader coverage, but these measures remain inconsistent.</w:t>
      </w:r>
      <w:r>
        <w:rPr>
          <w:rFonts w:ascii="Calibri" w:eastAsia="Calibri" w:hAnsi="Calibri" w:cs="Calibri"/>
          <w:b/>
          <w:bCs/>
        </w:rPr>
        <w:t xml:space="preserve"> Manitoba</w:t>
      </w:r>
      <w:r>
        <w:rPr>
          <w:rFonts w:ascii="Calibri" w:eastAsia="Calibri" w:hAnsi="Calibri" w:cs="Calibri"/>
        </w:rPr>
        <w:t xml:space="preserve"> and </w:t>
      </w:r>
      <w:r>
        <w:rPr>
          <w:rFonts w:ascii="Calibri" w:eastAsia="Calibri" w:hAnsi="Calibri" w:cs="Calibri"/>
          <w:b/>
          <w:bCs/>
        </w:rPr>
        <w:t xml:space="preserve">Alberta </w:t>
      </w:r>
      <w:r>
        <w:rPr>
          <w:rFonts w:ascii="Calibri" w:eastAsia="Calibri" w:hAnsi="Calibri" w:cs="Calibri"/>
        </w:rPr>
        <w:t>extend protection to certain service providers; however, coverage is tightly defined by formal contractual relationships, which excludes many workers from protection in practice.</w:t>
      </w:r>
      <w:r>
        <w:rPr>
          <w:rFonts w:ascii="Calibri" w:eastAsia="Calibri" w:hAnsi="Calibri" w:cs="Calibri"/>
          <w:vertAlign w:val="superscript"/>
        </w:rPr>
        <w:footnoteReference w:id="36"/>
      </w:r>
      <w:r>
        <w:rPr>
          <w:rFonts w:ascii="Calibri" w:eastAsia="Calibri" w:hAnsi="Calibri" w:cs="Calibri"/>
        </w:rPr>
        <w:t xml:space="preserve"> </w:t>
      </w:r>
      <w:r>
        <w:rPr>
          <w:rFonts w:ascii="Calibri" w:eastAsia="Calibri" w:hAnsi="Calibri" w:cs="Calibri"/>
          <w:b/>
          <w:bCs/>
        </w:rPr>
        <w:t>Quebec’s</w:t>
      </w:r>
      <w:r>
        <w:rPr>
          <w:rFonts w:ascii="Calibri" w:eastAsia="Calibri" w:hAnsi="Calibri" w:cs="Calibri"/>
        </w:rPr>
        <w:t xml:space="preserve"> Act exceptionally extends protection to “any person” who makes a disclosure, making it the only province that offers a wider scope of protection.</w:t>
      </w:r>
      <w:r>
        <w:rPr>
          <w:rFonts w:ascii="Calibri" w:eastAsia="Calibri" w:hAnsi="Calibri" w:cs="Calibri"/>
          <w:vertAlign w:val="superscript"/>
        </w:rPr>
        <w:footnoteReference w:id="37"/>
      </w:r>
      <w:r>
        <w:rPr>
          <w:rFonts w:ascii="Calibri" w:eastAsia="Calibri" w:hAnsi="Calibri" w:cs="Calibri"/>
        </w:rPr>
        <w:t xml:space="preserve"> </w:t>
      </w:r>
    </w:p>
    <w:p w14:paraId="1F0386BA" w14:textId="77777777" w:rsidR="00822F51" w:rsidRDefault="00822F51">
      <w:pPr>
        <w:ind w:left="720"/>
        <w:jc w:val="both"/>
        <w:rPr>
          <w:rFonts w:ascii="Calibri" w:eastAsia="Calibri" w:hAnsi="Calibri" w:cs="Calibri"/>
        </w:rPr>
      </w:pPr>
    </w:p>
    <w:p w14:paraId="65544ED5" w14:textId="77777777" w:rsidR="00822F51" w:rsidRDefault="001A22F2">
      <w:pPr>
        <w:pStyle w:val="Heading2"/>
        <w:numPr>
          <w:ilvl w:val="0"/>
          <w:numId w:val="10"/>
        </w:numPr>
        <w:jc w:val="both"/>
        <w:rPr>
          <w:i w:val="0"/>
          <w:iCs w:val="0"/>
        </w:rPr>
      </w:pPr>
      <w:bookmarkStart w:id="12" w:name="_19o1fdelboam" w:colFirst="0" w:colLast="0"/>
      <w:bookmarkEnd w:id="12"/>
      <w:r>
        <w:rPr>
          <w:i w:val="0"/>
          <w:iCs w:val="0"/>
        </w:rPr>
        <w:t>Who is Not Protected? The Private Sector</w:t>
      </w:r>
    </w:p>
    <w:p w14:paraId="6E61233C" w14:textId="77777777" w:rsidR="00822F51" w:rsidRDefault="001A22F2">
      <w:pPr>
        <w:ind w:firstLine="720"/>
        <w:jc w:val="both"/>
        <w:rPr>
          <w:rFonts w:ascii="Calibri" w:eastAsia="Calibri" w:hAnsi="Calibri" w:cs="Calibri"/>
        </w:rPr>
      </w:pPr>
      <w:r>
        <w:rPr>
          <w:rFonts w:ascii="Calibri" w:eastAsia="Calibri" w:hAnsi="Calibri" w:cs="Calibri"/>
        </w:rPr>
        <w:t>Canada has no federal statutory scheme designated to protect private sector whistleblowers.</w:t>
      </w:r>
      <w:r>
        <w:rPr>
          <w:rFonts w:ascii="Calibri" w:eastAsia="Calibri" w:hAnsi="Calibri" w:cs="Calibri"/>
          <w:vertAlign w:val="superscript"/>
        </w:rPr>
        <w:footnoteReference w:id="38"/>
      </w:r>
      <w:r>
        <w:rPr>
          <w:rFonts w:ascii="Calibri" w:eastAsia="Calibri" w:hAnsi="Calibri" w:cs="Calibri"/>
        </w:rPr>
        <w:t xml:space="preserve"> Provincially, the</w:t>
      </w:r>
      <w:r>
        <w:rPr>
          <w:rFonts w:ascii="Calibri" w:eastAsia="Calibri" w:hAnsi="Calibri" w:cs="Calibri"/>
          <w:i/>
          <w:iCs/>
        </w:rPr>
        <w:t xml:space="preserve"> </w:t>
      </w:r>
      <w:r>
        <w:rPr>
          <w:rFonts w:ascii="Calibri" w:eastAsia="Calibri" w:hAnsi="Calibri" w:cs="Calibri"/>
          <w:b/>
          <w:bCs/>
          <w:i/>
          <w:iCs/>
        </w:rPr>
        <w:t xml:space="preserve">Saskatchewan Employment </w:t>
      </w:r>
      <w:proofErr w:type="gramStart"/>
      <w:r>
        <w:rPr>
          <w:rFonts w:ascii="Calibri" w:eastAsia="Calibri" w:hAnsi="Calibri" w:cs="Calibri"/>
          <w:b/>
          <w:bCs/>
          <w:i/>
          <w:iCs/>
        </w:rPr>
        <w:t>Act</w:t>
      </w:r>
      <w:r>
        <w:rPr>
          <w:rFonts w:ascii="Calibri" w:eastAsia="Calibri" w:hAnsi="Calibri" w:cs="Calibri"/>
        </w:rPr>
        <w:t xml:space="preserve">  prohibits</w:t>
      </w:r>
      <w:proofErr w:type="gramEnd"/>
      <w:r>
        <w:rPr>
          <w:rFonts w:ascii="Calibri" w:eastAsia="Calibri" w:hAnsi="Calibri" w:cs="Calibri"/>
        </w:rPr>
        <w:t xml:space="preserve"> reprisals against employees for making a disclosure against their employer.</w:t>
      </w:r>
      <w:r>
        <w:rPr>
          <w:rFonts w:ascii="Calibri" w:eastAsia="Calibri" w:hAnsi="Calibri" w:cs="Calibri"/>
          <w:vertAlign w:val="superscript"/>
        </w:rPr>
        <w:footnoteReference w:id="39"/>
      </w:r>
      <w:r>
        <w:rPr>
          <w:rFonts w:ascii="Calibri" w:eastAsia="Calibri" w:hAnsi="Calibri" w:cs="Calibri"/>
        </w:rPr>
        <w:t xml:space="preserve"> The New Brunswick </w:t>
      </w:r>
      <w:r>
        <w:rPr>
          <w:rFonts w:ascii="Calibri" w:eastAsia="Calibri" w:hAnsi="Calibri" w:cs="Calibri"/>
          <w:b/>
          <w:bCs/>
          <w:i/>
          <w:iCs/>
        </w:rPr>
        <w:t>Employment Standards Act</w:t>
      </w:r>
      <w:r>
        <w:rPr>
          <w:rFonts w:ascii="Calibri" w:eastAsia="Calibri" w:hAnsi="Calibri" w:cs="Calibri"/>
        </w:rPr>
        <w:t xml:space="preserve"> only protects whistleblowers reporting illegal activity, preventing disclosures outside of that scope. Other provincial acts offer no such protection. </w:t>
      </w:r>
    </w:p>
    <w:p w14:paraId="1F91972E" w14:textId="77777777" w:rsidR="00822F51" w:rsidRDefault="00822F51">
      <w:pPr>
        <w:ind w:firstLine="720"/>
        <w:jc w:val="both"/>
        <w:rPr>
          <w:rFonts w:ascii="Calibri" w:eastAsia="Calibri" w:hAnsi="Calibri" w:cs="Calibri"/>
        </w:rPr>
      </w:pPr>
    </w:p>
    <w:p w14:paraId="4B66E943" w14:textId="5F2CF8DE" w:rsidR="00822F51" w:rsidRDefault="001A22F2" w:rsidP="006C032A">
      <w:pPr>
        <w:ind w:firstLine="720"/>
        <w:jc w:val="both"/>
        <w:rPr>
          <w:rFonts w:ascii="Calibri" w:eastAsia="Calibri" w:hAnsi="Calibri" w:cs="Calibri"/>
        </w:rPr>
      </w:pPr>
      <w:r>
        <w:rPr>
          <w:rFonts w:ascii="Calibri" w:eastAsia="Calibri" w:hAnsi="Calibri" w:cs="Calibri"/>
        </w:rPr>
        <w:t xml:space="preserve">Securities Commissions in provinces such as </w:t>
      </w:r>
      <w:r>
        <w:rPr>
          <w:rFonts w:ascii="Calibri" w:eastAsia="Calibri" w:hAnsi="Calibri" w:cs="Calibri"/>
          <w:b/>
          <w:bCs/>
        </w:rPr>
        <w:t>British Columbia, Ontario, and Alberta</w:t>
      </w:r>
      <w:r>
        <w:rPr>
          <w:rFonts w:ascii="Calibri" w:eastAsia="Calibri" w:hAnsi="Calibri" w:cs="Calibri"/>
        </w:rPr>
        <w:t xml:space="preserve"> actively </w:t>
      </w:r>
      <w:proofErr w:type="spellStart"/>
      <w:r>
        <w:rPr>
          <w:rFonts w:ascii="Calibri" w:eastAsia="Calibri" w:hAnsi="Calibri" w:cs="Calibri"/>
        </w:rPr>
        <w:t>incentivise</w:t>
      </w:r>
      <w:proofErr w:type="spellEnd"/>
      <w:r>
        <w:rPr>
          <w:rFonts w:ascii="Calibri" w:eastAsia="Calibri" w:hAnsi="Calibri" w:cs="Calibri"/>
        </w:rPr>
        <w:t xml:space="preserve"> whistleblowing in the securities context by offering monetary rewards to whistleblowers for information that meaningfully contributes to an investigation.</w:t>
      </w:r>
      <w:r>
        <w:rPr>
          <w:rFonts w:ascii="Calibri" w:eastAsia="Calibri" w:hAnsi="Calibri" w:cs="Calibri"/>
          <w:vertAlign w:val="superscript"/>
        </w:rPr>
        <w:footnoteReference w:id="40"/>
      </w:r>
      <w:r>
        <w:rPr>
          <w:rFonts w:ascii="Calibri" w:eastAsia="Calibri" w:hAnsi="Calibri" w:cs="Calibri"/>
        </w:rPr>
        <w:t xml:space="preserve"> Securities-related whistleblowers also benefit from greater confidentiality protections under these provinces’ </w:t>
      </w:r>
      <w:r>
        <w:rPr>
          <w:rFonts w:ascii="Calibri" w:eastAsia="Calibri" w:hAnsi="Calibri" w:cs="Calibri"/>
          <w:b/>
          <w:bCs/>
          <w:i/>
          <w:iCs/>
        </w:rPr>
        <w:t>Securities Acts</w:t>
      </w:r>
      <w:r>
        <w:rPr>
          <w:rFonts w:ascii="Calibri" w:eastAsia="Calibri" w:hAnsi="Calibri" w:cs="Calibri"/>
        </w:rPr>
        <w:t xml:space="preserve"> than those granted for whistleblowers under any other federal or provincial scheme.</w:t>
      </w:r>
      <w:r>
        <w:rPr>
          <w:rFonts w:ascii="Calibri" w:eastAsia="Calibri" w:hAnsi="Calibri" w:cs="Calibri"/>
          <w:vertAlign w:val="superscript"/>
        </w:rPr>
        <w:footnoteReference w:id="41"/>
      </w:r>
      <w:r>
        <w:rPr>
          <w:rFonts w:ascii="Calibri" w:eastAsia="Calibri" w:hAnsi="Calibri" w:cs="Calibri"/>
        </w:rPr>
        <w:t xml:space="preserve"> The incentives scheme demonstrates that when whistleblowing reveals the “right” type of information, such as stock market corruption, the government is an active and willing participant in offering further protection.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822F51" w14:paraId="60C2E8C6" w14:textId="77777777">
        <w:tc>
          <w:tcPr>
            <w:tcW w:w="9360" w:type="dxa"/>
            <w:tcMar>
              <w:top w:w="100" w:type="dxa"/>
              <w:left w:w="100" w:type="dxa"/>
              <w:bottom w:w="100" w:type="dxa"/>
              <w:right w:w="100" w:type="dxa"/>
            </w:tcMar>
          </w:tcPr>
          <w:p w14:paraId="460F7DCA" w14:textId="77777777" w:rsidR="00822F51" w:rsidRDefault="001A22F2">
            <w:pPr>
              <w:pStyle w:val="Heading4"/>
              <w:jc w:val="both"/>
              <w:rPr>
                <w:color w:val="FFFFFF"/>
              </w:rPr>
            </w:pPr>
            <w:bookmarkStart w:id="13" w:name="_r9c7mu2aap1s" w:colFirst="0" w:colLast="0"/>
            <w:bookmarkEnd w:id="13"/>
            <w:r>
              <w:lastRenderedPageBreak/>
              <w:t xml:space="preserve">Recommended Questions </w:t>
            </w:r>
            <w:r>
              <w:rPr>
                <w:color w:val="FFFFFF"/>
              </w:rPr>
              <w:t xml:space="preserve">and Recommendations </w:t>
            </w:r>
          </w:p>
          <w:p w14:paraId="5B598F0A" w14:textId="77777777" w:rsidR="00822F51" w:rsidRDefault="001A22F2">
            <w:pPr>
              <w:numPr>
                <w:ilvl w:val="0"/>
                <w:numId w:val="4"/>
              </w:numPr>
              <w:spacing w:before="240"/>
              <w:jc w:val="both"/>
              <w:rPr>
                <w:rFonts w:ascii="Calibri" w:eastAsia="Calibri" w:hAnsi="Calibri" w:cs="Calibri"/>
              </w:rPr>
            </w:pPr>
            <w:r>
              <w:rPr>
                <w:rFonts w:ascii="Calibri" w:eastAsia="Calibri" w:hAnsi="Calibri" w:cs="Calibri"/>
              </w:rPr>
              <w:t>What steps will Canada take to ensure that the Office of the Public Sector Integrity Commissioner and the Public Servants Disclosure Protection Tribunal have adequate and sustained resources to investigate disclosures and adjudicate reprisal complaints in a timely manner?</w:t>
            </w:r>
          </w:p>
          <w:p w14:paraId="15D1589D" w14:textId="77777777" w:rsidR="00822F51" w:rsidRDefault="001A22F2">
            <w:pPr>
              <w:numPr>
                <w:ilvl w:val="0"/>
                <w:numId w:val="4"/>
              </w:numPr>
              <w:jc w:val="both"/>
              <w:rPr>
                <w:rFonts w:ascii="Calibri" w:eastAsia="Calibri" w:hAnsi="Calibri" w:cs="Calibri"/>
              </w:rPr>
            </w:pPr>
            <w:r>
              <w:rPr>
                <w:rFonts w:ascii="Calibri" w:eastAsia="Calibri" w:hAnsi="Calibri" w:cs="Calibri"/>
              </w:rPr>
              <w:t xml:space="preserve">The </w:t>
            </w:r>
            <w:r>
              <w:rPr>
                <w:rFonts w:ascii="Calibri" w:eastAsia="Calibri" w:hAnsi="Calibri" w:cs="Calibri"/>
                <w:b/>
                <w:bCs/>
                <w:i/>
                <w:iCs/>
              </w:rPr>
              <w:t>Public Servants Disclosure Protection Act</w:t>
            </w:r>
            <w:r>
              <w:rPr>
                <w:rFonts w:ascii="Calibri" w:eastAsia="Calibri" w:hAnsi="Calibri" w:cs="Calibri"/>
                <w:b/>
                <w:bCs/>
              </w:rPr>
              <w:t xml:space="preserve"> (PSDPA)</w:t>
            </w:r>
            <w:r>
              <w:rPr>
                <w:rFonts w:ascii="Calibri" w:eastAsia="Calibri" w:hAnsi="Calibri" w:cs="Calibri"/>
              </w:rPr>
              <w:t xml:space="preserve"> excludes government contractors, volunteers, and other non-employee workers by defining them outside the scope of “public servants”. Canada also currently has no federal legislation protecting private-sector whistleblowers. How does Canada ensure effective protection for individuals excluded from these frameworks, and what steps will it take to safeguard their freedom of expression and access to timely, effective and restorative remedies and legal assistance</w:t>
            </w:r>
            <w:r>
              <w:rPr>
                <w:rFonts w:ascii="Calibri" w:eastAsia="Calibri" w:hAnsi="Calibri" w:cs="Calibri"/>
              </w:rPr>
              <w:t xml:space="preserve"> when disclosing wrongdoing? Additionally, what is the public policy rationale for excluding non-public servants?</w:t>
            </w:r>
          </w:p>
          <w:p w14:paraId="1B413AAE" w14:textId="77777777" w:rsidR="00822F51" w:rsidRDefault="00822F51">
            <w:pPr>
              <w:jc w:val="both"/>
              <w:rPr>
                <w:rFonts w:ascii="Calibri" w:eastAsia="Calibri" w:hAnsi="Calibri" w:cs="Calibri"/>
                <w:b/>
                <w:bCs/>
                <w:u w:val="single"/>
              </w:rPr>
            </w:pPr>
          </w:p>
          <w:p w14:paraId="3074EF2B" w14:textId="77777777" w:rsidR="00822F51" w:rsidRDefault="001A22F2">
            <w:pPr>
              <w:jc w:val="both"/>
              <w:rPr>
                <w:rFonts w:ascii="Calibri" w:eastAsia="Calibri" w:hAnsi="Calibri" w:cs="Calibri"/>
                <w:b/>
                <w:bCs/>
              </w:rPr>
            </w:pPr>
            <w:r>
              <w:rPr>
                <w:rFonts w:ascii="Calibri" w:eastAsia="Calibri" w:hAnsi="Calibri" w:cs="Calibri"/>
                <w:b/>
                <w:bCs/>
              </w:rPr>
              <w:t>Recommendation</w:t>
            </w:r>
          </w:p>
          <w:p w14:paraId="110802D1" w14:textId="5B5440AD" w:rsidR="00822F51" w:rsidRDefault="001A22F2">
            <w:pPr>
              <w:numPr>
                <w:ilvl w:val="0"/>
                <w:numId w:val="6"/>
              </w:numPr>
              <w:jc w:val="both"/>
              <w:rPr>
                <w:rFonts w:ascii="Calibri" w:eastAsia="Calibri" w:hAnsi="Calibri" w:cs="Calibri"/>
              </w:rPr>
            </w:pPr>
            <w:r>
              <w:rPr>
                <w:rFonts w:ascii="Calibri" w:eastAsia="Calibri" w:hAnsi="Calibri" w:cs="Calibri"/>
              </w:rPr>
              <w:t>The State party should ensure that the Office of the Public Sector Integrity Commissioner and the Public Servants Disclosure Protection Tribunal are provided with sufficient and sustained financial, technical, and logistical resources to enable timely investigation and adjudication of disclosures and reprisal complaints.</w:t>
            </w:r>
          </w:p>
          <w:p w14:paraId="7B60B642" w14:textId="77777777" w:rsidR="00822F51" w:rsidRDefault="001A22F2">
            <w:pPr>
              <w:numPr>
                <w:ilvl w:val="0"/>
                <w:numId w:val="6"/>
              </w:numPr>
              <w:jc w:val="both"/>
              <w:rPr>
                <w:rFonts w:ascii="Calibri" w:eastAsia="Calibri" w:hAnsi="Calibri" w:cs="Calibri"/>
              </w:rPr>
            </w:pPr>
            <w:r>
              <w:rPr>
                <w:rFonts w:ascii="Calibri" w:eastAsia="Calibri" w:hAnsi="Calibri" w:cs="Calibri"/>
              </w:rPr>
              <w:t xml:space="preserve">Additionally, Canada should amend the </w:t>
            </w:r>
            <w:r>
              <w:rPr>
                <w:rFonts w:ascii="Calibri" w:eastAsia="Calibri" w:hAnsi="Calibri" w:cs="Calibri"/>
                <w:b/>
                <w:bCs/>
                <w:i/>
                <w:iCs/>
              </w:rPr>
              <w:t>Public Servants Disclosure Protection Act</w:t>
            </w:r>
            <w:r>
              <w:rPr>
                <w:rFonts w:ascii="Calibri" w:eastAsia="Calibri" w:hAnsi="Calibri" w:cs="Calibri"/>
                <w:b/>
                <w:bCs/>
              </w:rPr>
              <w:t xml:space="preserve"> </w:t>
            </w:r>
            <w:r>
              <w:rPr>
                <w:rFonts w:ascii="Calibri" w:eastAsia="Calibri" w:hAnsi="Calibri" w:cs="Calibri"/>
              </w:rPr>
              <w:t>to extend whistleblower protection on a sector-blind basis to all individuals who acquire information through work-related activities and disclose wrongdoing in the public interest, regardless of sector, through targeted amendments to its scope without altering the Act’s architecture.</w:t>
            </w:r>
          </w:p>
          <w:p w14:paraId="483CF3DE" w14:textId="77777777" w:rsidR="00822F51" w:rsidRDefault="001A22F2">
            <w:pPr>
              <w:spacing w:before="240" w:after="240"/>
              <w:ind w:firstLine="720"/>
              <w:jc w:val="both"/>
              <w:rPr>
                <w:rFonts w:ascii="Calibri" w:eastAsia="Calibri" w:hAnsi="Calibri" w:cs="Calibri"/>
              </w:rPr>
            </w:pPr>
            <w:r>
              <w:rPr>
                <w:rFonts w:ascii="Calibri" w:eastAsia="Calibri" w:hAnsi="Calibri" w:cs="Calibri"/>
              </w:rPr>
              <w:t xml:space="preserve">In particular, the Act should be </w:t>
            </w:r>
            <w:r>
              <w:rPr>
                <w:rFonts w:ascii="Calibri" w:eastAsia="Calibri" w:hAnsi="Calibri" w:cs="Calibri"/>
                <w:b/>
                <w:bCs/>
              </w:rPr>
              <w:t>amended to</w:t>
            </w:r>
            <w:r>
              <w:rPr>
                <w:rFonts w:ascii="Calibri" w:eastAsia="Calibri" w:hAnsi="Calibri" w:cs="Calibri"/>
              </w:rPr>
              <w:t>:</w:t>
            </w:r>
          </w:p>
          <w:p w14:paraId="65646915" w14:textId="77777777" w:rsidR="00822F51" w:rsidRDefault="001A22F2">
            <w:pPr>
              <w:spacing w:before="240" w:after="240"/>
              <w:ind w:left="1440"/>
              <w:jc w:val="both"/>
              <w:rPr>
                <w:rFonts w:ascii="Calibri" w:eastAsia="Calibri" w:hAnsi="Calibri" w:cs="Calibri"/>
              </w:rPr>
            </w:pPr>
            <w:r>
              <w:rPr>
                <w:rFonts w:ascii="Calibri" w:eastAsia="Calibri" w:hAnsi="Calibri" w:cs="Calibri"/>
              </w:rPr>
              <w:t xml:space="preserve">(a)  extend protections to “any person” (in line with </w:t>
            </w:r>
            <w:r>
              <w:rPr>
                <w:rFonts w:ascii="Calibri" w:eastAsia="Calibri" w:hAnsi="Calibri" w:cs="Calibri"/>
                <w:b/>
                <w:bCs/>
              </w:rPr>
              <w:t>Quebec</w:t>
            </w:r>
            <w:r>
              <w:rPr>
                <w:rFonts w:ascii="Calibri" w:eastAsia="Calibri" w:hAnsi="Calibri" w:cs="Calibri"/>
              </w:rPr>
              <w:t xml:space="preserve">’s standard) or introduce a parallel category of </w:t>
            </w:r>
            <w:r>
              <w:rPr>
                <w:rFonts w:ascii="Calibri" w:eastAsia="Calibri" w:hAnsi="Calibri" w:cs="Calibri"/>
                <w:b/>
                <w:bCs/>
              </w:rPr>
              <w:t>“protected person”</w:t>
            </w:r>
            <w:r>
              <w:rPr>
                <w:rFonts w:ascii="Calibri" w:eastAsia="Calibri" w:hAnsi="Calibri" w:cs="Calibri"/>
              </w:rPr>
              <w:t xml:space="preserve"> to include employees, contractors, consultants, agency workers, interns, volunteers, job applicants, and former workers in both public and private entities where the disclosure concerns wrongdoing affecting the public interest, as well as to individuals who assist whistleblowers, witnesses, and those perceived to be whistleblowers;</w:t>
            </w:r>
          </w:p>
          <w:p w14:paraId="582037E0" w14:textId="77777777" w:rsidR="00822F51" w:rsidRDefault="001A22F2">
            <w:pPr>
              <w:spacing w:before="240" w:after="240"/>
              <w:ind w:left="1440"/>
              <w:jc w:val="both"/>
              <w:rPr>
                <w:rFonts w:ascii="Calibri" w:eastAsia="Calibri" w:hAnsi="Calibri" w:cs="Calibri"/>
              </w:rPr>
            </w:pPr>
            <w:r>
              <w:rPr>
                <w:rFonts w:ascii="Calibri" w:eastAsia="Calibri" w:hAnsi="Calibri" w:cs="Calibri"/>
              </w:rPr>
              <w:t>(b) permit protected disclosures to be made in relation to wrongdoing occurring in private-sector entities where there is a sufficient public interest nexus, including through the use of public funds, delivery of public services, illegality, or impact on public health, safety, or integrity; and</w:t>
            </w:r>
          </w:p>
          <w:p w14:paraId="670C5FC5" w14:textId="77777777" w:rsidR="00822F51" w:rsidRDefault="001A22F2">
            <w:pPr>
              <w:spacing w:before="240" w:after="240"/>
              <w:ind w:left="1440"/>
              <w:jc w:val="both"/>
              <w:rPr>
                <w:rFonts w:ascii="Calibri" w:eastAsia="Calibri" w:hAnsi="Calibri" w:cs="Calibri"/>
              </w:rPr>
            </w:pPr>
            <w:r>
              <w:rPr>
                <w:rFonts w:ascii="Calibri" w:eastAsia="Calibri" w:hAnsi="Calibri" w:cs="Calibri"/>
              </w:rPr>
              <w:t>(c) ensure that protections against reprisal, access to remedies, and enforcement mechanisms apply equally to all protected persons, irrespective of sector.</w:t>
            </w:r>
          </w:p>
        </w:tc>
      </w:tr>
    </w:tbl>
    <w:p w14:paraId="3068D676" w14:textId="77777777" w:rsidR="00822F51" w:rsidRDefault="001A22F2">
      <w:pPr>
        <w:pStyle w:val="Heading1"/>
        <w:ind w:firstLine="720"/>
      </w:pPr>
      <w:bookmarkStart w:id="14" w:name="_4tblvc7gl70j" w:colFirst="0" w:colLast="0"/>
      <w:bookmarkEnd w:id="14"/>
      <w:r>
        <w:br w:type="page"/>
      </w:r>
    </w:p>
    <w:p w14:paraId="40F8413D" w14:textId="77777777" w:rsidR="00822F51" w:rsidRDefault="001A22F2">
      <w:pPr>
        <w:pStyle w:val="Heading1"/>
        <w:numPr>
          <w:ilvl w:val="0"/>
          <w:numId w:val="17"/>
        </w:numPr>
      </w:pPr>
      <w:bookmarkStart w:id="15" w:name="_rbnhiaxv71ll" w:colFirst="0" w:colLast="0"/>
      <w:bookmarkEnd w:id="15"/>
      <w:r>
        <w:lastRenderedPageBreak/>
        <w:t>Making a Disclosure</w:t>
      </w:r>
    </w:p>
    <w:p w14:paraId="0EEB88DF" w14:textId="77777777" w:rsidR="00822F51" w:rsidRDefault="00822F51">
      <w:pPr>
        <w:ind w:left="720"/>
      </w:pPr>
    </w:p>
    <w:p w14:paraId="7CEE7FF7" w14:textId="77777777" w:rsidR="00822F51" w:rsidRDefault="001A22F2">
      <w:pPr>
        <w:pStyle w:val="Heading2"/>
        <w:numPr>
          <w:ilvl w:val="0"/>
          <w:numId w:val="20"/>
        </w:numPr>
        <w:jc w:val="both"/>
        <w:rPr>
          <w:i w:val="0"/>
          <w:iCs w:val="0"/>
        </w:rPr>
      </w:pPr>
      <w:bookmarkStart w:id="16" w:name="_87yrdcr9nhfd" w:colFirst="0" w:colLast="0"/>
      <w:bookmarkEnd w:id="16"/>
      <w:r>
        <w:rPr>
          <w:i w:val="0"/>
          <w:iCs w:val="0"/>
        </w:rPr>
        <w:t>Good Faith Requirement</w:t>
      </w:r>
    </w:p>
    <w:p w14:paraId="64B02655" w14:textId="77777777" w:rsidR="00822F51" w:rsidRDefault="001A22F2">
      <w:pPr>
        <w:ind w:firstLine="720"/>
        <w:jc w:val="both"/>
        <w:rPr>
          <w:rFonts w:ascii="Calibri" w:eastAsia="Calibri" w:hAnsi="Calibri" w:cs="Calibri"/>
        </w:rPr>
      </w:pPr>
      <w:r>
        <w:rPr>
          <w:rFonts w:ascii="Calibri" w:eastAsia="Calibri" w:hAnsi="Calibri" w:cs="Calibri"/>
        </w:rPr>
        <w:t xml:space="preserve">The </w:t>
      </w:r>
      <w:r>
        <w:rPr>
          <w:rFonts w:ascii="Calibri" w:eastAsia="Calibri" w:hAnsi="Calibri" w:cs="Calibri"/>
          <w:b/>
          <w:bCs/>
          <w:i/>
          <w:iCs/>
        </w:rPr>
        <w:t xml:space="preserve">PSDPA </w:t>
      </w:r>
      <w:r>
        <w:rPr>
          <w:rFonts w:ascii="Calibri" w:eastAsia="Calibri" w:hAnsi="Calibri" w:cs="Calibri"/>
        </w:rPr>
        <w:t>conditions protection on a requirement that protected disclosures be made “in good faith”.</w:t>
      </w:r>
      <w:r>
        <w:rPr>
          <w:rFonts w:ascii="Calibri" w:eastAsia="Calibri" w:hAnsi="Calibri" w:cs="Calibri"/>
          <w:vertAlign w:val="superscript"/>
        </w:rPr>
        <w:footnoteReference w:id="42"/>
      </w:r>
      <w:r>
        <w:rPr>
          <w:rFonts w:ascii="Calibri" w:eastAsia="Calibri" w:hAnsi="Calibri" w:cs="Calibri"/>
        </w:rPr>
        <w:t xml:space="preserve"> Canada’s 2017 Parliamentary review of the </w:t>
      </w:r>
      <w:r>
        <w:rPr>
          <w:rFonts w:ascii="Calibri" w:eastAsia="Calibri" w:hAnsi="Calibri" w:cs="Calibri"/>
          <w:b/>
          <w:bCs/>
          <w:i/>
          <w:iCs/>
        </w:rPr>
        <w:t>PSDPA</w:t>
      </w:r>
      <w:r>
        <w:rPr>
          <w:rFonts w:ascii="Calibri" w:eastAsia="Calibri" w:hAnsi="Calibri" w:cs="Calibri"/>
        </w:rPr>
        <w:t xml:space="preserve"> recommended removing this provision,</w:t>
      </w:r>
      <w:r>
        <w:rPr>
          <w:rFonts w:ascii="Calibri" w:eastAsia="Calibri" w:hAnsi="Calibri" w:cs="Calibri"/>
          <w:vertAlign w:val="superscript"/>
        </w:rPr>
        <w:footnoteReference w:id="43"/>
      </w:r>
      <w:r>
        <w:rPr>
          <w:rFonts w:ascii="Calibri" w:eastAsia="Calibri" w:hAnsi="Calibri" w:cs="Calibri"/>
        </w:rPr>
        <w:t xml:space="preserve"> as the requirement deters disclosure by allowing credibility and motive to be challenged after the fact without defining the term, particularly where disclosures implicate senior officials, systemic misconduct, or where the whistleblower has a strained relationship with the employer.</w:t>
      </w:r>
      <w:r>
        <w:rPr>
          <w:rFonts w:ascii="Calibri" w:eastAsia="Calibri" w:hAnsi="Calibri" w:cs="Calibri"/>
          <w:vertAlign w:val="superscript"/>
        </w:rPr>
        <w:footnoteReference w:id="44"/>
      </w:r>
      <w:r>
        <w:rPr>
          <w:rFonts w:ascii="Calibri" w:eastAsia="Calibri" w:hAnsi="Calibri" w:cs="Calibri"/>
        </w:rPr>
        <w:t xml:space="preserve"> Additionally, this requirement is an intentional tactic to shift the focus from the disclosure’s content to the whistleblower themselves. </w:t>
      </w:r>
    </w:p>
    <w:p w14:paraId="54BB719B" w14:textId="77777777" w:rsidR="00822F51" w:rsidRDefault="00822F51">
      <w:pPr>
        <w:ind w:firstLine="720"/>
        <w:jc w:val="both"/>
        <w:rPr>
          <w:rFonts w:ascii="Calibri" w:eastAsia="Calibri" w:hAnsi="Calibri" w:cs="Calibri"/>
        </w:rPr>
      </w:pPr>
    </w:p>
    <w:p w14:paraId="36022246" w14:textId="77777777" w:rsidR="00822F51" w:rsidRDefault="001A22F2">
      <w:pPr>
        <w:ind w:firstLine="720"/>
        <w:jc w:val="both"/>
        <w:rPr>
          <w:rFonts w:ascii="Calibri" w:eastAsia="Calibri" w:hAnsi="Calibri" w:cs="Calibri"/>
        </w:rPr>
      </w:pPr>
      <w:r>
        <w:rPr>
          <w:rFonts w:ascii="Calibri" w:eastAsia="Calibri" w:hAnsi="Calibri" w:cs="Calibri"/>
        </w:rPr>
        <w:t>The “good faith” standard is mirrored across every provincial whistleblower regime, despite long critique.</w:t>
      </w:r>
      <w:r>
        <w:rPr>
          <w:rFonts w:ascii="Calibri" w:eastAsia="Calibri" w:hAnsi="Calibri" w:cs="Calibri"/>
          <w:vertAlign w:val="superscript"/>
        </w:rPr>
        <w:footnoteReference w:id="45"/>
      </w:r>
      <w:r>
        <w:rPr>
          <w:rFonts w:ascii="Calibri" w:eastAsia="Calibri" w:hAnsi="Calibri" w:cs="Calibri"/>
        </w:rPr>
        <w:t xml:space="preserve"> Notably, some international jurisdictions have mitigated this standard by interpreting “good faith” as a reasonable belief that the information was true at the time of reporting or by eliminating the nebulous condition altogether; Canada has not followed suit.</w:t>
      </w:r>
      <w:r>
        <w:rPr>
          <w:rFonts w:ascii="Calibri" w:eastAsia="Calibri" w:hAnsi="Calibri" w:cs="Calibri"/>
          <w:vertAlign w:val="superscript"/>
        </w:rPr>
        <w:footnoteReference w:id="46"/>
      </w:r>
      <w:r>
        <w:rPr>
          <w:rFonts w:ascii="Calibri" w:eastAsia="Calibri" w:hAnsi="Calibri" w:cs="Calibri"/>
        </w:rPr>
        <w:t xml:space="preserve"> The International Bar Association's best practices also caution against conditioning whistleblower protection on assessments of the whistleblower’s motive, </w:t>
      </w:r>
      <w:proofErr w:type="spellStart"/>
      <w:r>
        <w:rPr>
          <w:rFonts w:ascii="Calibri" w:eastAsia="Calibri" w:hAnsi="Calibri" w:cs="Calibri"/>
        </w:rPr>
        <w:t>emphasising</w:t>
      </w:r>
      <w:proofErr w:type="spellEnd"/>
      <w:r>
        <w:rPr>
          <w:rFonts w:ascii="Calibri" w:eastAsia="Calibri" w:hAnsi="Calibri" w:cs="Calibri"/>
        </w:rPr>
        <w:t xml:space="preserve"> that protection should turn on the public-interest value of the information disclosed rather than the subjective intent of the discloser.</w:t>
      </w:r>
      <w:r>
        <w:rPr>
          <w:rFonts w:ascii="Calibri" w:eastAsia="Calibri" w:hAnsi="Calibri" w:cs="Calibri"/>
          <w:vertAlign w:val="superscript"/>
        </w:rPr>
        <w:footnoteReference w:id="47"/>
      </w:r>
      <w:r>
        <w:rPr>
          <w:rFonts w:ascii="Calibri" w:eastAsia="Calibri" w:hAnsi="Calibri" w:cs="Calibri"/>
        </w:rPr>
        <w:t xml:space="preserve"> </w:t>
      </w:r>
    </w:p>
    <w:p w14:paraId="0AE99E8A" w14:textId="77777777" w:rsidR="00822F51" w:rsidRDefault="00822F51">
      <w:pPr>
        <w:jc w:val="both"/>
        <w:rPr>
          <w:rFonts w:ascii="Calibri" w:eastAsia="Calibri" w:hAnsi="Calibri" w:cs="Calibri"/>
          <w:b/>
          <w:bCs/>
          <w:u w:val="single"/>
        </w:rPr>
      </w:pPr>
    </w:p>
    <w:p w14:paraId="3F73D612" w14:textId="77777777" w:rsidR="00822F51" w:rsidRDefault="001A22F2">
      <w:pPr>
        <w:pStyle w:val="Heading2"/>
        <w:numPr>
          <w:ilvl w:val="0"/>
          <w:numId w:val="20"/>
        </w:numPr>
        <w:rPr>
          <w:i w:val="0"/>
          <w:iCs w:val="0"/>
          <w:u w:val="none"/>
        </w:rPr>
      </w:pPr>
      <w:bookmarkStart w:id="17" w:name="_q8oihrexou0d" w:colFirst="0" w:colLast="0"/>
      <w:bookmarkEnd w:id="17"/>
      <w:r>
        <w:rPr>
          <w:i w:val="0"/>
          <w:iCs w:val="0"/>
        </w:rPr>
        <w:t>Confidentiality</w:t>
      </w:r>
    </w:p>
    <w:p w14:paraId="59E84462" w14:textId="77777777" w:rsidR="00822F51" w:rsidRDefault="001A22F2">
      <w:pPr>
        <w:jc w:val="both"/>
        <w:rPr>
          <w:rFonts w:ascii="Calibri" w:eastAsia="Calibri" w:hAnsi="Calibri" w:cs="Calibri"/>
        </w:rPr>
      </w:pPr>
      <w:r>
        <w:rPr>
          <w:rFonts w:ascii="Calibri" w:eastAsia="Calibri" w:hAnsi="Calibri" w:cs="Calibri"/>
        </w:rPr>
        <w:tab/>
        <w:t>Confidentiality is foundational to an effective whistleblower protection regime, as the risk of identification is a primary driver of retaliation and underreporting.</w:t>
      </w:r>
      <w:r>
        <w:rPr>
          <w:rFonts w:ascii="Calibri" w:eastAsia="Calibri" w:hAnsi="Calibri" w:cs="Calibri"/>
          <w:vertAlign w:val="superscript"/>
        </w:rPr>
        <w:footnoteReference w:id="48"/>
      </w:r>
      <w:r>
        <w:rPr>
          <w:rFonts w:ascii="Calibri" w:eastAsia="Calibri" w:hAnsi="Calibri" w:cs="Calibri"/>
        </w:rPr>
        <w:t xml:space="preserve"> Canadian whistleblower legislation formally </w:t>
      </w:r>
      <w:proofErr w:type="spellStart"/>
      <w:r>
        <w:rPr>
          <w:rFonts w:ascii="Calibri" w:eastAsia="Calibri" w:hAnsi="Calibri" w:cs="Calibri"/>
        </w:rPr>
        <w:t>recognises</w:t>
      </w:r>
      <w:proofErr w:type="spellEnd"/>
      <w:r>
        <w:rPr>
          <w:rFonts w:ascii="Calibri" w:eastAsia="Calibri" w:hAnsi="Calibri" w:cs="Calibri"/>
        </w:rPr>
        <w:t xml:space="preserve"> confidentiality but provides ineffective protection in practice. While confidential disclosures are protected under </w:t>
      </w:r>
      <w:r>
        <w:rPr>
          <w:rFonts w:ascii="Calibri" w:eastAsia="Calibri" w:hAnsi="Calibri" w:cs="Calibri"/>
          <w:b/>
          <w:bCs/>
        </w:rPr>
        <w:t>s. 11</w:t>
      </w:r>
      <w:r>
        <w:rPr>
          <w:rFonts w:ascii="Calibri" w:eastAsia="Calibri" w:hAnsi="Calibri" w:cs="Calibri"/>
        </w:rPr>
        <w:t xml:space="preserve"> and</w:t>
      </w:r>
      <w:r>
        <w:rPr>
          <w:rFonts w:ascii="Calibri" w:eastAsia="Calibri" w:hAnsi="Calibri" w:cs="Calibri"/>
          <w:b/>
          <w:bCs/>
        </w:rPr>
        <w:t xml:space="preserve"> s. 12</w:t>
      </w:r>
      <w:r>
        <w:rPr>
          <w:rFonts w:ascii="Calibri" w:eastAsia="Calibri" w:hAnsi="Calibri" w:cs="Calibri"/>
        </w:rPr>
        <w:t xml:space="preserve"> of the </w:t>
      </w:r>
      <w:r>
        <w:rPr>
          <w:rFonts w:ascii="Calibri" w:eastAsia="Calibri" w:hAnsi="Calibri" w:cs="Calibri"/>
          <w:b/>
          <w:bCs/>
          <w:i/>
          <w:iCs/>
        </w:rPr>
        <w:t>PSDPA</w:t>
      </w:r>
      <w:r>
        <w:rPr>
          <w:rFonts w:ascii="Calibri" w:eastAsia="Calibri" w:hAnsi="Calibri" w:cs="Calibri"/>
        </w:rPr>
        <w:t>, the Act does not protect the disclosure of “identifying information” that would allow a source to be identified in practice</w:t>
      </w:r>
      <w:r>
        <w:rPr>
          <w:rFonts w:ascii="Calibri" w:eastAsia="Calibri" w:hAnsi="Calibri" w:cs="Calibri"/>
          <w:sz w:val="20"/>
          <w:szCs w:val="20"/>
        </w:rPr>
        <w:t>.</w:t>
      </w:r>
      <w:r>
        <w:rPr>
          <w:rFonts w:ascii="Calibri" w:eastAsia="Calibri" w:hAnsi="Calibri" w:cs="Calibri"/>
          <w:vertAlign w:val="superscript"/>
        </w:rPr>
        <w:footnoteReference w:id="49"/>
      </w:r>
      <w:r>
        <w:rPr>
          <w:rFonts w:ascii="Calibri" w:eastAsia="Calibri" w:hAnsi="Calibri" w:cs="Calibri"/>
        </w:rPr>
        <w:t xml:space="preserve"> Moreover, anonymous disclosures are not considered protected disclosures under the Act. Essentially, a whistleblower must risk </w:t>
      </w:r>
      <w:r>
        <w:rPr>
          <w:rFonts w:ascii="Calibri" w:eastAsia="Calibri" w:hAnsi="Calibri" w:cs="Calibri"/>
        </w:rPr>
        <w:lastRenderedPageBreak/>
        <w:t>exposing their identity and facing reprisals to make a disclosure. Similar deficiencies appear across provincial statutes, where confidentiality is subject to wide discretion.</w:t>
      </w:r>
      <w:r>
        <w:rPr>
          <w:rFonts w:ascii="Calibri" w:eastAsia="Calibri" w:hAnsi="Calibri" w:cs="Calibri"/>
          <w:vertAlign w:val="superscript"/>
        </w:rPr>
        <w:footnoteReference w:id="50"/>
      </w:r>
    </w:p>
    <w:p w14:paraId="3E944742" w14:textId="77777777" w:rsidR="00822F51" w:rsidRDefault="00822F51">
      <w:pPr>
        <w:jc w:val="both"/>
        <w:rPr>
          <w:rFonts w:ascii="Calibri" w:eastAsia="Calibri" w:hAnsi="Calibri" w:cs="Calibri"/>
        </w:rPr>
      </w:pPr>
    </w:p>
    <w:p w14:paraId="63EC6746" w14:textId="61A67258" w:rsidR="00822F51" w:rsidRPr="006C032A" w:rsidRDefault="001A22F2" w:rsidP="006C032A">
      <w:pPr>
        <w:ind w:firstLine="720"/>
        <w:jc w:val="both"/>
        <w:rPr>
          <w:rFonts w:ascii="Calibri" w:eastAsia="Calibri" w:hAnsi="Calibri" w:cs="Calibri"/>
        </w:rPr>
      </w:pPr>
      <w:r>
        <w:rPr>
          <w:rFonts w:ascii="Calibri" w:eastAsia="Calibri" w:hAnsi="Calibri" w:cs="Calibri"/>
        </w:rPr>
        <w:t xml:space="preserve">A further confidentiality limitation concerns contractual non-disclosure provisions, or “gag orders”. With the exception of </w:t>
      </w:r>
      <w:r>
        <w:rPr>
          <w:rFonts w:ascii="Calibri" w:eastAsia="Calibri" w:hAnsi="Calibri" w:cs="Calibri"/>
          <w:b/>
          <w:bCs/>
        </w:rPr>
        <w:t>British Columbia</w:t>
      </w:r>
      <w:r>
        <w:rPr>
          <w:rFonts w:ascii="Calibri" w:eastAsia="Calibri" w:hAnsi="Calibri" w:cs="Calibri"/>
        </w:rPr>
        <w:t xml:space="preserve">, Canadian whistleblower statutes cannot invalidate confidentiality clauses, non-disclosure agreements, and other contractual restrictions that deter disclosure. The absence of protection leaves the whistleblower potentially vulnerable to legal and professional consequences for speaking out. By contrast, </w:t>
      </w:r>
      <w:r>
        <w:rPr>
          <w:rFonts w:ascii="Calibri" w:eastAsia="Calibri" w:hAnsi="Calibri" w:cs="Calibri"/>
          <w:b/>
          <w:bCs/>
        </w:rPr>
        <w:t>s. 45</w:t>
      </w:r>
      <w:r>
        <w:rPr>
          <w:rFonts w:ascii="Calibri" w:eastAsia="Calibri" w:hAnsi="Calibri" w:cs="Calibri"/>
        </w:rPr>
        <w:t xml:space="preserve"> of </w:t>
      </w:r>
      <w:r>
        <w:rPr>
          <w:rFonts w:ascii="Calibri" w:eastAsia="Calibri" w:hAnsi="Calibri" w:cs="Calibri"/>
          <w:b/>
          <w:bCs/>
        </w:rPr>
        <w:t xml:space="preserve">British Columbia's </w:t>
      </w:r>
      <w:r>
        <w:rPr>
          <w:rFonts w:ascii="Calibri" w:eastAsia="Calibri" w:hAnsi="Calibri" w:cs="Calibri"/>
          <w:b/>
          <w:bCs/>
          <w:i/>
          <w:iCs/>
        </w:rPr>
        <w:t>Public Interest Disclosure Act</w:t>
      </w:r>
      <w:r>
        <w:rPr>
          <w:rFonts w:ascii="Calibri" w:eastAsia="Calibri" w:hAnsi="Calibri" w:cs="Calibri"/>
        </w:rPr>
        <w:t xml:space="preserve"> expressly renders contractual provisions unenforceable to the extent that they prevent a disclosure or reprisal complaint under the</w:t>
      </w:r>
      <w:r>
        <w:rPr>
          <w:rFonts w:ascii="Calibri" w:eastAsia="Calibri" w:hAnsi="Calibri" w:cs="Calibri"/>
        </w:rPr>
        <w:t xml:space="preserve"> Act.</w:t>
      </w:r>
      <w:r>
        <w:rPr>
          <w:rFonts w:ascii="Calibri" w:eastAsia="Calibri" w:hAnsi="Calibri" w:cs="Calibri"/>
          <w:vertAlign w:val="superscript"/>
        </w:rPr>
        <w:footnoteReference w:id="51"/>
      </w:r>
      <w:r>
        <w:rPr>
          <w:rFonts w:ascii="Calibri" w:eastAsia="Calibri" w:hAnsi="Calibri" w:cs="Calibri"/>
        </w:rPr>
        <w:t xml:space="preserve"> In the absence of similar protections elsewhere in Canada, whistleblowers face heightened legal and professional risk, which reduces the likelihood that information relevant to protecting the public interest will be shared.</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822F51" w14:paraId="01BCE48F" w14:textId="77777777">
        <w:tc>
          <w:tcPr>
            <w:tcW w:w="9360" w:type="dxa"/>
            <w:tcMar>
              <w:top w:w="100" w:type="dxa"/>
              <w:left w:w="100" w:type="dxa"/>
              <w:bottom w:w="100" w:type="dxa"/>
              <w:right w:w="100" w:type="dxa"/>
            </w:tcMar>
          </w:tcPr>
          <w:p w14:paraId="7F42C15E" w14:textId="77777777" w:rsidR="00822F51" w:rsidRDefault="001A22F2">
            <w:pPr>
              <w:pStyle w:val="Heading4"/>
              <w:jc w:val="both"/>
            </w:pPr>
            <w:bookmarkStart w:id="18" w:name="_9rnrrphb5hgi" w:colFirst="0" w:colLast="0"/>
            <w:bookmarkEnd w:id="18"/>
            <w:r>
              <w:t xml:space="preserve">Recommended Questions </w:t>
            </w:r>
            <w:r>
              <w:rPr>
                <w:color w:val="FFFFFF"/>
              </w:rPr>
              <w:t xml:space="preserve">and Recommendations </w:t>
            </w:r>
          </w:p>
          <w:p w14:paraId="3F01244A" w14:textId="77777777" w:rsidR="00822F51" w:rsidRDefault="001A22F2">
            <w:pPr>
              <w:numPr>
                <w:ilvl w:val="0"/>
                <w:numId w:val="16"/>
              </w:numPr>
              <w:jc w:val="both"/>
              <w:rPr>
                <w:rFonts w:ascii="Calibri" w:eastAsia="Calibri" w:hAnsi="Calibri" w:cs="Calibri"/>
              </w:rPr>
            </w:pPr>
            <w:r>
              <w:rPr>
                <w:rFonts w:ascii="Calibri" w:eastAsia="Calibri" w:hAnsi="Calibri" w:cs="Calibri"/>
              </w:rPr>
              <w:t>What steps will Canada take to repeal the “good-faith” requirement, ensuring that whistleblower protections are based on a reasonable belief in the disclosure, while also strengthening safeguards for whistleblowers’ identities and preventing contractual non-disclosure clauses from blocking protected disclosures or reprisal complaints?</w:t>
            </w:r>
          </w:p>
          <w:p w14:paraId="29DA0F83" w14:textId="77777777" w:rsidR="00822F51" w:rsidRDefault="001A22F2">
            <w:pPr>
              <w:numPr>
                <w:ilvl w:val="0"/>
                <w:numId w:val="16"/>
              </w:numPr>
              <w:jc w:val="both"/>
              <w:rPr>
                <w:rFonts w:ascii="Calibri" w:eastAsia="Calibri" w:hAnsi="Calibri" w:cs="Calibri"/>
              </w:rPr>
            </w:pPr>
            <w:r>
              <w:rPr>
                <w:rFonts w:ascii="Calibri" w:eastAsia="Calibri" w:hAnsi="Calibri" w:cs="Calibri"/>
              </w:rPr>
              <w:t>What steps will Canada take to ensure that workplaces, both public and private, foster an environment in which whistleblowers can come forward without fear of retaliation, including through training, oversight, and enforcement mechanisms that reinforce legal protections?</w:t>
            </w:r>
            <w:r>
              <w:rPr>
                <w:rFonts w:ascii="Calibri" w:eastAsia="Calibri" w:hAnsi="Calibri" w:cs="Calibri"/>
                <w:vertAlign w:val="superscript"/>
              </w:rPr>
              <w:footnoteReference w:id="52"/>
            </w:r>
          </w:p>
          <w:p w14:paraId="2D91EC42" w14:textId="77777777" w:rsidR="00822F51" w:rsidRDefault="001A22F2">
            <w:pPr>
              <w:jc w:val="both"/>
              <w:rPr>
                <w:rFonts w:ascii="Calibri" w:eastAsia="Calibri" w:hAnsi="Calibri" w:cs="Calibri"/>
                <w:b/>
                <w:bCs/>
              </w:rPr>
            </w:pPr>
            <w:r>
              <w:rPr>
                <w:rFonts w:ascii="Calibri" w:eastAsia="Calibri" w:hAnsi="Calibri" w:cs="Calibri"/>
                <w:b/>
                <w:bCs/>
              </w:rPr>
              <w:t>Recommendation</w:t>
            </w:r>
          </w:p>
          <w:p w14:paraId="52216762" w14:textId="77777777" w:rsidR="00822F51" w:rsidRDefault="001A22F2">
            <w:pPr>
              <w:numPr>
                <w:ilvl w:val="0"/>
                <w:numId w:val="19"/>
              </w:numPr>
              <w:jc w:val="both"/>
              <w:rPr>
                <w:rFonts w:ascii="Calibri" w:eastAsia="Calibri" w:hAnsi="Calibri" w:cs="Calibri"/>
              </w:rPr>
            </w:pPr>
            <w:r>
              <w:rPr>
                <w:rFonts w:ascii="Calibri" w:eastAsia="Calibri" w:hAnsi="Calibri" w:cs="Calibri"/>
              </w:rPr>
              <w:t>Repeal the “good faith” requirement, and ensure that protection depends on whether the whistleblower had a reasonable belief the information disclosed was true.</w:t>
            </w:r>
          </w:p>
          <w:p w14:paraId="6687F869" w14:textId="77777777" w:rsidR="00822F51" w:rsidRDefault="001A22F2">
            <w:pPr>
              <w:numPr>
                <w:ilvl w:val="0"/>
                <w:numId w:val="19"/>
              </w:numPr>
              <w:jc w:val="both"/>
              <w:rPr>
                <w:rFonts w:ascii="Calibri" w:eastAsia="Calibri" w:hAnsi="Calibri" w:cs="Calibri"/>
              </w:rPr>
            </w:pPr>
            <w:r>
              <w:rPr>
                <w:rFonts w:ascii="Calibri" w:eastAsia="Calibri" w:hAnsi="Calibri" w:cs="Calibri"/>
              </w:rPr>
              <w:t>Amend the PSDPA to expressly prohibit any policies, forms or agreements that conflict with rights and remedies articulated in the Act.</w:t>
            </w:r>
          </w:p>
          <w:p w14:paraId="0951BDDF" w14:textId="77777777" w:rsidR="00822F51" w:rsidRDefault="001A22F2">
            <w:pPr>
              <w:numPr>
                <w:ilvl w:val="0"/>
                <w:numId w:val="19"/>
              </w:numPr>
              <w:jc w:val="both"/>
              <w:rPr>
                <w:rFonts w:ascii="Calibri" w:eastAsia="Calibri" w:hAnsi="Calibri" w:cs="Calibri"/>
              </w:rPr>
            </w:pPr>
            <w:r>
              <w:rPr>
                <w:rFonts w:ascii="Calibri" w:eastAsia="Calibri" w:hAnsi="Calibri" w:cs="Calibri"/>
              </w:rPr>
              <w:t>Canada should strengthen confidentiality safeguards, narrow information permitting disclosure of a whistleblower's identity, and extend protections to anonymous disclosures.</w:t>
            </w:r>
          </w:p>
          <w:p w14:paraId="1FEDD2CE" w14:textId="5C7448C6" w:rsidR="006C032A" w:rsidRPr="006C032A" w:rsidRDefault="001A22F2" w:rsidP="006C032A">
            <w:pPr>
              <w:numPr>
                <w:ilvl w:val="0"/>
                <w:numId w:val="19"/>
              </w:numPr>
              <w:jc w:val="both"/>
              <w:rPr>
                <w:rFonts w:ascii="Calibri" w:eastAsia="Calibri" w:hAnsi="Calibri" w:cs="Calibri"/>
              </w:rPr>
            </w:pPr>
            <w:r>
              <w:rPr>
                <w:rFonts w:ascii="Calibri" w:eastAsia="Calibri" w:hAnsi="Calibri" w:cs="Calibri"/>
              </w:rPr>
              <w:t>Impose a clear statutory duty on managers and supervisors to protect and support whistleblowers, witnesses, and related persons throughout and following disclosure processes.</w:t>
            </w:r>
          </w:p>
        </w:tc>
      </w:tr>
    </w:tbl>
    <w:p w14:paraId="19A3E605" w14:textId="77777777" w:rsidR="006C032A" w:rsidRDefault="006C032A" w:rsidP="006C032A">
      <w:pPr>
        <w:pStyle w:val="Heading1"/>
        <w:ind w:left="0" w:firstLine="0"/>
      </w:pPr>
    </w:p>
    <w:p w14:paraId="3B287535" w14:textId="77777777" w:rsidR="006C032A" w:rsidRPr="006C032A" w:rsidRDefault="006C032A" w:rsidP="006C032A"/>
    <w:p w14:paraId="4698EC82" w14:textId="1CAC50C9" w:rsidR="00822F51" w:rsidRDefault="001A22F2">
      <w:pPr>
        <w:pStyle w:val="Heading1"/>
        <w:numPr>
          <w:ilvl w:val="0"/>
          <w:numId w:val="17"/>
        </w:numPr>
        <w:ind w:left="540" w:hanging="270"/>
      </w:pPr>
      <w:r>
        <w:lastRenderedPageBreak/>
        <w:t>Reprisals and Burden of Proof</w:t>
      </w:r>
    </w:p>
    <w:p w14:paraId="73B617A9" w14:textId="77777777" w:rsidR="00822F51" w:rsidRDefault="00822F51">
      <w:pPr>
        <w:ind w:left="720"/>
      </w:pPr>
    </w:p>
    <w:p w14:paraId="2BB69679" w14:textId="77777777" w:rsidR="00822F51" w:rsidRDefault="001A22F2">
      <w:pPr>
        <w:pStyle w:val="Heading2"/>
        <w:numPr>
          <w:ilvl w:val="0"/>
          <w:numId w:val="7"/>
        </w:numPr>
        <w:ind w:left="360"/>
        <w:jc w:val="both"/>
        <w:rPr>
          <w:i w:val="0"/>
          <w:iCs w:val="0"/>
        </w:rPr>
      </w:pPr>
      <w:bookmarkStart w:id="19" w:name="_cqjqabd3vyyi" w:colFirst="0" w:colLast="0"/>
      <w:bookmarkEnd w:id="19"/>
      <w:r>
        <w:rPr>
          <w:i w:val="0"/>
          <w:iCs w:val="0"/>
        </w:rPr>
        <w:t>Narrow Definition of Reprisals</w:t>
      </w:r>
    </w:p>
    <w:p w14:paraId="16B75EF9" w14:textId="77777777" w:rsidR="00822F51" w:rsidRDefault="001A22F2">
      <w:pPr>
        <w:pStyle w:val="Heading3"/>
        <w:jc w:val="both"/>
      </w:pPr>
      <w:bookmarkStart w:id="20" w:name="_uhf2p2nybnzf" w:colFirst="0" w:colLast="0"/>
      <w:bookmarkEnd w:id="20"/>
      <w:r>
        <w:t>Federal Legislation</w:t>
      </w:r>
    </w:p>
    <w:p w14:paraId="13C34715" w14:textId="77777777" w:rsidR="00822F51" w:rsidRDefault="001A22F2">
      <w:pPr>
        <w:ind w:firstLine="720"/>
        <w:jc w:val="both"/>
        <w:rPr>
          <w:rFonts w:ascii="Calibri" w:eastAsia="Calibri" w:hAnsi="Calibri" w:cs="Calibri"/>
        </w:rPr>
      </w:pPr>
      <w:r>
        <w:rPr>
          <w:rFonts w:ascii="Calibri" w:eastAsia="Calibri" w:hAnsi="Calibri" w:cs="Calibri"/>
        </w:rPr>
        <w:t>Reprisals against whistleblowers often take informal and indirect forms, including ostracism, blacklisting, bullying, reputational harm, and/or the strategic use of civil processes.</w:t>
      </w:r>
      <w:r>
        <w:rPr>
          <w:rFonts w:ascii="Calibri" w:eastAsia="Calibri" w:hAnsi="Calibri" w:cs="Calibri"/>
          <w:vertAlign w:val="superscript"/>
        </w:rPr>
        <w:footnoteReference w:id="53"/>
      </w:r>
      <w:r>
        <w:rPr>
          <w:rFonts w:ascii="Calibri" w:eastAsia="Calibri" w:hAnsi="Calibri" w:cs="Calibri"/>
        </w:rPr>
        <w:t xml:space="preserve"> Canadian whistleblower laws narrowly define reprisal and leave common forms of harassment outside of statutory protection. A reprisal under the </w:t>
      </w:r>
      <w:r>
        <w:rPr>
          <w:rFonts w:ascii="Calibri" w:eastAsia="Calibri" w:hAnsi="Calibri" w:cs="Calibri"/>
          <w:b/>
          <w:bCs/>
          <w:i/>
          <w:iCs/>
        </w:rPr>
        <w:t>PSDPA</w:t>
      </w:r>
      <w:r>
        <w:rPr>
          <w:rFonts w:ascii="Calibri" w:eastAsia="Calibri" w:hAnsi="Calibri" w:cs="Calibri"/>
        </w:rPr>
        <w:t xml:space="preserve"> includes a disciplinary measure, demotion, termination of employment, any measure that adversely affects the whistleblower’s working conditions, or threatening any of the former measures.</w:t>
      </w:r>
      <w:r>
        <w:rPr>
          <w:rFonts w:ascii="Calibri" w:eastAsia="Calibri" w:hAnsi="Calibri" w:cs="Calibri"/>
          <w:vertAlign w:val="superscript"/>
        </w:rPr>
        <w:footnoteReference w:id="54"/>
      </w:r>
      <w:r>
        <w:rPr>
          <w:rFonts w:ascii="Calibri" w:eastAsia="Calibri" w:hAnsi="Calibri" w:cs="Calibri"/>
        </w:rPr>
        <w:t xml:space="preserve"> Any reported retaliation outside of these enumerated categories will not be investigated by the Public Sector Integrity Commissioner’s (“Integrity Commissioner”) office, the relevant investigative body for the </w:t>
      </w:r>
      <w:r>
        <w:rPr>
          <w:rFonts w:ascii="Calibri" w:eastAsia="Calibri" w:hAnsi="Calibri" w:cs="Calibri"/>
          <w:b/>
          <w:bCs/>
          <w:i/>
          <w:iCs/>
        </w:rPr>
        <w:t>PSDPA</w:t>
      </w:r>
      <w:r>
        <w:rPr>
          <w:rFonts w:ascii="Calibri" w:eastAsia="Calibri" w:hAnsi="Calibri" w:cs="Calibri"/>
        </w:rPr>
        <w:t xml:space="preserve">. </w:t>
      </w:r>
    </w:p>
    <w:p w14:paraId="458AB530" w14:textId="77777777" w:rsidR="00822F51" w:rsidRDefault="00822F51">
      <w:pPr>
        <w:ind w:firstLine="720"/>
        <w:jc w:val="both"/>
        <w:rPr>
          <w:rFonts w:ascii="Calibri" w:eastAsia="Calibri" w:hAnsi="Calibri" w:cs="Calibri"/>
        </w:rPr>
      </w:pPr>
    </w:p>
    <w:p w14:paraId="7555D3FE" w14:textId="77777777" w:rsidR="00822F51" w:rsidRDefault="001A22F2">
      <w:pPr>
        <w:ind w:firstLine="720"/>
        <w:jc w:val="both"/>
        <w:rPr>
          <w:rFonts w:ascii="Calibri" w:eastAsia="Calibri" w:hAnsi="Calibri" w:cs="Calibri"/>
        </w:rPr>
      </w:pPr>
      <w:r>
        <w:rPr>
          <w:rFonts w:ascii="Calibri" w:eastAsia="Calibri" w:hAnsi="Calibri" w:cs="Calibri"/>
        </w:rPr>
        <w:t xml:space="preserve">In addition, under the </w:t>
      </w:r>
      <w:r>
        <w:rPr>
          <w:rFonts w:ascii="Calibri" w:eastAsia="Calibri" w:hAnsi="Calibri" w:cs="Calibri"/>
          <w:b/>
          <w:bCs/>
          <w:i/>
          <w:iCs/>
        </w:rPr>
        <w:t>PSDPA</w:t>
      </w:r>
      <w:r>
        <w:rPr>
          <w:rFonts w:ascii="Calibri" w:eastAsia="Calibri" w:hAnsi="Calibri" w:cs="Calibri"/>
        </w:rPr>
        <w:t xml:space="preserve">, only reprisals connected to </w:t>
      </w:r>
      <w:r>
        <w:rPr>
          <w:rFonts w:ascii="Calibri" w:eastAsia="Calibri" w:hAnsi="Calibri" w:cs="Calibri"/>
          <w:i/>
          <w:iCs/>
        </w:rPr>
        <w:t>protected disclosures</w:t>
      </w:r>
      <w:r>
        <w:rPr>
          <w:rFonts w:ascii="Calibri" w:eastAsia="Calibri" w:hAnsi="Calibri" w:cs="Calibri"/>
        </w:rPr>
        <w:t xml:space="preserve"> are subject to investigation; those who assist whistleblowers, are mistakenly believed to be whistleblowers, or are targeted preemptively before a disclosure is made (“spillover reprisals”), are left unprotected.</w:t>
      </w:r>
      <w:r>
        <w:rPr>
          <w:rFonts w:ascii="Calibri" w:eastAsia="Calibri" w:hAnsi="Calibri" w:cs="Calibri"/>
          <w:vertAlign w:val="superscript"/>
        </w:rPr>
        <w:footnoteReference w:id="55"/>
      </w:r>
      <w:r>
        <w:rPr>
          <w:rFonts w:ascii="Calibri" w:eastAsia="Calibri" w:hAnsi="Calibri" w:cs="Calibri"/>
        </w:rPr>
        <w:t xml:space="preserve"> As a result, employers may act on suspicion alone and </w:t>
      </w:r>
      <w:proofErr w:type="spellStart"/>
      <w:r>
        <w:rPr>
          <w:rFonts w:ascii="Calibri" w:eastAsia="Calibri" w:hAnsi="Calibri" w:cs="Calibri"/>
        </w:rPr>
        <w:t>neutralise</w:t>
      </w:r>
      <w:proofErr w:type="spellEnd"/>
      <w:r>
        <w:rPr>
          <w:rFonts w:ascii="Calibri" w:eastAsia="Calibri" w:hAnsi="Calibri" w:cs="Calibri"/>
        </w:rPr>
        <w:t xml:space="preserve"> potential disclosures before the statutory regime is engaged. </w:t>
      </w:r>
    </w:p>
    <w:p w14:paraId="78B2A424" w14:textId="77777777" w:rsidR="00822F51" w:rsidRDefault="00822F51">
      <w:pPr>
        <w:ind w:firstLine="720"/>
        <w:jc w:val="both"/>
        <w:rPr>
          <w:rFonts w:ascii="Calibri" w:eastAsia="Calibri" w:hAnsi="Calibri" w:cs="Calibri"/>
        </w:rPr>
      </w:pPr>
    </w:p>
    <w:p w14:paraId="784FF66E" w14:textId="77777777" w:rsidR="00822F51" w:rsidRDefault="001A22F2">
      <w:pPr>
        <w:ind w:firstLine="720"/>
        <w:jc w:val="both"/>
        <w:rPr>
          <w:rFonts w:ascii="Calibri" w:eastAsia="Calibri" w:hAnsi="Calibri" w:cs="Calibri"/>
        </w:rPr>
      </w:pPr>
      <w:r>
        <w:rPr>
          <w:rFonts w:ascii="Calibri" w:eastAsia="Calibri" w:hAnsi="Calibri" w:cs="Calibri"/>
        </w:rPr>
        <w:t>According to a 2017 Parliamentary committee review, 55% of reprisal complaints were not investigated by the Integrity Commissioner, either because the allegations did not meet the statutory definition of reprisals, the complainant was not deemed to have made a protected disclosure under the Act, or the complaint was inadmissible because it did not pertain to the public sector as defined in the Act.</w:t>
      </w:r>
      <w:r>
        <w:rPr>
          <w:rFonts w:ascii="Calibri" w:eastAsia="Calibri" w:hAnsi="Calibri" w:cs="Calibri"/>
          <w:vertAlign w:val="superscript"/>
        </w:rPr>
        <w:footnoteReference w:id="56"/>
      </w:r>
    </w:p>
    <w:p w14:paraId="2EADD5D2" w14:textId="77777777" w:rsidR="00822F51" w:rsidRDefault="00822F51">
      <w:pPr>
        <w:ind w:firstLine="720"/>
        <w:jc w:val="both"/>
        <w:rPr>
          <w:rFonts w:ascii="Calibri" w:eastAsia="Calibri" w:hAnsi="Calibri" w:cs="Calibri"/>
        </w:rPr>
      </w:pPr>
    </w:p>
    <w:p w14:paraId="5DF09681" w14:textId="77777777" w:rsidR="00822F51" w:rsidRDefault="001A22F2">
      <w:pPr>
        <w:ind w:firstLine="720"/>
        <w:jc w:val="both"/>
        <w:rPr>
          <w:rFonts w:ascii="Calibri" w:eastAsia="Calibri" w:hAnsi="Calibri" w:cs="Calibri"/>
        </w:rPr>
      </w:pPr>
      <w:r>
        <w:rPr>
          <w:rFonts w:ascii="Calibri" w:eastAsia="Calibri" w:hAnsi="Calibri" w:cs="Calibri"/>
        </w:rPr>
        <w:t xml:space="preserve">The investigation process under the </w:t>
      </w:r>
      <w:r>
        <w:rPr>
          <w:rFonts w:ascii="Calibri" w:eastAsia="Calibri" w:hAnsi="Calibri" w:cs="Calibri"/>
          <w:b/>
          <w:bCs/>
          <w:i/>
          <w:iCs/>
        </w:rPr>
        <w:t>PSDPA</w:t>
      </w:r>
      <w:r>
        <w:rPr>
          <w:rFonts w:ascii="Calibri" w:eastAsia="Calibri" w:hAnsi="Calibri" w:cs="Calibri"/>
        </w:rPr>
        <w:t xml:space="preserve"> also lacks transparency as the process and criteria for linking a reprisal complaint to a protected disclosure are unknown.</w:t>
      </w:r>
      <w:r>
        <w:rPr>
          <w:rFonts w:ascii="Calibri" w:eastAsia="Calibri" w:hAnsi="Calibri" w:cs="Calibri"/>
          <w:vertAlign w:val="superscript"/>
        </w:rPr>
        <w:footnoteReference w:id="57"/>
      </w:r>
      <w:r>
        <w:rPr>
          <w:rFonts w:ascii="Calibri" w:eastAsia="Calibri" w:hAnsi="Calibri" w:cs="Calibri"/>
        </w:rPr>
        <w:t xml:space="preserve"> The Integrity Commissioner may reject an reprisal investigation on technicalities, or on a procedural ground for failing to report within the limited 60-day reporting period.</w:t>
      </w:r>
      <w:r>
        <w:rPr>
          <w:rFonts w:ascii="Calibri" w:eastAsia="Calibri" w:hAnsi="Calibri" w:cs="Calibri"/>
          <w:vertAlign w:val="superscript"/>
        </w:rPr>
        <w:footnoteReference w:id="58"/>
      </w:r>
      <w:r>
        <w:rPr>
          <w:rFonts w:ascii="Calibri" w:eastAsia="Calibri" w:hAnsi="Calibri" w:cs="Calibri"/>
        </w:rPr>
        <w:t xml:space="preserve"> In conjunction with uncertainty surrounding the “good faith” requirement and the scope of reported conduct under </w:t>
      </w:r>
      <w:r>
        <w:rPr>
          <w:rFonts w:ascii="Calibri" w:eastAsia="Calibri" w:hAnsi="Calibri" w:cs="Calibri"/>
          <w:b/>
          <w:bCs/>
          <w:i/>
          <w:iCs/>
        </w:rPr>
        <w:t>PSDPA</w:t>
      </w:r>
      <w:r>
        <w:rPr>
          <w:rFonts w:ascii="Calibri" w:eastAsia="Calibri" w:hAnsi="Calibri" w:cs="Calibri"/>
          <w:b/>
          <w:bCs/>
        </w:rPr>
        <w:t xml:space="preserve"> S.8</w:t>
      </w:r>
      <w:r>
        <w:rPr>
          <w:rFonts w:ascii="Calibri" w:eastAsia="Calibri" w:hAnsi="Calibri" w:cs="Calibri"/>
        </w:rPr>
        <w:t xml:space="preserve">, this fragmented statutory scheme fosters fear of retaliation and ultimately disincentivizes whistleblowing, violating </w:t>
      </w:r>
      <w:r>
        <w:rPr>
          <w:rFonts w:ascii="Calibri" w:eastAsia="Calibri" w:hAnsi="Calibri" w:cs="Calibri"/>
          <w:b/>
          <w:bCs/>
        </w:rPr>
        <w:t xml:space="preserve">Article 19 </w:t>
      </w:r>
      <w:r>
        <w:rPr>
          <w:rFonts w:ascii="Calibri" w:eastAsia="Calibri" w:hAnsi="Calibri" w:cs="Calibri"/>
        </w:rPr>
        <w:t xml:space="preserve">of the </w:t>
      </w:r>
      <w:r>
        <w:rPr>
          <w:rFonts w:ascii="Calibri" w:eastAsia="Calibri" w:hAnsi="Calibri" w:cs="Calibri"/>
          <w:b/>
          <w:bCs/>
        </w:rPr>
        <w:t>ICCPR</w:t>
      </w:r>
      <w:r>
        <w:rPr>
          <w:rFonts w:ascii="Calibri" w:eastAsia="Calibri" w:hAnsi="Calibri" w:cs="Calibri"/>
        </w:rPr>
        <w:t>.</w:t>
      </w:r>
    </w:p>
    <w:p w14:paraId="71CABC0F" w14:textId="77777777" w:rsidR="00822F51" w:rsidRDefault="00822F51">
      <w:pPr>
        <w:jc w:val="both"/>
        <w:rPr>
          <w:rFonts w:ascii="Calibri" w:eastAsia="Calibri" w:hAnsi="Calibri" w:cs="Calibri"/>
        </w:rPr>
      </w:pPr>
    </w:p>
    <w:p w14:paraId="099D8C8E" w14:textId="77777777" w:rsidR="00822F51" w:rsidRDefault="001A22F2">
      <w:pPr>
        <w:pStyle w:val="Heading3"/>
        <w:jc w:val="both"/>
      </w:pPr>
      <w:bookmarkStart w:id="21" w:name="_w630f9er51" w:colFirst="0" w:colLast="0"/>
      <w:bookmarkEnd w:id="21"/>
      <w:r>
        <w:lastRenderedPageBreak/>
        <w:t>Provincial Legislation</w:t>
      </w:r>
    </w:p>
    <w:p w14:paraId="7C25D5DC" w14:textId="406C989B" w:rsidR="00822F51" w:rsidRDefault="001A22F2">
      <w:pPr>
        <w:ind w:firstLine="720"/>
        <w:jc w:val="both"/>
        <w:rPr>
          <w:rFonts w:ascii="Calibri" w:eastAsia="Calibri" w:hAnsi="Calibri" w:cs="Calibri"/>
        </w:rPr>
      </w:pPr>
      <w:r>
        <w:rPr>
          <w:rFonts w:ascii="Calibri" w:eastAsia="Calibri" w:hAnsi="Calibri" w:cs="Calibri"/>
          <w:b/>
          <w:bCs/>
        </w:rPr>
        <w:t>Most provincial regimes</w:t>
      </w:r>
      <w:r>
        <w:rPr>
          <w:rFonts w:ascii="Calibri" w:eastAsia="Calibri" w:hAnsi="Calibri" w:cs="Calibri"/>
        </w:rPr>
        <w:t xml:space="preserve"> in Canada replicate the narrow definitions of “reprisals” and limited protection found under the federal </w:t>
      </w:r>
      <w:r>
        <w:rPr>
          <w:rFonts w:ascii="Calibri" w:eastAsia="Calibri" w:hAnsi="Calibri" w:cs="Calibri"/>
          <w:b/>
          <w:bCs/>
          <w:i/>
          <w:iCs/>
        </w:rPr>
        <w:t>PSPDA</w:t>
      </w:r>
      <w:r w:rsidR="00310030">
        <w:rPr>
          <w:rFonts w:ascii="Calibri" w:eastAsia="Calibri" w:hAnsi="Calibri" w:cs="Calibri"/>
        </w:rPr>
        <w:t>.</w:t>
      </w:r>
      <w:r w:rsidR="00310030">
        <w:rPr>
          <w:rStyle w:val="FootnoteReference"/>
          <w:rFonts w:ascii="Calibri" w:eastAsia="Calibri" w:hAnsi="Calibri" w:cs="Calibri"/>
        </w:rPr>
        <w:footnoteReference w:id="59"/>
      </w:r>
      <w:r w:rsidR="00310030">
        <w:rPr>
          <w:rFonts w:ascii="Calibri" w:eastAsia="Calibri" w:hAnsi="Calibri" w:cs="Calibri"/>
          <w:b/>
          <w:bCs/>
        </w:rPr>
        <w:t xml:space="preserve"> </w:t>
      </w:r>
      <w:r>
        <w:rPr>
          <w:rFonts w:ascii="Calibri" w:eastAsia="Calibri" w:hAnsi="Calibri" w:cs="Calibri"/>
          <w:b/>
          <w:bCs/>
        </w:rPr>
        <w:t>Quebec</w:t>
      </w:r>
      <w:r>
        <w:rPr>
          <w:rFonts w:ascii="Calibri" w:eastAsia="Calibri" w:hAnsi="Calibri" w:cs="Calibri"/>
        </w:rPr>
        <w:t xml:space="preserve">’s statute further restricts reprisals to formal disciplinary action within the </w:t>
      </w:r>
      <w:r w:rsidR="006C032A">
        <w:rPr>
          <w:rFonts w:ascii="Calibri" w:eastAsia="Calibri" w:hAnsi="Calibri" w:cs="Calibri"/>
        </w:rPr>
        <w:t>workplace</w:t>
      </w:r>
      <w:r>
        <w:rPr>
          <w:rFonts w:ascii="Calibri" w:eastAsia="Calibri" w:hAnsi="Calibri" w:cs="Calibri"/>
        </w:rPr>
        <w:t>, excluding informal forms of retaliation entirely.</w:t>
      </w:r>
      <w:r>
        <w:rPr>
          <w:rFonts w:ascii="Calibri" w:eastAsia="Calibri" w:hAnsi="Calibri" w:cs="Calibri"/>
          <w:vertAlign w:val="superscript"/>
        </w:rPr>
        <w:footnoteReference w:id="60"/>
      </w:r>
    </w:p>
    <w:p w14:paraId="528A548E" w14:textId="77777777" w:rsidR="00822F51" w:rsidRDefault="00822F51">
      <w:pPr>
        <w:jc w:val="both"/>
        <w:rPr>
          <w:rFonts w:ascii="Calibri" w:eastAsia="Calibri" w:hAnsi="Calibri" w:cs="Calibri"/>
        </w:rPr>
      </w:pPr>
    </w:p>
    <w:p w14:paraId="1FDA9A56" w14:textId="77777777" w:rsidR="00822F51" w:rsidRDefault="001A22F2">
      <w:pPr>
        <w:pStyle w:val="Heading2"/>
        <w:numPr>
          <w:ilvl w:val="0"/>
          <w:numId w:val="7"/>
        </w:numPr>
        <w:rPr>
          <w:i w:val="0"/>
          <w:iCs w:val="0"/>
        </w:rPr>
      </w:pPr>
      <w:bookmarkStart w:id="22" w:name="_173hg748lx4" w:colFirst="0" w:colLast="0"/>
      <w:bookmarkEnd w:id="22"/>
      <w:r>
        <w:rPr>
          <w:i w:val="0"/>
          <w:iCs w:val="0"/>
        </w:rPr>
        <w:t>Reprisal Complaints: Burden of Proof</w:t>
      </w:r>
    </w:p>
    <w:p w14:paraId="205FAB69" w14:textId="77777777" w:rsidR="00822F51" w:rsidRDefault="00822F51">
      <w:pPr>
        <w:pStyle w:val="Heading3"/>
        <w:jc w:val="both"/>
      </w:pPr>
      <w:bookmarkStart w:id="23" w:name="_i4sufihfgw80" w:colFirst="0" w:colLast="0"/>
      <w:bookmarkEnd w:id="23"/>
    </w:p>
    <w:p w14:paraId="113FB0A4" w14:textId="77777777" w:rsidR="00822F51" w:rsidRDefault="001A22F2">
      <w:pPr>
        <w:pStyle w:val="Heading3"/>
        <w:jc w:val="both"/>
      </w:pPr>
      <w:bookmarkStart w:id="24" w:name="_tow2f5nvztro" w:colFirst="0" w:colLast="0"/>
      <w:bookmarkEnd w:id="24"/>
      <w:r>
        <w:t>Federal Legislation</w:t>
      </w:r>
    </w:p>
    <w:p w14:paraId="536840B8" w14:textId="77777777" w:rsidR="00822F51" w:rsidRDefault="001A22F2">
      <w:pPr>
        <w:ind w:firstLine="720"/>
        <w:jc w:val="both"/>
        <w:rPr>
          <w:rFonts w:ascii="Calibri" w:eastAsia="Calibri" w:hAnsi="Calibri" w:cs="Calibri"/>
        </w:rPr>
      </w:pPr>
      <w:r>
        <w:rPr>
          <w:rFonts w:ascii="Calibri" w:eastAsia="Calibri" w:hAnsi="Calibri" w:cs="Calibri"/>
        </w:rPr>
        <w:t>Under the Canadian federal regimes, whistleblowers must establish, on a balance of probabilities, a causal link between their disclosure and subsequent reprisal.</w:t>
      </w:r>
      <w:r>
        <w:rPr>
          <w:rFonts w:ascii="Calibri" w:eastAsia="Calibri" w:hAnsi="Calibri" w:cs="Calibri"/>
          <w:vertAlign w:val="superscript"/>
        </w:rPr>
        <w:footnoteReference w:id="61"/>
      </w:r>
      <w:r>
        <w:rPr>
          <w:rFonts w:ascii="Calibri" w:eastAsia="Calibri" w:hAnsi="Calibri" w:cs="Calibri"/>
        </w:rPr>
        <w:t xml:space="preserve"> Parliament’s review of the </w:t>
      </w:r>
      <w:r>
        <w:rPr>
          <w:rFonts w:ascii="Calibri" w:eastAsia="Calibri" w:hAnsi="Calibri" w:cs="Calibri"/>
          <w:b/>
          <w:bCs/>
          <w:i/>
          <w:iCs/>
        </w:rPr>
        <w:t>PSPDA</w:t>
      </w:r>
      <w:r>
        <w:rPr>
          <w:rFonts w:ascii="Calibri" w:eastAsia="Calibri" w:hAnsi="Calibri" w:cs="Calibri"/>
        </w:rPr>
        <w:t xml:space="preserve"> has acknowledged that the evidentiary standard under the Act is difficult to meet in practice, especially in cases where reprisals take the form of incremental measures or legitimate managerial decisions that can later be justified as legitimate.</w:t>
      </w:r>
      <w:r>
        <w:rPr>
          <w:rFonts w:ascii="Calibri" w:eastAsia="Calibri" w:hAnsi="Calibri" w:cs="Calibri"/>
          <w:vertAlign w:val="superscript"/>
        </w:rPr>
        <w:footnoteReference w:id="62"/>
      </w:r>
      <w:r>
        <w:rPr>
          <w:rFonts w:ascii="Calibri" w:eastAsia="Calibri" w:hAnsi="Calibri" w:cs="Calibri"/>
        </w:rPr>
        <w:t xml:space="preserve"> The challenge is compounded when key evidence, such as performance assessments and informal discipline, remains almost entirely under the employer's control.</w:t>
      </w:r>
      <w:r>
        <w:rPr>
          <w:rFonts w:ascii="Calibri" w:eastAsia="Calibri" w:hAnsi="Calibri" w:cs="Calibri"/>
          <w:vertAlign w:val="superscript"/>
        </w:rPr>
        <w:footnoteReference w:id="63"/>
      </w:r>
      <w:r>
        <w:rPr>
          <w:rFonts w:ascii="Calibri" w:eastAsia="Calibri" w:hAnsi="Calibri" w:cs="Calibri"/>
        </w:rPr>
        <w:t xml:space="preserve">  </w:t>
      </w:r>
    </w:p>
    <w:p w14:paraId="6187B513" w14:textId="77777777" w:rsidR="00822F51" w:rsidRDefault="00822F51">
      <w:pPr>
        <w:ind w:firstLine="720"/>
        <w:jc w:val="both"/>
        <w:rPr>
          <w:rFonts w:ascii="Calibri" w:eastAsia="Calibri" w:hAnsi="Calibri" w:cs="Calibri"/>
        </w:rPr>
      </w:pPr>
    </w:p>
    <w:p w14:paraId="2E3A78C3" w14:textId="77777777" w:rsidR="00822F51" w:rsidRDefault="001A22F2">
      <w:pPr>
        <w:pStyle w:val="Heading3"/>
        <w:jc w:val="both"/>
      </w:pPr>
      <w:bookmarkStart w:id="25" w:name="_jm9e0uemjlqq" w:colFirst="0" w:colLast="0"/>
      <w:bookmarkEnd w:id="25"/>
      <w:r>
        <w:t>Provincial Legislation</w:t>
      </w:r>
    </w:p>
    <w:p w14:paraId="1437A909" w14:textId="77777777" w:rsidR="00822F51" w:rsidRDefault="001A22F2">
      <w:pPr>
        <w:ind w:firstLine="720"/>
        <w:jc w:val="both"/>
        <w:rPr>
          <w:rFonts w:ascii="Calibri" w:eastAsia="Calibri" w:hAnsi="Calibri" w:cs="Calibri"/>
        </w:rPr>
      </w:pPr>
      <w:r>
        <w:rPr>
          <w:rFonts w:ascii="Calibri" w:eastAsia="Calibri" w:hAnsi="Calibri" w:cs="Calibri"/>
          <w:b/>
          <w:bCs/>
        </w:rPr>
        <w:t>Most provincial statutes</w:t>
      </w:r>
      <w:r>
        <w:rPr>
          <w:rFonts w:ascii="Calibri" w:eastAsia="Calibri" w:hAnsi="Calibri" w:cs="Calibri"/>
        </w:rPr>
        <w:t xml:space="preserve"> replicate this fundamental statutory deficiency by similarly requiring the whistleblower to establish causation between their disclosure and their employer’s retaliatory actions.</w:t>
      </w:r>
      <w:r>
        <w:rPr>
          <w:rFonts w:ascii="Calibri" w:eastAsia="Calibri" w:hAnsi="Calibri" w:cs="Calibri"/>
          <w:vertAlign w:val="superscript"/>
        </w:rPr>
        <w:footnoteReference w:id="64"/>
      </w:r>
      <w:r>
        <w:rPr>
          <w:rFonts w:ascii="Calibri" w:eastAsia="Calibri" w:hAnsi="Calibri" w:cs="Calibri"/>
        </w:rPr>
        <w:t xml:space="preserve">  Distinctively, </w:t>
      </w:r>
      <w:r>
        <w:rPr>
          <w:rFonts w:ascii="Calibri" w:eastAsia="Calibri" w:hAnsi="Calibri" w:cs="Calibri"/>
          <w:b/>
          <w:bCs/>
        </w:rPr>
        <w:t>Quebec</w:t>
      </w:r>
      <w:r>
        <w:rPr>
          <w:rFonts w:ascii="Calibri" w:eastAsia="Calibri" w:hAnsi="Calibri" w:cs="Calibri"/>
        </w:rPr>
        <w:t xml:space="preserve"> adopted a “reverse-onus” approach, under which the employer must demonstrate that adverse treatment was unrelated to the disclosure once the whistleblower establishes a prima facie case.</w:t>
      </w:r>
      <w:r>
        <w:rPr>
          <w:rFonts w:ascii="Calibri" w:eastAsia="Calibri" w:hAnsi="Calibri" w:cs="Calibri"/>
          <w:vertAlign w:val="superscript"/>
        </w:rPr>
        <w:footnoteReference w:id="65"/>
      </w:r>
      <w:r>
        <w:rPr>
          <w:rFonts w:ascii="Calibri" w:eastAsia="Calibri" w:hAnsi="Calibri" w:cs="Calibri"/>
        </w:rPr>
        <w:t xml:space="preserve"> While most provinces adopt an approach contrary to International Best Practices (see Appendix),</w:t>
      </w:r>
      <w:r>
        <w:rPr>
          <w:rFonts w:ascii="Calibri" w:eastAsia="Calibri" w:hAnsi="Calibri" w:cs="Calibri"/>
          <w:vertAlign w:val="superscript"/>
        </w:rPr>
        <w:footnoteReference w:id="66"/>
      </w:r>
      <w:r>
        <w:rPr>
          <w:rFonts w:ascii="Calibri" w:eastAsia="Calibri" w:hAnsi="Calibri" w:cs="Calibri"/>
        </w:rPr>
        <w:t xml:space="preserve"> Quebec's approach has remained unique, leaving most Canadian whistleblowers with a quasi-impossible evidentiary standard and a lack of effective remedy. </w:t>
      </w:r>
    </w:p>
    <w:p w14:paraId="365C69BB" w14:textId="77777777" w:rsidR="00822F51" w:rsidRDefault="00822F51">
      <w:pPr>
        <w:jc w:val="both"/>
        <w:rPr>
          <w:rFonts w:ascii="Calibri" w:eastAsia="Calibri" w:hAnsi="Calibri" w:cs="Calibri"/>
        </w:rPr>
      </w:pP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822F51" w14:paraId="6D950C2C" w14:textId="77777777">
        <w:tc>
          <w:tcPr>
            <w:tcW w:w="9360" w:type="dxa"/>
            <w:tcMar>
              <w:top w:w="100" w:type="dxa"/>
              <w:left w:w="100" w:type="dxa"/>
              <w:bottom w:w="100" w:type="dxa"/>
              <w:right w:w="100" w:type="dxa"/>
            </w:tcMar>
          </w:tcPr>
          <w:p w14:paraId="1250EBE6" w14:textId="77777777" w:rsidR="00822F51" w:rsidRDefault="001A22F2">
            <w:pPr>
              <w:pStyle w:val="Heading4"/>
              <w:jc w:val="both"/>
            </w:pPr>
            <w:bookmarkStart w:id="26" w:name="_60ho0e19tkh1" w:colFirst="0" w:colLast="0"/>
            <w:bookmarkEnd w:id="26"/>
            <w:r>
              <w:lastRenderedPageBreak/>
              <w:t xml:space="preserve">Recommended Questions </w:t>
            </w:r>
            <w:r>
              <w:rPr>
                <w:color w:val="FFFFFF"/>
              </w:rPr>
              <w:t xml:space="preserve">and Recommendations </w:t>
            </w:r>
          </w:p>
          <w:p w14:paraId="45769C8A" w14:textId="77777777" w:rsidR="00822F51" w:rsidRDefault="001A22F2">
            <w:pPr>
              <w:numPr>
                <w:ilvl w:val="0"/>
                <w:numId w:val="5"/>
              </w:numPr>
              <w:jc w:val="both"/>
              <w:rPr>
                <w:rFonts w:ascii="Calibri" w:eastAsia="Calibri" w:hAnsi="Calibri" w:cs="Calibri"/>
              </w:rPr>
            </w:pPr>
            <w:r>
              <w:rPr>
                <w:rFonts w:ascii="Calibri" w:eastAsia="Calibri" w:hAnsi="Calibri" w:cs="Calibri"/>
              </w:rPr>
              <w:t>Canadian whistleblower laws narrowly define reprisal and exclude common forms of harassment from statutory protection, while also requiring whistleblowers to prove that reprisals occurred. How will Canada ensure that its laws cover not only formal disciplinary actions but also indirect, subtle, or cumulative forms of retaliation, and take steps to reverse the burden of proof so that once a protected disclosure and an adverse action are established, the employer must demonstrate that no reprisal took place?</w:t>
            </w:r>
          </w:p>
          <w:p w14:paraId="726026A2" w14:textId="77777777" w:rsidR="00822F51" w:rsidRDefault="00822F51">
            <w:pPr>
              <w:pStyle w:val="Heading4"/>
              <w:jc w:val="both"/>
            </w:pPr>
            <w:bookmarkStart w:id="27" w:name="_7rcx1jkwwvl6" w:colFirst="0" w:colLast="0"/>
            <w:bookmarkEnd w:id="27"/>
          </w:p>
          <w:p w14:paraId="6DB70025" w14:textId="77777777" w:rsidR="00822F51" w:rsidRDefault="001A22F2">
            <w:pPr>
              <w:jc w:val="both"/>
              <w:rPr>
                <w:rFonts w:ascii="Calibri" w:eastAsia="Calibri" w:hAnsi="Calibri" w:cs="Calibri"/>
                <w:b/>
                <w:bCs/>
              </w:rPr>
            </w:pPr>
            <w:r>
              <w:rPr>
                <w:rFonts w:ascii="Calibri" w:eastAsia="Calibri" w:hAnsi="Calibri" w:cs="Calibri"/>
                <w:b/>
                <w:bCs/>
              </w:rPr>
              <w:t xml:space="preserve">Recommendations </w:t>
            </w:r>
          </w:p>
          <w:p w14:paraId="208D8FD8" w14:textId="77777777" w:rsidR="00822F51" w:rsidRDefault="001A22F2">
            <w:pPr>
              <w:numPr>
                <w:ilvl w:val="0"/>
                <w:numId w:val="13"/>
              </w:numPr>
              <w:jc w:val="both"/>
              <w:rPr>
                <w:rFonts w:ascii="Calibri" w:eastAsia="Calibri" w:hAnsi="Calibri" w:cs="Calibri"/>
              </w:rPr>
            </w:pPr>
            <w:r>
              <w:rPr>
                <w:rFonts w:ascii="Calibri" w:eastAsia="Calibri" w:hAnsi="Calibri" w:cs="Calibri"/>
              </w:rPr>
              <w:t>Clarify and broaden the definition of “reprisal” to include all acts or omissions inconsistent with the duty to protect and support whistleblowers and related persons, including subtle or cumulative forms of retaliation such as ostracizing the whistleblower, blacklisting, bullying, reputational harm, and/or the strategic use of civil processes.</w:t>
            </w:r>
          </w:p>
          <w:p w14:paraId="71D40371" w14:textId="77777777" w:rsidR="00822F51" w:rsidRDefault="001A22F2">
            <w:pPr>
              <w:numPr>
                <w:ilvl w:val="0"/>
                <w:numId w:val="13"/>
              </w:numPr>
              <w:jc w:val="both"/>
              <w:rPr>
                <w:rFonts w:ascii="Calibri" w:eastAsia="Calibri" w:hAnsi="Calibri" w:cs="Calibri"/>
              </w:rPr>
            </w:pPr>
            <w:r>
              <w:rPr>
                <w:rFonts w:ascii="Calibri" w:eastAsia="Calibri" w:hAnsi="Calibri" w:cs="Calibri"/>
              </w:rPr>
              <w:t>Canada should reverse the burden of proof in reprisal proceedings, so that once a protected disclosure and adverse action are prima facie established, the employer must demonstrate that no reprisal occurred.</w:t>
            </w:r>
          </w:p>
        </w:tc>
      </w:tr>
    </w:tbl>
    <w:p w14:paraId="0A00D339" w14:textId="77777777" w:rsidR="00822F51" w:rsidRDefault="00822F51">
      <w:pPr>
        <w:rPr>
          <w:rFonts w:ascii="Calibri" w:eastAsia="Calibri" w:hAnsi="Calibri" w:cs="Calibri"/>
        </w:rPr>
      </w:pPr>
    </w:p>
    <w:p w14:paraId="5CB3E016" w14:textId="77777777" w:rsidR="00822F51" w:rsidRDefault="001A22F2">
      <w:pPr>
        <w:pStyle w:val="Heading1"/>
        <w:numPr>
          <w:ilvl w:val="0"/>
          <w:numId w:val="17"/>
        </w:numPr>
      </w:pPr>
      <w:bookmarkStart w:id="28" w:name="_depxidhm7fz2" w:colFirst="0" w:colLast="0"/>
      <w:bookmarkEnd w:id="28"/>
      <w:r>
        <w:t>Access to Forum and Remedy</w:t>
      </w:r>
    </w:p>
    <w:p w14:paraId="7BA89689" w14:textId="77777777" w:rsidR="00822F51" w:rsidRDefault="001A22F2">
      <w:pPr>
        <w:pStyle w:val="Heading2"/>
        <w:numPr>
          <w:ilvl w:val="0"/>
          <w:numId w:val="11"/>
        </w:numPr>
        <w:rPr>
          <w:i w:val="0"/>
          <w:iCs w:val="0"/>
        </w:rPr>
      </w:pPr>
      <w:bookmarkStart w:id="29" w:name="_qy1ef6v1pd00" w:colFirst="0" w:colLast="0"/>
      <w:bookmarkEnd w:id="29"/>
      <w:r>
        <w:rPr>
          <w:i w:val="0"/>
          <w:iCs w:val="0"/>
        </w:rPr>
        <w:t>Procedural Gatekeeping</w:t>
      </w:r>
    </w:p>
    <w:p w14:paraId="0DA41137" w14:textId="77777777" w:rsidR="00822F51" w:rsidRDefault="00822F51">
      <w:pPr>
        <w:rPr>
          <w:rFonts w:ascii="Calibri" w:eastAsia="Calibri" w:hAnsi="Calibri" w:cs="Calibri"/>
          <w:b/>
          <w:bCs/>
          <w:u w:val="single"/>
        </w:rPr>
      </w:pPr>
    </w:p>
    <w:p w14:paraId="6A351FCD" w14:textId="77777777" w:rsidR="00822F51" w:rsidRDefault="001A22F2">
      <w:pPr>
        <w:pStyle w:val="Heading3"/>
        <w:jc w:val="both"/>
      </w:pPr>
      <w:bookmarkStart w:id="30" w:name="_csq5ppu1fl2d" w:colFirst="0" w:colLast="0"/>
      <w:bookmarkEnd w:id="30"/>
      <w:r>
        <w:t>Federal Legislation</w:t>
      </w:r>
    </w:p>
    <w:p w14:paraId="1311FDDA" w14:textId="77777777" w:rsidR="00822F51" w:rsidRDefault="001A22F2">
      <w:pPr>
        <w:ind w:firstLine="720"/>
        <w:jc w:val="both"/>
        <w:rPr>
          <w:rFonts w:ascii="Calibri" w:eastAsia="Calibri" w:hAnsi="Calibri" w:cs="Calibri"/>
        </w:rPr>
      </w:pPr>
      <w:r>
        <w:rPr>
          <w:rFonts w:ascii="Calibri" w:eastAsia="Calibri" w:hAnsi="Calibri" w:cs="Calibri"/>
        </w:rPr>
        <w:t xml:space="preserve">The </w:t>
      </w:r>
      <w:r>
        <w:rPr>
          <w:rFonts w:ascii="Calibri" w:eastAsia="Calibri" w:hAnsi="Calibri" w:cs="Calibri"/>
          <w:b/>
          <w:bCs/>
          <w:i/>
          <w:iCs/>
        </w:rPr>
        <w:t>PSPDA</w:t>
      </w:r>
      <w:r>
        <w:rPr>
          <w:rFonts w:ascii="Calibri" w:eastAsia="Calibri" w:hAnsi="Calibri" w:cs="Calibri"/>
        </w:rPr>
        <w:t xml:space="preserve"> requires that a whistleblower seek consent from an Integrity Commissioner before they can bring a reprisal complaint directly before the Public Servants Disclosure Protection Tribunal for adjudication.</w:t>
      </w:r>
      <w:r>
        <w:rPr>
          <w:rFonts w:ascii="Calibri" w:eastAsia="Calibri" w:hAnsi="Calibri" w:cs="Calibri"/>
          <w:vertAlign w:val="superscript"/>
        </w:rPr>
        <w:footnoteReference w:id="67"/>
      </w:r>
      <w:r>
        <w:rPr>
          <w:rFonts w:ascii="Calibri" w:eastAsia="Calibri" w:hAnsi="Calibri" w:cs="Calibri"/>
        </w:rPr>
        <w:t xml:space="preserve"> Upon receipt of the request for consent, the Integrity Commissioner conducts an investigation, considering the statutory basis for dismissal of the claim and the totality of the circumstances.</w:t>
      </w:r>
      <w:r>
        <w:rPr>
          <w:rFonts w:ascii="Calibri" w:eastAsia="Calibri" w:hAnsi="Calibri" w:cs="Calibri"/>
          <w:vertAlign w:val="superscript"/>
        </w:rPr>
        <w:footnoteReference w:id="68"/>
      </w:r>
      <w:r>
        <w:rPr>
          <w:rFonts w:ascii="Calibri" w:eastAsia="Calibri" w:hAnsi="Calibri" w:cs="Calibri"/>
        </w:rPr>
        <w:t xml:space="preserve"> Between 2007, when the </w:t>
      </w:r>
      <w:r>
        <w:rPr>
          <w:rFonts w:ascii="Calibri" w:eastAsia="Calibri" w:hAnsi="Calibri" w:cs="Calibri"/>
          <w:b/>
          <w:bCs/>
          <w:i/>
          <w:iCs/>
        </w:rPr>
        <w:t>PSPDA</w:t>
      </w:r>
      <w:r>
        <w:rPr>
          <w:rFonts w:ascii="Calibri" w:eastAsia="Calibri" w:hAnsi="Calibri" w:cs="Calibri"/>
        </w:rPr>
        <w:t xml:space="preserve"> came into force, and January 2026, 651 reprisal complaints were submitted to the Office of the Federal Sector Integrity Commissioner,</w:t>
      </w:r>
      <w:r>
        <w:rPr>
          <w:rFonts w:ascii="Calibri" w:eastAsia="Calibri" w:hAnsi="Calibri" w:cs="Calibri"/>
          <w:vertAlign w:val="superscript"/>
        </w:rPr>
        <w:footnoteReference w:id="69"/>
      </w:r>
      <w:r>
        <w:rPr>
          <w:rFonts w:ascii="Calibri" w:eastAsia="Calibri" w:hAnsi="Calibri" w:cs="Calibri"/>
        </w:rPr>
        <w:t xml:space="preserve"> and only 11 whistleblowers were permitted to bring their cases before the Tribunal. Of those 11 cases, seven were settled, one was suspended indefinitely pending parallel litigation, one is still in progress, and only two </w:t>
      </w:r>
      <w:r>
        <w:rPr>
          <w:rFonts w:ascii="Calibri" w:eastAsia="Calibri" w:hAnsi="Calibri" w:cs="Calibri"/>
        </w:rPr>
        <w:lastRenderedPageBreak/>
        <w:t>resulted in decisions on their merits.</w:t>
      </w:r>
      <w:r>
        <w:rPr>
          <w:rFonts w:ascii="Calibri" w:eastAsia="Calibri" w:hAnsi="Calibri" w:cs="Calibri"/>
          <w:vertAlign w:val="superscript"/>
        </w:rPr>
        <w:footnoteReference w:id="70"/>
      </w:r>
      <w:r>
        <w:rPr>
          <w:rFonts w:ascii="Calibri" w:eastAsia="Calibri" w:hAnsi="Calibri" w:cs="Calibri"/>
        </w:rPr>
        <w:t xml:space="preserve"> In the two decided cases, the Tribunal ruled against the whistleblower. The remaining 600 cases did not proceed to adjudication despite serious allegations of retaliation. </w:t>
      </w:r>
    </w:p>
    <w:p w14:paraId="344449C5" w14:textId="77777777" w:rsidR="00822F51" w:rsidRDefault="00822F51">
      <w:pPr>
        <w:ind w:firstLine="720"/>
        <w:jc w:val="both"/>
        <w:rPr>
          <w:rFonts w:ascii="Calibri" w:eastAsia="Calibri" w:hAnsi="Calibri" w:cs="Calibri"/>
        </w:rPr>
      </w:pPr>
    </w:p>
    <w:p w14:paraId="3ACEDF89" w14:textId="77777777" w:rsidR="00822F51" w:rsidRDefault="001A22F2">
      <w:pPr>
        <w:ind w:firstLine="720"/>
        <w:jc w:val="both"/>
        <w:rPr>
          <w:rFonts w:ascii="Calibri" w:eastAsia="Calibri" w:hAnsi="Calibri" w:cs="Calibri"/>
        </w:rPr>
      </w:pPr>
      <w:r>
        <w:rPr>
          <w:rFonts w:ascii="Calibri" w:eastAsia="Calibri" w:hAnsi="Calibri" w:cs="Calibri"/>
        </w:rPr>
        <w:t>Even where cases reached the Tribunal for adjudication, delays were unreasonable and extreme. In one decided case, 580 days elapsed from the filing of the Tribunal complaint to the decision, and 2,398 days from the initial reprisal complaint to the final resolution.</w:t>
      </w:r>
      <w:r>
        <w:rPr>
          <w:rFonts w:ascii="Calibri" w:eastAsia="Calibri" w:hAnsi="Calibri" w:cs="Calibri"/>
          <w:vertAlign w:val="superscript"/>
        </w:rPr>
        <w:footnoteReference w:id="71"/>
      </w:r>
      <w:r>
        <w:rPr>
          <w:rFonts w:ascii="Calibri" w:eastAsia="Calibri" w:hAnsi="Calibri" w:cs="Calibri"/>
        </w:rPr>
        <w:t xml:space="preserve"> In the other case, the Tribunal process alone took 833 days, with a total delay of 2,501 days from the first complaint to the outcome.</w:t>
      </w:r>
      <w:r>
        <w:rPr>
          <w:rFonts w:ascii="Calibri" w:eastAsia="Calibri" w:hAnsi="Calibri" w:cs="Calibri"/>
          <w:vertAlign w:val="superscript"/>
        </w:rPr>
        <w:footnoteReference w:id="72"/>
      </w:r>
      <w:r>
        <w:rPr>
          <w:rFonts w:ascii="Calibri" w:eastAsia="Calibri" w:hAnsi="Calibri" w:cs="Calibri"/>
        </w:rPr>
        <w:t xml:space="preserve"> </w:t>
      </w:r>
    </w:p>
    <w:p w14:paraId="2D6263DC" w14:textId="77777777" w:rsidR="00822F51" w:rsidRDefault="001A22F2">
      <w:pPr>
        <w:jc w:val="both"/>
        <w:rPr>
          <w:rFonts w:ascii="Calibri" w:eastAsia="Calibri" w:hAnsi="Calibri" w:cs="Calibri"/>
        </w:rPr>
      </w:pPr>
      <w:r>
        <w:rPr>
          <w:rFonts w:ascii="Calibri" w:eastAsia="Calibri" w:hAnsi="Calibri" w:cs="Calibri"/>
        </w:rPr>
        <w:t xml:space="preserve">Such a remedial scheme that relies on the Integrity Commissioner’s discretionary referral and prolonged hearings fails to function as an effective remedy under </w:t>
      </w:r>
      <w:r>
        <w:rPr>
          <w:rFonts w:ascii="Calibri" w:eastAsia="Calibri" w:hAnsi="Calibri" w:cs="Calibri"/>
          <w:b/>
          <w:bCs/>
        </w:rPr>
        <w:t>Article 2(3)</w:t>
      </w:r>
      <w:r>
        <w:rPr>
          <w:rFonts w:ascii="Calibri" w:eastAsia="Calibri" w:hAnsi="Calibri" w:cs="Calibri"/>
        </w:rPr>
        <w:t xml:space="preserve">. </w:t>
      </w:r>
    </w:p>
    <w:p w14:paraId="329DC7A3" w14:textId="77777777" w:rsidR="00822F51" w:rsidRDefault="00822F51">
      <w:pPr>
        <w:jc w:val="both"/>
        <w:rPr>
          <w:rFonts w:ascii="Calibri" w:eastAsia="Calibri" w:hAnsi="Calibri" w:cs="Calibri"/>
        </w:rPr>
      </w:pPr>
    </w:p>
    <w:p w14:paraId="6A009473" w14:textId="78E60D07" w:rsidR="00822F51" w:rsidRDefault="001A22F2">
      <w:pPr>
        <w:ind w:firstLine="720"/>
        <w:jc w:val="both"/>
        <w:rPr>
          <w:rFonts w:ascii="Calibri" w:eastAsia="Calibri" w:hAnsi="Calibri" w:cs="Calibri"/>
        </w:rPr>
      </w:pPr>
      <w:r>
        <w:rPr>
          <w:rFonts w:ascii="Calibri" w:eastAsia="Calibri" w:hAnsi="Calibri" w:cs="Calibri"/>
        </w:rPr>
        <w:t xml:space="preserve">Furthermore, under </w:t>
      </w:r>
      <w:r>
        <w:rPr>
          <w:rFonts w:ascii="Calibri" w:eastAsia="Calibri" w:hAnsi="Calibri" w:cs="Calibri"/>
          <w:b/>
          <w:bCs/>
        </w:rPr>
        <w:t>s. 236</w:t>
      </w:r>
      <w:r>
        <w:rPr>
          <w:rFonts w:ascii="Calibri" w:eastAsia="Calibri" w:hAnsi="Calibri" w:cs="Calibri"/>
        </w:rPr>
        <w:t xml:space="preserve"> of the </w:t>
      </w:r>
      <w:r>
        <w:rPr>
          <w:rFonts w:ascii="Calibri" w:eastAsia="Calibri" w:hAnsi="Calibri" w:cs="Calibri"/>
          <w:b/>
          <w:bCs/>
          <w:i/>
          <w:iCs/>
        </w:rPr>
        <w:t xml:space="preserve">Federal Public Sector </w:t>
      </w:r>
      <w:proofErr w:type="spellStart"/>
      <w:r>
        <w:rPr>
          <w:rFonts w:ascii="Calibri" w:eastAsia="Calibri" w:hAnsi="Calibri" w:cs="Calibri"/>
          <w:b/>
          <w:bCs/>
          <w:i/>
          <w:iCs/>
        </w:rPr>
        <w:t>Labour</w:t>
      </w:r>
      <w:proofErr w:type="spellEnd"/>
      <w:r>
        <w:rPr>
          <w:rFonts w:ascii="Calibri" w:eastAsia="Calibri" w:hAnsi="Calibri" w:cs="Calibri"/>
          <w:b/>
          <w:bCs/>
          <w:i/>
          <w:iCs/>
        </w:rPr>
        <w:t xml:space="preserve"> Relations Act</w:t>
      </w:r>
      <w:r>
        <w:rPr>
          <w:rFonts w:ascii="Calibri" w:eastAsia="Calibri" w:hAnsi="Calibri" w:cs="Calibri"/>
        </w:rPr>
        <w:t>,</w:t>
      </w:r>
      <w:r>
        <w:rPr>
          <w:rFonts w:ascii="Calibri" w:eastAsia="Calibri" w:hAnsi="Calibri" w:cs="Calibri"/>
          <w:b/>
          <w:bCs/>
          <w:i/>
          <w:iCs/>
        </w:rPr>
        <w:t xml:space="preserve"> </w:t>
      </w:r>
      <w:r>
        <w:rPr>
          <w:rFonts w:ascii="Calibri" w:eastAsia="Calibri" w:hAnsi="Calibri" w:cs="Calibri"/>
        </w:rPr>
        <w:t>public servants are barred from pursuing civil actions related to the terms of their employment. They are instead confined to a compulsory grievance process, whether or not they actually file a grievance.</w:t>
      </w:r>
      <w:r>
        <w:rPr>
          <w:rFonts w:ascii="Calibri" w:eastAsia="Calibri" w:hAnsi="Calibri" w:cs="Calibri"/>
          <w:vertAlign w:val="superscript"/>
        </w:rPr>
        <w:footnoteReference w:id="73"/>
      </w:r>
      <w:r>
        <w:rPr>
          <w:rFonts w:ascii="Calibri" w:eastAsia="Calibri" w:hAnsi="Calibri" w:cs="Calibri"/>
        </w:rPr>
        <w:t xml:space="preserve"> Together with the </w:t>
      </w:r>
      <w:r>
        <w:rPr>
          <w:rFonts w:ascii="Calibri" w:eastAsia="Calibri" w:hAnsi="Calibri" w:cs="Calibri"/>
          <w:b/>
          <w:bCs/>
          <w:i/>
          <w:iCs/>
        </w:rPr>
        <w:t>PSDPA</w:t>
      </w:r>
      <w:r>
        <w:rPr>
          <w:rFonts w:ascii="Calibri" w:eastAsia="Calibri" w:hAnsi="Calibri" w:cs="Calibri"/>
        </w:rPr>
        <w:t>, this framework effectively restricts access to both the courts and the Tribunal, which remains selective and largely inactive.</w:t>
      </w:r>
    </w:p>
    <w:p w14:paraId="334BF09F" w14:textId="77777777" w:rsidR="00822F51" w:rsidRDefault="00822F51">
      <w:pPr>
        <w:ind w:firstLine="720"/>
        <w:jc w:val="both"/>
        <w:rPr>
          <w:rFonts w:ascii="Calibri" w:eastAsia="Calibri" w:hAnsi="Calibri" w:cs="Calibri"/>
        </w:rPr>
      </w:pPr>
    </w:p>
    <w:p w14:paraId="035ACC5F" w14:textId="77777777" w:rsidR="00822F51" w:rsidRDefault="001A22F2">
      <w:pPr>
        <w:pStyle w:val="Heading3"/>
        <w:jc w:val="both"/>
      </w:pPr>
      <w:bookmarkStart w:id="31" w:name="_7l755f6m2oix" w:colFirst="0" w:colLast="0"/>
      <w:bookmarkEnd w:id="31"/>
      <w:r>
        <w:t>Provincial Legislation</w:t>
      </w:r>
    </w:p>
    <w:p w14:paraId="4D5F0C5D" w14:textId="2C8EB5A3" w:rsidR="00822F51" w:rsidRDefault="001A22F2">
      <w:pPr>
        <w:ind w:firstLine="720"/>
        <w:jc w:val="both"/>
        <w:rPr>
          <w:rFonts w:ascii="Calibri" w:eastAsia="Calibri" w:hAnsi="Calibri" w:cs="Calibri"/>
        </w:rPr>
      </w:pPr>
      <w:r>
        <w:rPr>
          <w:rFonts w:ascii="Calibri" w:eastAsia="Calibri" w:hAnsi="Calibri" w:cs="Calibri"/>
        </w:rPr>
        <w:t xml:space="preserve">Several provincial whistleblower regimes include mechanisms intended to reduce institutional conflict by separating the investigation of wrongdoing from the adjudication of reprisals. For example, in </w:t>
      </w:r>
      <w:r>
        <w:rPr>
          <w:rFonts w:ascii="Calibri" w:eastAsia="Calibri" w:hAnsi="Calibri" w:cs="Calibri"/>
          <w:b/>
          <w:bCs/>
        </w:rPr>
        <w:t>Manitoba</w:t>
      </w:r>
      <w:r>
        <w:rPr>
          <w:rFonts w:ascii="Calibri" w:eastAsia="Calibri" w:hAnsi="Calibri" w:cs="Calibri"/>
        </w:rPr>
        <w:t xml:space="preserve">, reprisal complaints are adjudicated by the </w:t>
      </w:r>
      <w:proofErr w:type="spellStart"/>
      <w:r>
        <w:rPr>
          <w:rFonts w:ascii="Calibri" w:eastAsia="Calibri" w:hAnsi="Calibri" w:cs="Calibri"/>
        </w:rPr>
        <w:t>Labour</w:t>
      </w:r>
      <w:proofErr w:type="spellEnd"/>
      <w:r>
        <w:rPr>
          <w:rFonts w:ascii="Calibri" w:eastAsia="Calibri" w:hAnsi="Calibri" w:cs="Calibri"/>
        </w:rPr>
        <w:t xml:space="preserve"> Board after investigation by the Ombudsman.</w:t>
      </w:r>
      <w:r>
        <w:rPr>
          <w:rFonts w:ascii="Calibri" w:eastAsia="Calibri" w:hAnsi="Calibri" w:cs="Calibri"/>
          <w:vertAlign w:val="superscript"/>
        </w:rPr>
        <w:footnoteReference w:id="74"/>
      </w:r>
      <w:r>
        <w:rPr>
          <w:rFonts w:ascii="Calibri" w:eastAsia="Calibri" w:hAnsi="Calibri" w:cs="Calibri"/>
        </w:rPr>
        <w:t xml:space="preserve"> </w:t>
      </w:r>
      <w:r>
        <w:rPr>
          <w:rFonts w:ascii="Calibri" w:eastAsia="Calibri" w:hAnsi="Calibri" w:cs="Calibri"/>
          <w:b/>
          <w:bCs/>
        </w:rPr>
        <w:t xml:space="preserve">British Columbia’s </w:t>
      </w:r>
      <w:r>
        <w:rPr>
          <w:rFonts w:ascii="Calibri" w:eastAsia="Calibri" w:hAnsi="Calibri" w:cs="Calibri"/>
          <w:b/>
          <w:bCs/>
          <w:i/>
          <w:iCs/>
        </w:rPr>
        <w:t>Public Interest Disclosure Act</w:t>
      </w:r>
      <w:r>
        <w:rPr>
          <w:rFonts w:ascii="Calibri" w:eastAsia="Calibri" w:hAnsi="Calibri" w:cs="Calibri"/>
        </w:rPr>
        <w:t xml:space="preserve"> permits employees to disclose wrongdoings either to a designated officer or directly to the Ombudsperson. However, there is no right of direct access to adjudication following a refusal.</w:t>
      </w:r>
      <w:r>
        <w:rPr>
          <w:rFonts w:ascii="Calibri" w:eastAsia="Calibri" w:hAnsi="Calibri" w:cs="Calibri"/>
          <w:vertAlign w:val="superscript"/>
        </w:rPr>
        <w:footnoteReference w:id="75"/>
      </w:r>
      <w:r>
        <w:rPr>
          <w:rFonts w:ascii="Calibri" w:eastAsia="Calibri" w:hAnsi="Calibri" w:cs="Calibri"/>
        </w:rPr>
        <w:t xml:space="preserve"> </w:t>
      </w:r>
      <w:r>
        <w:rPr>
          <w:rFonts w:ascii="Calibri" w:eastAsia="Calibri" w:hAnsi="Calibri" w:cs="Calibri"/>
          <w:b/>
          <w:bCs/>
        </w:rPr>
        <w:t xml:space="preserve">Ontario’s </w:t>
      </w:r>
      <w:r>
        <w:rPr>
          <w:rFonts w:ascii="Calibri" w:eastAsia="Calibri" w:hAnsi="Calibri" w:cs="Calibri"/>
          <w:b/>
          <w:bCs/>
          <w:i/>
          <w:iCs/>
        </w:rPr>
        <w:t>Public Service of Ontario Act</w:t>
      </w:r>
      <w:r>
        <w:rPr>
          <w:rFonts w:ascii="Calibri" w:eastAsia="Calibri" w:hAnsi="Calibri" w:cs="Calibri"/>
        </w:rPr>
        <w:t xml:space="preserve"> offers the broadest available fora,</w:t>
      </w:r>
      <w:r>
        <w:rPr>
          <w:rFonts w:ascii="Calibri" w:eastAsia="Calibri" w:hAnsi="Calibri" w:cs="Calibri"/>
          <w:b/>
          <w:bCs/>
        </w:rPr>
        <w:t xml:space="preserve"> </w:t>
      </w:r>
      <w:r>
        <w:rPr>
          <w:rFonts w:ascii="Calibri" w:eastAsia="Calibri" w:hAnsi="Calibri" w:cs="Calibri"/>
        </w:rPr>
        <w:t xml:space="preserve">including adjudication by the </w:t>
      </w:r>
      <w:proofErr w:type="spellStart"/>
      <w:r>
        <w:rPr>
          <w:rFonts w:ascii="Calibri" w:eastAsia="Calibri" w:hAnsi="Calibri" w:cs="Calibri"/>
        </w:rPr>
        <w:t>Labour</w:t>
      </w:r>
      <w:proofErr w:type="spellEnd"/>
      <w:r>
        <w:rPr>
          <w:rFonts w:ascii="Calibri" w:eastAsia="Calibri" w:hAnsi="Calibri" w:cs="Calibri"/>
        </w:rPr>
        <w:t xml:space="preserve"> Relations Board, access to binding arbitration mechanism and the Public Service Grievance Board. However, these mechanisms are only limited to public sector employment rather than a standalone whistleblower protection regime.</w:t>
      </w:r>
      <w:r>
        <w:rPr>
          <w:rFonts w:ascii="Calibri" w:eastAsia="Calibri" w:hAnsi="Calibri" w:cs="Calibri"/>
          <w:vertAlign w:val="superscript"/>
        </w:rPr>
        <w:footnoteReference w:id="76"/>
      </w:r>
      <w:r>
        <w:rPr>
          <w:rFonts w:ascii="Calibri" w:eastAsia="Calibri" w:hAnsi="Calibri" w:cs="Calibri"/>
        </w:rPr>
        <w:t xml:space="preserve"> </w:t>
      </w:r>
    </w:p>
    <w:p w14:paraId="526A19EF" w14:textId="77777777" w:rsidR="00822F51" w:rsidRDefault="00822F51">
      <w:pPr>
        <w:ind w:firstLine="720"/>
        <w:jc w:val="both"/>
        <w:rPr>
          <w:rFonts w:ascii="Calibri" w:eastAsia="Calibri" w:hAnsi="Calibri" w:cs="Calibri"/>
        </w:rPr>
      </w:pPr>
    </w:p>
    <w:p w14:paraId="4B71D0F9" w14:textId="77777777" w:rsidR="00822F51" w:rsidRDefault="001A22F2">
      <w:pPr>
        <w:ind w:firstLine="720"/>
        <w:jc w:val="both"/>
        <w:rPr>
          <w:rFonts w:ascii="Calibri" w:eastAsia="Calibri" w:hAnsi="Calibri" w:cs="Calibri"/>
          <w:b/>
          <w:bCs/>
        </w:rPr>
      </w:pPr>
      <w:r>
        <w:rPr>
          <w:rFonts w:ascii="Calibri" w:eastAsia="Calibri" w:hAnsi="Calibri" w:cs="Calibri"/>
        </w:rPr>
        <w:t xml:space="preserve">On the other hand, provinces like </w:t>
      </w:r>
      <w:r>
        <w:rPr>
          <w:rFonts w:ascii="Calibri" w:eastAsia="Calibri" w:hAnsi="Calibri" w:cs="Calibri"/>
          <w:b/>
          <w:bCs/>
        </w:rPr>
        <w:t xml:space="preserve">Saskatchewan </w:t>
      </w:r>
      <w:r>
        <w:rPr>
          <w:rFonts w:ascii="Calibri" w:eastAsia="Calibri" w:hAnsi="Calibri" w:cs="Calibri"/>
        </w:rPr>
        <w:t xml:space="preserve">and </w:t>
      </w:r>
      <w:r>
        <w:rPr>
          <w:rFonts w:ascii="Calibri" w:eastAsia="Calibri" w:hAnsi="Calibri" w:cs="Calibri"/>
          <w:b/>
          <w:bCs/>
        </w:rPr>
        <w:t>Alberta</w:t>
      </w:r>
      <w:r>
        <w:rPr>
          <w:rFonts w:ascii="Calibri" w:eastAsia="Calibri" w:hAnsi="Calibri" w:cs="Calibri"/>
        </w:rPr>
        <w:t xml:space="preserve"> essentially replicate the federal model, giving integrity commissioners broad discretion to decide whether to proceed with reprisal complaints.</w:t>
      </w:r>
      <w:r>
        <w:rPr>
          <w:rFonts w:ascii="Calibri" w:eastAsia="Calibri" w:hAnsi="Calibri" w:cs="Calibri"/>
          <w:vertAlign w:val="superscript"/>
        </w:rPr>
        <w:footnoteReference w:id="77"/>
      </w:r>
      <w:r>
        <w:rPr>
          <w:rFonts w:ascii="Calibri" w:eastAsia="Calibri" w:hAnsi="Calibri" w:cs="Calibri"/>
        </w:rPr>
        <w:t xml:space="preserve"> </w:t>
      </w:r>
      <w:r>
        <w:rPr>
          <w:rFonts w:ascii="Calibri" w:eastAsia="Calibri" w:hAnsi="Calibri" w:cs="Calibri"/>
          <w:b/>
          <w:bCs/>
        </w:rPr>
        <w:t>New Brunswick</w:t>
      </w:r>
      <w:r>
        <w:rPr>
          <w:rFonts w:ascii="Calibri" w:eastAsia="Calibri" w:hAnsi="Calibri" w:cs="Calibri"/>
        </w:rPr>
        <w:t xml:space="preserve"> and</w:t>
      </w:r>
      <w:r>
        <w:rPr>
          <w:rFonts w:ascii="Calibri" w:eastAsia="Calibri" w:hAnsi="Calibri" w:cs="Calibri"/>
          <w:b/>
          <w:bCs/>
        </w:rPr>
        <w:t xml:space="preserve"> Newfoundland and Labrador </w:t>
      </w:r>
      <w:r>
        <w:rPr>
          <w:rFonts w:ascii="Calibri" w:eastAsia="Calibri" w:hAnsi="Calibri" w:cs="Calibri"/>
        </w:rPr>
        <w:t xml:space="preserve">rely on discretionary administrative </w:t>
      </w:r>
      <w:r>
        <w:rPr>
          <w:rFonts w:ascii="Calibri" w:eastAsia="Calibri" w:hAnsi="Calibri" w:cs="Calibri"/>
        </w:rPr>
        <w:lastRenderedPageBreak/>
        <w:t>processes without a clear right of appeal from refusals to investigate.</w:t>
      </w:r>
      <w:r>
        <w:rPr>
          <w:rFonts w:ascii="Calibri" w:eastAsia="Calibri" w:hAnsi="Calibri" w:cs="Calibri"/>
          <w:vertAlign w:val="superscript"/>
        </w:rPr>
        <w:footnoteReference w:id="78"/>
      </w:r>
      <w:r>
        <w:rPr>
          <w:rFonts w:ascii="Calibri" w:eastAsia="Calibri" w:hAnsi="Calibri" w:cs="Calibri"/>
        </w:rPr>
        <w:t xml:space="preserve"> Overall,  while provincial regimes vary and sometimes improve on the federal approach, they continue to rely primarily on administrative gatekeeping to control access to remedies.</w:t>
      </w:r>
    </w:p>
    <w:p w14:paraId="686AB08E" w14:textId="77777777" w:rsidR="00822F51" w:rsidRDefault="00822F51">
      <w:pPr>
        <w:rPr>
          <w:rFonts w:ascii="Calibri" w:eastAsia="Calibri" w:hAnsi="Calibri" w:cs="Calibri"/>
        </w:rPr>
      </w:pP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822F51" w14:paraId="430BD4E0" w14:textId="77777777">
        <w:tc>
          <w:tcPr>
            <w:tcW w:w="9360" w:type="dxa"/>
            <w:tcMar>
              <w:top w:w="100" w:type="dxa"/>
              <w:left w:w="100" w:type="dxa"/>
              <w:bottom w:w="100" w:type="dxa"/>
              <w:right w:w="100" w:type="dxa"/>
            </w:tcMar>
          </w:tcPr>
          <w:p w14:paraId="60041818" w14:textId="77777777" w:rsidR="00822F51" w:rsidRDefault="001A22F2">
            <w:pPr>
              <w:pStyle w:val="Heading4"/>
              <w:jc w:val="both"/>
            </w:pPr>
            <w:bookmarkStart w:id="32" w:name="_unrb3yaawest" w:colFirst="0" w:colLast="0"/>
            <w:bookmarkEnd w:id="32"/>
            <w:r>
              <w:t xml:space="preserve">Recommended Question </w:t>
            </w:r>
            <w:r>
              <w:rPr>
                <w:color w:val="FFFFFF"/>
              </w:rPr>
              <w:t xml:space="preserve">and Recommendations </w:t>
            </w:r>
          </w:p>
          <w:p w14:paraId="181D28C3" w14:textId="77777777" w:rsidR="00822F51" w:rsidRDefault="001A22F2">
            <w:pPr>
              <w:numPr>
                <w:ilvl w:val="0"/>
                <w:numId w:val="18"/>
              </w:numPr>
              <w:jc w:val="both"/>
              <w:rPr>
                <w:rFonts w:ascii="Calibri" w:eastAsia="Calibri" w:hAnsi="Calibri" w:cs="Calibri"/>
              </w:rPr>
            </w:pPr>
            <w:r>
              <w:rPr>
                <w:rFonts w:ascii="Calibri" w:eastAsia="Calibri" w:hAnsi="Calibri" w:cs="Calibri"/>
              </w:rPr>
              <w:t>PSPDA requires that a whistleblower seek consent from an Integrity Commissioner before bringing a reprisal complaint to the Tribunal for adjudication. How does Canada ensure that discretionary decisions by commissioners or provincial ombuds offices do not impede timely, effective, and transparent access to adjudicative remedies for whistleblowers?</w:t>
            </w:r>
          </w:p>
          <w:p w14:paraId="31B184BA" w14:textId="77777777" w:rsidR="00822F51" w:rsidRDefault="00822F51">
            <w:pPr>
              <w:jc w:val="both"/>
              <w:rPr>
                <w:rFonts w:ascii="Calibri" w:eastAsia="Calibri" w:hAnsi="Calibri" w:cs="Calibri"/>
              </w:rPr>
            </w:pPr>
          </w:p>
          <w:p w14:paraId="023D9CC8" w14:textId="77777777" w:rsidR="00822F51" w:rsidRDefault="001A22F2">
            <w:pPr>
              <w:jc w:val="both"/>
              <w:rPr>
                <w:rFonts w:ascii="Calibri" w:eastAsia="Calibri" w:hAnsi="Calibri" w:cs="Calibri"/>
                <w:b/>
                <w:bCs/>
              </w:rPr>
            </w:pPr>
            <w:r>
              <w:rPr>
                <w:rFonts w:ascii="Calibri" w:eastAsia="Calibri" w:hAnsi="Calibri" w:cs="Calibri"/>
                <w:b/>
                <w:bCs/>
              </w:rPr>
              <w:t xml:space="preserve">Recommendation </w:t>
            </w:r>
          </w:p>
          <w:p w14:paraId="10B44388" w14:textId="77777777" w:rsidR="00822F51" w:rsidRDefault="001A22F2">
            <w:pPr>
              <w:numPr>
                <w:ilvl w:val="0"/>
                <w:numId w:val="12"/>
              </w:numPr>
              <w:jc w:val="both"/>
              <w:rPr>
                <w:rFonts w:ascii="Calibri" w:eastAsia="Calibri" w:hAnsi="Calibri" w:cs="Calibri"/>
              </w:rPr>
            </w:pPr>
            <w:r>
              <w:rPr>
                <w:rFonts w:ascii="Calibri" w:eastAsia="Calibri" w:hAnsi="Calibri" w:cs="Calibri"/>
              </w:rPr>
              <w:t>Canada should reform whistleblower protection regimes to reduce discretionary screening and a direct right of appeal to the Public Servants Disclosure Protection Tribunal in reprisal matters, ensure that whistleblowers have timely access to independent adjudication of reprisal complaints, with clear criteria and review mechanisms for refusal decisions.</w:t>
            </w:r>
          </w:p>
          <w:p w14:paraId="6E8F6596" w14:textId="4E4805AB" w:rsidR="00822F51" w:rsidRDefault="001A22F2">
            <w:pPr>
              <w:numPr>
                <w:ilvl w:val="0"/>
                <w:numId w:val="12"/>
              </w:numPr>
              <w:jc w:val="both"/>
              <w:rPr>
                <w:rFonts w:ascii="Calibri" w:eastAsia="Calibri" w:hAnsi="Calibri" w:cs="Calibri"/>
              </w:rPr>
            </w:pPr>
            <w:r>
              <w:rPr>
                <w:rFonts w:ascii="Calibri" w:eastAsia="Calibri" w:hAnsi="Calibri" w:cs="Calibri"/>
              </w:rPr>
              <w:t>Canada should remove statutory barriers to concurrent investigations,</w:t>
            </w:r>
            <w:r w:rsidR="00310030">
              <w:rPr>
                <w:rFonts w:ascii="Calibri" w:eastAsia="Calibri" w:hAnsi="Calibri" w:cs="Calibri"/>
              </w:rPr>
              <w:t xml:space="preserve"> </w:t>
            </w:r>
            <w:r>
              <w:rPr>
                <w:rFonts w:ascii="Calibri" w:eastAsia="Calibri" w:hAnsi="Calibri" w:cs="Calibri"/>
              </w:rPr>
              <w:t>and authorize the initiation of wrongdoing investigations based on evidence uncovered during reprisal proceedings, empowering the Commissioner to request corrective actions.</w:t>
            </w:r>
          </w:p>
          <w:p w14:paraId="0E3930A5" w14:textId="77777777" w:rsidR="00822F51" w:rsidRDefault="001A22F2">
            <w:pPr>
              <w:numPr>
                <w:ilvl w:val="0"/>
                <w:numId w:val="12"/>
              </w:numPr>
              <w:jc w:val="both"/>
              <w:rPr>
                <w:rFonts w:ascii="Calibri" w:eastAsia="Calibri" w:hAnsi="Calibri" w:cs="Calibri"/>
              </w:rPr>
            </w:pPr>
            <w:r>
              <w:rPr>
                <w:rFonts w:ascii="Calibri" w:eastAsia="Calibri" w:hAnsi="Calibri" w:cs="Calibri"/>
              </w:rPr>
              <w:t>Canada should expand the mandate of the Auditor General of Canada, to receive disclosures of wrongdoing from the public and reprisal complaints concerning the Office of the Public Sector Integrity Commissioner, with corresponding investigative powers.</w:t>
            </w:r>
          </w:p>
        </w:tc>
      </w:tr>
    </w:tbl>
    <w:p w14:paraId="37F27249" w14:textId="77777777" w:rsidR="00822F51" w:rsidRDefault="00822F51">
      <w:pPr>
        <w:rPr>
          <w:rFonts w:ascii="Calibri" w:eastAsia="Calibri" w:hAnsi="Calibri" w:cs="Calibri"/>
        </w:rPr>
      </w:pPr>
    </w:p>
    <w:p w14:paraId="6B173D59" w14:textId="77777777" w:rsidR="00822F51" w:rsidRDefault="001A22F2">
      <w:pPr>
        <w:pStyle w:val="Heading2"/>
        <w:numPr>
          <w:ilvl w:val="0"/>
          <w:numId w:val="11"/>
        </w:numPr>
        <w:rPr>
          <w:i w:val="0"/>
          <w:iCs w:val="0"/>
        </w:rPr>
      </w:pPr>
      <w:bookmarkStart w:id="33" w:name="_4bvq4o584ed1" w:colFirst="0" w:colLast="0"/>
      <w:bookmarkEnd w:id="33"/>
      <w:r>
        <w:rPr>
          <w:i w:val="0"/>
          <w:iCs w:val="0"/>
        </w:rPr>
        <w:t xml:space="preserve"> Remedies &amp; Legal Assistance</w:t>
      </w:r>
    </w:p>
    <w:p w14:paraId="75996F92" w14:textId="77777777" w:rsidR="00822F51" w:rsidRDefault="00822F51">
      <w:pPr>
        <w:ind w:left="720"/>
      </w:pPr>
    </w:p>
    <w:p w14:paraId="1A5A3824" w14:textId="77777777" w:rsidR="00822F51" w:rsidRDefault="001A22F2">
      <w:pPr>
        <w:pStyle w:val="Heading3"/>
        <w:jc w:val="both"/>
      </w:pPr>
      <w:bookmarkStart w:id="34" w:name="_krpny2r3yo1n" w:colFirst="0" w:colLast="0"/>
      <w:bookmarkEnd w:id="34"/>
      <w:r>
        <w:t>Federal Legislation</w:t>
      </w:r>
    </w:p>
    <w:p w14:paraId="1228798C" w14:textId="77777777" w:rsidR="00822F51" w:rsidRDefault="001A22F2">
      <w:pPr>
        <w:ind w:firstLine="720"/>
        <w:jc w:val="both"/>
        <w:rPr>
          <w:rFonts w:ascii="Calibri" w:eastAsia="Calibri" w:hAnsi="Calibri" w:cs="Calibri"/>
        </w:rPr>
      </w:pPr>
      <w:r>
        <w:rPr>
          <w:rFonts w:ascii="Calibri" w:eastAsia="Calibri" w:hAnsi="Calibri" w:cs="Calibri"/>
        </w:rPr>
        <w:t xml:space="preserve">Even when a whistleblower succeeds in having the Tribunal find that a reprisal occurred, the </w:t>
      </w:r>
      <w:r>
        <w:rPr>
          <w:rFonts w:ascii="Calibri" w:eastAsia="Calibri" w:hAnsi="Calibri" w:cs="Calibri"/>
          <w:b/>
          <w:bCs/>
          <w:i/>
          <w:iCs/>
        </w:rPr>
        <w:t xml:space="preserve">PSDPA </w:t>
      </w:r>
      <w:r>
        <w:rPr>
          <w:rFonts w:ascii="Calibri" w:eastAsia="Calibri" w:hAnsi="Calibri" w:cs="Calibri"/>
        </w:rPr>
        <w:t>fails to provide effective remedies. The Act does not include mechanisms to suspend disciplinary action, preserve employment conditions, or otherwise protect whistleblowers during investigations and proceedings, which often extend over several years.</w:t>
      </w:r>
      <w:r>
        <w:rPr>
          <w:rFonts w:ascii="Calibri" w:eastAsia="Calibri" w:hAnsi="Calibri" w:cs="Calibri"/>
          <w:vertAlign w:val="superscript"/>
        </w:rPr>
        <w:footnoteReference w:id="79"/>
      </w:r>
      <w:r>
        <w:rPr>
          <w:rFonts w:ascii="Calibri" w:eastAsia="Calibri" w:hAnsi="Calibri" w:cs="Calibri"/>
        </w:rPr>
        <w:t xml:space="preserve">  Under </w:t>
      </w:r>
      <w:r>
        <w:rPr>
          <w:rFonts w:ascii="Calibri" w:eastAsia="Calibri" w:hAnsi="Calibri" w:cs="Calibri"/>
          <w:b/>
          <w:bCs/>
        </w:rPr>
        <w:t>s. 21</w:t>
      </w:r>
      <w:r>
        <w:rPr>
          <w:rFonts w:ascii="Calibri" w:eastAsia="Calibri" w:hAnsi="Calibri" w:cs="Calibri"/>
        </w:rPr>
        <w:t>, the Tribunal may order reinstatement or compensation, but these remedies are discretionary and narrow in scope.</w:t>
      </w:r>
      <w:r>
        <w:rPr>
          <w:rFonts w:ascii="Calibri" w:eastAsia="Calibri" w:hAnsi="Calibri" w:cs="Calibri"/>
          <w:vertAlign w:val="superscript"/>
        </w:rPr>
        <w:footnoteReference w:id="80"/>
      </w:r>
      <w:r>
        <w:rPr>
          <w:rFonts w:ascii="Calibri" w:eastAsia="Calibri" w:hAnsi="Calibri" w:cs="Calibri"/>
        </w:rPr>
        <w:t xml:space="preserve"> The </w:t>
      </w:r>
      <w:r>
        <w:rPr>
          <w:rFonts w:ascii="Calibri" w:eastAsia="Calibri" w:hAnsi="Calibri" w:cs="Calibri"/>
          <w:b/>
          <w:bCs/>
          <w:i/>
          <w:iCs/>
        </w:rPr>
        <w:t>PSDPA</w:t>
      </w:r>
      <w:r>
        <w:rPr>
          <w:rFonts w:ascii="Calibri" w:eastAsia="Calibri" w:hAnsi="Calibri" w:cs="Calibri"/>
        </w:rPr>
        <w:t xml:space="preserve"> does not provide compensation for future loss of earnings, career derailment, or non-economic harm, nor does it require sanctions against those responsible for the reprisals. </w:t>
      </w:r>
    </w:p>
    <w:p w14:paraId="35CBB9BD" w14:textId="77777777" w:rsidR="00822F51" w:rsidRDefault="00822F51">
      <w:pPr>
        <w:ind w:firstLine="720"/>
        <w:jc w:val="both"/>
        <w:rPr>
          <w:rFonts w:ascii="Calibri" w:eastAsia="Calibri" w:hAnsi="Calibri" w:cs="Calibri"/>
        </w:rPr>
      </w:pPr>
    </w:p>
    <w:p w14:paraId="63A1653E" w14:textId="77777777" w:rsidR="00822F51" w:rsidRDefault="001A22F2">
      <w:pPr>
        <w:ind w:firstLine="720"/>
        <w:jc w:val="both"/>
        <w:rPr>
          <w:rFonts w:ascii="Calibri" w:eastAsia="Calibri" w:hAnsi="Calibri" w:cs="Calibri"/>
        </w:rPr>
      </w:pPr>
      <w:r>
        <w:rPr>
          <w:rFonts w:ascii="Calibri" w:eastAsia="Calibri" w:hAnsi="Calibri" w:cs="Calibri"/>
        </w:rPr>
        <w:lastRenderedPageBreak/>
        <w:t xml:space="preserve">In practice, disciplinary action against the offending employer under </w:t>
      </w:r>
      <w:r>
        <w:rPr>
          <w:rFonts w:ascii="Calibri" w:eastAsia="Calibri" w:hAnsi="Calibri" w:cs="Calibri"/>
          <w:b/>
          <w:bCs/>
        </w:rPr>
        <w:t>s. 21.8</w:t>
      </w:r>
      <w:r>
        <w:rPr>
          <w:rFonts w:ascii="Calibri" w:eastAsia="Calibri" w:hAnsi="Calibri" w:cs="Calibri"/>
        </w:rPr>
        <w:t>,</w:t>
      </w:r>
      <w:r>
        <w:rPr>
          <w:rFonts w:ascii="Calibri" w:eastAsia="Calibri" w:hAnsi="Calibri" w:cs="Calibri"/>
          <w:vertAlign w:val="superscript"/>
        </w:rPr>
        <w:footnoteReference w:id="81"/>
      </w:r>
      <w:r>
        <w:rPr>
          <w:rFonts w:ascii="Calibri" w:eastAsia="Calibri" w:hAnsi="Calibri" w:cs="Calibri"/>
        </w:rPr>
        <w:t xml:space="preserve"> such as dismissal, has rarely been sought. No whistleblower has succeeded on the merits before the Tribunal, meaning that no sanctions have ever been levied against employers.</w:t>
      </w:r>
      <w:r>
        <w:rPr>
          <w:rFonts w:ascii="Calibri" w:eastAsia="Calibri" w:hAnsi="Calibri" w:cs="Calibri"/>
          <w:vertAlign w:val="superscript"/>
        </w:rPr>
        <w:footnoteReference w:id="82"/>
      </w:r>
      <w:r>
        <w:rPr>
          <w:rFonts w:ascii="Calibri" w:eastAsia="Calibri" w:hAnsi="Calibri" w:cs="Calibri"/>
        </w:rPr>
        <w:t xml:space="preserve"> While confidential settlements have occurred in several cases, they provide little in terms of public accountability or deterrence.</w:t>
      </w:r>
      <w:r>
        <w:rPr>
          <w:rFonts w:ascii="Calibri" w:eastAsia="Calibri" w:hAnsi="Calibri" w:cs="Calibri"/>
          <w:vertAlign w:val="superscript"/>
        </w:rPr>
        <w:footnoteReference w:id="83"/>
      </w:r>
      <w:r>
        <w:rPr>
          <w:rFonts w:ascii="Calibri" w:eastAsia="Calibri" w:hAnsi="Calibri" w:cs="Calibri"/>
        </w:rPr>
        <w:t xml:space="preserve"> </w:t>
      </w:r>
    </w:p>
    <w:p w14:paraId="41B5F6B5" w14:textId="77777777" w:rsidR="00822F51" w:rsidRDefault="00822F51">
      <w:pPr>
        <w:ind w:firstLine="720"/>
        <w:jc w:val="both"/>
        <w:rPr>
          <w:rFonts w:ascii="Calibri" w:eastAsia="Calibri" w:hAnsi="Calibri" w:cs="Calibri"/>
        </w:rPr>
      </w:pPr>
    </w:p>
    <w:p w14:paraId="7CC648E7" w14:textId="77777777" w:rsidR="00822F51" w:rsidRDefault="001A22F2">
      <w:pPr>
        <w:ind w:firstLine="720"/>
        <w:jc w:val="both"/>
        <w:rPr>
          <w:rFonts w:ascii="Calibri" w:eastAsia="Calibri" w:hAnsi="Calibri" w:cs="Calibri"/>
        </w:rPr>
      </w:pPr>
      <w:r>
        <w:rPr>
          <w:rFonts w:ascii="Calibri" w:eastAsia="Calibri" w:hAnsi="Calibri" w:cs="Calibri"/>
        </w:rPr>
        <w:t xml:space="preserve">During investigation and tribunal proceedings, the Integrity Commissioner may, on a discretionary basis, </w:t>
      </w:r>
      <w:proofErr w:type="spellStart"/>
      <w:r>
        <w:rPr>
          <w:rFonts w:ascii="Calibri" w:eastAsia="Calibri" w:hAnsi="Calibri" w:cs="Calibri"/>
        </w:rPr>
        <w:t>authorise</w:t>
      </w:r>
      <w:proofErr w:type="spellEnd"/>
      <w:r>
        <w:rPr>
          <w:rFonts w:ascii="Calibri" w:eastAsia="Calibri" w:hAnsi="Calibri" w:cs="Calibri"/>
        </w:rPr>
        <w:t xml:space="preserve"> legal assistance for whistleblowers under the </w:t>
      </w:r>
      <w:r>
        <w:rPr>
          <w:rFonts w:ascii="Calibri" w:eastAsia="Calibri" w:hAnsi="Calibri" w:cs="Calibri"/>
          <w:b/>
          <w:bCs/>
          <w:i/>
          <w:iCs/>
        </w:rPr>
        <w:t>PSDPA</w:t>
      </w:r>
      <w:r>
        <w:rPr>
          <w:rFonts w:ascii="Calibri" w:eastAsia="Calibri" w:hAnsi="Calibri" w:cs="Calibri"/>
        </w:rPr>
        <w:t>, with the amount of assistance capped at CAD$1500 or $3000 in “exceptional circumstances”.</w:t>
      </w:r>
      <w:r>
        <w:rPr>
          <w:rFonts w:ascii="Calibri" w:eastAsia="Calibri" w:hAnsi="Calibri" w:cs="Calibri"/>
          <w:vertAlign w:val="superscript"/>
        </w:rPr>
        <w:footnoteReference w:id="84"/>
      </w:r>
      <w:r>
        <w:rPr>
          <w:rFonts w:ascii="Calibri" w:eastAsia="Calibri" w:hAnsi="Calibri" w:cs="Calibri"/>
        </w:rPr>
        <w:t xml:space="preserve"> Even if legal assistance is granted, these amounts are insufficient to cover the costs of the complex reprisal complaint process, which can involve investigations and tribunal proceedings lasting several years. As a result, whistleblowers must either fund litigation themselves despite its workplace-related nature or abandon their claims entirely.</w:t>
      </w:r>
    </w:p>
    <w:p w14:paraId="5DE7CD3D" w14:textId="77777777" w:rsidR="00822F51" w:rsidRDefault="00822F51">
      <w:pPr>
        <w:jc w:val="both"/>
        <w:rPr>
          <w:rFonts w:ascii="Calibri" w:eastAsia="Calibri" w:hAnsi="Calibri" w:cs="Calibri"/>
        </w:rPr>
      </w:pPr>
    </w:p>
    <w:p w14:paraId="20B978CD" w14:textId="77777777" w:rsidR="00822F51" w:rsidRDefault="001A22F2">
      <w:pPr>
        <w:pStyle w:val="Heading3"/>
        <w:jc w:val="both"/>
      </w:pPr>
      <w:bookmarkStart w:id="35" w:name="_5bgmpzutefb7" w:colFirst="0" w:colLast="0"/>
      <w:bookmarkEnd w:id="35"/>
      <w:r>
        <w:t>Provincial Legislation</w:t>
      </w:r>
    </w:p>
    <w:p w14:paraId="065C0992" w14:textId="77777777" w:rsidR="00822F51" w:rsidRDefault="001A22F2">
      <w:pPr>
        <w:ind w:firstLine="720"/>
        <w:jc w:val="both"/>
        <w:rPr>
          <w:rFonts w:ascii="Calibri" w:eastAsia="Calibri" w:hAnsi="Calibri" w:cs="Calibri"/>
        </w:rPr>
      </w:pPr>
      <w:r>
        <w:rPr>
          <w:rFonts w:ascii="Calibri" w:eastAsia="Calibri" w:hAnsi="Calibri" w:cs="Calibri"/>
        </w:rPr>
        <w:t xml:space="preserve">In </w:t>
      </w:r>
      <w:r>
        <w:rPr>
          <w:rFonts w:ascii="Calibri" w:eastAsia="Calibri" w:hAnsi="Calibri" w:cs="Calibri"/>
          <w:b/>
          <w:bCs/>
        </w:rPr>
        <w:t>Alberta, Manitoba, Saskatchewan, New Brunswick, Newfoundland and Labrador,</w:t>
      </w:r>
      <w:r>
        <w:rPr>
          <w:rFonts w:ascii="Calibri" w:eastAsia="Calibri" w:hAnsi="Calibri" w:cs="Calibri"/>
        </w:rPr>
        <w:t xml:space="preserve"> and </w:t>
      </w:r>
      <w:r>
        <w:rPr>
          <w:rFonts w:ascii="Calibri" w:eastAsia="Calibri" w:hAnsi="Calibri" w:cs="Calibri"/>
          <w:b/>
          <w:bCs/>
        </w:rPr>
        <w:t>British Columbia</w:t>
      </w:r>
      <w:r>
        <w:rPr>
          <w:rFonts w:ascii="Calibri" w:eastAsia="Calibri" w:hAnsi="Calibri" w:cs="Calibri"/>
        </w:rPr>
        <w:t>, whistleblower legislation authorizes reinstatement or compensation only after a reprisal has been formally established by the adjudicating body. None of these regimes provides interim relief to protect whistleblowers from ongoing retaliation during investigations and proceedings.</w:t>
      </w:r>
      <w:r>
        <w:rPr>
          <w:rFonts w:ascii="Calibri" w:eastAsia="Calibri" w:hAnsi="Calibri" w:cs="Calibri"/>
          <w:vertAlign w:val="superscript"/>
        </w:rPr>
        <w:footnoteReference w:id="85"/>
      </w:r>
      <w:r>
        <w:rPr>
          <w:rFonts w:ascii="Calibri" w:eastAsia="Calibri" w:hAnsi="Calibri" w:cs="Calibri"/>
        </w:rPr>
        <w:t xml:space="preserve"> While </w:t>
      </w:r>
      <w:r>
        <w:rPr>
          <w:rFonts w:ascii="Calibri" w:eastAsia="Calibri" w:hAnsi="Calibri" w:cs="Calibri"/>
          <w:b/>
          <w:bCs/>
        </w:rPr>
        <w:t>New Brunswick</w:t>
      </w:r>
      <w:r>
        <w:rPr>
          <w:rFonts w:ascii="Calibri" w:eastAsia="Calibri" w:hAnsi="Calibri" w:cs="Calibri"/>
        </w:rPr>
        <w:t xml:space="preserve"> permits a temporary transfer during an investigation, it offers no accompanying income replacement during that period.</w:t>
      </w:r>
      <w:r>
        <w:rPr>
          <w:rFonts w:ascii="Calibri" w:eastAsia="Calibri" w:hAnsi="Calibri" w:cs="Calibri"/>
          <w:vertAlign w:val="superscript"/>
        </w:rPr>
        <w:footnoteReference w:id="86"/>
      </w:r>
      <w:r>
        <w:rPr>
          <w:rFonts w:ascii="Calibri" w:eastAsia="Calibri" w:hAnsi="Calibri" w:cs="Calibri"/>
        </w:rPr>
        <w:t xml:space="preserve"> </w:t>
      </w:r>
    </w:p>
    <w:p w14:paraId="13E7E941" w14:textId="77777777" w:rsidR="00822F51" w:rsidRDefault="00822F51">
      <w:pPr>
        <w:ind w:firstLine="720"/>
        <w:jc w:val="both"/>
        <w:rPr>
          <w:rFonts w:ascii="Calibri" w:eastAsia="Calibri" w:hAnsi="Calibri" w:cs="Calibri"/>
        </w:rPr>
      </w:pPr>
    </w:p>
    <w:p w14:paraId="42EC1377" w14:textId="77777777" w:rsidR="00822F51" w:rsidRDefault="001A22F2">
      <w:pPr>
        <w:ind w:firstLine="720"/>
        <w:jc w:val="both"/>
        <w:rPr>
          <w:rFonts w:ascii="Calibri" w:eastAsia="Calibri" w:hAnsi="Calibri" w:cs="Calibri"/>
        </w:rPr>
      </w:pPr>
      <w:r>
        <w:rPr>
          <w:rFonts w:ascii="Calibri" w:eastAsia="Calibri" w:hAnsi="Calibri" w:cs="Calibri"/>
        </w:rPr>
        <w:t xml:space="preserve">Several provinces provide for legal support or cost recovery for whistleblowers during the reprisal process but do so on a discretionary basis or only in limited circumstances. </w:t>
      </w:r>
      <w:r>
        <w:rPr>
          <w:rFonts w:ascii="Calibri" w:eastAsia="Calibri" w:hAnsi="Calibri" w:cs="Calibri"/>
          <w:b/>
          <w:bCs/>
        </w:rPr>
        <w:t>Alberta</w:t>
      </w:r>
      <w:r>
        <w:rPr>
          <w:rFonts w:ascii="Calibri" w:eastAsia="Calibri" w:hAnsi="Calibri" w:cs="Calibri"/>
        </w:rPr>
        <w:t xml:space="preserve"> allows the </w:t>
      </w:r>
      <w:proofErr w:type="spellStart"/>
      <w:r>
        <w:rPr>
          <w:rFonts w:ascii="Calibri" w:eastAsia="Calibri" w:hAnsi="Calibri" w:cs="Calibri"/>
        </w:rPr>
        <w:t>Labour</w:t>
      </w:r>
      <w:proofErr w:type="spellEnd"/>
      <w:r>
        <w:rPr>
          <w:rFonts w:ascii="Calibri" w:eastAsia="Calibri" w:hAnsi="Calibri" w:cs="Calibri"/>
        </w:rPr>
        <w:t xml:space="preserve"> Relations Board to order an employer to pay a whistleblower's legal costs after a successful complaint.</w:t>
      </w:r>
      <w:r>
        <w:rPr>
          <w:rFonts w:ascii="Calibri" w:eastAsia="Calibri" w:hAnsi="Calibri" w:cs="Calibri"/>
          <w:vertAlign w:val="superscript"/>
        </w:rPr>
        <w:footnoteReference w:id="87"/>
      </w:r>
      <w:r>
        <w:rPr>
          <w:rFonts w:ascii="Calibri" w:eastAsia="Calibri" w:hAnsi="Calibri" w:cs="Calibri"/>
        </w:rPr>
        <w:t xml:space="preserve"> </w:t>
      </w:r>
      <w:r>
        <w:rPr>
          <w:rFonts w:ascii="Calibri" w:eastAsia="Calibri" w:hAnsi="Calibri" w:cs="Calibri"/>
          <w:b/>
          <w:bCs/>
        </w:rPr>
        <w:t>British Columbia</w:t>
      </w:r>
      <w:r>
        <w:rPr>
          <w:rFonts w:ascii="Calibri" w:eastAsia="Calibri" w:hAnsi="Calibri" w:cs="Calibri"/>
        </w:rPr>
        <w:t>, by contrast, provides indemnification only for legal costs in civil actions before the Supreme Court, not as a dedicated whistleblower support mechanism.</w:t>
      </w:r>
      <w:r>
        <w:rPr>
          <w:rFonts w:ascii="Calibri" w:eastAsia="Calibri" w:hAnsi="Calibri" w:cs="Calibri"/>
          <w:vertAlign w:val="superscript"/>
        </w:rPr>
        <w:footnoteReference w:id="88"/>
      </w:r>
      <w:r>
        <w:rPr>
          <w:rFonts w:ascii="Calibri" w:eastAsia="Calibri" w:hAnsi="Calibri" w:cs="Calibri"/>
        </w:rPr>
        <w:t xml:space="preserve"> </w:t>
      </w:r>
      <w:r>
        <w:rPr>
          <w:rFonts w:ascii="Calibri" w:eastAsia="Calibri" w:hAnsi="Calibri" w:cs="Calibri"/>
          <w:b/>
          <w:bCs/>
        </w:rPr>
        <w:t>Manitoba</w:t>
      </w:r>
      <w:r>
        <w:rPr>
          <w:rFonts w:ascii="Calibri" w:eastAsia="Calibri" w:hAnsi="Calibri" w:cs="Calibri"/>
        </w:rPr>
        <w:t>’s legislation authorizes the designated officer or Ombudsman to arrange legal advice where they consider it necessary to further the Act’s purposes.</w:t>
      </w:r>
      <w:r>
        <w:rPr>
          <w:rFonts w:ascii="Calibri" w:eastAsia="Calibri" w:hAnsi="Calibri" w:cs="Calibri"/>
          <w:vertAlign w:val="superscript"/>
        </w:rPr>
        <w:footnoteReference w:id="89"/>
      </w:r>
      <w:r>
        <w:rPr>
          <w:rFonts w:ascii="Calibri" w:eastAsia="Calibri" w:hAnsi="Calibri" w:cs="Calibri"/>
          <w:b/>
          <w:bCs/>
        </w:rPr>
        <w:t xml:space="preserve"> Newfoundland and Labrador</w:t>
      </w:r>
      <w:r>
        <w:rPr>
          <w:rFonts w:ascii="Calibri" w:eastAsia="Calibri" w:hAnsi="Calibri" w:cs="Calibri"/>
        </w:rPr>
        <w:t xml:space="preserve">’s Act similarly permits legal advice, but the maximum </w:t>
      </w:r>
      <w:r>
        <w:rPr>
          <w:rFonts w:ascii="Calibri" w:eastAsia="Calibri" w:hAnsi="Calibri" w:cs="Calibri"/>
        </w:rPr>
        <w:lastRenderedPageBreak/>
        <w:t>assistance is fixed at $3,000.</w:t>
      </w:r>
      <w:r>
        <w:rPr>
          <w:rFonts w:ascii="Calibri" w:eastAsia="Calibri" w:hAnsi="Calibri" w:cs="Calibri"/>
          <w:vertAlign w:val="superscript"/>
        </w:rPr>
        <w:footnoteReference w:id="90"/>
      </w:r>
      <w:r>
        <w:rPr>
          <w:rFonts w:ascii="Calibri" w:eastAsia="Calibri" w:hAnsi="Calibri" w:cs="Calibri"/>
        </w:rPr>
        <w:t xml:space="preserve"> </w:t>
      </w:r>
      <w:r>
        <w:rPr>
          <w:rFonts w:ascii="Calibri" w:eastAsia="Calibri" w:hAnsi="Calibri" w:cs="Calibri"/>
          <w:b/>
          <w:bCs/>
        </w:rPr>
        <w:t>Quebec</w:t>
      </w:r>
      <w:r>
        <w:rPr>
          <w:rFonts w:ascii="Calibri" w:eastAsia="Calibri" w:hAnsi="Calibri" w:cs="Calibri"/>
        </w:rPr>
        <w:t xml:space="preserve"> provides access to legal advice only where, in the Public Protector’s opinion, the person is in a “special situation warranting legal assistance”, thus adding additional burdens to whistleblowers.</w:t>
      </w:r>
      <w:r>
        <w:rPr>
          <w:rFonts w:ascii="Calibri" w:eastAsia="Calibri" w:hAnsi="Calibri" w:cs="Calibri"/>
          <w:vertAlign w:val="superscript"/>
        </w:rPr>
        <w:footnoteReference w:id="91"/>
      </w:r>
      <w:r>
        <w:rPr>
          <w:rFonts w:ascii="Calibri" w:eastAsia="Calibri" w:hAnsi="Calibri" w:cs="Calibri"/>
        </w:rPr>
        <w:t xml:space="preserve"> Under these provincial laws, legal support is not a guaranteed right and is, rather, dependent on discretionary judgement, limiting meaningful access to justice for whistleblowers pursuing reprisal complaints. Additionally, jurisdictions like </w:t>
      </w:r>
      <w:r>
        <w:rPr>
          <w:rFonts w:ascii="Calibri" w:eastAsia="Calibri" w:hAnsi="Calibri" w:cs="Calibri"/>
          <w:b/>
          <w:bCs/>
        </w:rPr>
        <w:t xml:space="preserve">Saskatchewan, Nova Scotia, </w:t>
      </w:r>
      <w:r>
        <w:rPr>
          <w:rFonts w:ascii="Calibri" w:eastAsia="Calibri" w:hAnsi="Calibri" w:cs="Calibri"/>
        </w:rPr>
        <w:t xml:space="preserve">and the </w:t>
      </w:r>
      <w:r>
        <w:rPr>
          <w:rFonts w:ascii="Calibri" w:eastAsia="Calibri" w:hAnsi="Calibri" w:cs="Calibri"/>
          <w:b/>
          <w:bCs/>
        </w:rPr>
        <w:t xml:space="preserve">Yukon </w:t>
      </w:r>
      <w:r>
        <w:rPr>
          <w:rFonts w:ascii="Calibri" w:eastAsia="Calibri" w:hAnsi="Calibri" w:cs="Calibri"/>
        </w:rPr>
        <w:t>do not provide explicit legal assistance or cost-recovery in their Act’s provisions.</w:t>
      </w:r>
      <w:r>
        <w:rPr>
          <w:rFonts w:ascii="Calibri" w:eastAsia="Calibri" w:hAnsi="Calibri" w:cs="Calibri"/>
          <w:vertAlign w:val="superscript"/>
        </w:rPr>
        <w:footnoteReference w:id="92"/>
      </w:r>
    </w:p>
    <w:p w14:paraId="75B3A68D" w14:textId="77777777" w:rsidR="00822F51" w:rsidRDefault="00822F51">
      <w:pPr>
        <w:ind w:firstLine="720"/>
        <w:jc w:val="both"/>
        <w:rPr>
          <w:rFonts w:ascii="Calibri" w:eastAsia="Calibri" w:hAnsi="Calibri" w:cs="Calibri"/>
        </w:rPr>
      </w:pPr>
    </w:p>
    <w:p w14:paraId="080965C3" w14:textId="77777777" w:rsidR="00822F51" w:rsidRDefault="001A22F2">
      <w:pPr>
        <w:ind w:firstLine="720"/>
        <w:jc w:val="both"/>
        <w:rPr>
          <w:rFonts w:ascii="Calibri" w:eastAsia="Calibri" w:hAnsi="Calibri" w:cs="Calibri"/>
        </w:rPr>
      </w:pPr>
      <w:r>
        <w:rPr>
          <w:rFonts w:ascii="Calibri" w:eastAsia="Calibri" w:hAnsi="Calibri" w:cs="Calibri"/>
        </w:rPr>
        <w:t xml:space="preserve">The absence of interim protection, coupled with limited post hoc remedies, allows reprisals to continue unchecked. By the time a complaint is resolved, a whistleblower’s employment, professional reputation, and career trajectory are often irreparably damaged. Remedies that become available only after prolonged harm, if they are granted at all, do little to alter outcomes or deter future retaliation. For the purposes of </w:t>
      </w:r>
      <w:r>
        <w:rPr>
          <w:rFonts w:ascii="Calibri" w:eastAsia="Calibri" w:hAnsi="Calibri" w:cs="Calibri"/>
          <w:b/>
          <w:bCs/>
        </w:rPr>
        <w:t>Article 2(3)</w:t>
      </w:r>
      <w:r>
        <w:rPr>
          <w:rFonts w:ascii="Calibri" w:eastAsia="Calibri" w:hAnsi="Calibri" w:cs="Calibri"/>
        </w:rPr>
        <w:t xml:space="preserve"> of the </w:t>
      </w:r>
      <w:r>
        <w:rPr>
          <w:rFonts w:ascii="Calibri" w:eastAsia="Calibri" w:hAnsi="Calibri" w:cs="Calibri"/>
          <w:b/>
          <w:bCs/>
        </w:rPr>
        <w:t>ICCPR</w:t>
      </w:r>
      <w:r>
        <w:rPr>
          <w:rFonts w:ascii="Calibri" w:eastAsia="Calibri" w:hAnsi="Calibri" w:cs="Calibri"/>
        </w:rPr>
        <w:t xml:space="preserve">, a remedial framework that fails to prevent ongoing harm and offers only limited, discretionary relief at the conclusion of a lengthy process does not constitute an effective remedy. </w:t>
      </w:r>
    </w:p>
    <w:p w14:paraId="6B91AB1A" w14:textId="77777777" w:rsidR="00822F51" w:rsidRDefault="00822F51">
      <w:pPr>
        <w:rPr>
          <w:rFonts w:ascii="Calibri" w:eastAsia="Calibri" w:hAnsi="Calibri" w:cs="Calibri"/>
        </w:rPr>
      </w:pP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822F51" w14:paraId="3C3BF871" w14:textId="77777777">
        <w:tc>
          <w:tcPr>
            <w:tcW w:w="9360" w:type="dxa"/>
            <w:tcMar>
              <w:top w:w="100" w:type="dxa"/>
              <w:left w:w="100" w:type="dxa"/>
              <w:bottom w:w="100" w:type="dxa"/>
              <w:right w:w="100" w:type="dxa"/>
            </w:tcMar>
          </w:tcPr>
          <w:p w14:paraId="4E5DE64D" w14:textId="77777777" w:rsidR="00822F51" w:rsidRDefault="001A22F2">
            <w:pPr>
              <w:pStyle w:val="Heading4"/>
              <w:jc w:val="both"/>
            </w:pPr>
            <w:bookmarkStart w:id="36" w:name="_en5vi59j9vyk" w:colFirst="0" w:colLast="0"/>
            <w:bookmarkEnd w:id="36"/>
            <w:r>
              <w:t xml:space="preserve">Recommended Questions </w:t>
            </w:r>
            <w:r>
              <w:rPr>
                <w:color w:val="FFFFFF"/>
              </w:rPr>
              <w:t xml:space="preserve">and Recommendations </w:t>
            </w:r>
          </w:p>
          <w:p w14:paraId="0358FA82" w14:textId="77777777" w:rsidR="00822F51" w:rsidRDefault="001A22F2">
            <w:pPr>
              <w:numPr>
                <w:ilvl w:val="0"/>
                <w:numId w:val="1"/>
              </w:numPr>
              <w:jc w:val="both"/>
              <w:rPr>
                <w:rFonts w:ascii="Calibri" w:eastAsia="Calibri" w:hAnsi="Calibri" w:cs="Calibri"/>
              </w:rPr>
            </w:pPr>
            <w:r>
              <w:rPr>
                <w:rFonts w:ascii="Calibri" w:eastAsia="Calibri" w:hAnsi="Calibri" w:cs="Calibri"/>
              </w:rPr>
              <w:t xml:space="preserve">What measures are in place to protect whistleblowers from ongoing retaliation during lengthy investigative and adjudicative processes? </w:t>
            </w:r>
          </w:p>
          <w:p w14:paraId="078EFB3C" w14:textId="77777777" w:rsidR="00822F51" w:rsidRDefault="001A22F2">
            <w:pPr>
              <w:numPr>
                <w:ilvl w:val="0"/>
                <w:numId w:val="1"/>
              </w:numPr>
              <w:jc w:val="both"/>
              <w:rPr>
                <w:rFonts w:ascii="Calibri" w:eastAsia="Calibri" w:hAnsi="Calibri" w:cs="Calibri"/>
              </w:rPr>
            </w:pPr>
            <w:r>
              <w:rPr>
                <w:rFonts w:ascii="Calibri" w:eastAsia="Calibri" w:hAnsi="Calibri" w:cs="Calibri"/>
              </w:rPr>
              <w:t>What steps will Canada take to ensure timely, effective and restorative remedies and sufficient legal assistance are available to whistleblowers, including by providing interim relief during investigation or adjudication of the reprisal complaints?</w:t>
            </w:r>
          </w:p>
          <w:p w14:paraId="1348F482" w14:textId="77777777" w:rsidR="00822F51" w:rsidRDefault="00822F51">
            <w:pPr>
              <w:ind w:left="720"/>
              <w:jc w:val="both"/>
              <w:rPr>
                <w:rFonts w:ascii="Calibri" w:eastAsia="Calibri" w:hAnsi="Calibri" w:cs="Calibri"/>
              </w:rPr>
            </w:pPr>
          </w:p>
          <w:p w14:paraId="70D8CC2E" w14:textId="77777777" w:rsidR="00822F51" w:rsidRDefault="001A22F2">
            <w:pPr>
              <w:jc w:val="both"/>
              <w:rPr>
                <w:rFonts w:ascii="Calibri" w:eastAsia="Calibri" w:hAnsi="Calibri" w:cs="Calibri"/>
                <w:b/>
                <w:bCs/>
              </w:rPr>
            </w:pPr>
            <w:r>
              <w:rPr>
                <w:rFonts w:ascii="Calibri" w:eastAsia="Calibri" w:hAnsi="Calibri" w:cs="Calibri"/>
                <w:b/>
                <w:bCs/>
              </w:rPr>
              <w:t xml:space="preserve">Recommendations </w:t>
            </w:r>
          </w:p>
          <w:p w14:paraId="481E0050" w14:textId="77777777" w:rsidR="00822F51" w:rsidRDefault="001A22F2">
            <w:pPr>
              <w:numPr>
                <w:ilvl w:val="0"/>
                <w:numId w:val="8"/>
              </w:numPr>
              <w:jc w:val="both"/>
              <w:rPr>
                <w:rFonts w:ascii="Calibri" w:eastAsia="Calibri" w:hAnsi="Calibri" w:cs="Calibri"/>
              </w:rPr>
            </w:pPr>
            <w:r>
              <w:rPr>
                <w:rFonts w:ascii="Calibri" w:eastAsia="Calibri" w:hAnsi="Calibri" w:cs="Calibri"/>
              </w:rPr>
              <w:t xml:space="preserve">Canada should provide statutory authority for interim relief, including suspension of disciplinary measures, voluntary transfer, or preservation of employment conditions, while reprisal complaints are under investigation or adjudication. </w:t>
            </w:r>
          </w:p>
          <w:p w14:paraId="41FEE3CA" w14:textId="77777777" w:rsidR="00822F51" w:rsidRDefault="001A22F2">
            <w:pPr>
              <w:numPr>
                <w:ilvl w:val="0"/>
                <w:numId w:val="8"/>
              </w:numPr>
              <w:jc w:val="both"/>
              <w:rPr>
                <w:rFonts w:ascii="Calibri" w:eastAsia="Calibri" w:hAnsi="Calibri" w:cs="Calibri"/>
              </w:rPr>
            </w:pPr>
            <w:r>
              <w:rPr>
                <w:rFonts w:ascii="Calibri" w:eastAsia="Calibri" w:hAnsi="Calibri" w:cs="Calibri"/>
              </w:rPr>
              <w:t>Canada should ensure that all whistleblower protection legislation provides timely, effective and restorative remedies, including remedies that restore pre-disclosure employment status, compensating for losses, while ensuring that corrective measures and sanctions may still be ordered against wrongdoers.</w:t>
            </w:r>
          </w:p>
          <w:p w14:paraId="6A759758" w14:textId="77777777" w:rsidR="00822F51" w:rsidRDefault="001A22F2">
            <w:pPr>
              <w:numPr>
                <w:ilvl w:val="0"/>
                <w:numId w:val="8"/>
              </w:numPr>
              <w:jc w:val="both"/>
              <w:rPr>
                <w:rFonts w:ascii="Calibri" w:eastAsia="Calibri" w:hAnsi="Calibri" w:cs="Calibri"/>
              </w:rPr>
            </w:pPr>
            <w:r>
              <w:rPr>
                <w:rFonts w:ascii="Calibri" w:eastAsia="Calibri" w:hAnsi="Calibri" w:cs="Calibri"/>
              </w:rPr>
              <w:t>​​</w:t>
            </w:r>
            <w:r>
              <w:rPr>
                <w:rFonts w:ascii="Calibri" w:eastAsia="Calibri" w:hAnsi="Calibri" w:cs="Calibri"/>
              </w:rPr>
              <w:t>Canada should work with provinces and territories to establish minimum standards for whistleblower protection, in order to reduce disparities in coverage and remedies across jurisdictions.</w:t>
            </w:r>
          </w:p>
        </w:tc>
      </w:tr>
    </w:tbl>
    <w:p w14:paraId="63B6C8FC" w14:textId="77777777" w:rsidR="00822F51" w:rsidRDefault="00822F51">
      <w:pPr>
        <w:rPr>
          <w:rFonts w:ascii="Calibri" w:eastAsia="Calibri" w:hAnsi="Calibri" w:cs="Calibri"/>
        </w:rPr>
      </w:pPr>
    </w:p>
    <w:p w14:paraId="764965C0" w14:textId="77777777" w:rsidR="00822F51" w:rsidRDefault="001A22F2">
      <w:pPr>
        <w:pStyle w:val="Heading1"/>
        <w:jc w:val="center"/>
      </w:pPr>
      <w:bookmarkStart w:id="37" w:name="_3xxgh3jyw3z" w:colFirst="0" w:colLast="0"/>
      <w:bookmarkEnd w:id="37"/>
      <w:r>
        <w:lastRenderedPageBreak/>
        <w:br w:type="page"/>
      </w:r>
    </w:p>
    <w:p w14:paraId="78D180C4" w14:textId="77777777" w:rsidR="00822F51" w:rsidRDefault="001A22F2">
      <w:pPr>
        <w:pStyle w:val="Heading1"/>
        <w:jc w:val="center"/>
      </w:pPr>
      <w:bookmarkStart w:id="38" w:name="_3x4tabkg19ui" w:colFirst="0" w:colLast="0"/>
      <w:bookmarkEnd w:id="38"/>
      <w:r>
        <w:lastRenderedPageBreak/>
        <w:t>Appendix</w:t>
      </w:r>
    </w:p>
    <w:p w14:paraId="1845CF86" w14:textId="77777777" w:rsidR="00822F51" w:rsidRDefault="00822F51"/>
    <w:p w14:paraId="493705F2" w14:textId="77777777" w:rsidR="00822F51" w:rsidRDefault="001A22F2">
      <w:pPr>
        <w:pStyle w:val="Heading2"/>
        <w:jc w:val="center"/>
        <w:rPr>
          <w:i w:val="0"/>
          <w:iCs w:val="0"/>
          <w:u w:val="none"/>
        </w:rPr>
      </w:pPr>
      <w:bookmarkStart w:id="39" w:name="_pkccejz4m42r" w:colFirst="0" w:colLast="0"/>
      <w:bookmarkEnd w:id="39"/>
      <w:r>
        <w:rPr>
          <w:i w:val="0"/>
          <w:iCs w:val="0"/>
          <w:u w:val="none"/>
        </w:rPr>
        <w:t>Canada’s Compliance with International Best Practices for Whistleblower Policies</w:t>
      </w:r>
    </w:p>
    <w:p w14:paraId="5EEBEC94" w14:textId="77777777" w:rsidR="00822F51" w:rsidRDefault="00822F51">
      <w:pPr>
        <w:jc w:val="center"/>
        <w:rPr>
          <w:rFonts w:ascii="Calibri" w:eastAsia="Calibri" w:hAnsi="Calibri" w:cs="Calibri"/>
          <w:b/>
          <w:bCs/>
        </w:rPr>
      </w:pPr>
    </w:p>
    <w:p w14:paraId="1BDFD78A" w14:textId="77777777" w:rsidR="00822F51" w:rsidRDefault="001A22F2">
      <w:pPr>
        <w:ind w:firstLine="720"/>
        <w:jc w:val="both"/>
        <w:rPr>
          <w:rFonts w:ascii="Calibri" w:eastAsia="Calibri" w:hAnsi="Calibri" w:cs="Calibri"/>
        </w:rPr>
      </w:pPr>
      <w:r>
        <w:rPr>
          <w:rFonts w:ascii="Calibri" w:eastAsia="Calibri" w:hAnsi="Calibri" w:cs="Calibri"/>
        </w:rPr>
        <w:t xml:space="preserve">The chart below assesses Canadian federal and provincial whistleblower protection statutes against the checklist of 20 international best-practice (IBP) standards for any whistleblower protection law identified by the </w:t>
      </w:r>
      <w:r>
        <w:rPr>
          <w:rFonts w:ascii="Calibri" w:eastAsia="Calibri" w:hAnsi="Calibri" w:cs="Calibri"/>
          <w:i/>
          <w:iCs/>
        </w:rPr>
        <w:t xml:space="preserve">Government Accountability Project </w:t>
      </w:r>
      <w:r>
        <w:rPr>
          <w:rFonts w:ascii="Calibri" w:eastAsia="Calibri" w:hAnsi="Calibri" w:cs="Calibri"/>
        </w:rPr>
        <w:t>(GAP).</w:t>
      </w:r>
      <w:r>
        <w:rPr>
          <w:rFonts w:ascii="Calibri" w:eastAsia="Calibri" w:hAnsi="Calibri" w:cs="Calibri"/>
          <w:vertAlign w:val="superscript"/>
        </w:rPr>
        <w:footnoteReference w:id="93"/>
      </w:r>
      <w:r>
        <w:rPr>
          <w:rFonts w:ascii="Calibri" w:eastAsia="Calibri" w:hAnsi="Calibri" w:cs="Calibri"/>
        </w:rPr>
        <w:t xml:space="preserve"> Each minimum standard developed by GAP is illustrated with examples of best practices drawn from national statute and intergovernmental </w:t>
      </w:r>
      <w:proofErr w:type="spellStart"/>
      <w:r>
        <w:rPr>
          <w:rFonts w:ascii="Calibri" w:eastAsia="Calibri" w:hAnsi="Calibri" w:cs="Calibri"/>
        </w:rPr>
        <w:t>organisational</w:t>
      </w:r>
      <w:proofErr w:type="spellEnd"/>
      <w:r>
        <w:rPr>
          <w:rFonts w:ascii="Calibri" w:eastAsia="Calibri" w:hAnsi="Calibri" w:cs="Calibri"/>
        </w:rPr>
        <w:t xml:space="preserve"> policies, with detailed explanation provided in their </w:t>
      </w:r>
      <w:hyperlink r:id="rId9">
        <w:r w:rsidR="00822F51">
          <w:rPr>
            <w:rFonts w:ascii="Calibri" w:eastAsia="Calibri" w:hAnsi="Calibri" w:cs="Calibri"/>
            <w:color w:val="1155CC"/>
            <w:u w:val="single"/>
          </w:rPr>
          <w:t>publication</w:t>
        </w:r>
      </w:hyperlink>
      <w:r>
        <w:rPr>
          <w:rFonts w:ascii="Calibri" w:eastAsia="Calibri" w:hAnsi="Calibri" w:cs="Calibri"/>
        </w:rPr>
        <w:t xml:space="preserve">. </w:t>
      </w:r>
    </w:p>
    <w:p w14:paraId="755C8094" w14:textId="77777777" w:rsidR="00822F51" w:rsidRDefault="00822F51">
      <w:pPr>
        <w:ind w:firstLine="720"/>
        <w:jc w:val="both"/>
        <w:rPr>
          <w:rFonts w:ascii="Calibri" w:eastAsia="Calibri" w:hAnsi="Calibri" w:cs="Calibri"/>
        </w:rPr>
      </w:pPr>
    </w:p>
    <w:p w14:paraId="78BD977C" w14:textId="77777777" w:rsidR="00822F51" w:rsidRDefault="001A22F2">
      <w:pPr>
        <w:ind w:firstLine="720"/>
        <w:jc w:val="both"/>
        <w:rPr>
          <w:rFonts w:ascii="Calibri" w:eastAsia="Calibri" w:hAnsi="Calibri" w:cs="Calibri"/>
        </w:rPr>
      </w:pPr>
      <w:r>
        <w:rPr>
          <w:rFonts w:ascii="Calibri" w:eastAsia="Calibri" w:hAnsi="Calibri" w:cs="Calibri"/>
        </w:rPr>
        <w:t>The chart highlights legislative gaps and structural weaknesses that undermine whistleblower protection across Canadian jurisdictions, showing the Canadian laws that provide real protection to whistleblowers and those that offer only symbolic or insubstantial safeguards.</w:t>
      </w:r>
      <w:r>
        <w:rPr>
          <w:rFonts w:ascii="Calibri" w:eastAsia="Calibri" w:hAnsi="Calibri" w:cs="Calibri"/>
          <w:vertAlign w:val="superscript"/>
        </w:rPr>
        <w:footnoteReference w:id="94"/>
      </w:r>
      <w:r>
        <w:rPr>
          <w:rFonts w:ascii="Calibri" w:eastAsia="Calibri" w:hAnsi="Calibri" w:cs="Calibri"/>
        </w:rPr>
        <w:t xml:space="preserve"> Each statute is evaluated based on legislative wording, as well as their practical effectiveness in offering protection to whistleblowers.</w:t>
      </w:r>
    </w:p>
    <w:p w14:paraId="1C697BA4" w14:textId="77777777" w:rsidR="00822F51" w:rsidRDefault="00822F51">
      <w:pPr>
        <w:ind w:firstLine="720"/>
        <w:jc w:val="both"/>
        <w:rPr>
          <w:rFonts w:ascii="Calibri" w:eastAsia="Calibri" w:hAnsi="Calibri" w:cs="Calibri"/>
        </w:rPr>
      </w:pPr>
    </w:p>
    <w:p w14:paraId="15B90558" w14:textId="77777777" w:rsidR="00822F51" w:rsidRDefault="001A22F2">
      <w:pPr>
        <w:jc w:val="both"/>
        <w:rPr>
          <w:rFonts w:ascii="Calibri" w:eastAsia="Calibri" w:hAnsi="Calibri" w:cs="Calibri"/>
          <w:b/>
          <w:bCs/>
        </w:rPr>
      </w:pPr>
      <w:r>
        <w:rPr>
          <w:rFonts w:ascii="Calibri" w:eastAsia="Calibri" w:hAnsi="Calibri" w:cs="Calibri"/>
          <w:b/>
          <w:bCs/>
        </w:rPr>
        <w:t>Scoring Methodology</w:t>
      </w:r>
    </w:p>
    <w:p w14:paraId="760EAE5F" w14:textId="77777777" w:rsidR="00822F51" w:rsidRDefault="00822F51">
      <w:pPr>
        <w:jc w:val="both"/>
        <w:rPr>
          <w:rFonts w:ascii="Calibri" w:eastAsia="Calibri" w:hAnsi="Calibri" w:cs="Calibri"/>
          <w:b/>
          <w:bCs/>
        </w:rPr>
      </w:pPr>
    </w:p>
    <w:p w14:paraId="2C447590" w14:textId="77777777" w:rsidR="00822F51" w:rsidRDefault="001A22F2">
      <w:pPr>
        <w:numPr>
          <w:ilvl w:val="0"/>
          <w:numId w:val="15"/>
        </w:numPr>
        <w:jc w:val="both"/>
        <w:rPr>
          <w:rFonts w:ascii="Calibri" w:eastAsia="Calibri" w:hAnsi="Calibri" w:cs="Calibri"/>
        </w:rPr>
      </w:pPr>
      <w:r>
        <w:rPr>
          <w:rFonts w:ascii="Calibri" w:eastAsia="Calibri" w:hAnsi="Calibri" w:cs="Calibri"/>
          <w:b/>
          <w:bCs/>
        </w:rPr>
        <w:t>MET (green)</w:t>
      </w:r>
      <w:r>
        <w:rPr>
          <w:rFonts w:ascii="Calibri" w:eastAsia="Calibri" w:hAnsi="Calibri" w:cs="Calibri"/>
        </w:rPr>
        <w:t xml:space="preserve"> indicates that the statutory framework meets the IBP standard in both design and operation, providing reliable and enforceable protection.</w:t>
      </w:r>
    </w:p>
    <w:p w14:paraId="595EE350" w14:textId="77777777" w:rsidR="00822F51" w:rsidRDefault="001A22F2">
      <w:pPr>
        <w:numPr>
          <w:ilvl w:val="0"/>
          <w:numId w:val="15"/>
        </w:numPr>
        <w:jc w:val="both"/>
        <w:rPr>
          <w:rFonts w:ascii="Calibri" w:eastAsia="Calibri" w:hAnsi="Calibri" w:cs="Calibri"/>
        </w:rPr>
      </w:pPr>
      <w:r>
        <w:rPr>
          <w:rFonts w:ascii="Calibri" w:eastAsia="Calibri" w:hAnsi="Calibri" w:cs="Calibri"/>
          <w:b/>
          <w:bCs/>
        </w:rPr>
        <w:t xml:space="preserve">PARTIAL (yellow) </w:t>
      </w:r>
      <w:r>
        <w:rPr>
          <w:rFonts w:ascii="Calibri" w:eastAsia="Calibri" w:hAnsi="Calibri" w:cs="Calibri"/>
        </w:rPr>
        <w:t>indicates that the standard is only partially satisfied, either because:</w:t>
      </w:r>
    </w:p>
    <w:p w14:paraId="28435146" w14:textId="66D09F46" w:rsidR="00822F51" w:rsidRDefault="001A22F2">
      <w:pPr>
        <w:numPr>
          <w:ilvl w:val="1"/>
          <w:numId w:val="15"/>
        </w:numPr>
        <w:jc w:val="both"/>
        <w:rPr>
          <w:rFonts w:ascii="Calibri" w:eastAsia="Calibri" w:hAnsi="Calibri" w:cs="Calibri"/>
        </w:rPr>
      </w:pPr>
      <w:r>
        <w:rPr>
          <w:rFonts w:ascii="Calibri" w:eastAsia="Calibri" w:hAnsi="Calibri" w:cs="Calibri"/>
        </w:rPr>
        <w:t xml:space="preserve">There is no clear statutory basis for the </w:t>
      </w:r>
      <w:r w:rsidR="006C032A">
        <w:rPr>
          <w:rFonts w:ascii="Calibri" w:eastAsia="Calibri" w:hAnsi="Calibri" w:cs="Calibri"/>
        </w:rPr>
        <w:t>protection,</w:t>
      </w:r>
      <w:r>
        <w:rPr>
          <w:rFonts w:ascii="Calibri" w:eastAsia="Calibri" w:hAnsi="Calibri" w:cs="Calibri"/>
        </w:rPr>
        <w:t xml:space="preserve"> but it sometimes occurs in practice; or</w:t>
      </w:r>
    </w:p>
    <w:p w14:paraId="3991C2C5" w14:textId="60C47809" w:rsidR="00822F51" w:rsidRDefault="001A22F2">
      <w:pPr>
        <w:numPr>
          <w:ilvl w:val="1"/>
          <w:numId w:val="15"/>
        </w:numPr>
        <w:jc w:val="both"/>
        <w:rPr>
          <w:rFonts w:ascii="Calibri" w:eastAsia="Calibri" w:hAnsi="Calibri" w:cs="Calibri"/>
        </w:rPr>
      </w:pPr>
      <w:r>
        <w:rPr>
          <w:rFonts w:ascii="Calibri" w:eastAsia="Calibri" w:hAnsi="Calibri" w:cs="Calibri"/>
        </w:rPr>
        <w:t xml:space="preserve">There is a statutory basis, but the protection is applied unevenly, subject to broad discretion, or rarely </w:t>
      </w:r>
      <w:proofErr w:type="spellStart"/>
      <w:r>
        <w:rPr>
          <w:rFonts w:ascii="Calibri" w:eastAsia="Calibri" w:hAnsi="Calibri" w:cs="Calibri"/>
        </w:rPr>
        <w:t>realised</w:t>
      </w:r>
      <w:proofErr w:type="spellEnd"/>
      <w:r>
        <w:rPr>
          <w:rFonts w:ascii="Calibri" w:eastAsia="Calibri" w:hAnsi="Calibri" w:cs="Calibri"/>
        </w:rPr>
        <w:t xml:space="preserve"> in practice.</w:t>
      </w:r>
    </w:p>
    <w:p w14:paraId="27E9DF54" w14:textId="77777777" w:rsidR="00822F51" w:rsidRDefault="001A22F2">
      <w:pPr>
        <w:numPr>
          <w:ilvl w:val="0"/>
          <w:numId w:val="15"/>
        </w:numPr>
        <w:jc w:val="both"/>
        <w:rPr>
          <w:rFonts w:ascii="Calibri" w:eastAsia="Calibri" w:hAnsi="Calibri" w:cs="Calibri"/>
        </w:rPr>
      </w:pPr>
      <w:r>
        <w:rPr>
          <w:rFonts w:ascii="Calibri" w:eastAsia="Calibri" w:hAnsi="Calibri" w:cs="Calibri"/>
          <w:b/>
          <w:bCs/>
        </w:rPr>
        <w:t>FAIL (red)</w:t>
      </w:r>
      <w:r>
        <w:rPr>
          <w:rFonts w:ascii="Calibri" w:eastAsia="Calibri" w:hAnsi="Calibri" w:cs="Calibri"/>
        </w:rPr>
        <w:t xml:space="preserve"> indicates insufficient protection. A FAIL rating is assigned where the statute omits the standard entirely, or where the statutory provision is so narrow, discretionary, or ineffective that it does not provide meaningful protection in practice.</w:t>
      </w:r>
    </w:p>
    <w:p w14:paraId="5229523C" w14:textId="77777777" w:rsidR="00822F51" w:rsidRDefault="00822F51">
      <w:pPr>
        <w:ind w:left="720"/>
        <w:jc w:val="both"/>
        <w:rPr>
          <w:rFonts w:ascii="Calibri" w:eastAsia="Calibri" w:hAnsi="Calibri" w:cs="Calibri"/>
        </w:rPr>
      </w:pPr>
    </w:p>
    <w:p w14:paraId="1644B4E5" w14:textId="77777777" w:rsidR="00822F51" w:rsidRDefault="001A22F2">
      <w:pPr>
        <w:jc w:val="both"/>
        <w:rPr>
          <w:rFonts w:ascii="Calibri" w:eastAsia="Calibri" w:hAnsi="Calibri" w:cs="Calibri"/>
        </w:rPr>
      </w:pPr>
      <w:r>
        <w:rPr>
          <w:rFonts w:ascii="Calibri" w:eastAsia="Calibri" w:hAnsi="Calibri" w:cs="Calibri"/>
        </w:rPr>
        <w:t>If a section of the legislation is cited, it either meets the IBP standard or indicates where the standard is intended to apply. If no section is cited, the law does not include that protection.</w:t>
      </w:r>
    </w:p>
    <w:p w14:paraId="64DC7AA6" w14:textId="77777777" w:rsidR="00822F51" w:rsidRDefault="00822F51">
      <w:pPr>
        <w:jc w:val="both"/>
        <w:rPr>
          <w:rFonts w:ascii="Calibri" w:eastAsia="Calibri" w:hAnsi="Calibri" w:cs="Calibri"/>
        </w:rPr>
      </w:pPr>
    </w:p>
    <w:p w14:paraId="795A1AC0" w14:textId="77777777" w:rsidR="00822F51" w:rsidRDefault="001A22F2">
      <w:pPr>
        <w:jc w:val="center"/>
        <w:rPr>
          <w:rFonts w:ascii="Calibri" w:eastAsia="Calibri" w:hAnsi="Calibri" w:cs="Calibri"/>
          <w:b/>
          <w:bCs/>
        </w:rPr>
      </w:pPr>
      <w:r>
        <w:br w:type="page"/>
      </w:r>
    </w:p>
    <w:p w14:paraId="10C13FE6" w14:textId="77777777" w:rsidR="00822F51" w:rsidRDefault="001A22F2">
      <w:pPr>
        <w:jc w:val="center"/>
        <w:rPr>
          <w:rFonts w:ascii="Calibri" w:eastAsia="Calibri" w:hAnsi="Calibri" w:cs="Calibri"/>
          <w:b/>
          <w:bCs/>
        </w:rPr>
      </w:pPr>
      <w:r>
        <w:rPr>
          <w:rFonts w:ascii="Calibri" w:eastAsia="Calibri" w:hAnsi="Calibri" w:cs="Calibri"/>
          <w:b/>
          <w:bCs/>
        </w:rPr>
        <w:lastRenderedPageBreak/>
        <w:t>Canada’s Compliance with International Best Practices for Whistleblower Policies</w:t>
      </w:r>
    </w:p>
    <w:p w14:paraId="60BD0FAD" w14:textId="77777777" w:rsidR="00822F51" w:rsidRDefault="00822F51">
      <w:pPr>
        <w:jc w:val="center"/>
        <w:rPr>
          <w:rFonts w:ascii="Calibri" w:eastAsia="Calibri" w:hAnsi="Calibri" w:cs="Calibri"/>
          <w:b/>
          <w:bCs/>
          <w:i/>
          <w:iCs/>
        </w:rPr>
      </w:pPr>
    </w:p>
    <w:tbl>
      <w:tblPr>
        <w:tblStyle w:val="a4"/>
        <w:tblW w:w="11055" w:type="dxa"/>
        <w:tblInd w:w="-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0"/>
        <w:gridCol w:w="2760"/>
        <w:gridCol w:w="1470"/>
        <w:gridCol w:w="2100"/>
        <w:gridCol w:w="2055"/>
        <w:gridCol w:w="2070"/>
      </w:tblGrid>
      <w:tr w:rsidR="00822F51" w14:paraId="66B848C6" w14:textId="77777777">
        <w:tc>
          <w:tcPr>
            <w:tcW w:w="600" w:type="dxa"/>
            <w:tcMar>
              <w:top w:w="100" w:type="dxa"/>
              <w:left w:w="100" w:type="dxa"/>
              <w:bottom w:w="100" w:type="dxa"/>
              <w:right w:w="100" w:type="dxa"/>
            </w:tcMar>
          </w:tcPr>
          <w:p w14:paraId="500F57BB"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w:t>
            </w:r>
          </w:p>
        </w:tc>
        <w:tc>
          <w:tcPr>
            <w:tcW w:w="2760" w:type="dxa"/>
            <w:tcMar>
              <w:top w:w="100" w:type="dxa"/>
              <w:left w:w="100" w:type="dxa"/>
              <w:bottom w:w="100" w:type="dxa"/>
              <w:right w:w="100" w:type="dxa"/>
            </w:tcMar>
          </w:tcPr>
          <w:p w14:paraId="77A592BF"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International Best Practice</w:t>
            </w:r>
          </w:p>
        </w:tc>
        <w:tc>
          <w:tcPr>
            <w:tcW w:w="1470" w:type="dxa"/>
            <w:tcMar>
              <w:top w:w="100" w:type="dxa"/>
              <w:left w:w="100" w:type="dxa"/>
              <w:bottom w:w="100" w:type="dxa"/>
              <w:right w:w="100" w:type="dxa"/>
            </w:tcMar>
          </w:tcPr>
          <w:p w14:paraId="25FBA638"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Federal Act (PSPDA)</w:t>
            </w:r>
          </w:p>
        </w:tc>
        <w:tc>
          <w:tcPr>
            <w:tcW w:w="2100" w:type="dxa"/>
            <w:tcMar>
              <w:top w:w="100" w:type="dxa"/>
              <w:left w:w="100" w:type="dxa"/>
              <w:bottom w:w="100" w:type="dxa"/>
              <w:right w:w="100" w:type="dxa"/>
            </w:tcMar>
          </w:tcPr>
          <w:p w14:paraId="42247D7F"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AB / BC / SK / PEI Provincial Statute</w:t>
            </w:r>
            <w:r>
              <w:rPr>
                <w:rFonts w:ascii="Calibri" w:eastAsia="Calibri" w:hAnsi="Calibri" w:cs="Calibri"/>
                <w:b/>
                <w:bCs/>
                <w:vertAlign w:val="superscript"/>
              </w:rPr>
              <w:footnoteReference w:id="95"/>
            </w:r>
          </w:p>
        </w:tc>
        <w:tc>
          <w:tcPr>
            <w:tcW w:w="2055" w:type="dxa"/>
            <w:tcMar>
              <w:top w:w="100" w:type="dxa"/>
              <w:left w:w="100" w:type="dxa"/>
              <w:bottom w:w="100" w:type="dxa"/>
              <w:right w:w="100" w:type="dxa"/>
            </w:tcMar>
          </w:tcPr>
          <w:p w14:paraId="0CEF5219"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MB / NB / NS / NL Provincial Statute</w:t>
            </w:r>
            <w:r>
              <w:rPr>
                <w:rFonts w:ascii="Calibri" w:eastAsia="Calibri" w:hAnsi="Calibri" w:cs="Calibri"/>
                <w:b/>
                <w:bCs/>
                <w:vertAlign w:val="superscript"/>
              </w:rPr>
              <w:footnoteReference w:id="96"/>
            </w:r>
          </w:p>
        </w:tc>
        <w:tc>
          <w:tcPr>
            <w:tcW w:w="2070" w:type="dxa"/>
            <w:tcMar>
              <w:top w:w="100" w:type="dxa"/>
              <w:left w:w="100" w:type="dxa"/>
              <w:bottom w:w="100" w:type="dxa"/>
              <w:right w:w="100" w:type="dxa"/>
            </w:tcMar>
          </w:tcPr>
          <w:p w14:paraId="542D3E35"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QC / YT / NU / ON Provincial Statute</w:t>
            </w:r>
            <w:r>
              <w:rPr>
                <w:rFonts w:ascii="Calibri" w:eastAsia="Calibri" w:hAnsi="Calibri" w:cs="Calibri"/>
                <w:b/>
                <w:bCs/>
                <w:vertAlign w:val="superscript"/>
              </w:rPr>
              <w:footnoteReference w:id="97"/>
            </w:r>
          </w:p>
        </w:tc>
      </w:tr>
      <w:tr w:rsidR="00822F51" w14:paraId="157260F6" w14:textId="77777777">
        <w:tc>
          <w:tcPr>
            <w:tcW w:w="600" w:type="dxa"/>
            <w:tcMar>
              <w:top w:w="100" w:type="dxa"/>
              <w:left w:w="100" w:type="dxa"/>
              <w:bottom w:w="100" w:type="dxa"/>
              <w:right w:w="100" w:type="dxa"/>
            </w:tcMar>
          </w:tcPr>
          <w:p w14:paraId="46CCC5BF" w14:textId="77777777" w:rsidR="00822F51" w:rsidRDefault="001A22F2">
            <w:pPr>
              <w:widowControl w:val="0"/>
              <w:spacing w:line="240" w:lineRule="auto"/>
              <w:rPr>
                <w:rFonts w:ascii="Calibri" w:eastAsia="Calibri" w:hAnsi="Calibri" w:cs="Calibri"/>
              </w:rPr>
            </w:pPr>
            <w:r>
              <w:rPr>
                <w:rFonts w:ascii="Calibri" w:eastAsia="Calibri" w:hAnsi="Calibri" w:cs="Calibri"/>
              </w:rPr>
              <w:t>1</w:t>
            </w:r>
          </w:p>
        </w:tc>
        <w:tc>
          <w:tcPr>
            <w:tcW w:w="2760" w:type="dxa"/>
            <w:tcMar>
              <w:top w:w="100" w:type="dxa"/>
              <w:left w:w="100" w:type="dxa"/>
              <w:bottom w:w="100" w:type="dxa"/>
              <w:right w:w="100" w:type="dxa"/>
            </w:tcMar>
          </w:tcPr>
          <w:p w14:paraId="38CB06DB"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Broad Disclosure Rights</w:t>
            </w:r>
          </w:p>
          <w:p w14:paraId="5FD2CA8F"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Cover “any” disclosure that would be accepted as evidence of significant misconduct or would assist in carrying out legitimate compliance functions.</w:t>
            </w:r>
            <w:r>
              <w:rPr>
                <w:rFonts w:ascii="Calibri" w:eastAsia="Calibri" w:hAnsi="Calibri" w:cs="Calibri"/>
                <w:sz w:val="16"/>
                <w:szCs w:val="16"/>
                <w:vertAlign w:val="superscript"/>
              </w:rPr>
              <w:footnoteReference w:id="98"/>
            </w:r>
          </w:p>
        </w:tc>
        <w:tc>
          <w:tcPr>
            <w:tcW w:w="1470" w:type="dxa"/>
            <w:shd w:val="clear" w:color="auto" w:fill="FE6464"/>
            <w:tcMar>
              <w:top w:w="100" w:type="dxa"/>
              <w:left w:w="100" w:type="dxa"/>
              <w:bottom w:w="100" w:type="dxa"/>
              <w:right w:w="100" w:type="dxa"/>
            </w:tcMar>
          </w:tcPr>
          <w:p w14:paraId="34B1C956" w14:textId="77777777" w:rsidR="00822F51" w:rsidRDefault="001A22F2">
            <w:pPr>
              <w:widowControl w:val="0"/>
              <w:spacing w:line="240" w:lineRule="auto"/>
              <w:rPr>
                <w:rFonts w:ascii="Calibri" w:eastAsia="Calibri" w:hAnsi="Calibri" w:cs="Calibri"/>
                <w:shd w:val="clear" w:color="auto" w:fill="FE6464"/>
              </w:rPr>
            </w:pPr>
            <w:r>
              <w:rPr>
                <w:rFonts w:ascii="Calibri" w:eastAsia="Calibri" w:hAnsi="Calibri" w:cs="Calibri"/>
              </w:rPr>
              <w:t>FAIL (s. 2)</w:t>
            </w:r>
          </w:p>
        </w:tc>
        <w:tc>
          <w:tcPr>
            <w:tcW w:w="2100" w:type="dxa"/>
            <w:shd w:val="clear" w:color="auto" w:fill="FE6464"/>
            <w:tcMar>
              <w:top w:w="100" w:type="dxa"/>
              <w:left w:w="100" w:type="dxa"/>
              <w:bottom w:w="100" w:type="dxa"/>
              <w:right w:w="100" w:type="dxa"/>
            </w:tcMar>
          </w:tcPr>
          <w:p w14:paraId="2385A59C"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1; BC s. 12; SK s. 2; PEI s. 1)</w:t>
            </w:r>
          </w:p>
        </w:tc>
        <w:tc>
          <w:tcPr>
            <w:tcW w:w="2055" w:type="dxa"/>
            <w:shd w:val="clear" w:color="auto" w:fill="FE6464"/>
            <w:tcMar>
              <w:top w:w="100" w:type="dxa"/>
              <w:left w:w="100" w:type="dxa"/>
              <w:bottom w:w="100" w:type="dxa"/>
              <w:right w:w="100" w:type="dxa"/>
            </w:tcMar>
          </w:tcPr>
          <w:p w14:paraId="592F2272"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2; NB s. 1; NS s. 3; NL s. 2)</w:t>
            </w:r>
          </w:p>
        </w:tc>
        <w:tc>
          <w:tcPr>
            <w:tcW w:w="2070" w:type="dxa"/>
            <w:shd w:val="clear" w:color="auto" w:fill="FE6464"/>
            <w:tcMar>
              <w:top w:w="100" w:type="dxa"/>
              <w:left w:w="100" w:type="dxa"/>
              <w:bottom w:w="100" w:type="dxa"/>
              <w:right w:w="100" w:type="dxa"/>
            </w:tcMar>
          </w:tcPr>
          <w:p w14:paraId="004941EA"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10; YT s. 2; NU s. 38; ON s. 139)</w:t>
            </w:r>
          </w:p>
        </w:tc>
      </w:tr>
      <w:tr w:rsidR="00822F51" w14:paraId="2DB3C90A" w14:textId="77777777">
        <w:tc>
          <w:tcPr>
            <w:tcW w:w="600" w:type="dxa"/>
            <w:tcMar>
              <w:top w:w="100" w:type="dxa"/>
              <w:left w:w="100" w:type="dxa"/>
              <w:bottom w:w="100" w:type="dxa"/>
              <w:right w:w="100" w:type="dxa"/>
            </w:tcMar>
          </w:tcPr>
          <w:p w14:paraId="5FFE84A0" w14:textId="77777777" w:rsidR="00822F51" w:rsidRDefault="001A22F2">
            <w:pPr>
              <w:widowControl w:val="0"/>
              <w:spacing w:line="240" w:lineRule="auto"/>
              <w:rPr>
                <w:rFonts w:ascii="Calibri" w:eastAsia="Calibri" w:hAnsi="Calibri" w:cs="Calibri"/>
              </w:rPr>
            </w:pPr>
            <w:r>
              <w:rPr>
                <w:rFonts w:ascii="Calibri" w:eastAsia="Calibri" w:hAnsi="Calibri" w:cs="Calibri"/>
              </w:rPr>
              <w:t>2</w:t>
            </w:r>
          </w:p>
        </w:tc>
        <w:tc>
          <w:tcPr>
            <w:tcW w:w="2760" w:type="dxa"/>
            <w:tcMar>
              <w:top w:w="100" w:type="dxa"/>
              <w:left w:w="100" w:type="dxa"/>
              <w:bottom w:w="100" w:type="dxa"/>
              <w:right w:w="100" w:type="dxa"/>
            </w:tcMar>
          </w:tcPr>
          <w:p w14:paraId="4232CC5E"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Wide Subject Matter Scope</w:t>
            </w:r>
          </w:p>
          <w:p w14:paraId="31D700D3"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Cover disclosures of a wide subject, including any illegality, gross waste, mismanagement, abuse of authority, substantial and specific danger to public health.</w:t>
            </w:r>
            <w:r>
              <w:rPr>
                <w:rFonts w:ascii="Calibri" w:eastAsia="Calibri" w:hAnsi="Calibri" w:cs="Calibri"/>
                <w:sz w:val="16"/>
                <w:szCs w:val="16"/>
                <w:vertAlign w:val="superscript"/>
              </w:rPr>
              <w:footnoteReference w:id="99"/>
            </w:r>
          </w:p>
        </w:tc>
        <w:tc>
          <w:tcPr>
            <w:tcW w:w="1470" w:type="dxa"/>
            <w:shd w:val="clear" w:color="auto" w:fill="FE6464"/>
            <w:tcMar>
              <w:top w:w="100" w:type="dxa"/>
              <w:left w:w="100" w:type="dxa"/>
              <w:bottom w:w="100" w:type="dxa"/>
              <w:right w:w="100" w:type="dxa"/>
            </w:tcMar>
          </w:tcPr>
          <w:p w14:paraId="20476DDB" w14:textId="77777777" w:rsidR="00822F51" w:rsidRDefault="001A22F2">
            <w:pPr>
              <w:widowControl w:val="0"/>
              <w:spacing w:line="240" w:lineRule="auto"/>
              <w:rPr>
                <w:rFonts w:ascii="Calibri" w:eastAsia="Calibri" w:hAnsi="Calibri" w:cs="Calibri"/>
              </w:rPr>
            </w:pPr>
            <w:r>
              <w:rPr>
                <w:rFonts w:ascii="Calibri" w:eastAsia="Calibri" w:hAnsi="Calibri" w:cs="Calibri"/>
              </w:rPr>
              <w:t>FAIL (s. 8)</w:t>
            </w:r>
          </w:p>
        </w:tc>
        <w:tc>
          <w:tcPr>
            <w:tcW w:w="2100" w:type="dxa"/>
            <w:shd w:val="clear" w:color="auto" w:fill="FE6464"/>
            <w:tcMar>
              <w:top w:w="100" w:type="dxa"/>
              <w:left w:w="100" w:type="dxa"/>
              <w:bottom w:w="100" w:type="dxa"/>
              <w:right w:w="100" w:type="dxa"/>
            </w:tcMar>
          </w:tcPr>
          <w:p w14:paraId="6F4E1DCF"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3; BC s. 7; SK s. 3; PEI s. 1)</w:t>
            </w:r>
          </w:p>
        </w:tc>
        <w:tc>
          <w:tcPr>
            <w:tcW w:w="2055" w:type="dxa"/>
            <w:shd w:val="clear" w:color="auto" w:fill="FE6464"/>
            <w:tcMar>
              <w:top w:w="100" w:type="dxa"/>
              <w:left w:w="100" w:type="dxa"/>
              <w:bottom w:w="100" w:type="dxa"/>
              <w:right w:w="100" w:type="dxa"/>
            </w:tcMar>
          </w:tcPr>
          <w:p w14:paraId="22DA7155"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3; NB s. 3; NS s. 3; NL s. 4)</w:t>
            </w:r>
          </w:p>
        </w:tc>
        <w:tc>
          <w:tcPr>
            <w:tcW w:w="2070" w:type="dxa"/>
            <w:shd w:val="clear" w:color="auto" w:fill="FE6464"/>
            <w:tcMar>
              <w:top w:w="100" w:type="dxa"/>
              <w:left w:w="100" w:type="dxa"/>
              <w:bottom w:w="100" w:type="dxa"/>
              <w:right w:w="100" w:type="dxa"/>
            </w:tcMar>
          </w:tcPr>
          <w:p w14:paraId="313A8958"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4; YT s. 3; NU s. 38; ON s. 141)</w:t>
            </w:r>
          </w:p>
        </w:tc>
      </w:tr>
      <w:tr w:rsidR="00822F51" w14:paraId="73EAC810" w14:textId="77777777">
        <w:trPr>
          <w:trHeight w:val="921"/>
        </w:trPr>
        <w:tc>
          <w:tcPr>
            <w:tcW w:w="600" w:type="dxa"/>
            <w:vMerge w:val="restart"/>
            <w:tcMar>
              <w:top w:w="100" w:type="dxa"/>
              <w:left w:w="100" w:type="dxa"/>
              <w:bottom w:w="100" w:type="dxa"/>
              <w:right w:w="100" w:type="dxa"/>
            </w:tcMar>
          </w:tcPr>
          <w:p w14:paraId="653456D4" w14:textId="77777777" w:rsidR="00822F51" w:rsidRDefault="001A22F2">
            <w:pPr>
              <w:widowControl w:val="0"/>
              <w:spacing w:line="240" w:lineRule="auto"/>
              <w:rPr>
                <w:rFonts w:ascii="Calibri" w:eastAsia="Calibri" w:hAnsi="Calibri" w:cs="Calibri"/>
              </w:rPr>
            </w:pPr>
            <w:r>
              <w:rPr>
                <w:rFonts w:ascii="Calibri" w:eastAsia="Calibri" w:hAnsi="Calibri" w:cs="Calibri"/>
              </w:rPr>
              <w:t>3</w:t>
            </w:r>
          </w:p>
        </w:tc>
        <w:tc>
          <w:tcPr>
            <w:tcW w:w="2760" w:type="dxa"/>
            <w:vMerge w:val="restart"/>
            <w:tcMar>
              <w:top w:w="100" w:type="dxa"/>
              <w:left w:w="100" w:type="dxa"/>
              <w:bottom w:w="100" w:type="dxa"/>
              <w:right w:w="100" w:type="dxa"/>
            </w:tcMar>
          </w:tcPr>
          <w:p w14:paraId="23F3E6D2"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Right to Refuse Illegal Acts</w:t>
            </w:r>
          </w:p>
          <w:p w14:paraId="5EEADE07"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Protects individuals from having to follow orders they reasonably believe are illegal.</w:t>
            </w:r>
            <w:r>
              <w:rPr>
                <w:rFonts w:ascii="Calibri" w:eastAsia="Calibri" w:hAnsi="Calibri" w:cs="Calibri"/>
                <w:sz w:val="16"/>
                <w:szCs w:val="16"/>
                <w:vertAlign w:val="superscript"/>
              </w:rPr>
              <w:footnoteReference w:id="100"/>
            </w:r>
          </w:p>
        </w:tc>
        <w:tc>
          <w:tcPr>
            <w:tcW w:w="1470" w:type="dxa"/>
            <w:vMerge w:val="restart"/>
            <w:shd w:val="clear" w:color="auto" w:fill="FE6464"/>
            <w:tcMar>
              <w:top w:w="100" w:type="dxa"/>
              <w:left w:w="100" w:type="dxa"/>
              <w:bottom w:w="100" w:type="dxa"/>
              <w:right w:w="100" w:type="dxa"/>
            </w:tcMar>
          </w:tcPr>
          <w:p w14:paraId="7354A747" w14:textId="77777777" w:rsidR="00822F51" w:rsidRDefault="001A22F2">
            <w:pPr>
              <w:widowControl w:val="0"/>
              <w:spacing w:line="240" w:lineRule="auto"/>
              <w:rPr>
                <w:rFonts w:ascii="Calibri" w:eastAsia="Calibri" w:hAnsi="Calibri" w:cs="Calibri"/>
                <w:shd w:val="clear" w:color="auto" w:fill="FE6464"/>
              </w:rPr>
            </w:pPr>
            <w:r>
              <w:rPr>
                <w:rFonts w:ascii="Calibri" w:eastAsia="Calibri" w:hAnsi="Calibri" w:cs="Calibri"/>
              </w:rPr>
              <w:t xml:space="preserve">FAIL (Not addressed in statute) </w:t>
            </w:r>
          </w:p>
        </w:tc>
        <w:tc>
          <w:tcPr>
            <w:tcW w:w="2100" w:type="dxa"/>
            <w:shd w:val="clear" w:color="auto" w:fill="93C47D"/>
            <w:tcMar>
              <w:top w:w="100" w:type="dxa"/>
              <w:left w:w="100" w:type="dxa"/>
              <w:bottom w:w="100" w:type="dxa"/>
              <w:right w:w="100" w:type="dxa"/>
            </w:tcMar>
          </w:tcPr>
          <w:p w14:paraId="11A24ED9" w14:textId="77777777" w:rsidR="00822F51" w:rsidRDefault="001A22F2">
            <w:pPr>
              <w:widowControl w:val="0"/>
              <w:spacing w:line="240" w:lineRule="auto"/>
              <w:rPr>
                <w:rFonts w:ascii="Calibri" w:eastAsia="Calibri" w:hAnsi="Calibri" w:cs="Calibri"/>
              </w:rPr>
            </w:pPr>
            <w:r>
              <w:rPr>
                <w:rFonts w:ascii="Calibri" w:eastAsia="Calibri" w:hAnsi="Calibri" w:cs="Calibri"/>
              </w:rPr>
              <w:t>MET (AB s. 24(1)(d); BC s. 31(1); SK s. 36(1)(d))</w:t>
            </w:r>
          </w:p>
        </w:tc>
        <w:tc>
          <w:tcPr>
            <w:tcW w:w="2055" w:type="dxa"/>
            <w:vMerge w:val="restart"/>
            <w:shd w:val="clear" w:color="auto" w:fill="FE6464"/>
            <w:tcMar>
              <w:top w:w="100" w:type="dxa"/>
              <w:left w:w="100" w:type="dxa"/>
              <w:bottom w:w="100" w:type="dxa"/>
              <w:right w:w="100" w:type="dxa"/>
            </w:tcMar>
          </w:tcPr>
          <w:p w14:paraId="1AB79EA5" w14:textId="77777777" w:rsidR="00822F51" w:rsidRDefault="001A22F2">
            <w:pPr>
              <w:widowControl w:val="0"/>
              <w:spacing w:line="240" w:lineRule="auto"/>
              <w:rPr>
                <w:rFonts w:ascii="Calibri" w:eastAsia="Calibri" w:hAnsi="Calibri" w:cs="Calibri"/>
              </w:rPr>
            </w:pPr>
            <w:r>
              <w:rPr>
                <w:rFonts w:ascii="Calibri" w:eastAsia="Calibri" w:hAnsi="Calibri" w:cs="Calibri"/>
              </w:rPr>
              <w:t>FAIL (MB, NB, NS, NL)</w:t>
            </w:r>
          </w:p>
        </w:tc>
        <w:tc>
          <w:tcPr>
            <w:tcW w:w="2070" w:type="dxa"/>
            <w:shd w:val="clear" w:color="auto" w:fill="93C47D"/>
            <w:tcMar>
              <w:top w:w="100" w:type="dxa"/>
              <w:left w:w="100" w:type="dxa"/>
              <w:bottom w:w="100" w:type="dxa"/>
              <w:right w:w="100" w:type="dxa"/>
            </w:tcMar>
          </w:tcPr>
          <w:p w14:paraId="114DE22E" w14:textId="77777777" w:rsidR="00822F51" w:rsidRDefault="001A22F2">
            <w:pPr>
              <w:widowControl w:val="0"/>
              <w:spacing w:line="240" w:lineRule="auto"/>
              <w:rPr>
                <w:rFonts w:ascii="Calibri" w:eastAsia="Calibri" w:hAnsi="Calibri" w:cs="Calibri"/>
              </w:rPr>
            </w:pPr>
            <w:r>
              <w:rPr>
                <w:rFonts w:ascii="Calibri" w:eastAsia="Calibri" w:hAnsi="Calibri" w:cs="Calibri"/>
              </w:rPr>
              <w:t>MET (YT s. 25(d))</w:t>
            </w:r>
          </w:p>
        </w:tc>
      </w:tr>
      <w:tr w:rsidR="00822F51" w14:paraId="3FDB5EC7" w14:textId="77777777">
        <w:trPr>
          <w:trHeight w:val="480"/>
        </w:trPr>
        <w:tc>
          <w:tcPr>
            <w:tcW w:w="600" w:type="dxa"/>
            <w:vMerge/>
            <w:tcMar>
              <w:top w:w="100" w:type="dxa"/>
              <w:left w:w="100" w:type="dxa"/>
              <w:bottom w:w="100" w:type="dxa"/>
              <w:right w:w="100" w:type="dxa"/>
            </w:tcMar>
          </w:tcPr>
          <w:p w14:paraId="110A0759" w14:textId="77777777" w:rsidR="00822F51" w:rsidRDefault="00822F51">
            <w:pPr>
              <w:widowControl w:val="0"/>
              <w:spacing w:line="240" w:lineRule="auto"/>
              <w:rPr>
                <w:rFonts w:ascii="Calibri" w:eastAsia="Calibri" w:hAnsi="Calibri" w:cs="Calibri"/>
              </w:rPr>
            </w:pPr>
          </w:p>
        </w:tc>
        <w:tc>
          <w:tcPr>
            <w:tcW w:w="2760" w:type="dxa"/>
            <w:vMerge/>
            <w:tcMar>
              <w:top w:w="100" w:type="dxa"/>
              <w:left w:w="100" w:type="dxa"/>
              <w:bottom w:w="100" w:type="dxa"/>
              <w:right w:w="100" w:type="dxa"/>
            </w:tcMar>
          </w:tcPr>
          <w:p w14:paraId="48C8ACC9" w14:textId="77777777" w:rsidR="00822F51" w:rsidRDefault="00822F51">
            <w:pPr>
              <w:widowControl w:val="0"/>
              <w:spacing w:line="240" w:lineRule="auto"/>
              <w:rPr>
                <w:rFonts w:ascii="Calibri" w:eastAsia="Calibri" w:hAnsi="Calibri" w:cs="Calibri"/>
              </w:rPr>
            </w:pPr>
          </w:p>
        </w:tc>
        <w:tc>
          <w:tcPr>
            <w:tcW w:w="1470" w:type="dxa"/>
            <w:vMerge/>
            <w:shd w:val="clear" w:color="auto" w:fill="FE6464"/>
            <w:tcMar>
              <w:top w:w="100" w:type="dxa"/>
              <w:left w:w="100" w:type="dxa"/>
              <w:bottom w:w="100" w:type="dxa"/>
              <w:right w:w="100" w:type="dxa"/>
            </w:tcMar>
          </w:tcPr>
          <w:p w14:paraId="5599717C" w14:textId="77777777" w:rsidR="00822F51" w:rsidRDefault="00822F51">
            <w:pPr>
              <w:widowControl w:val="0"/>
              <w:spacing w:line="240" w:lineRule="auto"/>
              <w:rPr>
                <w:rFonts w:ascii="Calibri" w:eastAsia="Calibri" w:hAnsi="Calibri" w:cs="Calibri"/>
                <w:color w:val="FF0000"/>
              </w:rPr>
            </w:pPr>
          </w:p>
        </w:tc>
        <w:tc>
          <w:tcPr>
            <w:tcW w:w="2100" w:type="dxa"/>
            <w:shd w:val="clear" w:color="auto" w:fill="FE6464"/>
            <w:tcMar>
              <w:top w:w="100" w:type="dxa"/>
              <w:left w:w="100" w:type="dxa"/>
              <w:bottom w:w="100" w:type="dxa"/>
              <w:right w:w="100" w:type="dxa"/>
            </w:tcMar>
          </w:tcPr>
          <w:p w14:paraId="7AA39369" w14:textId="77777777" w:rsidR="00822F51" w:rsidRDefault="001A22F2">
            <w:pPr>
              <w:widowControl w:val="0"/>
              <w:spacing w:line="240" w:lineRule="auto"/>
              <w:rPr>
                <w:rFonts w:ascii="Calibri" w:eastAsia="Calibri" w:hAnsi="Calibri" w:cs="Calibri"/>
              </w:rPr>
            </w:pPr>
            <w:r>
              <w:rPr>
                <w:rFonts w:ascii="Calibri" w:eastAsia="Calibri" w:hAnsi="Calibri" w:cs="Calibri"/>
              </w:rPr>
              <w:t>FAIL (PEI)</w:t>
            </w:r>
          </w:p>
        </w:tc>
        <w:tc>
          <w:tcPr>
            <w:tcW w:w="2055" w:type="dxa"/>
            <w:vMerge/>
            <w:shd w:val="clear" w:color="auto" w:fill="FE6464"/>
            <w:tcMar>
              <w:top w:w="100" w:type="dxa"/>
              <w:left w:w="100" w:type="dxa"/>
              <w:bottom w:w="100" w:type="dxa"/>
              <w:right w:w="100" w:type="dxa"/>
            </w:tcMar>
          </w:tcPr>
          <w:p w14:paraId="705B1C87" w14:textId="77777777" w:rsidR="00822F51" w:rsidRDefault="00822F51">
            <w:pPr>
              <w:widowControl w:val="0"/>
              <w:spacing w:line="240" w:lineRule="auto"/>
              <w:rPr>
                <w:rFonts w:ascii="Calibri" w:eastAsia="Calibri" w:hAnsi="Calibri" w:cs="Calibri"/>
                <w:color w:val="FF0000"/>
              </w:rPr>
            </w:pPr>
          </w:p>
        </w:tc>
        <w:tc>
          <w:tcPr>
            <w:tcW w:w="2070" w:type="dxa"/>
            <w:shd w:val="clear" w:color="auto" w:fill="FE6464"/>
            <w:tcMar>
              <w:top w:w="100" w:type="dxa"/>
              <w:left w:w="100" w:type="dxa"/>
              <w:bottom w:w="100" w:type="dxa"/>
              <w:right w:w="100" w:type="dxa"/>
            </w:tcMar>
          </w:tcPr>
          <w:p w14:paraId="72624AC5" w14:textId="77777777" w:rsidR="00822F51" w:rsidRDefault="001A22F2">
            <w:pPr>
              <w:widowControl w:val="0"/>
              <w:spacing w:line="240" w:lineRule="auto"/>
              <w:rPr>
                <w:rFonts w:ascii="Calibri" w:eastAsia="Calibri" w:hAnsi="Calibri" w:cs="Calibri"/>
              </w:rPr>
            </w:pPr>
            <w:r>
              <w:rPr>
                <w:rFonts w:ascii="Calibri" w:eastAsia="Calibri" w:hAnsi="Calibri" w:cs="Calibri"/>
              </w:rPr>
              <w:t xml:space="preserve">FAIL (QC; NU; ON) </w:t>
            </w:r>
          </w:p>
        </w:tc>
      </w:tr>
      <w:tr w:rsidR="00822F51" w14:paraId="04963482" w14:textId="77777777">
        <w:trPr>
          <w:trHeight w:val="737"/>
        </w:trPr>
        <w:tc>
          <w:tcPr>
            <w:tcW w:w="600" w:type="dxa"/>
            <w:tcMar>
              <w:top w:w="100" w:type="dxa"/>
              <w:left w:w="100" w:type="dxa"/>
              <w:bottom w:w="100" w:type="dxa"/>
              <w:right w:w="100" w:type="dxa"/>
            </w:tcMar>
          </w:tcPr>
          <w:p w14:paraId="5DCFD1D5" w14:textId="77777777" w:rsidR="00822F51" w:rsidRDefault="001A22F2">
            <w:pPr>
              <w:widowControl w:val="0"/>
              <w:spacing w:line="240" w:lineRule="auto"/>
              <w:rPr>
                <w:rFonts w:ascii="Calibri" w:eastAsia="Calibri" w:hAnsi="Calibri" w:cs="Calibri"/>
              </w:rPr>
            </w:pPr>
            <w:r>
              <w:rPr>
                <w:rFonts w:ascii="Calibri" w:eastAsia="Calibri" w:hAnsi="Calibri" w:cs="Calibri"/>
              </w:rPr>
              <w:t>4</w:t>
            </w:r>
          </w:p>
        </w:tc>
        <w:tc>
          <w:tcPr>
            <w:tcW w:w="2760" w:type="dxa"/>
            <w:tcMar>
              <w:top w:w="100" w:type="dxa"/>
              <w:left w:w="100" w:type="dxa"/>
              <w:bottom w:w="100" w:type="dxa"/>
              <w:right w:w="100" w:type="dxa"/>
            </w:tcMar>
          </w:tcPr>
          <w:p w14:paraId="08B1B48B"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Protection Against Spillover Retaliation</w:t>
            </w:r>
          </w:p>
          <w:p w14:paraId="2467FC02"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 xml:space="preserve">Spillover retaliation extends to anyone perceived as a whistleblower, assisting a whistleblower, or about to make a disclosure. </w:t>
            </w:r>
            <w:r>
              <w:rPr>
                <w:rFonts w:ascii="Calibri" w:eastAsia="Calibri" w:hAnsi="Calibri" w:cs="Calibri"/>
                <w:sz w:val="16"/>
                <w:szCs w:val="16"/>
                <w:vertAlign w:val="superscript"/>
              </w:rPr>
              <w:footnoteReference w:id="101"/>
            </w:r>
          </w:p>
        </w:tc>
        <w:tc>
          <w:tcPr>
            <w:tcW w:w="1470" w:type="dxa"/>
            <w:shd w:val="clear" w:color="auto" w:fill="FE6464"/>
            <w:tcMar>
              <w:top w:w="100" w:type="dxa"/>
              <w:left w:w="100" w:type="dxa"/>
              <w:bottom w:w="100" w:type="dxa"/>
              <w:right w:w="100" w:type="dxa"/>
            </w:tcMar>
          </w:tcPr>
          <w:p w14:paraId="443BA574" w14:textId="77777777" w:rsidR="00822F51" w:rsidRDefault="001A22F2">
            <w:pPr>
              <w:widowControl w:val="0"/>
              <w:spacing w:line="240" w:lineRule="auto"/>
              <w:rPr>
                <w:rFonts w:ascii="Calibri" w:eastAsia="Calibri" w:hAnsi="Calibri" w:cs="Calibri"/>
              </w:rPr>
            </w:pPr>
            <w:r>
              <w:rPr>
                <w:rFonts w:ascii="Calibri" w:eastAsia="Calibri" w:hAnsi="Calibri" w:cs="Calibri"/>
              </w:rPr>
              <w:t>FAIL (s. 19)</w:t>
            </w:r>
          </w:p>
        </w:tc>
        <w:tc>
          <w:tcPr>
            <w:tcW w:w="2100" w:type="dxa"/>
            <w:shd w:val="clear" w:color="auto" w:fill="FE6464"/>
            <w:tcMar>
              <w:top w:w="100" w:type="dxa"/>
              <w:left w:w="100" w:type="dxa"/>
              <w:bottom w:w="100" w:type="dxa"/>
              <w:right w:w="100" w:type="dxa"/>
            </w:tcMar>
          </w:tcPr>
          <w:p w14:paraId="3F472CFB"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24; BC s. 31; SK s. 36; PEI s. 1)</w:t>
            </w:r>
          </w:p>
        </w:tc>
        <w:tc>
          <w:tcPr>
            <w:tcW w:w="2055" w:type="dxa"/>
            <w:shd w:val="clear" w:color="auto" w:fill="FE6464"/>
            <w:tcMar>
              <w:top w:w="100" w:type="dxa"/>
              <w:left w:w="100" w:type="dxa"/>
              <w:bottom w:w="100" w:type="dxa"/>
              <w:right w:w="100" w:type="dxa"/>
            </w:tcMar>
          </w:tcPr>
          <w:p w14:paraId="28956ADB"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27; NB s. 31; NS s. 31; NL s. 21)</w:t>
            </w:r>
          </w:p>
        </w:tc>
        <w:tc>
          <w:tcPr>
            <w:tcW w:w="2070" w:type="dxa"/>
            <w:shd w:val="clear" w:color="auto" w:fill="FE6464"/>
            <w:tcMar>
              <w:top w:w="100" w:type="dxa"/>
              <w:left w:w="100" w:type="dxa"/>
              <w:bottom w:w="100" w:type="dxa"/>
              <w:right w:w="100" w:type="dxa"/>
            </w:tcMar>
          </w:tcPr>
          <w:p w14:paraId="07312CF4"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30; YT s. 25; NU s. 46; ON s. 139)</w:t>
            </w:r>
          </w:p>
        </w:tc>
      </w:tr>
      <w:tr w:rsidR="00822F51" w14:paraId="7142A5A3" w14:textId="77777777">
        <w:trPr>
          <w:trHeight w:val="1179"/>
        </w:trPr>
        <w:tc>
          <w:tcPr>
            <w:tcW w:w="600" w:type="dxa"/>
            <w:tcMar>
              <w:top w:w="100" w:type="dxa"/>
              <w:left w:w="100" w:type="dxa"/>
              <w:bottom w:w="100" w:type="dxa"/>
              <w:right w:w="100" w:type="dxa"/>
            </w:tcMar>
          </w:tcPr>
          <w:p w14:paraId="1169049E" w14:textId="77777777" w:rsidR="00822F51" w:rsidRDefault="001A22F2">
            <w:pPr>
              <w:widowControl w:val="0"/>
              <w:spacing w:line="240" w:lineRule="auto"/>
              <w:rPr>
                <w:rFonts w:ascii="Calibri" w:eastAsia="Calibri" w:hAnsi="Calibri" w:cs="Calibri"/>
              </w:rPr>
            </w:pPr>
            <w:r>
              <w:rPr>
                <w:rFonts w:ascii="Calibri" w:eastAsia="Calibri" w:hAnsi="Calibri" w:cs="Calibri"/>
              </w:rPr>
              <w:t>5</w:t>
            </w:r>
          </w:p>
        </w:tc>
        <w:tc>
          <w:tcPr>
            <w:tcW w:w="2760" w:type="dxa"/>
            <w:tcMar>
              <w:top w:w="100" w:type="dxa"/>
              <w:left w:w="100" w:type="dxa"/>
              <w:bottom w:w="100" w:type="dxa"/>
              <w:right w:w="100" w:type="dxa"/>
            </w:tcMar>
          </w:tcPr>
          <w:p w14:paraId="04E2ED61"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 xml:space="preserve">“No Loopholes” Protection for All Citizens </w:t>
            </w:r>
            <w:proofErr w:type="gramStart"/>
            <w:r>
              <w:rPr>
                <w:rFonts w:ascii="Calibri" w:eastAsia="Calibri" w:hAnsi="Calibri" w:cs="Calibri"/>
                <w:b/>
                <w:bCs/>
              </w:rPr>
              <w:t>With</w:t>
            </w:r>
            <w:proofErr w:type="gramEnd"/>
            <w:r>
              <w:rPr>
                <w:rFonts w:ascii="Calibri" w:eastAsia="Calibri" w:hAnsi="Calibri" w:cs="Calibri"/>
                <w:b/>
                <w:bCs/>
              </w:rPr>
              <w:t xml:space="preserve"> Disclosures Relevant to the</w:t>
            </w:r>
          </w:p>
          <w:p w14:paraId="10B95CC3"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Public Service Mission</w:t>
            </w:r>
          </w:p>
          <w:p w14:paraId="322852FF"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Coverage should extend to all whistleblowers, regardless of status.</w:t>
            </w:r>
            <w:r>
              <w:rPr>
                <w:rFonts w:ascii="Calibri" w:eastAsia="Calibri" w:hAnsi="Calibri" w:cs="Calibri"/>
                <w:sz w:val="16"/>
                <w:szCs w:val="16"/>
                <w:vertAlign w:val="superscript"/>
              </w:rPr>
              <w:footnoteReference w:id="102"/>
            </w:r>
          </w:p>
        </w:tc>
        <w:tc>
          <w:tcPr>
            <w:tcW w:w="1470" w:type="dxa"/>
            <w:shd w:val="clear" w:color="auto" w:fill="FE6464"/>
            <w:tcMar>
              <w:top w:w="100" w:type="dxa"/>
              <w:left w:w="100" w:type="dxa"/>
              <w:bottom w:w="100" w:type="dxa"/>
              <w:right w:w="100" w:type="dxa"/>
            </w:tcMar>
          </w:tcPr>
          <w:p w14:paraId="5004D647" w14:textId="77777777" w:rsidR="00822F51" w:rsidRDefault="001A22F2">
            <w:pPr>
              <w:widowControl w:val="0"/>
              <w:spacing w:line="240" w:lineRule="auto"/>
              <w:rPr>
                <w:rFonts w:ascii="Calibri" w:eastAsia="Calibri" w:hAnsi="Calibri" w:cs="Calibri"/>
              </w:rPr>
            </w:pPr>
            <w:r>
              <w:rPr>
                <w:rFonts w:ascii="Calibri" w:eastAsia="Calibri" w:hAnsi="Calibri" w:cs="Calibri"/>
              </w:rPr>
              <w:t>FAIL (s. 2)</w:t>
            </w:r>
          </w:p>
        </w:tc>
        <w:tc>
          <w:tcPr>
            <w:tcW w:w="2100" w:type="dxa"/>
            <w:shd w:val="clear" w:color="auto" w:fill="FE6464"/>
            <w:tcMar>
              <w:top w:w="100" w:type="dxa"/>
              <w:left w:w="100" w:type="dxa"/>
              <w:bottom w:w="100" w:type="dxa"/>
              <w:right w:w="100" w:type="dxa"/>
            </w:tcMar>
          </w:tcPr>
          <w:p w14:paraId="649D533C"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1; BC s. 1; SK s. 2; PEI s. 1)</w:t>
            </w:r>
          </w:p>
        </w:tc>
        <w:tc>
          <w:tcPr>
            <w:tcW w:w="2055" w:type="dxa"/>
            <w:shd w:val="clear" w:color="auto" w:fill="FE6464"/>
            <w:tcMar>
              <w:top w:w="100" w:type="dxa"/>
              <w:left w:w="100" w:type="dxa"/>
              <w:bottom w:w="100" w:type="dxa"/>
              <w:right w:w="100" w:type="dxa"/>
            </w:tcMar>
          </w:tcPr>
          <w:p w14:paraId="028EFECA"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2; NB s. 1; NS s. 3; NL s. 2)</w:t>
            </w:r>
          </w:p>
        </w:tc>
        <w:tc>
          <w:tcPr>
            <w:tcW w:w="2070" w:type="dxa"/>
            <w:shd w:val="clear" w:color="auto" w:fill="FE6464"/>
            <w:tcMar>
              <w:top w:w="100" w:type="dxa"/>
              <w:left w:w="100" w:type="dxa"/>
              <w:bottom w:w="100" w:type="dxa"/>
              <w:right w:w="100" w:type="dxa"/>
            </w:tcMar>
          </w:tcPr>
          <w:p w14:paraId="42D144A1"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2; YT s. 2; NU s. 1; ON s. 1)</w:t>
            </w:r>
          </w:p>
        </w:tc>
      </w:tr>
      <w:tr w:rsidR="00822F51" w14:paraId="3562BD8B" w14:textId="77777777">
        <w:trPr>
          <w:trHeight w:val="925"/>
        </w:trPr>
        <w:tc>
          <w:tcPr>
            <w:tcW w:w="600" w:type="dxa"/>
            <w:tcMar>
              <w:top w:w="100" w:type="dxa"/>
              <w:left w:w="100" w:type="dxa"/>
              <w:bottom w:w="100" w:type="dxa"/>
              <w:right w:w="100" w:type="dxa"/>
            </w:tcMar>
          </w:tcPr>
          <w:p w14:paraId="24D94432" w14:textId="77777777" w:rsidR="00822F51" w:rsidRDefault="001A22F2">
            <w:pPr>
              <w:widowControl w:val="0"/>
              <w:spacing w:line="240" w:lineRule="auto"/>
              <w:rPr>
                <w:rFonts w:ascii="Calibri" w:eastAsia="Calibri" w:hAnsi="Calibri" w:cs="Calibri"/>
              </w:rPr>
            </w:pPr>
            <w:r>
              <w:rPr>
                <w:rFonts w:ascii="Calibri" w:eastAsia="Calibri" w:hAnsi="Calibri" w:cs="Calibri"/>
              </w:rPr>
              <w:lastRenderedPageBreak/>
              <w:t>6</w:t>
            </w:r>
          </w:p>
        </w:tc>
        <w:tc>
          <w:tcPr>
            <w:tcW w:w="2760" w:type="dxa"/>
            <w:tcMar>
              <w:top w:w="100" w:type="dxa"/>
              <w:left w:w="100" w:type="dxa"/>
              <w:bottom w:w="100" w:type="dxa"/>
              <w:right w:w="100" w:type="dxa"/>
            </w:tcMar>
          </w:tcPr>
          <w:p w14:paraId="3E19EDE2"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Reliable Confidentiality Protection</w:t>
            </w:r>
          </w:p>
        </w:tc>
        <w:tc>
          <w:tcPr>
            <w:tcW w:w="1470" w:type="dxa"/>
            <w:shd w:val="clear" w:color="auto" w:fill="FE6464"/>
            <w:tcMar>
              <w:top w:w="100" w:type="dxa"/>
              <w:left w:w="100" w:type="dxa"/>
              <w:bottom w:w="100" w:type="dxa"/>
              <w:right w:w="100" w:type="dxa"/>
            </w:tcMar>
          </w:tcPr>
          <w:p w14:paraId="03C7C807" w14:textId="77777777" w:rsidR="00822F51" w:rsidRDefault="001A22F2">
            <w:pPr>
              <w:widowControl w:val="0"/>
              <w:spacing w:line="240" w:lineRule="auto"/>
              <w:rPr>
                <w:rFonts w:ascii="Calibri" w:eastAsia="Calibri" w:hAnsi="Calibri" w:cs="Calibri"/>
              </w:rPr>
            </w:pPr>
            <w:r>
              <w:rPr>
                <w:rFonts w:ascii="Calibri" w:eastAsia="Calibri" w:hAnsi="Calibri" w:cs="Calibri"/>
              </w:rPr>
              <w:t>FAIL (s. 11)</w:t>
            </w:r>
          </w:p>
        </w:tc>
        <w:tc>
          <w:tcPr>
            <w:tcW w:w="2100" w:type="dxa"/>
            <w:shd w:val="clear" w:color="auto" w:fill="FFD966"/>
            <w:tcMar>
              <w:top w:w="100" w:type="dxa"/>
              <w:left w:w="100" w:type="dxa"/>
              <w:bottom w:w="100" w:type="dxa"/>
              <w:right w:w="100" w:type="dxa"/>
            </w:tcMar>
          </w:tcPr>
          <w:p w14:paraId="22516E9D" w14:textId="77777777" w:rsidR="00822F51" w:rsidRDefault="001A22F2">
            <w:pPr>
              <w:widowControl w:val="0"/>
              <w:spacing w:line="240" w:lineRule="auto"/>
              <w:rPr>
                <w:rFonts w:ascii="Calibri" w:eastAsia="Calibri" w:hAnsi="Calibri" w:cs="Calibri"/>
              </w:rPr>
            </w:pPr>
            <w:r>
              <w:rPr>
                <w:rFonts w:ascii="Calibri" w:eastAsia="Calibri" w:hAnsi="Calibri" w:cs="Calibri"/>
              </w:rPr>
              <w:t>PARTIAL (AB s. 5; BC s. 6; SK s. 6; PEI s. 9)</w:t>
            </w:r>
          </w:p>
        </w:tc>
        <w:tc>
          <w:tcPr>
            <w:tcW w:w="2055" w:type="dxa"/>
            <w:shd w:val="clear" w:color="auto" w:fill="FFD966"/>
            <w:tcMar>
              <w:top w:w="100" w:type="dxa"/>
              <w:left w:w="100" w:type="dxa"/>
              <w:bottom w:w="100" w:type="dxa"/>
              <w:right w:w="100" w:type="dxa"/>
            </w:tcMar>
          </w:tcPr>
          <w:p w14:paraId="290D4E1C" w14:textId="77777777" w:rsidR="00822F51" w:rsidRDefault="001A22F2">
            <w:pPr>
              <w:widowControl w:val="0"/>
              <w:spacing w:line="240" w:lineRule="auto"/>
              <w:rPr>
                <w:rFonts w:ascii="Calibri" w:eastAsia="Calibri" w:hAnsi="Calibri" w:cs="Calibri"/>
              </w:rPr>
            </w:pPr>
            <w:r>
              <w:rPr>
                <w:rFonts w:ascii="Calibri" w:eastAsia="Calibri" w:hAnsi="Calibri" w:cs="Calibri"/>
              </w:rPr>
              <w:t>PARTIAL (MB s. 5; NB s. 26; NS s. 3; NL s. 7)</w:t>
            </w:r>
          </w:p>
        </w:tc>
        <w:tc>
          <w:tcPr>
            <w:tcW w:w="2070" w:type="dxa"/>
            <w:shd w:val="clear" w:color="auto" w:fill="FFD966"/>
            <w:tcMar>
              <w:top w:w="100" w:type="dxa"/>
              <w:left w:w="100" w:type="dxa"/>
              <w:bottom w:w="100" w:type="dxa"/>
              <w:right w:w="100" w:type="dxa"/>
            </w:tcMar>
          </w:tcPr>
          <w:p w14:paraId="7E7A502D" w14:textId="77777777" w:rsidR="00822F51" w:rsidRDefault="001A22F2">
            <w:pPr>
              <w:widowControl w:val="0"/>
              <w:spacing w:line="240" w:lineRule="auto"/>
              <w:rPr>
                <w:rFonts w:ascii="Calibri" w:eastAsia="Calibri" w:hAnsi="Calibri" w:cs="Calibri"/>
              </w:rPr>
            </w:pPr>
            <w:r>
              <w:rPr>
                <w:rFonts w:ascii="Calibri" w:eastAsia="Calibri" w:hAnsi="Calibri" w:cs="Calibri"/>
              </w:rPr>
              <w:t>PARTIAL (QC s. 10; YT s. 5; NU s. 43; ON s. 140)</w:t>
            </w:r>
          </w:p>
        </w:tc>
      </w:tr>
      <w:tr w:rsidR="00822F51" w14:paraId="57FD64C4" w14:textId="77777777">
        <w:trPr>
          <w:trHeight w:val="737"/>
        </w:trPr>
        <w:tc>
          <w:tcPr>
            <w:tcW w:w="600" w:type="dxa"/>
            <w:tcMar>
              <w:top w:w="100" w:type="dxa"/>
              <w:left w:w="100" w:type="dxa"/>
              <w:bottom w:w="100" w:type="dxa"/>
              <w:right w:w="100" w:type="dxa"/>
            </w:tcMar>
          </w:tcPr>
          <w:p w14:paraId="280E4641" w14:textId="77777777" w:rsidR="00822F51" w:rsidRDefault="001A22F2">
            <w:pPr>
              <w:widowControl w:val="0"/>
              <w:spacing w:line="240" w:lineRule="auto"/>
              <w:rPr>
                <w:rFonts w:ascii="Calibri" w:eastAsia="Calibri" w:hAnsi="Calibri" w:cs="Calibri"/>
              </w:rPr>
            </w:pPr>
            <w:r>
              <w:rPr>
                <w:rFonts w:ascii="Calibri" w:eastAsia="Calibri" w:hAnsi="Calibri" w:cs="Calibri"/>
              </w:rPr>
              <w:t>7</w:t>
            </w:r>
          </w:p>
        </w:tc>
        <w:tc>
          <w:tcPr>
            <w:tcW w:w="2760" w:type="dxa"/>
            <w:tcMar>
              <w:top w:w="100" w:type="dxa"/>
              <w:left w:w="100" w:type="dxa"/>
              <w:bottom w:w="100" w:type="dxa"/>
              <w:right w:w="100" w:type="dxa"/>
            </w:tcMar>
          </w:tcPr>
          <w:p w14:paraId="46A9ED66"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Protection Against Unconventional Harassment</w:t>
            </w:r>
          </w:p>
          <w:p w14:paraId="00054E55"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Protection against all forms of retaliation, including subtle or indirect measures such as denial of promotion, training, or career advancement.</w:t>
            </w:r>
            <w:r>
              <w:rPr>
                <w:rFonts w:ascii="Calibri" w:eastAsia="Calibri" w:hAnsi="Calibri" w:cs="Calibri"/>
                <w:sz w:val="16"/>
                <w:szCs w:val="16"/>
                <w:vertAlign w:val="superscript"/>
              </w:rPr>
              <w:footnoteReference w:id="103"/>
            </w:r>
          </w:p>
        </w:tc>
        <w:tc>
          <w:tcPr>
            <w:tcW w:w="1470" w:type="dxa"/>
            <w:shd w:val="clear" w:color="auto" w:fill="FE6464"/>
            <w:tcMar>
              <w:top w:w="100" w:type="dxa"/>
              <w:left w:w="100" w:type="dxa"/>
              <w:bottom w:w="100" w:type="dxa"/>
              <w:right w:w="100" w:type="dxa"/>
            </w:tcMar>
          </w:tcPr>
          <w:p w14:paraId="669AB20C" w14:textId="77777777" w:rsidR="00822F51" w:rsidRDefault="001A22F2">
            <w:pPr>
              <w:widowControl w:val="0"/>
              <w:spacing w:line="240" w:lineRule="auto"/>
              <w:rPr>
                <w:rFonts w:ascii="Calibri" w:eastAsia="Calibri" w:hAnsi="Calibri" w:cs="Calibri"/>
              </w:rPr>
            </w:pPr>
            <w:r>
              <w:rPr>
                <w:rFonts w:ascii="Calibri" w:eastAsia="Calibri" w:hAnsi="Calibri" w:cs="Calibri"/>
              </w:rPr>
              <w:t>FAIL (s. 2)</w:t>
            </w:r>
          </w:p>
        </w:tc>
        <w:tc>
          <w:tcPr>
            <w:tcW w:w="2100" w:type="dxa"/>
            <w:shd w:val="clear" w:color="auto" w:fill="FE6464"/>
            <w:tcMar>
              <w:top w:w="100" w:type="dxa"/>
              <w:left w:w="100" w:type="dxa"/>
              <w:bottom w:w="100" w:type="dxa"/>
              <w:right w:w="100" w:type="dxa"/>
            </w:tcMar>
          </w:tcPr>
          <w:p w14:paraId="57AD65C7"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24; BC s. 31; SK s. 36; PEI s. 1)</w:t>
            </w:r>
          </w:p>
        </w:tc>
        <w:tc>
          <w:tcPr>
            <w:tcW w:w="2055" w:type="dxa"/>
            <w:shd w:val="clear" w:color="auto" w:fill="FE6464"/>
            <w:tcMar>
              <w:top w:w="100" w:type="dxa"/>
              <w:left w:w="100" w:type="dxa"/>
              <w:bottom w:w="100" w:type="dxa"/>
              <w:right w:w="100" w:type="dxa"/>
            </w:tcMar>
          </w:tcPr>
          <w:p w14:paraId="32266ED1"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2; NB s. 1; NS s. 3; NL s. 2)</w:t>
            </w:r>
          </w:p>
        </w:tc>
        <w:tc>
          <w:tcPr>
            <w:tcW w:w="2070" w:type="dxa"/>
            <w:shd w:val="clear" w:color="auto" w:fill="FE6464"/>
            <w:tcMar>
              <w:top w:w="100" w:type="dxa"/>
              <w:left w:w="100" w:type="dxa"/>
              <w:bottom w:w="100" w:type="dxa"/>
              <w:right w:w="100" w:type="dxa"/>
            </w:tcMar>
          </w:tcPr>
          <w:p w14:paraId="07761482"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30; YT s. 2; NU s. 38; ON s. 118(2), s.140(2))</w:t>
            </w:r>
          </w:p>
        </w:tc>
      </w:tr>
      <w:tr w:rsidR="00822F51" w14:paraId="2B2D7AE9" w14:textId="77777777">
        <w:trPr>
          <w:trHeight w:val="420"/>
        </w:trPr>
        <w:tc>
          <w:tcPr>
            <w:tcW w:w="600" w:type="dxa"/>
            <w:vMerge w:val="restart"/>
            <w:tcMar>
              <w:top w:w="100" w:type="dxa"/>
              <w:left w:w="100" w:type="dxa"/>
              <w:bottom w:w="100" w:type="dxa"/>
              <w:right w:w="100" w:type="dxa"/>
            </w:tcMar>
          </w:tcPr>
          <w:p w14:paraId="2F0F8D1E" w14:textId="77777777" w:rsidR="00822F51" w:rsidRDefault="001A22F2">
            <w:pPr>
              <w:widowControl w:val="0"/>
              <w:spacing w:line="240" w:lineRule="auto"/>
              <w:rPr>
                <w:rFonts w:ascii="Calibri" w:eastAsia="Calibri" w:hAnsi="Calibri" w:cs="Calibri"/>
              </w:rPr>
            </w:pPr>
            <w:r>
              <w:rPr>
                <w:rFonts w:ascii="Calibri" w:eastAsia="Calibri" w:hAnsi="Calibri" w:cs="Calibri"/>
              </w:rPr>
              <w:t>8</w:t>
            </w:r>
          </w:p>
        </w:tc>
        <w:tc>
          <w:tcPr>
            <w:tcW w:w="2760" w:type="dxa"/>
            <w:vMerge w:val="restart"/>
            <w:tcMar>
              <w:top w:w="100" w:type="dxa"/>
              <w:left w:w="100" w:type="dxa"/>
              <w:bottom w:w="100" w:type="dxa"/>
              <w:right w:w="100" w:type="dxa"/>
            </w:tcMar>
          </w:tcPr>
          <w:p w14:paraId="02A5908B"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 xml:space="preserve">Shielding Whistleblower Rights </w:t>
            </w:r>
            <w:proofErr w:type="gramStart"/>
            <w:r>
              <w:rPr>
                <w:rFonts w:ascii="Calibri" w:eastAsia="Calibri" w:hAnsi="Calibri" w:cs="Calibri"/>
                <w:b/>
                <w:bCs/>
              </w:rPr>
              <w:t>From</w:t>
            </w:r>
            <w:proofErr w:type="gramEnd"/>
            <w:r>
              <w:rPr>
                <w:rFonts w:ascii="Calibri" w:eastAsia="Calibri" w:hAnsi="Calibri" w:cs="Calibri"/>
                <w:b/>
                <w:bCs/>
              </w:rPr>
              <w:t xml:space="preserve"> Gag Orders</w:t>
            </w:r>
          </w:p>
        </w:tc>
        <w:tc>
          <w:tcPr>
            <w:tcW w:w="1470" w:type="dxa"/>
            <w:vMerge w:val="restart"/>
            <w:shd w:val="clear" w:color="auto" w:fill="FE6464"/>
            <w:tcMar>
              <w:top w:w="100" w:type="dxa"/>
              <w:left w:w="100" w:type="dxa"/>
              <w:bottom w:w="100" w:type="dxa"/>
              <w:right w:w="100" w:type="dxa"/>
            </w:tcMar>
          </w:tcPr>
          <w:p w14:paraId="24A6D367" w14:textId="77777777" w:rsidR="00822F51" w:rsidRDefault="001A22F2">
            <w:pPr>
              <w:widowControl w:val="0"/>
              <w:spacing w:line="240" w:lineRule="auto"/>
              <w:rPr>
                <w:rFonts w:ascii="Calibri" w:eastAsia="Calibri" w:hAnsi="Calibri" w:cs="Calibri"/>
              </w:rPr>
            </w:pPr>
            <w:r>
              <w:rPr>
                <w:rFonts w:ascii="Calibri" w:eastAsia="Calibri" w:hAnsi="Calibri" w:cs="Calibri"/>
              </w:rPr>
              <w:t xml:space="preserve">FAIL (Not addressed in the statute) </w:t>
            </w:r>
          </w:p>
        </w:tc>
        <w:tc>
          <w:tcPr>
            <w:tcW w:w="2100" w:type="dxa"/>
            <w:shd w:val="clear" w:color="auto" w:fill="FFD966"/>
            <w:tcMar>
              <w:top w:w="100" w:type="dxa"/>
              <w:left w:w="100" w:type="dxa"/>
              <w:bottom w:w="100" w:type="dxa"/>
              <w:right w:w="100" w:type="dxa"/>
            </w:tcMar>
          </w:tcPr>
          <w:p w14:paraId="2F08E505" w14:textId="77777777" w:rsidR="00822F51" w:rsidRDefault="001A22F2">
            <w:pPr>
              <w:widowControl w:val="0"/>
              <w:spacing w:line="240" w:lineRule="auto"/>
              <w:rPr>
                <w:rFonts w:ascii="Calibri" w:eastAsia="Calibri" w:hAnsi="Calibri" w:cs="Calibri"/>
              </w:rPr>
            </w:pPr>
            <w:r>
              <w:rPr>
                <w:rFonts w:ascii="Calibri" w:eastAsia="Calibri" w:hAnsi="Calibri" w:cs="Calibri"/>
              </w:rPr>
              <w:t>PARTIAL (BC s. 45)</w:t>
            </w:r>
          </w:p>
        </w:tc>
        <w:tc>
          <w:tcPr>
            <w:tcW w:w="2055" w:type="dxa"/>
            <w:vMerge w:val="restart"/>
            <w:shd w:val="clear" w:color="auto" w:fill="FE6464"/>
            <w:tcMar>
              <w:top w:w="100" w:type="dxa"/>
              <w:left w:w="100" w:type="dxa"/>
              <w:bottom w:w="100" w:type="dxa"/>
              <w:right w:w="100" w:type="dxa"/>
            </w:tcMar>
          </w:tcPr>
          <w:p w14:paraId="0346D00E" w14:textId="77777777" w:rsidR="00822F51" w:rsidRDefault="001A22F2">
            <w:pPr>
              <w:widowControl w:val="0"/>
              <w:spacing w:line="240" w:lineRule="auto"/>
              <w:rPr>
                <w:rFonts w:ascii="Calibri" w:eastAsia="Calibri" w:hAnsi="Calibri" w:cs="Calibri"/>
              </w:rPr>
            </w:pPr>
            <w:r>
              <w:rPr>
                <w:rFonts w:ascii="Calibri" w:eastAsia="Calibri" w:hAnsi="Calibri" w:cs="Calibri"/>
              </w:rPr>
              <w:t>FAIL (MB; NB; NS; NL)</w:t>
            </w:r>
          </w:p>
        </w:tc>
        <w:tc>
          <w:tcPr>
            <w:tcW w:w="2070" w:type="dxa"/>
            <w:vMerge w:val="restart"/>
            <w:shd w:val="clear" w:color="auto" w:fill="FE6464"/>
            <w:tcMar>
              <w:top w:w="100" w:type="dxa"/>
              <w:left w:w="100" w:type="dxa"/>
              <w:bottom w:w="100" w:type="dxa"/>
              <w:right w:w="100" w:type="dxa"/>
            </w:tcMar>
          </w:tcPr>
          <w:p w14:paraId="4EA85764" w14:textId="77777777" w:rsidR="00822F51" w:rsidRDefault="001A22F2">
            <w:pPr>
              <w:widowControl w:val="0"/>
              <w:spacing w:line="240" w:lineRule="auto"/>
              <w:rPr>
                <w:rFonts w:ascii="Calibri" w:eastAsia="Calibri" w:hAnsi="Calibri" w:cs="Calibri"/>
              </w:rPr>
            </w:pPr>
            <w:r>
              <w:rPr>
                <w:rFonts w:ascii="Calibri" w:eastAsia="Calibri" w:hAnsi="Calibri" w:cs="Calibri"/>
              </w:rPr>
              <w:t>FAIL (QC; YT; NU; ON)</w:t>
            </w:r>
          </w:p>
        </w:tc>
      </w:tr>
      <w:tr w:rsidR="00822F51" w14:paraId="1AEEFA5C" w14:textId="77777777">
        <w:trPr>
          <w:trHeight w:val="420"/>
        </w:trPr>
        <w:tc>
          <w:tcPr>
            <w:tcW w:w="600" w:type="dxa"/>
            <w:vMerge/>
            <w:tcMar>
              <w:top w:w="100" w:type="dxa"/>
              <w:left w:w="100" w:type="dxa"/>
              <w:bottom w:w="100" w:type="dxa"/>
              <w:right w:w="100" w:type="dxa"/>
            </w:tcMar>
          </w:tcPr>
          <w:p w14:paraId="0AD1167D" w14:textId="77777777" w:rsidR="00822F51" w:rsidRDefault="00822F51">
            <w:pPr>
              <w:widowControl w:val="0"/>
              <w:spacing w:line="240" w:lineRule="auto"/>
              <w:rPr>
                <w:rFonts w:ascii="Calibri" w:eastAsia="Calibri" w:hAnsi="Calibri" w:cs="Calibri"/>
              </w:rPr>
            </w:pPr>
          </w:p>
        </w:tc>
        <w:tc>
          <w:tcPr>
            <w:tcW w:w="2760" w:type="dxa"/>
            <w:vMerge/>
            <w:tcMar>
              <w:top w:w="100" w:type="dxa"/>
              <w:left w:w="100" w:type="dxa"/>
              <w:bottom w:w="100" w:type="dxa"/>
              <w:right w:w="100" w:type="dxa"/>
            </w:tcMar>
          </w:tcPr>
          <w:p w14:paraId="125864B9" w14:textId="77777777" w:rsidR="00822F51" w:rsidRDefault="00822F51">
            <w:pPr>
              <w:widowControl w:val="0"/>
              <w:spacing w:line="240" w:lineRule="auto"/>
              <w:rPr>
                <w:rFonts w:ascii="Calibri" w:eastAsia="Calibri" w:hAnsi="Calibri" w:cs="Calibri"/>
              </w:rPr>
            </w:pPr>
          </w:p>
        </w:tc>
        <w:tc>
          <w:tcPr>
            <w:tcW w:w="1470" w:type="dxa"/>
            <w:vMerge/>
            <w:shd w:val="clear" w:color="auto" w:fill="FE6464"/>
            <w:tcMar>
              <w:top w:w="100" w:type="dxa"/>
              <w:left w:w="100" w:type="dxa"/>
              <w:bottom w:w="100" w:type="dxa"/>
              <w:right w:w="100" w:type="dxa"/>
            </w:tcMar>
          </w:tcPr>
          <w:p w14:paraId="641CC03B" w14:textId="77777777" w:rsidR="00822F51" w:rsidRDefault="00822F51">
            <w:pPr>
              <w:widowControl w:val="0"/>
              <w:spacing w:line="240" w:lineRule="auto"/>
              <w:rPr>
                <w:rFonts w:ascii="Calibri" w:eastAsia="Calibri" w:hAnsi="Calibri" w:cs="Calibri"/>
              </w:rPr>
            </w:pPr>
          </w:p>
        </w:tc>
        <w:tc>
          <w:tcPr>
            <w:tcW w:w="2100" w:type="dxa"/>
            <w:shd w:val="clear" w:color="auto" w:fill="FE6464"/>
            <w:tcMar>
              <w:top w:w="100" w:type="dxa"/>
              <w:left w:w="100" w:type="dxa"/>
              <w:bottom w:w="100" w:type="dxa"/>
              <w:right w:w="100" w:type="dxa"/>
            </w:tcMar>
          </w:tcPr>
          <w:p w14:paraId="3E078C06"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SK, PEI)</w:t>
            </w:r>
          </w:p>
        </w:tc>
        <w:tc>
          <w:tcPr>
            <w:tcW w:w="2055" w:type="dxa"/>
            <w:vMerge/>
            <w:shd w:val="clear" w:color="auto" w:fill="FE6464"/>
            <w:tcMar>
              <w:top w:w="100" w:type="dxa"/>
              <w:left w:w="100" w:type="dxa"/>
              <w:bottom w:w="100" w:type="dxa"/>
              <w:right w:w="100" w:type="dxa"/>
            </w:tcMar>
          </w:tcPr>
          <w:p w14:paraId="42938DEF" w14:textId="77777777" w:rsidR="00822F51" w:rsidRDefault="00822F51">
            <w:pPr>
              <w:widowControl w:val="0"/>
              <w:spacing w:line="240" w:lineRule="auto"/>
              <w:rPr>
                <w:rFonts w:ascii="Calibri" w:eastAsia="Calibri" w:hAnsi="Calibri" w:cs="Calibri"/>
              </w:rPr>
            </w:pPr>
          </w:p>
        </w:tc>
        <w:tc>
          <w:tcPr>
            <w:tcW w:w="2070" w:type="dxa"/>
            <w:vMerge/>
            <w:shd w:val="clear" w:color="auto" w:fill="FE6464"/>
            <w:tcMar>
              <w:top w:w="100" w:type="dxa"/>
              <w:left w:w="100" w:type="dxa"/>
              <w:bottom w:w="100" w:type="dxa"/>
              <w:right w:w="100" w:type="dxa"/>
            </w:tcMar>
          </w:tcPr>
          <w:p w14:paraId="31B8D5CD" w14:textId="77777777" w:rsidR="00822F51" w:rsidRDefault="00822F51">
            <w:pPr>
              <w:widowControl w:val="0"/>
              <w:spacing w:line="240" w:lineRule="auto"/>
              <w:rPr>
                <w:rFonts w:ascii="Calibri" w:eastAsia="Calibri" w:hAnsi="Calibri" w:cs="Calibri"/>
              </w:rPr>
            </w:pPr>
          </w:p>
        </w:tc>
      </w:tr>
      <w:tr w:rsidR="00822F51" w14:paraId="41CB5979" w14:textId="77777777">
        <w:trPr>
          <w:trHeight w:val="420"/>
        </w:trPr>
        <w:tc>
          <w:tcPr>
            <w:tcW w:w="600" w:type="dxa"/>
            <w:tcMar>
              <w:top w:w="100" w:type="dxa"/>
              <w:left w:w="100" w:type="dxa"/>
              <w:bottom w:w="100" w:type="dxa"/>
              <w:right w:w="100" w:type="dxa"/>
            </w:tcMar>
          </w:tcPr>
          <w:p w14:paraId="5D074994" w14:textId="77777777" w:rsidR="00822F51" w:rsidRDefault="001A22F2">
            <w:pPr>
              <w:widowControl w:val="0"/>
              <w:spacing w:line="240" w:lineRule="auto"/>
              <w:rPr>
                <w:rFonts w:ascii="Calibri" w:eastAsia="Calibri" w:hAnsi="Calibri" w:cs="Calibri"/>
              </w:rPr>
            </w:pPr>
            <w:r>
              <w:rPr>
                <w:rFonts w:ascii="Calibri" w:eastAsia="Calibri" w:hAnsi="Calibri" w:cs="Calibri"/>
              </w:rPr>
              <w:t>9</w:t>
            </w:r>
          </w:p>
        </w:tc>
        <w:tc>
          <w:tcPr>
            <w:tcW w:w="2760" w:type="dxa"/>
            <w:tcMar>
              <w:top w:w="100" w:type="dxa"/>
              <w:left w:w="100" w:type="dxa"/>
              <w:bottom w:w="100" w:type="dxa"/>
              <w:right w:w="100" w:type="dxa"/>
            </w:tcMar>
          </w:tcPr>
          <w:p w14:paraId="7B9E8868"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Providing Essential Support Services for Paper Rights</w:t>
            </w:r>
          </w:p>
          <w:p w14:paraId="0BE3EF3A"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Accessible legal and support services, including clear workplace notice of rights and legal assistance for workers who are unemployed or blacklisted.</w:t>
            </w:r>
            <w:r>
              <w:rPr>
                <w:rFonts w:ascii="Calibri" w:eastAsia="Calibri" w:hAnsi="Calibri" w:cs="Calibri"/>
                <w:sz w:val="16"/>
                <w:szCs w:val="16"/>
                <w:vertAlign w:val="superscript"/>
              </w:rPr>
              <w:footnoteReference w:id="104"/>
            </w:r>
          </w:p>
        </w:tc>
        <w:tc>
          <w:tcPr>
            <w:tcW w:w="1470" w:type="dxa"/>
            <w:shd w:val="clear" w:color="auto" w:fill="FE6464"/>
            <w:tcMar>
              <w:top w:w="100" w:type="dxa"/>
              <w:left w:w="100" w:type="dxa"/>
              <w:bottom w:w="100" w:type="dxa"/>
              <w:right w:w="100" w:type="dxa"/>
            </w:tcMar>
          </w:tcPr>
          <w:p w14:paraId="425D37D9" w14:textId="77777777" w:rsidR="00822F51" w:rsidRDefault="001A22F2">
            <w:pPr>
              <w:widowControl w:val="0"/>
              <w:spacing w:line="240" w:lineRule="auto"/>
              <w:rPr>
                <w:rFonts w:ascii="Calibri" w:eastAsia="Calibri" w:hAnsi="Calibri" w:cs="Calibri"/>
              </w:rPr>
            </w:pPr>
            <w:r>
              <w:rPr>
                <w:rFonts w:ascii="Calibri" w:eastAsia="Calibri" w:hAnsi="Calibri" w:cs="Calibri"/>
              </w:rPr>
              <w:t>FAIL (s. 25)</w:t>
            </w:r>
          </w:p>
        </w:tc>
        <w:tc>
          <w:tcPr>
            <w:tcW w:w="2100" w:type="dxa"/>
            <w:shd w:val="clear" w:color="auto" w:fill="FE6464"/>
            <w:tcMar>
              <w:top w:w="100" w:type="dxa"/>
              <w:left w:w="100" w:type="dxa"/>
              <w:bottom w:w="100" w:type="dxa"/>
              <w:right w:w="100" w:type="dxa"/>
            </w:tcMar>
          </w:tcPr>
          <w:p w14:paraId="0D344704"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8; BC s. 11; SK s. 9; PEI s. 8)</w:t>
            </w:r>
          </w:p>
        </w:tc>
        <w:tc>
          <w:tcPr>
            <w:tcW w:w="2055" w:type="dxa"/>
            <w:shd w:val="clear" w:color="auto" w:fill="FE6464"/>
            <w:tcMar>
              <w:top w:w="100" w:type="dxa"/>
              <w:left w:w="100" w:type="dxa"/>
              <w:bottom w:w="100" w:type="dxa"/>
              <w:right w:w="100" w:type="dxa"/>
            </w:tcMar>
          </w:tcPr>
          <w:p w14:paraId="29952D5C"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34; NB s. 10; NS s. 5; NL s. 6)</w:t>
            </w:r>
          </w:p>
        </w:tc>
        <w:tc>
          <w:tcPr>
            <w:tcW w:w="2070" w:type="dxa"/>
            <w:shd w:val="clear" w:color="auto" w:fill="FE6464"/>
            <w:tcMar>
              <w:top w:w="100" w:type="dxa"/>
              <w:left w:w="100" w:type="dxa"/>
              <w:bottom w:w="100" w:type="dxa"/>
              <w:right w:w="100" w:type="dxa"/>
            </w:tcMar>
          </w:tcPr>
          <w:p w14:paraId="5AF9F225"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26; YT s. 8; NU s. 39; ON s. 140)</w:t>
            </w:r>
          </w:p>
        </w:tc>
      </w:tr>
      <w:tr w:rsidR="00822F51" w14:paraId="04C12F4F" w14:textId="77777777">
        <w:trPr>
          <w:trHeight w:val="610"/>
        </w:trPr>
        <w:tc>
          <w:tcPr>
            <w:tcW w:w="600" w:type="dxa"/>
            <w:tcMar>
              <w:top w:w="100" w:type="dxa"/>
              <w:left w:w="100" w:type="dxa"/>
              <w:bottom w:w="100" w:type="dxa"/>
              <w:right w:w="100" w:type="dxa"/>
            </w:tcMar>
          </w:tcPr>
          <w:p w14:paraId="31343D3E" w14:textId="77777777" w:rsidR="00822F51" w:rsidRDefault="001A22F2">
            <w:pPr>
              <w:widowControl w:val="0"/>
              <w:spacing w:line="240" w:lineRule="auto"/>
              <w:rPr>
                <w:rFonts w:ascii="Calibri" w:eastAsia="Calibri" w:hAnsi="Calibri" w:cs="Calibri"/>
              </w:rPr>
            </w:pPr>
            <w:r>
              <w:rPr>
                <w:rFonts w:ascii="Calibri" w:eastAsia="Calibri" w:hAnsi="Calibri" w:cs="Calibri"/>
              </w:rPr>
              <w:t>10</w:t>
            </w:r>
          </w:p>
        </w:tc>
        <w:tc>
          <w:tcPr>
            <w:tcW w:w="2760" w:type="dxa"/>
            <w:tcMar>
              <w:top w:w="100" w:type="dxa"/>
              <w:left w:w="100" w:type="dxa"/>
              <w:bottom w:w="100" w:type="dxa"/>
              <w:right w:w="100" w:type="dxa"/>
            </w:tcMar>
          </w:tcPr>
          <w:p w14:paraId="3C1E3589"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Genuine Day in Court</w:t>
            </w:r>
          </w:p>
          <w:p w14:paraId="6DF8A395"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A genuine day in court requires full judicial due process, including timely decisions, the right to present and confront witnesses, and fair, objective procedural rules.</w:t>
            </w:r>
            <w:r>
              <w:rPr>
                <w:rFonts w:ascii="Calibri" w:eastAsia="Calibri" w:hAnsi="Calibri" w:cs="Calibri"/>
                <w:sz w:val="16"/>
                <w:szCs w:val="16"/>
                <w:vertAlign w:val="superscript"/>
              </w:rPr>
              <w:footnoteReference w:id="105"/>
            </w:r>
          </w:p>
        </w:tc>
        <w:tc>
          <w:tcPr>
            <w:tcW w:w="1470" w:type="dxa"/>
            <w:shd w:val="clear" w:color="auto" w:fill="FE6464"/>
            <w:tcMar>
              <w:top w:w="100" w:type="dxa"/>
              <w:left w:w="100" w:type="dxa"/>
              <w:bottom w:w="100" w:type="dxa"/>
              <w:right w:w="100" w:type="dxa"/>
            </w:tcMar>
          </w:tcPr>
          <w:p w14:paraId="76A86AA9" w14:textId="77777777" w:rsidR="00822F51" w:rsidRDefault="001A22F2">
            <w:pPr>
              <w:widowControl w:val="0"/>
              <w:spacing w:line="240" w:lineRule="auto"/>
              <w:rPr>
                <w:rFonts w:ascii="Calibri" w:eastAsia="Calibri" w:hAnsi="Calibri" w:cs="Calibri"/>
              </w:rPr>
            </w:pPr>
            <w:r>
              <w:rPr>
                <w:rFonts w:ascii="Calibri" w:eastAsia="Calibri" w:hAnsi="Calibri" w:cs="Calibri"/>
              </w:rPr>
              <w:t>FAIL (s. 20)</w:t>
            </w:r>
          </w:p>
        </w:tc>
        <w:tc>
          <w:tcPr>
            <w:tcW w:w="2100" w:type="dxa"/>
            <w:shd w:val="clear" w:color="auto" w:fill="FE6464"/>
            <w:tcMar>
              <w:top w:w="100" w:type="dxa"/>
              <w:left w:w="100" w:type="dxa"/>
              <w:bottom w:w="100" w:type="dxa"/>
              <w:right w:w="100" w:type="dxa"/>
            </w:tcMar>
          </w:tcPr>
          <w:p w14:paraId="3610C603"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27; BC s. 33; SK s. 36; PEI s. 19)</w:t>
            </w:r>
          </w:p>
        </w:tc>
        <w:tc>
          <w:tcPr>
            <w:tcW w:w="2055" w:type="dxa"/>
            <w:shd w:val="clear" w:color="auto" w:fill="FE6464"/>
            <w:tcMar>
              <w:top w:w="100" w:type="dxa"/>
              <w:left w:w="100" w:type="dxa"/>
              <w:bottom w:w="100" w:type="dxa"/>
              <w:right w:w="100" w:type="dxa"/>
            </w:tcMar>
          </w:tcPr>
          <w:p w14:paraId="3C893B3B"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28; NB s. 32; NS s. 32; NL s. 22)</w:t>
            </w:r>
          </w:p>
        </w:tc>
        <w:tc>
          <w:tcPr>
            <w:tcW w:w="2070" w:type="dxa"/>
            <w:shd w:val="clear" w:color="auto" w:fill="FE6464"/>
            <w:tcMar>
              <w:top w:w="100" w:type="dxa"/>
              <w:left w:w="100" w:type="dxa"/>
              <w:bottom w:w="100" w:type="dxa"/>
              <w:right w:w="100" w:type="dxa"/>
            </w:tcMar>
          </w:tcPr>
          <w:p w14:paraId="77B20D9D"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32; YT s. 26; NU s. 47; ON s. 118(2))</w:t>
            </w:r>
          </w:p>
        </w:tc>
      </w:tr>
      <w:tr w:rsidR="00822F51" w14:paraId="72FD9266" w14:textId="77777777">
        <w:trPr>
          <w:trHeight w:val="863"/>
        </w:trPr>
        <w:tc>
          <w:tcPr>
            <w:tcW w:w="600" w:type="dxa"/>
            <w:vMerge w:val="restart"/>
            <w:tcMar>
              <w:top w:w="100" w:type="dxa"/>
              <w:left w:w="100" w:type="dxa"/>
              <w:bottom w:w="100" w:type="dxa"/>
              <w:right w:w="100" w:type="dxa"/>
            </w:tcMar>
          </w:tcPr>
          <w:p w14:paraId="02409323" w14:textId="77777777" w:rsidR="00822F51" w:rsidRDefault="001A22F2">
            <w:pPr>
              <w:widowControl w:val="0"/>
              <w:spacing w:line="240" w:lineRule="auto"/>
              <w:rPr>
                <w:rFonts w:ascii="Calibri" w:eastAsia="Calibri" w:hAnsi="Calibri" w:cs="Calibri"/>
              </w:rPr>
            </w:pPr>
            <w:r>
              <w:rPr>
                <w:rFonts w:ascii="Calibri" w:eastAsia="Calibri" w:hAnsi="Calibri" w:cs="Calibri"/>
              </w:rPr>
              <w:t>11</w:t>
            </w:r>
          </w:p>
        </w:tc>
        <w:tc>
          <w:tcPr>
            <w:tcW w:w="2760" w:type="dxa"/>
            <w:vMerge w:val="restart"/>
            <w:tcMar>
              <w:top w:w="100" w:type="dxa"/>
              <w:left w:w="100" w:type="dxa"/>
              <w:bottom w:w="100" w:type="dxa"/>
              <w:right w:w="100" w:type="dxa"/>
            </w:tcMar>
          </w:tcPr>
          <w:p w14:paraId="02596A5A"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Option for Alternative Dispute Resolution with an Independent Party of Mutual Consent</w:t>
            </w:r>
          </w:p>
        </w:tc>
        <w:tc>
          <w:tcPr>
            <w:tcW w:w="1470" w:type="dxa"/>
            <w:vMerge w:val="restart"/>
            <w:shd w:val="clear" w:color="auto" w:fill="FE6464"/>
            <w:tcMar>
              <w:top w:w="100" w:type="dxa"/>
              <w:left w:w="100" w:type="dxa"/>
              <w:bottom w:w="100" w:type="dxa"/>
              <w:right w:w="100" w:type="dxa"/>
            </w:tcMar>
          </w:tcPr>
          <w:p w14:paraId="3B51C0DC" w14:textId="77777777" w:rsidR="00822F51" w:rsidRDefault="001A22F2">
            <w:pPr>
              <w:widowControl w:val="0"/>
              <w:spacing w:line="240" w:lineRule="auto"/>
              <w:rPr>
                <w:rFonts w:ascii="Calibri" w:eastAsia="Calibri" w:hAnsi="Calibri" w:cs="Calibri"/>
              </w:rPr>
            </w:pPr>
            <w:r>
              <w:rPr>
                <w:rFonts w:ascii="Calibri" w:eastAsia="Calibri" w:hAnsi="Calibri" w:cs="Calibri"/>
              </w:rPr>
              <w:t>FAIL (s. 20)</w:t>
            </w:r>
          </w:p>
        </w:tc>
        <w:tc>
          <w:tcPr>
            <w:tcW w:w="2100" w:type="dxa"/>
            <w:vMerge w:val="restart"/>
            <w:shd w:val="clear" w:color="auto" w:fill="FE6464"/>
            <w:tcMar>
              <w:top w:w="100" w:type="dxa"/>
              <w:left w:w="100" w:type="dxa"/>
              <w:bottom w:w="100" w:type="dxa"/>
              <w:right w:w="100" w:type="dxa"/>
            </w:tcMar>
          </w:tcPr>
          <w:p w14:paraId="4A60914E" w14:textId="77777777" w:rsidR="00822F51" w:rsidRDefault="001A22F2">
            <w:pPr>
              <w:widowControl w:val="0"/>
              <w:spacing w:line="240" w:lineRule="auto"/>
              <w:rPr>
                <w:rFonts w:ascii="Calibri" w:eastAsia="Calibri" w:hAnsi="Calibri" w:cs="Calibri"/>
              </w:rPr>
            </w:pPr>
            <w:r>
              <w:rPr>
                <w:rFonts w:ascii="Calibri" w:eastAsia="Calibri" w:hAnsi="Calibri" w:cs="Calibri"/>
              </w:rPr>
              <w:t>FAIL (AB; BC; SK; PEI)</w:t>
            </w:r>
          </w:p>
        </w:tc>
        <w:tc>
          <w:tcPr>
            <w:tcW w:w="2055" w:type="dxa"/>
            <w:shd w:val="clear" w:color="auto" w:fill="FFD966"/>
            <w:tcMar>
              <w:top w:w="100" w:type="dxa"/>
              <w:left w:w="100" w:type="dxa"/>
              <w:bottom w:w="100" w:type="dxa"/>
              <w:right w:w="100" w:type="dxa"/>
            </w:tcMar>
          </w:tcPr>
          <w:p w14:paraId="75B34A47" w14:textId="77777777" w:rsidR="00822F51" w:rsidRDefault="001A22F2">
            <w:pPr>
              <w:widowControl w:val="0"/>
              <w:spacing w:line="240" w:lineRule="auto"/>
              <w:rPr>
                <w:rFonts w:ascii="Calibri" w:eastAsia="Calibri" w:hAnsi="Calibri" w:cs="Calibri"/>
              </w:rPr>
            </w:pPr>
            <w:r>
              <w:rPr>
                <w:rFonts w:ascii="Calibri" w:eastAsia="Calibri" w:hAnsi="Calibri" w:cs="Calibri"/>
              </w:rPr>
              <w:t>PARTIAL (NB s. 64)</w:t>
            </w:r>
          </w:p>
        </w:tc>
        <w:tc>
          <w:tcPr>
            <w:tcW w:w="2070" w:type="dxa"/>
            <w:shd w:val="clear" w:color="auto" w:fill="93C47D"/>
            <w:tcMar>
              <w:top w:w="100" w:type="dxa"/>
              <w:left w:w="100" w:type="dxa"/>
              <w:bottom w:w="100" w:type="dxa"/>
              <w:right w:w="100" w:type="dxa"/>
            </w:tcMar>
          </w:tcPr>
          <w:p w14:paraId="7A358A0A" w14:textId="77777777" w:rsidR="00822F51" w:rsidRDefault="001A22F2">
            <w:pPr>
              <w:widowControl w:val="0"/>
              <w:spacing w:line="240" w:lineRule="auto"/>
              <w:rPr>
                <w:rFonts w:ascii="Calibri" w:eastAsia="Calibri" w:hAnsi="Calibri" w:cs="Calibri"/>
              </w:rPr>
            </w:pPr>
            <w:r>
              <w:rPr>
                <w:rFonts w:ascii="Calibri" w:eastAsia="Calibri" w:hAnsi="Calibri" w:cs="Calibri"/>
              </w:rPr>
              <w:t>MET (YT s. 35)</w:t>
            </w:r>
          </w:p>
        </w:tc>
      </w:tr>
      <w:tr w:rsidR="00822F51" w14:paraId="09D3C4C2" w14:textId="77777777">
        <w:trPr>
          <w:trHeight w:val="465"/>
        </w:trPr>
        <w:tc>
          <w:tcPr>
            <w:tcW w:w="600" w:type="dxa"/>
            <w:vMerge/>
            <w:tcMar>
              <w:top w:w="100" w:type="dxa"/>
              <w:left w:w="100" w:type="dxa"/>
              <w:bottom w:w="100" w:type="dxa"/>
              <w:right w:w="100" w:type="dxa"/>
            </w:tcMar>
          </w:tcPr>
          <w:p w14:paraId="04E63B22" w14:textId="77777777" w:rsidR="00822F51" w:rsidRDefault="00822F51">
            <w:pPr>
              <w:widowControl w:val="0"/>
              <w:spacing w:line="240" w:lineRule="auto"/>
              <w:rPr>
                <w:rFonts w:ascii="Calibri" w:eastAsia="Calibri" w:hAnsi="Calibri" w:cs="Calibri"/>
              </w:rPr>
            </w:pPr>
          </w:p>
        </w:tc>
        <w:tc>
          <w:tcPr>
            <w:tcW w:w="2760" w:type="dxa"/>
            <w:vMerge/>
            <w:tcMar>
              <w:top w:w="100" w:type="dxa"/>
              <w:left w:w="100" w:type="dxa"/>
              <w:bottom w:w="100" w:type="dxa"/>
              <w:right w:w="100" w:type="dxa"/>
            </w:tcMar>
          </w:tcPr>
          <w:p w14:paraId="0F77465F" w14:textId="77777777" w:rsidR="00822F51" w:rsidRDefault="00822F51">
            <w:pPr>
              <w:widowControl w:val="0"/>
              <w:spacing w:line="240" w:lineRule="auto"/>
              <w:rPr>
                <w:rFonts w:ascii="Calibri" w:eastAsia="Calibri" w:hAnsi="Calibri" w:cs="Calibri"/>
              </w:rPr>
            </w:pPr>
          </w:p>
        </w:tc>
        <w:tc>
          <w:tcPr>
            <w:tcW w:w="1470" w:type="dxa"/>
            <w:vMerge/>
            <w:shd w:val="clear" w:color="auto" w:fill="FE6464"/>
            <w:tcMar>
              <w:top w:w="100" w:type="dxa"/>
              <w:left w:w="100" w:type="dxa"/>
              <w:bottom w:w="100" w:type="dxa"/>
              <w:right w:w="100" w:type="dxa"/>
            </w:tcMar>
          </w:tcPr>
          <w:p w14:paraId="6DD354C5" w14:textId="77777777" w:rsidR="00822F51" w:rsidRDefault="00822F51">
            <w:pPr>
              <w:widowControl w:val="0"/>
              <w:spacing w:line="240" w:lineRule="auto"/>
              <w:rPr>
                <w:rFonts w:ascii="Calibri" w:eastAsia="Calibri" w:hAnsi="Calibri" w:cs="Calibri"/>
              </w:rPr>
            </w:pPr>
          </w:p>
        </w:tc>
        <w:tc>
          <w:tcPr>
            <w:tcW w:w="2100" w:type="dxa"/>
            <w:vMerge/>
            <w:shd w:val="clear" w:color="auto" w:fill="FE6464"/>
            <w:tcMar>
              <w:top w:w="100" w:type="dxa"/>
              <w:left w:w="100" w:type="dxa"/>
              <w:bottom w:w="100" w:type="dxa"/>
              <w:right w:w="100" w:type="dxa"/>
            </w:tcMar>
          </w:tcPr>
          <w:p w14:paraId="5F67F47D" w14:textId="77777777" w:rsidR="00822F51" w:rsidRDefault="00822F51">
            <w:pPr>
              <w:widowControl w:val="0"/>
              <w:spacing w:line="240" w:lineRule="auto"/>
              <w:rPr>
                <w:rFonts w:ascii="Calibri" w:eastAsia="Calibri" w:hAnsi="Calibri" w:cs="Calibri"/>
              </w:rPr>
            </w:pPr>
          </w:p>
        </w:tc>
        <w:tc>
          <w:tcPr>
            <w:tcW w:w="2055" w:type="dxa"/>
            <w:shd w:val="clear" w:color="auto" w:fill="FE6464"/>
            <w:tcMar>
              <w:top w:w="100" w:type="dxa"/>
              <w:left w:w="100" w:type="dxa"/>
              <w:bottom w:w="100" w:type="dxa"/>
              <w:right w:w="100" w:type="dxa"/>
            </w:tcMar>
          </w:tcPr>
          <w:p w14:paraId="321B410B" w14:textId="77777777" w:rsidR="00822F51" w:rsidRDefault="001A22F2">
            <w:pPr>
              <w:widowControl w:val="0"/>
              <w:spacing w:line="240" w:lineRule="auto"/>
              <w:rPr>
                <w:rFonts w:ascii="Calibri" w:eastAsia="Calibri" w:hAnsi="Calibri" w:cs="Calibri"/>
              </w:rPr>
            </w:pPr>
            <w:r>
              <w:rPr>
                <w:rFonts w:ascii="Calibri" w:eastAsia="Calibri" w:hAnsi="Calibri" w:cs="Calibri"/>
              </w:rPr>
              <w:t>FAIL (MB; NS; NL)</w:t>
            </w:r>
          </w:p>
        </w:tc>
        <w:tc>
          <w:tcPr>
            <w:tcW w:w="2070" w:type="dxa"/>
            <w:shd w:val="clear" w:color="auto" w:fill="FE6464"/>
            <w:tcMar>
              <w:top w:w="100" w:type="dxa"/>
              <w:left w:w="100" w:type="dxa"/>
              <w:bottom w:w="100" w:type="dxa"/>
              <w:right w:w="100" w:type="dxa"/>
            </w:tcMar>
          </w:tcPr>
          <w:p w14:paraId="5A9B1078" w14:textId="77777777" w:rsidR="00822F51" w:rsidRDefault="001A22F2">
            <w:pPr>
              <w:widowControl w:val="0"/>
              <w:spacing w:line="240" w:lineRule="auto"/>
              <w:rPr>
                <w:rFonts w:ascii="Calibri" w:eastAsia="Calibri" w:hAnsi="Calibri" w:cs="Calibri"/>
              </w:rPr>
            </w:pPr>
            <w:r>
              <w:rPr>
                <w:rFonts w:ascii="Calibri" w:eastAsia="Calibri" w:hAnsi="Calibri" w:cs="Calibri"/>
              </w:rPr>
              <w:t>FAIL (QC; NU; ON)</w:t>
            </w:r>
          </w:p>
        </w:tc>
      </w:tr>
      <w:tr w:rsidR="00822F51" w14:paraId="55D0313E" w14:textId="77777777">
        <w:trPr>
          <w:trHeight w:val="610"/>
        </w:trPr>
        <w:tc>
          <w:tcPr>
            <w:tcW w:w="600" w:type="dxa"/>
            <w:vMerge w:val="restart"/>
            <w:tcMar>
              <w:top w:w="100" w:type="dxa"/>
              <w:left w:w="100" w:type="dxa"/>
              <w:bottom w:w="100" w:type="dxa"/>
              <w:right w:w="100" w:type="dxa"/>
            </w:tcMar>
          </w:tcPr>
          <w:p w14:paraId="1C2FEEF1" w14:textId="77777777" w:rsidR="00822F51" w:rsidRDefault="001A22F2">
            <w:pPr>
              <w:widowControl w:val="0"/>
              <w:spacing w:line="240" w:lineRule="auto"/>
              <w:rPr>
                <w:rFonts w:ascii="Calibri" w:eastAsia="Calibri" w:hAnsi="Calibri" w:cs="Calibri"/>
              </w:rPr>
            </w:pPr>
            <w:r>
              <w:rPr>
                <w:rFonts w:ascii="Calibri" w:eastAsia="Calibri" w:hAnsi="Calibri" w:cs="Calibri"/>
              </w:rPr>
              <w:t>12</w:t>
            </w:r>
          </w:p>
        </w:tc>
        <w:tc>
          <w:tcPr>
            <w:tcW w:w="2760" w:type="dxa"/>
            <w:vMerge w:val="restart"/>
            <w:tcMar>
              <w:top w:w="100" w:type="dxa"/>
              <w:left w:w="100" w:type="dxa"/>
              <w:bottom w:w="100" w:type="dxa"/>
              <w:right w:w="100" w:type="dxa"/>
            </w:tcMar>
          </w:tcPr>
          <w:p w14:paraId="75EE4A52"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Realistic Standards to Prove Violation of Rights</w:t>
            </w:r>
          </w:p>
          <w:p w14:paraId="51A62386"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A violation is recognized if the protected disclosure contributed to the adverse action. Shifts the burden to the employer to prove that the disclosure was not a factor.</w:t>
            </w:r>
            <w:r>
              <w:rPr>
                <w:rFonts w:ascii="Calibri" w:eastAsia="Calibri" w:hAnsi="Calibri" w:cs="Calibri"/>
                <w:sz w:val="16"/>
                <w:szCs w:val="16"/>
                <w:vertAlign w:val="superscript"/>
              </w:rPr>
              <w:footnoteReference w:id="106"/>
            </w:r>
          </w:p>
        </w:tc>
        <w:tc>
          <w:tcPr>
            <w:tcW w:w="1470" w:type="dxa"/>
            <w:vMerge w:val="restart"/>
            <w:shd w:val="clear" w:color="auto" w:fill="FE6464"/>
            <w:tcMar>
              <w:top w:w="100" w:type="dxa"/>
              <w:left w:w="100" w:type="dxa"/>
              <w:bottom w:w="100" w:type="dxa"/>
              <w:right w:w="100" w:type="dxa"/>
            </w:tcMar>
          </w:tcPr>
          <w:p w14:paraId="6DADAFB5" w14:textId="77777777" w:rsidR="00822F51" w:rsidRDefault="001A22F2">
            <w:pPr>
              <w:widowControl w:val="0"/>
              <w:spacing w:line="240" w:lineRule="auto"/>
              <w:rPr>
                <w:rFonts w:ascii="Calibri" w:eastAsia="Calibri" w:hAnsi="Calibri" w:cs="Calibri"/>
              </w:rPr>
            </w:pPr>
            <w:r>
              <w:rPr>
                <w:rFonts w:ascii="Calibri" w:eastAsia="Calibri" w:hAnsi="Calibri" w:cs="Calibri"/>
              </w:rPr>
              <w:t>FAIL (s. 42)</w:t>
            </w:r>
          </w:p>
        </w:tc>
        <w:tc>
          <w:tcPr>
            <w:tcW w:w="2100" w:type="dxa"/>
            <w:vMerge w:val="restart"/>
            <w:shd w:val="clear" w:color="auto" w:fill="FE6464"/>
            <w:tcMar>
              <w:top w:w="100" w:type="dxa"/>
              <w:left w:w="100" w:type="dxa"/>
              <w:bottom w:w="100" w:type="dxa"/>
              <w:right w:w="100" w:type="dxa"/>
            </w:tcMar>
          </w:tcPr>
          <w:p w14:paraId="3B3A9F67"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52; BC s. 31; SK s. 43; PEI s. 6)</w:t>
            </w:r>
          </w:p>
        </w:tc>
        <w:tc>
          <w:tcPr>
            <w:tcW w:w="2055" w:type="dxa"/>
            <w:vMerge w:val="restart"/>
            <w:shd w:val="clear" w:color="auto" w:fill="FE6464"/>
            <w:tcMar>
              <w:top w:w="100" w:type="dxa"/>
              <w:left w:w="100" w:type="dxa"/>
              <w:bottom w:w="100" w:type="dxa"/>
              <w:right w:w="100" w:type="dxa"/>
            </w:tcMar>
          </w:tcPr>
          <w:p w14:paraId="5301F494"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60; NB s. 54; NS s. 10; NL s. 14)</w:t>
            </w:r>
          </w:p>
        </w:tc>
        <w:tc>
          <w:tcPr>
            <w:tcW w:w="2070" w:type="dxa"/>
            <w:shd w:val="clear" w:color="auto" w:fill="93C47D"/>
            <w:tcMar>
              <w:top w:w="100" w:type="dxa"/>
              <w:left w:w="100" w:type="dxa"/>
              <w:bottom w:w="100" w:type="dxa"/>
              <w:right w:w="100" w:type="dxa"/>
            </w:tcMar>
          </w:tcPr>
          <w:p w14:paraId="0D10BA85" w14:textId="77777777" w:rsidR="00822F51" w:rsidRDefault="001A22F2">
            <w:pPr>
              <w:widowControl w:val="0"/>
              <w:spacing w:line="240" w:lineRule="auto"/>
              <w:rPr>
                <w:rFonts w:ascii="Calibri" w:eastAsia="Calibri" w:hAnsi="Calibri" w:cs="Calibri"/>
              </w:rPr>
            </w:pPr>
            <w:r>
              <w:rPr>
                <w:rFonts w:ascii="Calibri" w:eastAsia="Calibri" w:hAnsi="Calibri" w:cs="Calibri"/>
              </w:rPr>
              <w:t>MET (QC s. 15)</w:t>
            </w:r>
            <w:r>
              <w:rPr>
                <w:rFonts w:ascii="Calibri" w:eastAsia="Calibri" w:hAnsi="Calibri" w:cs="Calibri"/>
                <w:vertAlign w:val="superscript"/>
              </w:rPr>
              <w:footnoteReference w:id="107"/>
            </w:r>
          </w:p>
        </w:tc>
      </w:tr>
      <w:tr w:rsidR="00822F51" w14:paraId="02B46470" w14:textId="77777777">
        <w:trPr>
          <w:trHeight w:val="610"/>
        </w:trPr>
        <w:tc>
          <w:tcPr>
            <w:tcW w:w="600" w:type="dxa"/>
            <w:vMerge/>
            <w:tcMar>
              <w:top w:w="100" w:type="dxa"/>
              <w:left w:w="100" w:type="dxa"/>
              <w:bottom w:w="100" w:type="dxa"/>
              <w:right w:w="100" w:type="dxa"/>
            </w:tcMar>
          </w:tcPr>
          <w:p w14:paraId="2EFE08D1" w14:textId="77777777" w:rsidR="00822F51" w:rsidRDefault="00822F51">
            <w:pPr>
              <w:widowControl w:val="0"/>
              <w:spacing w:line="240" w:lineRule="auto"/>
              <w:rPr>
                <w:rFonts w:ascii="Calibri" w:eastAsia="Calibri" w:hAnsi="Calibri" w:cs="Calibri"/>
              </w:rPr>
            </w:pPr>
          </w:p>
        </w:tc>
        <w:tc>
          <w:tcPr>
            <w:tcW w:w="2760" w:type="dxa"/>
            <w:vMerge/>
            <w:tcMar>
              <w:top w:w="100" w:type="dxa"/>
              <w:left w:w="100" w:type="dxa"/>
              <w:bottom w:w="100" w:type="dxa"/>
              <w:right w:w="100" w:type="dxa"/>
            </w:tcMar>
          </w:tcPr>
          <w:p w14:paraId="62A505FA" w14:textId="77777777" w:rsidR="00822F51" w:rsidRDefault="00822F51">
            <w:pPr>
              <w:widowControl w:val="0"/>
              <w:spacing w:line="240" w:lineRule="auto"/>
              <w:rPr>
                <w:rFonts w:ascii="Calibri" w:eastAsia="Calibri" w:hAnsi="Calibri" w:cs="Calibri"/>
              </w:rPr>
            </w:pPr>
          </w:p>
        </w:tc>
        <w:tc>
          <w:tcPr>
            <w:tcW w:w="1470" w:type="dxa"/>
            <w:vMerge/>
            <w:shd w:val="clear" w:color="auto" w:fill="FE6464"/>
            <w:tcMar>
              <w:top w:w="100" w:type="dxa"/>
              <w:left w:w="100" w:type="dxa"/>
              <w:bottom w:w="100" w:type="dxa"/>
              <w:right w:w="100" w:type="dxa"/>
            </w:tcMar>
          </w:tcPr>
          <w:p w14:paraId="6FE32FAB" w14:textId="77777777" w:rsidR="00822F51" w:rsidRDefault="00822F51">
            <w:pPr>
              <w:widowControl w:val="0"/>
              <w:spacing w:line="240" w:lineRule="auto"/>
              <w:rPr>
                <w:rFonts w:ascii="Calibri" w:eastAsia="Calibri" w:hAnsi="Calibri" w:cs="Calibri"/>
              </w:rPr>
            </w:pPr>
          </w:p>
        </w:tc>
        <w:tc>
          <w:tcPr>
            <w:tcW w:w="2100" w:type="dxa"/>
            <w:vMerge/>
            <w:shd w:val="clear" w:color="auto" w:fill="FE6464"/>
            <w:tcMar>
              <w:top w:w="100" w:type="dxa"/>
              <w:left w:w="100" w:type="dxa"/>
              <w:bottom w:w="100" w:type="dxa"/>
              <w:right w:w="100" w:type="dxa"/>
            </w:tcMar>
          </w:tcPr>
          <w:p w14:paraId="79A8A9E1" w14:textId="77777777" w:rsidR="00822F51" w:rsidRDefault="00822F51">
            <w:pPr>
              <w:widowControl w:val="0"/>
              <w:spacing w:line="240" w:lineRule="auto"/>
              <w:rPr>
                <w:rFonts w:ascii="Calibri" w:eastAsia="Calibri" w:hAnsi="Calibri" w:cs="Calibri"/>
              </w:rPr>
            </w:pPr>
          </w:p>
        </w:tc>
        <w:tc>
          <w:tcPr>
            <w:tcW w:w="2055" w:type="dxa"/>
            <w:vMerge/>
            <w:shd w:val="clear" w:color="auto" w:fill="FE6464"/>
            <w:tcMar>
              <w:top w:w="100" w:type="dxa"/>
              <w:left w:w="100" w:type="dxa"/>
              <w:bottom w:w="100" w:type="dxa"/>
              <w:right w:w="100" w:type="dxa"/>
            </w:tcMar>
          </w:tcPr>
          <w:p w14:paraId="568A1931" w14:textId="77777777" w:rsidR="00822F51" w:rsidRDefault="00822F51">
            <w:pPr>
              <w:widowControl w:val="0"/>
              <w:spacing w:line="240" w:lineRule="auto"/>
              <w:rPr>
                <w:rFonts w:ascii="Calibri" w:eastAsia="Calibri" w:hAnsi="Calibri" w:cs="Calibri"/>
              </w:rPr>
            </w:pPr>
          </w:p>
        </w:tc>
        <w:tc>
          <w:tcPr>
            <w:tcW w:w="2070" w:type="dxa"/>
            <w:shd w:val="clear" w:color="auto" w:fill="FE6464"/>
            <w:tcMar>
              <w:top w:w="100" w:type="dxa"/>
              <w:left w:w="100" w:type="dxa"/>
              <w:bottom w:w="100" w:type="dxa"/>
              <w:right w:w="100" w:type="dxa"/>
            </w:tcMar>
          </w:tcPr>
          <w:p w14:paraId="0AF561C4" w14:textId="77777777" w:rsidR="00822F51" w:rsidRDefault="001A22F2">
            <w:pPr>
              <w:widowControl w:val="0"/>
              <w:spacing w:line="240" w:lineRule="auto"/>
              <w:rPr>
                <w:rFonts w:ascii="Calibri" w:eastAsia="Calibri" w:hAnsi="Calibri" w:cs="Calibri"/>
              </w:rPr>
            </w:pPr>
            <w:r>
              <w:rPr>
                <w:rFonts w:ascii="Calibri" w:eastAsia="Calibri" w:hAnsi="Calibri" w:cs="Calibri"/>
              </w:rPr>
              <w:t>FAIL (YT s. 46; NU s. 52, ON)</w:t>
            </w:r>
          </w:p>
        </w:tc>
      </w:tr>
      <w:tr w:rsidR="00822F51" w14:paraId="39509321" w14:textId="77777777">
        <w:trPr>
          <w:trHeight w:val="863"/>
        </w:trPr>
        <w:tc>
          <w:tcPr>
            <w:tcW w:w="600" w:type="dxa"/>
            <w:tcMar>
              <w:top w:w="100" w:type="dxa"/>
              <w:left w:w="100" w:type="dxa"/>
              <w:bottom w:w="100" w:type="dxa"/>
              <w:right w:w="100" w:type="dxa"/>
            </w:tcMar>
          </w:tcPr>
          <w:p w14:paraId="5D7DD40F" w14:textId="77777777" w:rsidR="00822F51" w:rsidRDefault="001A22F2">
            <w:pPr>
              <w:widowControl w:val="0"/>
              <w:spacing w:line="240" w:lineRule="auto"/>
              <w:rPr>
                <w:rFonts w:ascii="Calibri" w:eastAsia="Calibri" w:hAnsi="Calibri" w:cs="Calibri"/>
              </w:rPr>
            </w:pPr>
            <w:r>
              <w:rPr>
                <w:rFonts w:ascii="Calibri" w:eastAsia="Calibri" w:hAnsi="Calibri" w:cs="Calibri"/>
              </w:rPr>
              <w:lastRenderedPageBreak/>
              <w:t>13</w:t>
            </w:r>
          </w:p>
        </w:tc>
        <w:tc>
          <w:tcPr>
            <w:tcW w:w="2760" w:type="dxa"/>
            <w:tcMar>
              <w:top w:w="100" w:type="dxa"/>
              <w:left w:w="100" w:type="dxa"/>
              <w:bottom w:w="100" w:type="dxa"/>
              <w:right w:w="100" w:type="dxa"/>
            </w:tcMar>
          </w:tcPr>
          <w:p w14:paraId="3F3D2635"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Realistic Time Frame to Act on Rights</w:t>
            </w:r>
          </w:p>
          <w:p w14:paraId="27EF992B" w14:textId="6149E458"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A six-month minimum is necessary for whistleblowers to act on their rights, with a one-year limitation period preferable and consistent with common law rights.</w:t>
            </w:r>
            <w:r>
              <w:rPr>
                <w:rFonts w:ascii="Calibri" w:eastAsia="Calibri" w:hAnsi="Calibri" w:cs="Calibri"/>
                <w:sz w:val="16"/>
                <w:szCs w:val="16"/>
                <w:vertAlign w:val="superscript"/>
              </w:rPr>
              <w:footnoteReference w:id="108"/>
            </w:r>
          </w:p>
        </w:tc>
        <w:tc>
          <w:tcPr>
            <w:tcW w:w="1470" w:type="dxa"/>
            <w:shd w:val="clear" w:color="auto" w:fill="FE6464"/>
            <w:tcMar>
              <w:top w:w="100" w:type="dxa"/>
              <w:left w:w="100" w:type="dxa"/>
              <w:bottom w:w="100" w:type="dxa"/>
              <w:right w:w="100" w:type="dxa"/>
            </w:tcMar>
          </w:tcPr>
          <w:p w14:paraId="2DD3DF43" w14:textId="77777777" w:rsidR="00822F51" w:rsidRDefault="001A22F2">
            <w:pPr>
              <w:widowControl w:val="0"/>
              <w:spacing w:line="240" w:lineRule="auto"/>
              <w:rPr>
                <w:rFonts w:ascii="Calibri" w:eastAsia="Calibri" w:hAnsi="Calibri" w:cs="Calibri"/>
              </w:rPr>
            </w:pPr>
            <w:r>
              <w:rPr>
                <w:rFonts w:ascii="Calibri" w:eastAsia="Calibri" w:hAnsi="Calibri" w:cs="Calibri"/>
              </w:rPr>
              <w:t>FAIL (s. 19)</w:t>
            </w:r>
          </w:p>
        </w:tc>
        <w:tc>
          <w:tcPr>
            <w:tcW w:w="2100" w:type="dxa"/>
            <w:shd w:val="clear" w:color="auto" w:fill="FE6464"/>
            <w:tcMar>
              <w:top w:w="100" w:type="dxa"/>
              <w:left w:w="100" w:type="dxa"/>
              <w:bottom w:w="100" w:type="dxa"/>
              <w:right w:w="100" w:type="dxa"/>
            </w:tcMar>
          </w:tcPr>
          <w:p w14:paraId="3428E29C"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19; BC s. 22; SK s. 16; PEI s. 14)</w:t>
            </w:r>
          </w:p>
        </w:tc>
        <w:tc>
          <w:tcPr>
            <w:tcW w:w="2055" w:type="dxa"/>
            <w:shd w:val="clear" w:color="auto" w:fill="FE6464"/>
            <w:tcMar>
              <w:top w:w="100" w:type="dxa"/>
              <w:left w:w="100" w:type="dxa"/>
              <w:bottom w:w="100" w:type="dxa"/>
              <w:right w:w="100" w:type="dxa"/>
            </w:tcMar>
          </w:tcPr>
          <w:p w14:paraId="1F8A4946"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21; NB s. 32; NS s. 9; NL s. 15)</w:t>
            </w:r>
          </w:p>
        </w:tc>
        <w:tc>
          <w:tcPr>
            <w:tcW w:w="2070" w:type="dxa"/>
            <w:shd w:val="clear" w:color="auto" w:fill="FE6464"/>
            <w:tcMar>
              <w:top w:w="100" w:type="dxa"/>
              <w:left w:w="100" w:type="dxa"/>
              <w:bottom w:w="100" w:type="dxa"/>
              <w:right w:w="100" w:type="dxa"/>
            </w:tcMar>
          </w:tcPr>
          <w:p w14:paraId="1729CAAA"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10; YT s. 26; NU s. 42; ON 112, 118)</w:t>
            </w:r>
          </w:p>
        </w:tc>
      </w:tr>
      <w:tr w:rsidR="00822F51" w14:paraId="789676EC" w14:textId="77777777">
        <w:trPr>
          <w:trHeight w:val="863"/>
        </w:trPr>
        <w:tc>
          <w:tcPr>
            <w:tcW w:w="600" w:type="dxa"/>
            <w:tcMar>
              <w:top w:w="100" w:type="dxa"/>
              <w:left w:w="100" w:type="dxa"/>
              <w:bottom w:w="100" w:type="dxa"/>
              <w:right w:w="100" w:type="dxa"/>
            </w:tcMar>
          </w:tcPr>
          <w:p w14:paraId="63293BBE" w14:textId="77777777" w:rsidR="00822F51" w:rsidRDefault="001A22F2">
            <w:pPr>
              <w:widowControl w:val="0"/>
              <w:spacing w:line="240" w:lineRule="auto"/>
              <w:rPr>
                <w:rFonts w:ascii="Calibri" w:eastAsia="Calibri" w:hAnsi="Calibri" w:cs="Calibri"/>
              </w:rPr>
            </w:pPr>
            <w:r>
              <w:rPr>
                <w:rFonts w:ascii="Calibri" w:eastAsia="Calibri" w:hAnsi="Calibri" w:cs="Calibri"/>
              </w:rPr>
              <w:t>14</w:t>
            </w:r>
          </w:p>
        </w:tc>
        <w:tc>
          <w:tcPr>
            <w:tcW w:w="2760" w:type="dxa"/>
            <w:tcMar>
              <w:top w:w="100" w:type="dxa"/>
              <w:left w:w="100" w:type="dxa"/>
              <w:bottom w:w="100" w:type="dxa"/>
              <w:right w:w="100" w:type="dxa"/>
            </w:tcMar>
          </w:tcPr>
          <w:p w14:paraId="3FE5D14C"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Compensation with “No Loopholes”</w:t>
            </w:r>
          </w:p>
          <w:p w14:paraId="6E9B3250"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Relief provided to whistleblowers must be comprehensive to cover all the direct, indirect and future consequences of the reprisal.</w:t>
            </w:r>
            <w:r>
              <w:rPr>
                <w:rFonts w:ascii="Calibri" w:eastAsia="Calibri" w:hAnsi="Calibri" w:cs="Calibri"/>
                <w:sz w:val="16"/>
                <w:szCs w:val="16"/>
                <w:vertAlign w:val="superscript"/>
              </w:rPr>
              <w:footnoteReference w:id="109"/>
            </w:r>
          </w:p>
        </w:tc>
        <w:tc>
          <w:tcPr>
            <w:tcW w:w="1470" w:type="dxa"/>
            <w:shd w:val="clear" w:color="auto" w:fill="FE6464"/>
            <w:tcMar>
              <w:top w:w="100" w:type="dxa"/>
              <w:left w:w="100" w:type="dxa"/>
              <w:bottom w:w="100" w:type="dxa"/>
              <w:right w:w="100" w:type="dxa"/>
            </w:tcMar>
          </w:tcPr>
          <w:p w14:paraId="52E621DF" w14:textId="77777777" w:rsidR="00822F51" w:rsidRDefault="001A22F2">
            <w:pPr>
              <w:widowControl w:val="0"/>
              <w:spacing w:line="240" w:lineRule="auto"/>
              <w:rPr>
                <w:rFonts w:ascii="Calibri" w:eastAsia="Calibri" w:hAnsi="Calibri" w:cs="Calibri"/>
              </w:rPr>
            </w:pPr>
            <w:r>
              <w:rPr>
                <w:rFonts w:ascii="Calibri" w:eastAsia="Calibri" w:hAnsi="Calibri" w:cs="Calibri"/>
              </w:rPr>
              <w:t>FAIL (s. 21)</w:t>
            </w:r>
          </w:p>
        </w:tc>
        <w:tc>
          <w:tcPr>
            <w:tcW w:w="2100" w:type="dxa"/>
            <w:shd w:val="clear" w:color="auto" w:fill="FE6464"/>
            <w:tcMar>
              <w:top w:w="100" w:type="dxa"/>
              <w:left w:w="100" w:type="dxa"/>
              <w:bottom w:w="100" w:type="dxa"/>
              <w:right w:w="100" w:type="dxa"/>
            </w:tcMar>
          </w:tcPr>
          <w:p w14:paraId="61AE36C2"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27; BC s. 36; SK s. 44; PEI s. 20)</w:t>
            </w:r>
          </w:p>
        </w:tc>
        <w:tc>
          <w:tcPr>
            <w:tcW w:w="2055" w:type="dxa"/>
            <w:shd w:val="clear" w:color="auto" w:fill="FE6464"/>
            <w:tcMar>
              <w:top w:w="100" w:type="dxa"/>
              <w:left w:w="100" w:type="dxa"/>
              <w:bottom w:w="100" w:type="dxa"/>
              <w:right w:w="100" w:type="dxa"/>
            </w:tcMar>
          </w:tcPr>
          <w:p w14:paraId="7377AD01"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28; NB s. 39; NS s. 32; NL s. 22)</w:t>
            </w:r>
          </w:p>
        </w:tc>
        <w:tc>
          <w:tcPr>
            <w:tcW w:w="2070" w:type="dxa"/>
            <w:shd w:val="clear" w:color="auto" w:fill="FE6464"/>
            <w:tcMar>
              <w:top w:w="100" w:type="dxa"/>
              <w:left w:w="100" w:type="dxa"/>
              <w:bottom w:w="100" w:type="dxa"/>
              <w:right w:w="100" w:type="dxa"/>
            </w:tcMar>
          </w:tcPr>
          <w:p w14:paraId="5134FB38"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32; YT s. 38; NU s. 47)</w:t>
            </w:r>
          </w:p>
        </w:tc>
      </w:tr>
      <w:tr w:rsidR="00822F51" w14:paraId="438A7770" w14:textId="77777777">
        <w:trPr>
          <w:trHeight w:val="435"/>
        </w:trPr>
        <w:tc>
          <w:tcPr>
            <w:tcW w:w="600" w:type="dxa"/>
            <w:vMerge w:val="restart"/>
            <w:tcMar>
              <w:top w:w="100" w:type="dxa"/>
              <w:left w:w="100" w:type="dxa"/>
              <w:bottom w:w="100" w:type="dxa"/>
              <w:right w:w="100" w:type="dxa"/>
            </w:tcMar>
          </w:tcPr>
          <w:p w14:paraId="3F5D24EF" w14:textId="77777777" w:rsidR="00822F51" w:rsidRDefault="001A22F2">
            <w:pPr>
              <w:widowControl w:val="0"/>
              <w:spacing w:line="240" w:lineRule="auto"/>
              <w:rPr>
                <w:rFonts w:ascii="Calibri" w:eastAsia="Calibri" w:hAnsi="Calibri" w:cs="Calibri"/>
              </w:rPr>
            </w:pPr>
            <w:r>
              <w:rPr>
                <w:rFonts w:ascii="Calibri" w:eastAsia="Calibri" w:hAnsi="Calibri" w:cs="Calibri"/>
              </w:rPr>
              <w:t>15</w:t>
            </w:r>
          </w:p>
        </w:tc>
        <w:tc>
          <w:tcPr>
            <w:tcW w:w="2760" w:type="dxa"/>
            <w:vMerge w:val="restart"/>
            <w:tcMar>
              <w:top w:w="100" w:type="dxa"/>
              <w:left w:w="100" w:type="dxa"/>
              <w:bottom w:w="100" w:type="dxa"/>
              <w:right w:w="100" w:type="dxa"/>
            </w:tcMar>
          </w:tcPr>
          <w:p w14:paraId="735EBF8F"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 xml:space="preserve">Interim Relief </w:t>
            </w:r>
          </w:p>
          <w:p w14:paraId="14E7CFE1"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Award of interim relief to whistleblowers during proceedings</w:t>
            </w:r>
            <w:r>
              <w:rPr>
                <w:rFonts w:ascii="Calibri" w:eastAsia="Calibri" w:hAnsi="Calibri" w:cs="Calibri"/>
                <w:sz w:val="16"/>
                <w:szCs w:val="16"/>
                <w:vertAlign w:val="superscript"/>
              </w:rPr>
              <w:footnoteReference w:id="110"/>
            </w:r>
          </w:p>
        </w:tc>
        <w:tc>
          <w:tcPr>
            <w:tcW w:w="1470" w:type="dxa"/>
            <w:vMerge w:val="restart"/>
            <w:shd w:val="clear" w:color="auto" w:fill="FE6464"/>
            <w:tcMar>
              <w:top w:w="100" w:type="dxa"/>
              <w:left w:w="100" w:type="dxa"/>
              <w:bottom w:w="100" w:type="dxa"/>
              <w:right w:w="100" w:type="dxa"/>
            </w:tcMar>
          </w:tcPr>
          <w:p w14:paraId="1C1EB931" w14:textId="77777777" w:rsidR="00822F51" w:rsidRDefault="001A22F2">
            <w:pPr>
              <w:widowControl w:val="0"/>
              <w:spacing w:line="240" w:lineRule="auto"/>
              <w:rPr>
                <w:rFonts w:ascii="Calibri" w:eastAsia="Calibri" w:hAnsi="Calibri" w:cs="Calibri"/>
              </w:rPr>
            </w:pPr>
            <w:r>
              <w:rPr>
                <w:rFonts w:ascii="Calibri" w:eastAsia="Calibri" w:hAnsi="Calibri" w:cs="Calibri"/>
              </w:rPr>
              <w:t>FAIL</w:t>
            </w:r>
          </w:p>
        </w:tc>
        <w:tc>
          <w:tcPr>
            <w:tcW w:w="2100" w:type="dxa"/>
            <w:vMerge w:val="restart"/>
            <w:shd w:val="clear" w:color="auto" w:fill="FE6464"/>
            <w:tcMar>
              <w:top w:w="100" w:type="dxa"/>
              <w:left w:w="100" w:type="dxa"/>
              <w:bottom w:w="100" w:type="dxa"/>
              <w:right w:w="100" w:type="dxa"/>
            </w:tcMar>
          </w:tcPr>
          <w:p w14:paraId="61B34718" w14:textId="77777777" w:rsidR="00822F51" w:rsidRDefault="001A22F2">
            <w:pPr>
              <w:widowControl w:val="0"/>
              <w:spacing w:line="240" w:lineRule="auto"/>
              <w:rPr>
                <w:rFonts w:ascii="Calibri" w:eastAsia="Calibri" w:hAnsi="Calibri" w:cs="Calibri"/>
              </w:rPr>
            </w:pPr>
            <w:r>
              <w:rPr>
                <w:rFonts w:ascii="Calibri" w:eastAsia="Calibri" w:hAnsi="Calibri" w:cs="Calibri"/>
              </w:rPr>
              <w:t>FAIL (AB; BC; SK; PEI)</w:t>
            </w:r>
          </w:p>
        </w:tc>
        <w:tc>
          <w:tcPr>
            <w:tcW w:w="2055" w:type="dxa"/>
            <w:shd w:val="clear" w:color="auto" w:fill="FFD966"/>
            <w:tcMar>
              <w:top w:w="100" w:type="dxa"/>
              <w:left w:w="100" w:type="dxa"/>
              <w:bottom w:w="100" w:type="dxa"/>
              <w:right w:w="100" w:type="dxa"/>
            </w:tcMar>
          </w:tcPr>
          <w:p w14:paraId="35BB49B2" w14:textId="77777777" w:rsidR="00822F51" w:rsidRDefault="001A22F2">
            <w:pPr>
              <w:widowControl w:val="0"/>
              <w:spacing w:line="240" w:lineRule="auto"/>
              <w:rPr>
                <w:rFonts w:ascii="Calibri" w:eastAsia="Calibri" w:hAnsi="Calibri" w:cs="Calibri"/>
              </w:rPr>
            </w:pPr>
            <w:r>
              <w:rPr>
                <w:rFonts w:ascii="Calibri" w:eastAsia="Calibri" w:hAnsi="Calibri" w:cs="Calibri"/>
              </w:rPr>
              <w:t>PARTIAL (NB s. 70-71)</w:t>
            </w:r>
          </w:p>
        </w:tc>
        <w:tc>
          <w:tcPr>
            <w:tcW w:w="2070" w:type="dxa"/>
            <w:shd w:val="clear" w:color="auto" w:fill="93C47D"/>
            <w:tcMar>
              <w:top w:w="100" w:type="dxa"/>
              <w:left w:w="100" w:type="dxa"/>
              <w:bottom w:w="100" w:type="dxa"/>
              <w:right w:w="100" w:type="dxa"/>
            </w:tcMar>
          </w:tcPr>
          <w:p w14:paraId="6D0713AB" w14:textId="77777777" w:rsidR="00822F51" w:rsidRDefault="001A22F2">
            <w:pPr>
              <w:widowControl w:val="0"/>
              <w:spacing w:line="240" w:lineRule="auto"/>
              <w:rPr>
                <w:rFonts w:ascii="Calibri" w:eastAsia="Calibri" w:hAnsi="Calibri" w:cs="Calibri"/>
              </w:rPr>
            </w:pPr>
            <w:r>
              <w:rPr>
                <w:rFonts w:ascii="Calibri" w:eastAsia="Calibri" w:hAnsi="Calibri" w:cs="Calibri"/>
              </w:rPr>
              <w:t>MET (YT s. 35(1), 38)</w:t>
            </w:r>
          </w:p>
        </w:tc>
      </w:tr>
      <w:tr w:rsidR="00822F51" w14:paraId="6E1BE8F7" w14:textId="77777777">
        <w:trPr>
          <w:trHeight w:val="435"/>
        </w:trPr>
        <w:tc>
          <w:tcPr>
            <w:tcW w:w="600" w:type="dxa"/>
            <w:vMerge/>
            <w:tcMar>
              <w:top w:w="100" w:type="dxa"/>
              <w:left w:w="100" w:type="dxa"/>
              <w:bottom w:w="100" w:type="dxa"/>
              <w:right w:w="100" w:type="dxa"/>
            </w:tcMar>
          </w:tcPr>
          <w:p w14:paraId="3214E851" w14:textId="77777777" w:rsidR="00822F51" w:rsidRDefault="00822F51">
            <w:pPr>
              <w:widowControl w:val="0"/>
              <w:spacing w:line="240" w:lineRule="auto"/>
              <w:rPr>
                <w:rFonts w:ascii="Calibri" w:eastAsia="Calibri" w:hAnsi="Calibri" w:cs="Calibri"/>
              </w:rPr>
            </w:pPr>
          </w:p>
        </w:tc>
        <w:tc>
          <w:tcPr>
            <w:tcW w:w="2760" w:type="dxa"/>
            <w:vMerge/>
            <w:tcMar>
              <w:top w:w="100" w:type="dxa"/>
              <w:left w:w="100" w:type="dxa"/>
              <w:bottom w:w="100" w:type="dxa"/>
              <w:right w:w="100" w:type="dxa"/>
            </w:tcMar>
          </w:tcPr>
          <w:p w14:paraId="67214317" w14:textId="77777777" w:rsidR="00822F51" w:rsidRDefault="00822F51">
            <w:pPr>
              <w:widowControl w:val="0"/>
              <w:spacing w:line="240" w:lineRule="auto"/>
              <w:rPr>
                <w:rFonts w:ascii="Calibri" w:eastAsia="Calibri" w:hAnsi="Calibri" w:cs="Calibri"/>
              </w:rPr>
            </w:pPr>
          </w:p>
        </w:tc>
        <w:tc>
          <w:tcPr>
            <w:tcW w:w="1470" w:type="dxa"/>
            <w:vMerge/>
            <w:shd w:val="clear" w:color="auto" w:fill="FE6464"/>
            <w:tcMar>
              <w:top w:w="100" w:type="dxa"/>
              <w:left w:w="100" w:type="dxa"/>
              <w:bottom w:w="100" w:type="dxa"/>
              <w:right w:w="100" w:type="dxa"/>
            </w:tcMar>
          </w:tcPr>
          <w:p w14:paraId="0217B721" w14:textId="77777777" w:rsidR="00822F51" w:rsidRDefault="00822F51">
            <w:pPr>
              <w:widowControl w:val="0"/>
              <w:spacing w:line="240" w:lineRule="auto"/>
              <w:rPr>
                <w:rFonts w:ascii="Calibri" w:eastAsia="Calibri" w:hAnsi="Calibri" w:cs="Calibri"/>
              </w:rPr>
            </w:pPr>
          </w:p>
        </w:tc>
        <w:tc>
          <w:tcPr>
            <w:tcW w:w="2100" w:type="dxa"/>
            <w:vMerge/>
            <w:shd w:val="clear" w:color="auto" w:fill="FE6464"/>
            <w:tcMar>
              <w:top w:w="100" w:type="dxa"/>
              <w:left w:w="100" w:type="dxa"/>
              <w:bottom w:w="100" w:type="dxa"/>
              <w:right w:w="100" w:type="dxa"/>
            </w:tcMar>
          </w:tcPr>
          <w:p w14:paraId="62D9246F" w14:textId="77777777" w:rsidR="00822F51" w:rsidRDefault="00822F51">
            <w:pPr>
              <w:widowControl w:val="0"/>
              <w:spacing w:line="240" w:lineRule="auto"/>
              <w:rPr>
                <w:rFonts w:ascii="Calibri" w:eastAsia="Calibri" w:hAnsi="Calibri" w:cs="Calibri"/>
              </w:rPr>
            </w:pPr>
          </w:p>
        </w:tc>
        <w:tc>
          <w:tcPr>
            <w:tcW w:w="2055" w:type="dxa"/>
            <w:shd w:val="clear" w:color="auto" w:fill="FE6464"/>
            <w:tcMar>
              <w:top w:w="100" w:type="dxa"/>
              <w:left w:w="100" w:type="dxa"/>
              <w:bottom w:w="100" w:type="dxa"/>
              <w:right w:w="100" w:type="dxa"/>
            </w:tcMar>
          </w:tcPr>
          <w:p w14:paraId="3F57A00D" w14:textId="77777777" w:rsidR="00822F51" w:rsidRDefault="001A22F2">
            <w:pPr>
              <w:widowControl w:val="0"/>
              <w:spacing w:line="240" w:lineRule="auto"/>
              <w:rPr>
                <w:rFonts w:ascii="Calibri" w:eastAsia="Calibri" w:hAnsi="Calibri" w:cs="Calibri"/>
              </w:rPr>
            </w:pPr>
            <w:r>
              <w:rPr>
                <w:rFonts w:ascii="Calibri" w:eastAsia="Calibri" w:hAnsi="Calibri" w:cs="Calibri"/>
              </w:rPr>
              <w:t>FAIL (MB; NS; NL)</w:t>
            </w:r>
          </w:p>
        </w:tc>
        <w:tc>
          <w:tcPr>
            <w:tcW w:w="2070" w:type="dxa"/>
            <w:shd w:val="clear" w:color="auto" w:fill="FE6464"/>
            <w:tcMar>
              <w:top w:w="100" w:type="dxa"/>
              <w:left w:w="100" w:type="dxa"/>
              <w:bottom w:w="100" w:type="dxa"/>
              <w:right w:w="100" w:type="dxa"/>
            </w:tcMar>
          </w:tcPr>
          <w:p w14:paraId="1FA3E885" w14:textId="77777777" w:rsidR="00822F51" w:rsidRDefault="001A22F2">
            <w:pPr>
              <w:widowControl w:val="0"/>
              <w:spacing w:line="240" w:lineRule="auto"/>
              <w:rPr>
                <w:rFonts w:ascii="Calibri" w:eastAsia="Calibri" w:hAnsi="Calibri" w:cs="Calibri"/>
              </w:rPr>
            </w:pPr>
            <w:r>
              <w:rPr>
                <w:rFonts w:ascii="Calibri" w:eastAsia="Calibri" w:hAnsi="Calibri" w:cs="Calibri"/>
              </w:rPr>
              <w:t>FAIL (QC; NU; ON)</w:t>
            </w:r>
          </w:p>
        </w:tc>
      </w:tr>
      <w:tr w:rsidR="00822F51" w14:paraId="0685F579" w14:textId="77777777">
        <w:trPr>
          <w:trHeight w:val="760"/>
        </w:trPr>
        <w:tc>
          <w:tcPr>
            <w:tcW w:w="600" w:type="dxa"/>
            <w:vMerge w:val="restart"/>
            <w:tcMar>
              <w:top w:w="100" w:type="dxa"/>
              <w:left w:w="100" w:type="dxa"/>
              <w:bottom w:w="100" w:type="dxa"/>
              <w:right w:w="100" w:type="dxa"/>
            </w:tcMar>
          </w:tcPr>
          <w:p w14:paraId="3FC543D7" w14:textId="77777777" w:rsidR="00822F51" w:rsidRDefault="001A22F2">
            <w:pPr>
              <w:widowControl w:val="0"/>
              <w:spacing w:line="240" w:lineRule="auto"/>
              <w:rPr>
                <w:rFonts w:ascii="Calibri" w:eastAsia="Calibri" w:hAnsi="Calibri" w:cs="Calibri"/>
              </w:rPr>
            </w:pPr>
            <w:r>
              <w:rPr>
                <w:rFonts w:ascii="Calibri" w:eastAsia="Calibri" w:hAnsi="Calibri" w:cs="Calibri"/>
              </w:rPr>
              <w:t>16</w:t>
            </w:r>
          </w:p>
        </w:tc>
        <w:tc>
          <w:tcPr>
            <w:tcW w:w="2760" w:type="dxa"/>
            <w:vMerge w:val="restart"/>
            <w:tcMar>
              <w:top w:w="100" w:type="dxa"/>
              <w:left w:w="100" w:type="dxa"/>
              <w:bottom w:w="100" w:type="dxa"/>
              <w:right w:w="100" w:type="dxa"/>
            </w:tcMar>
          </w:tcPr>
          <w:p w14:paraId="0DC86F8B"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Coverage for Attorney Fees</w:t>
            </w:r>
          </w:p>
          <w:p w14:paraId="5D6BD234"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Guaranteed legal assistance for whistleblowers.</w:t>
            </w:r>
            <w:r>
              <w:rPr>
                <w:rFonts w:ascii="Calibri" w:eastAsia="Calibri" w:hAnsi="Calibri" w:cs="Calibri"/>
                <w:sz w:val="16"/>
                <w:szCs w:val="16"/>
                <w:vertAlign w:val="superscript"/>
              </w:rPr>
              <w:footnoteReference w:id="111"/>
            </w:r>
          </w:p>
        </w:tc>
        <w:tc>
          <w:tcPr>
            <w:tcW w:w="1470" w:type="dxa"/>
            <w:vMerge w:val="restart"/>
            <w:shd w:val="clear" w:color="auto" w:fill="FE6464"/>
            <w:tcMar>
              <w:top w:w="100" w:type="dxa"/>
              <w:left w:w="100" w:type="dxa"/>
              <w:bottom w:w="100" w:type="dxa"/>
              <w:right w:w="100" w:type="dxa"/>
            </w:tcMar>
          </w:tcPr>
          <w:p w14:paraId="0C6C0343" w14:textId="77777777" w:rsidR="00822F51" w:rsidRDefault="001A22F2">
            <w:pPr>
              <w:widowControl w:val="0"/>
              <w:spacing w:line="240" w:lineRule="auto"/>
              <w:rPr>
                <w:rFonts w:ascii="Calibri" w:eastAsia="Calibri" w:hAnsi="Calibri" w:cs="Calibri"/>
              </w:rPr>
            </w:pPr>
            <w:r>
              <w:rPr>
                <w:rFonts w:ascii="Calibri" w:eastAsia="Calibri" w:hAnsi="Calibri" w:cs="Calibri"/>
              </w:rPr>
              <w:t>FAIL (s. 25(4-7))</w:t>
            </w:r>
          </w:p>
        </w:tc>
        <w:tc>
          <w:tcPr>
            <w:tcW w:w="2100" w:type="dxa"/>
            <w:shd w:val="clear" w:color="auto" w:fill="FFD966"/>
            <w:tcMar>
              <w:top w:w="100" w:type="dxa"/>
              <w:left w:w="100" w:type="dxa"/>
              <w:bottom w:w="100" w:type="dxa"/>
              <w:right w:w="100" w:type="dxa"/>
            </w:tcMar>
          </w:tcPr>
          <w:p w14:paraId="26C5EA2C" w14:textId="77777777" w:rsidR="00822F51" w:rsidRDefault="001A22F2">
            <w:pPr>
              <w:widowControl w:val="0"/>
              <w:spacing w:line="240" w:lineRule="auto"/>
              <w:rPr>
                <w:rFonts w:ascii="Calibri" w:eastAsia="Calibri" w:hAnsi="Calibri" w:cs="Calibri"/>
                <w:shd w:val="clear" w:color="auto" w:fill="FFD966"/>
              </w:rPr>
            </w:pPr>
            <w:r>
              <w:rPr>
                <w:rFonts w:ascii="Calibri" w:eastAsia="Calibri" w:hAnsi="Calibri" w:cs="Calibri"/>
              </w:rPr>
              <w:t>PARTIAL (AB s. 27 allows it, but rarely in practice)</w:t>
            </w:r>
          </w:p>
        </w:tc>
        <w:tc>
          <w:tcPr>
            <w:tcW w:w="2055" w:type="dxa"/>
            <w:shd w:val="clear" w:color="auto" w:fill="FFD966"/>
            <w:tcMar>
              <w:top w:w="100" w:type="dxa"/>
              <w:left w:w="100" w:type="dxa"/>
              <w:bottom w:w="100" w:type="dxa"/>
              <w:right w:w="100" w:type="dxa"/>
            </w:tcMar>
          </w:tcPr>
          <w:p w14:paraId="11B562BE" w14:textId="77777777" w:rsidR="00822F51" w:rsidRDefault="001A22F2">
            <w:pPr>
              <w:widowControl w:val="0"/>
              <w:spacing w:line="240" w:lineRule="auto"/>
              <w:rPr>
                <w:rFonts w:ascii="Calibri" w:eastAsia="Calibri" w:hAnsi="Calibri" w:cs="Calibri"/>
              </w:rPr>
            </w:pPr>
            <w:r>
              <w:rPr>
                <w:rFonts w:ascii="Calibri" w:eastAsia="Calibri" w:hAnsi="Calibri" w:cs="Calibri"/>
              </w:rPr>
              <w:t xml:space="preserve">PARTIAL </w:t>
            </w:r>
            <w:proofErr w:type="gramStart"/>
            <w:r>
              <w:rPr>
                <w:rFonts w:ascii="Calibri" w:eastAsia="Calibri" w:hAnsi="Calibri" w:cs="Calibri"/>
              </w:rPr>
              <w:t>( NL</w:t>
            </w:r>
            <w:proofErr w:type="gramEnd"/>
            <w:r>
              <w:rPr>
                <w:rFonts w:ascii="Calibri" w:eastAsia="Calibri" w:hAnsi="Calibri" w:cs="Calibri"/>
              </w:rPr>
              <w:t xml:space="preserve"> s. 3 Public Interest Disclosure and Protection Act Regulations)</w:t>
            </w:r>
          </w:p>
        </w:tc>
        <w:tc>
          <w:tcPr>
            <w:tcW w:w="2070" w:type="dxa"/>
            <w:vMerge w:val="restart"/>
            <w:shd w:val="clear" w:color="auto" w:fill="FE6464"/>
            <w:tcMar>
              <w:top w:w="100" w:type="dxa"/>
              <w:left w:w="100" w:type="dxa"/>
              <w:bottom w:w="100" w:type="dxa"/>
              <w:right w:w="100" w:type="dxa"/>
            </w:tcMar>
          </w:tcPr>
          <w:p w14:paraId="7699D4CF" w14:textId="77777777" w:rsidR="00822F51" w:rsidRDefault="001A22F2">
            <w:pPr>
              <w:widowControl w:val="0"/>
              <w:spacing w:line="240" w:lineRule="auto"/>
              <w:rPr>
                <w:rFonts w:ascii="Calibri" w:eastAsia="Calibri" w:hAnsi="Calibri" w:cs="Calibri"/>
              </w:rPr>
            </w:pPr>
            <w:r>
              <w:rPr>
                <w:rFonts w:ascii="Calibri" w:eastAsia="Calibri" w:hAnsi="Calibri" w:cs="Calibri"/>
              </w:rPr>
              <w:t>FAIL (QC; YT; NU; ON)</w:t>
            </w:r>
          </w:p>
        </w:tc>
      </w:tr>
      <w:tr w:rsidR="00822F51" w14:paraId="6F20CE76" w14:textId="77777777">
        <w:trPr>
          <w:trHeight w:val="435"/>
        </w:trPr>
        <w:tc>
          <w:tcPr>
            <w:tcW w:w="600" w:type="dxa"/>
            <w:vMerge/>
            <w:tcMar>
              <w:top w:w="100" w:type="dxa"/>
              <w:left w:w="100" w:type="dxa"/>
              <w:bottom w:w="100" w:type="dxa"/>
              <w:right w:w="100" w:type="dxa"/>
            </w:tcMar>
          </w:tcPr>
          <w:p w14:paraId="5C26E890" w14:textId="77777777" w:rsidR="00822F51" w:rsidRDefault="00822F51">
            <w:pPr>
              <w:widowControl w:val="0"/>
              <w:spacing w:line="240" w:lineRule="auto"/>
              <w:rPr>
                <w:rFonts w:ascii="Calibri" w:eastAsia="Calibri" w:hAnsi="Calibri" w:cs="Calibri"/>
              </w:rPr>
            </w:pPr>
          </w:p>
        </w:tc>
        <w:tc>
          <w:tcPr>
            <w:tcW w:w="2760" w:type="dxa"/>
            <w:vMerge/>
            <w:tcMar>
              <w:top w:w="100" w:type="dxa"/>
              <w:left w:w="100" w:type="dxa"/>
              <w:bottom w:w="100" w:type="dxa"/>
              <w:right w:w="100" w:type="dxa"/>
            </w:tcMar>
          </w:tcPr>
          <w:p w14:paraId="5BB4D2B3" w14:textId="77777777" w:rsidR="00822F51" w:rsidRDefault="00822F51">
            <w:pPr>
              <w:widowControl w:val="0"/>
              <w:spacing w:line="240" w:lineRule="auto"/>
              <w:rPr>
                <w:rFonts w:ascii="Calibri" w:eastAsia="Calibri" w:hAnsi="Calibri" w:cs="Calibri"/>
              </w:rPr>
            </w:pPr>
          </w:p>
        </w:tc>
        <w:tc>
          <w:tcPr>
            <w:tcW w:w="1470" w:type="dxa"/>
            <w:vMerge/>
            <w:shd w:val="clear" w:color="auto" w:fill="FE6464"/>
            <w:tcMar>
              <w:top w:w="100" w:type="dxa"/>
              <w:left w:w="100" w:type="dxa"/>
              <w:bottom w:w="100" w:type="dxa"/>
              <w:right w:w="100" w:type="dxa"/>
            </w:tcMar>
          </w:tcPr>
          <w:p w14:paraId="4303F691" w14:textId="77777777" w:rsidR="00822F51" w:rsidRDefault="00822F51">
            <w:pPr>
              <w:widowControl w:val="0"/>
              <w:spacing w:line="240" w:lineRule="auto"/>
              <w:rPr>
                <w:rFonts w:ascii="Calibri" w:eastAsia="Calibri" w:hAnsi="Calibri" w:cs="Calibri"/>
              </w:rPr>
            </w:pPr>
          </w:p>
        </w:tc>
        <w:tc>
          <w:tcPr>
            <w:tcW w:w="2100" w:type="dxa"/>
            <w:shd w:val="clear" w:color="auto" w:fill="FE6464"/>
            <w:tcMar>
              <w:top w:w="100" w:type="dxa"/>
              <w:left w:w="100" w:type="dxa"/>
              <w:bottom w:w="100" w:type="dxa"/>
              <w:right w:w="100" w:type="dxa"/>
            </w:tcMar>
          </w:tcPr>
          <w:p w14:paraId="0A16F4D7" w14:textId="77777777" w:rsidR="00822F51" w:rsidRDefault="001A22F2">
            <w:pPr>
              <w:widowControl w:val="0"/>
              <w:spacing w:line="240" w:lineRule="auto"/>
              <w:rPr>
                <w:rFonts w:ascii="Calibri" w:eastAsia="Calibri" w:hAnsi="Calibri" w:cs="Calibri"/>
              </w:rPr>
            </w:pPr>
            <w:r>
              <w:rPr>
                <w:rFonts w:ascii="Calibri" w:eastAsia="Calibri" w:hAnsi="Calibri" w:cs="Calibri"/>
              </w:rPr>
              <w:t>FAIL (BC; SK; PEI)</w:t>
            </w:r>
          </w:p>
        </w:tc>
        <w:tc>
          <w:tcPr>
            <w:tcW w:w="2055" w:type="dxa"/>
            <w:shd w:val="clear" w:color="auto" w:fill="FE6464"/>
            <w:tcMar>
              <w:top w:w="100" w:type="dxa"/>
              <w:left w:w="100" w:type="dxa"/>
              <w:bottom w:w="100" w:type="dxa"/>
              <w:right w:w="100" w:type="dxa"/>
            </w:tcMar>
          </w:tcPr>
          <w:p w14:paraId="2DBB9F9E" w14:textId="77777777" w:rsidR="00822F51" w:rsidRDefault="001A22F2">
            <w:pPr>
              <w:widowControl w:val="0"/>
              <w:spacing w:line="240" w:lineRule="auto"/>
              <w:rPr>
                <w:rFonts w:ascii="Calibri" w:eastAsia="Calibri" w:hAnsi="Calibri" w:cs="Calibri"/>
              </w:rPr>
            </w:pPr>
            <w:r>
              <w:rPr>
                <w:rFonts w:ascii="Calibri" w:eastAsia="Calibri" w:hAnsi="Calibri" w:cs="Calibri"/>
              </w:rPr>
              <w:t>FAIL (MB; NB; NS)</w:t>
            </w:r>
          </w:p>
        </w:tc>
        <w:tc>
          <w:tcPr>
            <w:tcW w:w="2070" w:type="dxa"/>
            <w:vMerge/>
            <w:shd w:val="clear" w:color="auto" w:fill="FE6464"/>
            <w:tcMar>
              <w:top w:w="100" w:type="dxa"/>
              <w:left w:w="100" w:type="dxa"/>
              <w:bottom w:w="100" w:type="dxa"/>
              <w:right w:w="100" w:type="dxa"/>
            </w:tcMar>
          </w:tcPr>
          <w:p w14:paraId="11E73D21" w14:textId="77777777" w:rsidR="00822F51" w:rsidRDefault="00822F51">
            <w:pPr>
              <w:widowControl w:val="0"/>
              <w:spacing w:line="240" w:lineRule="auto"/>
              <w:rPr>
                <w:rFonts w:ascii="Calibri" w:eastAsia="Calibri" w:hAnsi="Calibri" w:cs="Calibri"/>
              </w:rPr>
            </w:pPr>
          </w:p>
        </w:tc>
      </w:tr>
      <w:tr w:rsidR="00822F51" w14:paraId="26698593" w14:textId="77777777">
        <w:trPr>
          <w:trHeight w:val="435"/>
        </w:trPr>
        <w:tc>
          <w:tcPr>
            <w:tcW w:w="600" w:type="dxa"/>
            <w:vMerge w:val="restart"/>
            <w:tcMar>
              <w:top w:w="100" w:type="dxa"/>
              <w:left w:w="100" w:type="dxa"/>
              <w:bottom w:w="100" w:type="dxa"/>
              <w:right w:w="100" w:type="dxa"/>
            </w:tcMar>
          </w:tcPr>
          <w:p w14:paraId="589D7CE7" w14:textId="77777777" w:rsidR="00822F51" w:rsidRDefault="001A22F2">
            <w:pPr>
              <w:widowControl w:val="0"/>
              <w:spacing w:line="240" w:lineRule="auto"/>
              <w:rPr>
                <w:rFonts w:ascii="Calibri" w:eastAsia="Calibri" w:hAnsi="Calibri" w:cs="Calibri"/>
              </w:rPr>
            </w:pPr>
            <w:r>
              <w:rPr>
                <w:rFonts w:ascii="Calibri" w:eastAsia="Calibri" w:hAnsi="Calibri" w:cs="Calibri"/>
              </w:rPr>
              <w:t>17</w:t>
            </w:r>
          </w:p>
        </w:tc>
        <w:tc>
          <w:tcPr>
            <w:tcW w:w="2760" w:type="dxa"/>
            <w:vMerge w:val="restart"/>
            <w:tcMar>
              <w:top w:w="100" w:type="dxa"/>
              <w:left w:w="100" w:type="dxa"/>
              <w:bottom w:w="100" w:type="dxa"/>
              <w:right w:w="100" w:type="dxa"/>
            </w:tcMar>
          </w:tcPr>
          <w:p w14:paraId="2CCD8375"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Transfer Option</w:t>
            </w:r>
          </w:p>
          <w:p w14:paraId="6338FBAA" w14:textId="79DAFDDC"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Guaranteed right to transfer is necessary for whistleblowers to ensure a safe and viable return to work.</w:t>
            </w:r>
            <w:r>
              <w:rPr>
                <w:rFonts w:ascii="Calibri" w:eastAsia="Calibri" w:hAnsi="Calibri" w:cs="Calibri"/>
                <w:sz w:val="16"/>
                <w:szCs w:val="16"/>
                <w:vertAlign w:val="superscript"/>
              </w:rPr>
              <w:footnoteReference w:id="112"/>
            </w:r>
          </w:p>
        </w:tc>
        <w:tc>
          <w:tcPr>
            <w:tcW w:w="1470" w:type="dxa"/>
            <w:vMerge w:val="restart"/>
            <w:shd w:val="clear" w:color="auto" w:fill="FE6464"/>
            <w:tcMar>
              <w:top w:w="100" w:type="dxa"/>
              <w:left w:w="100" w:type="dxa"/>
              <w:bottom w:w="100" w:type="dxa"/>
              <w:right w:w="100" w:type="dxa"/>
            </w:tcMar>
          </w:tcPr>
          <w:p w14:paraId="1C1B92A2" w14:textId="77777777" w:rsidR="00822F51" w:rsidRDefault="001A22F2">
            <w:pPr>
              <w:widowControl w:val="0"/>
              <w:spacing w:line="240" w:lineRule="auto"/>
              <w:rPr>
                <w:rFonts w:ascii="Calibri" w:eastAsia="Calibri" w:hAnsi="Calibri" w:cs="Calibri"/>
              </w:rPr>
            </w:pPr>
            <w:r>
              <w:rPr>
                <w:rFonts w:ascii="Calibri" w:eastAsia="Calibri" w:hAnsi="Calibri" w:cs="Calibri"/>
              </w:rPr>
              <w:t>FAIL (s. 51.1(1))</w:t>
            </w:r>
          </w:p>
        </w:tc>
        <w:tc>
          <w:tcPr>
            <w:tcW w:w="2100" w:type="dxa"/>
            <w:vMerge w:val="restart"/>
            <w:shd w:val="clear" w:color="auto" w:fill="FE6464"/>
            <w:tcMar>
              <w:top w:w="100" w:type="dxa"/>
              <w:left w:w="100" w:type="dxa"/>
              <w:bottom w:w="100" w:type="dxa"/>
              <w:right w:w="100" w:type="dxa"/>
            </w:tcMar>
          </w:tcPr>
          <w:p w14:paraId="68D51D93" w14:textId="77777777" w:rsidR="00822F51" w:rsidRDefault="001A22F2">
            <w:pPr>
              <w:widowControl w:val="0"/>
              <w:spacing w:line="240" w:lineRule="auto"/>
              <w:rPr>
                <w:rFonts w:ascii="Calibri" w:eastAsia="Calibri" w:hAnsi="Calibri" w:cs="Calibri"/>
              </w:rPr>
            </w:pPr>
            <w:r>
              <w:rPr>
                <w:rFonts w:ascii="Calibri" w:eastAsia="Calibri" w:hAnsi="Calibri" w:cs="Calibri"/>
              </w:rPr>
              <w:t>FAIL (AB 27.1(3)(f); BC s. 35(3); SK s. 36(4); PEI s. 20(2))</w:t>
            </w:r>
          </w:p>
        </w:tc>
        <w:tc>
          <w:tcPr>
            <w:tcW w:w="2055" w:type="dxa"/>
            <w:shd w:val="clear" w:color="auto" w:fill="FFD966"/>
            <w:tcMar>
              <w:top w:w="100" w:type="dxa"/>
              <w:left w:w="100" w:type="dxa"/>
              <w:bottom w:w="100" w:type="dxa"/>
              <w:right w:w="100" w:type="dxa"/>
            </w:tcMar>
          </w:tcPr>
          <w:p w14:paraId="52DC909B" w14:textId="77777777" w:rsidR="00822F51" w:rsidRDefault="001A22F2">
            <w:pPr>
              <w:widowControl w:val="0"/>
              <w:spacing w:line="240" w:lineRule="auto"/>
              <w:rPr>
                <w:rFonts w:ascii="Calibri" w:eastAsia="Calibri" w:hAnsi="Calibri" w:cs="Calibri"/>
              </w:rPr>
            </w:pPr>
            <w:r>
              <w:rPr>
                <w:rFonts w:ascii="Calibri" w:eastAsia="Calibri" w:hAnsi="Calibri" w:cs="Calibri"/>
              </w:rPr>
              <w:t>PARTIAL (NB s. 70-71, temporary transfer during investigation)</w:t>
            </w:r>
          </w:p>
        </w:tc>
        <w:tc>
          <w:tcPr>
            <w:tcW w:w="2070" w:type="dxa"/>
            <w:vMerge w:val="restart"/>
            <w:shd w:val="clear" w:color="auto" w:fill="FE6464"/>
            <w:tcMar>
              <w:top w:w="100" w:type="dxa"/>
              <w:left w:w="100" w:type="dxa"/>
              <w:bottom w:w="100" w:type="dxa"/>
              <w:right w:w="100" w:type="dxa"/>
            </w:tcMar>
          </w:tcPr>
          <w:p w14:paraId="72A45BFA" w14:textId="77777777" w:rsidR="00822F51" w:rsidRDefault="001A22F2">
            <w:pPr>
              <w:widowControl w:val="0"/>
              <w:spacing w:line="240" w:lineRule="auto"/>
              <w:rPr>
                <w:rFonts w:ascii="Calibri" w:eastAsia="Calibri" w:hAnsi="Calibri" w:cs="Calibri"/>
              </w:rPr>
            </w:pPr>
            <w:r>
              <w:rPr>
                <w:rFonts w:ascii="Calibri" w:eastAsia="Calibri" w:hAnsi="Calibri" w:cs="Calibri"/>
              </w:rPr>
              <w:t>FAIL (QC; YT s. 38(3)(g); NU s. 47(4); ON 51.1 (following the federal statute))</w:t>
            </w:r>
          </w:p>
        </w:tc>
      </w:tr>
      <w:tr w:rsidR="00822F51" w14:paraId="45F708B7" w14:textId="77777777">
        <w:trPr>
          <w:trHeight w:val="435"/>
        </w:trPr>
        <w:tc>
          <w:tcPr>
            <w:tcW w:w="600" w:type="dxa"/>
            <w:vMerge/>
            <w:tcMar>
              <w:top w:w="100" w:type="dxa"/>
              <w:left w:w="100" w:type="dxa"/>
              <w:bottom w:w="100" w:type="dxa"/>
              <w:right w:w="100" w:type="dxa"/>
            </w:tcMar>
          </w:tcPr>
          <w:p w14:paraId="393626B4" w14:textId="77777777" w:rsidR="00822F51" w:rsidRDefault="00822F51">
            <w:pPr>
              <w:widowControl w:val="0"/>
              <w:spacing w:line="240" w:lineRule="auto"/>
              <w:rPr>
                <w:rFonts w:ascii="Calibri" w:eastAsia="Calibri" w:hAnsi="Calibri" w:cs="Calibri"/>
              </w:rPr>
            </w:pPr>
          </w:p>
        </w:tc>
        <w:tc>
          <w:tcPr>
            <w:tcW w:w="2760" w:type="dxa"/>
            <w:vMerge/>
            <w:tcMar>
              <w:top w:w="100" w:type="dxa"/>
              <w:left w:w="100" w:type="dxa"/>
              <w:bottom w:w="100" w:type="dxa"/>
              <w:right w:w="100" w:type="dxa"/>
            </w:tcMar>
          </w:tcPr>
          <w:p w14:paraId="6D779A1C" w14:textId="77777777" w:rsidR="00822F51" w:rsidRDefault="00822F51">
            <w:pPr>
              <w:widowControl w:val="0"/>
              <w:spacing w:line="240" w:lineRule="auto"/>
              <w:rPr>
                <w:rFonts w:ascii="Calibri" w:eastAsia="Calibri" w:hAnsi="Calibri" w:cs="Calibri"/>
              </w:rPr>
            </w:pPr>
          </w:p>
        </w:tc>
        <w:tc>
          <w:tcPr>
            <w:tcW w:w="1470" w:type="dxa"/>
            <w:vMerge/>
            <w:shd w:val="clear" w:color="auto" w:fill="FE6464"/>
            <w:tcMar>
              <w:top w:w="100" w:type="dxa"/>
              <w:left w:w="100" w:type="dxa"/>
              <w:bottom w:w="100" w:type="dxa"/>
              <w:right w:w="100" w:type="dxa"/>
            </w:tcMar>
          </w:tcPr>
          <w:p w14:paraId="20601265" w14:textId="77777777" w:rsidR="00822F51" w:rsidRDefault="00822F51">
            <w:pPr>
              <w:widowControl w:val="0"/>
              <w:spacing w:line="240" w:lineRule="auto"/>
              <w:rPr>
                <w:rFonts w:ascii="Calibri" w:eastAsia="Calibri" w:hAnsi="Calibri" w:cs="Calibri"/>
              </w:rPr>
            </w:pPr>
          </w:p>
        </w:tc>
        <w:tc>
          <w:tcPr>
            <w:tcW w:w="2100" w:type="dxa"/>
            <w:vMerge/>
            <w:shd w:val="clear" w:color="auto" w:fill="FE6464"/>
            <w:tcMar>
              <w:top w:w="100" w:type="dxa"/>
              <w:left w:w="100" w:type="dxa"/>
              <w:bottom w:w="100" w:type="dxa"/>
              <w:right w:w="100" w:type="dxa"/>
            </w:tcMar>
          </w:tcPr>
          <w:p w14:paraId="20AE67AA" w14:textId="77777777" w:rsidR="00822F51" w:rsidRDefault="00822F51">
            <w:pPr>
              <w:widowControl w:val="0"/>
              <w:spacing w:line="240" w:lineRule="auto"/>
              <w:rPr>
                <w:rFonts w:ascii="Calibri" w:eastAsia="Calibri" w:hAnsi="Calibri" w:cs="Calibri"/>
              </w:rPr>
            </w:pPr>
          </w:p>
        </w:tc>
        <w:tc>
          <w:tcPr>
            <w:tcW w:w="2055" w:type="dxa"/>
            <w:shd w:val="clear" w:color="auto" w:fill="FE6464"/>
            <w:tcMar>
              <w:top w:w="100" w:type="dxa"/>
              <w:left w:w="100" w:type="dxa"/>
              <w:bottom w:w="100" w:type="dxa"/>
              <w:right w:w="100" w:type="dxa"/>
            </w:tcMar>
          </w:tcPr>
          <w:p w14:paraId="5DCB965C" w14:textId="77777777" w:rsidR="00822F51" w:rsidRDefault="001A22F2">
            <w:pPr>
              <w:widowControl w:val="0"/>
              <w:spacing w:line="240" w:lineRule="auto"/>
              <w:rPr>
                <w:rFonts w:ascii="Calibri" w:eastAsia="Calibri" w:hAnsi="Calibri" w:cs="Calibri"/>
              </w:rPr>
            </w:pPr>
            <w:r>
              <w:rPr>
                <w:rFonts w:ascii="Calibri" w:eastAsia="Calibri" w:hAnsi="Calibri" w:cs="Calibri"/>
              </w:rPr>
              <w:t>FAIL (MB 28(3)(g); NS s. 32(2); NL s. 22(2)(g))</w:t>
            </w:r>
          </w:p>
        </w:tc>
        <w:tc>
          <w:tcPr>
            <w:tcW w:w="2070" w:type="dxa"/>
            <w:vMerge/>
            <w:shd w:val="clear" w:color="auto" w:fill="FE6464"/>
            <w:tcMar>
              <w:top w:w="100" w:type="dxa"/>
              <w:left w:w="100" w:type="dxa"/>
              <w:bottom w:w="100" w:type="dxa"/>
              <w:right w:w="100" w:type="dxa"/>
            </w:tcMar>
          </w:tcPr>
          <w:p w14:paraId="66542AB3" w14:textId="77777777" w:rsidR="00822F51" w:rsidRDefault="00822F51">
            <w:pPr>
              <w:widowControl w:val="0"/>
              <w:spacing w:line="240" w:lineRule="auto"/>
              <w:rPr>
                <w:rFonts w:ascii="Calibri" w:eastAsia="Calibri" w:hAnsi="Calibri" w:cs="Calibri"/>
              </w:rPr>
            </w:pPr>
          </w:p>
        </w:tc>
      </w:tr>
      <w:tr w:rsidR="00822F51" w14:paraId="0A41FE4C" w14:textId="77777777">
        <w:trPr>
          <w:trHeight w:val="863"/>
        </w:trPr>
        <w:tc>
          <w:tcPr>
            <w:tcW w:w="600" w:type="dxa"/>
            <w:tcMar>
              <w:top w:w="100" w:type="dxa"/>
              <w:left w:w="100" w:type="dxa"/>
              <w:bottom w:w="100" w:type="dxa"/>
              <w:right w:w="100" w:type="dxa"/>
            </w:tcMar>
          </w:tcPr>
          <w:p w14:paraId="31163FB4" w14:textId="77777777" w:rsidR="00822F51" w:rsidRDefault="001A22F2">
            <w:pPr>
              <w:widowControl w:val="0"/>
              <w:spacing w:line="240" w:lineRule="auto"/>
              <w:rPr>
                <w:rFonts w:ascii="Calibri" w:eastAsia="Calibri" w:hAnsi="Calibri" w:cs="Calibri"/>
              </w:rPr>
            </w:pPr>
            <w:r>
              <w:rPr>
                <w:rFonts w:ascii="Calibri" w:eastAsia="Calibri" w:hAnsi="Calibri" w:cs="Calibri"/>
              </w:rPr>
              <w:t>18</w:t>
            </w:r>
          </w:p>
        </w:tc>
        <w:tc>
          <w:tcPr>
            <w:tcW w:w="2760" w:type="dxa"/>
            <w:tcMar>
              <w:top w:w="100" w:type="dxa"/>
              <w:left w:w="100" w:type="dxa"/>
              <w:bottom w:w="100" w:type="dxa"/>
              <w:right w:w="100" w:type="dxa"/>
            </w:tcMar>
          </w:tcPr>
          <w:p w14:paraId="3D96B375"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Personal Accountability for Reprisals</w:t>
            </w:r>
          </w:p>
          <w:p w14:paraId="596F6BE4"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Hold accountable those responsible for whistleblower reprisal</w:t>
            </w:r>
            <w:r>
              <w:rPr>
                <w:rFonts w:ascii="Calibri" w:eastAsia="Calibri" w:hAnsi="Calibri" w:cs="Calibri"/>
                <w:sz w:val="16"/>
                <w:szCs w:val="16"/>
                <w:vertAlign w:val="superscript"/>
              </w:rPr>
              <w:footnoteReference w:id="113"/>
            </w:r>
          </w:p>
        </w:tc>
        <w:tc>
          <w:tcPr>
            <w:tcW w:w="1470" w:type="dxa"/>
            <w:shd w:val="clear" w:color="auto" w:fill="FE6464"/>
            <w:tcMar>
              <w:top w:w="100" w:type="dxa"/>
              <w:left w:w="100" w:type="dxa"/>
              <w:bottom w:w="100" w:type="dxa"/>
              <w:right w:w="100" w:type="dxa"/>
            </w:tcMar>
          </w:tcPr>
          <w:p w14:paraId="228AE23F" w14:textId="77777777" w:rsidR="00822F51" w:rsidRDefault="001A22F2">
            <w:pPr>
              <w:widowControl w:val="0"/>
              <w:spacing w:line="240" w:lineRule="auto"/>
              <w:rPr>
                <w:rFonts w:ascii="Calibri" w:eastAsia="Calibri" w:hAnsi="Calibri" w:cs="Calibri"/>
              </w:rPr>
            </w:pPr>
            <w:r>
              <w:rPr>
                <w:rFonts w:ascii="Calibri" w:eastAsia="Calibri" w:hAnsi="Calibri" w:cs="Calibri"/>
              </w:rPr>
              <w:t>FAIL</w:t>
            </w:r>
          </w:p>
        </w:tc>
        <w:tc>
          <w:tcPr>
            <w:tcW w:w="2100" w:type="dxa"/>
            <w:shd w:val="clear" w:color="auto" w:fill="FE6464"/>
            <w:tcMar>
              <w:top w:w="100" w:type="dxa"/>
              <w:left w:w="100" w:type="dxa"/>
              <w:bottom w:w="100" w:type="dxa"/>
              <w:right w:w="100" w:type="dxa"/>
            </w:tcMar>
          </w:tcPr>
          <w:p w14:paraId="45164B40"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49; BC s. 41; SK s. 40; PEI s. 26)</w:t>
            </w:r>
          </w:p>
        </w:tc>
        <w:tc>
          <w:tcPr>
            <w:tcW w:w="2055" w:type="dxa"/>
            <w:shd w:val="clear" w:color="auto" w:fill="FE6464"/>
            <w:tcMar>
              <w:top w:w="100" w:type="dxa"/>
              <w:left w:w="100" w:type="dxa"/>
              <w:bottom w:w="100" w:type="dxa"/>
              <w:right w:w="100" w:type="dxa"/>
            </w:tcMar>
          </w:tcPr>
          <w:p w14:paraId="0351B138"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33; NB s. 50; NS s. 35; NL s. 24)</w:t>
            </w:r>
          </w:p>
        </w:tc>
        <w:tc>
          <w:tcPr>
            <w:tcW w:w="2070" w:type="dxa"/>
            <w:shd w:val="clear" w:color="auto" w:fill="FE6464"/>
            <w:tcMar>
              <w:top w:w="100" w:type="dxa"/>
              <w:left w:w="100" w:type="dxa"/>
              <w:bottom w:w="100" w:type="dxa"/>
              <w:right w:w="100" w:type="dxa"/>
            </w:tcMar>
          </w:tcPr>
          <w:p w14:paraId="70085216"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33; YT s. 51; NU s. 54; ON s. 147)</w:t>
            </w:r>
          </w:p>
        </w:tc>
      </w:tr>
      <w:tr w:rsidR="00822F51" w14:paraId="5CD65C7E" w14:textId="77777777">
        <w:trPr>
          <w:trHeight w:val="863"/>
        </w:trPr>
        <w:tc>
          <w:tcPr>
            <w:tcW w:w="600" w:type="dxa"/>
            <w:tcMar>
              <w:top w:w="100" w:type="dxa"/>
              <w:left w:w="100" w:type="dxa"/>
              <w:bottom w:w="100" w:type="dxa"/>
              <w:right w:w="100" w:type="dxa"/>
            </w:tcMar>
          </w:tcPr>
          <w:p w14:paraId="20C56E2C" w14:textId="77777777" w:rsidR="00822F51" w:rsidRDefault="001A22F2">
            <w:pPr>
              <w:widowControl w:val="0"/>
              <w:spacing w:line="240" w:lineRule="auto"/>
              <w:rPr>
                <w:rFonts w:ascii="Calibri" w:eastAsia="Calibri" w:hAnsi="Calibri" w:cs="Calibri"/>
              </w:rPr>
            </w:pPr>
            <w:r>
              <w:rPr>
                <w:rFonts w:ascii="Calibri" w:eastAsia="Calibri" w:hAnsi="Calibri" w:cs="Calibri"/>
              </w:rPr>
              <w:lastRenderedPageBreak/>
              <w:t>19</w:t>
            </w:r>
          </w:p>
        </w:tc>
        <w:tc>
          <w:tcPr>
            <w:tcW w:w="2760" w:type="dxa"/>
            <w:tcMar>
              <w:top w:w="100" w:type="dxa"/>
              <w:left w:w="100" w:type="dxa"/>
              <w:bottom w:w="100" w:type="dxa"/>
              <w:right w:w="100" w:type="dxa"/>
            </w:tcMar>
          </w:tcPr>
          <w:p w14:paraId="5120492D"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Credible Corrective Action Process</w:t>
            </w:r>
          </w:p>
          <w:p w14:paraId="5EA43038"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Whistleblowers are afforded a meaningful opportunity to publicly comment on draft findings and final reports, unless anonymity is requested.</w:t>
            </w:r>
            <w:r>
              <w:rPr>
                <w:rFonts w:ascii="Calibri" w:eastAsia="Calibri" w:hAnsi="Calibri" w:cs="Calibri"/>
                <w:sz w:val="16"/>
                <w:szCs w:val="16"/>
                <w:vertAlign w:val="superscript"/>
              </w:rPr>
              <w:footnoteReference w:id="114"/>
            </w:r>
          </w:p>
        </w:tc>
        <w:tc>
          <w:tcPr>
            <w:tcW w:w="1470" w:type="dxa"/>
            <w:shd w:val="clear" w:color="auto" w:fill="FE6464"/>
            <w:tcMar>
              <w:top w:w="100" w:type="dxa"/>
              <w:left w:w="100" w:type="dxa"/>
              <w:bottom w:w="100" w:type="dxa"/>
              <w:right w:w="100" w:type="dxa"/>
            </w:tcMar>
          </w:tcPr>
          <w:p w14:paraId="5BDAAB42" w14:textId="77777777" w:rsidR="00822F51" w:rsidRDefault="001A22F2">
            <w:pPr>
              <w:widowControl w:val="0"/>
              <w:spacing w:line="240" w:lineRule="auto"/>
              <w:rPr>
                <w:rFonts w:ascii="Calibri" w:eastAsia="Calibri" w:hAnsi="Calibri" w:cs="Calibri"/>
              </w:rPr>
            </w:pPr>
            <w:r>
              <w:rPr>
                <w:rFonts w:ascii="Calibri" w:eastAsia="Calibri" w:hAnsi="Calibri" w:cs="Calibri"/>
              </w:rPr>
              <w:t>FAIL (s. 26)</w:t>
            </w:r>
          </w:p>
        </w:tc>
        <w:tc>
          <w:tcPr>
            <w:tcW w:w="2100" w:type="dxa"/>
            <w:shd w:val="clear" w:color="auto" w:fill="FE6464"/>
            <w:tcMar>
              <w:top w:w="100" w:type="dxa"/>
              <w:left w:w="100" w:type="dxa"/>
              <w:bottom w:w="100" w:type="dxa"/>
              <w:right w:w="100" w:type="dxa"/>
            </w:tcMar>
          </w:tcPr>
          <w:p w14:paraId="6EE8F7CA" w14:textId="77777777" w:rsidR="00822F51" w:rsidRDefault="001A22F2">
            <w:pPr>
              <w:widowControl w:val="0"/>
              <w:spacing w:line="240" w:lineRule="auto"/>
              <w:rPr>
                <w:rFonts w:ascii="Calibri" w:eastAsia="Calibri" w:hAnsi="Calibri" w:cs="Calibri"/>
              </w:rPr>
            </w:pPr>
            <w:r>
              <w:rPr>
                <w:rFonts w:ascii="Calibri" w:eastAsia="Calibri" w:hAnsi="Calibri" w:cs="Calibri"/>
              </w:rPr>
              <w:t>FAIL (AB s. 22; BC s. 27; SK s. 21; PEI s. 15)</w:t>
            </w:r>
          </w:p>
        </w:tc>
        <w:tc>
          <w:tcPr>
            <w:tcW w:w="2055" w:type="dxa"/>
            <w:shd w:val="clear" w:color="auto" w:fill="FE6464"/>
            <w:tcMar>
              <w:top w:w="100" w:type="dxa"/>
              <w:left w:w="100" w:type="dxa"/>
              <w:bottom w:w="100" w:type="dxa"/>
              <w:right w:w="100" w:type="dxa"/>
            </w:tcMar>
          </w:tcPr>
          <w:p w14:paraId="7A76E109" w14:textId="77777777" w:rsidR="00822F51" w:rsidRDefault="001A22F2">
            <w:pPr>
              <w:widowControl w:val="0"/>
              <w:spacing w:line="240" w:lineRule="auto"/>
              <w:rPr>
                <w:rFonts w:ascii="Calibri" w:eastAsia="Calibri" w:hAnsi="Calibri" w:cs="Calibri"/>
              </w:rPr>
            </w:pPr>
            <w:r>
              <w:rPr>
                <w:rFonts w:ascii="Calibri" w:eastAsia="Calibri" w:hAnsi="Calibri" w:cs="Calibri"/>
              </w:rPr>
              <w:t>FAIL (MB s. 24; NB s. 27; NS s. 26; NL s. 18)</w:t>
            </w:r>
          </w:p>
        </w:tc>
        <w:tc>
          <w:tcPr>
            <w:tcW w:w="2070" w:type="dxa"/>
            <w:shd w:val="clear" w:color="auto" w:fill="FE6464"/>
            <w:tcMar>
              <w:top w:w="100" w:type="dxa"/>
              <w:left w:w="100" w:type="dxa"/>
              <w:bottom w:w="100" w:type="dxa"/>
              <w:right w:w="100" w:type="dxa"/>
            </w:tcMar>
          </w:tcPr>
          <w:p w14:paraId="3DA422C3" w14:textId="77777777" w:rsidR="00822F51" w:rsidRDefault="001A22F2">
            <w:pPr>
              <w:widowControl w:val="0"/>
              <w:spacing w:line="240" w:lineRule="auto"/>
              <w:rPr>
                <w:rFonts w:ascii="Calibri" w:eastAsia="Calibri" w:hAnsi="Calibri" w:cs="Calibri"/>
              </w:rPr>
            </w:pPr>
            <w:r>
              <w:rPr>
                <w:rFonts w:ascii="Calibri" w:eastAsia="Calibri" w:hAnsi="Calibri" w:cs="Calibri"/>
              </w:rPr>
              <w:t>FAIL (QC s. 15; YT s. 23; NU s. 45; ON s. 144)</w:t>
            </w:r>
          </w:p>
        </w:tc>
      </w:tr>
      <w:tr w:rsidR="00822F51" w14:paraId="08B40987" w14:textId="77777777">
        <w:trPr>
          <w:trHeight w:val="507"/>
        </w:trPr>
        <w:tc>
          <w:tcPr>
            <w:tcW w:w="600" w:type="dxa"/>
            <w:vMerge w:val="restart"/>
            <w:tcMar>
              <w:top w:w="100" w:type="dxa"/>
              <w:left w:w="100" w:type="dxa"/>
              <w:bottom w:w="100" w:type="dxa"/>
              <w:right w:w="100" w:type="dxa"/>
            </w:tcMar>
          </w:tcPr>
          <w:p w14:paraId="26A73CD2" w14:textId="77777777" w:rsidR="00822F51" w:rsidRDefault="001A22F2">
            <w:pPr>
              <w:widowControl w:val="0"/>
              <w:spacing w:line="240" w:lineRule="auto"/>
              <w:rPr>
                <w:rFonts w:ascii="Calibri" w:eastAsia="Calibri" w:hAnsi="Calibri" w:cs="Calibri"/>
              </w:rPr>
            </w:pPr>
            <w:r>
              <w:rPr>
                <w:rFonts w:ascii="Calibri" w:eastAsia="Calibri" w:hAnsi="Calibri" w:cs="Calibri"/>
              </w:rPr>
              <w:t>20</w:t>
            </w:r>
          </w:p>
        </w:tc>
        <w:tc>
          <w:tcPr>
            <w:tcW w:w="2760" w:type="dxa"/>
            <w:vMerge w:val="restart"/>
            <w:tcMar>
              <w:top w:w="100" w:type="dxa"/>
              <w:left w:w="100" w:type="dxa"/>
              <w:bottom w:w="100" w:type="dxa"/>
              <w:right w:w="100" w:type="dxa"/>
            </w:tcMar>
          </w:tcPr>
          <w:p w14:paraId="78D4FF1B" w14:textId="77777777" w:rsidR="00822F51" w:rsidRDefault="001A22F2">
            <w:pPr>
              <w:widowControl w:val="0"/>
              <w:spacing w:line="240" w:lineRule="auto"/>
              <w:rPr>
                <w:rFonts w:ascii="Calibri" w:eastAsia="Calibri" w:hAnsi="Calibri" w:cs="Calibri"/>
                <w:b/>
                <w:bCs/>
              </w:rPr>
            </w:pPr>
            <w:r>
              <w:rPr>
                <w:rFonts w:ascii="Calibri" w:eastAsia="Calibri" w:hAnsi="Calibri" w:cs="Calibri"/>
                <w:b/>
                <w:bCs/>
              </w:rPr>
              <w:t>Periodic Review</w:t>
            </w:r>
          </w:p>
          <w:p w14:paraId="1E4B9F34" w14:textId="77777777" w:rsidR="00822F51" w:rsidRDefault="001A22F2">
            <w:pPr>
              <w:widowControl w:val="0"/>
              <w:spacing w:line="240" w:lineRule="auto"/>
              <w:rPr>
                <w:rFonts w:ascii="Calibri" w:eastAsia="Calibri" w:hAnsi="Calibri" w:cs="Calibri"/>
                <w:sz w:val="16"/>
                <w:szCs w:val="16"/>
              </w:rPr>
            </w:pPr>
            <w:r>
              <w:rPr>
                <w:rFonts w:ascii="Calibri" w:eastAsia="Calibri" w:hAnsi="Calibri" w:cs="Calibri"/>
                <w:sz w:val="16"/>
                <w:szCs w:val="16"/>
              </w:rPr>
              <w:t>A formal review process on whether the whistleblower protections have proven effective empirically</w:t>
            </w:r>
            <w:r>
              <w:rPr>
                <w:rFonts w:ascii="Calibri" w:eastAsia="Calibri" w:hAnsi="Calibri" w:cs="Calibri"/>
                <w:sz w:val="16"/>
                <w:szCs w:val="16"/>
                <w:vertAlign w:val="superscript"/>
              </w:rPr>
              <w:footnoteReference w:id="115"/>
            </w:r>
          </w:p>
        </w:tc>
        <w:tc>
          <w:tcPr>
            <w:tcW w:w="1470" w:type="dxa"/>
            <w:vMerge w:val="restart"/>
            <w:shd w:val="clear" w:color="auto" w:fill="FFD966"/>
            <w:tcMar>
              <w:top w:w="100" w:type="dxa"/>
              <w:left w:w="100" w:type="dxa"/>
              <w:bottom w:w="100" w:type="dxa"/>
              <w:right w:w="100" w:type="dxa"/>
            </w:tcMar>
          </w:tcPr>
          <w:p w14:paraId="5627530C" w14:textId="77777777" w:rsidR="00822F51" w:rsidRDefault="001A22F2">
            <w:pPr>
              <w:widowControl w:val="0"/>
              <w:spacing w:line="240" w:lineRule="auto"/>
              <w:rPr>
                <w:rFonts w:ascii="Calibri" w:eastAsia="Calibri" w:hAnsi="Calibri" w:cs="Calibri"/>
              </w:rPr>
            </w:pPr>
            <w:r>
              <w:rPr>
                <w:rFonts w:ascii="Calibri" w:eastAsia="Calibri" w:hAnsi="Calibri" w:cs="Calibri"/>
              </w:rPr>
              <w:t xml:space="preserve">PARTIAL (s. 54) </w:t>
            </w:r>
          </w:p>
        </w:tc>
        <w:tc>
          <w:tcPr>
            <w:tcW w:w="2100" w:type="dxa"/>
            <w:shd w:val="clear" w:color="auto" w:fill="93C47D"/>
            <w:tcMar>
              <w:top w:w="100" w:type="dxa"/>
              <w:left w:w="100" w:type="dxa"/>
              <w:bottom w:w="100" w:type="dxa"/>
              <w:right w:w="100" w:type="dxa"/>
            </w:tcMar>
          </w:tcPr>
          <w:p w14:paraId="3DA9E64D" w14:textId="77777777" w:rsidR="00822F51" w:rsidRDefault="001A22F2">
            <w:pPr>
              <w:widowControl w:val="0"/>
              <w:spacing w:line="240" w:lineRule="auto"/>
              <w:rPr>
                <w:rFonts w:ascii="Calibri" w:eastAsia="Calibri" w:hAnsi="Calibri" w:cs="Calibri"/>
              </w:rPr>
            </w:pPr>
            <w:r>
              <w:rPr>
                <w:rFonts w:ascii="Calibri" w:eastAsia="Calibri" w:hAnsi="Calibri" w:cs="Calibri"/>
              </w:rPr>
              <w:t>MET (AB s. 37, BC s. 50)</w:t>
            </w:r>
          </w:p>
        </w:tc>
        <w:tc>
          <w:tcPr>
            <w:tcW w:w="2055" w:type="dxa"/>
            <w:vMerge w:val="restart"/>
            <w:shd w:val="clear" w:color="auto" w:fill="FFD966"/>
            <w:tcMar>
              <w:top w:w="100" w:type="dxa"/>
              <w:left w:w="100" w:type="dxa"/>
              <w:bottom w:w="100" w:type="dxa"/>
              <w:right w:w="100" w:type="dxa"/>
            </w:tcMar>
          </w:tcPr>
          <w:p w14:paraId="39F4E3E0" w14:textId="77777777" w:rsidR="00822F51" w:rsidRDefault="001A22F2">
            <w:pPr>
              <w:widowControl w:val="0"/>
              <w:spacing w:line="240" w:lineRule="auto"/>
              <w:rPr>
                <w:rFonts w:ascii="Calibri" w:eastAsia="Calibri" w:hAnsi="Calibri" w:cs="Calibri"/>
              </w:rPr>
            </w:pPr>
            <w:r>
              <w:rPr>
                <w:rFonts w:ascii="Calibri" w:eastAsia="Calibri" w:hAnsi="Calibri" w:cs="Calibri"/>
              </w:rPr>
              <w:t>PARTIAL (MB s. 37; NB s. 30; NS s. 28; NL s. 20)</w:t>
            </w:r>
          </w:p>
        </w:tc>
        <w:tc>
          <w:tcPr>
            <w:tcW w:w="2070" w:type="dxa"/>
            <w:vMerge w:val="restart"/>
            <w:shd w:val="clear" w:color="auto" w:fill="FFD966"/>
            <w:tcMar>
              <w:top w:w="100" w:type="dxa"/>
              <w:left w:w="100" w:type="dxa"/>
              <w:bottom w:w="100" w:type="dxa"/>
              <w:right w:w="100" w:type="dxa"/>
            </w:tcMar>
          </w:tcPr>
          <w:p w14:paraId="02D6E24B" w14:textId="77777777" w:rsidR="00822F51" w:rsidRDefault="001A22F2">
            <w:pPr>
              <w:widowControl w:val="0"/>
              <w:spacing w:line="240" w:lineRule="auto"/>
              <w:rPr>
                <w:rFonts w:ascii="Calibri" w:eastAsia="Calibri" w:hAnsi="Calibri" w:cs="Calibri"/>
              </w:rPr>
            </w:pPr>
            <w:r>
              <w:rPr>
                <w:rFonts w:ascii="Calibri" w:eastAsia="Calibri" w:hAnsi="Calibri" w:cs="Calibri"/>
              </w:rPr>
              <w:t>PARTIAL (QC s. 54; YT s. 55; ON s.149)</w:t>
            </w:r>
          </w:p>
        </w:tc>
      </w:tr>
      <w:tr w:rsidR="00822F51" w14:paraId="00E70893" w14:textId="77777777">
        <w:trPr>
          <w:trHeight w:val="507"/>
        </w:trPr>
        <w:tc>
          <w:tcPr>
            <w:tcW w:w="600" w:type="dxa"/>
            <w:vMerge/>
            <w:tcMar>
              <w:top w:w="100" w:type="dxa"/>
              <w:left w:w="100" w:type="dxa"/>
              <w:bottom w:w="100" w:type="dxa"/>
              <w:right w:w="100" w:type="dxa"/>
            </w:tcMar>
          </w:tcPr>
          <w:p w14:paraId="7DDE2EF2" w14:textId="77777777" w:rsidR="00822F51" w:rsidRDefault="00822F51">
            <w:pPr>
              <w:widowControl w:val="0"/>
              <w:spacing w:line="240" w:lineRule="auto"/>
              <w:rPr>
                <w:rFonts w:ascii="Calibri" w:eastAsia="Calibri" w:hAnsi="Calibri" w:cs="Calibri"/>
              </w:rPr>
            </w:pPr>
          </w:p>
        </w:tc>
        <w:tc>
          <w:tcPr>
            <w:tcW w:w="2760" w:type="dxa"/>
            <w:vMerge/>
            <w:tcMar>
              <w:top w:w="100" w:type="dxa"/>
              <w:left w:w="100" w:type="dxa"/>
              <w:bottom w:w="100" w:type="dxa"/>
              <w:right w:w="100" w:type="dxa"/>
            </w:tcMar>
          </w:tcPr>
          <w:p w14:paraId="4FBC05DF" w14:textId="77777777" w:rsidR="00822F51" w:rsidRDefault="00822F51">
            <w:pPr>
              <w:widowControl w:val="0"/>
              <w:spacing w:line="240" w:lineRule="auto"/>
              <w:rPr>
                <w:rFonts w:ascii="Calibri" w:eastAsia="Calibri" w:hAnsi="Calibri" w:cs="Calibri"/>
              </w:rPr>
            </w:pPr>
          </w:p>
        </w:tc>
        <w:tc>
          <w:tcPr>
            <w:tcW w:w="1470" w:type="dxa"/>
            <w:vMerge/>
            <w:shd w:val="clear" w:color="auto" w:fill="FFD966"/>
            <w:tcMar>
              <w:top w:w="100" w:type="dxa"/>
              <w:left w:w="100" w:type="dxa"/>
              <w:bottom w:w="100" w:type="dxa"/>
              <w:right w:w="100" w:type="dxa"/>
            </w:tcMar>
          </w:tcPr>
          <w:p w14:paraId="7B3A1267" w14:textId="77777777" w:rsidR="00822F51" w:rsidRDefault="00822F51">
            <w:pPr>
              <w:widowControl w:val="0"/>
              <w:spacing w:line="240" w:lineRule="auto"/>
              <w:rPr>
                <w:rFonts w:ascii="Calibri" w:eastAsia="Calibri" w:hAnsi="Calibri" w:cs="Calibri"/>
              </w:rPr>
            </w:pPr>
          </w:p>
        </w:tc>
        <w:tc>
          <w:tcPr>
            <w:tcW w:w="2100" w:type="dxa"/>
            <w:shd w:val="clear" w:color="auto" w:fill="FFD966"/>
            <w:tcMar>
              <w:top w:w="100" w:type="dxa"/>
              <w:left w:w="100" w:type="dxa"/>
              <w:bottom w:w="100" w:type="dxa"/>
              <w:right w:w="100" w:type="dxa"/>
            </w:tcMar>
          </w:tcPr>
          <w:p w14:paraId="7DE0E3D0" w14:textId="77777777" w:rsidR="00822F51" w:rsidRDefault="001A22F2">
            <w:pPr>
              <w:widowControl w:val="0"/>
              <w:spacing w:line="240" w:lineRule="auto"/>
              <w:rPr>
                <w:rFonts w:ascii="Calibri" w:eastAsia="Calibri" w:hAnsi="Calibri" w:cs="Calibri"/>
              </w:rPr>
            </w:pPr>
            <w:r>
              <w:rPr>
                <w:rFonts w:ascii="Calibri" w:eastAsia="Calibri" w:hAnsi="Calibri" w:cs="Calibri"/>
              </w:rPr>
              <w:t>PARTIAL (SK, PEI s. 17)</w:t>
            </w:r>
          </w:p>
        </w:tc>
        <w:tc>
          <w:tcPr>
            <w:tcW w:w="2055" w:type="dxa"/>
            <w:vMerge/>
            <w:shd w:val="clear" w:color="auto" w:fill="FFD966"/>
            <w:tcMar>
              <w:top w:w="100" w:type="dxa"/>
              <w:left w:w="100" w:type="dxa"/>
              <w:bottom w:w="100" w:type="dxa"/>
              <w:right w:w="100" w:type="dxa"/>
            </w:tcMar>
          </w:tcPr>
          <w:p w14:paraId="3790A011" w14:textId="77777777" w:rsidR="00822F51" w:rsidRDefault="00822F51">
            <w:pPr>
              <w:widowControl w:val="0"/>
              <w:spacing w:line="240" w:lineRule="auto"/>
              <w:rPr>
                <w:rFonts w:ascii="Calibri" w:eastAsia="Calibri" w:hAnsi="Calibri" w:cs="Calibri"/>
              </w:rPr>
            </w:pPr>
          </w:p>
        </w:tc>
        <w:tc>
          <w:tcPr>
            <w:tcW w:w="2070" w:type="dxa"/>
            <w:vMerge/>
            <w:shd w:val="clear" w:color="auto" w:fill="FFD966"/>
            <w:tcMar>
              <w:top w:w="100" w:type="dxa"/>
              <w:left w:w="100" w:type="dxa"/>
              <w:bottom w:w="100" w:type="dxa"/>
              <w:right w:w="100" w:type="dxa"/>
            </w:tcMar>
          </w:tcPr>
          <w:p w14:paraId="42598F9B" w14:textId="77777777" w:rsidR="00822F51" w:rsidRDefault="00822F51">
            <w:pPr>
              <w:widowControl w:val="0"/>
              <w:spacing w:line="240" w:lineRule="auto"/>
              <w:rPr>
                <w:rFonts w:ascii="Calibri" w:eastAsia="Calibri" w:hAnsi="Calibri" w:cs="Calibri"/>
              </w:rPr>
            </w:pPr>
          </w:p>
        </w:tc>
      </w:tr>
    </w:tbl>
    <w:p w14:paraId="3A40AC05" w14:textId="77777777" w:rsidR="00822F51" w:rsidRDefault="00822F51">
      <w:pPr>
        <w:rPr>
          <w:rFonts w:ascii="Calibri" w:eastAsia="Calibri" w:hAnsi="Calibri" w:cs="Calibri"/>
        </w:rPr>
      </w:pPr>
    </w:p>
    <w:p w14:paraId="5E1413A2" w14:textId="77777777" w:rsidR="00822F51" w:rsidRDefault="001A22F2">
      <w:pPr>
        <w:rPr>
          <w:rFonts w:ascii="Calibri" w:eastAsia="Calibri" w:hAnsi="Calibri" w:cs="Calibri"/>
        </w:rPr>
      </w:pPr>
      <w:r>
        <w:br w:type="page"/>
      </w:r>
    </w:p>
    <w:p w14:paraId="43420EA9" w14:textId="77777777" w:rsidR="00822F51" w:rsidRDefault="001A22F2">
      <w:pPr>
        <w:jc w:val="center"/>
        <w:rPr>
          <w:rFonts w:ascii="Calibri" w:eastAsia="Calibri" w:hAnsi="Calibri" w:cs="Calibri"/>
          <w:b/>
          <w:bCs/>
          <w:color w:val="222222"/>
          <w:sz w:val="24"/>
          <w:szCs w:val="24"/>
          <w:u w:val="single"/>
        </w:rPr>
      </w:pPr>
      <w:r>
        <w:rPr>
          <w:rFonts w:ascii="Calibri" w:eastAsia="Calibri" w:hAnsi="Calibri" w:cs="Calibri"/>
          <w:b/>
          <w:bCs/>
          <w:color w:val="222222"/>
          <w:sz w:val="24"/>
          <w:szCs w:val="24"/>
          <w:u w:val="single"/>
        </w:rPr>
        <w:lastRenderedPageBreak/>
        <w:t>Acknowledgements</w:t>
      </w:r>
    </w:p>
    <w:p w14:paraId="583936F2" w14:textId="77777777" w:rsidR="00822F51" w:rsidRDefault="00822F51">
      <w:pPr>
        <w:jc w:val="center"/>
        <w:rPr>
          <w:rFonts w:ascii="Calibri" w:eastAsia="Calibri" w:hAnsi="Calibri" w:cs="Calibri"/>
          <w:b/>
          <w:bCs/>
          <w:color w:val="222222"/>
          <w:u w:val="single"/>
        </w:rPr>
      </w:pPr>
    </w:p>
    <w:p w14:paraId="25FDBBAE" w14:textId="77777777" w:rsidR="00822F51" w:rsidRDefault="001A22F2">
      <w:pPr>
        <w:rPr>
          <w:rFonts w:ascii="Calibri" w:eastAsia="Calibri" w:hAnsi="Calibri" w:cs="Calibri"/>
          <w:b/>
          <w:bCs/>
          <w:color w:val="222222"/>
          <w:u w:val="single"/>
        </w:rPr>
      </w:pPr>
      <w:r>
        <w:rPr>
          <w:rFonts w:ascii="Calibri" w:eastAsia="Calibri" w:hAnsi="Calibri" w:cs="Calibri"/>
          <w:b/>
          <w:bCs/>
          <w:color w:val="222222"/>
          <w:u w:val="single"/>
        </w:rPr>
        <w:t>Institutional information of the organizations submitting this report</w:t>
      </w:r>
    </w:p>
    <w:p w14:paraId="1215CCEB" w14:textId="77777777" w:rsidR="00822F51" w:rsidRDefault="001A22F2">
      <w:pPr>
        <w:rPr>
          <w:rFonts w:ascii="Calibri" w:eastAsia="Calibri" w:hAnsi="Calibri" w:cs="Calibri"/>
          <w:b/>
          <w:bCs/>
          <w:color w:val="FF9900"/>
        </w:rPr>
      </w:pPr>
      <w:r>
        <w:rPr>
          <w:rFonts w:ascii="Calibri" w:eastAsia="Calibri" w:hAnsi="Calibri" w:cs="Calibri"/>
          <w:b/>
          <w:bCs/>
        </w:rPr>
        <w:t>International Justice &amp; Human Rights Clinic Peter A. Allard School of Law, University of British Columbia</w:t>
      </w:r>
    </w:p>
    <w:p w14:paraId="69630A84" w14:textId="77777777" w:rsidR="00822F51" w:rsidRDefault="001A22F2">
      <w:pPr>
        <w:rPr>
          <w:rFonts w:ascii="Calibri" w:eastAsia="Calibri" w:hAnsi="Calibri" w:cs="Calibri"/>
        </w:rPr>
      </w:pPr>
      <w:r>
        <w:rPr>
          <w:rFonts w:ascii="Calibri" w:eastAsia="Calibri" w:hAnsi="Calibri" w:cs="Calibri"/>
        </w:rPr>
        <w:t>The International Justice &amp; Human Rights Clinic is a legal clinic for upper-level law students at the Peter A. Allard School of Law, University of British Columbia, Canada. The clinic addresses pressing human rights and global justice issues through hands-on work on international cases and projects.</w:t>
      </w:r>
    </w:p>
    <w:p w14:paraId="17975E2B" w14:textId="77777777" w:rsidR="00822F51" w:rsidRDefault="00822F51">
      <w:pPr>
        <w:rPr>
          <w:rFonts w:ascii="Calibri" w:eastAsia="Calibri" w:hAnsi="Calibri" w:cs="Calibri"/>
          <w:b/>
          <w:bCs/>
          <w:u w:val="single"/>
        </w:rPr>
      </w:pPr>
    </w:p>
    <w:p w14:paraId="250466E6" w14:textId="77777777" w:rsidR="00822F51" w:rsidRDefault="001A22F2">
      <w:pPr>
        <w:rPr>
          <w:rFonts w:ascii="Calibri" w:eastAsia="Calibri" w:hAnsi="Calibri" w:cs="Calibri"/>
          <w:b/>
          <w:bCs/>
          <w:u w:val="single"/>
        </w:rPr>
      </w:pPr>
      <w:r>
        <w:rPr>
          <w:rFonts w:ascii="Calibri" w:eastAsia="Calibri" w:hAnsi="Calibri" w:cs="Calibri"/>
          <w:b/>
          <w:bCs/>
          <w:u w:val="single"/>
        </w:rPr>
        <w:t>Contact information</w:t>
      </w:r>
    </w:p>
    <w:p w14:paraId="34EC3FC6" w14:textId="77777777" w:rsidR="00822F51" w:rsidRDefault="001A22F2">
      <w:pPr>
        <w:rPr>
          <w:rFonts w:ascii="Calibri" w:eastAsia="Calibri" w:hAnsi="Calibri" w:cs="Calibri"/>
        </w:rPr>
      </w:pPr>
      <w:r>
        <w:rPr>
          <w:rFonts w:ascii="Calibri" w:eastAsia="Calibri" w:hAnsi="Calibri" w:cs="Calibri"/>
        </w:rPr>
        <w:t>Vannie Lau</w:t>
      </w:r>
    </w:p>
    <w:p w14:paraId="66576DF0" w14:textId="77777777" w:rsidR="00822F51" w:rsidRDefault="001A22F2">
      <w:pPr>
        <w:rPr>
          <w:rFonts w:ascii="Calibri" w:eastAsia="Calibri" w:hAnsi="Calibri" w:cs="Calibri"/>
        </w:rPr>
      </w:pPr>
      <w:r>
        <w:rPr>
          <w:rFonts w:ascii="Calibri" w:eastAsia="Calibri" w:hAnsi="Calibri" w:cs="Calibri"/>
        </w:rPr>
        <w:t>International Justice and Human Rights Clinic</w:t>
      </w:r>
    </w:p>
    <w:p w14:paraId="43217651" w14:textId="77777777" w:rsidR="00822F51" w:rsidRDefault="001A22F2">
      <w:pPr>
        <w:rPr>
          <w:rFonts w:ascii="Calibri" w:eastAsia="Calibri" w:hAnsi="Calibri" w:cs="Calibri"/>
        </w:rPr>
      </w:pPr>
      <w:r>
        <w:rPr>
          <w:rFonts w:ascii="Calibri" w:eastAsia="Calibri" w:hAnsi="Calibri" w:cs="Calibri"/>
        </w:rPr>
        <w:t>Peter A. Allard School of Law, University of British Columbia</w:t>
      </w:r>
    </w:p>
    <w:p w14:paraId="75C4CB01" w14:textId="77777777" w:rsidR="00822F51" w:rsidRDefault="001A22F2">
      <w:pPr>
        <w:jc w:val="both"/>
        <w:rPr>
          <w:rFonts w:ascii="Calibri" w:eastAsia="Calibri" w:hAnsi="Calibri" w:cs="Calibri"/>
        </w:rPr>
      </w:pPr>
      <w:r>
        <w:rPr>
          <w:rFonts w:ascii="Calibri" w:eastAsia="Calibri" w:hAnsi="Calibri" w:cs="Calibri"/>
        </w:rPr>
        <w:t xml:space="preserve">Email: </w:t>
      </w:r>
      <w:hyperlink r:id="rId10">
        <w:r w:rsidR="00822F51">
          <w:rPr>
            <w:rFonts w:ascii="Calibri" w:eastAsia="Calibri" w:hAnsi="Calibri" w:cs="Calibri"/>
            <w:color w:val="1155CC"/>
            <w:u w:val="single"/>
          </w:rPr>
          <w:t>vlau@allard.ubc.ca</w:t>
        </w:r>
      </w:hyperlink>
      <w:r>
        <w:rPr>
          <w:rFonts w:ascii="Calibri" w:eastAsia="Calibri" w:hAnsi="Calibri" w:cs="Calibri"/>
        </w:rPr>
        <w:t xml:space="preserve"> / </w:t>
      </w:r>
      <w:hyperlink r:id="rId11">
        <w:r w:rsidR="00822F51">
          <w:rPr>
            <w:rFonts w:ascii="Calibri" w:eastAsia="Calibri" w:hAnsi="Calibri" w:cs="Calibri"/>
            <w:color w:val="1155CC"/>
            <w:u w:val="single"/>
          </w:rPr>
          <w:t>ijhrclinic@allard.ubc.ca</w:t>
        </w:r>
      </w:hyperlink>
      <w:r>
        <w:rPr>
          <w:rFonts w:ascii="Calibri" w:eastAsia="Calibri" w:hAnsi="Calibri" w:cs="Calibri"/>
        </w:rPr>
        <w:t xml:space="preserve"> </w:t>
      </w:r>
    </w:p>
    <w:p w14:paraId="19ACCD71" w14:textId="77777777" w:rsidR="00822F51" w:rsidRDefault="00822F51">
      <w:pPr>
        <w:jc w:val="both"/>
        <w:rPr>
          <w:rFonts w:ascii="Calibri" w:eastAsia="Calibri" w:hAnsi="Calibri" w:cs="Calibri"/>
          <w:b/>
          <w:bCs/>
          <w:u w:val="single"/>
        </w:rPr>
      </w:pPr>
    </w:p>
    <w:p w14:paraId="15522712" w14:textId="77777777" w:rsidR="00822F51" w:rsidRDefault="001A22F2">
      <w:pPr>
        <w:jc w:val="both"/>
        <w:rPr>
          <w:rFonts w:ascii="Calibri" w:eastAsia="Calibri" w:hAnsi="Calibri" w:cs="Calibri"/>
          <w:b/>
          <w:bCs/>
          <w:u w:val="single"/>
        </w:rPr>
      </w:pPr>
      <w:r>
        <w:rPr>
          <w:rFonts w:ascii="Calibri" w:eastAsia="Calibri" w:hAnsi="Calibri" w:cs="Calibri"/>
          <w:b/>
          <w:bCs/>
          <w:u w:val="single"/>
        </w:rPr>
        <w:t>Credits and acknowledgements</w:t>
      </w:r>
    </w:p>
    <w:p w14:paraId="0BB187CD" w14:textId="77777777" w:rsidR="00822F51" w:rsidRDefault="001A22F2">
      <w:pPr>
        <w:jc w:val="both"/>
        <w:rPr>
          <w:rFonts w:ascii="Calibri" w:eastAsia="Calibri" w:hAnsi="Calibri" w:cs="Calibri"/>
        </w:rPr>
      </w:pPr>
      <w:r>
        <w:rPr>
          <w:rFonts w:ascii="Calibri" w:eastAsia="Calibri" w:hAnsi="Calibri" w:cs="Calibri"/>
        </w:rPr>
        <w:t>Allison Keogh, clinician at the International Justice &amp; Human Rights Clinic, Peter A. Allard School of Law, University of British Columbia, contributed to the research, drafting, and review of this submission to the UN Human Rights Committee. The submission was reviewed and edited by IJHRC Research Associate Vannie Lau and is endorsed by the Whistleblowing Canada Research Society.</w:t>
      </w:r>
    </w:p>
    <w:p w14:paraId="34B38808" w14:textId="77777777" w:rsidR="00822F51" w:rsidRDefault="00822F51">
      <w:pPr>
        <w:jc w:val="both"/>
        <w:rPr>
          <w:rFonts w:ascii="Calibri" w:eastAsia="Calibri" w:hAnsi="Calibri" w:cs="Calibri"/>
        </w:rPr>
      </w:pPr>
    </w:p>
    <w:p w14:paraId="66767C76" w14:textId="77777777" w:rsidR="00822F51" w:rsidRDefault="001A22F2">
      <w:pPr>
        <w:jc w:val="both"/>
        <w:rPr>
          <w:rFonts w:ascii="Calibri" w:eastAsia="Calibri" w:hAnsi="Calibri" w:cs="Calibri"/>
        </w:rPr>
      </w:pPr>
      <w:r>
        <w:rPr>
          <w:rFonts w:ascii="Calibri" w:eastAsia="Calibri" w:hAnsi="Calibri" w:cs="Calibri"/>
        </w:rPr>
        <w:t>This report reflects the views of the individual authors and should not be attributed to other parties. The report does not represent the official position of the Peter A. Allard School of Law or the University of British Columbia.</w:t>
      </w:r>
    </w:p>
    <w:sectPr w:rsidR="00822F5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A6B19" w14:textId="77777777" w:rsidR="001A22F2" w:rsidRDefault="001A22F2">
      <w:pPr>
        <w:spacing w:line="240" w:lineRule="auto"/>
      </w:pPr>
      <w:r>
        <w:separator/>
      </w:r>
    </w:p>
  </w:endnote>
  <w:endnote w:type="continuationSeparator" w:id="0">
    <w:p w14:paraId="13D82815" w14:textId="77777777" w:rsidR="001A22F2" w:rsidRDefault="001A22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C28110A-754D-4B64-AD67-1FF47E63AE9B}"/>
    <w:embedBold r:id="rId2" w:fontKey="{5D0C1E2A-9AAC-4A93-87B3-323C26A5FCEB}"/>
    <w:embedItalic r:id="rId3" w:fontKey="{EBD0A2C8-2726-4A14-88B2-8D89D0F34E1E}"/>
    <w:embedBoldItalic r:id="rId4" w:fontKey="{5591BDC8-1AF3-49A9-A83A-6490BB2402EA}"/>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B4F6514D-07D1-4AF7-84C0-46BB1368B1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4DAEE" w14:textId="77777777" w:rsidR="00822F51" w:rsidRDefault="001A22F2">
    <w:pPr>
      <w:jc w:val="right"/>
      <w:rPr>
        <w:rFonts w:ascii="Calibri" w:eastAsia="Calibri" w:hAnsi="Calibri" w:cs="Calibri"/>
      </w:rPr>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75082C">
      <w:rPr>
        <w:rFonts w:ascii="Calibri" w:eastAsia="Calibri" w:hAnsi="Calibri" w:cs="Calibri"/>
        <w:noProof/>
      </w:rPr>
      <w:t>1</w:t>
    </w:r>
    <w:r>
      <w:rPr>
        <w:rFonts w:ascii="Calibri" w:eastAsia="Calibri" w:hAnsi="Calibri" w:cs="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08636" w14:textId="77777777" w:rsidR="001A22F2" w:rsidRDefault="001A22F2">
      <w:pPr>
        <w:spacing w:line="240" w:lineRule="auto"/>
      </w:pPr>
      <w:r>
        <w:separator/>
      </w:r>
    </w:p>
  </w:footnote>
  <w:footnote w:type="continuationSeparator" w:id="0">
    <w:p w14:paraId="08132DD9" w14:textId="77777777" w:rsidR="001A22F2" w:rsidRDefault="001A22F2">
      <w:pPr>
        <w:spacing w:line="240" w:lineRule="auto"/>
      </w:pPr>
      <w:r>
        <w:continuationSeparator/>
      </w:r>
    </w:p>
  </w:footnote>
  <w:footnote w:id="1">
    <w:p w14:paraId="2E045BB8" w14:textId="006349BD" w:rsidR="00310030" w:rsidRPr="00310030" w:rsidRDefault="00310030">
      <w:pPr>
        <w:pStyle w:val="FootnoteText"/>
        <w:rPr>
          <w:lang w:val="en-CA"/>
        </w:rPr>
      </w:pPr>
      <w:r>
        <w:rPr>
          <w:rStyle w:val="FootnoteReference"/>
        </w:rPr>
        <w:footnoteRef/>
      </w:r>
      <w:r>
        <w:t xml:space="preserve"> </w:t>
      </w:r>
      <w:r>
        <w:rPr>
          <w:rFonts w:ascii="Calibri" w:eastAsia="Calibri" w:hAnsi="Calibri" w:cs="Calibri"/>
        </w:rPr>
        <w:t xml:space="preserve">Canada, House of Commons, Standing Committee on Government Operations and Estimates, </w:t>
      </w:r>
      <w:r>
        <w:rPr>
          <w:rFonts w:ascii="Calibri" w:eastAsia="Calibri" w:hAnsi="Calibri" w:cs="Calibri"/>
          <w:i/>
          <w:iCs/>
        </w:rPr>
        <w:t>Strengthening the Protection of the Public Interest within the Public Servants Disclosure Protection Act</w:t>
      </w:r>
      <w:r>
        <w:rPr>
          <w:rFonts w:ascii="Calibri" w:eastAsia="Calibri" w:hAnsi="Calibri" w:cs="Calibri"/>
        </w:rPr>
        <w:t xml:space="preserve">, 42nd </w:t>
      </w:r>
      <w:proofErr w:type="spellStart"/>
      <w:r>
        <w:rPr>
          <w:rFonts w:ascii="Calibri" w:eastAsia="Calibri" w:hAnsi="Calibri" w:cs="Calibri"/>
        </w:rPr>
        <w:t>Parl</w:t>
      </w:r>
      <w:proofErr w:type="spellEnd"/>
      <w:r>
        <w:rPr>
          <w:rFonts w:ascii="Calibri" w:eastAsia="Calibri" w:hAnsi="Calibri" w:cs="Calibri"/>
        </w:rPr>
        <w:t xml:space="preserve">, 1st </w:t>
      </w:r>
      <w:proofErr w:type="spellStart"/>
      <w:r>
        <w:rPr>
          <w:rFonts w:ascii="Calibri" w:eastAsia="Calibri" w:hAnsi="Calibri" w:cs="Calibri"/>
        </w:rPr>
        <w:t>Sess</w:t>
      </w:r>
      <w:proofErr w:type="spellEnd"/>
      <w:r>
        <w:rPr>
          <w:rFonts w:ascii="Calibri" w:eastAsia="Calibri" w:hAnsi="Calibri" w:cs="Calibri"/>
        </w:rPr>
        <w:t xml:space="preserve"> (June 2017) at pp. 95-99, online: &lt;</w:t>
      </w:r>
      <w:hyperlink r:id="rId1">
        <w:r>
          <w:rPr>
            <w:rFonts w:ascii="Calibri" w:eastAsia="Calibri" w:hAnsi="Calibri" w:cs="Calibri"/>
            <w:color w:val="1155CC"/>
            <w:u w:val="single"/>
          </w:rPr>
          <w:t>www.ourcommons.ca/Content/Committee/421/OGGO/Reports/RP9055222/oggorp09/oggorp09-e.pdf</w:t>
        </w:r>
      </w:hyperlink>
      <w:r>
        <w:rPr>
          <w:rFonts w:ascii="Calibri" w:eastAsia="Calibri" w:hAnsi="Calibri" w:cs="Calibri"/>
        </w:rPr>
        <w:t>&gt;</w:t>
      </w:r>
      <w:r>
        <w:t>.</w:t>
      </w:r>
    </w:p>
  </w:footnote>
  <w:footnote w:id="2">
    <w:p w14:paraId="47447779"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Conference of the States Parties to the United Nations Convention against Corruption, </w:t>
      </w:r>
      <w:r>
        <w:rPr>
          <w:rFonts w:ascii="Calibri" w:eastAsia="Calibri" w:hAnsi="Calibri" w:cs="Calibri"/>
          <w:i/>
          <w:iCs/>
          <w:sz w:val="20"/>
          <w:szCs w:val="20"/>
        </w:rPr>
        <w:t>Protection of reporting persons,</w:t>
      </w:r>
      <w:r>
        <w:rPr>
          <w:rFonts w:ascii="Calibri" w:eastAsia="Calibri" w:hAnsi="Calibri" w:cs="Calibri"/>
          <w:sz w:val="20"/>
          <w:szCs w:val="20"/>
        </w:rPr>
        <w:t xml:space="preserve"> Resolution 10/8, 10th </w:t>
      </w:r>
      <w:proofErr w:type="spellStart"/>
      <w:r>
        <w:rPr>
          <w:rFonts w:ascii="Calibri" w:eastAsia="Calibri" w:hAnsi="Calibri" w:cs="Calibri"/>
          <w:sz w:val="20"/>
          <w:szCs w:val="20"/>
        </w:rPr>
        <w:t>Sess</w:t>
      </w:r>
      <w:proofErr w:type="spellEnd"/>
      <w:r>
        <w:rPr>
          <w:rFonts w:ascii="Calibri" w:eastAsia="Calibri" w:hAnsi="Calibri" w:cs="Calibri"/>
          <w:sz w:val="20"/>
          <w:szCs w:val="20"/>
        </w:rPr>
        <w:t>, UN Doc CAC/COSP/WG.4/2025/CRP.1 (adopted 15 December 2023), online: &lt;</w:t>
      </w:r>
      <w:hyperlink r:id="rId2">
        <w:r w:rsidR="00822F51">
          <w:rPr>
            <w:rFonts w:ascii="Calibri" w:eastAsia="Calibri" w:hAnsi="Calibri" w:cs="Calibri"/>
            <w:color w:val="1155CC"/>
            <w:sz w:val="20"/>
            <w:szCs w:val="20"/>
            <w:u w:val="single"/>
          </w:rPr>
          <w:t>www.unodc.org/corruption/en/cosp/conference/session10-resolutions.html</w:t>
        </w:r>
      </w:hyperlink>
      <w:r>
        <w:rPr>
          <w:rFonts w:ascii="Calibri" w:eastAsia="Calibri" w:hAnsi="Calibri" w:cs="Calibri"/>
          <w:sz w:val="20"/>
          <w:szCs w:val="20"/>
        </w:rPr>
        <w:t xml:space="preserve">&gt;; Canada’s position in Transparency International's Corruption Perceptions Index has declined steadily falling out of the top ten for the first time since 2005 in 2020 (tied with Australia at twelfth) and dropping to fifteenth place by 2024. See: Transparency International, </w:t>
      </w:r>
      <w:r>
        <w:rPr>
          <w:rFonts w:ascii="Calibri" w:eastAsia="Calibri" w:hAnsi="Calibri" w:cs="Calibri"/>
          <w:i/>
          <w:iCs/>
          <w:sz w:val="20"/>
          <w:szCs w:val="20"/>
        </w:rPr>
        <w:t>Corruption Perceptions Index 2024</w:t>
      </w:r>
      <w:r>
        <w:rPr>
          <w:rFonts w:ascii="Calibri" w:eastAsia="Calibri" w:hAnsi="Calibri" w:cs="Calibri"/>
          <w:sz w:val="20"/>
          <w:szCs w:val="20"/>
        </w:rPr>
        <w:t>, online: &lt;</w:t>
      </w:r>
      <w:hyperlink r:id="rId3">
        <w:r w:rsidR="00822F51">
          <w:rPr>
            <w:rFonts w:ascii="Calibri" w:eastAsia="Calibri" w:hAnsi="Calibri" w:cs="Calibri"/>
            <w:color w:val="1155CC"/>
            <w:sz w:val="20"/>
            <w:szCs w:val="20"/>
            <w:u w:val="single"/>
          </w:rPr>
          <w:t>www.transparency.org/en/cpi/2024</w:t>
        </w:r>
      </w:hyperlink>
      <w:r>
        <w:rPr>
          <w:rFonts w:ascii="Calibri" w:eastAsia="Calibri" w:hAnsi="Calibri" w:cs="Calibri"/>
          <w:sz w:val="20"/>
          <w:szCs w:val="20"/>
        </w:rPr>
        <w:t>&gt;.</w:t>
      </w:r>
    </w:p>
  </w:footnote>
  <w:footnote w:id="3">
    <w:p w14:paraId="28A84662"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Human Rights Committee, </w:t>
      </w:r>
      <w:r>
        <w:rPr>
          <w:rFonts w:ascii="Calibri" w:eastAsia="Calibri" w:hAnsi="Calibri" w:cs="Calibri"/>
          <w:i/>
          <w:iCs/>
          <w:sz w:val="20"/>
          <w:szCs w:val="20"/>
        </w:rPr>
        <w:t>General Comment No. 25: The Right to Participate in Public Affairs, Voting Rights and the Right of Equal Access to Public Service</w:t>
      </w:r>
      <w:r>
        <w:rPr>
          <w:rFonts w:ascii="Calibri" w:eastAsia="Calibri" w:hAnsi="Calibri" w:cs="Calibri"/>
          <w:sz w:val="20"/>
          <w:szCs w:val="20"/>
        </w:rPr>
        <w:t xml:space="preserve"> (Article 25), UN Doc CCPR/C/21/Rev.1/Add.7 (12 July 1996), para 25; Human Rights Committee, </w:t>
      </w:r>
      <w:r>
        <w:rPr>
          <w:rFonts w:ascii="Calibri" w:eastAsia="Calibri" w:hAnsi="Calibri" w:cs="Calibri"/>
          <w:i/>
          <w:iCs/>
          <w:sz w:val="20"/>
          <w:szCs w:val="20"/>
        </w:rPr>
        <w:t>General Comment No. 34: Article 19: Freedoms of Opinion and Expression</w:t>
      </w:r>
      <w:r>
        <w:rPr>
          <w:rFonts w:ascii="Calibri" w:eastAsia="Calibri" w:hAnsi="Calibri" w:cs="Calibri"/>
          <w:sz w:val="20"/>
          <w:szCs w:val="20"/>
        </w:rPr>
        <w:t>, UN Doc CCPR/C/GC/34 (12 September 2011), at para 23.</w:t>
      </w:r>
    </w:p>
  </w:footnote>
  <w:footnote w:id="4">
    <w:p w14:paraId="5AA0E6E1"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Human Rights Committee, </w:t>
      </w:r>
      <w:r>
        <w:rPr>
          <w:rFonts w:ascii="Calibri" w:eastAsia="Calibri" w:hAnsi="Calibri" w:cs="Calibri"/>
          <w:i/>
          <w:iCs/>
          <w:sz w:val="20"/>
          <w:szCs w:val="20"/>
        </w:rPr>
        <w:t>General Comment No. 31: The Nature of the General Legal Obligation Imposed on States Parties to the Covenant</w:t>
      </w:r>
      <w:r>
        <w:rPr>
          <w:rFonts w:ascii="Calibri" w:eastAsia="Calibri" w:hAnsi="Calibri" w:cs="Calibri"/>
          <w:sz w:val="20"/>
          <w:szCs w:val="20"/>
        </w:rPr>
        <w:t xml:space="preserve">, UN Doc CCPR/C/21/Rev.1/Add.13 (26 May 2004), paras 15–16; Human Rights Committee, </w:t>
      </w:r>
      <w:r>
        <w:rPr>
          <w:rFonts w:ascii="Calibri" w:eastAsia="Calibri" w:hAnsi="Calibri" w:cs="Calibri"/>
          <w:i/>
          <w:iCs/>
          <w:sz w:val="20"/>
          <w:szCs w:val="20"/>
        </w:rPr>
        <w:t xml:space="preserve">General Comment No. 34 </w:t>
      </w:r>
      <w:r>
        <w:rPr>
          <w:rFonts w:ascii="Calibri" w:eastAsia="Calibri" w:hAnsi="Calibri" w:cs="Calibri"/>
          <w:sz w:val="20"/>
          <w:szCs w:val="20"/>
        </w:rPr>
        <w:t xml:space="preserve">at para 23. </w:t>
      </w:r>
    </w:p>
  </w:footnote>
  <w:footnote w:id="5">
    <w:p w14:paraId="69C6384D"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Canada, House of Commons, Standing Committee on Government Operations and Estimates, </w:t>
      </w:r>
      <w:r>
        <w:rPr>
          <w:rFonts w:ascii="Calibri" w:eastAsia="Calibri" w:hAnsi="Calibri" w:cs="Calibri"/>
          <w:i/>
          <w:iCs/>
          <w:sz w:val="20"/>
          <w:szCs w:val="20"/>
        </w:rPr>
        <w:t>Strengthening the Protection of the Public Interest within the Public Servants Disclosure Protection Act</w:t>
      </w:r>
      <w:r>
        <w:rPr>
          <w:rFonts w:ascii="Calibri" w:eastAsia="Calibri" w:hAnsi="Calibri" w:cs="Calibri"/>
          <w:sz w:val="20"/>
          <w:szCs w:val="20"/>
        </w:rPr>
        <w:t xml:space="preserve">, 42nd </w:t>
      </w:r>
      <w:proofErr w:type="spellStart"/>
      <w:r>
        <w:rPr>
          <w:rFonts w:ascii="Calibri" w:eastAsia="Calibri" w:hAnsi="Calibri" w:cs="Calibri"/>
          <w:sz w:val="20"/>
          <w:szCs w:val="20"/>
        </w:rPr>
        <w:t>Parl</w:t>
      </w:r>
      <w:proofErr w:type="spellEnd"/>
      <w:r>
        <w:rPr>
          <w:rFonts w:ascii="Calibri" w:eastAsia="Calibri" w:hAnsi="Calibri" w:cs="Calibri"/>
          <w:sz w:val="20"/>
          <w:szCs w:val="20"/>
        </w:rPr>
        <w:t xml:space="preserve">, 1st </w:t>
      </w:r>
      <w:proofErr w:type="spellStart"/>
      <w:r>
        <w:rPr>
          <w:rFonts w:ascii="Calibri" w:eastAsia="Calibri" w:hAnsi="Calibri" w:cs="Calibri"/>
          <w:sz w:val="20"/>
          <w:szCs w:val="20"/>
        </w:rPr>
        <w:t>Sess</w:t>
      </w:r>
      <w:proofErr w:type="spellEnd"/>
      <w:r>
        <w:rPr>
          <w:rFonts w:ascii="Calibri" w:eastAsia="Calibri" w:hAnsi="Calibri" w:cs="Calibri"/>
          <w:sz w:val="20"/>
          <w:szCs w:val="20"/>
        </w:rPr>
        <w:t xml:space="preserve"> (June 2017), online: &lt;</w:t>
      </w:r>
      <w:hyperlink r:id="rId4">
        <w:r w:rsidR="00822F51">
          <w:rPr>
            <w:rFonts w:ascii="Calibri" w:eastAsia="Calibri" w:hAnsi="Calibri" w:cs="Calibri"/>
            <w:color w:val="1155CC"/>
            <w:sz w:val="20"/>
            <w:szCs w:val="20"/>
            <w:u w:val="single"/>
          </w:rPr>
          <w:t>www.ourcommons.ca/Content/Committee/421/OGGO/Reports/RP9055222/oggorp09/oggorp09-e.pdf</w:t>
        </w:r>
      </w:hyperlink>
      <w:r>
        <w:rPr>
          <w:rFonts w:ascii="Calibri" w:eastAsia="Calibri" w:hAnsi="Calibri" w:cs="Calibri"/>
          <w:sz w:val="20"/>
          <w:szCs w:val="20"/>
        </w:rPr>
        <w:t>&gt;.</w:t>
      </w:r>
    </w:p>
  </w:footnote>
  <w:footnote w:id="6">
    <w:p w14:paraId="34D3F35E" w14:textId="77777777" w:rsidR="00310030" w:rsidRDefault="00310030" w:rsidP="00310030">
      <w:pPr>
        <w:spacing w:line="240" w:lineRule="auto"/>
        <w:rPr>
          <w:rFonts w:ascii="Calibri" w:eastAsia="Calibri" w:hAnsi="Calibri" w:cs="Calibri"/>
          <w:sz w:val="20"/>
          <w:szCs w:val="20"/>
        </w:rPr>
      </w:pPr>
      <w:r>
        <w:rPr>
          <w:rStyle w:val="FootnoteReference"/>
        </w:rPr>
        <w:footnoteRef/>
      </w:r>
      <w:r>
        <w:t xml:space="preserve"> </w:t>
      </w:r>
      <w:r>
        <w:rPr>
          <w:rFonts w:ascii="Calibri" w:eastAsia="Calibri" w:hAnsi="Calibri" w:cs="Calibri"/>
          <w:sz w:val="20"/>
          <w:szCs w:val="20"/>
        </w:rPr>
        <w:t>This Government Accountability Project and International Bar Association report tied Canada for joint last with Lebanon for worst whistleblower protection laws among 37 countries. See: Samantha Feinstein &amp; Tom Devine, Are Whistleblowing Laws Working? A Global Study of Whistleblower Protection Litigation (International Bar Association Legal Policy and Research Unit &amp; Government Accountability Project, 2021), at p. 10, online: &lt;</w:t>
      </w:r>
      <w:hyperlink r:id="rId5">
        <w:r>
          <w:rPr>
            <w:rFonts w:ascii="Calibri" w:eastAsia="Calibri" w:hAnsi="Calibri" w:cs="Calibri"/>
            <w:color w:val="1155CC"/>
            <w:sz w:val="20"/>
            <w:szCs w:val="20"/>
            <w:u w:val="single"/>
          </w:rPr>
          <w:t>www.ibanet.org/MediaHandler?id=49c9b08d-4328-4797-a2f7-1e0a71d0da55</w:t>
        </w:r>
      </w:hyperlink>
      <w:r>
        <w:rPr>
          <w:rFonts w:ascii="Calibri" w:eastAsia="Calibri" w:hAnsi="Calibri" w:cs="Calibri"/>
          <w:sz w:val="20"/>
          <w:szCs w:val="20"/>
        </w:rPr>
        <w:t xml:space="preserve">&gt;. </w:t>
      </w:r>
    </w:p>
    <w:p w14:paraId="42438CDA" w14:textId="422C3018" w:rsidR="00310030" w:rsidRPr="00310030" w:rsidRDefault="00310030">
      <w:pPr>
        <w:pStyle w:val="FootnoteText"/>
        <w:rPr>
          <w:lang w:val="en-CA"/>
        </w:rPr>
      </w:pPr>
    </w:p>
  </w:footnote>
  <w:footnote w:id="7">
    <w:p w14:paraId="41E41BFF" w14:textId="77777777" w:rsidR="00822F51" w:rsidRDefault="001A22F2">
      <w:pPr>
        <w:spacing w:line="240" w:lineRule="auto"/>
        <w:rPr>
          <w:rFonts w:ascii="Calibri" w:eastAsia="Calibri" w:hAnsi="Calibri" w:cs="Calibri"/>
          <w:sz w:val="20"/>
          <w:szCs w:val="20"/>
          <w:highlight w:val="yellow"/>
        </w:rPr>
      </w:pPr>
      <w:r>
        <w:rPr>
          <w:vertAlign w:val="superscript"/>
        </w:rPr>
        <w:footnoteRef/>
      </w:r>
      <w:r>
        <w:rPr>
          <w:rFonts w:ascii="Calibri" w:eastAsia="Calibri" w:hAnsi="Calibri" w:cs="Calibri"/>
          <w:sz w:val="20"/>
          <w:szCs w:val="20"/>
        </w:rPr>
        <w:t xml:space="preserve"> Standing Committee on Government Operations and Estimates, </w:t>
      </w:r>
      <w:r>
        <w:rPr>
          <w:rFonts w:ascii="Calibri" w:eastAsia="Calibri" w:hAnsi="Calibri" w:cs="Calibri"/>
          <w:i/>
          <w:iCs/>
          <w:sz w:val="20"/>
          <w:szCs w:val="20"/>
        </w:rPr>
        <w:t>Strengthening the Protection of the Public Interest within the Public Servants Disclosure Protection Act.</w:t>
      </w:r>
    </w:p>
  </w:footnote>
  <w:footnote w:id="8">
    <w:p w14:paraId="6712DC7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Criminal Code</w:t>
      </w:r>
      <w:r>
        <w:rPr>
          <w:rFonts w:ascii="Calibri" w:eastAsia="Calibri" w:hAnsi="Calibri" w:cs="Calibri"/>
          <w:sz w:val="20"/>
          <w:szCs w:val="20"/>
        </w:rPr>
        <w:t>, RSC 1985, c C-46, s 425.1(1).</w:t>
      </w:r>
    </w:p>
  </w:footnote>
  <w:footnote w:id="9">
    <w:p w14:paraId="59A1222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s. 425.1(2);  Peter Bowal, “Retaliation Against Whistleblowers is a Crime,” in </w:t>
      </w:r>
      <w:r>
        <w:rPr>
          <w:rFonts w:ascii="Calibri" w:eastAsia="Calibri" w:hAnsi="Calibri" w:cs="Calibri"/>
          <w:i/>
          <w:iCs/>
          <w:sz w:val="20"/>
          <w:szCs w:val="20"/>
        </w:rPr>
        <w:t xml:space="preserve">Feature: Older Laws: Valuable or Vintage?, Law Now </w:t>
      </w:r>
      <w:r>
        <w:rPr>
          <w:rFonts w:ascii="Calibri" w:eastAsia="Calibri" w:hAnsi="Calibri" w:cs="Calibri"/>
          <w:sz w:val="20"/>
          <w:szCs w:val="20"/>
        </w:rPr>
        <w:t>(November/December 2011) &lt;</w:t>
      </w:r>
      <w:hyperlink r:id="rId6">
        <w:r w:rsidR="00822F51">
          <w:rPr>
            <w:rFonts w:ascii="Calibri" w:eastAsia="Calibri" w:hAnsi="Calibri" w:cs="Calibri"/>
            <w:color w:val="1155CC"/>
            <w:sz w:val="20"/>
            <w:szCs w:val="20"/>
            <w:u w:val="single"/>
          </w:rPr>
          <w:t>ucalgary.scholaris.ca/server/api/core/bitstreams/fb58b6e3-cea2-499d-b828-b99332c3ac55/content</w:t>
        </w:r>
      </w:hyperlink>
      <w:r>
        <w:rPr>
          <w:rFonts w:ascii="Calibri" w:eastAsia="Calibri" w:hAnsi="Calibri" w:cs="Calibri"/>
          <w:sz w:val="20"/>
          <w:szCs w:val="20"/>
        </w:rPr>
        <w:t xml:space="preserve">&gt;. </w:t>
      </w:r>
    </w:p>
  </w:footnote>
  <w:footnote w:id="10">
    <w:p w14:paraId="15A88A0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w:t>
      </w:r>
      <w:r>
        <w:rPr>
          <w:rFonts w:ascii="Calibri" w:eastAsia="Calibri" w:hAnsi="Calibri" w:cs="Calibri"/>
          <w:i/>
          <w:iCs/>
          <w:sz w:val="21"/>
          <w:szCs w:val="21"/>
          <w:highlight w:val="white"/>
        </w:rPr>
        <w:t>Anderson v IMTT-Québec</w:t>
      </w:r>
      <w:r>
        <w:rPr>
          <w:rFonts w:ascii="Calibri" w:eastAsia="Calibri" w:hAnsi="Calibri" w:cs="Calibri"/>
          <w:i/>
          <w:iCs/>
          <w:sz w:val="20"/>
          <w:szCs w:val="20"/>
          <w:highlight w:val="white"/>
        </w:rPr>
        <w:t xml:space="preserve"> Inc</w:t>
      </w:r>
      <w:r>
        <w:rPr>
          <w:rFonts w:ascii="Calibri" w:eastAsia="Calibri" w:hAnsi="Calibri" w:cs="Calibri"/>
          <w:sz w:val="20"/>
          <w:szCs w:val="20"/>
          <w:highlight w:val="white"/>
        </w:rPr>
        <w:t>, 2013 FCA 90, 451 NR 177, [2013] FCJ No 346 at paras 40, 44 (FCA).</w:t>
      </w:r>
    </w:p>
  </w:footnote>
  <w:footnote w:id="11">
    <w:p w14:paraId="109FB2AD" w14:textId="5528DB8B" w:rsidR="00310030" w:rsidRPr="00310030" w:rsidRDefault="00310030">
      <w:pPr>
        <w:pStyle w:val="FootnoteText"/>
        <w:rPr>
          <w:lang w:val="en-CA"/>
        </w:rPr>
      </w:pPr>
      <w:r>
        <w:rPr>
          <w:rStyle w:val="FootnoteReference"/>
        </w:rPr>
        <w:footnoteRef/>
      </w:r>
      <w:r>
        <w:t xml:space="preserve"> </w:t>
      </w:r>
      <w:r>
        <w:rPr>
          <w:rFonts w:ascii="Calibri" w:eastAsia="Calibri" w:hAnsi="Calibri" w:cs="Calibri"/>
        </w:rPr>
        <w:t xml:space="preserve">Outside of the criminal context, in </w:t>
      </w:r>
      <w:r>
        <w:rPr>
          <w:rFonts w:ascii="Calibri" w:eastAsia="Calibri" w:hAnsi="Calibri" w:cs="Calibri"/>
          <w:i/>
          <w:iCs/>
        </w:rPr>
        <w:t>Merk v. International Association of Bridge, Structural, Ornamental and Reinforcing Iron Workers</w:t>
      </w:r>
      <w:r>
        <w:rPr>
          <w:rFonts w:ascii="Calibri" w:eastAsia="Calibri" w:hAnsi="Calibri" w:cs="Calibri"/>
        </w:rPr>
        <w:t xml:space="preserve">, the determination for whether a whistleblower is justified in bypassing internal remedies depends on the circumstances, leaving room for a more flexible standard where statute allows — even in penal employment contexts. See: </w:t>
      </w:r>
      <w:hyperlink r:id="rId7">
        <w:r>
          <w:rPr>
            <w:rFonts w:ascii="Calibri" w:eastAsia="Calibri" w:hAnsi="Calibri" w:cs="Calibri"/>
            <w:i/>
            <w:iCs/>
            <w:highlight w:val="white"/>
            <w:u w:val="single"/>
          </w:rPr>
          <w:t>Merk v. International Association of Bridge, Structural, Ornamental and Reinforcing Iron Workers, Local 771</w:t>
        </w:r>
      </w:hyperlink>
      <w:r>
        <w:rPr>
          <w:rFonts w:ascii="Calibri" w:eastAsia="Calibri" w:hAnsi="Calibri" w:cs="Calibri"/>
          <w:highlight w:val="white"/>
        </w:rPr>
        <w:t>, [2005] 3 S.C.R. 425, 2005 SCC 70</w:t>
      </w:r>
      <w:r>
        <w:rPr>
          <w:rFonts w:ascii="Calibri" w:eastAsia="Calibri" w:hAnsi="Calibri" w:cs="Calibri"/>
        </w:rPr>
        <w:t>.</w:t>
      </w:r>
    </w:p>
  </w:footnote>
  <w:footnote w:id="12">
    <w:p w14:paraId="71C53089"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Public Servants Disclosure Protection Act</w:t>
      </w:r>
      <w:r>
        <w:rPr>
          <w:rFonts w:ascii="Calibri" w:eastAsia="Calibri" w:hAnsi="Calibri" w:cs="Calibri"/>
          <w:sz w:val="20"/>
          <w:szCs w:val="20"/>
        </w:rPr>
        <w:t>, SC 2005, c 46, s 2.</w:t>
      </w:r>
    </w:p>
  </w:footnote>
  <w:footnote w:id="13">
    <w:p w14:paraId="34E3FCC5"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 xml:space="preserve">s. 10(1)-(2). </w:t>
      </w:r>
    </w:p>
  </w:footnote>
  <w:footnote w:id="14">
    <w:p w14:paraId="2964D4EE"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ss. 12-13</w:t>
      </w:r>
    </w:p>
  </w:footnote>
  <w:footnote w:id="15">
    <w:p w14:paraId="75EF5CFF" w14:textId="68E61540" w:rsidR="00310030" w:rsidRPr="00310030" w:rsidRDefault="00310030">
      <w:pPr>
        <w:pStyle w:val="FootnoteText"/>
        <w:rPr>
          <w:lang w:val="en-CA"/>
        </w:rPr>
      </w:pPr>
      <w:r>
        <w:rPr>
          <w:rStyle w:val="FootnoteReference"/>
        </w:rPr>
        <w:footnoteRef/>
      </w:r>
      <w:r>
        <w:t xml:space="preserve"> </w:t>
      </w:r>
      <w:r>
        <w:rPr>
          <w:rFonts w:ascii="Calibri" w:eastAsia="Calibri" w:hAnsi="Calibri" w:cs="Calibri"/>
          <w:i/>
          <w:iCs/>
        </w:rPr>
        <w:t>Ibid,</w:t>
      </w:r>
      <w:r>
        <w:rPr>
          <w:rFonts w:ascii="Calibri" w:eastAsia="Calibri" w:hAnsi="Calibri" w:cs="Calibri"/>
        </w:rPr>
        <w:t xml:space="preserve"> ss. 29(1), 39(1); Under Part II of the </w:t>
      </w:r>
      <w:r>
        <w:rPr>
          <w:rFonts w:ascii="Calibri" w:eastAsia="Calibri" w:hAnsi="Calibri" w:cs="Calibri"/>
          <w:i/>
          <w:iCs/>
        </w:rPr>
        <w:t xml:space="preserve">Inquiries Act, </w:t>
      </w:r>
      <w:r>
        <w:rPr>
          <w:rFonts w:ascii="Calibri" w:eastAsia="Calibri" w:hAnsi="Calibri" w:cs="Calibri"/>
        </w:rPr>
        <w:t>Commissioners appointed to investigate a federal department have broad authority to access government premises and records, compel testimony and document production under oath, summon witnesses from anywhere in Canada, and delegate evidence-taking to authorized officers who exercise the same compulsory powers as the commissioners themselves. See:</w:t>
      </w:r>
      <w:r>
        <w:rPr>
          <w:rFonts w:ascii="Calibri" w:eastAsia="Calibri" w:hAnsi="Calibri" w:cs="Calibri"/>
          <w:i/>
          <w:iCs/>
        </w:rPr>
        <w:t xml:space="preserve"> Inquiries Act,</w:t>
      </w:r>
      <w:r>
        <w:rPr>
          <w:rFonts w:ascii="Calibri" w:eastAsia="Calibri" w:hAnsi="Calibri" w:cs="Calibri"/>
        </w:rPr>
        <w:t xml:space="preserve"> R.S.C., 1985, c. I-11, at ss. 6-10.</w:t>
      </w:r>
    </w:p>
  </w:footnote>
  <w:footnote w:id="16">
    <w:p w14:paraId="47F11255"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Public Servants Disclosure Protection Act,</w:t>
      </w:r>
      <w:r>
        <w:rPr>
          <w:rFonts w:ascii="Calibri" w:eastAsia="Calibri" w:hAnsi="Calibri" w:cs="Calibri"/>
          <w:sz w:val="20"/>
          <w:szCs w:val="20"/>
        </w:rPr>
        <w:t xml:space="preserve"> ss. 20, 20.4(1), 21(1).</w:t>
      </w:r>
    </w:p>
  </w:footnote>
  <w:footnote w:id="17">
    <w:p w14:paraId="065917CE"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ss. 20.7, 21(1).</w:t>
      </w:r>
    </w:p>
  </w:footnote>
  <w:footnote w:id="18">
    <w:p w14:paraId="22F2F3E8" w14:textId="7777777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i/>
          <w:iCs/>
          <w:sz w:val="20"/>
          <w:szCs w:val="20"/>
        </w:rPr>
        <w:t>Haydon v. Canada</w:t>
      </w:r>
      <w:r>
        <w:rPr>
          <w:rFonts w:ascii="Calibri" w:eastAsia="Calibri" w:hAnsi="Calibri" w:cs="Calibri"/>
          <w:sz w:val="20"/>
          <w:szCs w:val="20"/>
        </w:rPr>
        <w:t>, [2001] 2 F.C. 82</w:t>
      </w:r>
    </w:p>
  </w:footnote>
  <w:footnote w:id="19">
    <w:p w14:paraId="5D83DC5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Public Servants Disclosure Protection Act, </w:t>
      </w:r>
      <w:r>
        <w:rPr>
          <w:rFonts w:ascii="Calibri" w:eastAsia="Calibri" w:hAnsi="Calibri" w:cs="Calibri"/>
          <w:sz w:val="20"/>
          <w:szCs w:val="20"/>
        </w:rPr>
        <w:t xml:space="preserve">ss. 13(2); </w:t>
      </w:r>
      <w:r>
        <w:rPr>
          <w:rFonts w:ascii="Calibri" w:eastAsia="Calibri" w:hAnsi="Calibri" w:cs="Calibri"/>
          <w:i/>
          <w:iCs/>
          <w:sz w:val="20"/>
          <w:szCs w:val="20"/>
        </w:rPr>
        <w:t>Ibid</w:t>
      </w:r>
      <w:r>
        <w:rPr>
          <w:rFonts w:ascii="Calibri" w:eastAsia="Calibri" w:hAnsi="Calibri" w:cs="Calibri"/>
          <w:sz w:val="20"/>
          <w:szCs w:val="20"/>
        </w:rPr>
        <w:t xml:space="preserve">. </w:t>
      </w:r>
    </w:p>
  </w:footnote>
  <w:footnote w:id="20">
    <w:p w14:paraId="26A95711"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Office of the Public Sector Integrity Commissioner of Canada, “Funding the Whistleblower Regime,” online: &lt;</w:t>
      </w:r>
      <w:hyperlink r:id="rId8">
        <w:r w:rsidR="00822F51">
          <w:rPr>
            <w:rFonts w:ascii="Calibri" w:eastAsia="Calibri" w:hAnsi="Calibri" w:cs="Calibri"/>
            <w:color w:val="1155CC"/>
            <w:sz w:val="20"/>
            <w:szCs w:val="20"/>
            <w:u w:val="single"/>
          </w:rPr>
          <w:t>psic-ispc.gc.ca/</w:t>
        </w:r>
        <w:proofErr w:type="spellStart"/>
        <w:r w:rsidR="00822F51">
          <w:rPr>
            <w:rFonts w:ascii="Calibri" w:eastAsia="Calibri" w:hAnsi="Calibri" w:cs="Calibri"/>
            <w:color w:val="1155CC"/>
            <w:sz w:val="20"/>
            <w:szCs w:val="20"/>
            <w:u w:val="single"/>
          </w:rPr>
          <w:t>en</w:t>
        </w:r>
        <w:proofErr w:type="spellEnd"/>
        <w:r w:rsidR="00822F51">
          <w:rPr>
            <w:rFonts w:ascii="Calibri" w:eastAsia="Calibri" w:hAnsi="Calibri" w:cs="Calibri"/>
            <w:color w:val="1155CC"/>
            <w:sz w:val="20"/>
            <w:szCs w:val="20"/>
            <w:u w:val="single"/>
          </w:rPr>
          <w:t>/funding-whistleblower-regime</w:t>
        </w:r>
      </w:hyperlink>
      <w:r>
        <w:rPr>
          <w:rFonts w:ascii="Calibri" w:eastAsia="Calibri" w:hAnsi="Calibri" w:cs="Calibri"/>
          <w:sz w:val="20"/>
          <w:szCs w:val="20"/>
        </w:rPr>
        <w:t>&gt;.</w:t>
      </w:r>
    </w:p>
  </w:footnote>
  <w:footnote w:id="21">
    <w:p w14:paraId="497DF001" w14:textId="77777777" w:rsidR="00822F51" w:rsidRDefault="001A22F2">
      <w:pPr>
        <w:spacing w:line="240" w:lineRule="auto"/>
        <w:rPr>
          <w:sz w:val="20"/>
          <w:szCs w:val="20"/>
        </w:rPr>
      </w:pPr>
      <w:r>
        <w:rPr>
          <w:vertAlign w:val="superscript"/>
        </w:rPr>
        <w:footnoteRef/>
      </w:r>
      <w:r>
        <w:rPr>
          <w:rFonts w:ascii="Calibri" w:eastAsia="Calibri" w:hAnsi="Calibri" w:cs="Calibri"/>
          <w:sz w:val="20"/>
          <w:szCs w:val="20"/>
        </w:rPr>
        <w:t xml:space="preserve">Tom Devine, Government Accountability Project, </w:t>
      </w:r>
      <w:r>
        <w:rPr>
          <w:rFonts w:ascii="Calibri" w:eastAsia="Calibri" w:hAnsi="Calibri" w:cs="Calibri"/>
          <w:i/>
          <w:iCs/>
          <w:sz w:val="20"/>
          <w:szCs w:val="20"/>
        </w:rPr>
        <w:t>Brief to the Standing Committee on Government Operations and Estimates</w:t>
      </w:r>
      <w:r>
        <w:rPr>
          <w:rFonts w:ascii="Calibri" w:eastAsia="Calibri" w:hAnsi="Calibri" w:cs="Calibri"/>
          <w:sz w:val="20"/>
          <w:szCs w:val="20"/>
        </w:rPr>
        <w:t xml:space="preserve"> (25 October 2023), online: &lt;</w:t>
      </w:r>
      <w:hyperlink r:id="rId9">
        <w:r w:rsidR="00822F51">
          <w:rPr>
            <w:rFonts w:ascii="Calibri" w:eastAsia="Calibri" w:hAnsi="Calibri" w:cs="Calibri"/>
            <w:color w:val="1155CC"/>
            <w:sz w:val="20"/>
            <w:szCs w:val="20"/>
            <w:u w:val="single"/>
          </w:rPr>
          <w:t>www.ourcommons.ca/Content/Committee/441/OGGO/Brief/BR12420054/br-external/GovernmentAccountabilityProject-e.pdf</w:t>
        </w:r>
      </w:hyperlink>
      <w:r>
        <w:rPr>
          <w:rFonts w:ascii="Calibri" w:eastAsia="Calibri" w:hAnsi="Calibri" w:cs="Calibri"/>
          <w:sz w:val="20"/>
          <w:szCs w:val="20"/>
        </w:rPr>
        <w:t>&gt;.</w:t>
      </w:r>
    </w:p>
  </w:footnote>
  <w:footnote w:id="22">
    <w:p w14:paraId="7F6D457A" w14:textId="77777777" w:rsidR="00822F51" w:rsidRDefault="001A22F2">
      <w:pPr>
        <w:spacing w:line="240" w:lineRule="auto"/>
        <w:rPr>
          <w:sz w:val="20"/>
          <w:szCs w:val="20"/>
        </w:rPr>
      </w:pPr>
      <w:r>
        <w:rPr>
          <w:vertAlign w:val="superscript"/>
        </w:rPr>
        <w:footnoteRef/>
      </w:r>
      <w:r>
        <w:rPr>
          <w:rFonts w:ascii="Calibri" w:eastAsia="Calibri" w:hAnsi="Calibri" w:cs="Calibri"/>
          <w:sz w:val="20"/>
          <w:szCs w:val="20"/>
        </w:rPr>
        <w:t>The Government Accountability Project identifies twenty core International Best Practices for effective whistleblower protection, as identified in this report’s Appendix. See: Tom Devine, “International Best Practices for Whistleblower Policies” (November 25, 2015) (Government Accountability Project), online: &lt;</w:t>
      </w:r>
      <w:hyperlink r:id="rId10">
        <w:r w:rsidR="00822F51">
          <w:rPr>
            <w:rFonts w:ascii="Calibri" w:eastAsia="Calibri" w:hAnsi="Calibri" w:cs="Calibri"/>
            <w:color w:val="1155CC"/>
            <w:sz w:val="20"/>
            <w:szCs w:val="20"/>
            <w:u w:val="single"/>
          </w:rPr>
          <w:t>www.ourcommons.ca/content/Committee/421/OGGO/WebDoc/WD8991016/421_OGGO_reldoc_PDF/DevineTom-e.pdf</w:t>
        </w:r>
      </w:hyperlink>
      <w:r>
        <w:rPr>
          <w:rFonts w:ascii="Calibri" w:eastAsia="Calibri" w:hAnsi="Calibri" w:cs="Calibri"/>
          <w:sz w:val="20"/>
          <w:szCs w:val="20"/>
        </w:rPr>
        <w:t>&gt;.  See Also:</w:t>
      </w:r>
      <w:r>
        <w:rPr>
          <w:sz w:val="20"/>
          <w:szCs w:val="20"/>
        </w:rPr>
        <w:t xml:space="preserve"> </w:t>
      </w:r>
      <w:r>
        <w:rPr>
          <w:rFonts w:ascii="Calibri" w:eastAsia="Calibri" w:hAnsi="Calibri" w:cs="Calibri"/>
          <w:sz w:val="20"/>
          <w:szCs w:val="20"/>
        </w:rPr>
        <w:t xml:space="preserve">Devine, Government Accountability Project, </w:t>
      </w:r>
      <w:r>
        <w:rPr>
          <w:rFonts w:ascii="Calibri" w:eastAsia="Calibri" w:hAnsi="Calibri" w:cs="Calibri"/>
          <w:i/>
          <w:iCs/>
          <w:sz w:val="20"/>
          <w:szCs w:val="20"/>
        </w:rPr>
        <w:t>Brief to the Standing Committee on Government Operations and Estimates, supra</w:t>
      </w:r>
      <w:r>
        <w:rPr>
          <w:rFonts w:ascii="Calibri" w:eastAsia="Calibri" w:hAnsi="Calibri" w:cs="Calibri"/>
          <w:sz w:val="20"/>
          <w:szCs w:val="20"/>
        </w:rPr>
        <w:t xml:space="preserve"> note 21. </w:t>
      </w:r>
    </w:p>
  </w:footnote>
  <w:footnote w:id="23">
    <w:p w14:paraId="747EE6F7" w14:textId="438DEA4F" w:rsidR="00310030" w:rsidRPr="00310030" w:rsidRDefault="00310030">
      <w:pPr>
        <w:pStyle w:val="FootnoteText"/>
        <w:rPr>
          <w:lang w:val="en-CA"/>
        </w:rPr>
      </w:pPr>
      <w:r>
        <w:rPr>
          <w:rStyle w:val="FootnoteReference"/>
        </w:rPr>
        <w:footnoteRef/>
      </w:r>
      <w:r>
        <w:t xml:space="preserve"> </w:t>
      </w:r>
      <w:r>
        <w:rPr>
          <w:rFonts w:ascii="Calibri" w:eastAsia="Calibri" w:hAnsi="Calibri" w:cs="Calibri"/>
        </w:rPr>
        <w:t xml:space="preserve">Devine, Government Accountability Project, </w:t>
      </w:r>
      <w:r>
        <w:rPr>
          <w:rFonts w:ascii="Calibri" w:eastAsia="Calibri" w:hAnsi="Calibri" w:cs="Calibri"/>
          <w:i/>
          <w:iCs/>
        </w:rPr>
        <w:t>Brief to the Standing Committee on Government Operations and Estimates, supra</w:t>
      </w:r>
      <w:r>
        <w:rPr>
          <w:rFonts w:ascii="Calibri" w:eastAsia="Calibri" w:hAnsi="Calibri" w:cs="Calibri"/>
        </w:rPr>
        <w:t xml:space="preserve"> note 21. The first statutory review of the PSDPA was not completed in 2011 as required</w:t>
      </w:r>
      <w:r w:rsidR="00E17A21">
        <w:rPr>
          <w:rFonts w:ascii="Calibri" w:eastAsia="Calibri" w:hAnsi="Calibri" w:cs="Calibri"/>
        </w:rPr>
        <w:t xml:space="preserve">. </w:t>
      </w:r>
      <w:r>
        <w:rPr>
          <w:rFonts w:ascii="Calibri" w:eastAsia="Calibri" w:hAnsi="Calibri" w:cs="Calibri"/>
        </w:rPr>
        <w:t>In 2022, the Treasury Board Secretariat, the body responsible for initiating statutory reviews, launched a review through an expert task force mandated to recommend amendments and modernize the PSDPA. However, the task force has not released its anticipated 2024 report and has provided no update on a revised timeline. See: Treasury Board of Canada Secretariat, “Terms of Reference: Review of the Public Servants Disclosure Protection Act,” online: &lt;</w:t>
      </w:r>
      <w:hyperlink r:id="rId11">
        <w:r>
          <w:rPr>
            <w:rFonts w:ascii="Calibri" w:eastAsia="Calibri" w:hAnsi="Calibri" w:cs="Calibri"/>
            <w:color w:val="1155CC"/>
            <w:u w:val="single"/>
          </w:rPr>
          <w:t>www.canada.ca/en/treasury-board-secretariat/topics/values-ethics/disclosure-protection/review-public-servants-disclosure-protection-act/terms-reference.html</w:t>
        </w:r>
      </w:hyperlink>
      <w:r>
        <w:rPr>
          <w:rFonts w:ascii="Calibri" w:eastAsia="Calibri" w:hAnsi="Calibri" w:cs="Calibri"/>
        </w:rPr>
        <w:t xml:space="preserve">&gt;; Pamela Forward, </w:t>
      </w:r>
      <w:r>
        <w:rPr>
          <w:rFonts w:ascii="Calibri" w:eastAsia="Calibri" w:hAnsi="Calibri" w:cs="Calibri"/>
          <w:i/>
          <w:iCs/>
        </w:rPr>
        <w:t xml:space="preserve">Letter to the Prime Minister </w:t>
      </w:r>
      <w:r>
        <w:rPr>
          <w:rFonts w:ascii="Calibri" w:eastAsia="Calibri" w:hAnsi="Calibri" w:cs="Calibri"/>
        </w:rPr>
        <w:t>(21 August 2025), Whistleblowing Canada, online: &lt;</w:t>
      </w:r>
      <w:hyperlink r:id="rId12">
        <w:r>
          <w:rPr>
            <w:rFonts w:ascii="Calibri" w:eastAsia="Calibri" w:hAnsi="Calibri" w:cs="Calibri"/>
            <w:color w:val="1155CC"/>
            <w:u w:val="single"/>
          </w:rPr>
          <w:t>assets.nationbuilder.com/whistleblowingcanada/pages/71/attachments/original/1758815603/Letter_to_PM_Aug._21__2025.docx_2.pdf?1758815603</w:t>
        </w:r>
      </w:hyperlink>
      <w:r>
        <w:rPr>
          <w:rFonts w:ascii="Calibri" w:eastAsia="Calibri" w:hAnsi="Calibri" w:cs="Calibri"/>
        </w:rPr>
        <w:t>&gt;.</w:t>
      </w:r>
    </w:p>
  </w:footnote>
  <w:footnote w:id="24">
    <w:p w14:paraId="0E166067" w14:textId="4C326352" w:rsidR="00155F46" w:rsidRPr="00155F46" w:rsidRDefault="00155F46">
      <w:pPr>
        <w:pStyle w:val="FootnoteText"/>
        <w:rPr>
          <w:lang w:val="en-CA"/>
        </w:rPr>
      </w:pPr>
      <w:r>
        <w:rPr>
          <w:rStyle w:val="FootnoteReference"/>
        </w:rPr>
        <w:footnoteRef/>
      </w:r>
      <w:r>
        <w:t xml:space="preserve"> </w:t>
      </w:r>
      <w:r w:rsidRPr="00155F46">
        <w:rPr>
          <w:rFonts w:ascii="Calibri" w:hAnsi="Calibri" w:cs="Calibri"/>
          <w:lang w:val="en-CA"/>
        </w:rPr>
        <w:t>This report was conducted by the OGGO, not</w:t>
      </w:r>
      <w:r w:rsidR="006F02D7">
        <w:rPr>
          <w:rFonts w:ascii="Calibri" w:hAnsi="Calibri" w:cs="Calibri"/>
          <w:lang w:val="en-CA"/>
        </w:rPr>
        <w:t xml:space="preserve"> initiated by</w:t>
      </w:r>
      <w:r w:rsidRPr="00155F46">
        <w:rPr>
          <w:rFonts w:ascii="Calibri" w:hAnsi="Calibri" w:cs="Calibri"/>
          <w:lang w:val="en-CA"/>
        </w:rPr>
        <w:t xml:space="preserve"> the Treasury Board Secretariat, and thus fails to meet the statutory obligation </w:t>
      </w:r>
      <w:r>
        <w:rPr>
          <w:rFonts w:ascii="Calibri" w:hAnsi="Calibri" w:cs="Calibri"/>
          <w:lang w:val="en-CA"/>
        </w:rPr>
        <w:t xml:space="preserve">regarding the </w:t>
      </w:r>
      <w:r w:rsidRPr="00155F46">
        <w:rPr>
          <w:rFonts w:ascii="Calibri" w:hAnsi="Calibri" w:cs="Calibri"/>
          <w:lang w:val="en-CA"/>
        </w:rPr>
        <w:t xml:space="preserve">five-year review </w:t>
      </w:r>
      <w:r>
        <w:rPr>
          <w:rFonts w:ascii="Calibri" w:hAnsi="Calibri" w:cs="Calibri"/>
          <w:lang w:val="en-CA"/>
        </w:rPr>
        <w:t xml:space="preserve">required </w:t>
      </w:r>
      <w:r w:rsidRPr="00155F46">
        <w:rPr>
          <w:rFonts w:ascii="Calibri" w:hAnsi="Calibri" w:cs="Calibri"/>
          <w:lang w:val="en-CA"/>
        </w:rPr>
        <w:t xml:space="preserve">under s. 54 of the </w:t>
      </w:r>
      <w:r w:rsidRPr="00155F46">
        <w:rPr>
          <w:rFonts w:ascii="Calibri" w:hAnsi="Calibri" w:cs="Calibri"/>
          <w:i/>
          <w:iCs/>
          <w:lang w:val="en-CA"/>
        </w:rPr>
        <w:t>PSDPA.</w:t>
      </w:r>
      <w:r w:rsidRPr="00155F46">
        <w:rPr>
          <w:rFonts w:ascii="Calibri" w:hAnsi="Calibri" w:cs="Calibri"/>
          <w:lang w:val="en-CA"/>
        </w:rPr>
        <w:t xml:space="preserve"> See: </w:t>
      </w:r>
      <w:r>
        <w:rPr>
          <w:rFonts w:ascii="Calibri" w:hAnsi="Calibri" w:cs="Calibri"/>
          <w:i/>
          <w:iCs/>
          <w:lang w:val="en-CA"/>
        </w:rPr>
        <w:t>s</w:t>
      </w:r>
      <w:r w:rsidRPr="00155F46">
        <w:rPr>
          <w:rFonts w:ascii="Calibri" w:hAnsi="Calibri" w:cs="Calibri"/>
          <w:i/>
          <w:iCs/>
          <w:lang w:val="en-CA"/>
        </w:rPr>
        <w:t>upra</w:t>
      </w:r>
      <w:r w:rsidRPr="00155F46">
        <w:rPr>
          <w:rFonts w:ascii="Calibri" w:hAnsi="Calibri" w:cs="Calibri"/>
          <w:lang w:val="en-CA"/>
        </w:rPr>
        <w:t xml:space="preserve"> note 5</w:t>
      </w:r>
      <w:r>
        <w:rPr>
          <w:rFonts w:ascii="Calibri" w:hAnsi="Calibri" w:cs="Calibri"/>
          <w:lang w:val="en-CA"/>
        </w:rPr>
        <w:t xml:space="preserve">; </w:t>
      </w:r>
      <w:r>
        <w:rPr>
          <w:rFonts w:ascii="Calibri" w:eastAsia="Calibri" w:hAnsi="Calibri" w:cs="Calibri"/>
          <w:i/>
          <w:iCs/>
        </w:rPr>
        <w:t>Public Servants Disclosure Protection Act,</w:t>
      </w:r>
      <w:r>
        <w:rPr>
          <w:rFonts w:ascii="Calibri" w:eastAsia="Calibri" w:hAnsi="Calibri" w:cs="Calibri"/>
        </w:rPr>
        <w:t xml:space="preserve"> s. 54.</w:t>
      </w:r>
    </w:p>
  </w:footnote>
  <w:footnote w:id="25">
    <w:p w14:paraId="3A696A4C" w14:textId="0BC51ABF" w:rsidR="00310030" w:rsidRPr="00310030" w:rsidRDefault="00310030">
      <w:pPr>
        <w:pStyle w:val="FootnoteText"/>
        <w:rPr>
          <w:lang w:val="en-CA"/>
        </w:rPr>
      </w:pPr>
      <w:r>
        <w:rPr>
          <w:rStyle w:val="FootnoteReference"/>
        </w:rPr>
        <w:footnoteRef/>
      </w:r>
      <w:r>
        <w:t xml:space="preserve"> </w:t>
      </w:r>
      <w:r>
        <w:rPr>
          <w:rFonts w:ascii="Calibri" w:eastAsia="Calibri" w:hAnsi="Calibri" w:cs="Calibri"/>
        </w:rPr>
        <w:t xml:space="preserve">Proposed reforms in Bill C-290 would have improved alignment to approximately eight of twenty best practices, including by expanding coverage, removing the good-faith requirement, broadening the definition of reprisal, strengthening remedial and sanctioning powers, extending limitation periods, and enhancing investigative authority. However, Bill C-290 would still leave core deficiencies, such as sector-limited scope, reverse </w:t>
      </w:r>
      <w:r w:rsidR="00360D43">
        <w:rPr>
          <w:rFonts w:ascii="Calibri" w:eastAsia="Calibri" w:hAnsi="Calibri" w:cs="Calibri"/>
        </w:rPr>
        <w:t>onus, lack</w:t>
      </w:r>
      <w:r>
        <w:rPr>
          <w:rFonts w:ascii="Calibri" w:eastAsia="Calibri" w:hAnsi="Calibri" w:cs="Calibri"/>
        </w:rPr>
        <w:t xml:space="preserve"> of interim relief, and weak confidentiality protections, unaddressed. See: Canada, Senate, </w:t>
      </w:r>
      <w:r>
        <w:rPr>
          <w:rFonts w:ascii="Calibri" w:eastAsia="Calibri" w:hAnsi="Calibri" w:cs="Calibri"/>
          <w:i/>
          <w:iCs/>
        </w:rPr>
        <w:t>Debates of the Senate</w:t>
      </w:r>
      <w:r>
        <w:rPr>
          <w:rFonts w:ascii="Calibri" w:eastAsia="Calibri" w:hAnsi="Calibri" w:cs="Calibri"/>
        </w:rPr>
        <w:t xml:space="preserve">, 1st </w:t>
      </w:r>
      <w:proofErr w:type="spellStart"/>
      <w:r>
        <w:rPr>
          <w:rFonts w:ascii="Calibri" w:eastAsia="Calibri" w:hAnsi="Calibri" w:cs="Calibri"/>
        </w:rPr>
        <w:t>Sess</w:t>
      </w:r>
      <w:proofErr w:type="spellEnd"/>
      <w:r>
        <w:rPr>
          <w:rFonts w:ascii="Calibri" w:eastAsia="Calibri" w:hAnsi="Calibri" w:cs="Calibri"/>
        </w:rPr>
        <w:t xml:space="preserve">, 44th </w:t>
      </w:r>
      <w:proofErr w:type="spellStart"/>
      <w:r>
        <w:rPr>
          <w:rFonts w:ascii="Calibri" w:eastAsia="Calibri" w:hAnsi="Calibri" w:cs="Calibri"/>
        </w:rPr>
        <w:t>Parl</w:t>
      </w:r>
      <w:proofErr w:type="spellEnd"/>
      <w:r>
        <w:rPr>
          <w:rFonts w:ascii="Calibri" w:eastAsia="Calibri" w:hAnsi="Calibri" w:cs="Calibri"/>
        </w:rPr>
        <w:t>, Volume 153, Issue 234 (31 October 2024) (Hon. Hassan Yussuff), online: &lt;</w:t>
      </w:r>
      <w:hyperlink r:id="rId13">
        <w:r>
          <w:rPr>
            <w:rFonts w:ascii="Calibri" w:eastAsia="Calibri" w:hAnsi="Calibri" w:cs="Calibri"/>
            <w:color w:val="1155CC"/>
            <w:u w:val="single"/>
          </w:rPr>
          <w:t>sencanada.ca/en/content/sen/chamber/441/debates/234db_2024-10-31-e?language=e</w:t>
        </w:r>
      </w:hyperlink>
      <w:r>
        <w:rPr>
          <w:rFonts w:ascii="Calibri" w:eastAsia="Calibri" w:hAnsi="Calibri" w:cs="Calibri"/>
        </w:rPr>
        <w:t xml:space="preserve">&gt;; Devine, Government Accountability Project, </w:t>
      </w:r>
      <w:r>
        <w:rPr>
          <w:rFonts w:ascii="Calibri" w:eastAsia="Calibri" w:hAnsi="Calibri" w:cs="Calibri"/>
          <w:i/>
          <w:iCs/>
        </w:rPr>
        <w:t>Brief to the Standing Committee on Government Operations and Estimates, supra</w:t>
      </w:r>
      <w:r>
        <w:rPr>
          <w:rFonts w:ascii="Calibri" w:eastAsia="Calibri" w:hAnsi="Calibri" w:cs="Calibri"/>
        </w:rPr>
        <w:t xml:space="preserve"> note 21.</w:t>
      </w:r>
    </w:p>
  </w:footnote>
  <w:footnote w:id="26">
    <w:p w14:paraId="5665FBE2" w14:textId="091151B4" w:rsidR="00310030" w:rsidRPr="00310030" w:rsidRDefault="00310030">
      <w:pPr>
        <w:pStyle w:val="FootnoteText"/>
        <w:rPr>
          <w:lang w:val="en-CA"/>
        </w:rPr>
      </w:pPr>
      <w:r>
        <w:rPr>
          <w:rStyle w:val="FootnoteReference"/>
        </w:rPr>
        <w:footnoteRef/>
      </w:r>
      <w:r>
        <w:t xml:space="preserve"> </w:t>
      </w:r>
      <w:r>
        <w:rPr>
          <w:rFonts w:ascii="Calibri" w:eastAsia="Calibri" w:hAnsi="Calibri" w:cs="Calibri"/>
        </w:rPr>
        <w:t xml:space="preserve">See: </w:t>
      </w:r>
      <w:r>
        <w:rPr>
          <w:rFonts w:ascii="Calibri" w:eastAsia="Calibri" w:hAnsi="Calibri" w:cs="Calibri"/>
          <w:i/>
          <w:iCs/>
        </w:rPr>
        <w:t>Public Interest Disclosure (Whistleblower Protection) Ac</w:t>
      </w:r>
      <w:r>
        <w:rPr>
          <w:rFonts w:ascii="Calibri" w:eastAsia="Calibri" w:hAnsi="Calibri" w:cs="Calibri"/>
        </w:rPr>
        <w:t xml:space="preserve">t, SA 2012, c P39.5 (Alberta); </w:t>
      </w:r>
      <w:r>
        <w:rPr>
          <w:rFonts w:ascii="Calibri" w:eastAsia="Calibri" w:hAnsi="Calibri" w:cs="Calibri"/>
          <w:i/>
          <w:iCs/>
        </w:rPr>
        <w:t>Public Interest Disclosure Act</w:t>
      </w:r>
      <w:r>
        <w:rPr>
          <w:rFonts w:ascii="Calibri" w:eastAsia="Calibri" w:hAnsi="Calibri" w:cs="Calibri"/>
        </w:rPr>
        <w:t xml:space="preserve">, SBC 2018, c 22 (British Columbia); </w:t>
      </w:r>
      <w:r>
        <w:rPr>
          <w:rFonts w:ascii="Calibri" w:eastAsia="Calibri" w:hAnsi="Calibri" w:cs="Calibri"/>
          <w:i/>
          <w:iCs/>
        </w:rPr>
        <w:t>The Public Interest Disclosure (Whistleblower Protection) Act</w:t>
      </w:r>
      <w:r>
        <w:rPr>
          <w:rFonts w:ascii="Calibri" w:eastAsia="Calibri" w:hAnsi="Calibri" w:cs="Calibri"/>
        </w:rPr>
        <w:t>, SM 2006, c 35 (Manitoba);</w:t>
      </w:r>
      <w:r>
        <w:rPr>
          <w:rFonts w:ascii="Calibri" w:eastAsia="Calibri" w:hAnsi="Calibri" w:cs="Calibri"/>
          <w:i/>
          <w:iCs/>
        </w:rPr>
        <w:t xml:space="preserve"> Public Interest Disclosure Act</w:t>
      </w:r>
      <w:r>
        <w:rPr>
          <w:rFonts w:ascii="Calibri" w:eastAsia="Calibri" w:hAnsi="Calibri" w:cs="Calibri"/>
        </w:rPr>
        <w:t xml:space="preserve">, RSNB 2012, c 112 (New Brunswick); </w:t>
      </w:r>
      <w:r>
        <w:rPr>
          <w:rFonts w:ascii="Calibri" w:eastAsia="Calibri" w:hAnsi="Calibri" w:cs="Calibri"/>
          <w:i/>
          <w:iCs/>
        </w:rPr>
        <w:t>Public Interest Disclosure and Whistleblower Protection Act</w:t>
      </w:r>
      <w:r>
        <w:rPr>
          <w:rFonts w:ascii="Calibri" w:eastAsia="Calibri" w:hAnsi="Calibri" w:cs="Calibri"/>
        </w:rPr>
        <w:t xml:space="preserve">, SNL 2014, c P-37.2 (Newfoundland and Labrador); </w:t>
      </w:r>
      <w:r>
        <w:rPr>
          <w:rFonts w:ascii="Calibri" w:eastAsia="Calibri" w:hAnsi="Calibri" w:cs="Calibri"/>
          <w:i/>
          <w:iCs/>
        </w:rPr>
        <w:t>Public Interest Disclosure of Wrongdoing Act</w:t>
      </w:r>
      <w:r>
        <w:rPr>
          <w:rFonts w:ascii="Calibri" w:eastAsia="Calibri" w:hAnsi="Calibri" w:cs="Calibri"/>
        </w:rPr>
        <w:t xml:space="preserve">, SNS 2010, c 42 (Nova Scotia); </w:t>
      </w:r>
      <w:r>
        <w:rPr>
          <w:rFonts w:ascii="Calibri" w:eastAsia="Calibri" w:hAnsi="Calibri" w:cs="Calibri"/>
          <w:i/>
          <w:iCs/>
        </w:rPr>
        <w:t>Public Interest Disclosure and Whistleblower Protection Act,</w:t>
      </w:r>
      <w:r>
        <w:rPr>
          <w:rFonts w:ascii="Calibri" w:eastAsia="Calibri" w:hAnsi="Calibri" w:cs="Calibri"/>
        </w:rPr>
        <w:t xml:space="preserve"> RSPEI 1988, c P-31.01 (Prince Edward Island); </w:t>
      </w:r>
      <w:r>
        <w:rPr>
          <w:rFonts w:ascii="Calibri" w:eastAsia="Calibri" w:hAnsi="Calibri" w:cs="Calibri"/>
          <w:i/>
          <w:iCs/>
        </w:rPr>
        <w:t>Act to facilitate the disclosure of wrongdoings relating to public bodies</w:t>
      </w:r>
      <w:r>
        <w:rPr>
          <w:rFonts w:ascii="Calibri" w:eastAsia="Calibri" w:hAnsi="Calibri" w:cs="Calibri"/>
        </w:rPr>
        <w:t xml:space="preserve">, CQLR, c D-11.1 (Quebec); </w:t>
      </w:r>
      <w:r>
        <w:rPr>
          <w:rFonts w:ascii="Calibri" w:eastAsia="Calibri" w:hAnsi="Calibri" w:cs="Calibri"/>
          <w:i/>
          <w:iCs/>
        </w:rPr>
        <w:t>The Public Interest Disclosure Act</w:t>
      </w:r>
      <w:r>
        <w:rPr>
          <w:rFonts w:ascii="Calibri" w:eastAsia="Calibri" w:hAnsi="Calibri" w:cs="Calibri"/>
        </w:rPr>
        <w:t xml:space="preserve">, S.S. 2011, c. P-38.1 (Saskatchewan); </w:t>
      </w:r>
      <w:r>
        <w:rPr>
          <w:rFonts w:ascii="Calibri" w:eastAsia="Calibri" w:hAnsi="Calibri" w:cs="Calibri"/>
          <w:i/>
          <w:iCs/>
        </w:rPr>
        <w:t>Public Interest Disclosure Of Wrongdoing Ac</w:t>
      </w:r>
      <w:r>
        <w:rPr>
          <w:rFonts w:ascii="Calibri" w:eastAsia="Calibri" w:hAnsi="Calibri" w:cs="Calibri"/>
        </w:rPr>
        <w:t>t, SY 2014, c 19 (Yukon).</w:t>
      </w:r>
    </w:p>
  </w:footnote>
  <w:footnote w:id="27">
    <w:p w14:paraId="4E5955B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Public Service of Ontario Act</w:t>
      </w:r>
      <w:r>
        <w:rPr>
          <w:rFonts w:ascii="Calibri" w:eastAsia="Calibri" w:hAnsi="Calibri" w:cs="Calibri"/>
          <w:sz w:val="20"/>
          <w:szCs w:val="20"/>
        </w:rPr>
        <w:t>, 2006, SO 2006, c 35, Sch A, ss 103–150, online: &lt;</w:t>
      </w:r>
      <w:hyperlink r:id="rId14">
        <w:r w:rsidR="00822F51">
          <w:rPr>
            <w:rFonts w:ascii="Calibri" w:eastAsia="Calibri" w:hAnsi="Calibri" w:cs="Calibri"/>
            <w:color w:val="1155CC"/>
            <w:sz w:val="20"/>
            <w:szCs w:val="20"/>
            <w:u w:val="single"/>
          </w:rPr>
          <w:t>www.ontario.ca/laws/statute/06p35</w:t>
        </w:r>
      </w:hyperlink>
      <w:r>
        <w:rPr>
          <w:rFonts w:ascii="Calibri" w:eastAsia="Calibri" w:hAnsi="Calibri" w:cs="Calibri"/>
          <w:sz w:val="20"/>
          <w:szCs w:val="20"/>
        </w:rPr>
        <w:t>&gt;;</w:t>
      </w:r>
      <w:r>
        <w:rPr>
          <w:rFonts w:ascii="Calibri" w:eastAsia="Calibri" w:hAnsi="Calibri" w:cs="Calibri"/>
          <w:i/>
          <w:iCs/>
          <w:sz w:val="20"/>
          <w:szCs w:val="20"/>
        </w:rPr>
        <w:t xml:space="preserve"> Public Service Act</w:t>
      </w:r>
      <w:r>
        <w:rPr>
          <w:rFonts w:ascii="Calibri" w:eastAsia="Calibri" w:hAnsi="Calibri" w:cs="Calibri"/>
          <w:sz w:val="20"/>
          <w:szCs w:val="20"/>
        </w:rPr>
        <w:t>, SNWT 2007, c 25 ( Nunavut Public Service Act consolidation), ss 38–54, online: &lt;</w:t>
      </w:r>
      <w:hyperlink r:id="rId15">
        <w:r w:rsidR="00822F51">
          <w:rPr>
            <w:rFonts w:ascii="Calibri" w:eastAsia="Calibri" w:hAnsi="Calibri" w:cs="Calibri"/>
            <w:color w:val="1155CC"/>
            <w:sz w:val="20"/>
            <w:szCs w:val="20"/>
            <w:u w:val="single"/>
          </w:rPr>
          <w:t>www.nunavutlegislation.ca/en/consolidated-law/public-service-act-official-consolidation</w:t>
        </w:r>
      </w:hyperlink>
      <w:r>
        <w:rPr>
          <w:rFonts w:ascii="Calibri" w:eastAsia="Calibri" w:hAnsi="Calibri" w:cs="Calibri"/>
          <w:sz w:val="20"/>
          <w:szCs w:val="20"/>
        </w:rPr>
        <w:t>&gt;.</w:t>
      </w:r>
    </w:p>
  </w:footnote>
  <w:footnote w:id="28">
    <w:p w14:paraId="543A9F0E"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Daniel Kim, Transparency International Canada, </w:t>
      </w:r>
      <w:r>
        <w:rPr>
          <w:rFonts w:ascii="Calibri" w:eastAsia="Calibri" w:hAnsi="Calibri" w:cs="Calibri"/>
          <w:i/>
          <w:iCs/>
          <w:sz w:val="20"/>
          <w:szCs w:val="20"/>
        </w:rPr>
        <w:t>Report on Whistleblower Protections in Canada</w:t>
      </w:r>
      <w:r>
        <w:rPr>
          <w:rFonts w:ascii="Calibri" w:eastAsia="Calibri" w:hAnsi="Calibri" w:cs="Calibri"/>
          <w:sz w:val="20"/>
          <w:szCs w:val="20"/>
        </w:rPr>
        <w:t xml:space="preserve"> (Toronto: Transparency International Canada, April 2015), online: &lt;</w:t>
      </w:r>
      <w:hyperlink r:id="rId16">
        <w:r w:rsidR="00822F51">
          <w:rPr>
            <w:rFonts w:ascii="Calibri" w:eastAsia="Calibri" w:hAnsi="Calibri" w:cs="Calibri"/>
            <w:color w:val="1155CC"/>
            <w:sz w:val="20"/>
            <w:szCs w:val="20"/>
            <w:u w:val="single"/>
          </w:rPr>
          <w:t>static1.squarespace.com/static/5df7c3de2e4d3d3fce16c185/t/5e1e38d92ee5903aac1dbae0/1579038938361/whistleblower_report.pdf</w:t>
        </w:r>
      </w:hyperlink>
      <w:r>
        <w:rPr>
          <w:rFonts w:ascii="Calibri" w:eastAsia="Calibri" w:hAnsi="Calibri" w:cs="Calibri"/>
          <w:sz w:val="20"/>
          <w:szCs w:val="20"/>
        </w:rPr>
        <w:t>&gt;.</w:t>
      </w:r>
    </w:p>
    <w:p w14:paraId="67F4B7CC" w14:textId="77777777" w:rsidR="00822F51" w:rsidRDefault="001A22F2">
      <w:pPr>
        <w:spacing w:line="240" w:lineRule="auto"/>
        <w:rPr>
          <w:rFonts w:ascii="Calibri" w:eastAsia="Calibri" w:hAnsi="Calibri" w:cs="Calibri"/>
          <w:sz w:val="20"/>
          <w:szCs w:val="20"/>
        </w:rPr>
      </w:pPr>
      <w:r>
        <w:rPr>
          <w:rFonts w:ascii="Calibri" w:eastAsia="Calibri" w:hAnsi="Calibri" w:cs="Calibri"/>
          <w:sz w:val="20"/>
          <w:szCs w:val="20"/>
        </w:rPr>
        <w:t xml:space="preserve">Ian Bron, </w:t>
      </w:r>
      <w:r>
        <w:rPr>
          <w:rFonts w:ascii="Calibri" w:eastAsia="Calibri" w:hAnsi="Calibri" w:cs="Calibri"/>
          <w:i/>
          <w:iCs/>
          <w:sz w:val="20"/>
          <w:szCs w:val="20"/>
        </w:rPr>
        <w:t>Assessment of Saskatchewan’s Whistleblower Protection Legislation</w:t>
      </w:r>
      <w:r>
        <w:rPr>
          <w:rFonts w:ascii="Calibri" w:eastAsia="Calibri" w:hAnsi="Calibri" w:cs="Calibri"/>
          <w:sz w:val="20"/>
          <w:szCs w:val="20"/>
        </w:rPr>
        <w:t xml:space="preserve"> (Centre for Free Expression, 30 January 2023), online: &lt;</w:t>
      </w:r>
      <w:hyperlink r:id="rId17">
        <w:r w:rsidR="00822F51">
          <w:rPr>
            <w:rFonts w:ascii="Calibri" w:eastAsia="Calibri" w:hAnsi="Calibri" w:cs="Calibri"/>
            <w:color w:val="1155CC"/>
            <w:sz w:val="20"/>
            <w:szCs w:val="20"/>
            <w:u w:val="single"/>
          </w:rPr>
          <w:t>cfe.torontomu.ca/sites/default/files/2023-01/SK_PIDA_Assessment_FINAL.pdf</w:t>
        </w:r>
      </w:hyperlink>
      <w:r>
        <w:rPr>
          <w:rFonts w:ascii="Calibri" w:eastAsia="Calibri" w:hAnsi="Calibri" w:cs="Calibri"/>
          <w:sz w:val="20"/>
          <w:szCs w:val="20"/>
        </w:rPr>
        <w:t xml:space="preserve">&gt;, International Bar Association – Legal Policy &amp; Research Unit and Legal Practice Division, </w:t>
      </w:r>
      <w:r>
        <w:rPr>
          <w:rFonts w:ascii="Calibri" w:eastAsia="Calibri" w:hAnsi="Calibri" w:cs="Calibri"/>
          <w:i/>
          <w:iCs/>
          <w:sz w:val="20"/>
          <w:szCs w:val="20"/>
        </w:rPr>
        <w:t>Whistleblower Protections: A Guide</w:t>
      </w:r>
      <w:r>
        <w:rPr>
          <w:rFonts w:ascii="Calibri" w:eastAsia="Calibri" w:hAnsi="Calibri" w:cs="Calibri"/>
          <w:sz w:val="20"/>
          <w:szCs w:val="20"/>
        </w:rPr>
        <w:t xml:space="preserve"> (April 2018), online: &lt;</w:t>
      </w:r>
      <w:hyperlink r:id="rId18">
        <w:r w:rsidR="00822F51">
          <w:rPr>
            <w:rFonts w:ascii="Calibri" w:eastAsia="Calibri" w:hAnsi="Calibri" w:cs="Calibri"/>
            <w:color w:val="1155CC"/>
            <w:sz w:val="20"/>
            <w:szCs w:val="20"/>
            <w:u w:val="single"/>
          </w:rPr>
          <w:t>www.ibanet.org/MediaHandler?id=a8bac0a9-ea7e-472d-a48e-ee76cb3cdef8</w:t>
        </w:r>
      </w:hyperlink>
      <w:r>
        <w:rPr>
          <w:rFonts w:ascii="Calibri" w:eastAsia="Calibri" w:hAnsi="Calibri" w:cs="Calibri"/>
          <w:sz w:val="20"/>
          <w:szCs w:val="20"/>
        </w:rPr>
        <w:t>&gt;.</w:t>
      </w:r>
    </w:p>
  </w:footnote>
  <w:footnote w:id="29">
    <w:p w14:paraId="323BF38A"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 xml:space="preserve">Public Servants Disclosure Protection Act, </w:t>
      </w:r>
      <w:r>
        <w:rPr>
          <w:rFonts w:ascii="Calibri" w:eastAsia="Calibri" w:hAnsi="Calibri" w:cs="Calibri"/>
          <w:sz w:val="20"/>
          <w:szCs w:val="20"/>
        </w:rPr>
        <w:t>s. 2.</w:t>
      </w:r>
    </w:p>
  </w:footnote>
  <w:footnote w:id="30">
    <w:p w14:paraId="40FAB439" w14:textId="7777777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i/>
          <w:iCs/>
          <w:sz w:val="20"/>
          <w:szCs w:val="20"/>
        </w:rPr>
        <w:t>Ibid.</w:t>
      </w:r>
    </w:p>
  </w:footnote>
  <w:footnote w:id="31">
    <w:p w14:paraId="031B413D" w14:textId="2F0DA816" w:rsidR="00310030" w:rsidRPr="00310030" w:rsidRDefault="00310030">
      <w:pPr>
        <w:pStyle w:val="FootnoteText"/>
        <w:rPr>
          <w:lang w:val="en-CA"/>
        </w:rPr>
      </w:pPr>
      <w:r>
        <w:rPr>
          <w:rStyle w:val="FootnoteReference"/>
        </w:rPr>
        <w:footnoteRef/>
      </w:r>
      <w:r>
        <w:t xml:space="preserve"> </w:t>
      </w:r>
      <w:r>
        <w:rPr>
          <w:rFonts w:ascii="Calibri" w:eastAsia="Calibri" w:hAnsi="Calibri" w:cs="Calibri"/>
        </w:rPr>
        <w:t xml:space="preserve">Standing Committee on Government Operations and Estimates, </w:t>
      </w:r>
      <w:r>
        <w:rPr>
          <w:rFonts w:ascii="Calibri" w:eastAsia="Calibri" w:hAnsi="Calibri" w:cs="Calibri"/>
          <w:i/>
          <w:iCs/>
        </w:rPr>
        <w:t>Strengthening the Protection of the Public Interest within the Public Servants Disclosure Protection Act</w:t>
      </w:r>
      <w:r>
        <w:rPr>
          <w:rFonts w:ascii="Calibri" w:eastAsia="Calibri" w:hAnsi="Calibri" w:cs="Calibri"/>
        </w:rPr>
        <w:t xml:space="preserve">, </w:t>
      </w:r>
      <w:r>
        <w:rPr>
          <w:rFonts w:ascii="Calibri" w:eastAsia="Calibri" w:hAnsi="Calibri" w:cs="Calibri"/>
          <w:i/>
          <w:iCs/>
        </w:rPr>
        <w:t xml:space="preserve">supra </w:t>
      </w:r>
      <w:r>
        <w:rPr>
          <w:rFonts w:ascii="Calibri" w:eastAsia="Calibri" w:hAnsi="Calibri" w:cs="Calibri"/>
        </w:rPr>
        <w:t xml:space="preserve">note 5 at pp. 59–61; Kim, </w:t>
      </w:r>
      <w:r>
        <w:rPr>
          <w:rFonts w:ascii="Calibri" w:eastAsia="Calibri" w:hAnsi="Calibri" w:cs="Calibri"/>
          <w:i/>
          <w:iCs/>
        </w:rPr>
        <w:t>Report on Whistleblower Protections in Canada</w:t>
      </w:r>
      <w:r>
        <w:rPr>
          <w:rFonts w:ascii="Calibri" w:eastAsia="Calibri" w:hAnsi="Calibri" w:cs="Calibri"/>
        </w:rPr>
        <w:t xml:space="preserve">, </w:t>
      </w:r>
      <w:r>
        <w:rPr>
          <w:rFonts w:ascii="Calibri" w:eastAsia="Calibri" w:hAnsi="Calibri" w:cs="Calibri"/>
          <w:i/>
          <w:iCs/>
        </w:rPr>
        <w:t xml:space="preserve">supra </w:t>
      </w:r>
      <w:r>
        <w:rPr>
          <w:rFonts w:ascii="Calibri" w:eastAsia="Calibri" w:hAnsi="Calibri" w:cs="Calibri"/>
        </w:rPr>
        <w:t>note 2</w:t>
      </w:r>
      <w:r w:rsidR="00155F46">
        <w:rPr>
          <w:rFonts w:ascii="Calibri" w:eastAsia="Calibri" w:hAnsi="Calibri" w:cs="Calibri"/>
        </w:rPr>
        <w:t>8</w:t>
      </w:r>
      <w:r>
        <w:rPr>
          <w:rFonts w:ascii="Calibri" w:eastAsia="Calibri" w:hAnsi="Calibri" w:cs="Calibri"/>
        </w:rPr>
        <w:t xml:space="preserve"> at pp. 8-9</w:t>
      </w:r>
      <w:r>
        <w:rPr>
          <w:rFonts w:ascii="Calibri" w:eastAsia="Calibri" w:hAnsi="Calibri" w:cs="Calibri"/>
          <w:i/>
          <w:iCs/>
        </w:rPr>
        <w:t>.</w:t>
      </w:r>
    </w:p>
  </w:footnote>
  <w:footnote w:id="32">
    <w:p w14:paraId="0624386A"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David Hutton, </w:t>
      </w:r>
      <w:r>
        <w:rPr>
          <w:rFonts w:ascii="Calibri" w:eastAsia="Calibri" w:hAnsi="Calibri" w:cs="Calibri"/>
          <w:i/>
          <w:iCs/>
          <w:sz w:val="20"/>
          <w:szCs w:val="20"/>
        </w:rPr>
        <w:t xml:space="preserve">What’s Wrong with Canada’s Federal Whistleblower Legislation </w:t>
      </w:r>
      <w:r>
        <w:rPr>
          <w:rFonts w:ascii="Calibri" w:eastAsia="Calibri" w:hAnsi="Calibri" w:cs="Calibri"/>
          <w:sz w:val="20"/>
          <w:szCs w:val="20"/>
        </w:rPr>
        <w:t>(Centre for Free Expression, Toronto Metropolitan University, 14 June 2017) at p. 11, online: &lt;</w:t>
      </w:r>
      <w:hyperlink r:id="rId19">
        <w:r w:rsidR="00822F51">
          <w:rPr>
            <w:rFonts w:ascii="Calibri" w:eastAsia="Calibri" w:hAnsi="Calibri" w:cs="Calibri"/>
            <w:color w:val="1155CC"/>
            <w:sz w:val="20"/>
            <w:szCs w:val="20"/>
            <w:u w:val="single"/>
          </w:rPr>
          <w:t>cfe.torontomu.ca/publications/whats-wrong-canadas-federal-whistleblower-legislation</w:t>
        </w:r>
      </w:hyperlink>
      <w:r>
        <w:rPr>
          <w:rFonts w:ascii="Calibri" w:eastAsia="Calibri" w:hAnsi="Calibri" w:cs="Calibri"/>
          <w:sz w:val="20"/>
          <w:szCs w:val="20"/>
        </w:rPr>
        <w:t xml:space="preserve">&gt;. </w:t>
      </w:r>
    </w:p>
  </w:footnote>
  <w:footnote w:id="33">
    <w:p w14:paraId="3694F614" w14:textId="77777777" w:rsidR="00822F51" w:rsidRDefault="001A22F2">
      <w:pPr>
        <w:spacing w:line="240" w:lineRule="auto"/>
        <w:rPr>
          <w:sz w:val="20"/>
          <w:szCs w:val="20"/>
          <w:highlight w:val="yellow"/>
        </w:rPr>
      </w:pPr>
      <w:r>
        <w:rPr>
          <w:vertAlign w:val="superscript"/>
        </w:rPr>
        <w:footnoteRef/>
      </w:r>
      <w:r>
        <w:rPr>
          <w:rFonts w:ascii="Calibri" w:eastAsia="Calibri" w:hAnsi="Calibri" w:cs="Calibri"/>
          <w:sz w:val="20"/>
          <w:szCs w:val="20"/>
        </w:rPr>
        <w:t xml:space="preserve"> Kim, Transparency International Canada, </w:t>
      </w:r>
      <w:r>
        <w:rPr>
          <w:rFonts w:ascii="Calibri" w:eastAsia="Calibri" w:hAnsi="Calibri" w:cs="Calibri"/>
          <w:i/>
          <w:iCs/>
          <w:sz w:val="20"/>
          <w:szCs w:val="20"/>
        </w:rPr>
        <w:t xml:space="preserve">Report on Whistleblower Protections in Canada, supra </w:t>
      </w:r>
      <w:r>
        <w:rPr>
          <w:rFonts w:ascii="Calibri" w:eastAsia="Calibri" w:hAnsi="Calibri" w:cs="Calibri"/>
          <w:sz w:val="20"/>
          <w:szCs w:val="20"/>
        </w:rPr>
        <w:t>note 27 at p. 4.</w:t>
      </w:r>
    </w:p>
  </w:footnote>
  <w:footnote w:id="34">
    <w:p w14:paraId="0BB12041"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Ian Bron, </w:t>
      </w:r>
      <w:r>
        <w:rPr>
          <w:rFonts w:ascii="Calibri" w:eastAsia="Calibri" w:hAnsi="Calibri" w:cs="Calibri"/>
          <w:i/>
          <w:iCs/>
          <w:sz w:val="20"/>
          <w:szCs w:val="20"/>
        </w:rPr>
        <w:t>Assessment of Prince Edward Island’s Whistleblower Protection Legislation</w:t>
      </w:r>
      <w:r>
        <w:rPr>
          <w:rFonts w:ascii="Calibri" w:eastAsia="Calibri" w:hAnsi="Calibri" w:cs="Calibri"/>
          <w:sz w:val="20"/>
          <w:szCs w:val="20"/>
        </w:rPr>
        <w:t xml:space="preserve"> (Centre for Free Expression, 30 January 2023), at p. 4, online: &lt;</w:t>
      </w:r>
      <w:hyperlink r:id="rId20">
        <w:r w:rsidR="00822F51">
          <w:rPr>
            <w:rFonts w:ascii="Calibri" w:eastAsia="Calibri" w:hAnsi="Calibri" w:cs="Calibri"/>
            <w:color w:val="1155CC"/>
            <w:sz w:val="20"/>
            <w:szCs w:val="20"/>
            <w:u w:val="single"/>
          </w:rPr>
          <w:t>cfe.torontomu.ca/sites/default/files/2023-01/PE_PIPA_Assessment_FINAL.pdf</w:t>
        </w:r>
      </w:hyperlink>
      <w:r>
        <w:rPr>
          <w:rFonts w:ascii="Calibri" w:eastAsia="Calibri" w:hAnsi="Calibri" w:cs="Calibri"/>
          <w:sz w:val="20"/>
          <w:szCs w:val="20"/>
        </w:rPr>
        <w:t>&gt;</w:t>
      </w:r>
      <w:r>
        <w:rPr>
          <w:sz w:val="20"/>
          <w:szCs w:val="20"/>
        </w:rPr>
        <w:t>;</w:t>
      </w:r>
      <w:r>
        <w:rPr>
          <w:rFonts w:ascii="Calibri" w:eastAsia="Calibri" w:hAnsi="Calibri" w:cs="Calibri"/>
          <w:sz w:val="20"/>
          <w:szCs w:val="20"/>
        </w:rPr>
        <w:t xml:space="preserve"> Ian Bron, </w:t>
      </w:r>
      <w:r>
        <w:rPr>
          <w:rFonts w:ascii="Calibri" w:eastAsia="Calibri" w:hAnsi="Calibri" w:cs="Calibri"/>
          <w:i/>
          <w:iCs/>
          <w:sz w:val="20"/>
          <w:szCs w:val="20"/>
        </w:rPr>
        <w:t>Assessment of Newfoundland and Labrador’s Whistleblower Protection Legislation</w:t>
      </w:r>
      <w:r>
        <w:rPr>
          <w:rFonts w:ascii="Calibri" w:eastAsia="Calibri" w:hAnsi="Calibri" w:cs="Calibri"/>
          <w:sz w:val="20"/>
          <w:szCs w:val="20"/>
        </w:rPr>
        <w:t xml:space="preserve"> (Centre for Free Expression, 30 January 2023), at p. 4, online: &lt;</w:t>
      </w:r>
      <w:hyperlink r:id="rId21">
        <w:r w:rsidR="00822F51">
          <w:rPr>
            <w:rFonts w:ascii="Calibri" w:eastAsia="Calibri" w:hAnsi="Calibri" w:cs="Calibri"/>
            <w:color w:val="1155CC"/>
            <w:sz w:val="20"/>
            <w:szCs w:val="20"/>
            <w:u w:val="single"/>
          </w:rPr>
          <w:t>https://cfe.torontomu.ca/sites/default/files/2023-01/NL_PIPA_Assessment_FINAL.pdf</w:t>
        </w:r>
      </w:hyperlink>
      <w:r>
        <w:rPr>
          <w:rFonts w:ascii="Calibri" w:eastAsia="Calibri" w:hAnsi="Calibri" w:cs="Calibri"/>
          <w:sz w:val="20"/>
          <w:szCs w:val="20"/>
        </w:rPr>
        <w:t>&gt;;</w:t>
      </w:r>
      <w:r>
        <w:rPr>
          <w:sz w:val="20"/>
          <w:szCs w:val="20"/>
        </w:rPr>
        <w:t xml:space="preserve"> </w:t>
      </w:r>
      <w:r>
        <w:rPr>
          <w:rFonts w:ascii="Calibri" w:eastAsia="Calibri" w:hAnsi="Calibri" w:cs="Calibri"/>
          <w:sz w:val="20"/>
          <w:szCs w:val="20"/>
        </w:rPr>
        <w:t xml:space="preserve">Ian Bron, </w:t>
      </w:r>
      <w:r>
        <w:rPr>
          <w:rFonts w:ascii="Calibri" w:eastAsia="Calibri" w:hAnsi="Calibri" w:cs="Calibri"/>
          <w:i/>
          <w:iCs/>
          <w:sz w:val="20"/>
          <w:szCs w:val="20"/>
        </w:rPr>
        <w:t>Assessment of New Brunswick’s Whistleblower Protection Legislation</w:t>
      </w:r>
      <w:r>
        <w:rPr>
          <w:rFonts w:ascii="Calibri" w:eastAsia="Calibri" w:hAnsi="Calibri" w:cs="Calibri"/>
          <w:sz w:val="20"/>
          <w:szCs w:val="20"/>
        </w:rPr>
        <w:t xml:space="preserve"> (Centre for Free Expression, 30 January 2023) at p. 4, online: &lt;</w:t>
      </w:r>
      <w:hyperlink r:id="rId22">
        <w:r w:rsidR="00822F51">
          <w:rPr>
            <w:rFonts w:ascii="Calibri" w:eastAsia="Calibri" w:hAnsi="Calibri" w:cs="Calibri"/>
            <w:color w:val="1155CC"/>
            <w:sz w:val="20"/>
            <w:szCs w:val="20"/>
            <w:u w:val="single"/>
          </w:rPr>
          <w:t>https://cfe.torontomu.ca/sites/default/files/2023-01/NB_PIPA_Assessment_FINAL.pdf</w:t>
        </w:r>
      </w:hyperlink>
      <w:r>
        <w:rPr>
          <w:rFonts w:ascii="Calibri" w:eastAsia="Calibri" w:hAnsi="Calibri" w:cs="Calibri"/>
          <w:sz w:val="20"/>
          <w:szCs w:val="20"/>
        </w:rPr>
        <w:t>&gt;.</w:t>
      </w:r>
    </w:p>
  </w:footnote>
  <w:footnote w:id="35">
    <w:p w14:paraId="252F1FED" w14:textId="333DC214"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Ian Bron, </w:t>
      </w:r>
      <w:r>
        <w:rPr>
          <w:rFonts w:ascii="Calibri" w:eastAsia="Calibri" w:hAnsi="Calibri" w:cs="Calibri"/>
          <w:i/>
          <w:iCs/>
          <w:sz w:val="20"/>
          <w:szCs w:val="20"/>
        </w:rPr>
        <w:t>Assessment of Nova Scotia’s Whistleblower Protection Legislation</w:t>
      </w:r>
      <w:r>
        <w:rPr>
          <w:rFonts w:ascii="Calibri" w:eastAsia="Calibri" w:hAnsi="Calibri" w:cs="Calibri"/>
          <w:sz w:val="20"/>
          <w:szCs w:val="20"/>
        </w:rPr>
        <w:t xml:space="preserve"> (Centre for Free Expression, 30 January 2023), at p. 4, online: &lt;</w:t>
      </w:r>
      <w:hyperlink r:id="rId23">
        <w:r w:rsidR="00822F51">
          <w:rPr>
            <w:rFonts w:ascii="Calibri" w:eastAsia="Calibri" w:hAnsi="Calibri" w:cs="Calibri"/>
            <w:color w:val="1155CC"/>
            <w:sz w:val="20"/>
            <w:szCs w:val="20"/>
            <w:u w:val="single"/>
          </w:rPr>
          <w:t>https://cfe.torontomu.ca/sites/default/files/2023-01/NS_PIPA_Assessment_FINAL.pdf</w:t>
        </w:r>
      </w:hyperlink>
      <w:r>
        <w:rPr>
          <w:rFonts w:ascii="Calibri" w:eastAsia="Calibri" w:hAnsi="Calibri" w:cs="Calibri"/>
          <w:sz w:val="20"/>
          <w:szCs w:val="20"/>
        </w:rPr>
        <w:t xml:space="preserve">&gt;; Bron, </w:t>
      </w:r>
      <w:r>
        <w:rPr>
          <w:rFonts w:ascii="Calibri" w:eastAsia="Calibri" w:hAnsi="Calibri" w:cs="Calibri"/>
          <w:i/>
          <w:iCs/>
          <w:sz w:val="20"/>
          <w:szCs w:val="20"/>
        </w:rPr>
        <w:t>Assessment of Saskatchewan’s Whistleblower Protection Legislation</w:t>
      </w:r>
      <w:r>
        <w:rPr>
          <w:rFonts w:ascii="Calibri" w:eastAsia="Calibri" w:hAnsi="Calibri" w:cs="Calibri"/>
          <w:sz w:val="20"/>
          <w:szCs w:val="20"/>
        </w:rPr>
        <w:t xml:space="preserve">, </w:t>
      </w:r>
      <w:r>
        <w:rPr>
          <w:rFonts w:ascii="Calibri" w:eastAsia="Calibri" w:hAnsi="Calibri" w:cs="Calibri"/>
          <w:i/>
          <w:iCs/>
          <w:sz w:val="20"/>
          <w:szCs w:val="20"/>
        </w:rPr>
        <w:t xml:space="preserve">supra </w:t>
      </w:r>
      <w:r>
        <w:rPr>
          <w:rFonts w:ascii="Calibri" w:eastAsia="Calibri" w:hAnsi="Calibri" w:cs="Calibri"/>
          <w:sz w:val="20"/>
          <w:szCs w:val="20"/>
        </w:rPr>
        <w:t>note 2</w:t>
      </w:r>
      <w:r w:rsidR="00155F46">
        <w:rPr>
          <w:rFonts w:ascii="Calibri" w:eastAsia="Calibri" w:hAnsi="Calibri" w:cs="Calibri"/>
          <w:sz w:val="20"/>
          <w:szCs w:val="20"/>
        </w:rPr>
        <w:t>8</w:t>
      </w:r>
      <w:r>
        <w:rPr>
          <w:rFonts w:ascii="Calibri" w:eastAsia="Calibri" w:hAnsi="Calibri" w:cs="Calibri"/>
          <w:sz w:val="20"/>
          <w:szCs w:val="20"/>
        </w:rPr>
        <w:t xml:space="preserve"> at p. 4.</w:t>
      </w:r>
    </w:p>
  </w:footnote>
  <w:footnote w:id="36">
    <w:p w14:paraId="1BE8976C"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Ian Bron, </w:t>
      </w:r>
      <w:r>
        <w:rPr>
          <w:rFonts w:ascii="Calibri" w:eastAsia="Calibri" w:hAnsi="Calibri" w:cs="Calibri"/>
          <w:i/>
          <w:iCs/>
          <w:sz w:val="20"/>
          <w:szCs w:val="20"/>
        </w:rPr>
        <w:t xml:space="preserve">Assessment of Manitoba’s Whistleblower Protection Legislation </w:t>
      </w:r>
      <w:r>
        <w:rPr>
          <w:rFonts w:ascii="Calibri" w:eastAsia="Calibri" w:hAnsi="Calibri" w:cs="Calibri"/>
          <w:sz w:val="20"/>
          <w:szCs w:val="20"/>
        </w:rPr>
        <w:t>(Centre for Free Expression, 30 January 2023), at p. 4, online: &lt;</w:t>
      </w:r>
      <w:hyperlink r:id="rId24">
        <w:r w:rsidR="00822F51">
          <w:rPr>
            <w:rFonts w:ascii="Calibri" w:eastAsia="Calibri" w:hAnsi="Calibri" w:cs="Calibri"/>
            <w:color w:val="1155CC"/>
            <w:sz w:val="20"/>
            <w:szCs w:val="20"/>
            <w:u w:val="single"/>
          </w:rPr>
          <w:t>cfe.torontomu.ca/sites/default/files/2023-01/MB_PIPA_Assessment_FINAL.pdf</w:t>
        </w:r>
      </w:hyperlink>
      <w:r>
        <w:rPr>
          <w:rFonts w:ascii="Calibri" w:eastAsia="Calibri" w:hAnsi="Calibri" w:cs="Calibri"/>
          <w:sz w:val="20"/>
          <w:szCs w:val="20"/>
        </w:rPr>
        <w:t xml:space="preserve">&gt;; Ian Bron, </w:t>
      </w:r>
      <w:r>
        <w:rPr>
          <w:rFonts w:ascii="Calibri" w:eastAsia="Calibri" w:hAnsi="Calibri" w:cs="Calibri"/>
          <w:i/>
          <w:iCs/>
          <w:sz w:val="20"/>
          <w:szCs w:val="20"/>
        </w:rPr>
        <w:t>Assessment of Alberta’s Whistleblower Protection Legislation</w:t>
      </w:r>
      <w:r>
        <w:rPr>
          <w:rFonts w:ascii="Calibri" w:eastAsia="Calibri" w:hAnsi="Calibri" w:cs="Calibri"/>
          <w:sz w:val="20"/>
          <w:szCs w:val="20"/>
        </w:rPr>
        <w:t xml:space="preserve"> (Centre for Free Expression, 30 January 2023), at p. 4, online: &lt;</w:t>
      </w:r>
      <w:hyperlink r:id="rId25">
        <w:r w:rsidR="00822F51">
          <w:rPr>
            <w:rFonts w:ascii="Calibri" w:eastAsia="Calibri" w:hAnsi="Calibri" w:cs="Calibri"/>
            <w:color w:val="1155CC"/>
            <w:sz w:val="20"/>
            <w:szCs w:val="20"/>
            <w:u w:val="single"/>
          </w:rPr>
          <w:t>cfe.torontomu.ca/sites/default/files/2023-01/AB_PIPA_Assessment_FINAL.pdf</w:t>
        </w:r>
      </w:hyperlink>
      <w:r>
        <w:rPr>
          <w:rFonts w:ascii="Calibri" w:eastAsia="Calibri" w:hAnsi="Calibri" w:cs="Calibri"/>
          <w:sz w:val="20"/>
          <w:szCs w:val="20"/>
        </w:rPr>
        <w:t>&gt;.</w:t>
      </w:r>
    </w:p>
  </w:footnote>
  <w:footnote w:id="37">
    <w:p w14:paraId="4505D949" w14:textId="7777777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i/>
          <w:iCs/>
          <w:sz w:val="20"/>
          <w:szCs w:val="20"/>
        </w:rPr>
        <w:t>Act to facilitate the disclosure of wrongdoings relating to public bodies</w:t>
      </w:r>
      <w:r>
        <w:rPr>
          <w:rFonts w:ascii="Calibri" w:eastAsia="Calibri" w:hAnsi="Calibri" w:cs="Calibri"/>
          <w:sz w:val="20"/>
          <w:szCs w:val="20"/>
        </w:rPr>
        <w:t>,</w:t>
      </w:r>
      <w:r>
        <w:rPr>
          <w:rFonts w:ascii="Calibri" w:eastAsia="Calibri" w:hAnsi="Calibri" w:cs="Calibri"/>
          <w:i/>
          <w:iCs/>
          <w:sz w:val="20"/>
          <w:szCs w:val="20"/>
        </w:rPr>
        <w:t xml:space="preserve"> </w:t>
      </w:r>
      <w:r>
        <w:rPr>
          <w:rFonts w:ascii="Calibri" w:eastAsia="Calibri" w:hAnsi="Calibri" w:cs="Calibri"/>
          <w:sz w:val="20"/>
          <w:szCs w:val="20"/>
        </w:rPr>
        <w:t>s. 6. (Quebec)</w:t>
      </w:r>
    </w:p>
  </w:footnote>
  <w:footnote w:id="38">
    <w:p w14:paraId="0C6D9133" w14:textId="5BA065E7" w:rsidR="00822F51" w:rsidRDefault="001A22F2">
      <w:pPr>
        <w:spacing w:line="240" w:lineRule="auto"/>
        <w:rPr>
          <w:sz w:val="20"/>
          <w:szCs w:val="20"/>
        </w:rPr>
      </w:pPr>
      <w:r>
        <w:rPr>
          <w:vertAlign w:val="superscript"/>
        </w:rPr>
        <w:footnoteRef/>
      </w:r>
      <w:r>
        <w:rPr>
          <w:rFonts w:ascii="Calibri" w:eastAsia="Calibri" w:hAnsi="Calibri" w:cs="Calibri"/>
          <w:sz w:val="20"/>
          <w:szCs w:val="20"/>
        </w:rPr>
        <w:t xml:space="preserve"> ​​Hutton, </w:t>
      </w:r>
      <w:r>
        <w:rPr>
          <w:rFonts w:ascii="Calibri" w:eastAsia="Calibri" w:hAnsi="Calibri" w:cs="Calibri"/>
          <w:i/>
          <w:iCs/>
          <w:sz w:val="20"/>
          <w:szCs w:val="20"/>
        </w:rPr>
        <w:t>What’s Wrong with Canada’s Federal Whistleblower Legislation</w:t>
      </w:r>
      <w:r>
        <w:rPr>
          <w:rFonts w:ascii="Calibri" w:eastAsia="Calibri" w:hAnsi="Calibri" w:cs="Calibri"/>
          <w:sz w:val="20"/>
          <w:szCs w:val="20"/>
        </w:rPr>
        <w:t xml:space="preserve">, </w:t>
      </w:r>
      <w:r>
        <w:rPr>
          <w:rFonts w:ascii="Calibri" w:eastAsia="Calibri" w:hAnsi="Calibri" w:cs="Calibri"/>
          <w:i/>
          <w:iCs/>
          <w:sz w:val="20"/>
          <w:szCs w:val="20"/>
        </w:rPr>
        <w:t>supra</w:t>
      </w:r>
      <w:r>
        <w:rPr>
          <w:rFonts w:ascii="Calibri" w:eastAsia="Calibri" w:hAnsi="Calibri" w:cs="Calibri"/>
          <w:sz w:val="20"/>
          <w:szCs w:val="20"/>
        </w:rPr>
        <w:t xml:space="preserve"> note 3</w:t>
      </w:r>
      <w:r w:rsidR="00155F46">
        <w:rPr>
          <w:rFonts w:ascii="Calibri" w:eastAsia="Calibri" w:hAnsi="Calibri" w:cs="Calibri"/>
          <w:sz w:val="20"/>
          <w:szCs w:val="20"/>
        </w:rPr>
        <w:t>2</w:t>
      </w:r>
      <w:r>
        <w:rPr>
          <w:rFonts w:ascii="Calibri" w:eastAsia="Calibri" w:hAnsi="Calibri" w:cs="Calibri"/>
          <w:sz w:val="20"/>
          <w:szCs w:val="20"/>
        </w:rPr>
        <w:t xml:space="preserve"> at p. 12.</w:t>
      </w:r>
      <w:r>
        <w:rPr>
          <w:sz w:val="20"/>
          <w:szCs w:val="20"/>
        </w:rPr>
        <w:t xml:space="preserve"> </w:t>
      </w:r>
    </w:p>
  </w:footnote>
  <w:footnote w:id="39">
    <w:p w14:paraId="62681689"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The Saskatchewan Employment Act</w:t>
      </w:r>
      <w:r>
        <w:rPr>
          <w:rFonts w:ascii="Calibri" w:eastAsia="Calibri" w:hAnsi="Calibri" w:cs="Calibri"/>
          <w:sz w:val="20"/>
          <w:szCs w:val="20"/>
        </w:rPr>
        <w:t>, SS 2013, c S-15.1, s. 6-6, online: &lt;</w:t>
      </w:r>
      <w:hyperlink r:id="rId26">
        <w:r w:rsidR="00822F51">
          <w:rPr>
            <w:rFonts w:ascii="Calibri" w:eastAsia="Calibri" w:hAnsi="Calibri" w:cs="Calibri"/>
            <w:color w:val="1155CC"/>
            <w:sz w:val="20"/>
            <w:szCs w:val="20"/>
            <w:u w:val="single"/>
          </w:rPr>
          <w:t>www.canlii.org/en/sk/laws/stat/ss-2013-c-s-15.1/latest/ss-2013-c-s-15.1.html?docType=pdf</w:t>
        </w:r>
      </w:hyperlink>
      <w:r>
        <w:rPr>
          <w:rFonts w:ascii="Calibri" w:eastAsia="Calibri" w:hAnsi="Calibri" w:cs="Calibri"/>
          <w:sz w:val="20"/>
          <w:szCs w:val="20"/>
        </w:rPr>
        <w:t>&gt;</w:t>
      </w:r>
      <w:r>
        <w:rPr>
          <w:sz w:val="20"/>
          <w:szCs w:val="20"/>
        </w:rPr>
        <w:t xml:space="preserve">; </w:t>
      </w:r>
      <w:r>
        <w:rPr>
          <w:rFonts w:ascii="Calibri" w:eastAsia="Calibri" w:hAnsi="Calibri" w:cs="Calibri"/>
          <w:i/>
          <w:iCs/>
          <w:sz w:val="20"/>
          <w:szCs w:val="20"/>
        </w:rPr>
        <w:t>Employment Standards Act</w:t>
      </w:r>
      <w:r>
        <w:rPr>
          <w:rFonts w:ascii="Calibri" w:eastAsia="Calibri" w:hAnsi="Calibri" w:cs="Calibri"/>
          <w:sz w:val="20"/>
          <w:szCs w:val="20"/>
        </w:rPr>
        <w:t>, SNB 1982, c E-7.2, s. 28, &lt;</w:t>
      </w:r>
      <w:r>
        <w:rPr>
          <w:rFonts w:ascii="Calibri" w:eastAsia="Calibri" w:hAnsi="Calibri" w:cs="Calibri"/>
          <w:color w:val="3C78D8"/>
          <w:sz w:val="20"/>
          <w:szCs w:val="20"/>
        </w:rPr>
        <w:t>c</w:t>
      </w:r>
      <w:hyperlink r:id="rId27">
        <w:r w:rsidR="00822F51">
          <w:rPr>
            <w:rFonts w:ascii="Calibri" w:eastAsia="Calibri" w:hAnsi="Calibri" w:cs="Calibri"/>
            <w:color w:val="3C78D8"/>
            <w:sz w:val="20"/>
            <w:szCs w:val="20"/>
            <w:u w:val="single"/>
          </w:rPr>
          <w:t>a</w:t>
        </w:r>
      </w:hyperlink>
      <w:hyperlink r:id="rId28">
        <w:r w:rsidR="00822F51">
          <w:rPr>
            <w:rFonts w:ascii="Calibri" w:eastAsia="Calibri" w:hAnsi="Calibri" w:cs="Calibri"/>
            <w:color w:val="1155CC"/>
            <w:sz w:val="20"/>
            <w:szCs w:val="20"/>
            <w:u w:val="single"/>
          </w:rPr>
          <w:t>nlii.ca/t/56bjc</w:t>
        </w:r>
      </w:hyperlink>
      <w:r>
        <w:rPr>
          <w:rFonts w:ascii="Calibri" w:eastAsia="Calibri" w:hAnsi="Calibri" w:cs="Calibri"/>
          <w:sz w:val="20"/>
          <w:szCs w:val="20"/>
        </w:rPr>
        <w:t>&gt;. (New Brunswick)</w:t>
      </w:r>
    </w:p>
  </w:footnote>
  <w:footnote w:id="40">
    <w:p w14:paraId="4E356AC6"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British Columbia Securities Commission, “About the Whistleblower Program,” </w:t>
      </w:r>
      <w:r>
        <w:rPr>
          <w:rFonts w:ascii="Calibri" w:eastAsia="Calibri" w:hAnsi="Calibri" w:cs="Calibri"/>
          <w:i/>
          <w:iCs/>
          <w:sz w:val="20"/>
          <w:szCs w:val="20"/>
        </w:rPr>
        <w:t>Report to Us</w:t>
      </w:r>
      <w:r>
        <w:rPr>
          <w:rFonts w:ascii="Calibri" w:eastAsia="Calibri" w:hAnsi="Calibri" w:cs="Calibri"/>
          <w:sz w:val="20"/>
          <w:szCs w:val="20"/>
        </w:rPr>
        <w:t>, online: &lt;</w:t>
      </w:r>
      <w:hyperlink r:id="rId29">
        <w:r w:rsidR="00822F51">
          <w:rPr>
            <w:rFonts w:ascii="Calibri" w:eastAsia="Calibri" w:hAnsi="Calibri" w:cs="Calibri"/>
            <w:color w:val="1155CC"/>
            <w:sz w:val="20"/>
            <w:szCs w:val="20"/>
            <w:u w:val="single"/>
          </w:rPr>
          <w:t>www.bcsc.bc.ca/report-to-us/about-the-whistleblower-program</w:t>
        </w:r>
      </w:hyperlink>
      <w:r>
        <w:rPr>
          <w:rFonts w:ascii="Calibri" w:eastAsia="Calibri" w:hAnsi="Calibri" w:cs="Calibri"/>
          <w:sz w:val="20"/>
          <w:szCs w:val="20"/>
        </w:rPr>
        <w:t>&gt;; Ontario Securities Commission, “OSC Whistleblower Program,” online: &lt;</w:t>
      </w:r>
      <w:hyperlink r:id="rId30">
        <w:r w:rsidR="00822F51">
          <w:rPr>
            <w:rFonts w:ascii="Calibri" w:eastAsia="Calibri" w:hAnsi="Calibri" w:cs="Calibri"/>
            <w:color w:val="1155CC"/>
            <w:sz w:val="20"/>
            <w:szCs w:val="20"/>
            <w:u w:val="single"/>
          </w:rPr>
          <w:t>www.osc.ca/en/enforcement/osc-whistleblower-program</w:t>
        </w:r>
      </w:hyperlink>
      <w:r>
        <w:rPr>
          <w:rFonts w:ascii="Calibri" w:eastAsia="Calibri" w:hAnsi="Calibri" w:cs="Calibri"/>
          <w:sz w:val="20"/>
          <w:szCs w:val="20"/>
        </w:rPr>
        <w:t>&gt;; Alberta Securities Commission, “Office of the Whistleblower,” online: &lt;</w:t>
      </w:r>
      <w:hyperlink r:id="rId31">
        <w:r w:rsidR="00822F51">
          <w:rPr>
            <w:rFonts w:ascii="Calibri" w:eastAsia="Calibri" w:hAnsi="Calibri" w:cs="Calibri"/>
            <w:color w:val="1155CC"/>
            <w:sz w:val="20"/>
            <w:szCs w:val="20"/>
            <w:u w:val="single"/>
          </w:rPr>
          <w:t>www.asc.ca/en/enforcement/office-of-the-whistleblower</w:t>
        </w:r>
      </w:hyperlink>
      <w:r>
        <w:rPr>
          <w:rFonts w:ascii="Calibri" w:eastAsia="Calibri" w:hAnsi="Calibri" w:cs="Calibri"/>
          <w:sz w:val="20"/>
          <w:szCs w:val="20"/>
        </w:rPr>
        <w:t xml:space="preserve">&gt;. </w:t>
      </w:r>
    </w:p>
  </w:footnote>
  <w:footnote w:id="41">
    <w:p w14:paraId="724E0212"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Examples include: the reverse onus burden of proof under s. 121.5(5) of the Ontario </w:t>
      </w:r>
      <w:r>
        <w:rPr>
          <w:rFonts w:ascii="Calibri" w:eastAsia="Calibri" w:hAnsi="Calibri" w:cs="Calibri"/>
          <w:i/>
          <w:iCs/>
          <w:sz w:val="20"/>
          <w:szCs w:val="20"/>
        </w:rPr>
        <w:t>Securities Act</w:t>
      </w:r>
      <w:r>
        <w:rPr>
          <w:rFonts w:ascii="Calibri" w:eastAsia="Calibri" w:hAnsi="Calibri" w:cs="Calibri"/>
          <w:sz w:val="20"/>
          <w:szCs w:val="20"/>
        </w:rPr>
        <w:t xml:space="preserve"> as opposed to the </w:t>
      </w:r>
      <w:r>
        <w:rPr>
          <w:rFonts w:ascii="Calibri" w:eastAsia="Calibri" w:hAnsi="Calibri" w:cs="Calibri"/>
          <w:i/>
          <w:iCs/>
          <w:sz w:val="20"/>
          <w:szCs w:val="20"/>
        </w:rPr>
        <w:t>PSDPA</w:t>
      </w:r>
      <w:r>
        <w:rPr>
          <w:rFonts w:ascii="Calibri" w:eastAsia="Calibri" w:hAnsi="Calibri" w:cs="Calibri"/>
          <w:sz w:val="20"/>
          <w:szCs w:val="20"/>
        </w:rPr>
        <w:t xml:space="preserve"> where the whistleblower must prove that their disclosure was the reason for retaliation and the absence of a Good Faith requirement, and British </w:t>
      </w:r>
      <w:proofErr w:type="gramStart"/>
      <w:r>
        <w:rPr>
          <w:rFonts w:ascii="Calibri" w:eastAsia="Calibri" w:hAnsi="Calibri" w:cs="Calibri"/>
          <w:sz w:val="20"/>
          <w:szCs w:val="20"/>
        </w:rPr>
        <w:t>Columbia  and</w:t>
      </w:r>
      <w:proofErr w:type="gramEnd"/>
      <w:r>
        <w:rPr>
          <w:rFonts w:ascii="Calibri" w:eastAsia="Calibri" w:hAnsi="Calibri" w:cs="Calibri"/>
          <w:sz w:val="20"/>
          <w:szCs w:val="20"/>
        </w:rPr>
        <w:t xml:space="preserve"> Alberta’s </w:t>
      </w:r>
      <w:r>
        <w:rPr>
          <w:rFonts w:ascii="Calibri" w:eastAsia="Calibri" w:hAnsi="Calibri" w:cs="Calibri"/>
          <w:i/>
          <w:iCs/>
          <w:sz w:val="20"/>
          <w:szCs w:val="20"/>
        </w:rPr>
        <w:t>Securities Acts</w:t>
      </w:r>
      <w:r>
        <w:rPr>
          <w:rFonts w:ascii="Calibri" w:eastAsia="Calibri" w:hAnsi="Calibri" w:cs="Calibri"/>
          <w:sz w:val="20"/>
          <w:szCs w:val="20"/>
        </w:rPr>
        <w:t xml:space="preserve"> also contain stronger confidentiality provisions than the</w:t>
      </w:r>
      <w:r>
        <w:rPr>
          <w:rFonts w:ascii="Calibri" w:eastAsia="Calibri" w:hAnsi="Calibri" w:cs="Calibri"/>
          <w:i/>
          <w:iCs/>
          <w:sz w:val="20"/>
          <w:szCs w:val="20"/>
        </w:rPr>
        <w:t xml:space="preserve"> PSDPA</w:t>
      </w:r>
      <w:r>
        <w:rPr>
          <w:rFonts w:ascii="Calibri" w:eastAsia="Calibri" w:hAnsi="Calibri" w:cs="Calibri"/>
          <w:sz w:val="20"/>
          <w:szCs w:val="20"/>
        </w:rPr>
        <w:t xml:space="preserve">’s nominal confidentiality protections. See: </w:t>
      </w:r>
      <w:r>
        <w:rPr>
          <w:rFonts w:ascii="Calibri" w:eastAsia="Calibri" w:hAnsi="Calibri" w:cs="Calibri"/>
          <w:i/>
          <w:iCs/>
          <w:sz w:val="20"/>
          <w:szCs w:val="20"/>
        </w:rPr>
        <w:t>Securities Act</w:t>
      </w:r>
      <w:r>
        <w:rPr>
          <w:rFonts w:ascii="Calibri" w:eastAsia="Calibri" w:hAnsi="Calibri" w:cs="Calibri"/>
          <w:sz w:val="20"/>
          <w:szCs w:val="20"/>
        </w:rPr>
        <w:t>, RSO 1990, c S.5, s 121.5(5), online: &lt;</w:t>
      </w:r>
      <w:hyperlink r:id="rId32">
        <w:r w:rsidR="00822F51">
          <w:rPr>
            <w:rFonts w:ascii="Calibri" w:eastAsia="Calibri" w:hAnsi="Calibri" w:cs="Calibri"/>
            <w:color w:val="1155CC"/>
            <w:sz w:val="20"/>
            <w:szCs w:val="20"/>
            <w:u w:val="single"/>
          </w:rPr>
          <w:t>www.ontario.ca/laws/statute/90s05</w:t>
        </w:r>
      </w:hyperlink>
      <w:r>
        <w:rPr>
          <w:rFonts w:ascii="Calibri" w:eastAsia="Calibri" w:hAnsi="Calibri" w:cs="Calibri"/>
          <w:sz w:val="20"/>
          <w:szCs w:val="20"/>
        </w:rPr>
        <w:t xml:space="preserve">&gt;; </w:t>
      </w:r>
      <w:r>
        <w:rPr>
          <w:rFonts w:ascii="Calibri" w:eastAsia="Calibri" w:hAnsi="Calibri" w:cs="Calibri"/>
          <w:i/>
          <w:iCs/>
          <w:sz w:val="20"/>
          <w:szCs w:val="20"/>
        </w:rPr>
        <w:t>Securities Act</w:t>
      </w:r>
      <w:r>
        <w:rPr>
          <w:rFonts w:ascii="Calibri" w:eastAsia="Calibri" w:hAnsi="Calibri" w:cs="Calibri"/>
          <w:sz w:val="20"/>
          <w:szCs w:val="20"/>
        </w:rPr>
        <w:t>, RSBC 1996, c 418, s 168.05, online: &lt;</w:t>
      </w:r>
      <w:hyperlink r:id="rId33">
        <w:r w:rsidR="00822F51">
          <w:rPr>
            <w:rFonts w:ascii="Calibri" w:eastAsia="Calibri" w:hAnsi="Calibri" w:cs="Calibri"/>
            <w:color w:val="1155CC"/>
            <w:sz w:val="20"/>
            <w:szCs w:val="20"/>
            <w:u w:val="single"/>
          </w:rPr>
          <w:t>www.bclaws.gov.bc.ca/civix/document/id/complete/statreg/00_96418_01</w:t>
        </w:r>
      </w:hyperlink>
      <w:r>
        <w:rPr>
          <w:rFonts w:ascii="Calibri" w:eastAsia="Calibri" w:hAnsi="Calibri" w:cs="Calibri"/>
          <w:sz w:val="20"/>
          <w:szCs w:val="20"/>
        </w:rPr>
        <w:t xml:space="preserve">&gt;; </w:t>
      </w:r>
      <w:r>
        <w:rPr>
          <w:rFonts w:ascii="Calibri" w:eastAsia="Calibri" w:hAnsi="Calibri" w:cs="Calibri"/>
          <w:i/>
          <w:iCs/>
          <w:sz w:val="20"/>
          <w:szCs w:val="20"/>
        </w:rPr>
        <w:t>Securities Act</w:t>
      </w:r>
      <w:r>
        <w:rPr>
          <w:rFonts w:ascii="Calibri" w:eastAsia="Calibri" w:hAnsi="Calibri" w:cs="Calibri"/>
          <w:sz w:val="20"/>
          <w:szCs w:val="20"/>
        </w:rPr>
        <w:t>, RSA 2000, c S-4, ss. 198(6)–(8), online: &lt;</w:t>
      </w:r>
      <w:hyperlink r:id="rId34">
        <w:r w:rsidR="00822F51">
          <w:rPr>
            <w:rFonts w:ascii="Calibri" w:eastAsia="Calibri" w:hAnsi="Calibri" w:cs="Calibri"/>
            <w:color w:val="1155CC"/>
            <w:sz w:val="20"/>
            <w:szCs w:val="20"/>
            <w:u w:val="single"/>
          </w:rPr>
          <w:t>www.canlii.org/en/ab/laws/stat/rsa-2000-c-s-4/latest/rsa-2000-c-s-4.html</w:t>
        </w:r>
      </w:hyperlink>
      <w:r>
        <w:rPr>
          <w:rFonts w:ascii="Calibri" w:eastAsia="Calibri" w:hAnsi="Calibri" w:cs="Calibri"/>
          <w:sz w:val="20"/>
          <w:szCs w:val="20"/>
        </w:rPr>
        <w:t xml:space="preserve">&gt;. </w:t>
      </w:r>
    </w:p>
  </w:footnote>
  <w:footnote w:id="42">
    <w:p w14:paraId="35B26C11"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Public Servants Disclosure Protection Act, </w:t>
      </w:r>
      <w:r>
        <w:rPr>
          <w:rFonts w:ascii="Calibri" w:eastAsia="Calibri" w:hAnsi="Calibri" w:cs="Calibri"/>
          <w:sz w:val="20"/>
          <w:szCs w:val="20"/>
        </w:rPr>
        <w:t>s. 2.</w:t>
      </w:r>
    </w:p>
  </w:footnote>
  <w:footnote w:id="43">
    <w:p w14:paraId="18E8A803"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Standing Committee on Government Operations and Estimates, </w:t>
      </w:r>
      <w:r>
        <w:rPr>
          <w:rFonts w:ascii="Calibri" w:eastAsia="Calibri" w:hAnsi="Calibri" w:cs="Calibri"/>
          <w:i/>
          <w:iCs/>
          <w:sz w:val="20"/>
          <w:szCs w:val="20"/>
        </w:rPr>
        <w:t>Strengthening the Protection of the Public Interest within the Public Servants Disclosure Protection Act</w:t>
      </w:r>
      <w:r>
        <w:rPr>
          <w:rFonts w:ascii="Calibri" w:eastAsia="Calibri" w:hAnsi="Calibri" w:cs="Calibri"/>
          <w:sz w:val="20"/>
          <w:szCs w:val="20"/>
        </w:rPr>
        <w:t xml:space="preserve">, </w:t>
      </w:r>
      <w:r>
        <w:rPr>
          <w:rFonts w:ascii="Calibri" w:eastAsia="Calibri" w:hAnsi="Calibri" w:cs="Calibri"/>
          <w:i/>
          <w:iCs/>
          <w:sz w:val="20"/>
          <w:szCs w:val="20"/>
        </w:rPr>
        <w:t xml:space="preserve">supra </w:t>
      </w:r>
      <w:r>
        <w:rPr>
          <w:rFonts w:ascii="Calibri" w:eastAsia="Calibri" w:hAnsi="Calibri" w:cs="Calibri"/>
          <w:sz w:val="20"/>
          <w:szCs w:val="20"/>
        </w:rPr>
        <w:t xml:space="preserve">note 5 at p. 30. </w:t>
      </w:r>
    </w:p>
  </w:footnote>
  <w:footnote w:id="44">
    <w:p w14:paraId="30823AC8"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p>
  </w:footnote>
  <w:footnote w:id="45">
    <w:p w14:paraId="0F15CD45" w14:textId="77777777" w:rsidR="00822F51" w:rsidRDefault="001A22F2">
      <w:pPr>
        <w:spacing w:line="240" w:lineRule="auto"/>
        <w:rPr>
          <w:sz w:val="20"/>
          <w:szCs w:val="20"/>
        </w:rPr>
      </w:pPr>
      <w:r>
        <w:rPr>
          <w:vertAlign w:val="superscript"/>
        </w:rPr>
        <w:footnoteRef/>
      </w:r>
      <w:r>
        <w:rPr>
          <w:rFonts w:ascii="Calibri" w:eastAsia="Calibri" w:hAnsi="Calibri" w:cs="Calibri"/>
          <w:i/>
          <w:iCs/>
          <w:sz w:val="20"/>
          <w:szCs w:val="20"/>
        </w:rPr>
        <w:t>Public Interest Disclosure (Whistleblower Protection) Ac</w:t>
      </w:r>
      <w:r>
        <w:rPr>
          <w:rFonts w:ascii="Calibri" w:eastAsia="Calibri" w:hAnsi="Calibri" w:cs="Calibri"/>
          <w:sz w:val="20"/>
          <w:szCs w:val="20"/>
        </w:rPr>
        <w:t xml:space="preserve">t (Alberta) 1(f), 24(1); </w:t>
      </w:r>
      <w:r>
        <w:rPr>
          <w:rFonts w:ascii="Calibri" w:eastAsia="Calibri" w:hAnsi="Calibri" w:cs="Calibri"/>
          <w:i/>
          <w:iCs/>
          <w:sz w:val="20"/>
          <w:szCs w:val="20"/>
        </w:rPr>
        <w:t>Public Interest Disclosure Act,</w:t>
      </w:r>
      <w:r>
        <w:rPr>
          <w:rFonts w:ascii="Calibri" w:eastAsia="Calibri" w:hAnsi="Calibri" w:cs="Calibri"/>
          <w:sz w:val="20"/>
          <w:szCs w:val="20"/>
        </w:rPr>
        <w:t xml:space="preserve"> ss.12, 31(1) (British Columbia); </w:t>
      </w:r>
      <w:r>
        <w:rPr>
          <w:rFonts w:ascii="Calibri" w:eastAsia="Calibri" w:hAnsi="Calibri" w:cs="Calibri"/>
          <w:i/>
          <w:iCs/>
          <w:sz w:val="20"/>
          <w:szCs w:val="20"/>
        </w:rPr>
        <w:t>The Public Interest Disclosure (Whistleblower Protection) Act</w:t>
      </w:r>
      <w:r>
        <w:rPr>
          <w:rFonts w:ascii="Calibri" w:eastAsia="Calibri" w:hAnsi="Calibri" w:cs="Calibri"/>
          <w:sz w:val="20"/>
          <w:szCs w:val="20"/>
        </w:rPr>
        <w:t>, ss. 2, 27 (Manitoba);</w:t>
      </w:r>
      <w:r>
        <w:rPr>
          <w:rFonts w:ascii="Calibri" w:eastAsia="Calibri" w:hAnsi="Calibri" w:cs="Calibri"/>
          <w:i/>
          <w:iCs/>
          <w:sz w:val="20"/>
          <w:szCs w:val="20"/>
        </w:rPr>
        <w:t xml:space="preserve"> Public Interest Disclosure Act</w:t>
      </w:r>
      <w:r>
        <w:rPr>
          <w:rFonts w:ascii="Calibri" w:eastAsia="Calibri" w:hAnsi="Calibri" w:cs="Calibri"/>
          <w:sz w:val="20"/>
          <w:szCs w:val="20"/>
        </w:rPr>
        <w:t xml:space="preserve">, ss. 3(1), 9(1) (New Brunswick); </w:t>
      </w:r>
      <w:r>
        <w:rPr>
          <w:rFonts w:ascii="Calibri" w:eastAsia="Calibri" w:hAnsi="Calibri" w:cs="Calibri"/>
          <w:i/>
          <w:iCs/>
          <w:sz w:val="20"/>
          <w:szCs w:val="20"/>
        </w:rPr>
        <w:t>Public Interest Disclosure and Whistleblower Protection Act</w:t>
      </w:r>
      <w:r>
        <w:rPr>
          <w:rFonts w:ascii="Calibri" w:eastAsia="Calibri" w:hAnsi="Calibri" w:cs="Calibri"/>
          <w:sz w:val="20"/>
          <w:szCs w:val="20"/>
        </w:rPr>
        <w:t xml:space="preserve">, ss. 3(1), 19(1) (Newfoundland and Labrador); </w:t>
      </w:r>
      <w:r>
        <w:rPr>
          <w:rFonts w:ascii="Calibri" w:eastAsia="Calibri" w:hAnsi="Calibri" w:cs="Calibri"/>
          <w:i/>
          <w:iCs/>
          <w:sz w:val="20"/>
          <w:szCs w:val="20"/>
        </w:rPr>
        <w:t>Public Interest Disclosure of Wrongdoing Act</w:t>
      </w:r>
      <w:r>
        <w:rPr>
          <w:rFonts w:ascii="Calibri" w:eastAsia="Calibri" w:hAnsi="Calibri" w:cs="Calibri"/>
          <w:sz w:val="20"/>
          <w:szCs w:val="20"/>
        </w:rPr>
        <w:t xml:space="preserve">, ss. 3(1), 9(1) (Nova Scotia); </w:t>
      </w:r>
      <w:r>
        <w:rPr>
          <w:rFonts w:ascii="Calibri" w:eastAsia="Calibri" w:hAnsi="Calibri" w:cs="Calibri"/>
          <w:i/>
          <w:iCs/>
          <w:sz w:val="20"/>
          <w:szCs w:val="20"/>
        </w:rPr>
        <w:t>The</w:t>
      </w:r>
      <w:r>
        <w:rPr>
          <w:rFonts w:ascii="Calibri" w:eastAsia="Calibri" w:hAnsi="Calibri" w:cs="Calibri"/>
          <w:sz w:val="20"/>
          <w:szCs w:val="20"/>
        </w:rPr>
        <w:t xml:space="preserve"> </w:t>
      </w:r>
      <w:r>
        <w:rPr>
          <w:rFonts w:ascii="Calibri" w:eastAsia="Calibri" w:hAnsi="Calibri" w:cs="Calibri"/>
          <w:i/>
          <w:iCs/>
          <w:sz w:val="20"/>
          <w:szCs w:val="20"/>
        </w:rPr>
        <w:t xml:space="preserve">Public Service of Ontario Act </w:t>
      </w:r>
      <w:r>
        <w:rPr>
          <w:rFonts w:ascii="Calibri" w:eastAsia="Calibri" w:hAnsi="Calibri" w:cs="Calibri"/>
          <w:sz w:val="20"/>
          <w:szCs w:val="20"/>
        </w:rPr>
        <w:t>(</w:t>
      </w:r>
      <w:r>
        <w:rPr>
          <w:rFonts w:ascii="Calibri" w:eastAsia="Calibri" w:hAnsi="Calibri" w:cs="Calibri"/>
          <w:sz w:val="20"/>
          <w:szCs w:val="20"/>
        </w:rPr>
        <w:t>Ontario);</w:t>
      </w:r>
      <w:r>
        <w:rPr>
          <w:rFonts w:ascii="Calibri" w:eastAsia="Calibri" w:hAnsi="Calibri" w:cs="Calibri"/>
          <w:i/>
          <w:iCs/>
          <w:sz w:val="20"/>
          <w:szCs w:val="20"/>
        </w:rPr>
        <w:t xml:space="preserve"> Public Interest Disclosure and Whistleblower Protection Act, </w:t>
      </w:r>
      <w:r>
        <w:rPr>
          <w:rFonts w:ascii="Calibri" w:eastAsia="Calibri" w:hAnsi="Calibri" w:cs="Calibri"/>
          <w:sz w:val="20"/>
          <w:szCs w:val="20"/>
        </w:rPr>
        <w:t xml:space="preserve">ss. 3(1), 15(1) (Prince Edward Island); </w:t>
      </w:r>
      <w:r>
        <w:rPr>
          <w:rFonts w:ascii="Calibri" w:eastAsia="Calibri" w:hAnsi="Calibri" w:cs="Calibri"/>
          <w:i/>
          <w:iCs/>
          <w:sz w:val="20"/>
          <w:szCs w:val="20"/>
        </w:rPr>
        <w:t>The Public Interest Disclosure Act</w:t>
      </w:r>
      <w:r>
        <w:rPr>
          <w:rFonts w:ascii="Calibri" w:eastAsia="Calibri" w:hAnsi="Calibri" w:cs="Calibri"/>
          <w:sz w:val="20"/>
          <w:szCs w:val="20"/>
        </w:rPr>
        <w:t xml:space="preserve"> (Saskatchewan); </w:t>
      </w:r>
      <w:r>
        <w:rPr>
          <w:rFonts w:ascii="Calibri" w:eastAsia="Calibri" w:hAnsi="Calibri" w:cs="Calibri"/>
          <w:i/>
          <w:iCs/>
          <w:sz w:val="20"/>
          <w:szCs w:val="20"/>
        </w:rPr>
        <w:t xml:space="preserve">Act to facilitate the disclosure of wrongdoings relating to public bodies, </w:t>
      </w:r>
      <w:r>
        <w:rPr>
          <w:rFonts w:ascii="Calibri" w:eastAsia="Calibri" w:hAnsi="Calibri" w:cs="Calibri"/>
          <w:sz w:val="20"/>
          <w:szCs w:val="20"/>
        </w:rPr>
        <w:t xml:space="preserve">ss. 6, 34 (Quebec); </w:t>
      </w:r>
      <w:r>
        <w:rPr>
          <w:rFonts w:ascii="Calibri" w:eastAsia="Calibri" w:hAnsi="Calibri" w:cs="Calibri"/>
          <w:i/>
          <w:iCs/>
          <w:sz w:val="20"/>
          <w:szCs w:val="20"/>
        </w:rPr>
        <w:t>Public Interest Disclosure Of Wrongdoing Ac</w:t>
      </w:r>
      <w:r>
        <w:rPr>
          <w:rFonts w:ascii="Calibri" w:eastAsia="Calibri" w:hAnsi="Calibri" w:cs="Calibri"/>
          <w:sz w:val="20"/>
          <w:szCs w:val="20"/>
        </w:rPr>
        <w:t>t, ss. 2, 25 (Yukon).</w:t>
      </w:r>
    </w:p>
  </w:footnote>
  <w:footnote w:id="46">
    <w:p w14:paraId="527095E6" w14:textId="3E8C80E6"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International Bar Association, </w:t>
      </w:r>
      <w:r>
        <w:rPr>
          <w:rFonts w:ascii="Calibri" w:eastAsia="Calibri" w:hAnsi="Calibri" w:cs="Calibri"/>
          <w:i/>
          <w:iCs/>
          <w:sz w:val="20"/>
          <w:szCs w:val="20"/>
        </w:rPr>
        <w:t>Whistleblower Protections: A Guide, supra</w:t>
      </w:r>
      <w:r>
        <w:rPr>
          <w:rFonts w:ascii="Calibri" w:eastAsia="Calibri" w:hAnsi="Calibri" w:cs="Calibri"/>
          <w:sz w:val="20"/>
          <w:szCs w:val="20"/>
        </w:rPr>
        <w:t xml:space="preserve"> note 2</w:t>
      </w:r>
      <w:r w:rsidR="00155F46">
        <w:rPr>
          <w:rFonts w:ascii="Calibri" w:eastAsia="Calibri" w:hAnsi="Calibri" w:cs="Calibri"/>
          <w:sz w:val="20"/>
          <w:szCs w:val="20"/>
        </w:rPr>
        <w:t>8</w:t>
      </w:r>
      <w:r>
        <w:rPr>
          <w:rFonts w:ascii="Calibri" w:eastAsia="Calibri" w:hAnsi="Calibri" w:cs="Calibri"/>
          <w:sz w:val="20"/>
          <w:szCs w:val="20"/>
        </w:rPr>
        <w:t xml:space="preserve"> at pp. 22-23.  See also: </w:t>
      </w:r>
      <w:r>
        <w:rPr>
          <w:rFonts w:ascii="Calibri" w:eastAsia="Calibri" w:hAnsi="Calibri" w:cs="Calibri"/>
          <w:i/>
          <w:iCs/>
          <w:sz w:val="20"/>
          <w:szCs w:val="20"/>
        </w:rPr>
        <w:t>Directive (EU) 2019/1937 of the European Parliament and of the Council of 23 October 2019 on the protection of persons who report breaches of Union law</w:t>
      </w:r>
      <w:r>
        <w:rPr>
          <w:rFonts w:ascii="Calibri" w:eastAsia="Calibri" w:hAnsi="Calibri" w:cs="Calibri"/>
          <w:sz w:val="20"/>
          <w:szCs w:val="20"/>
        </w:rPr>
        <w:t>, art 32, 2019 OJ (L 305) 17, para 32, online: &lt;</w:t>
      </w:r>
      <w:hyperlink r:id="rId35">
        <w:r w:rsidR="00822F51">
          <w:rPr>
            <w:rFonts w:ascii="Calibri" w:eastAsia="Calibri" w:hAnsi="Calibri" w:cs="Calibri"/>
            <w:color w:val="1155CC"/>
            <w:sz w:val="20"/>
            <w:szCs w:val="20"/>
            <w:u w:val="single"/>
          </w:rPr>
          <w:t>https://eur-lex.europa.eu/legal-content/en/TXT/?uri=CELEX:32019L1937</w:t>
        </w:r>
      </w:hyperlink>
      <w:r>
        <w:rPr>
          <w:rFonts w:ascii="Calibri" w:eastAsia="Calibri" w:hAnsi="Calibri" w:cs="Calibri"/>
          <w:sz w:val="20"/>
          <w:szCs w:val="20"/>
        </w:rPr>
        <w:t>&gt;.</w:t>
      </w:r>
    </w:p>
  </w:footnote>
  <w:footnote w:id="47">
    <w:p w14:paraId="44337D7C" w14:textId="5614D90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International Bar Association, </w:t>
      </w:r>
      <w:r>
        <w:rPr>
          <w:rFonts w:ascii="Calibri" w:eastAsia="Calibri" w:hAnsi="Calibri" w:cs="Calibri"/>
          <w:i/>
          <w:iCs/>
          <w:sz w:val="20"/>
          <w:szCs w:val="20"/>
        </w:rPr>
        <w:t>Whistleblower Protections: A Guide, supra</w:t>
      </w:r>
      <w:r>
        <w:rPr>
          <w:rFonts w:ascii="Calibri" w:eastAsia="Calibri" w:hAnsi="Calibri" w:cs="Calibri"/>
          <w:sz w:val="20"/>
          <w:szCs w:val="20"/>
        </w:rPr>
        <w:t xml:space="preserve"> note 2</w:t>
      </w:r>
      <w:r w:rsidR="00155F46">
        <w:rPr>
          <w:rFonts w:ascii="Calibri" w:eastAsia="Calibri" w:hAnsi="Calibri" w:cs="Calibri"/>
          <w:sz w:val="20"/>
          <w:szCs w:val="20"/>
        </w:rPr>
        <w:t>8</w:t>
      </w:r>
      <w:r>
        <w:rPr>
          <w:rFonts w:ascii="Calibri" w:eastAsia="Calibri" w:hAnsi="Calibri" w:cs="Calibri"/>
          <w:sz w:val="20"/>
          <w:szCs w:val="20"/>
        </w:rPr>
        <w:t xml:space="preserve"> at p. 22.</w:t>
      </w:r>
    </w:p>
  </w:footnote>
  <w:footnote w:id="48">
    <w:p w14:paraId="0661CB3A" w14:textId="7777777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Devine, “International Best Practices for Whistleblower Policies”, </w:t>
      </w:r>
      <w:r>
        <w:rPr>
          <w:rFonts w:ascii="Calibri" w:eastAsia="Calibri" w:hAnsi="Calibri" w:cs="Calibri"/>
          <w:i/>
          <w:iCs/>
          <w:sz w:val="20"/>
          <w:szCs w:val="20"/>
        </w:rPr>
        <w:t>supra</w:t>
      </w:r>
      <w:r>
        <w:rPr>
          <w:rFonts w:ascii="Calibri" w:eastAsia="Calibri" w:hAnsi="Calibri" w:cs="Calibri"/>
          <w:sz w:val="20"/>
          <w:szCs w:val="20"/>
        </w:rPr>
        <w:t xml:space="preserve"> note 22 at p. 5.</w:t>
      </w:r>
    </w:p>
  </w:footnote>
  <w:footnote w:id="49">
    <w:p w14:paraId="70BE26FD"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 xml:space="preserve">Public Servants Disclosure Protection Act, </w:t>
      </w:r>
      <w:r>
        <w:rPr>
          <w:rFonts w:ascii="Calibri" w:eastAsia="Calibri" w:hAnsi="Calibri" w:cs="Calibri"/>
          <w:sz w:val="20"/>
          <w:szCs w:val="20"/>
        </w:rPr>
        <w:t>s. 11-12.</w:t>
      </w:r>
    </w:p>
  </w:footnote>
  <w:footnote w:id="50">
    <w:p w14:paraId="49EABD95" w14:textId="77777777" w:rsidR="00822F51" w:rsidRDefault="001A22F2">
      <w:pPr>
        <w:spacing w:line="240" w:lineRule="auto"/>
        <w:rPr>
          <w:sz w:val="20"/>
          <w:szCs w:val="20"/>
        </w:rPr>
      </w:pPr>
      <w:r>
        <w:rPr>
          <w:vertAlign w:val="superscript"/>
        </w:rPr>
        <w:footnoteRef/>
      </w:r>
      <w:r>
        <w:rPr>
          <w:rFonts w:ascii="Calibri" w:eastAsia="Calibri" w:hAnsi="Calibri" w:cs="Calibri"/>
          <w:i/>
          <w:iCs/>
          <w:sz w:val="20"/>
          <w:szCs w:val="20"/>
        </w:rPr>
        <w:t>Public Interest Disclosure (Whistleblower Protection) Ac</w:t>
      </w:r>
      <w:r>
        <w:rPr>
          <w:rFonts w:ascii="Calibri" w:eastAsia="Calibri" w:hAnsi="Calibri" w:cs="Calibri"/>
          <w:sz w:val="20"/>
          <w:szCs w:val="20"/>
        </w:rPr>
        <w:t xml:space="preserve">t (Alberta); </w:t>
      </w:r>
      <w:r>
        <w:rPr>
          <w:rFonts w:ascii="Calibri" w:eastAsia="Calibri" w:hAnsi="Calibri" w:cs="Calibri"/>
          <w:i/>
          <w:iCs/>
          <w:sz w:val="20"/>
          <w:szCs w:val="20"/>
        </w:rPr>
        <w:t>The Public Interest Disclosure (Whistleblower Protection) Act</w:t>
      </w:r>
      <w:r>
        <w:rPr>
          <w:rFonts w:ascii="Calibri" w:eastAsia="Calibri" w:hAnsi="Calibri" w:cs="Calibri"/>
          <w:sz w:val="20"/>
          <w:szCs w:val="20"/>
        </w:rPr>
        <w:t xml:space="preserve"> (Manitoba);</w:t>
      </w:r>
      <w:r>
        <w:rPr>
          <w:rFonts w:ascii="Calibri" w:eastAsia="Calibri" w:hAnsi="Calibri" w:cs="Calibri"/>
          <w:i/>
          <w:iCs/>
          <w:sz w:val="20"/>
          <w:szCs w:val="20"/>
        </w:rPr>
        <w:t xml:space="preserve"> Public Interest Disclosure Act</w:t>
      </w:r>
      <w:r>
        <w:rPr>
          <w:rFonts w:ascii="Calibri" w:eastAsia="Calibri" w:hAnsi="Calibri" w:cs="Calibri"/>
          <w:sz w:val="20"/>
          <w:szCs w:val="20"/>
        </w:rPr>
        <w:t xml:space="preserve"> (New Brunswick); </w:t>
      </w:r>
      <w:r>
        <w:rPr>
          <w:rFonts w:ascii="Calibri" w:eastAsia="Calibri" w:hAnsi="Calibri" w:cs="Calibri"/>
          <w:i/>
          <w:iCs/>
          <w:sz w:val="20"/>
          <w:szCs w:val="20"/>
        </w:rPr>
        <w:t>Public Interest Disclosure and Whistleblower Protection Act</w:t>
      </w:r>
      <w:r>
        <w:rPr>
          <w:rFonts w:ascii="Calibri" w:eastAsia="Calibri" w:hAnsi="Calibri" w:cs="Calibri"/>
          <w:sz w:val="20"/>
          <w:szCs w:val="20"/>
        </w:rPr>
        <w:t xml:space="preserve"> (Newfoundland and Labrador); </w:t>
      </w:r>
      <w:r>
        <w:rPr>
          <w:rFonts w:ascii="Calibri" w:eastAsia="Calibri" w:hAnsi="Calibri" w:cs="Calibri"/>
          <w:i/>
          <w:iCs/>
          <w:sz w:val="20"/>
          <w:szCs w:val="20"/>
        </w:rPr>
        <w:t>Public Interest Disclosure of Wrongdoing Act</w:t>
      </w:r>
      <w:r>
        <w:rPr>
          <w:rFonts w:ascii="Calibri" w:eastAsia="Calibri" w:hAnsi="Calibri" w:cs="Calibri"/>
          <w:sz w:val="20"/>
          <w:szCs w:val="20"/>
        </w:rPr>
        <w:t xml:space="preserve"> (Nova Scotia); </w:t>
      </w:r>
      <w:r>
        <w:rPr>
          <w:rFonts w:ascii="Calibri" w:eastAsia="Calibri" w:hAnsi="Calibri" w:cs="Calibri"/>
          <w:i/>
          <w:iCs/>
          <w:sz w:val="20"/>
          <w:szCs w:val="20"/>
        </w:rPr>
        <w:t>The</w:t>
      </w:r>
      <w:r>
        <w:rPr>
          <w:rFonts w:ascii="Calibri" w:eastAsia="Calibri" w:hAnsi="Calibri" w:cs="Calibri"/>
          <w:sz w:val="20"/>
          <w:szCs w:val="20"/>
        </w:rPr>
        <w:t xml:space="preserve"> </w:t>
      </w:r>
      <w:r>
        <w:rPr>
          <w:rFonts w:ascii="Calibri" w:eastAsia="Calibri" w:hAnsi="Calibri" w:cs="Calibri"/>
          <w:i/>
          <w:iCs/>
          <w:sz w:val="20"/>
          <w:szCs w:val="20"/>
        </w:rPr>
        <w:t xml:space="preserve">Public Service of Ontario Act </w:t>
      </w:r>
      <w:r>
        <w:rPr>
          <w:rFonts w:ascii="Calibri" w:eastAsia="Calibri" w:hAnsi="Calibri" w:cs="Calibri"/>
          <w:sz w:val="20"/>
          <w:szCs w:val="20"/>
        </w:rPr>
        <w:t>(Ontario);</w:t>
      </w:r>
      <w:r>
        <w:rPr>
          <w:rFonts w:ascii="Calibri" w:eastAsia="Calibri" w:hAnsi="Calibri" w:cs="Calibri"/>
          <w:i/>
          <w:iCs/>
          <w:sz w:val="20"/>
          <w:szCs w:val="20"/>
        </w:rPr>
        <w:t xml:space="preserve"> Public Interest Disclosure and Whistleblower Protection Act</w:t>
      </w:r>
      <w:r>
        <w:rPr>
          <w:rFonts w:ascii="Calibri" w:eastAsia="Calibri" w:hAnsi="Calibri" w:cs="Calibri"/>
          <w:sz w:val="20"/>
          <w:szCs w:val="20"/>
        </w:rPr>
        <w:t xml:space="preserve"> (Prince Edward Island); </w:t>
      </w:r>
      <w:r>
        <w:rPr>
          <w:rFonts w:ascii="Calibri" w:eastAsia="Calibri" w:hAnsi="Calibri" w:cs="Calibri"/>
          <w:i/>
          <w:iCs/>
          <w:sz w:val="20"/>
          <w:szCs w:val="20"/>
        </w:rPr>
        <w:t>The Public Interest Disclosure Act</w:t>
      </w:r>
      <w:r>
        <w:rPr>
          <w:rFonts w:ascii="Calibri" w:eastAsia="Calibri" w:hAnsi="Calibri" w:cs="Calibri"/>
          <w:sz w:val="20"/>
          <w:szCs w:val="20"/>
        </w:rPr>
        <w:t xml:space="preserve"> (Saskatchewan); </w:t>
      </w:r>
      <w:r>
        <w:rPr>
          <w:rFonts w:ascii="Calibri" w:eastAsia="Calibri" w:hAnsi="Calibri" w:cs="Calibri"/>
          <w:i/>
          <w:iCs/>
          <w:sz w:val="20"/>
          <w:szCs w:val="20"/>
        </w:rPr>
        <w:t>Public Interest Disclosure Of Wrongdoing Ac</w:t>
      </w:r>
      <w:r>
        <w:rPr>
          <w:rFonts w:ascii="Calibri" w:eastAsia="Calibri" w:hAnsi="Calibri" w:cs="Calibri"/>
          <w:sz w:val="20"/>
          <w:szCs w:val="20"/>
        </w:rPr>
        <w:t>t (Yukon).</w:t>
      </w:r>
    </w:p>
  </w:footnote>
  <w:footnote w:id="51">
    <w:p w14:paraId="4D77D8C4"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Public Interest Disclosure Act</w:t>
      </w:r>
      <w:r>
        <w:rPr>
          <w:rFonts w:ascii="Calibri" w:eastAsia="Calibri" w:hAnsi="Calibri" w:cs="Calibri"/>
          <w:sz w:val="20"/>
          <w:szCs w:val="20"/>
        </w:rPr>
        <w:t>, s. 45. (British Columbia)</w:t>
      </w:r>
    </w:p>
  </w:footnote>
  <w:footnote w:id="52">
    <w:p w14:paraId="09C3B6AA" w14:textId="5CD0143A"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Canadian and British caselaw has long established that disclosing illegal acts is an exception to the duty of loyalty and confidentiality to one’s employer. See: </w:t>
      </w:r>
      <w:r w:rsidRPr="00310030">
        <w:rPr>
          <w:rFonts w:ascii="Calibri" w:eastAsia="Calibri" w:hAnsi="Calibri" w:cs="Calibri"/>
          <w:i/>
          <w:iCs/>
          <w:sz w:val="20"/>
          <w:szCs w:val="20"/>
        </w:rPr>
        <w:t>Gartside v. Outram</w:t>
      </w:r>
      <w:r>
        <w:rPr>
          <w:rFonts w:ascii="Calibri" w:eastAsia="Calibri" w:hAnsi="Calibri" w:cs="Calibri"/>
          <w:sz w:val="20"/>
          <w:szCs w:val="20"/>
        </w:rPr>
        <w:t xml:space="preserve"> (1857) 26 LJ Ch. 113; </w:t>
      </w:r>
      <w:r w:rsidRPr="00310030">
        <w:rPr>
          <w:rFonts w:ascii="Calibri" w:eastAsia="Calibri" w:hAnsi="Calibri" w:cs="Calibri"/>
          <w:i/>
          <w:iCs/>
          <w:sz w:val="20"/>
          <w:szCs w:val="20"/>
        </w:rPr>
        <w:t>Fraser v. Public Service Staff Relations Board</w:t>
      </w:r>
      <w:r>
        <w:rPr>
          <w:rFonts w:ascii="Calibri" w:eastAsia="Calibri" w:hAnsi="Calibri" w:cs="Calibri"/>
          <w:sz w:val="20"/>
          <w:szCs w:val="20"/>
        </w:rPr>
        <w:t xml:space="preserve">, [1985] 2 S.C.R. 455; </w:t>
      </w:r>
      <w:r w:rsidRPr="00310030">
        <w:rPr>
          <w:rFonts w:ascii="Calibri" w:eastAsia="Calibri" w:hAnsi="Calibri" w:cs="Calibri"/>
          <w:i/>
          <w:iCs/>
          <w:sz w:val="20"/>
          <w:szCs w:val="20"/>
        </w:rPr>
        <w:t>Merk v. International Association of Bridge, Structural, Ornamental and Reinforcing Iron Workers</w:t>
      </w:r>
      <w:r>
        <w:rPr>
          <w:rFonts w:ascii="Calibri" w:eastAsia="Calibri" w:hAnsi="Calibri" w:cs="Calibri"/>
          <w:sz w:val="20"/>
          <w:szCs w:val="20"/>
        </w:rPr>
        <w:t>, Local 771 2005 SCC 70.</w:t>
      </w:r>
    </w:p>
  </w:footnote>
  <w:footnote w:id="53">
    <w:p w14:paraId="34435AF8"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Standing Committee on Government Operations and Estimates, </w:t>
      </w:r>
      <w:r>
        <w:rPr>
          <w:rFonts w:ascii="Calibri" w:eastAsia="Calibri" w:hAnsi="Calibri" w:cs="Calibri"/>
          <w:i/>
          <w:iCs/>
          <w:sz w:val="20"/>
          <w:szCs w:val="20"/>
        </w:rPr>
        <w:t>Strengthening the Protection of the Public Interest within the Public Servants Disclosure Protection Act</w:t>
      </w:r>
      <w:r>
        <w:rPr>
          <w:rFonts w:ascii="Calibri" w:eastAsia="Calibri" w:hAnsi="Calibri" w:cs="Calibri"/>
          <w:sz w:val="20"/>
          <w:szCs w:val="20"/>
        </w:rPr>
        <w:t xml:space="preserve">, </w:t>
      </w:r>
      <w:r>
        <w:rPr>
          <w:rFonts w:ascii="Calibri" w:eastAsia="Calibri" w:hAnsi="Calibri" w:cs="Calibri"/>
          <w:i/>
          <w:iCs/>
          <w:sz w:val="20"/>
          <w:szCs w:val="20"/>
        </w:rPr>
        <w:t xml:space="preserve">supra </w:t>
      </w:r>
      <w:r>
        <w:rPr>
          <w:rFonts w:ascii="Calibri" w:eastAsia="Calibri" w:hAnsi="Calibri" w:cs="Calibri"/>
          <w:sz w:val="20"/>
          <w:szCs w:val="20"/>
        </w:rPr>
        <w:t>note 5 at p. 44.</w:t>
      </w:r>
    </w:p>
  </w:footnote>
  <w:footnote w:id="54">
    <w:p w14:paraId="1705B350"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 xml:space="preserve">Public Servants Disclosure Protection Act, </w:t>
      </w:r>
      <w:r>
        <w:rPr>
          <w:rFonts w:ascii="Calibri" w:eastAsia="Calibri" w:hAnsi="Calibri" w:cs="Calibri"/>
          <w:sz w:val="20"/>
          <w:szCs w:val="20"/>
        </w:rPr>
        <w:t>s. 19.</w:t>
      </w:r>
    </w:p>
  </w:footnote>
  <w:footnote w:id="55">
    <w:p w14:paraId="50BCC806" w14:textId="77777777" w:rsidR="00822F51" w:rsidRDefault="001A22F2">
      <w:pPr>
        <w:spacing w:line="240" w:lineRule="auto"/>
        <w:rPr>
          <w:rFonts w:ascii="Calibri" w:eastAsia="Calibri" w:hAnsi="Calibri" w:cs="Calibri"/>
          <w:i/>
          <w:iCs/>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p>
  </w:footnote>
  <w:footnote w:id="56">
    <w:p w14:paraId="75525E5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Standing Committee on Government Operations and Estimates, </w:t>
      </w:r>
      <w:r>
        <w:rPr>
          <w:rFonts w:ascii="Calibri" w:eastAsia="Calibri" w:hAnsi="Calibri" w:cs="Calibri"/>
          <w:i/>
          <w:iCs/>
          <w:sz w:val="20"/>
          <w:szCs w:val="20"/>
        </w:rPr>
        <w:t>Strengthening the Protection of the Public Interest within the Public Servants Disclosure Protection Act</w:t>
      </w:r>
      <w:r>
        <w:rPr>
          <w:rFonts w:ascii="Calibri" w:eastAsia="Calibri" w:hAnsi="Calibri" w:cs="Calibri"/>
          <w:sz w:val="20"/>
          <w:szCs w:val="20"/>
        </w:rPr>
        <w:t xml:space="preserve">, </w:t>
      </w:r>
      <w:r>
        <w:rPr>
          <w:rFonts w:ascii="Calibri" w:eastAsia="Calibri" w:hAnsi="Calibri" w:cs="Calibri"/>
          <w:i/>
          <w:iCs/>
          <w:sz w:val="20"/>
          <w:szCs w:val="20"/>
        </w:rPr>
        <w:t xml:space="preserve">supra </w:t>
      </w:r>
      <w:r>
        <w:rPr>
          <w:rFonts w:ascii="Calibri" w:eastAsia="Calibri" w:hAnsi="Calibri" w:cs="Calibri"/>
          <w:sz w:val="20"/>
          <w:szCs w:val="20"/>
        </w:rPr>
        <w:t>note 5 at p. 45.</w:t>
      </w:r>
    </w:p>
  </w:footnote>
  <w:footnote w:id="57">
    <w:p w14:paraId="73FA8A2B"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p. 44.</w:t>
      </w:r>
    </w:p>
  </w:footnote>
  <w:footnote w:id="58">
    <w:p w14:paraId="6D938DFA" w14:textId="6496E5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w:t>
      </w:r>
      <w:r>
        <w:rPr>
          <w:rFonts w:ascii="Calibri" w:eastAsia="Calibri" w:hAnsi="Calibri" w:cs="Calibri"/>
          <w:sz w:val="20"/>
          <w:szCs w:val="20"/>
        </w:rPr>
        <w:t xml:space="preserve">Hutton, </w:t>
      </w:r>
      <w:r>
        <w:rPr>
          <w:rFonts w:ascii="Calibri" w:eastAsia="Calibri" w:hAnsi="Calibri" w:cs="Calibri"/>
          <w:i/>
          <w:iCs/>
          <w:sz w:val="20"/>
          <w:szCs w:val="20"/>
        </w:rPr>
        <w:t>What’s Wrong with Canada’s Federal Whistleblower Legislation</w:t>
      </w:r>
      <w:r>
        <w:rPr>
          <w:rFonts w:ascii="Calibri" w:eastAsia="Calibri" w:hAnsi="Calibri" w:cs="Calibri"/>
          <w:sz w:val="20"/>
          <w:szCs w:val="20"/>
        </w:rPr>
        <w:t xml:space="preserve">, </w:t>
      </w:r>
      <w:r>
        <w:rPr>
          <w:rFonts w:ascii="Calibri" w:eastAsia="Calibri" w:hAnsi="Calibri" w:cs="Calibri"/>
          <w:i/>
          <w:iCs/>
          <w:sz w:val="20"/>
          <w:szCs w:val="20"/>
        </w:rPr>
        <w:t>supra</w:t>
      </w:r>
      <w:r>
        <w:rPr>
          <w:rFonts w:ascii="Calibri" w:eastAsia="Calibri" w:hAnsi="Calibri" w:cs="Calibri"/>
          <w:sz w:val="20"/>
          <w:szCs w:val="20"/>
        </w:rPr>
        <w:t xml:space="preserve"> note 3</w:t>
      </w:r>
      <w:r w:rsidR="00155F46">
        <w:rPr>
          <w:rFonts w:ascii="Calibri" w:eastAsia="Calibri" w:hAnsi="Calibri" w:cs="Calibri"/>
          <w:sz w:val="20"/>
          <w:szCs w:val="20"/>
        </w:rPr>
        <w:t>2</w:t>
      </w:r>
      <w:r>
        <w:rPr>
          <w:rFonts w:ascii="Calibri" w:eastAsia="Calibri" w:hAnsi="Calibri" w:cs="Calibri"/>
          <w:sz w:val="20"/>
          <w:szCs w:val="20"/>
        </w:rPr>
        <w:t xml:space="preserve"> at pp. 18-19; </w:t>
      </w:r>
      <w:r>
        <w:rPr>
          <w:rFonts w:ascii="Calibri" w:eastAsia="Calibri" w:hAnsi="Calibri" w:cs="Calibri"/>
          <w:i/>
          <w:iCs/>
          <w:sz w:val="20"/>
          <w:szCs w:val="20"/>
        </w:rPr>
        <w:t xml:space="preserve">Public Servants Disclosure Protection Act, </w:t>
      </w:r>
      <w:r>
        <w:rPr>
          <w:rFonts w:ascii="Calibri" w:eastAsia="Calibri" w:hAnsi="Calibri" w:cs="Calibri"/>
          <w:sz w:val="20"/>
          <w:szCs w:val="20"/>
        </w:rPr>
        <w:t>s.19.3(1).</w:t>
      </w:r>
    </w:p>
  </w:footnote>
  <w:footnote w:id="59">
    <w:p w14:paraId="212757B0" w14:textId="36A9A7A5" w:rsidR="00310030" w:rsidRPr="00310030" w:rsidRDefault="00310030">
      <w:pPr>
        <w:pStyle w:val="FootnoteText"/>
        <w:rPr>
          <w:lang w:val="en-CA"/>
        </w:rPr>
      </w:pPr>
      <w:r>
        <w:rPr>
          <w:rStyle w:val="FootnoteReference"/>
        </w:rPr>
        <w:footnoteRef/>
      </w:r>
      <w:r>
        <w:t xml:space="preserve"> </w:t>
      </w:r>
      <w:r>
        <w:rPr>
          <w:rFonts w:ascii="Calibri" w:eastAsia="Calibri" w:hAnsi="Calibri" w:cs="Calibri"/>
        </w:rPr>
        <w:t xml:space="preserve">See: </w:t>
      </w:r>
      <w:r>
        <w:rPr>
          <w:rFonts w:ascii="Calibri" w:eastAsia="Calibri" w:hAnsi="Calibri" w:cs="Calibri"/>
          <w:i/>
          <w:iCs/>
        </w:rPr>
        <w:t>Public Interest Disclosure (Whistleblower Protection) Ac</w:t>
      </w:r>
      <w:r>
        <w:rPr>
          <w:rFonts w:ascii="Calibri" w:eastAsia="Calibri" w:hAnsi="Calibri" w:cs="Calibri"/>
        </w:rPr>
        <w:t xml:space="preserve">t (Alberta); </w:t>
      </w:r>
      <w:r>
        <w:rPr>
          <w:rFonts w:ascii="Calibri" w:eastAsia="Calibri" w:hAnsi="Calibri" w:cs="Calibri"/>
          <w:i/>
          <w:iCs/>
        </w:rPr>
        <w:t>Public Interest Disclosure Act</w:t>
      </w:r>
      <w:r>
        <w:rPr>
          <w:rFonts w:ascii="Calibri" w:eastAsia="Calibri" w:hAnsi="Calibri" w:cs="Calibri"/>
        </w:rPr>
        <w:t xml:space="preserve">, s. 54(2) (British Columbia); </w:t>
      </w:r>
      <w:r>
        <w:rPr>
          <w:rFonts w:ascii="Calibri" w:eastAsia="Calibri" w:hAnsi="Calibri" w:cs="Calibri"/>
          <w:i/>
          <w:iCs/>
        </w:rPr>
        <w:t>The Public Interest Disclosure (Whistleblower Protection) Act</w:t>
      </w:r>
      <w:r>
        <w:rPr>
          <w:rFonts w:ascii="Calibri" w:eastAsia="Calibri" w:hAnsi="Calibri" w:cs="Calibri"/>
        </w:rPr>
        <w:t xml:space="preserve"> (Manitoba);</w:t>
      </w:r>
      <w:r>
        <w:rPr>
          <w:rFonts w:ascii="Calibri" w:eastAsia="Calibri" w:hAnsi="Calibri" w:cs="Calibri"/>
          <w:i/>
          <w:iCs/>
        </w:rPr>
        <w:t xml:space="preserve"> Public Interest Disclosure Act</w:t>
      </w:r>
      <w:r>
        <w:rPr>
          <w:rFonts w:ascii="Calibri" w:eastAsia="Calibri" w:hAnsi="Calibri" w:cs="Calibri"/>
        </w:rPr>
        <w:t xml:space="preserve">, s. 32(2) (New Brunswick); </w:t>
      </w:r>
      <w:r>
        <w:rPr>
          <w:rFonts w:ascii="Calibri" w:eastAsia="Calibri" w:hAnsi="Calibri" w:cs="Calibri"/>
          <w:i/>
          <w:iCs/>
        </w:rPr>
        <w:t>Public Interest Disclosure and Whistleblower Protection Act</w:t>
      </w:r>
      <w:r>
        <w:rPr>
          <w:rFonts w:ascii="Calibri" w:eastAsia="Calibri" w:hAnsi="Calibri" w:cs="Calibri"/>
        </w:rPr>
        <w:t xml:space="preserve">, ss. 19-24 (Newfoundland and Labrador); </w:t>
      </w:r>
      <w:r>
        <w:rPr>
          <w:rFonts w:ascii="Calibri" w:eastAsia="Calibri" w:hAnsi="Calibri" w:cs="Calibri"/>
          <w:i/>
          <w:iCs/>
        </w:rPr>
        <w:t>Public Interest Disclosure of Wrongdoing Act</w:t>
      </w:r>
      <w:r>
        <w:rPr>
          <w:rFonts w:ascii="Calibri" w:eastAsia="Calibri" w:hAnsi="Calibri" w:cs="Calibri"/>
        </w:rPr>
        <w:t xml:space="preserve">, ss. 3, 9, 12 (Nova Scotia); </w:t>
      </w:r>
      <w:r>
        <w:rPr>
          <w:rFonts w:ascii="Calibri" w:eastAsia="Calibri" w:hAnsi="Calibri" w:cs="Calibri"/>
          <w:i/>
          <w:iCs/>
        </w:rPr>
        <w:t>Public Interest Disclosure and Whistleblower Protection Act,</w:t>
      </w:r>
      <w:r>
        <w:rPr>
          <w:rFonts w:ascii="Calibri" w:eastAsia="Calibri" w:hAnsi="Calibri" w:cs="Calibri"/>
        </w:rPr>
        <w:t xml:space="preserve"> ss. 14-18 (Prince Edward Island); </w:t>
      </w:r>
      <w:r>
        <w:rPr>
          <w:rFonts w:ascii="Calibri" w:eastAsia="Calibri" w:hAnsi="Calibri" w:cs="Calibri"/>
          <w:i/>
          <w:iCs/>
        </w:rPr>
        <w:t>The Public Interest Disclosure Act</w:t>
      </w:r>
      <w:r>
        <w:rPr>
          <w:rFonts w:ascii="Calibri" w:eastAsia="Calibri" w:hAnsi="Calibri" w:cs="Calibri"/>
        </w:rPr>
        <w:t xml:space="preserve">, ss. 18-23 (Saskatchewan); </w:t>
      </w:r>
      <w:r>
        <w:rPr>
          <w:rFonts w:ascii="Calibri" w:eastAsia="Calibri" w:hAnsi="Calibri" w:cs="Calibri"/>
          <w:i/>
          <w:iCs/>
        </w:rPr>
        <w:t>Public Interest Disclosure Of Wrongdoing Ac</w:t>
      </w:r>
      <w:r>
        <w:rPr>
          <w:rFonts w:ascii="Calibri" w:eastAsia="Calibri" w:hAnsi="Calibri" w:cs="Calibri"/>
        </w:rPr>
        <w:t>t, ss. 35-38 (Yukon).</w:t>
      </w:r>
    </w:p>
  </w:footnote>
  <w:footnote w:id="60">
    <w:p w14:paraId="22D20105"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Ian Bron, </w:t>
      </w:r>
      <w:r>
        <w:rPr>
          <w:rFonts w:ascii="Calibri" w:eastAsia="Calibri" w:hAnsi="Calibri" w:cs="Calibri"/>
          <w:i/>
          <w:iCs/>
          <w:sz w:val="20"/>
          <w:szCs w:val="20"/>
        </w:rPr>
        <w:t xml:space="preserve">Assessment of Quebec’s Whistleblower Protection Legislation </w:t>
      </w:r>
      <w:r>
        <w:rPr>
          <w:rFonts w:ascii="Calibri" w:eastAsia="Calibri" w:hAnsi="Calibri" w:cs="Calibri"/>
          <w:sz w:val="20"/>
          <w:szCs w:val="20"/>
        </w:rPr>
        <w:t>(Centre for Free Expression, 30 January 2023), at p. 4, online: &lt;</w:t>
      </w:r>
      <w:hyperlink r:id="rId36">
        <w:r w:rsidR="00822F51">
          <w:rPr>
            <w:rFonts w:ascii="Calibri" w:eastAsia="Calibri" w:hAnsi="Calibri" w:cs="Calibri"/>
            <w:color w:val="1155CC"/>
            <w:sz w:val="20"/>
            <w:szCs w:val="20"/>
            <w:u w:val="single"/>
          </w:rPr>
          <w:t>cfe.torontomu.ca/sites/default/files/2023-01/QC_PIPA_Assessment_FINAL.pdf</w:t>
        </w:r>
      </w:hyperlink>
      <w:r>
        <w:rPr>
          <w:rFonts w:ascii="Calibri" w:eastAsia="Calibri" w:hAnsi="Calibri" w:cs="Calibri"/>
          <w:sz w:val="20"/>
          <w:szCs w:val="20"/>
        </w:rPr>
        <w:t>&gt;.</w:t>
      </w:r>
    </w:p>
  </w:footnote>
  <w:footnote w:id="61">
    <w:p w14:paraId="6D7DD0A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Public Servants Disclosure Protection Act, </w:t>
      </w:r>
      <w:r>
        <w:rPr>
          <w:rFonts w:ascii="Calibri" w:eastAsia="Calibri" w:hAnsi="Calibri" w:cs="Calibri"/>
          <w:sz w:val="20"/>
          <w:szCs w:val="20"/>
        </w:rPr>
        <w:t>s. 19.1.</w:t>
      </w:r>
    </w:p>
  </w:footnote>
  <w:footnote w:id="62">
    <w:p w14:paraId="0EBAFE46" w14:textId="77777777" w:rsidR="00822F51" w:rsidRDefault="001A22F2">
      <w:pPr>
        <w:spacing w:line="240" w:lineRule="auto"/>
        <w:rPr>
          <w:rFonts w:ascii="Calibri" w:eastAsia="Calibri" w:hAnsi="Calibri" w:cs="Calibri"/>
          <w:i/>
          <w:iCs/>
          <w:sz w:val="20"/>
          <w:szCs w:val="20"/>
        </w:rPr>
      </w:pPr>
      <w:r>
        <w:rPr>
          <w:vertAlign w:val="superscript"/>
        </w:rPr>
        <w:footnoteRef/>
      </w:r>
      <w:r>
        <w:rPr>
          <w:rFonts w:ascii="Calibri" w:eastAsia="Calibri" w:hAnsi="Calibri" w:cs="Calibri"/>
          <w:i/>
          <w:iCs/>
          <w:sz w:val="20"/>
          <w:szCs w:val="20"/>
        </w:rPr>
        <w:t xml:space="preserve"> Ibid.</w:t>
      </w:r>
    </w:p>
  </w:footnote>
  <w:footnote w:id="63">
    <w:p w14:paraId="36B9884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Standing Committee on Government Operations and Estimates, </w:t>
      </w:r>
      <w:r>
        <w:rPr>
          <w:rFonts w:ascii="Calibri" w:eastAsia="Calibri" w:hAnsi="Calibri" w:cs="Calibri"/>
          <w:i/>
          <w:iCs/>
          <w:sz w:val="20"/>
          <w:szCs w:val="20"/>
        </w:rPr>
        <w:t>Strengthening the Protection of the Public Interest within the Public Servants Disclosure Protection Act</w:t>
      </w:r>
      <w:r>
        <w:rPr>
          <w:rFonts w:ascii="Calibri" w:eastAsia="Calibri" w:hAnsi="Calibri" w:cs="Calibri"/>
          <w:sz w:val="20"/>
          <w:szCs w:val="20"/>
        </w:rPr>
        <w:t xml:space="preserve">, </w:t>
      </w:r>
      <w:r>
        <w:rPr>
          <w:rFonts w:ascii="Calibri" w:eastAsia="Calibri" w:hAnsi="Calibri" w:cs="Calibri"/>
          <w:i/>
          <w:iCs/>
          <w:sz w:val="20"/>
          <w:szCs w:val="20"/>
        </w:rPr>
        <w:t xml:space="preserve">supra </w:t>
      </w:r>
      <w:r>
        <w:rPr>
          <w:rFonts w:ascii="Calibri" w:eastAsia="Calibri" w:hAnsi="Calibri" w:cs="Calibri"/>
          <w:sz w:val="20"/>
          <w:szCs w:val="20"/>
        </w:rPr>
        <w:t>note 5 at p. 47.</w:t>
      </w:r>
    </w:p>
  </w:footnote>
  <w:footnote w:id="64">
    <w:p w14:paraId="06AE55F4"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See </w:t>
      </w:r>
      <w:r>
        <w:rPr>
          <w:rFonts w:ascii="Calibri" w:eastAsia="Calibri" w:hAnsi="Calibri" w:cs="Calibri"/>
          <w:i/>
          <w:iCs/>
          <w:sz w:val="20"/>
          <w:szCs w:val="20"/>
        </w:rPr>
        <w:t>Public Interest Disclosure (Whistleblower Protection) Ac</w:t>
      </w:r>
      <w:r>
        <w:rPr>
          <w:rFonts w:ascii="Calibri" w:eastAsia="Calibri" w:hAnsi="Calibri" w:cs="Calibri"/>
          <w:sz w:val="20"/>
          <w:szCs w:val="20"/>
        </w:rPr>
        <w:t xml:space="preserve">t, s. 52 (Alberta); </w:t>
      </w:r>
      <w:r>
        <w:rPr>
          <w:rFonts w:ascii="Calibri" w:eastAsia="Calibri" w:hAnsi="Calibri" w:cs="Calibri"/>
          <w:i/>
          <w:iCs/>
          <w:sz w:val="20"/>
          <w:szCs w:val="20"/>
        </w:rPr>
        <w:t>Public Interest Disclosure Act</w:t>
      </w:r>
      <w:r>
        <w:rPr>
          <w:rFonts w:ascii="Calibri" w:eastAsia="Calibri" w:hAnsi="Calibri" w:cs="Calibri"/>
          <w:sz w:val="20"/>
          <w:szCs w:val="20"/>
        </w:rPr>
        <w:t xml:space="preserve">, s. 31 (British Columbia); </w:t>
      </w:r>
      <w:r>
        <w:rPr>
          <w:rFonts w:ascii="Calibri" w:eastAsia="Calibri" w:hAnsi="Calibri" w:cs="Calibri"/>
          <w:i/>
          <w:iCs/>
          <w:sz w:val="20"/>
          <w:szCs w:val="20"/>
        </w:rPr>
        <w:t>The Public Interest Disclosure (Whistleblower Protection) Act</w:t>
      </w:r>
      <w:r>
        <w:rPr>
          <w:rFonts w:ascii="Calibri" w:eastAsia="Calibri" w:hAnsi="Calibri" w:cs="Calibri"/>
          <w:sz w:val="20"/>
          <w:szCs w:val="20"/>
        </w:rPr>
        <w:t>, s. 60 (Manitoba);</w:t>
      </w:r>
      <w:r>
        <w:rPr>
          <w:rFonts w:ascii="Calibri" w:eastAsia="Calibri" w:hAnsi="Calibri" w:cs="Calibri"/>
          <w:i/>
          <w:iCs/>
          <w:sz w:val="20"/>
          <w:szCs w:val="20"/>
        </w:rPr>
        <w:t xml:space="preserve"> Public Interest Disclosure Act</w:t>
      </w:r>
      <w:r>
        <w:rPr>
          <w:rFonts w:ascii="Calibri" w:eastAsia="Calibri" w:hAnsi="Calibri" w:cs="Calibri"/>
          <w:sz w:val="20"/>
          <w:szCs w:val="20"/>
        </w:rPr>
        <w:t xml:space="preserve">, s. 54 (New Brunswick); </w:t>
      </w:r>
      <w:r>
        <w:rPr>
          <w:rFonts w:ascii="Calibri" w:eastAsia="Calibri" w:hAnsi="Calibri" w:cs="Calibri"/>
          <w:i/>
          <w:iCs/>
          <w:sz w:val="20"/>
          <w:szCs w:val="20"/>
        </w:rPr>
        <w:t>Public Interest Disclosure and Whistleblower Protection Act</w:t>
      </w:r>
      <w:r>
        <w:rPr>
          <w:rFonts w:ascii="Calibri" w:eastAsia="Calibri" w:hAnsi="Calibri" w:cs="Calibri"/>
          <w:sz w:val="20"/>
          <w:szCs w:val="20"/>
        </w:rPr>
        <w:t xml:space="preserve">, s. 15 (Newfoundland and Labrador); </w:t>
      </w:r>
      <w:r>
        <w:rPr>
          <w:rFonts w:ascii="Calibri" w:eastAsia="Calibri" w:hAnsi="Calibri" w:cs="Calibri"/>
          <w:i/>
          <w:iCs/>
          <w:sz w:val="20"/>
          <w:szCs w:val="20"/>
        </w:rPr>
        <w:t>Public Interest Disclosure of Wrongdoing Act</w:t>
      </w:r>
      <w:r>
        <w:rPr>
          <w:rFonts w:ascii="Calibri" w:eastAsia="Calibri" w:hAnsi="Calibri" w:cs="Calibri"/>
          <w:sz w:val="20"/>
          <w:szCs w:val="20"/>
        </w:rPr>
        <w:t xml:space="preserve">, s. 10 (Nova Scotia); </w:t>
      </w:r>
      <w:r>
        <w:rPr>
          <w:rFonts w:ascii="Calibri" w:eastAsia="Calibri" w:hAnsi="Calibri" w:cs="Calibri"/>
          <w:i/>
          <w:iCs/>
          <w:sz w:val="20"/>
          <w:szCs w:val="20"/>
        </w:rPr>
        <w:t>Public Interest Disclosure and Whistleblower Protection Act,</w:t>
      </w:r>
      <w:r>
        <w:rPr>
          <w:rFonts w:ascii="Calibri" w:eastAsia="Calibri" w:hAnsi="Calibri" w:cs="Calibri"/>
          <w:sz w:val="20"/>
          <w:szCs w:val="20"/>
        </w:rPr>
        <w:t xml:space="preserve"> s.6 (Prince Ed</w:t>
      </w:r>
      <w:r>
        <w:rPr>
          <w:rFonts w:ascii="Calibri" w:eastAsia="Calibri" w:hAnsi="Calibri" w:cs="Calibri"/>
          <w:sz w:val="20"/>
          <w:szCs w:val="20"/>
        </w:rPr>
        <w:t xml:space="preserve">ward Island); </w:t>
      </w:r>
      <w:r>
        <w:rPr>
          <w:rFonts w:ascii="Calibri" w:eastAsia="Calibri" w:hAnsi="Calibri" w:cs="Calibri"/>
          <w:i/>
          <w:iCs/>
          <w:sz w:val="20"/>
          <w:szCs w:val="20"/>
        </w:rPr>
        <w:t xml:space="preserve">The Public Interest Disclosure </w:t>
      </w:r>
      <w:proofErr w:type="spellStart"/>
      <w:r>
        <w:rPr>
          <w:rFonts w:ascii="Calibri" w:eastAsia="Calibri" w:hAnsi="Calibri" w:cs="Calibri"/>
          <w:i/>
          <w:iCs/>
          <w:sz w:val="20"/>
          <w:szCs w:val="20"/>
        </w:rPr>
        <w:t>Act</w:t>
      </w:r>
      <w:r>
        <w:rPr>
          <w:rFonts w:ascii="Calibri" w:eastAsia="Calibri" w:hAnsi="Calibri" w:cs="Calibri"/>
          <w:sz w:val="20"/>
          <w:szCs w:val="20"/>
        </w:rPr>
        <w:t>,s</w:t>
      </w:r>
      <w:proofErr w:type="spellEnd"/>
      <w:r>
        <w:rPr>
          <w:rFonts w:ascii="Calibri" w:eastAsia="Calibri" w:hAnsi="Calibri" w:cs="Calibri"/>
          <w:sz w:val="20"/>
          <w:szCs w:val="20"/>
        </w:rPr>
        <w:t xml:space="preserve">. 43 (Saskatchewan); </w:t>
      </w:r>
      <w:r>
        <w:rPr>
          <w:rFonts w:ascii="Calibri" w:eastAsia="Calibri" w:hAnsi="Calibri" w:cs="Calibri"/>
          <w:i/>
          <w:iCs/>
          <w:sz w:val="20"/>
          <w:szCs w:val="20"/>
        </w:rPr>
        <w:t>Public Interest Disclosure Of Wrongdoing Ac</w:t>
      </w:r>
      <w:r>
        <w:rPr>
          <w:rFonts w:ascii="Calibri" w:eastAsia="Calibri" w:hAnsi="Calibri" w:cs="Calibri"/>
          <w:sz w:val="20"/>
          <w:szCs w:val="20"/>
        </w:rPr>
        <w:t>t, s. 46 (Yukon).</w:t>
      </w:r>
    </w:p>
  </w:footnote>
  <w:footnote w:id="65">
    <w:p w14:paraId="692427A9"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An Act to facilitate the disclosure of wrongdoing and to protect persons who disclose wrongdoing</w:t>
      </w:r>
      <w:r>
        <w:rPr>
          <w:rFonts w:ascii="Calibri" w:eastAsia="Calibri" w:hAnsi="Calibri" w:cs="Calibri"/>
          <w:sz w:val="20"/>
          <w:szCs w:val="20"/>
        </w:rPr>
        <w:t>, CQLR c P-33.01, s 15, online: &lt;</w:t>
      </w:r>
      <w:hyperlink r:id="rId37">
        <w:r w:rsidR="00822F51">
          <w:rPr>
            <w:rFonts w:ascii="Calibri" w:eastAsia="Calibri" w:hAnsi="Calibri" w:cs="Calibri"/>
            <w:color w:val="1155CC"/>
            <w:sz w:val="20"/>
            <w:szCs w:val="20"/>
            <w:u w:val="single"/>
          </w:rPr>
          <w:t>www.legisquebec.gouv.qc.ca/en/document/lc/P-33.01</w:t>
        </w:r>
      </w:hyperlink>
      <w:r>
        <w:rPr>
          <w:rFonts w:ascii="Calibri" w:eastAsia="Calibri" w:hAnsi="Calibri" w:cs="Calibri"/>
          <w:sz w:val="20"/>
          <w:szCs w:val="20"/>
        </w:rPr>
        <w:t>&gt;.</w:t>
      </w:r>
    </w:p>
  </w:footnote>
  <w:footnote w:id="66">
    <w:p w14:paraId="2B127D2D" w14:textId="42380780" w:rsidR="00822F51" w:rsidRDefault="001A22F2">
      <w:pPr>
        <w:spacing w:line="240" w:lineRule="auto"/>
        <w:rPr>
          <w:sz w:val="20"/>
          <w:szCs w:val="20"/>
        </w:rPr>
      </w:pPr>
      <w:r>
        <w:rPr>
          <w:vertAlign w:val="superscript"/>
        </w:rPr>
        <w:footnoteRef/>
      </w:r>
      <w:r>
        <w:rPr>
          <w:rFonts w:ascii="Calibri" w:eastAsia="Calibri" w:hAnsi="Calibri" w:cs="Calibri"/>
          <w:sz w:val="20"/>
          <w:szCs w:val="20"/>
        </w:rPr>
        <w:t xml:space="preserve">International Bar Association, </w:t>
      </w:r>
      <w:r>
        <w:rPr>
          <w:rFonts w:ascii="Calibri" w:eastAsia="Calibri" w:hAnsi="Calibri" w:cs="Calibri"/>
          <w:i/>
          <w:iCs/>
          <w:sz w:val="20"/>
          <w:szCs w:val="20"/>
        </w:rPr>
        <w:t>Whistleblower Protections: A Guide, supra</w:t>
      </w:r>
      <w:r>
        <w:rPr>
          <w:rFonts w:ascii="Calibri" w:eastAsia="Calibri" w:hAnsi="Calibri" w:cs="Calibri"/>
          <w:sz w:val="20"/>
          <w:szCs w:val="20"/>
        </w:rPr>
        <w:t xml:space="preserve"> note 2</w:t>
      </w:r>
      <w:r w:rsidR="00155F46">
        <w:rPr>
          <w:rFonts w:ascii="Calibri" w:eastAsia="Calibri" w:hAnsi="Calibri" w:cs="Calibri"/>
          <w:sz w:val="20"/>
          <w:szCs w:val="20"/>
        </w:rPr>
        <w:t>8</w:t>
      </w:r>
      <w:r>
        <w:rPr>
          <w:rFonts w:ascii="Calibri" w:eastAsia="Calibri" w:hAnsi="Calibri" w:cs="Calibri"/>
          <w:sz w:val="20"/>
          <w:szCs w:val="20"/>
        </w:rPr>
        <w:t xml:space="preserve"> at p. 26.</w:t>
      </w:r>
    </w:p>
  </w:footnote>
  <w:footnote w:id="67">
    <w:p w14:paraId="7F58E7B5"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Public Servants Disclosure Protection Act, s</w:t>
      </w:r>
      <w:r>
        <w:rPr>
          <w:rFonts w:ascii="Calibri" w:eastAsia="Calibri" w:hAnsi="Calibri" w:cs="Calibri"/>
          <w:sz w:val="20"/>
          <w:szCs w:val="20"/>
        </w:rPr>
        <w:t>s. 19.1, 19.4, 20.4.</w:t>
      </w:r>
    </w:p>
  </w:footnote>
  <w:footnote w:id="68">
    <w:p w14:paraId="10BE0C15"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s. 20.4(3).</w:t>
      </w:r>
    </w:p>
  </w:footnote>
  <w:footnote w:id="69">
    <w:p w14:paraId="65E248E2"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Office of the Public Sector Integrity Commissioner of Canada, </w:t>
      </w:r>
      <w:r>
        <w:rPr>
          <w:rFonts w:ascii="Calibri" w:eastAsia="Calibri" w:hAnsi="Calibri" w:cs="Calibri"/>
          <w:i/>
          <w:iCs/>
          <w:sz w:val="20"/>
          <w:szCs w:val="20"/>
        </w:rPr>
        <w:t>Annual Report 2024–25</w:t>
      </w:r>
      <w:r>
        <w:rPr>
          <w:rFonts w:ascii="Calibri" w:eastAsia="Calibri" w:hAnsi="Calibri" w:cs="Calibri"/>
          <w:sz w:val="20"/>
          <w:szCs w:val="20"/>
        </w:rPr>
        <w:t xml:space="preserve"> (2025), online: &lt;</w:t>
      </w:r>
      <w:hyperlink r:id="rId38">
        <w:r w:rsidR="00822F51">
          <w:rPr>
            <w:rFonts w:ascii="Calibri" w:eastAsia="Calibri" w:hAnsi="Calibri" w:cs="Calibri"/>
            <w:color w:val="1155CC"/>
            <w:sz w:val="20"/>
            <w:szCs w:val="20"/>
            <w:u w:val="single"/>
          </w:rPr>
          <w:t>psic-ispc.gc.ca/en/resources/corporate-publications/2024-25/annual-report</w:t>
        </w:r>
      </w:hyperlink>
      <w:r>
        <w:rPr>
          <w:rFonts w:ascii="Calibri" w:eastAsia="Calibri" w:hAnsi="Calibri" w:cs="Calibri"/>
          <w:sz w:val="20"/>
          <w:szCs w:val="20"/>
        </w:rPr>
        <w:t xml:space="preserve">&gt;; Office of the Public Sector Integrity Commissioner of Canada, </w:t>
      </w:r>
      <w:r>
        <w:rPr>
          <w:rFonts w:ascii="Calibri" w:eastAsia="Calibri" w:hAnsi="Calibri" w:cs="Calibri"/>
          <w:i/>
          <w:iCs/>
          <w:sz w:val="20"/>
          <w:szCs w:val="20"/>
        </w:rPr>
        <w:t>Annual Report 2023–24</w:t>
      </w:r>
      <w:r>
        <w:rPr>
          <w:rFonts w:ascii="Calibri" w:eastAsia="Calibri" w:hAnsi="Calibri" w:cs="Calibri"/>
          <w:sz w:val="20"/>
          <w:szCs w:val="20"/>
        </w:rPr>
        <w:t xml:space="preserve"> (2024), online: &lt;</w:t>
      </w:r>
      <w:hyperlink r:id="rId39">
        <w:r w:rsidR="00822F51">
          <w:rPr>
            <w:rFonts w:ascii="Calibri" w:eastAsia="Calibri" w:hAnsi="Calibri" w:cs="Calibri"/>
            <w:color w:val="1155CC"/>
            <w:sz w:val="20"/>
            <w:szCs w:val="20"/>
            <w:u w:val="single"/>
          </w:rPr>
          <w:t>assets.psic-ispc.gc.ca/sites/default/files/2024-06/2023-24_annual_report_en.pdf</w:t>
        </w:r>
      </w:hyperlink>
      <w:r>
        <w:rPr>
          <w:rFonts w:ascii="Calibri" w:eastAsia="Calibri" w:hAnsi="Calibri" w:cs="Calibri"/>
          <w:sz w:val="20"/>
          <w:szCs w:val="20"/>
        </w:rPr>
        <w:t xml:space="preserve">&gt;; Office of the Public Sector Integrity Commissioner of Canada, </w:t>
      </w:r>
      <w:r>
        <w:rPr>
          <w:rFonts w:ascii="Calibri" w:eastAsia="Calibri" w:hAnsi="Calibri" w:cs="Calibri"/>
          <w:i/>
          <w:iCs/>
          <w:sz w:val="20"/>
          <w:szCs w:val="20"/>
        </w:rPr>
        <w:t xml:space="preserve">Annual Report 2022–23 </w:t>
      </w:r>
      <w:r>
        <w:rPr>
          <w:rFonts w:ascii="Calibri" w:eastAsia="Calibri" w:hAnsi="Calibri" w:cs="Calibri"/>
          <w:sz w:val="20"/>
          <w:szCs w:val="20"/>
        </w:rPr>
        <w:t>(2023), online: &lt;</w:t>
      </w:r>
      <w:hyperlink r:id="rId40" w:anchor=":~:text=The%20Office%20received%20184%20disclosures,also%20received%2049%20reprisal%20complaints">
        <w:r w:rsidR="00822F51">
          <w:rPr>
            <w:rFonts w:ascii="Calibri" w:eastAsia="Calibri" w:hAnsi="Calibri" w:cs="Calibri"/>
            <w:color w:val="1155CC"/>
            <w:sz w:val="20"/>
            <w:szCs w:val="20"/>
            <w:u w:val="single"/>
          </w:rPr>
          <w:t>www.psic-ispc.gc.ca/en/resources/corporate-publications/2022-23/annual-report#:~:text=The%20Office%20received%20184%20disclosures,also%20received%2049%20reprisal%20complaints</w:t>
        </w:r>
      </w:hyperlink>
      <w:r>
        <w:rPr>
          <w:rFonts w:ascii="Calibri" w:eastAsia="Calibri" w:hAnsi="Calibri" w:cs="Calibri"/>
          <w:sz w:val="20"/>
          <w:szCs w:val="20"/>
        </w:rPr>
        <w:t xml:space="preserve">&gt;;  Office of the Public Sector Integrity Commissioner of Canada, </w:t>
      </w:r>
      <w:r>
        <w:rPr>
          <w:rFonts w:ascii="Calibri" w:eastAsia="Calibri" w:hAnsi="Calibri" w:cs="Calibri"/>
          <w:i/>
          <w:iCs/>
          <w:sz w:val="20"/>
          <w:szCs w:val="20"/>
        </w:rPr>
        <w:t>Annual Report 2021–22</w:t>
      </w:r>
      <w:r>
        <w:rPr>
          <w:rFonts w:ascii="Calibri" w:eastAsia="Calibri" w:hAnsi="Calibri" w:cs="Calibri"/>
          <w:sz w:val="20"/>
          <w:szCs w:val="20"/>
        </w:rPr>
        <w:t xml:space="preserve"> (2022), online: &lt;</w:t>
      </w:r>
      <w:hyperlink r:id="rId41">
        <w:r w:rsidR="00822F51">
          <w:rPr>
            <w:rFonts w:ascii="Calibri" w:eastAsia="Calibri" w:hAnsi="Calibri" w:cs="Calibri"/>
            <w:color w:val="1155CC"/>
            <w:sz w:val="20"/>
            <w:szCs w:val="20"/>
            <w:u w:val="single"/>
          </w:rPr>
          <w:t>www.psic-ispc.gc.ca/en/resources/corporate-publications/2021-22/annual-report</w:t>
        </w:r>
      </w:hyperlink>
      <w:r>
        <w:rPr>
          <w:rFonts w:ascii="Calibri" w:eastAsia="Calibri" w:hAnsi="Calibri" w:cs="Calibri"/>
          <w:sz w:val="20"/>
          <w:szCs w:val="20"/>
        </w:rPr>
        <w:t xml:space="preserve">&gt;; Office of the Public Sector Integrity Commissioner of Canada, </w:t>
      </w:r>
      <w:r>
        <w:rPr>
          <w:rFonts w:ascii="Calibri" w:eastAsia="Calibri" w:hAnsi="Calibri" w:cs="Calibri"/>
          <w:i/>
          <w:iCs/>
          <w:sz w:val="20"/>
          <w:szCs w:val="20"/>
        </w:rPr>
        <w:t xml:space="preserve">Annual Report 2020–21 </w:t>
      </w:r>
      <w:r>
        <w:rPr>
          <w:rFonts w:ascii="Calibri" w:eastAsia="Calibri" w:hAnsi="Calibri" w:cs="Calibri"/>
          <w:sz w:val="20"/>
          <w:szCs w:val="20"/>
        </w:rPr>
        <w:t>(2021), online: &lt;</w:t>
      </w:r>
      <w:hyperlink r:id="rId42">
        <w:r w:rsidR="00822F51">
          <w:rPr>
            <w:rFonts w:ascii="Calibri" w:eastAsia="Calibri" w:hAnsi="Calibri" w:cs="Calibri"/>
            <w:color w:val="1155CC"/>
            <w:sz w:val="20"/>
            <w:szCs w:val="20"/>
            <w:u w:val="single"/>
          </w:rPr>
          <w:t>www.psic-ispc.gc.ca/en/resources/corporate-publications/2020-21/annual-report</w:t>
        </w:r>
      </w:hyperlink>
      <w:r>
        <w:rPr>
          <w:rFonts w:ascii="Calibri" w:eastAsia="Calibri" w:hAnsi="Calibri" w:cs="Calibri"/>
          <w:sz w:val="20"/>
          <w:szCs w:val="20"/>
        </w:rPr>
        <w:t xml:space="preserve">&gt;; Feinstein &amp; Devine, </w:t>
      </w:r>
      <w:r>
        <w:rPr>
          <w:rFonts w:ascii="Calibri" w:eastAsia="Calibri" w:hAnsi="Calibri" w:cs="Calibri"/>
          <w:i/>
          <w:iCs/>
          <w:sz w:val="20"/>
          <w:szCs w:val="20"/>
        </w:rPr>
        <w:t>Are Whistleblowing Laws Working?</w:t>
      </w:r>
      <w:r>
        <w:rPr>
          <w:rFonts w:ascii="Calibri" w:eastAsia="Calibri" w:hAnsi="Calibri" w:cs="Calibri"/>
          <w:sz w:val="20"/>
          <w:szCs w:val="20"/>
        </w:rPr>
        <w:t>,</w:t>
      </w:r>
      <w:r>
        <w:rPr>
          <w:rFonts w:ascii="Calibri" w:eastAsia="Calibri" w:hAnsi="Calibri" w:cs="Calibri"/>
          <w:i/>
          <w:iCs/>
          <w:sz w:val="20"/>
          <w:szCs w:val="20"/>
        </w:rPr>
        <w:t xml:space="preserve"> supra</w:t>
      </w:r>
      <w:r>
        <w:rPr>
          <w:rFonts w:ascii="Calibri" w:eastAsia="Calibri" w:hAnsi="Calibri" w:cs="Calibri"/>
          <w:sz w:val="20"/>
          <w:szCs w:val="20"/>
        </w:rPr>
        <w:t xml:space="preserve"> note 6 at p. 37.  </w:t>
      </w:r>
    </w:p>
  </w:footnote>
  <w:footnote w:id="70">
    <w:p w14:paraId="3512FC57"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Public Sector Digital and Data Protection Tribunal, “Case Details,” online: &lt;</w:t>
      </w:r>
      <w:hyperlink r:id="rId43">
        <w:r w:rsidR="00822F51">
          <w:rPr>
            <w:rFonts w:ascii="Calibri" w:eastAsia="Calibri" w:hAnsi="Calibri" w:cs="Calibri"/>
            <w:color w:val="1155CC"/>
            <w:sz w:val="20"/>
            <w:szCs w:val="20"/>
            <w:u w:val="single"/>
          </w:rPr>
          <w:t>www.psdpt-tpfd.gc.ca/Files/CaseDetails-en.html</w:t>
        </w:r>
      </w:hyperlink>
      <w:r>
        <w:rPr>
          <w:rFonts w:ascii="Calibri" w:eastAsia="Calibri" w:hAnsi="Calibri" w:cs="Calibri"/>
          <w:sz w:val="20"/>
          <w:szCs w:val="20"/>
        </w:rPr>
        <w:t>&gt;.</w:t>
      </w:r>
    </w:p>
  </w:footnote>
  <w:footnote w:id="71">
    <w:p w14:paraId="34676136"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Dunn v. Indigenous and Northern Affairs Canada and Lecompte</w:t>
      </w:r>
      <w:r>
        <w:rPr>
          <w:rFonts w:ascii="Calibri" w:eastAsia="Calibri" w:hAnsi="Calibri" w:cs="Calibri"/>
          <w:sz w:val="20"/>
          <w:szCs w:val="20"/>
        </w:rPr>
        <w:t>, 2017 PSDPT 3</w:t>
      </w:r>
      <w:r>
        <w:rPr>
          <w:sz w:val="20"/>
          <w:szCs w:val="20"/>
        </w:rPr>
        <w:t xml:space="preserve">; </w:t>
      </w:r>
      <w:r>
        <w:rPr>
          <w:rFonts w:ascii="Calibri" w:eastAsia="Calibri" w:hAnsi="Calibri" w:cs="Calibri"/>
          <w:sz w:val="20"/>
          <w:szCs w:val="20"/>
        </w:rPr>
        <w:t xml:space="preserve">Feinstein &amp; Devine, </w:t>
      </w:r>
      <w:r>
        <w:rPr>
          <w:rFonts w:ascii="Calibri" w:eastAsia="Calibri" w:hAnsi="Calibri" w:cs="Calibri"/>
          <w:i/>
          <w:iCs/>
          <w:sz w:val="20"/>
          <w:szCs w:val="20"/>
        </w:rPr>
        <w:t xml:space="preserve">Are Whistleblowing Laws </w:t>
      </w:r>
      <w:proofErr w:type="gramStart"/>
      <w:r>
        <w:rPr>
          <w:rFonts w:ascii="Calibri" w:eastAsia="Calibri" w:hAnsi="Calibri" w:cs="Calibri"/>
          <w:i/>
          <w:iCs/>
          <w:sz w:val="20"/>
          <w:szCs w:val="20"/>
        </w:rPr>
        <w:t>Working?</w:t>
      </w:r>
      <w:r>
        <w:rPr>
          <w:rFonts w:ascii="Calibri" w:eastAsia="Calibri" w:hAnsi="Calibri" w:cs="Calibri"/>
          <w:sz w:val="20"/>
          <w:szCs w:val="20"/>
        </w:rPr>
        <w:t>,</w:t>
      </w:r>
      <w:proofErr w:type="gramEnd"/>
      <w:r>
        <w:rPr>
          <w:rFonts w:ascii="Calibri" w:eastAsia="Calibri" w:hAnsi="Calibri" w:cs="Calibri"/>
          <w:i/>
          <w:iCs/>
          <w:sz w:val="20"/>
          <w:szCs w:val="20"/>
        </w:rPr>
        <w:t xml:space="preserve"> supra</w:t>
      </w:r>
      <w:r>
        <w:rPr>
          <w:rFonts w:ascii="Calibri" w:eastAsia="Calibri" w:hAnsi="Calibri" w:cs="Calibri"/>
          <w:sz w:val="20"/>
          <w:szCs w:val="20"/>
        </w:rPr>
        <w:t xml:space="preserve"> note 6 at p. 37.  </w:t>
      </w:r>
    </w:p>
  </w:footnote>
  <w:footnote w:id="72">
    <w:p w14:paraId="7D0912A8" w14:textId="77777777" w:rsidR="00822F51" w:rsidRDefault="001A22F2">
      <w:pPr>
        <w:spacing w:line="240" w:lineRule="auto"/>
        <w:rPr>
          <w:rFonts w:ascii="Calibri" w:eastAsia="Calibri" w:hAnsi="Calibri" w:cs="Calibri"/>
          <w:sz w:val="20"/>
          <w:szCs w:val="20"/>
        </w:rPr>
      </w:pPr>
      <w:r>
        <w:rPr>
          <w:vertAlign w:val="superscript"/>
        </w:rPr>
        <w:footnoteRef/>
      </w:r>
      <w:proofErr w:type="spellStart"/>
      <w:r>
        <w:rPr>
          <w:rFonts w:ascii="Calibri" w:eastAsia="Calibri" w:hAnsi="Calibri" w:cs="Calibri"/>
          <w:i/>
          <w:iCs/>
          <w:sz w:val="20"/>
          <w:szCs w:val="20"/>
        </w:rPr>
        <w:t>Agnaou</w:t>
      </w:r>
      <w:proofErr w:type="spellEnd"/>
      <w:r>
        <w:rPr>
          <w:rFonts w:ascii="Calibri" w:eastAsia="Calibri" w:hAnsi="Calibri" w:cs="Calibri"/>
          <w:i/>
          <w:iCs/>
          <w:sz w:val="20"/>
          <w:szCs w:val="20"/>
        </w:rPr>
        <w:t xml:space="preserve"> v. Public Prosecution Service of Canada et al</w:t>
      </w:r>
      <w:r>
        <w:rPr>
          <w:rFonts w:ascii="Calibri" w:eastAsia="Calibri" w:hAnsi="Calibri" w:cs="Calibri"/>
          <w:sz w:val="20"/>
          <w:szCs w:val="20"/>
        </w:rPr>
        <w:t>., 2019 PSDPT 3;</w:t>
      </w:r>
      <w:r>
        <w:rPr>
          <w:sz w:val="20"/>
          <w:szCs w:val="20"/>
        </w:rPr>
        <w:t xml:space="preserve"> </w:t>
      </w:r>
      <w:r>
        <w:rPr>
          <w:rFonts w:ascii="Calibri" w:eastAsia="Calibri" w:hAnsi="Calibri" w:cs="Calibri"/>
          <w:sz w:val="20"/>
          <w:szCs w:val="20"/>
        </w:rPr>
        <w:t xml:space="preserve">Feinstein &amp; Devine, </w:t>
      </w:r>
      <w:r>
        <w:rPr>
          <w:rFonts w:ascii="Calibri" w:eastAsia="Calibri" w:hAnsi="Calibri" w:cs="Calibri"/>
          <w:i/>
          <w:iCs/>
          <w:sz w:val="20"/>
          <w:szCs w:val="20"/>
        </w:rPr>
        <w:t xml:space="preserve">Are Whistleblowing Laws </w:t>
      </w:r>
      <w:proofErr w:type="gramStart"/>
      <w:r>
        <w:rPr>
          <w:rFonts w:ascii="Calibri" w:eastAsia="Calibri" w:hAnsi="Calibri" w:cs="Calibri"/>
          <w:i/>
          <w:iCs/>
          <w:sz w:val="20"/>
          <w:szCs w:val="20"/>
        </w:rPr>
        <w:t>Working?</w:t>
      </w:r>
      <w:r>
        <w:rPr>
          <w:rFonts w:ascii="Calibri" w:eastAsia="Calibri" w:hAnsi="Calibri" w:cs="Calibri"/>
          <w:sz w:val="20"/>
          <w:szCs w:val="20"/>
        </w:rPr>
        <w:t>,</w:t>
      </w:r>
      <w:proofErr w:type="gramEnd"/>
      <w:r>
        <w:rPr>
          <w:rFonts w:ascii="Calibri" w:eastAsia="Calibri" w:hAnsi="Calibri" w:cs="Calibri"/>
          <w:i/>
          <w:iCs/>
          <w:sz w:val="20"/>
          <w:szCs w:val="20"/>
        </w:rPr>
        <w:t xml:space="preserve"> supra</w:t>
      </w:r>
      <w:r>
        <w:rPr>
          <w:rFonts w:ascii="Calibri" w:eastAsia="Calibri" w:hAnsi="Calibri" w:cs="Calibri"/>
          <w:sz w:val="20"/>
          <w:szCs w:val="20"/>
        </w:rPr>
        <w:t xml:space="preserve"> note 6 at p. 37.</w:t>
      </w:r>
    </w:p>
  </w:footnote>
  <w:footnote w:id="73">
    <w:p w14:paraId="601DA027"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Federal Public Sector </w:t>
      </w:r>
      <w:proofErr w:type="spellStart"/>
      <w:r>
        <w:rPr>
          <w:rFonts w:ascii="Calibri" w:eastAsia="Calibri" w:hAnsi="Calibri" w:cs="Calibri"/>
          <w:i/>
          <w:iCs/>
          <w:sz w:val="20"/>
          <w:szCs w:val="20"/>
        </w:rPr>
        <w:t>Labour</w:t>
      </w:r>
      <w:proofErr w:type="spellEnd"/>
      <w:r>
        <w:rPr>
          <w:rFonts w:ascii="Calibri" w:eastAsia="Calibri" w:hAnsi="Calibri" w:cs="Calibri"/>
          <w:i/>
          <w:iCs/>
          <w:sz w:val="20"/>
          <w:szCs w:val="20"/>
        </w:rPr>
        <w:t xml:space="preserve"> Relations Act</w:t>
      </w:r>
      <w:r>
        <w:rPr>
          <w:rFonts w:ascii="Calibri" w:eastAsia="Calibri" w:hAnsi="Calibri" w:cs="Calibri"/>
          <w:sz w:val="20"/>
          <w:szCs w:val="20"/>
        </w:rPr>
        <w:t>, SC 2003, c 22, s 336.</w:t>
      </w:r>
    </w:p>
  </w:footnote>
  <w:footnote w:id="74">
    <w:p w14:paraId="6B95F260" w14:textId="77777777" w:rsidR="00822F51" w:rsidRDefault="001A22F2">
      <w:pPr>
        <w:spacing w:line="240" w:lineRule="auto"/>
        <w:rPr>
          <w:sz w:val="20"/>
          <w:szCs w:val="20"/>
        </w:rPr>
      </w:pPr>
      <w:r>
        <w:rPr>
          <w:vertAlign w:val="superscript"/>
        </w:rPr>
        <w:footnoteRef/>
      </w:r>
      <w:r>
        <w:rPr>
          <w:rFonts w:ascii="Calibri" w:eastAsia="Calibri" w:hAnsi="Calibri" w:cs="Calibri"/>
          <w:i/>
          <w:iCs/>
          <w:sz w:val="20"/>
          <w:szCs w:val="20"/>
        </w:rPr>
        <w:t>The Public Interest Disclosure (Whistleblower Protection) Act</w:t>
      </w:r>
      <w:r>
        <w:rPr>
          <w:rFonts w:ascii="Calibri" w:eastAsia="Calibri" w:hAnsi="Calibri" w:cs="Calibri"/>
          <w:sz w:val="20"/>
          <w:szCs w:val="20"/>
        </w:rPr>
        <w:t>, ss. 24-27 (Manitoba).</w:t>
      </w:r>
    </w:p>
  </w:footnote>
  <w:footnote w:id="75">
    <w:p w14:paraId="72803087"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Public Interest Disclosure Act</w:t>
      </w:r>
      <w:r>
        <w:rPr>
          <w:rFonts w:ascii="Calibri" w:eastAsia="Calibri" w:hAnsi="Calibri" w:cs="Calibri"/>
          <w:sz w:val="20"/>
          <w:szCs w:val="20"/>
        </w:rPr>
        <w:t>, ss. 17-24, 31-34. (British Columbia)</w:t>
      </w:r>
    </w:p>
  </w:footnote>
  <w:footnote w:id="76">
    <w:p w14:paraId="3AD29B5C"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The</w:t>
      </w:r>
      <w:r>
        <w:rPr>
          <w:rFonts w:ascii="Calibri" w:eastAsia="Calibri" w:hAnsi="Calibri" w:cs="Calibri"/>
          <w:sz w:val="20"/>
          <w:szCs w:val="20"/>
        </w:rPr>
        <w:t xml:space="preserve"> </w:t>
      </w:r>
      <w:r>
        <w:rPr>
          <w:rFonts w:ascii="Calibri" w:eastAsia="Calibri" w:hAnsi="Calibri" w:cs="Calibri"/>
          <w:i/>
          <w:iCs/>
          <w:sz w:val="20"/>
          <w:szCs w:val="20"/>
        </w:rPr>
        <w:t xml:space="preserve">Public Service of Ontario Act, </w:t>
      </w:r>
      <w:r>
        <w:rPr>
          <w:rFonts w:ascii="Calibri" w:eastAsia="Calibri" w:hAnsi="Calibri" w:cs="Calibri"/>
          <w:sz w:val="20"/>
          <w:szCs w:val="20"/>
        </w:rPr>
        <w:t>ss. 122-125.</w:t>
      </w:r>
    </w:p>
  </w:footnote>
  <w:footnote w:id="77">
    <w:p w14:paraId="3C9EFD0D"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The Public Interest Disclosure Act</w:t>
      </w:r>
      <w:r>
        <w:rPr>
          <w:rFonts w:ascii="Calibri" w:eastAsia="Calibri" w:hAnsi="Calibri" w:cs="Calibri"/>
          <w:sz w:val="20"/>
          <w:szCs w:val="20"/>
        </w:rPr>
        <w:t xml:space="preserve">, ss. 22-27 (Saskatchewan); </w:t>
      </w:r>
      <w:r>
        <w:rPr>
          <w:rFonts w:ascii="Calibri" w:eastAsia="Calibri" w:hAnsi="Calibri" w:cs="Calibri"/>
          <w:i/>
          <w:iCs/>
          <w:sz w:val="20"/>
          <w:szCs w:val="20"/>
        </w:rPr>
        <w:t>Public Interest Disclosure (Whistleblower Protection) Ac</w:t>
      </w:r>
      <w:r>
        <w:rPr>
          <w:rFonts w:ascii="Calibri" w:eastAsia="Calibri" w:hAnsi="Calibri" w:cs="Calibri"/>
          <w:sz w:val="20"/>
          <w:szCs w:val="20"/>
        </w:rPr>
        <w:t>t, ss. 24-29 (Alberta).</w:t>
      </w:r>
    </w:p>
  </w:footnote>
  <w:footnote w:id="78">
    <w:p w14:paraId="3A5EB364"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Public Interest Disclosure Act</w:t>
      </w:r>
      <w:r>
        <w:rPr>
          <w:rFonts w:ascii="Calibri" w:eastAsia="Calibri" w:hAnsi="Calibri" w:cs="Calibri"/>
          <w:sz w:val="20"/>
          <w:szCs w:val="20"/>
        </w:rPr>
        <w:t xml:space="preserve">, ss.19-23 (New Brunswick); </w:t>
      </w:r>
      <w:r>
        <w:rPr>
          <w:rFonts w:ascii="Calibri" w:eastAsia="Calibri" w:hAnsi="Calibri" w:cs="Calibri"/>
          <w:i/>
          <w:iCs/>
          <w:sz w:val="20"/>
          <w:szCs w:val="20"/>
        </w:rPr>
        <w:t>Public Interest Disclosure and Whistleblower Protection Act</w:t>
      </w:r>
      <w:r>
        <w:rPr>
          <w:rFonts w:ascii="Calibri" w:eastAsia="Calibri" w:hAnsi="Calibri" w:cs="Calibri"/>
          <w:sz w:val="20"/>
          <w:szCs w:val="20"/>
        </w:rPr>
        <w:t xml:space="preserve">, ss. 21-25 (Newfoundland and Labrador). </w:t>
      </w:r>
    </w:p>
  </w:footnote>
  <w:footnote w:id="79">
    <w:p w14:paraId="5E14CABC"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Public Servants Disclosure Protection Act, </w:t>
      </w:r>
      <w:r>
        <w:rPr>
          <w:rFonts w:ascii="Calibri" w:eastAsia="Calibri" w:hAnsi="Calibri" w:cs="Calibri"/>
          <w:sz w:val="20"/>
          <w:szCs w:val="20"/>
        </w:rPr>
        <w:t>ss. 19, s. 21.</w:t>
      </w:r>
    </w:p>
  </w:footnote>
  <w:footnote w:id="80">
    <w:p w14:paraId="5EB26C1B"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s. 21.</w:t>
      </w:r>
    </w:p>
  </w:footnote>
  <w:footnote w:id="81">
    <w:p w14:paraId="7DEA3187"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PSPDA provides limited explanation regarding what form “all necessary disciplinary action[s]” take beyond termination of employment or revocation of appointment. This lack of clarity regarding scope of sanctions may contribute to its disuse as a remedial measure. See: </w:t>
      </w:r>
      <w:r>
        <w:rPr>
          <w:rFonts w:ascii="Calibri" w:eastAsia="Calibri" w:hAnsi="Calibri" w:cs="Calibri"/>
          <w:i/>
          <w:iCs/>
          <w:sz w:val="20"/>
          <w:szCs w:val="20"/>
        </w:rPr>
        <w:t xml:space="preserve">Public Servants Disclosure Protection Act, </w:t>
      </w:r>
      <w:r>
        <w:rPr>
          <w:rFonts w:ascii="Calibri" w:eastAsia="Calibri" w:hAnsi="Calibri" w:cs="Calibri"/>
          <w:sz w:val="20"/>
          <w:szCs w:val="20"/>
        </w:rPr>
        <w:t xml:space="preserve">s.21.8. </w:t>
      </w:r>
    </w:p>
  </w:footnote>
  <w:footnote w:id="82">
    <w:p w14:paraId="1C7B1390"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Feinstein &amp; Devine, </w:t>
      </w:r>
      <w:r>
        <w:rPr>
          <w:rFonts w:ascii="Calibri" w:eastAsia="Calibri" w:hAnsi="Calibri" w:cs="Calibri"/>
          <w:i/>
          <w:iCs/>
          <w:sz w:val="20"/>
          <w:szCs w:val="20"/>
        </w:rPr>
        <w:t xml:space="preserve">Are Whistleblowing Laws </w:t>
      </w:r>
      <w:proofErr w:type="gramStart"/>
      <w:r>
        <w:rPr>
          <w:rFonts w:ascii="Calibri" w:eastAsia="Calibri" w:hAnsi="Calibri" w:cs="Calibri"/>
          <w:i/>
          <w:iCs/>
          <w:sz w:val="20"/>
          <w:szCs w:val="20"/>
        </w:rPr>
        <w:t>Working?</w:t>
      </w:r>
      <w:r>
        <w:rPr>
          <w:rFonts w:ascii="Calibri" w:eastAsia="Calibri" w:hAnsi="Calibri" w:cs="Calibri"/>
          <w:sz w:val="20"/>
          <w:szCs w:val="20"/>
        </w:rPr>
        <w:t>,</w:t>
      </w:r>
      <w:proofErr w:type="gramEnd"/>
      <w:r>
        <w:rPr>
          <w:rFonts w:ascii="Calibri" w:eastAsia="Calibri" w:hAnsi="Calibri" w:cs="Calibri"/>
          <w:i/>
          <w:iCs/>
          <w:sz w:val="20"/>
          <w:szCs w:val="20"/>
        </w:rPr>
        <w:t xml:space="preserve"> supra</w:t>
      </w:r>
      <w:r>
        <w:rPr>
          <w:rFonts w:ascii="Calibri" w:eastAsia="Calibri" w:hAnsi="Calibri" w:cs="Calibri"/>
          <w:sz w:val="20"/>
          <w:szCs w:val="20"/>
        </w:rPr>
        <w:t xml:space="preserve"> note 6 at p. 37.</w:t>
      </w:r>
    </w:p>
  </w:footnote>
  <w:footnote w:id="83">
    <w:p w14:paraId="38AA372E"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Public Servants Disclosure Protection Act</w:t>
      </w:r>
      <w:r>
        <w:rPr>
          <w:rFonts w:ascii="Calibri" w:eastAsia="Calibri" w:hAnsi="Calibri" w:cs="Calibri"/>
          <w:sz w:val="20"/>
          <w:szCs w:val="20"/>
        </w:rPr>
        <w:t>, SC 2005, c 33.3, s. 236, online: &lt;</w:t>
      </w:r>
      <w:hyperlink r:id="rId44">
        <w:r w:rsidR="00822F51">
          <w:rPr>
            <w:rFonts w:ascii="Calibri" w:eastAsia="Calibri" w:hAnsi="Calibri" w:cs="Calibri"/>
            <w:color w:val="1155CC"/>
            <w:sz w:val="20"/>
            <w:szCs w:val="20"/>
            <w:u w:val="single"/>
          </w:rPr>
          <w:t>laws-lois.justice.gc.ca/</w:t>
        </w:r>
        <w:proofErr w:type="spellStart"/>
        <w:r w:rsidR="00822F51">
          <w:rPr>
            <w:rFonts w:ascii="Calibri" w:eastAsia="Calibri" w:hAnsi="Calibri" w:cs="Calibri"/>
            <w:color w:val="1155CC"/>
            <w:sz w:val="20"/>
            <w:szCs w:val="20"/>
            <w:u w:val="single"/>
          </w:rPr>
          <w:t>eng</w:t>
        </w:r>
        <w:proofErr w:type="spellEnd"/>
        <w:r w:rsidR="00822F51">
          <w:rPr>
            <w:rFonts w:ascii="Calibri" w:eastAsia="Calibri" w:hAnsi="Calibri" w:cs="Calibri"/>
            <w:color w:val="1155CC"/>
            <w:sz w:val="20"/>
            <w:szCs w:val="20"/>
            <w:u w:val="single"/>
          </w:rPr>
          <w:t>/acts/P-33.3/section-236.html</w:t>
        </w:r>
      </w:hyperlink>
      <w:r>
        <w:rPr>
          <w:rFonts w:ascii="Calibri" w:eastAsia="Calibri" w:hAnsi="Calibri" w:cs="Calibri"/>
          <w:sz w:val="20"/>
          <w:szCs w:val="20"/>
        </w:rPr>
        <w:t>&gt;.</w:t>
      </w:r>
    </w:p>
  </w:footnote>
  <w:footnote w:id="84">
    <w:p w14:paraId="7513BE91"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Public Servants Disclosure Protection Act</w:t>
      </w:r>
      <w:r>
        <w:rPr>
          <w:rFonts w:ascii="Calibri" w:eastAsia="Calibri" w:hAnsi="Calibri" w:cs="Calibri"/>
          <w:sz w:val="20"/>
          <w:szCs w:val="20"/>
        </w:rPr>
        <w:t>, s 25.1.</w:t>
      </w:r>
    </w:p>
  </w:footnote>
  <w:footnote w:id="85">
    <w:p w14:paraId="1182BF3C"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Public Interest Disclosure (Whistleblower Protection) Ac</w:t>
      </w:r>
      <w:r>
        <w:rPr>
          <w:rFonts w:ascii="Calibri" w:eastAsia="Calibri" w:hAnsi="Calibri" w:cs="Calibri"/>
          <w:sz w:val="20"/>
          <w:szCs w:val="20"/>
        </w:rPr>
        <w:t xml:space="preserve">t, s. 26 (Alberta); </w:t>
      </w:r>
      <w:r>
        <w:rPr>
          <w:rFonts w:ascii="Calibri" w:eastAsia="Calibri" w:hAnsi="Calibri" w:cs="Calibri"/>
          <w:i/>
          <w:iCs/>
          <w:sz w:val="20"/>
          <w:szCs w:val="20"/>
        </w:rPr>
        <w:t xml:space="preserve">The Public Interest Disclosure (Whistleblower Protection), </w:t>
      </w:r>
      <w:r>
        <w:rPr>
          <w:rFonts w:ascii="Calibri" w:eastAsia="Calibri" w:hAnsi="Calibri" w:cs="Calibri"/>
          <w:sz w:val="20"/>
          <w:szCs w:val="20"/>
        </w:rPr>
        <w:t xml:space="preserve">s. 27 (Manitoba);  </w:t>
      </w:r>
      <w:r>
        <w:rPr>
          <w:rFonts w:ascii="Calibri" w:eastAsia="Calibri" w:hAnsi="Calibri" w:cs="Calibri"/>
          <w:i/>
          <w:iCs/>
          <w:sz w:val="20"/>
          <w:szCs w:val="20"/>
        </w:rPr>
        <w:t xml:space="preserve">The Public Interest Disclosure Act, </w:t>
      </w:r>
      <w:r>
        <w:rPr>
          <w:rFonts w:ascii="Calibri" w:eastAsia="Calibri" w:hAnsi="Calibri" w:cs="Calibri"/>
          <w:sz w:val="20"/>
          <w:szCs w:val="20"/>
        </w:rPr>
        <w:t xml:space="preserve">s. 25-27 (Saskatchewan); </w:t>
      </w:r>
      <w:r>
        <w:rPr>
          <w:rFonts w:ascii="Calibri" w:eastAsia="Calibri" w:hAnsi="Calibri" w:cs="Calibri"/>
          <w:i/>
          <w:iCs/>
          <w:sz w:val="20"/>
          <w:szCs w:val="20"/>
        </w:rPr>
        <w:t xml:space="preserve">Public Interest Disclosure Act, </w:t>
      </w:r>
      <w:r>
        <w:rPr>
          <w:rFonts w:ascii="Calibri" w:eastAsia="Calibri" w:hAnsi="Calibri" w:cs="Calibri"/>
          <w:sz w:val="20"/>
          <w:szCs w:val="20"/>
        </w:rPr>
        <w:t xml:space="preserve">s. 21-23 (New Brunswick); </w:t>
      </w:r>
      <w:r>
        <w:rPr>
          <w:rFonts w:ascii="Calibri" w:eastAsia="Calibri" w:hAnsi="Calibri" w:cs="Calibri"/>
          <w:i/>
          <w:iCs/>
          <w:sz w:val="20"/>
          <w:szCs w:val="20"/>
        </w:rPr>
        <w:t>Public Interest Disclosure and Whistleblower Protection Act</w:t>
      </w:r>
      <w:r>
        <w:rPr>
          <w:rFonts w:ascii="Calibri" w:eastAsia="Calibri" w:hAnsi="Calibri" w:cs="Calibri"/>
          <w:sz w:val="20"/>
          <w:szCs w:val="20"/>
        </w:rPr>
        <w:t xml:space="preserve">, s. 22-24 (Newfoundland and Labrador); </w:t>
      </w:r>
      <w:r>
        <w:rPr>
          <w:rFonts w:ascii="Calibri" w:eastAsia="Calibri" w:hAnsi="Calibri" w:cs="Calibri"/>
          <w:i/>
          <w:iCs/>
          <w:sz w:val="20"/>
          <w:szCs w:val="20"/>
        </w:rPr>
        <w:t>Public Interest Disclosure Act</w:t>
      </w:r>
      <w:r>
        <w:rPr>
          <w:rFonts w:ascii="Calibri" w:eastAsia="Calibri" w:hAnsi="Calibri" w:cs="Calibri"/>
          <w:sz w:val="20"/>
          <w:szCs w:val="20"/>
        </w:rPr>
        <w:t xml:space="preserve">, s. 42-44 (British Columbia). </w:t>
      </w:r>
    </w:p>
  </w:footnote>
  <w:footnote w:id="86">
    <w:p w14:paraId="5FEF0C54"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 xml:space="preserve">Public Interest Disclosure Act, </w:t>
      </w:r>
      <w:r>
        <w:rPr>
          <w:rFonts w:ascii="Calibri" w:eastAsia="Calibri" w:hAnsi="Calibri" w:cs="Calibri"/>
          <w:sz w:val="20"/>
          <w:szCs w:val="20"/>
        </w:rPr>
        <w:t>s. 70-71. (New Brunswick)</w:t>
      </w:r>
    </w:p>
  </w:footnote>
  <w:footnote w:id="87">
    <w:p w14:paraId="70B8E0CF"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Public Interest Disclosure (Whistleblower Protection) Ac</w:t>
      </w:r>
      <w:r>
        <w:rPr>
          <w:rFonts w:ascii="Calibri" w:eastAsia="Calibri" w:hAnsi="Calibri" w:cs="Calibri"/>
          <w:sz w:val="20"/>
          <w:szCs w:val="20"/>
        </w:rPr>
        <w:t>t, s. 27.2(3)(f)(iv). (Alberta)</w:t>
      </w:r>
    </w:p>
  </w:footnote>
  <w:footnote w:id="88">
    <w:p w14:paraId="7F954D6C"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Public Interest Disclosure Act</w:t>
      </w:r>
      <w:r>
        <w:rPr>
          <w:rFonts w:ascii="Calibri" w:eastAsia="Calibri" w:hAnsi="Calibri" w:cs="Calibri"/>
          <w:sz w:val="20"/>
          <w:szCs w:val="20"/>
        </w:rPr>
        <w:t>, s. 26. (British Columbia)</w:t>
      </w:r>
    </w:p>
  </w:footnote>
  <w:footnote w:id="89">
    <w:p w14:paraId="1DC81B8D"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The Public Interest Disclosure (Whistleblower Protection), </w:t>
      </w:r>
      <w:r>
        <w:rPr>
          <w:rFonts w:ascii="Calibri" w:eastAsia="Calibri" w:hAnsi="Calibri" w:cs="Calibri"/>
          <w:sz w:val="20"/>
          <w:szCs w:val="20"/>
        </w:rPr>
        <w:t>s. 34. (Manitoba)</w:t>
      </w:r>
    </w:p>
  </w:footnote>
  <w:footnote w:id="90">
    <w:p w14:paraId="20D5B8AE"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Public Interest Disclosure and Protection Act Regulations</w:t>
      </w:r>
      <w:r>
        <w:rPr>
          <w:rFonts w:ascii="Calibri" w:eastAsia="Calibri" w:hAnsi="Calibri" w:cs="Calibri"/>
          <w:sz w:val="20"/>
          <w:szCs w:val="20"/>
        </w:rPr>
        <w:t>, NLR 61/14, s. 3, online: &lt;</w:t>
      </w:r>
      <w:hyperlink r:id="rId45">
        <w:r w:rsidR="00822F51">
          <w:rPr>
            <w:rFonts w:ascii="Calibri" w:eastAsia="Calibri" w:hAnsi="Calibri" w:cs="Calibri"/>
            <w:color w:val="1155CC"/>
            <w:sz w:val="20"/>
            <w:szCs w:val="20"/>
            <w:u w:val="single"/>
          </w:rPr>
          <w:t>https://www.assembly.nl.ca/legislation/sr/annualregs/2014/nr140061.htm</w:t>
        </w:r>
      </w:hyperlink>
      <w:r>
        <w:rPr>
          <w:rFonts w:ascii="Calibri" w:eastAsia="Calibri" w:hAnsi="Calibri" w:cs="Calibri"/>
          <w:sz w:val="20"/>
          <w:szCs w:val="20"/>
        </w:rPr>
        <w:t>&gt;.</w:t>
      </w:r>
    </w:p>
  </w:footnote>
  <w:footnote w:id="91">
    <w:p w14:paraId="421AB77D"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Act to facilitate the disclosure of wrongdoings relating to public bodies</w:t>
      </w:r>
      <w:r>
        <w:rPr>
          <w:rFonts w:ascii="Calibri" w:eastAsia="Calibri" w:hAnsi="Calibri" w:cs="Calibri"/>
          <w:sz w:val="20"/>
          <w:szCs w:val="20"/>
        </w:rPr>
        <w:t>, s. 26.</w:t>
      </w:r>
    </w:p>
  </w:footnote>
  <w:footnote w:id="92">
    <w:p w14:paraId="15FE0CCE" w14:textId="77777777" w:rsidR="00822F51" w:rsidRDefault="001A22F2">
      <w:pPr>
        <w:spacing w:line="240" w:lineRule="auto"/>
        <w:rPr>
          <w:sz w:val="20"/>
          <w:szCs w:val="20"/>
          <w:highlight w:val="yellow"/>
        </w:rPr>
      </w:pPr>
      <w:r>
        <w:rPr>
          <w:vertAlign w:val="superscript"/>
        </w:rPr>
        <w:footnoteRef/>
      </w:r>
      <w:r>
        <w:rPr>
          <w:sz w:val="20"/>
          <w:szCs w:val="20"/>
        </w:rPr>
        <w:t xml:space="preserve"> </w:t>
      </w:r>
      <w:r>
        <w:rPr>
          <w:rFonts w:ascii="Calibri" w:eastAsia="Calibri" w:hAnsi="Calibri" w:cs="Calibri"/>
          <w:i/>
          <w:iCs/>
          <w:sz w:val="20"/>
          <w:szCs w:val="20"/>
        </w:rPr>
        <w:t xml:space="preserve">The Public Interest Disclosure Act </w:t>
      </w:r>
      <w:r>
        <w:rPr>
          <w:rFonts w:ascii="Calibri" w:eastAsia="Calibri" w:hAnsi="Calibri" w:cs="Calibri"/>
          <w:sz w:val="20"/>
          <w:szCs w:val="20"/>
        </w:rPr>
        <w:t>(Saskatchewan)</w:t>
      </w:r>
      <w:r>
        <w:rPr>
          <w:rFonts w:ascii="Calibri" w:eastAsia="Calibri" w:hAnsi="Calibri" w:cs="Calibri"/>
          <w:i/>
          <w:iCs/>
          <w:sz w:val="20"/>
          <w:szCs w:val="20"/>
        </w:rPr>
        <w:t xml:space="preserve">; Public Interest Disclosure of Wrongdoing Act </w:t>
      </w:r>
      <w:r>
        <w:rPr>
          <w:rFonts w:ascii="Calibri" w:eastAsia="Calibri" w:hAnsi="Calibri" w:cs="Calibri"/>
          <w:sz w:val="20"/>
          <w:szCs w:val="20"/>
        </w:rPr>
        <w:t xml:space="preserve">(Nova Scotia); </w:t>
      </w:r>
      <w:r>
        <w:rPr>
          <w:rFonts w:ascii="Calibri" w:eastAsia="Calibri" w:hAnsi="Calibri" w:cs="Calibri"/>
          <w:i/>
          <w:iCs/>
          <w:sz w:val="20"/>
          <w:szCs w:val="20"/>
        </w:rPr>
        <w:t xml:space="preserve">Public Interest Disclosure </w:t>
      </w:r>
      <w:proofErr w:type="gramStart"/>
      <w:r>
        <w:rPr>
          <w:rFonts w:ascii="Calibri" w:eastAsia="Calibri" w:hAnsi="Calibri" w:cs="Calibri"/>
          <w:i/>
          <w:iCs/>
          <w:sz w:val="20"/>
          <w:szCs w:val="20"/>
        </w:rPr>
        <w:t>Of</w:t>
      </w:r>
      <w:proofErr w:type="gramEnd"/>
      <w:r>
        <w:rPr>
          <w:rFonts w:ascii="Calibri" w:eastAsia="Calibri" w:hAnsi="Calibri" w:cs="Calibri"/>
          <w:i/>
          <w:iCs/>
          <w:sz w:val="20"/>
          <w:szCs w:val="20"/>
        </w:rPr>
        <w:t xml:space="preserve"> Wrongdoing Ac</w:t>
      </w:r>
      <w:r>
        <w:rPr>
          <w:rFonts w:ascii="Calibri" w:eastAsia="Calibri" w:hAnsi="Calibri" w:cs="Calibri"/>
          <w:sz w:val="20"/>
          <w:szCs w:val="20"/>
        </w:rPr>
        <w:t>t (Yukon).</w:t>
      </w:r>
    </w:p>
  </w:footnote>
  <w:footnote w:id="93">
    <w:p w14:paraId="4E3DFEDF" w14:textId="77777777" w:rsidR="00822F51" w:rsidRDefault="001A22F2">
      <w:pPr>
        <w:spacing w:line="240" w:lineRule="auto"/>
        <w:rPr>
          <w:sz w:val="20"/>
          <w:szCs w:val="20"/>
        </w:rPr>
      </w:pPr>
      <w:r>
        <w:rPr>
          <w:vertAlign w:val="superscript"/>
        </w:rPr>
        <w:footnoteRef/>
      </w:r>
      <w:r>
        <w:rPr>
          <w:rFonts w:ascii="Calibri" w:eastAsia="Calibri" w:hAnsi="Calibri" w:cs="Calibri"/>
          <w:sz w:val="20"/>
          <w:szCs w:val="20"/>
        </w:rPr>
        <w:t>Devine, “International Best Practices for Whistleblower Policies”,</w:t>
      </w:r>
      <w:r>
        <w:rPr>
          <w:rFonts w:ascii="Calibri" w:eastAsia="Calibri" w:hAnsi="Calibri" w:cs="Calibri"/>
          <w:i/>
          <w:iCs/>
          <w:sz w:val="20"/>
          <w:szCs w:val="20"/>
        </w:rPr>
        <w:t xml:space="preserve"> supra</w:t>
      </w:r>
      <w:r>
        <w:rPr>
          <w:rFonts w:ascii="Calibri" w:eastAsia="Calibri" w:hAnsi="Calibri" w:cs="Calibri"/>
          <w:sz w:val="20"/>
          <w:szCs w:val="20"/>
        </w:rPr>
        <w:t xml:space="preserve"> note 22.</w:t>
      </w:r>
    </w:p>
  </w:footnote>
  <w:footnote w:id="94">
    <w:p w14:paraId="3B678827" w14:textId="77777777" w:rsidR="00822F51" w:rsidRDefault="001A22F2">
      <w:pPr>
        <w:spacing w:line="240" w:lineRule="auto"/>
        <w:rPr>
          <w:rFonts w:ascii="Calibri" w:eastAsia="Calibri" w:hAnsi="Calibri" w:cs="Calibri"/>
          <w:i/>
          <w:iCs/>
          <w:sz w:val="20"/>
          <w:szCs w:val="20"/>
        </w:rPr>
      </w:pPr>
      <w:r>
        <w:rPr>
          <w:vertAlign w:val="superscript"/>
        </w:rPr>
        <w:footnoteRef/>
      </w:r>
      <w:r>
        <w:rPr>
          <w:rFonts w:ascii="Calibri" w:eastAsia="Calibri" w:hAnsi="Calibri" w:cs="Calibri"/>
          <w:i/>
          <w:iCs/>
          <w:sz w:val="20"/>
          <w:szCs w:val="20"/>
        </w:rPr>
        <w:t>Ibid.</w:t>
      </w:r>
    </w:p>
  </w:footnote>
  <w:footnote w:id="95">
    <w:p w14:paraId="0DDF2387" w14:textId="7777777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i/>
          <w:iCs/>
          <w:sz w:val="20"/>
          <w:szCs w:val="20"/>
        </w:rPr>
        <w:t>Public Interest Disclosure (Whistleblower Protection) Ac</w:t>
      </w:r>
      <w:r>
        <w:rPr>
          <w:rFonts w:ascii="Calibri" w:eastAsia="Calibri" w:hAnsi="Calibri" w:cs="Calibri"/>
          <w:sz w:val="20"/>
          <w:szCs w:val="20"/>
        </w:rPr>
        <w:t xml:space="preserve">t (Alberta); </w:t>
      </w:r>
      <w:r>
        <w:rPr>
          <w:rFonts w:ascii="Calibri" w:eastAsia="Calibri" w:hAnsi="Calibri" w:cs="Calibri"/>
          <w:i/>
          <w:iCs/>
          <w:sz w:val="20"/>
          <w:szCs w:val="20"/>
        </w:rPr>
        <w:t>Public Interest Disclosure Act</w:t>
      </w:r>
      <w:r>
        <w:rPr>
          <w:rFonts w:ascii="Calibri" w:eastAsia="Calibri" w:hAnsi="Calibri" w:cs="Calibri"/>
          <w:sz w:val="20"/>
          <w:szCs w:val="20"/>
        </w:rPr>
        <w:t xml:space="preserve">; (British Columbia); </w:t>
      </w:r>
      <w:r>
        <w:rPr>
          <w:rFonts w:ascii="Calibri" w:eastAsia="Calibri" w:hAnsi="Calibri" w:cs="Calibri"/>
          <w:i/>
          <w:iCs/>
          <w:sz w:val="20"/>
          <w:szCs w:val="20"/>
        </w:rPr>
        <w:t>The Public Interest Disclosure Act</w:t>
      </w:r>
      <w:r>
        <w:rPr>
          <w:rFonts w:ascii="Calibri" w:eastAsia="Calibri" w:hAnsi="Calibri" w:cs="Calibri"/>
          <w:sz w:val="20"/>
          <w:szCs w:val="20"/>
        </w:rPr>
        <w:t xml:space="preserve"> (Saskatchewan); </w:t>
      </w:r>
      <w:r>
        <w:rPr>
          <w:rFonts w:ascii="Calibri" w:eastAsia="Calibri" w:hAnsi="Calibri" w:cs="Calibri"/>
          <w:i/>
          <w:iCs/>
          <w:sz w:val="20"/>
          <w:szCs w:val="20"/>
        </w:rPr>
        <w:t>Public Interest Disclosure and Whistleblower Protection Act,</w:t>
      </w:r>
      <w:r>
        <w:rPr>
          <w:rFonts w:ascii="Calibri" w:eastAsia="Calibri" w:hAnsi="Calibri" w:cs="Calibri"/>
          <w:sz w:val="20"/>
          <w:szCs w:val="20"/>
        </w:rPr>
        <w:t xml:space="preserve"> (Prince Edward Island).</w:t>
      </w:r>
    </w:p>
  </w:footnote>
  <w:footnote w:id="96">
    <w:p w14:paraId="44629FF9" w14:textId="6AC9F4E2"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i/>
          <w:iCs/>
          <w:sz w:val="20"/>
          <w:szCs w:val="20"/>
        </w:rPr>
        <w:t>The Public Interest Disclosure (Whistleblower Protection) Act</w:t>
      </w:r>
      <w:r>
        <w:rPr>
          <w:rFonts w:ascii="Calibri" w:eastAsia="Calibri" w:hAnsi="Calibri" w:cs="Calibri"/>
          <w:sz w:val="20"/>
          <w:szCs w:val="20"/>
        </w:rPr>
        <w:t xml:space="preserve"> (Manitoba);</w:t>
      </w:r>
      <w:r>
        <w:rPr>
          <w:rFonts w:ascii="Calibri" w:eastAsia="Calibri" w:hAnsi="Calibri" w:cs="Calibri"/>
          <w:i/>
          <w:iCs/>
          <w:sz w:val="20"/>
          <w:szCs w:val="20"/>
        </w:rPr>
        <w:t xml:space="preserve"> Public Interest Disclosure Act</w:t>
      </w:r>
      <w:r>
        <w:rPr>
          <w:rFonts w:ascii="Calibri" w:eastAsia="Calibri" w:hAnsi="Calibri" w:cs="Calibri"/>
          <w:sz w:val="20"/>
          <w:szCs w:val="20"/>
        </w:rPr>
        <w:t xml:space="preserve">, (New Brunswick); </w:t>
      </w:r>
      <w:r>
        <w:rPr>
          <w:rFonts w:ascii="Calibri" w:eastAsia="Calibri" w:hAnsi="Calibri" w:cs="Calibri"/>
          <w:i/>
          <w:iCs/>
          <w:sz w:val="20"/>
          <w:szCs w:val="20"/>
        </w:rPr>
        <w:t>Public Interest Disclosure of Wrongdoing Act</w:t>
      </w:r>
      <w:r>
        <w:rPr>
          <w:rFonts w:ascii="Calibri" w:eastAsia="Calibri" w:hAnsi="Calibri" w:cs="Calibri"/>
          <w:sz w:val="20"/>
          <w:szCs w:val="20"/>
        </w:rPr>
        <w:t xml:space="preserve"> (Nova Scotia); </w:t>
      </w:r>
      <w:r>
        <w:rPr>
          <w:rFonts w:ascii="Calibri" w:eastAsia="Calibri" w:hAnsi="Calibri" w:cs="Calibri"/>
          <w:i/>
          <w:iCs/>
          <w:sz w:val="20"/>
          <w:szCs w:val="20"/>
        </w:rPr>
        <w:t>Public Interest Disclosure and Whistleblower Protection Act</w:t>
      </w:r>
      <w:r>
        <w:rPr>
          <w:rFonts w:ascii="Calibri" w:eastAsia="Calibri" w:hAnsi="Calibri" w:cs="Calibri"/>
          <w:sz w:val="20"/>
          <w:szCs w:val="20"/>
        </w:rPr>
        <w:t xml:space="preserve"> (Newfoundland and Labrador).</w:t>
      </w:r>
    </w:p>
  </w:footnote>
  <w:footnote w:id="97">
    <w:p w14:paraId="169FFA90" w14:textId="7777777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i/>
          <w:iCs/>
          <w:sz w:val="20"/>
          <w:szCs w:val="20"/>
        </w:rPr>
        <w:t xml:space="preserve">Act to facilitate the disclosure of wrongdoings relating to public bodies </w:t>
      </w:r>
      <w:r>
        <w:rPr>
          <w:rFonts w:ascii="Calibri" w:eastAsia="Calibri" w:hAnsi="Calibri" w:cs="Calibri"/>
          <w:sz w:val="20"/>
          <w:szCs w:val="20"/>
        </w:rPr>
        <w:t xml:space="preserve">(Quebec); </w:t>
      </w:r>
      <w:r>
        <w:rPr>
          <w:rFonts w:ascii="Calibri" w:eastAsia="Calibri" w:hAnsi="Calibri" w:cs="Calibri"/>
          <w:i/>
          <w:iCs/>
          <w:sz w:val="20"/>
          <w:szCs w:val="20"/>
        </w:rPr>
        <w:t>Public Service of Ontario Act</w:t>
      </w:r>
      <w:r>
        <w:rPr>
          <w:rFonts w:ascii="Calibri" w:eastAsia="Calibri" w:hAnsi="Calibri" w:cs="Calibri"/>
          <w:sz w:val="20"/>
          <w:szCs w:val="20"/>
        </w:rPr>
        <w:t>, Sch A, ss 103–150;</w:t>
      </w:r>
      <w:r>
        <w:rPr>
          <w:rFonts w:ascii="Calibri" w:eastAsia="Calibri" w:hAnsi="Calibri" w:cs="Calibri"/>
          <w:i/>
          <w:iCs/>
          <w:sz w:val="20"/>
          <w:szCs w:val="20"/>
        </w:rPr>
        <w:t xml:space="preserve"> Public Service Act</w:t>
      </w:r>
      <w:r>
        <w:rPr>
          <w:rFonts w:ascii="Calibri" w:eastAsia="Calibri" w:hAnsi="Calibri" w:cs="Calibri"/>
          <w:sz w:val="20"/>
          <w:szCs w:val="20"/>
        </w:rPr>
        <w:t xml:space="preserve">, ss 38–54; </w:t>
      </w:r>
      <w:r>
        <w:rPr>
          <w:rFonts w:ascii="Calibri" w:eastAsia="Calibri" w:hAnsi="Calibri" w:cs="Calibri"/>
          <w:i/>
          <w:iCs/>
          <w:sz w:val="20"/>
          <w:szCs w:val="20"/>
        </w:rPr>
        <w:t xml:space="preserve">Public Interest Disclosure </w:t>
      </w:r>
      <w:proofErr w:type="gramStart"/>
      <w:r>
        <w:rPr>
          <w:rFonts w:ascii="Calibri" w:eastAsia="Calibri" w:hAnsi="Calibri" w:cs="Calibri"/>
          <w:i/>
          <w:iCs/>
          <w:sz w:val="20"/>
          <w:szCs w:val="20"/>
        </w:rPr>
        <w:t>Of</w:t>
      </w:r>
      <w:proofErr w:type="gramEnd"/>
      <w:r>
        <w:rPr>
          <w:rFonts w:ascii="Calibri" w:eastAsia="Calibri" w:hAnsi="Calibri" w:cs="Calibri"/>
          <w:i/>
          <w:iCs/>
          <w:sz w:val="20"/>
          <w:szCs w:val="20"/>
        </w:rPr>
        <w:t xml:space="preserve"> Wrongdoing Ac</w:t>
      </w:r>
      <w:r>
        <w:rPr>
          <w:rFonts w:ascii="Calibri" w:eastAsia="Calibri" w:hAnsi="Calibri" w:cs="Calibri"/>
          <w:sz w:val="20"/>
          <w:szCs w:val="20"/>
        </w:rPr>
        <w:t>t (Yukon).</w:t>
      </w:r>
    </w:p>
  </w:footnote>
  <w:footnote w:id="98">
    <w:p w14:paraId="125C1765" w14:textId="7777777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Devine, “International Best Practices for Whistleblower Policies”,</w:t>
      </w:r>
      <w:r>
        <w:rPr>
          <w:rFonts w:ascii="Calibri" w:eastAsia="Calibri" w:hAnsi="Calibri" w:cs="Calibri"/>
          <w:i/>
          <w:iCs/>
          <w:sz w:val="20"/>
          <w:szCs w:val="20"/>
        </w:rPr>
        <w:t xml:space="preserve"> supra</w:t>
      </w:r>
      <w:r>
        <w:rPr>
          <w:rFonts w:ascii="Calibri" w:eastAsia="Calibri" w:hAnsi="Calibri" w:cs="Calibri"/>
          <w:sz w:val="20"/>
          <w:szCs w:val="20"/>
        </w:rPr>
        <w:t xml:space="preserve"> note 22 at 2.</w:t>
      </w:r>
    </w:p>
  </w:footnote>
  <w:footnote w:id="99">
    <w:p w14:paraId="71FA3031"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3.</w:t>
      </w:r>
    </w:p>
  </w:footnote>
  <w:footnote w:id="100">
    <w:p w14:paraId="2617B1FA" w14:textId="7777777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3.</w:t>
      </w:r>
    </w:p>
  </w:footnote>
  <w:footnote w:id="101">
    <w:p w14:paraId="76138621"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at 4.</w:t>
      </w:r>
    </w:p>
  </w:footnote>
  <w:footnote w:id="102">
    <w:p w14:paraId="660D96AC"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Ibid </w:t>
      </w:r>
      <w:r>
        <w:rPr>
          <w:rFonts w:ascii="Calibri" w:eastAsia="Calibri" w:hAnsi="Calibri" w:cs="Calibri"/>
          <w:sz w:val="20"/>
          <w:szCs w:val="20"/>
        </w:rPr>
        <w:t>at 4.</w:t>
      </w:r>
    </w:p>
  </w:footnote>
  <w:footnote w:id="103">
    <w:p w14:paraId="325A39E6" w14:textId="77777777" w:rsidR="00822F51" w:rsidRDefault="001A22F2">
      <w:pPr>
        <w:spacing w:line="240" w:lineRule="auto"/>
        <w:rPr>
          <w:rFonts w:ascii="Calibri" w:eastAsia="Calibri" w:hAnsi="Calibri" w:cs="Calibri"/>
          <w:i/>
          <w:iCs/>
          <w:sz w:val="20"/>
          <w:szCs w:val="20"/>
        </w:rPr>
      </w:pPr>
      <w:r>
        <w:rPr>
          <w:vertAlign w:val="superscript"/>
        </w:rPr>
        <w:footnoteRef/>
      </w:r>
      <w:r>
        <w:rPr>
          <w:rFonts w:ascii="Calibri" w:eastAsia="Calibri" w:hAnsi="Calibri" w:cs="Calibri"/>
          <w:i/>
          <w:iCs/>
          <w:sz w:val="20"/>
          <w:szCs w:val="20"/>
        </w:rPr>
        <w:t xml:space="preserve"> Ibid </w:t>
      </w:r>
      <w:r>
        <w:rPr>
          <w:rFonts w:ascii="Calibri" w:eastAsia="Calibri" w:hAnsi="Calibri" w:cs="Calibri"/>
          <w:sz w:val="20"/>
          <w:szCs w:val="20"/>
        </w:rPr>
        <w:t>at 6</w:t>
      </w:r>
      <w:r>
        <w:rPr>
          <w:rFonts w:ascii="Calibri" w:eastAsia="Calibri" w:hAnsi="Calibri" w:cs="Calibri"/>
          <w:i/>
          <w:iCs/>
          <w:sz w:val="20"/>
          <w:szCs w:val="20"/>
        </w:rPr>
        <w:t>.</w:t>
      </w:r>
    </w:p>
  </w:footnote>
  <w:footnote w:id="104">
    <w:p w14:paraId="4A6BF83B" w14:textId="77777777" w:rsidR="00822F51" w:rsidRDefault="001A22F2">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7.</w:t>
      </w:r>
    </w:p>
  </w:footnote>
  <w:footnote w:id="105">
    <w:p w14:paraId="2B1EDACF" w14:textId="77777777" w:rsidR="00822F51" w:rsidRDefault="001A22F2">
      <w:pPr>
        <w:spacing w:line="240" w:lineRule="auto"/>
        <w:rPr>
          <w:rFonts w:ascii="Calibri" w:eastAsia="Calibri" w:hAnsi="Calibri" w:cs="Calibri"/>
          <w:i/>
          <w:iCs/>
          <w:sz w:val="20"/>
          <w:szCs w:val="20"/>
        </w:rPr>
      </w:pPr>
      <w:r>
        <w:rPr>
          <w:vertAlign w:val="superscript"/>
        </w:rPr>
        <w:footnoteRef/>
      </w:r>
      <w:r>
        <w:rPr>
          <w:rFonts w:ascii="Calibri" w:eastAsia="Calibri" w:hAnsi="Calibri" w:cs="Calibri"/>
          <w:i/>
          <w:iCs/>
          <w:sz w:val="20"/>
          <w:szCs w:val="20"/>
        </w:rPr>
        <w:t xml:space="preserve"> Ibid </w:t>
      </w:r>
      <w:r>
        <w:rPr>
          <w:rFonts w:ascii="Calibri" w:eastAsia="Calibri" w:hAnsi="Calibri" w:cs="Calibri"/>
          <w:sz w:val="20"/>
          <w:szCs w:val="20"/>
        </w:rPr>
        <w:t>at 7</w:t>
      </w:r>
      <w:r>
        <w:rPr>
          <w:rFonts w:ascii="Calibri" w:eastAsia="Calibri" w:hAnsi="Calibri" w:cs="Calibri"/>
          <w:i/>
          <w:iCs/>
          <w:sz w:val="20"/>
          <w:szCs w:val="20"/>
        </w:rPr>
        <w:t>.</w:t>
      </w:r>
    </w:p>
  </w:footnote>
  <w:footnote w:id="106">
    <w:p w14:paraId="59BCF5D7"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Devine, “International Best Practices for Whistleblower Policies”,</w:t>
      </w:r>
      <w:r>
        <w:rPr>
          <w:rFonts w:ascii="Calibri" w:eastAsia="Calibri" w:hAnsi="Calibri" w:cs="Calibri"/>
          <w:i/>
          <w:iCs/>
          <w:sz w:val="20"/>
          <w:szCs w:val="20"/>
        </w:rPr>
        <w:t xml:space="preserve"> supra</w:t>
      </w:r>
      <w:r>
        <w:rPr>
          <w:rFonts w:ascii="Calibri" w:eastAsia="Calibri" w:hAnsi="Calibri" w:cs="Calibri"/>
          <w:sz w:val="20"/>
          <w:szCs w:val="20"/>
        </w:rPr>
        <w:t xml:space="preserve"> note 22 at 8-9.</w:t>
      </w:r>
    </w:p>
  </w:footnote>
  <w:footnote w:id="107">
    <w:p w14:paraId="41300D40" w14:textId="77777777" w:rsidR="00822F51" w:rsidRDefault="001A22F2">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 </w:t>
      </w:r>
      <w:r>
        <w:rPr>
          <w:rFonts w:ascii="Calibri" w:eastAsia="Calibri" w:hAnsi="Calibri" w:cs="Calibri"/>
          <w:i/>
          <w:iCs/>
          <w:sz w:val="20"/>
          <w:szCs w:val="20"/>
        </w:rPr>
        <w:t>An Act to facilitate the disclosure of wrongdoing and to protect persons who disclose wrongdoing</w:t>
      </w:r>
      <w:r>
        <w:rPr>
          <w:rFonts w:ascii="Calibri" w:eastAsia="Calibri" w:hAnsi="Calibri" w:cs="Calibri"/>
          <w:sz w:val="20"/>
          <w:szCs w:val="20"/>
        </w:rPr>
        <w:t>, s. 15.</w:t>
      </w:r>
    </w:p>
  </w:footnote>
  <w:footnote w:id="108">
    <w:p w14:paraId="6B79296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Ibid</w:t>
      </w:r>
      <w:r>
        <w:rPr>
          <w:rFonts w:ascii="Calibri" w:eastAsia="Calibri" w:hAnsi="Calibri" w:cs="Calibri"/>
          <w:sz w:val="20"/>
          <w:szCs w:val="20"/>
        </w:rPr>
        <w:t xml:space="preserve"> at 9.</w:t>
      </w:r>
    </w:p>
  </w:footnote>
  <w:footnote w:id="109">
    <w:p w14:paraId="2236A732"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Ibid </w:t>
      </w:r>
      <w:r>
        <w:rPr>
          <w:rFonts w:ascii="Calibri" w:eastAsia="Calibri" w:hAnsi="Calibri" w:cs="Calibri"/>
          <w:sz w:val="20"/>
          <w:szCs w:val="20"/>
        </w:rPr>
        <w:t>at 10.</w:t>
      </w:r>
    </w:p>
  </w:footnote>
  <w:footnote w:id="110">
    <w:p w14:paraId="25B8DAFE" w14:textId="77777777" w:rsidR="00822F51" w:rsidRDefault="001A22F2">
      <w:pPr>
        <w:spacing w:line="240" w:lineRule="auto"/>
        <w:rPr>
          <w:rFonts w:ascii="Calibri" w:eastAsia="Calibri" w:hAnsi="Calibri" w:cs="Calibri"/>
          <w:sz w:val="20"/>
          <w:szCs w:val="20"/>
        </w:rPr>
      </w:pPr>
      <w:r>
        <w:rPr>
          <w:vertAlign w:val="superscript"/>
        </w:rPr>
        <w:footnoteRef/>
      </w:r>
      <w:r>
        <w:rPr>
          <w:i/>
          <w:iCs/>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at 10.</w:t>
      </w:r>
    </w:p>
  </w:footnote>
  <w:footnote w:id="111">
    <w:p w14:paraId="3FB61418"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Ibid</w:t>
      </w:r>
      <w:r>
        <w:rPr>
          <w:rFonts w:ascii="Calibri" w:eastAsia="Calibri" w:hAnsi="Calibri" w:cs="Calibri"/>
          <w:sz w:val="20"/>
          <w:szCs w:val="20"/>
        </w:rPr>
        <w:t xml:space="preserve"> at 11.</w:t>
      </w:r>
    </w:p>
  </w:footnote>
  <w:footnote w:id="112">
    <w:p w14:paraId="472DC40B" w14:textId="77777777" w:rsidR="00822F51" w:rsidRDefault="001A22F2">
      <w:pPr>
        <w:spacing w:line="240" w:lineRule="auto"/>
        <w:rPr>
          <w:rFonts w:ascii="Calibri" w:eastAsia="Calibri" w:hAnsi="Calibri" w:cs="Calibri"/>
          <w:sz w:val="20"/>
          <w:szCs w:val="20"/>
        </w:rPr>
      </w:pPr>
      <w:r>
        <w:rPr>
          <w:vertAlign w:val="superscript"/>
        </w:rPr>
        <w:footnoteRef/>
      </w:r>
      <w:r>
        <w:rPr>
          <w:i/>
          <w:iCs/>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11.</w:t>
      </w:r>
    </w:p>
  </w:footnote>
  <w:footnote w:id="113">
    <w:p w14:paraId="41C6C658" w14:textId="77777777" w:rsidR="00822F51" w:rsidRDefault="001A22F2">
      <w:pPr>
        <w:spacing w:line="240" w:lineRule="auto"/>
        <w:rPr>
          <w:rFonts w:ascii="Calibri" w:eastAsia="Calibri" w:hAnsi="Calibri" w:cs="Calibri"/>
          <w:i/>
          <w:iCs/>
          <w:sz w:val="20"/>
          <w:szCs w:val="20"/>
        </w:rPr>
      </w:pPr>
      <w:r>
        <w:rPr>
          <w:vertAlign w:val="superscript"/>
        </w:rPr>
        <w:footnoteRef/>
      </w:r>
      <w:r>
        <w:rPr>
          <w:rFonts w:ascii="Calibri" w:eastAsia="Calibri" w:hAnsi="Calibri" w:cs="Calibri"/>
          <w:i/>
          <w:iCs/>
          <w:sz w:val="20"/>
          <w:szCs w:val="20"/>
        </w:rPr>
        <w:t xml:space="preserve"> Ibid </w:t>
      </w:r>
      <w:r>
        <w:rPr>
          <w:rFonts w:ascii="Calibri" w:eastAsia="Calibri" w:hAnsi="Calibri" w:cs="Calibri"/>
          <w:sz w:val="20"/>
          <w:szCs w:val="20"/>
        </w:rPr>
        <w:t>at 12</w:t>
      </w:r>
      <w:r>
        <w:rPr>
          <w:rFonts w:ascii="Calibri" w:eastAsia="Calibri" w:hAnsi="Calibri" w:cs="Calibri"/>
          <w:i/>
          <w:iCs/>
          <w:sz w:val="20"/>
          <w:szCs w:val="20"/>
        </w:rPr>
        <w:t>.</w:t>
      </w:r>
    </w:p>
  </w:footnote>
  <w:footnote w:id="114">
    <w:p w14:paraId="01B3EA7A"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Ibid</w:t>
      </w:r>
      <w:r>
        <w:rPr>
          <w:rFonts w:ascii="Calibri" w:eastAsia="Calibri" w:hAnsi="Calibri" w:cs="Calibri"/>
          <w:sz w:val="20"/>
          <w:szCs w:val="20"/>
        </w:rPr>
        <w:t xml:space="preserve"> at 13.</w:t>
      </w:r>
    </w:p>
  </w:footnote>
  <w:footnote w:id="115">
    <w:p w14:paraId="6E36E8E3" w14:textId="77777777" w:rsidR="00822F51" w:rsidRDefault="001A22F2">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Ibid</w:t>
      </w:r>
      <w:r>
        <w:rPr>
          <w:rFonts w:ascii="Calibri" w:eastAsia="Calibri" w:hAnsi="Calibri" w:cs="Calibri"/>
          <w:sz w:val="20"/>
          <w:szCs w:val="20"/>
        </w:rPr>
        <w:t xml:space="preserve"> at 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22C4"/>
    <w:multiLevelType w:val="multilevel"/>
    <w:tmpl w:val="DE7CC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EB6992"/>
    <w:multiLevelType w:val="multilevel"/>
    <w:tmpl w:val="C9E04ED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5924825"/>
    <w:multiLevelType w:val="multilevel"/>
    <w:tmpl w:val="11DC8F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7FA7BC1"/>
    <w:multiLevelType w:val="multilevel"/>
    <w:tmpl w:val="B8DC6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24F7964"/>
    <w:multiLevelType w:val="multilevel"/>
    <w:tmpl w:val="86363E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7F52611"/>
    <w:multiLevelType w:val="multilevel"/>
    <w:tmpl w:val="2438F85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04801DB"/>
    <w:multiLevelType w:val="multilevel"/>
    <w:tmpl w:val="4FC6F5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2371FCC"/>
    <w:multiLevelType w:val="multilevel"/>
    <w:tmpl w:val="12BABC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AFA530B"/>
    <w:multiLevelType w:val="multilevel"/>
    <w:tmpl w:val="269CB51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AFF7921"/>
    <w:multiLevelType w:val="multilevel"/>
    <w:tmpl w:val="6E70235A"/>
    <w:lvl w:ilvl="0">
      <w:start w:val="1"/>
      <w:numFmt w:val="decimal"/>
      <w:lvlText w:val="%1."/>
      <w:lvlJc w:val="left"/>
      <w:pPr>
        <w:ind w:left="720" w:hanging="360"/>
      </w:pPr>
      <w:rPr>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F416282"/>
    <w:multiLevelType w:val="multilevel"/>
    <w:tmpl w:val="B0EA9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1477594"/>
    <w:multiLevelType w:val="multilevel"/>
    <w:tmpl w:val="E67A8A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5B3085C"/>
    <w:multiLevelType w:val="multilevel"/>
    <w:tmpl w:val="C0E47E7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CD94D2C"/>
    <w:multiLevelType w:val="multilevel"/>
    <w:tmpl w:val="866699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DB658D7"/>
    <w:multiLevelType w:val="multilevel"/>
    <w:tmpl w:val="D6808A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28D0C2F"/>
    <w:multiLevelType w:val="multilevel"/>
    <w:tmpl w:val="549A0532"/>
    <w:lvl w:ilvl="0">
      <w:start w:val="1"/>
      <w:numFmt w:val="upperRoman"/>
      <w:lvlText w:val="%1."/>
      <w:lvlJc w:val="right"/>
      <w:pPr>
        <w:ind w:left="720" w:hanging="45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CF65B09"/>
    <w:multiLevelType w:val="multilevel"/>
    <w:tmpl w:val="84D668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1B7454C"/>
    <w:multiLevelType w:val="multilevel"/>
    <w:tmpl w:val="67B063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1BB5937"/>
    <w:multiLevelType w:val="multilevel"/>
    <w:tmpl w:val="C10ED5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41A5B59"/>
    <w:multiLevelType w:val="multilevel"/>
    <w:tmpl w:val="4EF20D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53528201">
    <w:abstractNumId w:val="6"/>
  </w:num>
  <w:num w:numId="2" w16cid:durableId="368646067">
    <w:abstractNumId w:val="4"/>
  </w:num>
  <w:num w:numId="3" w16cid:durableId="1257790464">
    <w:abstractNumId w:val="8"/>
  </w:num>
  <w:num w:numId="4" w16cid:durableId="1056272178">
    <w:abstractNumId w:val="11"/>
  </w:num>
  <w:num w:numId="5" w16cid:durableId="995690928">
    <w:abstractNumId w:val="14"/>
  </w:num>
  <w:num w:numId="6" w16cid:durableId="2559789">
    <w:abstractNumId w:val="3"/>
  </w:num>
  <w:num w:numId="7" w16cid:durableId="1035086010">
    <w:abstractNumId w:val="5"/>
  </w:num>
  <w:num w:numId="8" w16cid:durableId="479230004">
    <w:abstractNumId w:val="16"/>
  </w:num>
  <w:num w:numId="9" w16cid:durableId="851259490">
    <w:abstractNumId w:val="17"/>
  </w:num>
  <w:num w:numId="10" w16cid:durableId="170950059">
    <w:abstractNumId w:val="2"/>
  </w:num>
  <w:num w:numId="11" w16cid:durableId="1482843112">
    <w:abstractNumId w:val="12"/>
  </w:num>
  <w:num w:numId="12" w16cid:durableId="749893283">
    <w:abstractNumId w:val="13"/>
  </w:num>
  <w:num w:numId="13" w16cid:durableId="1406759513">
    <w:abstractNumId w:val="19"/>
  </w:num>
  <w:num w:numId="14" w16cid:durableId="1354378644">
    <w:abstractNumId w:val="18"/>
  </w:num>
  <w:num w:numId="15" w16cid:durableId="1081490770">
    <w:abstractNumId w:val="0"/>
  </w:num>
  <w:num w:numId="16" w16cid:durableId="1066341580">
    <w:abstractNumId w:val="7"/>
  </w:num>
  <w:num w:numId="17" w16cid:durableId="1591545022">
    <w:abstractNumId w:val="15"/>
  </w:num>
  <w:num w:numId="18" w16cid:durableId="629822268">
    <w:abstractNumId w:val="10"/>
  </w:num>
  <w:num w:numId="19" w16cid:durableId="1597639976">
    <w:abstractNumId w:val="9"/>
  </w:num>
  <w:num w:numId="20" w16cid:durableId="382484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F51"/>
    <w:rsid w:val="00155F46"/>
    <w:rsid w:val="001A22F2"/>
    <w:rsid w:val="0020709E"/>
    <w:rsid w:val="00235968"/>
    <w:rsid w:val="00310030"/>
    <w:rsid w:val="00360D43"/>
    <w:rsid w:val="005440C0"/>
    <w:rsid w:val="00595B6B"/>
    <w:rsid w:val="0064614E"/>
    <w:rsid w:val="006C032A"/>
    <w:rsid w:val="006F02D7"/>
    <w:rsid w:val="0075082C"/>
    <w:rsid w:val="007A4D11"/>
    <w:rsid w:val="007B1820"/>
    <w:rsid w:val="00822F51"/>
    <w:rsid w:val="00AD65E8"/>
    <w:rsid w:val="00E17A21"/>
    <w:rsid w:val="00E536E5"/>
    <w:rsid w:val="00EB3534"/>
    <w:rsid w:val="00F35FA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DF2A050"/>
  <w15:docId w15:val="{A3A054F0-0D0E-7649-B966-2DD34A6C9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720" w:hanging="450"/>
      <w:outlineLvl w:val="0"/>
    </w:pPr>
    <w:rPr>
      <w:rFonts w:ascii="Calibri" w:eastAsia="Calibri" w:hAnsi="Calibri" w:cs="Calibri"/>
      <w:b/>
      <w:bCs/>
      <w:sz w:val="24"/>
      <w:szCs w:val="24"/>
      <w:u w:val="single"/>
    </w:rPr>
  </w:style>
  <w:style w:type="paragraph" w:styleId="Heading2">
    <w:name w:val="heading 2"/>
    <w:basedOn w:val="Normal"/>
    <w:next w:val="Normal"/>
    <w:uiPriority w:val="9"/>
    <w:unhideWhenUsed/>
    <w:qFormat/>
    <w:pPr>
      <w:keepNext/>
      <w:keepLines/>
      <w:outlineLvl w:val="1"/>
    </w:pPr>
    <w:rPr>
      <w:rFonts w:ascii="Calibri" w:eastAsia="Calibri" w:hAnsi="Calibri" w:cs="Calibri"/>
      <w:b/>
      <w:bCs/>
      <w:i/>
      <w:iCs/>
      <w:u w:val="single"/>
    </w:rPr>
  </w:style>
  <w:style w:type="paragraph" w:styleId="Heading3">
    <w:name w:val="heading 3"/>
    <w:basedOn w:val="Normal"/>
    <w:next w:val="Normal"/>
    <w:uiPriority w:val="9"/>
    <w:unhideWhenUsed/>
    <w:qFormat/>
    <w:pPr>
      <w:keepNext/>
      <w:keepLines/>
      <w:outlineLvl w:val="2"/>
    </w:pPr>
    <w:rPr>
      <w:rFonts w:ascii="Calibri" w:eastAsia="Calibri" w:hAnsi="Calibri" w:cs="Calibri"/>
      <w:b/>
      <w:bCs/>
      <w:i/>
      <w:iCs/>
    </w:rPr>
  </w:style>
  <w:style w:type="paragraph" w:styleId="Heading4">
    <w:name w:val="heading 4"/>
    <w:basedOn w:val="Normal"/>
    <w:next w:val="Normal"/>
    <w:uiPriority w:val="9"/>
    <w:unhideWhenUsed/>
    <w:qFormat/>
    <w:pPr>
      <w:keepNext/>
      <w:keepLines/>
      <w:outlineLvl w:val="3"/>
    </w:pPr>
    <w:rPr>
      <w:rFonts w:ascii="Calibri" w:eastAsia="Calibri" w:hAnsi="Calibri" w:cs="Calibri"/>
      <w:b/>
      <w:bCs/>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FootnoteText">
    <w:name w:val="footnote text"/>
    <w:basedOn w:val="Normal"/>
    <w:link w:val="FootnoteTextChar"/>
    <w:uiPriority w:val="99"/>
    <w:semiHidden/>
    <w:unhideWhenUsed/>
    <w:rsid w:val="00310030"/>
    <w:pPr>
      <w:spacing w:line="240" w:lineRule="auto"/>
    </w:pPr>
    <w:rPr>
      <w:sz w:val="20"/>
      <w:szCs w:val="20"/>
    </w:rPr>
  </w:style>
  <w:style w:type="character" w:customStyle="1" w:styleId="FootnoteTextChar">
    <w:name w:val="Footnote Text Char"/>
    <w:basedOn w:val="DefaultParagraphFont"/>
    <w:link w:val="FootnoteText"/>
    <w:uiPriority w:val="99"/>
    <w:semiHidden/>
    <w:rsid w:val="00310030"/>
    <w:rPr>
      <w:sz w:val="20"/>
      <w:szCs w:val="20"/>
    </w:rPr>
  </w:style>
  <w:style w:type="character" w:styleId="FootnoteReference">
    <w:name w:val="footnote reference"/>
    <w:basedOn w:val="DefaultParagraphFont"/>
    <w:uiPriority w:val="99"/>
    <w:semiHidden/>
    <w:unhideWhenUsed/>
    <w:rsid w:val="003100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jhrclinic@allard.ubc.ca"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mailto:vlau@allard.ubc.ca" TargetMode="External"/><Relationship Id="rId4" Type="http://schemas.openxmlformats.org/officeDocument/2006/relationships/webSettings" Target="webSettings.xml"/><Relationship Id="rId9" Type="http://schemas.openxmlformats.org/officeDocument/2006/relationships/hyperlink" Target="https://www.ourcommons.ca/content/Committee/421/OGGO/WebDoc/WD8991016/421_OGGO_reldoc_PDF/DevineTom-e.pdf"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sencanada.ca/en/content/sen/chamber/441/debates/234db_2024-10-31-e?language=e" TargetMode="External"/><Relationship Id="rId18" Type="http://schemas.openxmlformats.org/officeDocument/2006/relationships/hyperlink" Target="https://www.ibanet.org/MediaHandler?id=a8bac0a9-ea7e-472d-a48e-ee76cb3cdef8" TargetMode="External"/><Relationship Id="rId26" Type="http://schemas.openxmlformats.org/officeDocument/2006/relationships/hyperlink" Target="https://www.canlii.org/en/sk/laws/stat/ss-2013-c-s-15.1/latest/ss-2013-c-s-15.1.html?docType=pdf" TargetMode="External"/><Relationship Id="rId39" Type="http://schemas.openxmlformats.org/officeDocument/2006/relationships/hyperlink" Target="https://assets.psic-ispc.gc.ca/sites/default/files/2024-06/2023-24_annual_report_en.pdf" TargetMode="External"/><Relationship Id="rId21" Type="http://schemas.openxmlformats.org/officeDocument/2006/relationships/hyperlink" Target="https://cfe.torontomu.ca/sites/default/files/2023-01/NL_PIPA_Assessment_FINAL.pdf" TargetMode="External"/><Relationship Id="rId34" Type="http://schemas.openxmlformats.org/officeDocument/2006/relationships/hyperlink" Target="https://www.canlii.org/en/ab/laws/stat/rsa-2000-c-s-4/latest/rsa-2000-c-s-4.html" TargetMode="External"/><Relationship Id="rId42" Type="http://schemas.openxmlformats.org/officeDocument/2006/relationships/hyperlink" Target="https://www.psic-ispc.gc.ca/en/resources/corporate-publications/2020-21/annual-report" TargetMode="External"/><Relationship Id="rId7" Type="http://schemas.openxmlformats.org/officeDocument/2006/relationships/hyperlink" Target="http://scc.lexum.umontreal.ca/en/2005/2005scc70/2005scc70.html" TargetMode="External"/><Relationship Id="rId2" Type="http://schemas.openxmlformats.org/officeDocument/2006/relationships/hyperlink" Target="https://www.unodc.org/corruption/en/cosp/conference/session10-resolutions.html" TargetMode="External"/><Relationship Id="rId16" Type="http://schemas.openxmlformats.org/officeDocument/2006/relationships/hyperlink" Target="https://static1.squarespace.com/static/5df7c3de2e4d3d3fce16c185/t/5e1e38d92ee5903aac1dbae0/1579038938361/whistleblower_report.pdf" TargetMode="External"/><Relationship Id="rId29" Type="http://schemas.openxmlformats.org/officeDocument/2006/relationships/hyperlink" Target="https://www.bcsc.bc.ca/report-to-us/about-the-whistleblower-program" TargetMode="External"/><Relationship Id="rId1" Type="http://schemas.openxmlformats.org/officeDocument/2006/relationships/hyperlink" Target="https://www.ourcommons.ca/Content/Committee/421/OGGO/Reports/RP9055222/oggorp09/oggorp09-e.pdf" TargetMode="External"/><Relationship Id="rId6" Type="http://schemas.openxmlformats.org/officeDocument/2006/relationships/hyperlink" Target="https://ucalgary.scholaris.ca/server/api/core/bitstreams/fb58b6e3-cea2-499d-b828-b99332c3ac55/content" TargetMode="External"/><Relationship Id="rId11" Type="http://schemas.openxmlformats.org/officeDocument/2006/relationships/hyperlink" Target="https://www.canada.ca/en/treasury-board-secretariat/topics/values-ethics/disclosure-protection/review-public-servants-disclosure-protection-act/terms-reference.html" TargetMode="External"/><Relationship Id="rId24" Type="http://schemas.openxmlformats.org/officeDocument/2006/relationships/hyperlink" Target="https://cfe.torontomu.ca/sites/default/files/2023-01/MB_PIPA_Assessment_FINAL.pdf" TargetMode="External"/><Relationship Id="rId32" Type="http://schemas.openxmlformats.org/officeDocument/2006/relationships/hyperlink" Target="https://www.ontario.ca/laws/statute/90s05" TargetMode="External"/><Relationship Id="rId37" Type="http://schemas.openxmlformats.org/officeDocument/2006/relationships/hyperlink" Target="https://www.legisquebec.gouv.qc.ca/en/document/lc/P-33.01" TargetMode="External"/><Relationship Id="rId40" Type="http://schemas.openxmlformats.org/officeDocument/2006/relationships/hyperlink" Target="https://www.psic-ispc.gc.ca/en/resources/corporate-publications/2022-23/annual-report" TargetMode="External"/><Relationship Id="rId45" Type="http://schemas.openxmlformats.org/officeDocument/2006/relationships/hyperlink" Target="https://www.assembly.nl.ca/legislation/sr/annualregs/2014/nr140061.htm" TargetMode="External"/><Relationship Id="rId5" Type="http://schemas.openxmlformats.org/officeDocument/2006/relationships/hyperlink" Target="https://www.ibanet.org/MediaHandler?id=49c9b08d-4328-4797-a2f7-1e0a71d0da55" TargetMode="External"/><Relationship Id="rId15" Type="http://schemas.openxmlformats.org/officeDocument/2006/relationships/hyperlink" Target="https://www.nunavutlegislation.ca/en/consolidated-law/public-service-act-official-consolidation" TargetMode="External"/><Relationship Id="rId23" Type="http://schemas.openxmlformats.org/officeDocument/2006/relationships/hyperlink" Target="https://cfe.torontomu.ca/sites/default/files/2023-01/NS_PIPA_Assessment_FINAL.pdf" TargetMode="External"/><Relationship Id="rId28" Type="http://schemas.openxmlformats.org/officeDocument/2006/relationships/hyperlink" Target="https://canlii.ca/t/56bjc" TargetMode="External"/><Relationship Id="rId36" Type="http://schemas.openxmlformats.org/officeDocument/2006/relationships/hyperlink" Target="https://cfe.torontomu.ca/sites/default/files/2023-01/QC_PIPA_Assessment_FINAL.pdf" TargetMode="External"/><Relationship Id="rId10" Type="http://schemas.openxmlformats.org/officeDocument/2006/relationships/hyperlink" Target="https://www.ourcommons.ca/content/Committee/421/OGGO/WebDoc/WD8991016/421_OGGO_reldoc_PDF/DevineTom-e.pdf" TargetMode="External"/><Relationship Id="rId19" Type="http://schemas.openxmlformats.org/officeDocument/2006/relationships/hyperlink" Target="https://cfe.torontomu.ca/publications/whats-wrong-canadas-federal-whistleblower-legislation" TargetMode="External"/><Relationship Id="rId31" Type="http://schemas.openxmlformats.org/officeDocument/2006/relationships/hyperlink" Target="https://www.asc.ca/en/enforcement/office-of-the-whistleblower" TargetMode="External"/><Relationship Id="rId44" Type="http://schemas.openxmlformats.org/officeDocument/2006/relationships/hyperlink" Target="https://laws-lois.justice.gc.ca/eng/acts/P-33.3/section-236.html" TargetMode="External"/><Relationship Id="rId4" Type="http://schemas.openxmlformats.org/officeDocument/2006/relationships/hyperlink" Target="https://www.ourcommons.ca/Content/Committee/421/OGGO/Reports/RP9055222/oggorp09/oggorp09-e.pdf" TargetMode="External"/><Relationship Id="rId9" Type="http://schemas.openxmlformats.org/officeDocument/2006/relationships/hyperlink" Target="https://www.ourcommons.ca/Content/Committee/441/OGGO/Brief/BR12420054/br-external/GovernmentAccountabilityProject-e.pdf" TargetMode="External"/><Relationship Id="rId14" Type="http://schemas.openxmlformats.org/officeDocument/2006/relationships/hyperlink" Target="https://www.ontario.ca/laws/statute/06p35" TargetMode="External"/><Relationship Id="rId22" Type="http://schemas.openxmlformats.org/officeDocument/2006/relationships/hyperlink" Target="https://cfe.torontomu.ca/sites/default/files/2023-01/NB_PIPA_Assessment_FINAL.pdf" TargetMode="External"/><Relationship Id="rId27" Type="http://schemas.openxmlformats.org/officeDocument/2006/relationships/hyperlink" Target="https://canlii.ca/t/56bjc" TargetMode="External"/><Relationship Id="rId30" Type="http://schemas.openxmlformats.org/officeDocument/2006/relationships/hyperlink" Target="https://www.osc.ca/en/enforcement/osc-whistleblower-program" TargetMode="External"/><Relationship Id="rId35" Type="http://schemas.openxmlformats.org/officeDocument/2006/relationships/hyperlink" Target="https://eur-lex.europa.eu/legal-content/en/TXT/?uri=CELEX:32019L1937" TargetMode="External"/><Relationship Id="rId43" Type="http://schemas.openxmlformats.org/officeDocument/2006/relationships/hyperlink" Target="https://www.psdpt-tpfd.gc.ca/Files/CaseDetails-en.html" TargetMode="External"/><Relationship Id="rId8" Type="http://schemas.openxmlformats.org/officeDocument/2006/relationships/hyperlink" Target="http://psic-ispc.gc.ca/en/funding-whistleblower-regime" TargetMode="External"/><Relationship Id="rId3" Type="http://schemas.openxmlformats.org/officeDocument/2006/relationships/hyperlink" Target="https://www.transparency.org/en/cpi/2024" TargetMode="External"/><Relationship Id="rId12" Type="http://schemas.openxmlformats.org/officeDocument/2006/relationships/hyperlink" Target="https://assets.nationbuilder.com/whistleblowingcanada/pages/71/attachments/original/1758815603/Letter_to_PM_Aug._21__2025.docx_2.pdf?1758815603" TargetMode="External"/><Relationship Id="rId17" Type="http://schemas.openxmlformats.org/officeDocument/2006/relationships/hyperlink" Target="https://cfe.torontomu.ca/sites/default/files/2023-01/SK_PIDA_Assessment_FINAL.pdf" TargetMode="External"/><Relationship Id="rId25" Type="http://schemas.openxmlformats.org/officeDocument/2006/relationships/hyperlink" Target="https://cfe.torontomu.ca/sites/default/files/2023-01/AB_PIPA_Assessment_FINAL.pdf" TargetMode="External"/><Relationship Id="rId33" Type="http://schemas.openxmlformats.org/officeDocument/2006/relationships/hyperlink" Target="https://www.bclaws.gov.bc.ca/civix/document/id/complete/statreg/00_96418_01" TargetMode="External"/><Relationship Id="rId38" Type="http://schemas.openxmlformats.org/officeDocument/2006/relationships/hyperlink" Target="https://psic-ispc.gc.ca/en/resources/corporate-publications/2024-25/annual-report" TargetMode="External"/><Relationship Id="rId20" Type="http://schemas.openxmlformats.org/officeDocument/2006/relationships/hyperlink" Target="https://cfe.torontomu.ca/sites/default/files/2023-01/PE_PIPA_Assessment_FINAL.pdf" TargetMode="External"/><Relationship Id="rId41" Type="http://schemas.openxmlformats.org/officeDocument/2006/relationships/hyperlink" Target="https://www.psic-ispc.gc.ca/en/resources/corporate-publications/2021-22/annu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2026-02-16T14:04:26+00:00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30A298F-BF60-408B-84D0-262E9A43350F}"/>
</file>

<file path=customXml/itemProps2.xml><?xml version="1.0" encoding="utf-8"?>
<ds:datastoreItem xmlns:ds="http://schemas.openxmlformats.org/officeDocument/2006/customXml" ds:itemID="{3ED7CBC7-E6DD-4A45-9283-A77B323EE1FD}"/>
</file>

<file path=customXml/itemProps3.xml><?xml version="1.0" encoding="utf-8"?>
<ds:datastoreItem xmlns:ds="http://schemas.openxmlformats.org/officeDocument/2006/customXml" ds:itemID="{7F8B4895-3F7E-4FB9-814C-6DFF578A73DE}"/>
</file>

<file path=docProps/app.xml><?xml version="1.0" encoding="utf-8"?>
<Properties xmlns="http://schemas.openxmlformats.org/officeDocument/2006/extended-properties" xmlns:vt="http://schemas.openxmlformats.org/officeDocument/2006/docPropsVTypes">
  <Template>Normal</Template>
  <TotalTime>37</TotalTime>
  <Pages>30</Pages>
  <Words>8891</Words>
  <Characters>50681</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Vannie Lau</cp:lastModifiedBy>
  <cp:revision>7</cp:revision>
  <dcterms:created xsi:type="dcterms:W3CDTF">2026-02-02T18:22:00Z</dcterms:created>
  <dcterms:modified xsi:type="dcterms:W3CDTF">2026-02-12T22:23:00Z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