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36756" w14:textId="726C4184" w:rsidR="00626156" w:rsidRDefault="00626156" w:rsidP="00626156">
      <w:pPr>
        <w:jc w:val="center"/>
        <w:rPr>
          <w:rFonts w:ascii="Calibri" w:hAnsi="Calibri" w:cs="Calibri"/>
          <w:b/>
          <w:bCs/>
          <w:sz w:val="22"/>
          <w:szCs w:val="22"/>
        </w:rPr>
      </w:pPr>
      <w:r w:rsidRPr="00626156">
        <w:rPr>
          <w:rFonts w:ascii="Calibri" w:hAnsi="Calibri" w:cs="Calibri"/>
          <w:b/>
          <w:bCs/>
          <w:sz w:val="22"/>
          <w:szCs w:val="22"/>
        </w:rPr>
        <w:t>Submission to the review of Colombia at the Committee on Economic, Social and Cultural Rights (ESCR) in response to the call for civil society contributions on the impact of drug policy on ESCR: Guaranteeing the rights of young people and substance use in contexts of armed conflict in the Colombian Amazon.</w:t>
      </w:r>
    </w:p>
    <w:p w14:paraId="18CC412C" w14:textId="77777777" w:rsidR="00626156" w:rsidRDefault="00626156" w:rsidP="00626156">
      <w:pPr>
        <w:jc w:val="both"/>
        <w:rPr>
          <w:rFonts w:ascii="Calibri" w:hAnsi="Calibri" w:cs="Calibri"/>
          <w:b/>
          <w:bCs/>
          <w:sz w:val="22"/>
          <w:szCs w:val="22"/>
        </w:rPr>
      </w:pPr>
    </w:p>
    <w:p w14:paraId="2BBEB9E4" w14:textId="77777777" w:rsidR="00626156" w:rsidRDefault="00626156" w:rsidP="00626156">
      <w:pPr>
        <w:jc w:val="both"/>
        <w:rPr>
          <w:rFonts w:ascii="Calibri" w:hAnsi="Calibri" w:cs="Calibri"/>
          <w:b/>
          <w:bCs/>
          <w:sz w:val="22"/>
          <w:szCs w:val="22"/>
        </w:rPr>
      </w:pPr>
    </w:p>
    <w:p w14:paraId="2327524E" w14:textId="5D019D9B" w:rsidR="00626156" w:rsidRPr="00626156" w:rsidRDefault="00626156" w:rsidP="00626156">
      <w:pPr>
        <w:jc w:val="both"/>
        <w:rPr>
          <w:rFonts w:ascii="Calibri" w:hAnsi="Calibri" w:cs="Calibri"/>
          <w:b/>
          <w:bCs/>
          <w:i/>
          <w:iCs/>
          <w:sz w:val="22"/>
          <w:szCs w:val="22"/>
        </w:rPr>
      </w:pPr>
      <w:r w:rsidRPr="00626156">
        <w:rPr>
          <w:rFonts w:ascii="Calibri" w:hAnsi="Calibri" w:cs="Calibri"/>
          <w:b/>
          <w:bCs/>
          <w:i/>
          <w:iCs/>
          <w:sz w:val="22"/>
          <w:szCs w:val="22"/>
        </w:rPr>
        <w:t xml:space="preserve">A contribution by the Centro de Pensamiento </w:t>
      </w:r>
      <w:proofErr w:type="spellStart"/>
      <w:r w:rsidRPr="00626156">
        <w:rPr>
          <w:rFonts w:ascii="Calibri" w:hAnsi="Calibri" w:cs="Calibri"/>
          <w:b/>
          <w:bCs/>
          <w:i/>
          <w:iCs/>
          <w:sz w:val="22"/>
          <w:szCs w:val="22"/>
        </w:rPr>
        <w:t>desde</w:t>
      </w:r>
      <w:proofErr w:type="spellEnd"/>
      <w:r w:rsidRPr="00626156">
        <w:rPr>
          <w:rFonts w:ascii="Calibri" w:hAnsi="Calibri" w:cs="Calibri"/>
          <w:b/>
          <w:bCs/>
          <w:i/>
          <w:iCs/>
          <w:sz w:val="22"/>
          <w:szCs w:val="22"/>
        </w:rPr>
        <w:t xml:space="preserve"> la Amazonia </w:t>
      </w:r>
      <w:proofErr w:type="spellStart"/>
      <w:r w:rsidRPr="00626156">
        <w:rPr>
          <w:rFonts w:ascii="Calibri" w:hAnsi="Calibri" w:cs="Calibri"/>
          <w:b/>
          <w:bCs/>
          <w:i/>
          <w:iCs/>
          <w:sz w:val="22"/>
          <w:szCs w:val="22"/>
        </w:rPr>
        <w:t>colombiana</w:t>
      </w:r>
      <w:proofErr w:type="spellEnd"/>
      <w:r w:rsidRPr="00626156">
        <w:rPr>
          <w:rFonts w:ascii="Calibri" w:hAnsi="Calibri" w:cs="Calibri"/>
          <w:b/>
          <w:bCs/>
          <w:i/>
          <w:iCs/>
          <w:sz w:val="22"/>
          <w:szCs w:val="22"/>
        </w:rPr>
        <w:t xml:space="preserve"> </w:t>
      </w:r>
      <w:proofErr w:type="spellStart"/>
      <w:r w:rsidRPr="00626156">
        <w:rPr>
          <w:rFonts w:ascii="Calibri" w:hAnsi="Calibri" w:cs="Calibri"/>
          <w:b/>
          <w:bCs/>
          <w:i/>
          <w:iCs/>
          <w:sz w:val="22"/>
          <w:szCs w:val="22"/>
        </w:rPr>
        <w:t>AlaOrillaDelRío</w:t>
      </w:r>
      <w:proofErr w:type="spellEnd"/>
      <w:r w:rsidRPr="00626156">
        <w:rPr>
          <w:rFonts w:ascii="Calibri" w:hAnsi="Calibri" w:cs="Calibri"/>
          <w:b/>
          <w:bCs/>
          <w:i/>
          <w:iCs/>
          <w:sz w:val="22"/>
          <w:szCs w:val="22"/>
        </w:rPr>
        <w:t xml:space="preserve"> Research team on drug policies,</w:t>
      </w:r>
      <w:r>
        <w:rPr>
          <w:rStyle w:val="FootnoteReference"/>
          <w:rFonts w:ascii="Calibri" w:hAnsi="Calibri" w:cs="Calibri"/>
          <w:b/>
          <w:bCs/>
          <w:i/>
          <w:iCs/>
          <w:sz w:val="22"/>
          <w:szCs w:val="22"/>
        </w:rPr>
        <w:footnoteReference w:id="1"/>
      </w:r>
      <w:r w:rsidRPr="00626156">
        <w:rPr>
          <w:rFonts w:ascii="Calibri" w:hAnsi="Calibri" w:cs="Calibri"/>
          <w:b/>
          <w:bCs/>
          <w:i/>
          <w:iCs/>
          <w:sz w:val="22"/>
          <w:szCs w:val="22"/>
        </w:rPr>
        <w:t xml:space="preserve"> in collaboration with the International Drug Policy Consortium</w:t>
      </w:r>
    </w:p>
    <w:p w14:paraId="644B11E4" w14:textId="77777777" w:rsidR="00626156" w:rsidRPr="00626156" w:rsidRDefault="00626156" w:rsidP="00626156">
      <w:pPr>
        <w:jc w:val="both"/>
        <w:rPr>
          <w:rFonts w:ascii="Calibri" w:hAnsi="Calibri" w:cs="Calibri"/>
          <w:b/>
          <w:bCs/>
          <w:sz w:val="22"/>
          <w:szCs w:val="22"/>
        </w:rPr>
      </w:pPr>
    </w:p>
    <w:p w14:paraId="1A535F7A" w14:textId="7B43EEF3" w:rsidR="00DD1F4A" w:rsidRPr="00874EB3" w:rsidRDefault="00DD1F4A" w:rsidP="00874EB3">
      <w:pPr>
        <w:pStyle w:val="ListParagraph"/>
        <w:numPr>
          <w:ilvl w:val="0"/>
          <w:numId w:val="3"/>
        </w:numPr>
        <w:jc w:val="both"/>
        <w:rPr>
          <w:rFonts w:ascii="Calibri" w:hAnsi="Calibri" w:cs="Calibri"/>
          <w:b/>
          <w:bCs/>
          <w:sz w:val="22"/>
          <w:szCs w:val="22"/>
          <w:lang w:val="es-ES"/>
        </w:rPr>
      </w:pPr>
      <w:proofErr w:type="spellStart"/>
      <w:r w:rsidRPr="00874EB3">
        <w:rPr>
          <w:rFonts w:ascii="Calibri" w:hAnsi="Calibri" w:cs="Calibri"/>
          <w:b/>
          <w:bCs/>
          <w:sz w:val="22"/>
          <w:szCs w:val="22"/>
          <w:lang w:val="es-ES"/>
        </w:rPr>
        <w:t>Introduction</w:t>
      </w:r>
      <w:proofErr w:type="spellEnd"/>
      <w:r w:rsidRPr="00874EB3">
        <w:rPr>
          <w:rFonts w:ascii="Calibri" w:hAnsi="Calibri" w:cs="Calibri"/>
          <w:b/>
          <w:bCs/>
          <w:sz w:val="22"/>
          <w:szCs w:val="22"/>
          <w:lang w:val="es-ES"/>
        </w:rPr>
        <w:t xml:space="preserve"> </w:t>
      </w:r>
    </w:p>
    <w:p w14:paraId="0D779A55" w14:textId="77777777" w:rsidR="00DD1F4A" w:rsidRPr="00626156" w:rsidRDefault="00DD1F4A" w:rsidP="00626156">
      <w:pPr>
        <w:jc w:val="both"/>
        <w:rPr>
          <w:rFonts w:ascii="Calibri" w:hAnsi="Calibri" w:cs="Calibri"/>
          <w:sz w:val="22"/>
          <w:szCs w:val="22"/>
          <w:lang w:val="es-ES"/>
        </w:rPr>
      </w:pPr>
    </w:p>
    <w:p w14:paraId="08EF4E03" w14:textId="7EBFACC1" w:rsidR="00642A8E" w:rsidRPr="00626156" w:rsidRDefault="00642A8E" w:rsidP="00626156">
      <w:pPr>
        <w:jc w:val="both"/>
        <w:rPr>
          <w:rFonts w:ascii="Calibri" w:hAnsi="Calibri" w:cs="Calibri"/>
          <w:sz w:val="22"/>
          <w:szCs w:val="22"/>
        </w:rPr>
      </w:pPr>
      <w:r w:rsidRPr="00626156">
        <w:rPr>
          <w:rFonts w:ascii="Calibri" w:hAnsi="Calibri" w:cs="Calibri"/>
          <w:sz w:val="22"/>
          <w:szCs w:val="22"/>
        </w:rPr>
        <w:t xml:space="preserve">This document seeks to contribute to Colombia's review at the Committee on Economic, Social and Cultural Rights (ESCR) of the experiences and concerns of students, counsellors, teachers and rectors, civil servants and citizens in general regarding the guarantees of economic, social and cultural rights of young people, and the dynamics of consumption in the Colombian Amazon in school environments, a territory considered peripheral, a protagonist of the Colombian armed conflict and the transition to peace. It is a bid to make visible the impact of the consumption of psychoactive substances and the management of these substances by different actors in the guarantee of fundamental rights - health, education, culture, economy and child protection - in the context of post-conflict and </w:t>
      </w:r>
      <w:proofErr w:type="gramStart"/>
      <w:r w:rsidRPr="00626156">
        <w:rPr>
          <w:rFonts w:ascii="Calibri" w:hAnsi="Calibri" w:cs="Calibri"/>
          <w:sz w:val="22"/>
          <w:szCs w:val="22"/>
        </w:rPr>
        <w:t>peace-building</w:t>
      </w:r>
      <w:proofErr w:type="gramEnd"/>
      <w:r w:rsidRPr="00626156">
        <w:rPr>
          <w:rFonts w:ascii="Calibri" w:hAnsi="Calibri" w:cs="Calibri"/>
          <w:sz w:val="22"/>
          <w:szCs w:val="22"/>
        </w:rPr>
        <w:t>.</w:t>
      </w:r>
    </w:p>
    <w:p w14:paraId="5F906BC8" w14:textId="77777777" w:rsidR="00642A8E" w:rsidRPr="00626156" w:rsidRDefault="00642A8E" w:rsidP="00626156">
      <w:pPr>
        <w:jc w:val="both"/>
        <w:rPr>
          <w:rFonts w:ascii="Calibri" w:hAnsi="Calibri" w:cs="Calibri"/>
          <w:sz w:val="22"/>
          <w:szCs w:val="22"/>
        </w:rPr>
      </w:pPr>
    </w:p>
    <w:p w14:paraId="71903DB8" w14:textId="11E8A7EA" w:rsidR="00642A8E" w:rsidRPr="00626156" w:rsidRDefault="00642A8E" w:rsidP="00626156">
      <w:pPr>
        <w:pStyle w:val="p1"/>
        <w:jc w:val="both"/>
        <w:rPr>
          <w:sz w:val="22"/>
          <w:szCs w:val="22"/>
        </w:rPr>
      </w:pPr>
      <w:r w:rsidRPr="00626156">
        <w:rPr>
          <w:sz w:val="22"/>
          <w:szCs w:val="22"/>
        </w:rPr>
        <w:t>In Colombia, the management of psychoactive substances has historically been marked by a predominantly prohibitionist and repressive approach. However, in 1994, the Constitutional Court introduced a significant exception by decriminalising the personal dose. By Ruling C-221, adults were allowed to carry, without being criminalised, up to 1 gram of cocaine and 20 grams of marijuana for personal use. This decision, based on the principles of free development of personality and autonomy, declared unconstitutional the restrictions of Law 30 of 1986,</w:t>
      </w:r>
      <w:r w:rsidR="00626156">
        <w:rPr>
          <w:rStyle w:val="FootnoteReference"/>
          <w:sz w:val="22"/>
          <w:szCs w:val="22"/>
        </w:rPr>
        <w:footnoteReference w:id="2"/>
      </w:r>
      <w:r w:rsidRPr="00626156">
        <w:rPr>
          <w:sz w:val="22"/>
          <w:szCs w:val="22"/>
        </w:rPr>
        <w:t xml:space="preserve"> which should have eliminated criminal sanctions, fines or treatment obligations for those who carry these quantities.</w:t>
      </w:r>
    </w:p>
    <w:p w14:paraId="459CAF62" w14:textId="77777777" w:rsidR="00642A8E" w:rsidRPr="00626156" w:rsidRDefault="00642A8E" w:rsidP="00626156">
      <w:pPr>
        <w:pStyle w:val="p1"/>
        <w:jc w:val="both"/>
        <w:rPr>
          <w:sz w:val="22"/>
          <w:szCs w:val="22"/>
        </w:rPr>
      </w:pPr>
    </w:p>
    <w:p w14:paraId="63DE0F4F" w14:textId="7BC1C90B" w:rsidR="00642A8E" w:rsidRPr="00626156" w:rsidRDefault="00642A8E" w:rsidP="00626156">
      <w:pPr>
        <w:pStyle w:val="p1"/>
        <w:jc w:val="both"/>
        <w:rPr>
          <w:sz w:val="22"/>
          <w:szCs w:val="22"/>
        </w:rPr>
      </w:pPr>
      <w:r w:rsidRPr="00626156">
        <w:rPr>
          <w:sz w:val="22"/>
          <w:szCs w:val="22"/>
        </w:rPr>
        <w:t>The 2016 Peace Agreement marked another important milestone in the management of psychoactive substance use by proposing that national policy on illicit drug use should be based on a public health and human rights approach.</w:t>
      </w:r>
      <w:r w:rsidR="00AD79DB">
        <w:rPr>
          <w:rStyle w:val="FootnoteReference"/>
          <w:sz w:val="22"/>
          <w:szCs w:val="22"/>
        </w:rPr>
        <w:footnoteReference w:id="3"/>
      </w:r>
      <w:r w:rsidRPr="00626156">
        <w:rPr>
          <w:sz w:val="22"/>
          <w:szCs w:val="22"/>
        </w:rPr>
        <w:t xml:space="preserve"> For its part, the Commission for the Clarification of the Truth (CEV) dedicated a section of its final report (2022) to examining the consequences of the prohibitionist anti-drugs policy on the conflict and, in particular, on drug users, proposing strict legal regulation of these substances in order to reduce the violence in the country,</w:t>
      </w:r>
      <w:r w:rsidR="00AD79DB">
        <w:rPr>
          <w:rStyle w:val="FootnoteReference"/>
          <w:sz w:val="22"/>
          <w:szCs w:val="22"/>
        </w:rPr>
        <w:footnoteReference w:id="4"/>
      </w:r>
      <w:r w:rsidRPr="00626156">
        <w:rPr>
          <w:sz w:val="22"/>
          <w:szCs w:val="22"/>
        </w:rPr>
        <w:t xml:space="preserve"> something that the United Nations High Commissioner for Human Rights welcomed in his report in 2023.</w:t>
      </w:r>
      <w:r w:rsidR="00AD79DB">
        <w:rPr>
          <w:rStyle w:val="FootnoteReference"/>
          <w:sz w:val="22"/>
          <w:szCs w:val="22"/>
        </w:rPr>
        <w:footnoteReference w:id="5"/>
      </w:r>
      <w:r w:rsidRPr="00626156">
        <w:rPr>
          <w:sz w:val="22"/>
          <w:szCs w:val="22"/>
        </w:rPr>
        <w:t xml:space="preserve"> In line with these recommendations, the current Colombian government adopted the new National Drug Policy 2023-2033, whose official discourse has been celebrated for its orientation towards reducing vulnerabilities. Since 2007 and </w:t>
      </w:r>
      <w:r w:rsidRPr="00626156">
        <w:rPr>
          <w:sz w:val="22"/>
          <w:szCs w:val="22"/>
        </w:rPr>
        <w:lastRenderedPageBreak/>
        <w:t>2009, the Ministry of Health and the Ministry of Social Protection designed the School Orientation Zones (ZOE) as innovative community-based devices created to address substance use but</w:t>
      </w:r>
    </w:p>
    <w:p w14:paraId="58FE38D1" w14:textId="544AB397" w:rsidR="00642A8E" w:rsidRPr="00626156" w:rsidRDefault="00642A8E" w:rsidP="00626156">
      <w:pPr>
        <w:pStyle w:val="p1"/>
        <w:jc w:val="both"/>
        <w:rPr>
          <w:sz w:val="22"/>
          <w:szCs w:val="22"/>
        </w:rPr>
      </w:pPr>
      <w:r w:rsidRPr="00626156">
        <w:rPr>
          <w:sz w:val="22"/>
          <w:szCs w:val="22"/>
        </w:rPr>
        <w:t>have not been rigorously implemented.</w:t>
      </w:r>
      <w:r w:rsidR="00AD79DB">
        <w:rPr>
          <w:rStyle w:val="FootnoteReference"/>
          <w:sz w:val="22"/>
          <w:szCs w:val="22"/>
        </w:rPr>
        <w:footnoteReference w:id="6"/>
      </w:r>
    </w:p>
    <w:p w14:paraId="2BD69214" w14:textId="77777777" w:rsidR="00642A8E" w:rsidRPr="00626156" w:rsidRDefault="00642A8E" w:rsidP="00626156">
      <w:pPr>
        <w:pStyle w:val="p1"/>
        <w:jc w:val="both"/>
        <w:rPr>
          <w:sz w:val="22"/>
          <w:szCs w:val="22"/>
        </w:rPr>
      </w:pPr>
    </w:p>
    <w:p w14:paraId="305E9CED" w14:textId="0027FB64" w:rsidR="00EE1E07" w:rsidRPr="00626156" w:rsidRDefault="0061589D" w:rsidP="00626156">
      <w:pPr>
        <w:pStyle w:val="p1"/>
        <w:jc w:val="both"/>
        <w:rPr>
          <w:sz w:val="22"/>
          <w:szCs w:val="22"/>
        </w:rPr>
      </w:pPr>
      <w:r w:rsidRPr="00626156">
        <w:rPr>
          <w:sz w:val="22"/>
          <w:szCs w:val="22"/>
        </w:rPr>
        <w:t>Despite normative and discursive advances, a deep gap persists between the formulation of these policies and their effective implementation in territories such as the Amazon, where young people affected by the armed conflict continue to face stigmatisation, criminalisation and the absence of real guarantees for the exercise of their rights. In the context of the transitional period, the CEV found that the persecution of drug consumption contributed to the degradation and persistence of the internal armed conflict, mainly impacting young people.</w:t>
      </w:r>
      <w:r w:rsidRPr="00626156">
        <w:rPr>
          <w:sz w:val="22"/>
          <w:szCs w:val="22"/>
        </w:rPr>
        <w:t xml:space="preserve"> </w:t>
      </w:r>
      <w:r w:rsidRPr="00626156">
        <w:rPr>
          <w:sz w:val="22"/>
          <w:szCs w:val="22"/>
        </w:rPr>
        <w:t>For its part, the Committee on Economic, Social and Cultural Rights commented in 2001 that drug trafficking in Colombia has exacerbated the armed conflict, preventing access to guaranteed rights for the population,</w:t>
      </w:r>
      <w:r w:rsidR="003E52F3">
        <w:rPr>
          <w:rStyle w:val="FootnoteReference"/>
          <w:sz w:val="22"/>
          <w:szCs w:val="22"/>
        </w:rPr>
        <w:footnoteReference w:id="7"/>
      </w:r>
      <w:r w:rsidRPr="00626156">
        <w:rPr>
          <w:sz w:val="22"/>
          <w:szCs w:val="22"/>
        </w:rPr>
        <w:t xml:space="preserve"> and in 2010 it expressed its concern about the high rate of drug use, particularly among adolescents, and its negative effects on health, It recommended incorporating economic, social and cultural rights in the strategy to combat drug trafficking, such as the transparency of the anti-narcotics strategy, the strengthening of alternative and sustainable development programmes, anti-corruption programmes and changes in local police and justice institutions.</w:t>
      </w:r>
      <w:r w:rsidR="003E52F3">
        <w:rPr>
          <w:rStyle w:val="FootnoteReference"/>
          <w:sz w:val="22"/>
          <w:szCs w:val="22"/>
        </w:rPr>
        <w:footnoteReference w:id="8"/>
      </w:r>
    </w:p>
    <w:p w14:paraId="66F72800" w14:textId="77777777" w:rsidR="0061589D" w:rsidRPr="00626156" w:rsidRDefault="0061589D" w:rsidP="00626156">
      <w:pPr>
        <w:pStyle w:val="p1"/>
        <w:jc w:val="both"/>
        <w:rPr>
          <w:sz w:val="22"/>
          <w:szCs w:val="22"/>
        </w:rPr>
      </w:pPr>
    </w:p>
    <w:p w14:paraId="00BB1A3D" w14:textId="752B5CE6" w:rsidR="0061589D" w:rsidRPr="00626156" w:rsidRDefault="0061589D" w:rsidP="00626156">
      <w:pPr>
        <w:pStyle w:val="p1"/>
        <w:jc w:val="both"/>
        <w:rPr>
          <w:sz w:val="22"/>
          <w:szCs w:val="22"/>
        </w:rPr>
      </w:pPr>
      <w:proofErr w:type="gramStart"/>
      <w:r w:rsidRPr="00626156">
        <w:rPr>
          <w:sz w:val="22"/>
          <w:szCs w:val="22"/>
        </w:rPr>
        <w:t>In particular, a</w:t>
      </w:r>
      <w:proofErr w:type="gramEnd"/>
      <w:r w:rsidRPr="00626156">
        <w:rPr>
          <w:sz w:val="22"/>
          <w:szCs w:val="22"/>
        </w:rPr>
        <w:t xml:space="preserve"> critical omission is evident in the educational sphere: there is no harm or vulnerability reduction approach implemented in schools in post-conflict territories. Although the plan may be included in the current national drug policy, it has not been grounded either institutionally or territorially, leaving children and adolescents exposed to punitive or moralising interventions, without access to evidence-based information or safe environments for dialogue about substance use.</w:t>
      </w:r>
    </w:p>
    <w:p w14:paraId="2DAD33C7" w14:textId="77777777" w:rsidR="0061589D" w:rsidRPr="00626156" w:rsidRDefault="0061589D" w:rsidP="00626156">
      <w:pPr>
        <w:pStyle w:val="p1"/>
        <w:jc w:val="both"/>
        <w:rPr>
          <w:sz w:val="22"/>
          <w:szCs w:val="22"/>
        </w:rPr>
      </w:pPr>
    </w:p>
    <w:p w14:paraId="739A612E" w14:textId="6993A923" w:rsidR="00DD1F4A" w:rsidRPr="00626156" w:rsidRDefault="00DD1F4A" w:rsidP="00874EB3">
      <w:pPr>
        <w:pStyle w:val="p1"/>
        <w:numPr>
          <w:ilvl w:val="0"/>
          <w:numId w:val="3"/>
        </w:numPr>
        <w:jc w:val="both"/>
        <w:rPr>
          <w:b/>
          <w:bCs/>
          <w:sz w:val="22"/>
          <w:szCs w:val="22"/>
        </w:rPr>
      </w:pPr>
      <w:r w:rsidRPr="00626156">
        <w:rPr>
          <w:b/>
          <w:bCs/>
          <w:sz w:val="22"/>
          <w:szCs w:val="22"/>
        </w:rPr>
        <w:t>Methodology</w:t>
      </w:r>
    </w:p>
    <w:p w14:paraId="1DA7034E" w14:textId="77777777" w:rsidR="00DD1F4A" w:rsidRPr="00626156" w:rsidRDefault="00DD1F4A" w:rsidP="00626156">
      <w:pPr>
        <w:pStyle w:val="p1"/>
        <w:jc w:val="both"/>
        <w:rPr>
          <w:b/>
          <w:bCs/>
          <w:sz w:val="22"/>
          <w:szCs w:val="22"/>
        </w:rPr>
      </w:pPr>
    </w:p>
    <w:p w14:paraId="6753E9BA" w14:textId="67C727DD" w:rsidR="00DD1F4A" w:rsidRPr="00626156" w:rsidRDefault="00DD1F4A" w:rsidP="00626156">
      <w:pPr>
        <w:pStyle w:val="p1"/>
        <w:jc w:val="both"/>
        <w:rPr>
          <w:sz w:val="22"/>
          <w:szCs w:val="22"/>
        </w:rPr>
      </w:pPr>
      <w:r w:rsidRPr="00626156">
        <w:rPr>
          <w:sz w:val="22"/>
          <w:szCs w:val="22"/>
        </w:rPr>
        <w:t>For this</w:t>
      </w:r>
      <w:r w:rsidRPr="00626156">
        <w:rPr>
          <w:sz w:val="22"/>
          <w:szCs w:val="22"/>
        </w:rPr>
        <w:t xml:space="preserve"> purpose</w:t>
      </w:r>
      <w:r w:rsidRPr="00626156">
        <w:rPr>
          <w:sz w:val="22"/>
          <w:szCs w:val="22"/>
        </w:rPr>
        <w:t>, two focus group</w:t>
      </w:r>
      <w:r w:rsidRPr="00626156">
        <w:rPr>
          <w:sz w:val="22"/>
          <w:szCs w:val="22"/>
        </w:rPr>
        <w:t xml:space="preserve"> discussions</w:t>
      </w:r>
      <w:r w:rsidRPr="00626156">
        <w:rPr>
          <w:sz w:val="22"/>
          <w:szCs w:val="22"/>
        </w:rPr>
        <w:t xml:space="preserve"> were conducted in two different schools, one public and from a semi-urban population, and the other a public school in the capital of a department, interacting with their teachers and principals to inquire about the realities faced by young people in relation to drug use and the institutional strategies to address it. Workshops were also held with students in grades 9-11 from both schools. Visits were made to 5 public schools both in the capital of the department of Caquetá and in different towns and a police workshop was observed in a school on prevention of drug use. Seven counsellors, teachers, people with experience in rural public health, social work and mental health were interviewed, as well as the person in charge of coexistence and prevention of drug use in the municipal police. At the same time, petition rights were drafted for the main institutions involved in decisions on coexistence, consumption and mental health policy. A person in charge of the construction of the public policy of the development plan and drug policy of the Ministry of Justice in Bogotá was also interviewed.</w:t>
      </w:r>
    </w:p>
    <w:p w14:paraId="6E4F3FA9" w14:textId="77777777" w:rsidR="00DD1F4A" w:rsidRPr="00626156" w:rsidRDefault="00DD1F4A" w:rsidP="00626156">
      <w:pPr>
        <w:pStyle w:val="p1"/>
        <w:jc w:val="both"/>
        <w:rPr>
          <w:sz w:val="22"/>
          <w:szCs w:val="22"/>
        </w:rPr>
      </w:pPr>
    </w:p>
    <w:p w14:paraId="098FA771" w14:textId="3D91FF97" w:rsidR="00DD1F4A" w:rsidRPr="00626156" w:rsidRDefault="00DD1F4A" w:rsidP="00626156">
      <w:pPr>
        <w:pStyle w:val="p1"/>
        <w:jc w:val="both"/>
        <w:rPr>
          <w:sz w:val="22"/>
          <w:szCs w:val="22"/>
        </w:rPr>
      </w:pPr>
      <w:r w:rsidRPr="00626156">
        <w:rPr>
          <w:sz w:val="22"/>
          <w:szCs w:val="22"/>
        </w:rPr>
        <w:t xml:space="preserve">There is a gap when talking about consumption in Colombia; usually the urban centres of Colombia such as Bogotá, Cali and Medellín are identified, while when talking about production, the rural regions of the Colombian Amazon are the ones on which attention is focused. Thus, there is not enough information on what happens in terms of psychoactive substance use in the latter regions. The aim of this exercise is to cross-reference the dynamics of consumption in territories marked by both production and armed conflict, a variable that has not been cross-referenced in any Ministry of </w:t>
      </w:r>
      <w:r w:rsidRPr="00626156">
        <w:rPr>
          <w:sz w:val="22"/>
          <w:szCs w:val="22"/>
        </w:rPr>
        <w:lastRenderedPageBreak/>
        <w:t>Justice study. To this, we add the period 2019 and 2021, where the pandemic was a challenge in terms of mental health and the dynamics of social conflict in the country, with an impact yet to be determined in the Colombian Amazon.</w:t>
      </w:r>
    </w:p>
    <w:p w14:paraId="1C530F9E" w14:textId="77777777" w:rsidR="00DD1F4A" w:rsidRPr="00626156" w:rsidRDefault="00DD1F4A" w:rsidP="00626156">
      <w:pPr>
        <w:pStyle w:val="p1"/>
        <w:jc w:val="both"/>
        <w:rPr>
          <w:sz w:val="22"/>
          <w:szCs w:val="22"/>
        </w:rPr>
      </w:pPr>
    </w:p>
    <w:p w14:paraId="77567310" w14:textId="5BB58809" w:rsidR="00DD1F4A" w:rsidRPr="00626156" w:rsidRDefault="00DD1F4A" w:rsidP="00626156">
      <w:pPr>
        <w:pStyle w:val="p1"/>
        <w:jc w:val="both"/>
        <w:rPr>
          <w:sz w:val="22"/>
          <w:szCs w:val="22"/>
        </w:rPr>
      </w:pPr>
      <w:r w:rsidRPr="00626156">
        <w:rPr>
          <w:sz w:val="22"/>
          <w:szCs w:val="22"/>
        </w:rPr>
        <w:t>Working on the issue of substance use in public and private school environments is a challenge because it intersects with stigmatisation and the consequences of the anti-drug policy, which, despite the decriminalisation of the minimum dose, production continues to be persecuted and the environments of consumption intersect with those of the armed conflict that does not stop in Colombia and, in particular, in the Amazon region.</w:t>
      </w:r>
    </w:p>
    <w:p w14:paraId="42E76DC0" w14:textId="77777777" w:rsidR="00DD1F4A" w:rsidRPr="00626156" w:rsidRDefault="00DD1F4A" w:rsidP="00626156">
      <w:pPr>
        <w:pStyle w:val="p1"/>
        <w:jc w:val="both"/>
        <w:rPr>
          <w:sz w:val="22"/>
          <w:szCs w:val="22"/>
        </w:rPr>
      </w:pPr>
    </w:p>
    <w:p w14:paraId="077E8E72" w14:textId="43AE9259" w:rsidR="00DD1F4A" w:rsidRPr="00626156" w:rsidRDefault="00DD1F4A" w:rsidP="00626156">
      <w:pPr>
        <w:pStyle w:val="p1"/>
        <w:jc w:val="both"/>
        <w:rPr>
          <w:sz w:val="22"/>
          <w:szCs w:val="22"/>
          <w:lang w:val="es-ES"/>
        </w:rPr>
      </w:pPr>
      <w:r w:rsidRPr="00626156">
        <w:rPr>
          <w:sz w:val="22"/>
          <w:szCs w:val="22"/>
          <w:lang w:val="es-ES"/>
        </w:rPr>
        <w:t>Trabajar el tema de consumo de sustancias en entornos escolares públicos y privados es un reto porque</w:t>
      </w:r>
      <w:r w:rsidRPr="00626156">
        <w:rPr>
          <w:sz w:val="22"/>
          <w:szCs w:val="22"/>
          <w:lang w:val="es-ES"/>
        </w:rPr>
        <w:t xml:space="preserve"> </w:t>
      </w:r>
      <w:r w:rsidRPr="00626156">
        <w:rPr>
          <w:sz w:val="22"/>
          <w:szCs w:val="22"/>
          <w:lang w:val="es-ES"/>
        </w:rPr>
        <w:t>se cruza la estigmatización y las consecuencias de la política antidrogas, la cual, a pesar de la</w:t>
      </w:r>
      <w:r w:rsidRPr="00626156">
        <w:rPr>
          <w:sz w:val="22"/>
          <w:szCs w:val="22"/>
          <w:lang w:val="es-ES"/>
        </w:rPr>
        <w:t xml:space="preserve"> </w:t>
      </w:r>
      <w:r w:rsidRPr="00626156">
        <w:rPr>
          <w:sz w:val="22"/>
          <w:szCs w:val="22"/>
          <w:lang w:val="es-ES"/>
        </w:rPr>
        <w:t xml:space="preserve">descriminalización de la dosis mínima, la producción sigue siendo perseguida y los entornos de </w:t>
      </w:r>
      <w:r w:rsidRPr="00626156">
        <w:rPr>
          <w:sz w:val="22"/>
          <w:szCs w:val="22"/>
          <w:lang w:val="es-ES"/>
        </w:rPr>
        <w:t xml:space="preserve">consume </w:t>
      </w:r>
      <w:r w:rsidRPr="00626156">
        <w:rPr>
          <w:sz w:val="22"/>
          <w:szCs w:val="22"/>
          <w:lang w:val="es-ES"/>
        </w:rPr>
        <w:t>se cruzan con los del conflicto armado que no se detiene en Colombia y, en particular, en la Amazonia.</w:t>
      </w:r>
    </w:p>
    <w:p w14:paraId="1D25D31A" w14:textId="77777777" w:rsidR="00DD1F4A" w:rsidRPr="00626156" w:rsidRDefault="00DD1F4A" w:rsidP="00626156">
      <w:pPr>
        <w:pStyle w:val="p1"/>
        <w:jc w:val="both"/>
        <w:rPr>
          <w:sz w:val="22"/>
          <w:szCs w:val="22"/>
          <w:lang w:val="es-ES"/>
        </w:rPr>
      </w:pPr>
    </w:p>
    <w:p w14:paraId="5E9C386C" w14:textId="6408300C" w:rsidR="00DD1F4A" w:rsidRPr="00217786" w:rsidRDefault="00DD1F4A" w:rsidP="00874EB3">
      <w:pPr>
        <w:pStyle w:val="p1"/>
        <w:numPr>
          <w:ilvl w:val="0"/>
          <w:numId w:val="3"/>
        </w:numPr>
        <w:jc w:val="both"/>
        <w:rPr>
          <w:b/>
          <w:bCs/>
          <w:sz w:val="22"/>
          <w:szCs w:val="22"/>
        </w:rPr>
      </w:pPr>
      <w:r w:rsidRPr="00217786">
        <w:rPr>
          <w:b/>
          <w:bCs/>
          <w:sz w:val="22"/>
          <w:szCs w:val="22"/>
        </w:rPr>
        <w:t xml:space="preserve">Substance </w:t>
      </w:r>
      <w:r w:rsidR="003E52F3" w:rsidRPr="00217786">
        <w:rPr>
          <w:b/>
          <w:bCs/>
          <w:sz w:val="22"/>
          <w:szCs w:val="22"/>
        </w:rPr>
        <w:t>use</w:t>
      </w:r>
      <w:r w:rsidRPr="00217786">
        <w:rPr>
          <w:b/>
          <w:bCs/>
          <w:sz w:val="22"/>
          <w:szCs w:val="22"/>
        </w:rPr>
        <w:t xml:space="preserve"> in post-conflict territories: Caquetá</w:t>
      </w:r>
    </w:p>
    <w:p w14:paraId="04EAF4BC" w14:textId="77777777" w:rsidR="00DD1F4A" w:rsidRPr="00217786" w:rsidRDefault="00DD1F4A" w:rsidP="00626156">
      <w:pPr>
        <w:pStyle w:val="p1"/>
        <w:jc w:val="both"/>
        <w:rPr>
          <w:b/>
          <w:bCs/>
          <w:sz w:val="22"/>
          <w:szCs w:val="22"/>
        </w:rPr>
      </w:pPr>
    </w:p>
    <w:p w14:paraId="6AC91CEF" w14:textId="60AE5B01" w:rsidR="00DD1F4A" w:rsidRPr="00626156" w:rsidRDefault="00DD1F4A" w:rsidP="00626156">
      <w:pPr>
        <w:pStyle w:val="p1"/>
        <w:jc w:val="both"/>
        <w:rPr>
          <w:sz w:val="22"/>
          <w:szCs w:val="22"/>
        </w:rPr>
      </w:pPr>
      <w:r w:rsidRPr="00626156">
        <w:rPr>
          <w:sz w:val="22"/>
          <w:szCs w:val="22"/>
        </w:rPr>
        <w:t>In Colombia, official data on psychoactive substance use in regions such as Caquetá are limited and outdated. The most recent report with regionally disaggregated data is from 2019,</w:t>
      </w:r>
      <w:r w:rsidR="00217786">
        <w:rPr>
          <w:rStyle w:val="FootnoteReference"/>
          <w:sz w:val="22"/>
          <w:szCs w:val="22"/>
        </w:rPr>
        <w:footnoteReference w:id="9"/>
      </w:r>
      <w:r w:rsidRPr="00626156">
        <w:rPr>
          <w:sz w:val="22"/>
          <w:szCs w:val="22"/>
        </w:rPr>
        <w:t xml:space="preserve"> while the last specific study on the school population dates from 2016</w:t>
      </w:r>
      <w:r w:rsidR="00217786">
        <w:rPr>
          <w:rStyle w:val="FootnoteReference"/>
          <w:sz w:val="22"/>
          <w:szCs w:val="22"/>
        </w:rPr>
        <w:footnoteReference w:id="10"/>
      </w:r>
      <w:r w:rsidRPr="00626156">
        <w:rPr>
          <w:sz w:val="22"/>
          <w:szCs w:val="22"/>
        </w:rPr>
        <w:t xml:space="preserve"> and the university population from 2017.</w:t>
      </w:r>
      <w:r w:rsidR="00217786">
        <w:rPr>
          <w:rStyle w:val="FootnoteReference"/>
          <w:sz w:val="22"/>
          <w:szCs w:val="22"/>
        </w:rPr>
        <w:footnoteReference w:id="11"/>
      </w:r>
    </w:p>
    <w:p w14:paraId="6A976DBC" w14:textId="77777777" w:rsidR="00DD1F4A" w:rsidRPr="00626156" w:rsidRDefault="00DD1F4A" w:rsidP="00626156">
      <w:pPr>
        <w:pStyle w:val="p1"/>
        <w:jc w:val="both"/>
        <w:rPr>
          <w:sz w:val="22"/>
          <w:szCs w:val="22"/>
        </w:rPr>
      </w:pPr>
    </w:p>
    <w:p w14:paraId="4A0F473A" w14:textId="28E91587" w:rsidR="00DD1F4A" w:rsidRPr="00626156" w:rsidRDefault="00DD1F4A" w:rsidP="00626156">
      <w:pPr>
        <w:pStyle w:val="p1"/>
        <w:jc w:val="both"/>
        <w:rPr>
          <w:sz w:val="22"/>
          <w:szCs w:val="22"/>
        </w:rPr>
      </w:pPr>
      <w:r w:rsidRPr="00626156">
        <w:rPr>
          <w:sz w:val="22"/>
          <w:szCs w:val="22"/>
        </w:rPr>
        <w:t xml:space="preserve">The most recent National Drug Policy recognises that socio-economic vulnerabilities have an impact on the use of psychoactive substances. It is estimated that approximately 350,000 people in the country meet criteria indicative of problematic use, an alarmingly high figure compared to the 13.6% reported by the World Drug Report. For its part, the 2019 National Consumption Study indicates that substance </w:t>
      </w:r>
      <w:proofErr w:type="gramStart"/>
      <w:r w:rsidR="00685D4F">
        <w:rPr>
          <w:sz w:val="22"/>
          <w:szCs w:val="22"/>
        </w:rPr>
        <w:t>use</w:t>
      </w:r>
      <w:proofErr w:type="gramEnd"/>
      <w:r w:rsidRPr="00626156">
        <w:rPr>
          <w:sz w:val="22"/>
          <w:szCs w:val="22"/>
        </w:rPr>
        <w:t xml:space="preserve"> or dependence ratios increase as socio-economic inequalities increase: "from 58.3% in stratum one to less than half in strata 4 to 6 (25.5%). The highest number of people in a condition of </w:t>
      </w:r>
      <w:r w:rsidR="00685D4F">
        <w:rPr>
          <w:sz w:val="22"/>
          <w:szCs w:val="22"/>
        </w:rPr>
        <w:t>use</w:t>
      </w:r>
      <w:r w:rsidRPr="00626156">
        <w:rPr>
          <w:sz w:val="22"/>
          <w:szCs w:val="22"/>
        </w:rPr>
        <w:t xml:space="preserve"> or dependence is found in stratum 2 with 134 thousand, which represents 38% of the total number of cases (ODC, 2019)".</w:t>
      </w:r>
      <w:r w:rsidR="00217786">
        <w:rPr>
          <w:rStyle w:val="FootnoteReference"/>
          <w:sz w:val="22"/>
          <w:szCs w:val="22"/>
        </w:rPr>
        <w:footnoteReference w:id="12"/>
      </w:r>
      <w:r w:rsidRPr="00626156">
        <w:rPr>
          <w:sz w:val="22"/>
          <w:szCs w:val="22"/>
        </w:rPr>
        <w:t xml:space="preserve"> This phenomenon also intersects with gender variables, with structural inequalities such as access to health, education, employment and the unequal territorialisation of the Colombian State, with the condition of being a street inhabitant; all of these deepen the non-fulfilment of rights; a completely different situation depending on social class, whether one is a rural or urban inhabitant, whether one is a woman or a man, or a victim of the conflict.</w:t>
      </w:r>
    </w:p>
    <w:p w14:paraId="602C4886" w14:textId="77777777" w:rsidR="00DD1F4A" w:rsidRPr="00626156" w:rsidRDefault="00DD1F4A" w:rsidP="00626156">
      <w:pPr>
        <w:pStyle w:val="p1"/>
        <w:jc w:val="both"/>
        <w:rPr>
          <w:sz w:val="22"/>
          <w:szCs w:val="22"/>
        </w:rPr>
      </w:pPr>
    </w:p>
    <w:p w14:paraId="6C7E3B0C" w14:textId="5ABAB45C" w:rsidR="00DD1F4A" w:rsidRPr="00626156" w:rsidRDefault="00DD1F4A" w:rsidP="00626156">
      <w:pPr>
        <w:pStyle w:val="p1"/>
        <w:jc w:val="both"/>
        <w:rPr>
          <w:sz w:val="22"/>
          <w:szCs w:val="22"/>
        </w:rPr>
      </w:pPr>
      <w:r w:rsidRPr="00626156">
        <w:rPr>
          <w:sz w:val="22"/>
          <w:szCs w:val="22"/>
        </w:rPr>
        <w:t>In Caquetá, recent data show a significant transformation in consumption dynamics. Although it has one of the lowest rates of alcohol consumption in the country, it has one of the highest levels of cocaine use (2.4%), and the highest in the country for the use of ‘basuco’ (2.1%) among school children in 2016.</w:t>
      </w:r>
      <w:r w:rsidR="005A1D7E">
        <w:rPr>
          <w:rStyle w:val="FootnoteReference"/>
          <w:sz w:val="22"/>
          <w:szCs w:val="22"/>
        </w:rPr>
        <w:footnoteReference w:id="13"/>
      </w:r>
      <w:r w:rsidRPr="00626156">
        <w:rPr>
          <w:sz w:val="22"/>
          <w:szCs w:val="22"/>
        </w:rPr>
        <w:t xml:space="preserve"> There has also been an increase in the use of marijuana, tranquillisers and stimulants </w:t>
      </w:r>
      <w:r w:rsidRPr="00626156">
        <w:rPr>
          <w:sz w:val="22"/>
          <w:szCs w:val="22"/>
        </w:rPr>
        <w:lastRenderedPageBreak/>
        <w:t>without medical prescription, as well as substances such as solvents, paints and poppers, above the national average.</w:t>
      </w:r>
      <w:r w:rsidR="00366D3A">
        <w:rPr>
          <w:rStyle w:val="FootnoteReference"/>
          <w:sz w:val="22"/>
          <w:szCs w:val="22"/>
        </w:rPr>
        <w:footnoteReference w:id="14"/>
      </w:r>
      <w:r w:rsidRPr="00626156">
        <w:rPr>
          <w:sz w:val="22"/>
          <w:szCs w:val="22"/>
        </w:rPr>
        <w:t xml:space="preserve"> Some 37.5 % of schoolchildren in Caquetá reported having witnessed the sale or consumption of drugs in the vicinity of their educational institutions.</w:t>
      </w:r>
      <w:r w:rsidR="00C54135">
        <w:rPr>
          <w:rStyle w:val="FootnoteReference"/>
          <w:sz w:val="22"/>
          <w:szCs w:val="22"/>
        </w:rPr>
        <w:footnoteReference w:id="15"/>
      </w:r>
      <w:r w:rsidRPr="00626156">
        <w:rPr>
          <w:sz w:val="22"/>
          <w:szCs w:val="22"/>
        </w:rPr>
        <w:t xml:space="preserve"> In addition, there is a low perception of risk associated with substance use, especially among students in rural areas.</w:t>
      </w:r>
    </w:p>
    <w:p w14:paraId="222D1072" w14:textId="77777777" w:rsidR="00DD1F4A" w:rsidRPr="00626156" w:rsidRDefault="00DD1F4A" w:rsidP="00626156">
      <w:pPr>
        <w:pStyle w:val="p1"/>
        <w:jc w:val="both"/>
        <w:rPr>
          <w:sz w:val="22"/>
          <w:szCs w:val="22"/>
        </w:rPr>
      </w:pPr>
    </w:p>
    <w:p w14:paraId="6E8B4A56" w14:textId="674CC6A7" w:rsidR="00DD1F4A" w:rsidRPr="00626156" w:rsidRDefault="00DD1F4A" w:rsidP="00874EB3">
      <w:pPr>
        <w:pStyle w:val="p1"/>
        <w:numPr>
          <w:ilvl w:val="0"/>
          <w:numId w:val="3"/>
        </w:numPr>
        <w:jc w:val="both"/>
        <w:rPr>
          <w:b/>
          <w:bCs/>
          <w:sz w:val="22"/>
          <w:szCs w:val="22"/>
        </w:rPr>
      </w:pPr>
      <w:r w:rsidRPr="00626156">
        <w:rPr>
          <w:b/>
          <w:bCs/>
          <w:sz w:val="22"/>
          <w:szCs w:val="22"/>
        </w:rPr>
        <w:t>Context and justification</w:t>
      </w:r>
    </w:p>
    <w:p w14:paraId="3E2D8C90" w14:textId="77777777" w:rsidR="00DD1F4A" w:rsidRPr="00626156" w:rsidRDefault="00DD1F4A" w:rsidP="00626156">
      <w:pPr>
        <w:pStyle w:val="p1"/>
        <w:jc w:val="both"/>
        <w:rPr>
          <w:b/>
          <w:bCs/>
          <w:sz w:val="22"/>
          <w:szCs w:val="22"/>
        </w:rPr>
      </w:pPr>
    </w:p>
    <w:p w14:paraId="77837D4C" w14:textId="12F54614" w:rsidR="00DD1F4A" w:rsidRPr="00626156" w:rsidRDefault="00DD1F4A" w:rsidP="00626156">
      <w:pPr>
        <w:pStyle w:val="p1"/>
        <w:jc w:val="both"/>
        <w:rPr>
          <w:sz w:val="22"/>
          <w:szCs w:val="22"/>
        </w:rPr>
      </w:pPr>
      <w:r w:rsidRPr="00626156">
        <w:rPr>
          <w:sz w:val="22"/>
          <w:szCs w:val="22"/>
        </w:rPr>
        <w:t>The Colombian Amazon played and still plays a fundamental role in the armed conflict; the main clashes and peace events took place in its jungles. In this region an insurgent order was consolidated to territorialize the power of the-guerrillas, which implied a way of understanding the territory and a way of interacting with the population.</w:t>
      </w:r>
      <w:r w:rsidR="0034104D">
        <w:rPr>
          <w:rStyle w:val="FootnoteReference"/>
          <w:sz w:val="22"/>
          <w:szCs w:val="22"/>
        </w:rPr>
        <w:footnoteReference w:id="16"/>
      </w:r>
      <w:r w:rsidRPr="00626156">
        <w:rPr>
          <w:sz w:val="22"/>
          <w:szCs w:val="22"/>
        </w:rPr>
        <w:t xml:space="preserve"> Of course, there was also a way of controlling substance consumption.</w:t>
      </w:r>
    </w:p>
    <w:p w14:paraId="13F1106F" w14:textId="77777777" w:rsidR="00DD1F4A" w:rsidRPr="00626156" w:rsidRDefault="00DD1F4A" w:rsidP="00626156">
      <w:pPr>
        <w:pStyle w:val="p1"/>
        <w:jc w:val="both"/>
        <w:rPr>
          <w:sz w:val="22"/>
          <w:szCs w:val="22"/>
        </w:rPr>
      </w:pPr>
    </w:p>
    <w:p w14:paraId="601C9FEE" w14:textId="738F4EC7" w:rsidR="00DD1F4A" w:rsidRPr="00626156" w:rsidRDefault="00DD1F4A" w:rsidP="00626156">
      <w:pPr>
        <w:pStyle w:val="p1"/>
        <w:jc w:val="both"/>
        <w:rPr>
          <w:sz w:val="22"/>
          <w:szCs w:val="22"/>
        </w:rPr>
      </w:pPr>
      <w:r w:rsidRPr="00626156">
        <w:rPr>
          <w:sz w:val="22"/>
          <w:szCs w:val="22"/>
        </w:rPr>
        <w:t>The use of substances such as marijuana and cocaine was part of the social regulation within the guerrilla ranks, in the lives of peasants - who were fearful of the use of substances</w:t>
      </w:r>
      <w:r w:rsidR="006E1043">
        <w:rPr>
          <w:rStyle w:val="FootnoteReference"/>
          <w:sz w:val="22"/>
          <w:szCs w:val="22"/>
        </w:rPr>
        <w:footnoteReference w:id="17"/>
      </w:r>
      <w:r w:rsidR="006E1043">
        <w:rPr>
          <w:sz w:val="22"/>
          <w:szCs w:val="22"/>
        </w:rPr>
        <w:t xml:space="preserve"> </w:t>
      </w:r>
      <w:r w:rsidRPr="00626156">
        <w:rPr>
          <w:sz w:val="22"/>
          <w:szCs w:val="22"/>
        </w:rPr>
        <w:t>- and of the presence of the public and paramilitary forces. Part of the dispute over the social regulation of guerrillas and paramilitaries was reflected in the pamphlets that were sent out against ‘vicious’ or “consumers”, in the form of crimes of discrimination - ‘social cleansing’ - deployed at the same time as military confrontations.</w:t>
      </w:r>
      <w:r w:rsidR="006E1043">
        <w:rPr>
          <w:rStyle w:val="FootnoteReference"/>
          <w:sz w:val="22"/>
          <w:szCs w:val="22"/>
        </w:rPr>
        <w:footnoteReference w:id="18"/>
      </w:r>
      <w:r w:rsidRPr="00626156">
        <w:rPr>
          <w:sz w:val="22"/>
          <w:szCs w:val="22"/>
        </w:rPr>
        <w:t xml:space="preserve"> Thus, the armed regulation of psychoactive substances (legal and illegal) was part of the rules of coexistence in a territory shaped by war, and the user was persecuted, stigmatised, rejected, and sometimes the use of substances was part of military training.</w:t>
      </w:r>
    </w:p>
    <w:p w14:paraId="45240051" w14:textId="77777777" w:rsidR="00DD1F4A" w:rsidRPr="00626156" w:rsidRDefault="00DD1F4A" w:rsidP="00626156">
      <w:pPr>
        <w:pStyle w:val="p1"/>
        <w:jc w:val="both"/>
        <w:rPr>
          <w:sz w:val="22"/>
          <w:szCs w:val="22"/>
        </w:rPr>
      </w:pPr>
    </w:p>
    <w:p w14:paraId="6808ADF1" w14:textId="1DB5BDE3" w:rsidR="00DD1F4A" w:rsidRPr="00626156" w:rsidRDefault="00DD1F4A" w:rsidP="00626156">
      <w:pPr>
        <w:pStyle w:val="p1"/>
        <w:jc w:val="both"/>
        <w:rPr>
          <w:sz w:val="22"/>
          <w:szCs w:val="22"/>
        </w:rPr>
      </w:pPr>
      <w:r w:rsidRPr="00626156">
        <w:rPr>
          <w:sz w:val="22"/>
          <w:szCs w:val="22"/>
        </w:rPr>
        <w:t>Various pamphlets continue to appear in the department's villages, threatening people who use drugs, and there have been attacks against people accused of micro-trafficking. One of the arguments that emerged from the teachers in the exercises was that the end of the insurgent order had left a vacuum in the regulation of the use of substances,</w:t>
      </w:r>
      <w:r w:rsidR="006E1043">
        <w:rPr>
          <w:rStyle w:val="FootnoteReference"/>
          <w:sz w:val="22"/>
          <w:szCs w:val="22"/>
        </w:rPr>
        <w:footnoteReference w:id="19"/>
      </w:r>
      <w:r w:rsidRPr="00626156">
        <w:rPr>
          <w:sz w:val="22"/>
          <w:szCs w:val="22"/>
        </w:rPr>
        <w:t xml:space="preserve"> and on the other hand, that the market for these substances had been reorganised, turning this region not only into a producer but also a consumer of both cocaine and marijuana by becoming a trafficking route to Brazil or finding markets within the country itself. By opening the market to new actors, the substances became more present in everyday life. One of the teachers mentioned that, in a neighbouring village, several people related to the trade had been murdered.</w:t>
      </w:r>
      <w:r w:rsidR="006E1043">
        <w:rPr>
          <w:rStyle w:val="FootnoteReference"/>
          <w:sz w:val="22"/>
          <w:szCs w:val="22"/>
        </w:rPr>
        <w:footnoteReference w:id="20"/>
      </w:r>
    </w:p>
    <w:p w14:paraId="56A78907" w14:textId="77777777" w:rsidR="00DD1F4A" w:rsidRPr="00626156" w:rsidRDefault="00DD1F4A" w:rsidP="00626156">
      <w:pPr>
        <w:pStyle w:val="p1"/>
        <w:jc w:val="both"/>
        <w:rPr>
          <w:sz w:val="22"/>
          <w:szCs w:val="22"/>
        </w:rPr>
      </w:pPr>
    </w:p>
    <w:p w14:paraId="72DE5F09" w14:textId="685A8B8C" w:rsidR="00DD1F4A" w:rsidRPr="00626156" w:rsidRDefault="00DD1F4A" w:rsidP="00626156">
      <w:pPr>
        <w:pStyle w:val="p1"/>
        <w:jc w:val="both"/>
        <w:rPr>
          <w:sz w:val="22"/>
          <w:szCs w:val="22"/>
        </w:rPr>
      </w:pPr>
      <w:r w:rsidRPr="00626156">
        <w:rPr>
          <w:sz w:val="22"/>
          <w:szCs w:val="22"/>
        </w:rPr>
        <w:t xml:space="preserve">Due to the scarcity of official statistics on changes in consumption patterns in rural areas from before the accords to the present, perceptions of ‘increased consumption’ may be part of the vacuum of armed control in daily life that the Colombian state has not been able to fill, for example, the population continues to distrust police stations, as they are seen as a place for dealing, or in other </w:t>
      </w:r>
      <w:r w:rsidRPr="00626156">
        <w:rPr>
          <w:sz w:val="22"/>
          <w:szCs w:val="22"/>
        </w:rPr>
        <w:lastRenderedPageBreak/>
        <w:t>places, in the midst of the</w:t>
      </w:r>
      <w:r w:rsidRPr="00626156">
        <w:rPr>
          <w:sz w:val="22"/>
          <w:szCs w:val="22"/>
        </w:rPr>
        <w:t xml:space="preserve"> </w:t>
      </w:r>
      <w:r w:rsidRPr="00626156">
        <w:rPr>
          <w:sz w:val="22"/>
          <w:szCs w:val="22"/>
        </w:rPr>
        <w:t>worsening violence, the police are irrelevant because they do not leave the stations.</w:t>
      </w:r>
    </w:p>
    <w:p w14:paraId="7B3AADB1" w14:textId="77777777" w:rsidR="00DD1F4A" w:rsidRPr="00626156" w:rsidRDefault="00DD1F4A" w:rsidP="00626156">
      <w:pPr>
        <w:pStyle w:val="p1"/>
        <w:jc w:val="both"/>
        <w:rPr>
          <w:sz w:val="22"/>
          <w:szCs w:val="22"/>
        </w:rPr>
      </w:pPr>
    </w:p>
    <w:p w14:paraId="7C8C6536" w14:textId="0778CAF8" w:rsidR="00DD1F4A" w:rsidRPr="00626156" w:rsidRDefault="00DD1F4A" w:rsidP="00626156">
      <w:pPr>
        <w:pStyle w:val="p1"/>
        <w:jc w:val="both"/>
        <w:rPr>
          <w:sz w:val="22"/>
          <w:szCs w:val="22"/>
        </w:rPr>
      </w:pPr>
      <w:r w:rsidRPr="00626156">
        <w:rPr>
          <w:sz w:val="22"/>
          <w:szCs w:val="22"/>
        </w:rPr>
        <w:t>Rurality is still connected to the armed conflict. Currently, it is diagnosed that there is insufficient attention to mental health and depression, mainly in rural areas, the territories at the centre of the conflict. For example, less than 1% is the rate of care for depression in most of these regions.</w:t>
      </w:r>
      <w:r w:rsidR="006E1043">
        <w:rPr>
          <w:rStyle w:val="FootnoteReference"/>
          <w:sz w:val="22"/>
          <w:szCs w:val="22"/>
        </w:rPr>
        <w:footnoteReference w:id="21"/>
      </w:r>
      <w:r w:rsidRPr="00626156">
        <w:rPr>
          <w:sz w:val="22"/>
          <w:szCs w:val="22"/>
        </w:rPr>
        <w:t xml:space="preserve"> One of the indicative actions in the framework of public health for rural areas in the strategy for social and citizen coexistence is the Comprehensive Policy for the Prevention and Care of the Consumption of Psychoactive Substances.</w:t>
      </w:r>
      <w:r w:rsidR="006E1043">
        <w:rPr>
          <w:rStyle w:val="FootnoteReference"/>
          <w:sz w:val="22"/>
          <w:szCs w:val="22"/>
        </w:rPr>
        <w:footnoteReference w:id="22"/>
      </w:r>
      <w:r w:rsidRPr="00626156">
        <w:rPr>
          <w:sz w:val="22"/>
          <w:szCs w:val="22"/>
        </w:rPr>
        <w:t xml:space="preserve"> This recognises that one of the effects of the armed conflict is the consumption of alcohol and other substances.</w:t>
      </w:r>
      <w:r w:rsidR="006E1043">
        <w:rPr>
          <w:rStyle w:val="FootnoteReference"/>
          <w:sz w:val="22"/>
          <w:szCs w:val="22"/>
        </w:rPr>
        <w:footnoteReference w:id="23"/>
      </w:r>
    </w:p>
    <w:p w14:paraId="7970771A" w14:textId="77777777" w:rsidR="00DD1F4A" w:rsidRPr="00626156" w:rsidRDefault="00DD1F4A" w:rsidP="00626156">
      <w:pPr>
        <w:pStyle w:val="p1"/>
        <w:jc w:val="both"/>
        <w:rPr>
          <w:sz w:val="22"/>
          <w:szCs w:val="22"/>
        </w:rPr>
      </w:pPr>
    </w:p>
    <w:p w14:paraId="19CBD05F" w14:textId="2C051D19" w:rsidR="00DD1F4A" w:rsidRPr="00626156" w:rsidRDefault="00DD1F4A" w:rsidP="00874EB3">
      <w:pPr>
        <w:pStyle w:val="p1"/>
        <w:numPr>
          <w:ilvl w:val="0"/>
          <w:numId w:val="3"/>
        </w:numPr>
        <w:jc w:val="both"/>
        <w:rPr>
          <w:b/>
          <w:bCs/>
          <w:sz w:val="22"/>
          <w:szCs w:val="22"/>
        </w:rPr>
      </w:pPr>
      <w:r w:rsidRPr="00626156">
        <w:rPr>
          <w:b/>
          <w:bCs/>
          <w:sz w:val="22"/>
          <w:szCs w:val="22"/>
        </w:rPr>
        <w:t>Main findings</w:t>
      </w:r>
    </w:p>
    <w:p w14:paraId="4C89C4E5" w14:textId="77777777" w:rsidR="00DD1F4A" w:rsidRPr="00626156" w:rsidRDefault="00DD1F4A" w:rsidP="00626156">
      <w:pPr>
        <w:pStyle w:val="p1"/>
        <w:jc w:val="both"/>
        <w:rPr>
          <w:b/>
          <w:bCs/>
          <w:sz w:val="22"/>
          <w:szCs w:val="22"/>
        </w:rPr>
      </w:pPr>
    </w:p>
    <w:p w14:paraId="041E56D8" w14:textId="2A6D8255" w:rsidR="00DD1F4A" w:rsidRPr="00626156" w:rsidRDefault="00CB4574" w:rsidP="00626156">
      <w:pPr>
        <w:pStyle w:val="p1"/>
        <w:jc w:val="both"/>
        <w:rPr>
          <w:b/>
          <w:bCs/>
          <w:i/>
          <w:iCs/>
          <w:sz w:val="22"/>
          <w:szCs w:val="22"/>
        </w:rPr>
      </w:pPr>
      <w:r w:rsidRPr="00626156">
        <w:rPr>
          <w:b/>
          <w:bCs/>
          <w:i/>
          <w:iCs/>
          <w:sz w:val="22"/>
          <w:szCs w:val="22"/>
        </w:rPr>
        <w:t>A. Institutional responses to the situation of psychoactive substance use in Caquetá</w:t>
      </w:r>
    </w:p>
    <w:p w14:paraId="7538078B" w14:textId="77777777" w:rsidR="00DD1F4A" w:rsidRPr="00626156" w:rsidRDefault="00DD1F4A" w:rsidP="00626156">
      <w:pPr>
        <w:pStyle w:val="p1"/>
        <w:jc w:val="both"/>
        <w:rPr>
          <w:sz w:val="22"/>
          <w:szCs w:val="22"/>
        </w:rPr>
      </w:pPr>
    </w:p>
    <w:p w14:paraId="61742464" w14:textId="0E5627E1" w:rsidR="00CB4574" w:rsidRPr="00626156" w:rsidRDefault="004D2999" w:rsidP="00626156">
      <w:pPr>
        <w:pStyle w:val="p1"/>
        <w:jc w:val="both"/>
        <w:rPr>
          <w:sz w:val="22"/>
          <w:szCs w:val="22"/>
        </w:rPr>
      </w:pPr>
      <w:r w:rsidRPr="00626156">
        <w:rPr>
          <w:sz w:val="22"/>
          <w:szCs w:val="22"/>
        </w:rPr>
        <w:t>The most important body for the management of consumption and coexistence at departmental and municipal level is the Committee for Mental Health and/or the Prevention and Care of Psychoactive Substance Consumption, which, in its municipal version, was-created in 2014. The minutes analysed show some years of little dynamism in terms of monitoring cases and implementing public policies; in no case has there been any training on harm reduction for officials, rectors, schools or members in general. The main concern is suicide and mental health, situations that are alarming due to the post-conflict and marginalised nature of the territory.</w:t>
      </w:r>
      <w:r w:rsidR="006E1043">
        <w:rPr>
          <w:rStyle w:val="FootnoteReference"/>
          <w:sz w:val="22"/>
          <w:szCs w:val="22"/>
        </w:rPr>
        <w:footnoteReference w:id="24"/>
      </w:r>
      <w:r w:rsidRPr="00626156">
        <w:rPr>
          <w:sz w:val="22"/>
          <w:szCs w:val="22"/>
        </w:rPr>
        <w:t xml:space="preserve"> This committee includes drug addiction centres and the different Catholic and Christian churches, which also participate in regional public policy, as well as representatives of a private psychiatric clinic operating in the region. Recent actions include the activation of a departmental mental health and first aid helpline, a psychological care foundation, local hospitals and health care entities. There </w:t>
      </w:r>
      <w:proofErr w:type="gramStart"/>
      <w:r w:rsidRPr="00626156">
        <w:rPr>
          <w:sz w:val="22"/>
          <w:szCs w:val="22"/>
        </w:rPr>
        <w:t>are</w:t>
      </w:r>
      <w:proofErr w:type="gramEnd"/>
      <w:r w:rsidRPr="00626156">
        <w:rPr>
          <w:sz w:val="22"/>
          <w:szCs w:val="22"/>
        </w:rPr>
        <w:t xml:space="preserve"> no harm reduction services in place.</w:t>
      </w:r>
      <w:r w:rsidR="006E1043">
        <w:rPr>
          <w:rStyle w:val="FootnoteReference"/>
          <w:sz w:val="22"/>
          <w:szCs w:val="22"/>
        </w:rPr>
        <w:footnoteReference w:id="25"/>
      </w:r>
    </w:p>
    <w:p w14:paraId="5E3FFB08" w14:textId="77777777" w:rsidR="004D2999" w:rsidRPr="00626156" w:rsidRDefault="004D2999" w:rsidP="00626156">
      <w:pPr>
        <w:pStyle w:val="p1"/>
        <w:jc w:val="both"/>
        <w:rPr>
          <w:sz w:val="22"/>
          <w:szCs w:val="22"/>
        </w:rPr>
      </w:pPr>
    </w:p>
    <w:p w14:paraId="3EE6BB0C" w14:textId="08A5ED9B" w:rsidR="004D2999" w:rsidRPr="00626156" w:rsidRDefault="006E1043" w:rsidP="00626156">
      <w:pPr>
        <w:pStyle w:val="p1"/>
        <w:jc w:val="both"/>
        <w:rPr>
          <w:sz w:val="22"/>
          <w:szCs w:val="22"/>
        </w:rPr>
      </w:pPr>
      <w:r w:rsidRPr="006E1043">
        <w:rPr>
          <w:sz w:val="22"/>
          <w:szCs w:val="22"/>
        </w:rPr>
        <w:t xml:space="preserve">Another key institution is the Ministry of Health, whose recent actions have focused on mental health, suicide prevention and </w:t>
      </w:r>
      <w:r w:rsidR="00685D4F">
        <w:rPr>
          <w:sz w:val="22"/>
          <w:szCs w:val="22"/>
        </w:rPr>
        <w:t>drug</w:t>
      </w:r>
      <w:r w:rsidRPr="006E1043">
        <w:rPr>
          <w:sz w:val="22"/>
          <w:szCs w:val="22"/>
        </w:rPr>
        <w:t xml:space="preserve"> </w:t>
      </w:r>
      <w:r w:rsidR="00685D4F">
        <w:rPr>
          <w:sz w:val="22"/>
          <w:szCs w:val="22"/>
        </w:rPr>
        <w:t>use</w:t>
      </w:r>
      <w:r w:rsidRPr="006E1043">
        <w:rPr>
          <w:sz w:val="22"/>
          <w:szCs w:val="22"/>
        </w:rPr>
        <w:t xml:space="preserve"> prevention through talks, workshops, media dissemination, fairs and campaigns, as well as listening and care centres for street dwellers.</w:t>
      </w:r>
      <w:r>
        <w:rPr>
          <w:rStyle w:val="FootnoteReference"/>
          <w:sz w:val="22"/>
          <w:szCs w:val="22"/>
        </w:rPr>
        <w:footnoteReference w:id="26"/>
      </w:r>
      <w:r w:rsidRPr="006E1043">
        <w:rPr>
          <w:sz w:val="22"/>
          <w:szCs w:val="22"/>
        </w:rPr>
        <w:t xml:space="preserve"> If we refer specifically to children and adolescents, this institutional role also involves the Colombian National Welfare Institute (ICBF), which is governed by technical care guidelines that recognise that everyone has the right to care that guarantees the highest possible level of health and to services for the treatment of illnesses and rehabilitation, with an emphasis on mental health and substance use. The next actors are the Health Care Providing Institutions (IPS) and Health Care Providing Entities (EPS), which </w:t>
      </w:r>
      <w:proofErr w:type="gramStart"/>
      <w:r w:rsidRPr="006E1043">
        <w:rPr>
          <w:sz w:val="22"/>
          <w:szCs w:val="22"/>
        </w:rPr>
        <w:t>are in charge of</w:t>
      </w:r>
      <w:proofErr w:type="gramEnd"/>
      <w:r w:rsidRPr="006E1043">
        <w:rPr>
          <w:sz w:val="22"/>
          <w:szCs w:val="22"/>
        </w:rPr>
        <w:t xml:space="preserve"> the main care of the Colombian health system and are required by law to prioritise this population. This is under the consumption prevention guide drafted in 2017 with the support of the Drug Directorate of the Ministry of Justice and the UNODC.</w:t>
      </w:r>
      <w:r w:rsidR="007D491A">
        <w:rPr>
          <w:rStyle w:val="FootnoteReference"/>
          <w:sz w:val="22"/>
          <w:szCs w:val="22"/>
        </w:rPr>
        <w:footnoteReference w:id="27"/>
      </w:r>
      <w:r w:rsidRPr="006E1043">
        <w:rPr>
          <w:sz w:val="22"/>
          <w:szCs w:val="22"/>
        </w:rPr>
        <w:t xml:space="preserve"> </w:t>
      </w:r>
      <w:r w:rsidR="004D2999" w:rsidRPr="00626156">
        <w:rPr>
          <w:sz w:val="22"/>
          <w:szCs w:val="22"/>
        </w:rPr>
        <w:t xml:space="preserve">Few of these guidelines have been constructed from the perspective of harm and vulnerability reduction, and the people interviewed complained about the </w:t>
      </w:r>
      <w:r w:rsidR="004D2999" w:rsidRPr="00626156">
        <w:rPr>
          <w:sz w:val="22"/>
          <w:szCs w:val="22"/>
        </w:rPr>
        <w:lastRenderedPageBreak/>
        <w:t>lack of follow-up to cases, for example, one student did not have access to appointments at the IPS on time, and in six months he had barely had one session.</w:t>
      </w:r>
      <w:r w:rsidR="007D491A">
        <w:rPr>
          <w:rStyle w:val="FootnoteReference"/>
          <w:sz w:val="22"/>
          <w:szCs w:val="22"/>
        </w:rPr>
        <w:footnoteReference w:id="28"/>
      </w:r>
      <w:r w:rsidR="004D2999" w:rsidRPr="00626156">
        <w:rPr>
          <w:sz w:val="22"/>
          <w:szCs w:val="22"/>
        </w:rPr>
        <w:t xml:space="preserve"> In other words, this protocol is hampered by the crisis in the health system.</w:t>
      </w:r>
    </w:p>
    <w:p w14:paraId="33F910EA" w14:textId="77777777" w:rsidR="00B45F8C" w:rsidRPr="00626156" w:rsidRDefault="00B45F8C" w:rsidP="00626156">
      <w:pPr>
        <w:pStyle w:val="p1"/>
        <w:jc w:val="both"/>
        <w:rPr>
          <w:sz w:val="22"/>
          <w:szCs w:val="22"/>
        </w:rPr>
      </w:pPr>
    </w:p>
    <w:p w14:paraId="0BB12923" w14:textId="7C3D3B1A" w:rsidR="00B45F8C" w:rsidRPr="00626156" w:rsidRDefault="00B45F8C" w:rsidP="00626156">
      <w:pPr>
        <w:pStyle w:val="p1"/>
        <w:jc w:val="both"/>
        <w:rPr>
          <w:sz w:val="22"/>
          <w:szCs w:val="22"/>
        </w:rPr>
      </w:pPr>
      <w:r w:rsidRPr="00626156">
        <w:rPr>
          <w:sz w:val="22"/>
          <w:szCs w:val="22"/>
        </w:rPr>
        <w:t>In terms of substance use in schools, the protocols for dealing with these cases are based on documents such as the ‘Guide for the pedagogical approach to risk situations in the framework of the comprehensive care route for school coexistence’,</w:t>
      </w:r>
      <w:r w:rsidR="007D491A">
        <w:rPr>
          <w:rStyle w:val="FootnoteReference"/>
          <w:sz w:val="22"/>
          <w:szCs w:val="22"/>
        </w:rPr>
        <w:footnoteReference w:id="29"/>
      </w:r>
      <w:r w:rsidRPr="00626156">
        <w:rPr>
          <w:sz w:val="22"/>
          <w:szCs w:val="22"/>
        </w:rPr>
        <w:t xml:space="preserve"> in which the case of the teacher or teacher manager is first referred to the counsellor, and where it is decided whether to go to the emergency room or to the IPS. The family is </w:t>
      </w:r>
      <w:proofErr w:type="gramStart"/>
      <w:r w:rsidRPr="00626156">
        <w:rPr>
          <w:sz w:val="22"/>
          <w:szCs w:val="22"/>
        </w:rPr>
        <w:t>informed</w:t>
      </w:r>
      <w:proofErr w:type="gramEnd"/>
      <w:r w:rsidRPr="00626156">
        <w:rPr>
          <w:sz w:val="22"/>
          <w:szCs w:val="22"/>
        </w:rPr>
        <w:t xml:space="preserve"> and the situation is reported to the Unified Information System for School Coexistence (SIUCE).</w:t>
      </w:r>
      <w:r w:rsidR="00CF09CC">
        <w:rPr>
          <w:rStyle w:val="FootnoteReference"/>
          <w:sz w:val="22"/>
          <w:szCs w:val="22"/>
        </w:rPr>
        <w:footnoteReference w:id="30"/>
      </w:r>
      <w:r w:rsidRPr="00626156">
        <w:rPr>
          <w:sz w:val="22"/>
          <w:szCs w:val="22"/>
        </w:rPr>
        <w:t xml:space="preserve"> In the School Coexistence Committee, these cases are reported, keeping the confidentiality and identity of the students confidential, and promotion and prevention actions are taken, as well as follow-up by the guidance counsellor</w:t>
      </w:r>
      <w:r w:rsidRPr="00626156">
        <w:rPr>
          <w:sz w:val="22"/>
          <w:szCs w:val="22"/>
        </w:rPr>
        <w:t xml:space="preserve">. </w:t>
      </w:r>
    </w:p>
    <w:p w14:paraId="2A1A2485" w14:textId="77777777" w:rsidR="00B45F8C" w:rsidRPr="00626156" w:rsidRDefault="00B45F8C" w:rsidP="00626156">
      <w:pPr>
        <w:pStyle w:val="p1"/>
        <w:jc w:val="both"/>
        <w:rPr>
          <w:sz w:val="22"/>
          <w:szCs w:val="22"/>
        </w:rPr>
      </w:pPr>
    </w:p>
    <w:p w14:paraId="380244C1" w14:textId="7B91B676" w:rsidR="00B45F8C" w:rsidRPr="00626156" w:rsidRDefault="00B45F8C" w:rsidP="00626156">
      <w:pPr>
        <w:pStyle w:val="p1"/>
        <w:jc w:val="both"/>
        <w:rPr>
          <w:sz w:val="22"/>
          <w:szCs w:val="22"/>
        </w:rPr>
      </w:pPr>
      <w:r w:rsidRPr="00626156">
        <w:rPr>
          <w:sz w:val="22"/>
          <w:szCs w:val="22"/>
        </w:rPr>
        <w:t>According to current regulations, especially Law 115 of 1994 and Decree 1965 of 2019,</w:t>
      </w:r>
      <w:r w:rsidR="00CF09CC">
        <w:rPr>
          <w:rStyle w:val="FootnoteReference"/>
          <w:sz w:val="22"/>
          <w:szCs w:val="22"/>
        </w:rPr>
        <w:footnoteReference w:id="31"/>
      </w:r>
      <w:r w:rsidRPr="00626156">
        <w:rPr>
          <w:sz w:val="22"/>
          <w:szCs w:val="22"/>
        </w:rPr>
        <w:t xml:space="preserve"> each educational institution must have a Coexistence Manual developed collectively with students, families, teachers and administrators. This document defines the routes for dealing with conflict situations and promotes strategies for the prevention and care of substance </w:t>
      </w:r>
      <w:r w:rsidR="0021614D">
        <w:rPr>
          <w:sz w:val="22"/>
          <w:szCs w:val="22"/>
        </w:rPr>
        <w:t>use</w:t>
      </w:r>
      <w:r w:rsidRPr="00626156">
        <w:rPr>
          <w:sz w:val="22"/>
          <w:szCs w:val="22"/>
        </w:rPr>
        <w:t>.</w:t>
      </w:r>
      <w:r w:rsidR="0021614D">
        <w:rPr>
          <w:rStyle w:val="FootnoteReference"/>
          <w:sz w:val="22"/>
          <w:szCs w:val="22"/>
        </w:rPr>
        <w:footnoteReference w:id="32"/>
      </w:r>
      <w:r w:rsidRPr="00626156">
        <w:rPr>
          <w:sz w:val="22"/>
          <w:szCs w:val="22"/>
        </w:rPr>
        <w:t xml:space="preserve"> According to the Law of Coexistence, situations in the school environment are classified into three types of routes. The most serious is Route 3, which refers to critical incidents that represent a risk to the physical or emotional integrity of students, such as sexual abuse, serious physical aggression or the carrying of weapons, and puts the use of substances in the same place. Within this Act, there is no reference to or adequacy of harm reduction or the new drug policy. These situations should be referred to authorities such as the police. When there is a violation of the law, the police and ICBF </w:t>
      </w:r>
      <w:proofErr w:type="gramStart"/>
      <w:r w:rsidRPr="00626156">
        <w:rPr>
          <w:sz w:val="22"/>
          <w:szCs w:val="22"/>
        </w:rPr>
        <w:t>have to</w:t>
      </w:r>
      <w:proofErr w:type="gramEnd"/>
      <w:r w:rsidRPr="00626156">
        <w:rPr>
          <w:sz w:val="22"/>
          <w:szCs w:val="22"/>
        </w:rPr>
        <w:t xml:space="preserve"> be involved.</w:t>
      </w:r>
      <w:r w:rsidR="0021614D">
        <w:rPr>
          <w:rStyle w:val="FootnoteReference"/>
          <w:sz w:val="22"/>
          <w:szCs w:val="22"/>
        </w:rPr>
        <w:footnoteReference w:id="33"/>
      </w:r>
    </w:p>
    <w:p w14:paraId="277E2A84" w14:textId="77777777" w:rsidR="004D2999" w:rsidRPr="00626156" w:rsidRDefault="004D2999" w:rsidP="00626156">
      <w:pPr>
        <w:pStyle w:val="p1"/>
        <w:jc w:val="both"/>
        <w:rPr>
          <w:sz w:val="22"/>
          <w:szCs w:val="22"/>
        </w:rPr>
      </w:pPr>
    </w:p>
    <w:p w14:paraId="2917491D" w14:textId="173B87C2" w:rsidR="00B45F8C" w:rsidRPr="00626156" w:rsidRDefault="00B45F8C" w:rsidP="00626156">
      <w:pPr>
        <w:pStyle w:val="p1"/>
        <w:jc w:val="both"/>
        <w:rPr>
          <w:sz w:val="22"/>
          <w:szCs w:val="22"/>
        </w:rPr>
      </w:pPr>
      <w:r w:rsidRPr="00626156">
        <w:rPr>
          <w:sz w:val="22"/>
          <w:szCs w:val="22"/>
        </w:rPr>
        <w:t xml:space="preserve">The police are a key </w:t>
      </w:r>
      <w:proofErr w:type="spellStart"/>
      <w:r w:rsidRPr="00626156">
        <w:rPr>
          <w:sz w:val="22"/>
          <w:szCs w:val="22"/>
        </w:rPr>
        <w:t>actor</w:t>
      </w:r>
      <w:proofErr w:type="spellEnd"/>
      <w:r w:rsidRPr="00626156">
        <w:rPr>
          <w:sz w:val="22"/>
          <w:szCs w:val="22"/>
        </w:rPr>
        <w:t xml:space="preserve"> in the cases reported. They carry out both apprehensions and </w:t>
      </w:r>
      <w:proofErr w:type="spellStart"/>
      <w:r w:rsidRPr="00626156">
        <w:rPr>
          <w:sz w:val="22"/>
          <w:szCs w:val="22"/>
        </w:rPr>
        <w:t>comparendos</w:t>
      </w:r>
      <w:proofErr w:type="spellEnd"/>
      <w:r w:rsidRPr="00626156">
        <w:rPr>
          <w:sz w:val="22"/>
          <w:szCs w:val="22"/>
        </w:rPr>
        <w:t xml:space="preserve">, in accordance with article 376 of the criminal code, and corrective measures in accordance with law 1801 of 2016, where the legal representative, parent or guardian signs the </w:t>
      </w:r>
      <w:proofErr w:type="spellStart"/>
      <w:r w:rsidRPr="00626156">
        <w:rPr>
          <w:sz w:val="22"/>
          <w:szCs w:val="22"/>
        </w:rPr>
        <w:t>comparendo</w:t>
      </w:r>
      <w:proofErr w:type="spellEnd"/>
      <w:r w:rsidRPr="00626156">
        <w:rPr>
          <w:sz w:val="22"/>
          <w:szCs w:val="22"/>
        </w:rPr>
        <w:t>. The police have a group for the protection of children and adolescents, regulated under different documents and standards, and they carry out prevention programmes in schools.</w:t>
      </w:r>
      <w:r w:rsidR="00F854F7">
        <w:rPr>
          <w:rStyle w:val="FootnoteReference"/>
          <w:sz w:val="22"/>
          <w:szCs w:val="22"/>
        </w:rPr>
        <w:footnoteReference w:id="34"/>
      </w:r>
      <w:r w:rsidRPr="00626156">
        <w:rPr>
          <w:sz w:val="22"/>
          <w:szCs w:val="22"/>
        </w:rPr>
        <w:t xml:space="preserve"> In an interview with a member of the police group, he mentioned that there is significant USAID funding for police training and policy implementation, and some of the workshops they receive are held in Bogotá or in the United States, under the direction of the US government.</w:t>
      </w:r>
      <w:r w:rsidR="00F854F7">
        <w:rPr>
          <w:rStyle w:val="FootnoteReference"/>
          <w:sz w:val="22"/>
          <w:szCs w:val="22"/>
        </w:rPr>
        <w:footnoteReference w:id="35"/>
      </w:r>
      <w:r w:rsidRPr="00626156">
        <w:rPr>
          <w:sz w:val="22"/>
          <w:szCs w:val="22"/>
        </w:rPr>
        <w:t xml:space="preserve"> This introduces a geopolitical component into the formulation of drug prevention and control strategies, which raises important questions about institutional and territorial sovereignty. At the same time, the lack of public funds, which are made up for by international cooperation funds, does not introduce the issue of harm and vulnerability reduction from a counter-narcotics and criminal justice perspective.</w:t>
      </w:r>
      <w:r w:rsidR="00F854F7">
        <w:rPr>
          <w:rStyle w:val="FootnoteReference"/>
          <w:sz w:val="22"/>
          <w:szCs w:val="22"/>
        </w:rPr>
        <w:footnoteReference w:id="36"/>
      </w:r>
      <w:r w:rsidRPr="00626156">
        <w:rPr>
          <w:sz w:val="22"/>
          <w:szCs w:val="22"/>
        </w:rPr>
        <w:t xml:space="preserve"> It is important to highlight that prevention of drug use through the police in schools is not an acceptable practice under international guidelines on this issue.</w:t>
      </w:r>
    </w:p>
    <w:p w14:paraId="5F6ACDE8" w14:textId="77777777" w:rsidR="00B45F8C" w:rsidRPr="00626156" w:rsidRDefault="00B45F8C" w:rsidP="00626156">
      <w:pPr>
        <w:pStyle w:val="p1"/>
        <w:jc w:val="both"/>
        <w:rPr>
          <w:sz w:val="22"/>
          <w:szCs w:val="22"/>
        </w:rPr>
      </w:pPr>
    </w:p>
    <w:p w14:paraId="44C38966" w14:textId="03C17FDE" w:rsidR="00B45F8C" w:rsidRPr="00626156" w:rsidRDefault="00B45F8C" w:rsidP="00626156">
      <w:pPr>
        <w:pStyle w:val="p1"/>
        <w:jc w:val="both"/>
        <w:rPr>
          <w:sz w:val="22"/>
          <w:szCs w:val="22"/>
        </w:rPr>
      </w:pPr>
      <w:r w:rsidRPr="00626156">
        <w:rPr>
          <w:sz w:val="22"/>
          <w:szCs w:val="22"/>
        </w:rPr>
        <w:t>In addition, the police response is not always effective: ‘there are no clear protocols, there is no coherence, there is no unity of criteria for dealing with drug use’,</w:t>
      </w:r>
      <w:r w:rsidR="00F854F7">
        <w:rPr>
          <w:rStyle w:val="FootnoteReference"/>
          <w:sz w:val="22"/>
          <w:szCs w:val="22"/>
        </w:rPr>
        <w:footnoteReference w:id="37"/>
      </w:r>
      <w:r w:rsidRPr="00626156">
        <w:rPr>
          <w:sz w:val="22"/>
          <w:szCs w:val="22"/>
        </w:rPr>
        <w:t xml:space="preserve"> which reflects the urgent need to strengthen institutional articulation, the need to remove the police from these spaces and the need to train educational staff in this area. In addition, teachers and principals who report the presence of drug dealers in their communities to the police claim to expose themselves to personal risks, including threats, for example, this was the case of a headmistress who received intimidation after reporting a drug dealer outside the school to the police.</w:t>
      </w:r>
      <w:r w:rsidR="00F854F7">
        <w:rPr>
          <w:rStyle w:val="FootnoteReference"/>
          <w:sz w:val="22"/>
          <w:szCs w:val="22"/>
        </w:rPr>
        <w:footnoteReference w:id="38"/>
      </w:r>
      <w:r w:rsidRPr="00626156">
        <w:rPr>
          <w:sz w:val="22"/>
          <w:szCs w:val="22"/>
        </w:rPr>
        <w:t xml:space="preserve"> This reinforces the perception of mistrust and mistrust of the police. This reinforces the perception of distrust as a collaboration between illegal actors and authorities.</w:t>
      </w:r>
    </w:p>
    <w:p w14:paraId="7DE5BE30" w14:textId="77777777" w:rsidR="00B45F8C" w:rsidRPr="00626156" w:rsidRDefault="00B45F8C" w:rsidP="00626156">
      <w:pPr>
        <w:pStyle w:val="p1"/>
        <w:jc w:val="both"/>
        <w:rPr>
          <w:sz w:val="22"/>
          <w:szCs w:val="22"/>
        </w:rPr>
      </w:pPr>
    </w:p>
    <w:p w14:paraId="26C2FED9" w14:textId="00CEE69A" w:rsidR="00B45F8C" w:rsidRPr="00626156" w:rsidRDefault="00B45F8C" w:rsidP="00626156">
      <w:pPr>
        <w:pStyle w:val="p1"/>
        <w:jc w:val="both"/>
        <w:rPr>
          <w:b/>
          <w:bCs/>
          <w:i/>
          <w:iCs/>
          <w:sz w:val="22"/>
          <w:szCs w:val="22"/>
        </w:rPr>
      </w:pPr>
      <w:r w:rsidRPr="00626156">
        <w:rPr>
          <w:b/>
          <w:bCs/>
          <w:i/>
          <w:iCs/>
          <w:sz w:val="22"/>
          <w:szCs w:val="22"/>
        </w:rPr>
        <w:t>B. Socio-economic inequalities, territories between war and peace and substance use</w:t>
      </w:r>
    </w:p>
    <w:p w14:paraId="7FE014FF" w14:textId="77777777" w:rsidR="00B45F8C" w:rsidRPr="00626156" w:rsidRDefault="00B45F8C" w:rsidP="00626156">
      <w:pPr>
        <w:pStyle w:val="p1"/>
        <w:jc w:val="both"/>
        <w:rPr>
          <w:sz w:val="22"/>
          <w:szCs w:val="22"/>
        </w:rPr>
      </w:pPr>
    </w:p>
    <w:p w14:paraId="7BDBF38A" w14:textId="0C01F560" w:rsidR="00B45F8C" w:rsidRPr="00626156" w:rsidRDefault="00B45F8C" w:rsidP="00626156">
      <w:pPr>
        <w:pStyle w:val="p1"/>
        <w:jc w:val="both"/>
        <w:rPr>
          <w:sz w:val="22"/>
          <w:szCs w:val="22"/>
        </w:rPr>
      </w:pPr>
      <w:r w:rsidRPr="00626156">
        <w:rPr>
          <w:sz w:val="22"/>
          <w:szCs w:val="22"/>
        </w:rPr>
        <w:t xml:space="preserve">A significant proportion of students come from families that were or are victims of the conflict, with experiences of displacement and precarious economic conditions. At least one educational institution reported the presence of students in welfare homes </w:t>
      </w:r>
      <w:proofErr w:type="gramStart"/>
      <w:r w:rsidRPr="00626156">
        <w:rPr>
          <w:sz w:val="22"/>
          <w:szCs w:val="22"/>
        </w:rPr>
        <w:t>as a result of</w:t>
      </w:r>
      <w:proofErr w:type="gramEnd"/>
      <w:r w:rsidRPr="00626156">
        <w:rPr>
          <w:sz w:val="22"/>
          <w:szCs w:val="22"/>
        </w:rPr>
        <w:t xml:space="preserve"> the loss of their parents in the context of the conflict.</w:t>
      </w:r>
      <w:r w:rsidR="00F854F7">
        <w:rPr>
          <w:rStyle w:val="FootnoteReference"/>
          <w:sz w:val="22"/>
          <w:szCs w:val="22"/>
        </w:rPr>
        <w:footnoteReference w:id="39"/>
      </w:r>
      <w:r w:rsidRPr="00626156">
        <w:rPr>
          <w:sz w:val="22"/>
          <w:szCs w:val="22"/>
        </w:rPr>
        <w:t xml:space="preserve"> A high prevalence of parents and caregivers linked to informal employment is also identified, meaning that children spend much of their time alone, increasing their vulnerability. The environments in which children who attend public schools grow up are also critical, for example, the two public schools visited are located next to the neighbourhood or social housing that has historically been identified as a place where drugs are </w:t>
      </w:r>
      <w:proofErr w:type="gramStart"/>
      <w:r w:rsidRPr="00626156">
        <w:rPr>
          <w:sz w:val="22"/>
          <w:szCs w:val="22"/>
        </w:rPr>
        <w:t>sold;</w:t>
      </w:r>
      <w:proofErr w:type="gramEnd"/>
      <w:r w:rsidRPr="00626156">
        <w:rPr>
          <w:sz w:val="22"/>
          <w:szCs w:val="22"/>
        </w:rPr>
        <w:t xml:space="preserve"> many of the children </w:t>
      </w:r>
      <w:proofErr w:type="gramStart"/>
      <w:r w:rsidRPr="00626156">
        <w:rPr>
          <w:sz w:val="22"/>
          <w:szCs w:val="22"/>
        </w:rPr>
        <w:t>there</w:t>
      </w:r>
      <w:proofErr w:type="gramEnd"/>
      <w:r w:rsidRPr="00626156">
        <w:rPr>
          <w:sz w:val="22"/>
          <w:szCs w:val="22"/>
        </w:rPr>
        <w:t xml:space="preserve"> study in these schools. In principle, then, they are very aggressive environments for children. In one of these public schools in Florence, a child had been used to sell drugs inside the school.</w:t>
      </w:r>
    </w:p>
    <w:p w14:paraId="00F92E2C" w14:textId="77777777" w:rsidR="00B45F8C" w:rsidRPr="00626156" w:rsidRDefault="00B45F8C" w:rsidP="00626156">
      <w:pPr>
        <w:pStyle w:val="p1"/>
        <w:jc w:val="both"/>
        <w:rPr>
          <w:sz w:val="22"/>
          <w:szCs w:val="22"/>
        </w:rPr>
      </w:pPr>
    </w:p>
    <w:p w14:paraId="5C480D3E" w14:textId="05B470E1" w:rsidR="00B45F8C" w:rsidRPr="00626156" w:rsidRDefault="00B45F8C" w:rsidP="00626156">
      <w:pPr>
        <w:pStyle w:val="p1"/>
        <w:jc w:val="both"/>
        <w:rPr>
          <w:sz w:val="22"/>
          <w:szCs w:val="22"/>
        </w:rPr>
      </w:pPr>
      <w:r w:rsidRPr="00626156">
        <w:rPr>
          <w:sz w:val="22"/>
          <w:szCs w:val="22"/>
        </w:rPr>
        <w:t>In rural areas, high levels of psychoactive substance use are associated with processes of family disintegration that date back to the time of the coca boom, which generated social and economic dynamics that negatively impacted the family fabric, for example, the migration of prostitution networks in these boom towns that also left many children at the mercy of abandonment.</w:t>
      </w:r>
      <w:r w:rsidR="00070E6E">
        <w:rPr>
          <w:rStyle w:val="FootnoteReference"/>
          <w:sz w:val="22"/>
          <w:szCs w:val="22"/>
        </w:rPr>
        <w:footnoteReference w:id="40"/>
      </w:r>
      <w:r w:rsidRPr="00626156">
        <w:rPr>
          <w:sz w:val="22"/>
          <w:szCs w:val="22"/>
        </w:rPr>
        <w:t xml:space="preserve"> This also shows the limits of the imposition of insurgent and state roles in rural territories, because despite the rules, social dynamics overflow these regulations.</w:t>
      </w:r>
    </w:p>
    <w:p w14:paraId="2C8D7156" w14:textId="77777777" w:rsidR="00B45F8C" w:rsidRPr="00626156" w:rsidRDefault="00B45F8C" w:rsidP="00626156">
      <w:pPr>
        <w:pStyle w:val="p1"/>
        <w:jc w:val="both"/>
        <w:rPr>
          <w:sz w:val="22"/>
          <w:szCs w:val="22"/>
        </w:rPr>
      </w:pPr>
    </w:p>
    <w:p w14:paraId="79B3732A" w14:textId="7EDAFC1C" w:rsidR="00B45F8C" w:rsidRPr="00626156" w:rsidRDefault="00B45F8C" w:rsidP="00626156">
      <w:pPr>
        <w:pStyle w:val="p1"/>
        <w:jc w:val="both"/>
        <w:rPr>
          <w:sz w:val="22"/>
          <w:szCs w:val="22"/>
        </w:rPr>
      </w:pPr>
      <w:r w:rsidRPr="00626156">
        <w:rPr>
          <w:sz w:val="22"/>
          <w:szCs w:val="22"/>
        </w:rPr>
        <w:t xml:space="preserve">It is important to highlight the role of families </w:t>
      </w:r>
      <w:proofErr w:type="gramStart"/>
      <w:r w:rsidRPr="00626156">
        <w:rPr>
          <w:sz w:val="22"/>
          <w:szCs w:val="22"/>
        </w:rPr>
        <w:t>in the midst of</w:t>
      </w:r>
      <w:proofErr w:type="gramEnd"/>
      <w:r w:rsidRPr="00626156">
        <w:rPr>
          <w:sz w:val="22"/>
          <w:szCs w:val="22"/>
        </w:rPr>
        <w:t xml:space="preserve"> the conflict, as teachers point out, as there is a predominance of families that have suffered the murder of a parent, which, in addition to the damage to mental health, leads to huge economic dependencies that isolate young people from their working parents.</w:t>
      </w:r>
      <w:r w:rsidR="00070E6E">
        <w:rPr>
          <w:rStyle w:val="FootnoteReference"/>
          <w:sz w:val="22"/>
          <w:szCs w:val="22"/>
        </w:rPr>
        <w:footnoteReference w:id="41"/>
      </w:r>
      <w:r w:rsidRPr="00626156">
        <w:rPr>
          <w:sz w:val="22"/>
          <w:szCs w:val="22"/>
        </w:rPr>
        <w:t xml:space="preserve"> Interviews indicate that substance use is often seen as normalised among some students, which has become a coping mechanism for personal problems. Many use substances, they argue, because of anxiety, depression, low self-esteem or family conflicts.</w:t>
      </w:r>
      <w:r w:rsidR="002A313F">
        <w:rPr>
          <w:rStyle w:val="FootnoteReference"/>
          <w:sz w:val="22"/>
          <w:szCs w:val="22"/>
        </w:rPr>
        <w:footnoteReference w:id="42"/>
      </w:r>
    </w:p>
    <w:p w14:paraId="69A0FE69" w14:textId="77777777" w:rsidR="00B45F8C" w:rsidRPr="00626156" w:rsidRDefault="00B45F8C" w:rsidP="00626156">
      <w:pPr>
        <w:pStyle w:val="p1"/>
        <w:jc w:val="both"/>
        <w:rPr>
          <w:sz w:val="22"/>
          <w:szCs w:val="22"/>
        </w:rPr>
      </w:pPr>
    </w:p>
    <w:p w14:paraId="04F586CB" w14:textId="49CDAAC8" w:rsidR="00B45F8C" w:rsidRPr="00626156" w:rsidRDefault="00B45F8C" w:rsidP="00626156">
      <w:pPr>
        <w:pStyle w:val="p1"/>
        <w:jc w:val="both"/>
        <w:rPr>
          <w:sz w:val="22"/>
          <w:szCs w:val="22"/>
        </w:rPr>
      </w:pPr>
      <w:r w:rsidRPr="00626156">
        <w:rPr>
          <w:sz w:val="22"/>
          <w:szCs w:val="22"/>
        </w:rPr>
        <w:t>The difficulties that families and schools have in talking about the issue with their children and students, not only about drug use but also about mental health, is a recurrent comment in the discussions. In the minutes of the coexistence committees reviewed, more than the issue of substance use, the main alarm is suicide attempts and completed suicides in the municipality.</w:t>
      </w:r>
      <w:r w:rsidR="004A6D6D">
        <w:rPr>
          <w:rStyle w:val="FootnoteReference"/>
          <w:sz w:val="22"/>
          <w:szCs w:val="22"/>
        </w:rPr>
        <w:footnoteReference w:id="43"/>
      </w:r>
      <w:r w:rsidRPr="00626156">
        <w:rPr>
          <w:sz w:val="22"/>
          <w:szCs w:val="22"/>
        </w:rPr>
        <w:t xml:space="preserve"> In several </w:t>
      </w:r>
      <w:r w:rsidRPr="00626156">
        <w:rPr>
          <w:sz w:val="22"/>
          <w:szCs w:val="22"/>
        </w:rPr>
        <w:lastRenderedPageBreak/>
        <w:t xml:space="preserve">educational institutions, school counsellors play a fundamental role in the psychosocial accompaniment of students, supporting young people who report personal difficulties and contributing to the prevention of the use of psychoactive substances. In the case of a public school visited in Florencia, initiatives in this area have been reported through the implementation of pedagogical strategies aimed at strengthening self-esteem, self-control and the construction of life projects. The harm and vulnerability reduction approach </w:t>
      </w:r>
      <w:proofErr w:type="gramStart"/>
      <w:r w:rsidRPr="00626156">
        <w:rPr>
          <w:sz w:val="22"/>
          <w:szCs w:val="22"/>
        </w:rPr>
        <w:t>is</w:t>
      </w:r>
      <w:proofErr w:type="gramEnd"/>
      <w:r w:rsidRPr="00626156">
        <w:rPr>
          <w:sz w:val="22"/>
          <w:szCs w:val="22"/>
        </w:rPr>
        <w:t xml:space="preserve"> still absent in these interventions.</w:t>
      </w:r>
      <w:r w:rsidR="004A6D6D">
        <w:rPr>
          <w:rStyle w:val="FootnoteReference"/>
          <w:sz w:val="22"/>
          <w:szCs w:val="22"/>
        </w:rPr>
        <w:footnoteReference w:id="44"/>
      </w:r>
    </w:p>
    <w:p w14:paraId="1C39812C" w14:textId="77777777" w:rsidR="004F50B3" w:rsidRPr="00626156" w:rsidRDefault="004F50B3" w:rsidP="00626156">
      <w:pPr>
        <w:pStyle w:val="p1"/>
        <w:jc w:val="both"/>
        <w:rPr>
          <w:sz w:val="22"/>
          <w:szCs w:val="22"/>
        </w:rPr>
      </w:pPr>
    </w:p>
    <w:p w14:paraId="24FADD1D" w14:textId="6F672B92" w:rsidR="004F50B3" w:rsidRPr="00626156" w:rsidRDefault="004F50B3" w:rsidP="00626156">
      <w:pPr>
        <w:pStyle w:val="p1"/>
        <w:jc w:val="both"/>
        <w:rPr>
          <w:sz w:val="22"/>
          <w:szCs w:val="22"/>
        </w:rPr>
      </w:pPr>
      <w:r w:rsidRPr="00626156">
        <w:rPr>
          <w:sz w:val="22"/>
          <w:szCs w:val="22"/>
        </w:rPr>
        <w:t xml:space="preserve">Educational institutions face structural constraints, especially due to a shortage of specialised staff. In the whole department, only 13 school counsellors are employed, which shows a significant gap in relation to the real needs of the public education system in this area. A key complaint of teachers is that there is only one school counsellor for a school of 2,000 students, in a conflict territory where approximately 50% of the students have been victims. </w:t>
      </w:r>
      <w:proofErr w:type="gramStart"/>
      <w:r w:rsidRPr="00626156">
        <w:rPr>
          <w:sz w:val="22"/>
          <w:szCs w:val="22"/>
        </w:rPr>
        <w:t>Thus</w:t>
      </w:r>
      <w:proofErr w:type="gramEnd"/>
      <w:r w:rsidRPr="00626156">
        <w:rPr>
          <w:sz w:val="22"/>
          <w:szCs w:val="22"/>
        </w:rPr>
        <w:t xml:space="preserve"> they do not have the tools to rigorously follow up on cases of mental health deterioration that occur in regional public schools.</w:t>
      </w:r>
      <w:r w:rsidR="0060148B">
        <w:rPr>
          <w:rStyle w:val="FootnoteReference"/>
          <w:sz w:val="22"/>
          <w:szCs w:val="22"/>
        </w:rPr>
        <w:footnoteReference w:id="45"/>
      </w:r>
      <w:r w:rsidR="0060148B">
        <w:rPr>
          <w:sz w:val="22"/>
          <w:szCs w:val="22"/>
        </w:rPr>
        <w:t xml:space="preserve"> </w:t>
      </w:r>
      <w:r w:rsidRPr="00626156">
        <w:rPr>
          <w:sz w:val="22"/>
          <w:szCs w:val="22"/>
        </w:rPr>
        <w:t>This situation constitutes a structural neglect that limits the guarantee of the right to a comprehensive and safe education. The</w:t>
      </w:r>
      <w:r w:rsidR="00070E6E">
        <w:rPr>
          <w:sz w:val="22"/>
          <w:szCs w:val="22"/>
        </w:rPr>
        <w:t xml:space="preserve"> </w:t>
      </w:r>
      <w:r w:rsidRPr="00626156">
        <w:rPr>
          <w:sz w:val="22"/>
          <w:szCs w:val="22"/>
        </w:rPr>
        <w:t>preparation around the issue of substance use is also not a common denominator, while the pedagogical re-educator interviewed studied in one of the schools with the most experience with street dwellers, in general the psychology degree at the local university does not have a related class or subject, according to a graduate.</w:t>
      </w:r>
      <w:r w:rsidR="0060148B">
        <w:rPr>
          <w:rStyle w:val="FootnoteReference"/>
          <w:sz w:val="22"/>
          <w:szCs w:val="22"/>
        </w:rPr>
        <w:footnoteReference w:id="46"/>
      </w:r>
      <w:r w:rsidRPr="00626156">
        <w:rPr>
          <w:sz w:val="22"/>
          <w:szCs w:val="22"/>
        </w:rPr>
        <w:t xml:space="preserve"> There is no preparation or training in the emphasis of harm and vulnerability reduction, and in an environment of enormous crisis, consumption is seen as an eminent mental health issue.</w:t>
      </w:r>
    </w:p>
    <w:p w14:paraId="1B810626" w14:textId="77777777" w:rsidR="004F50B3" w:rsidRPr="00626156" w:rsidRDefault="004F50B3" w:rsidP="00626156">
      <w:pPr>
        <w:pStyle w:val="p1"/>
        <w:jc w:val="both"/>
        <w:rPr>
          <w:sz w:val="22"/>
          <w:szCs w:val="22"/>
        </w:rPr>
      </w:pPr>
    </w:p>
    <w:p w14:paraId="5BE4E3FC" w14:textId="49A78928" w:rsidR="004F50B3" w:rsidRDefault="004F50B3" w:rsidP="00626156">
      <w:pPr>
        <w:pStyle w:val="p1"/>
        <w:jc w:val="both"/>
        <w:rPr>
          <w:sz w:val="22"/>
          <w:szCs w:val="22"/>
        </w:rPr>
      </w:pPr>
      <w:r w:rsidRPr="00626156">
        <w:rPr>
          <w:sz w:val="22"/>
          <w:szCs w:val="22"/>
        </w:rPr>
        <w:t xml:space="preserve">In several public schools, the existence of gaps and limitations in information and prevention strategies for the consumption of psychoactive substances has been pointed out, </w:t>
      </w:r>
      <w:proofErr w:type="gramStart"/>
      <w:r w:rsidRPr="00626156">
        <w:rPr>
          <w:sz w:val="22"/>
          <w:szCs w:val="22"/>
        </w:rPr>
        <w:t>despite the fact that</w:t>
      </w:r>
      <w:proofErr w:type="gramEnd"/>
      <w:r w:rsidRPr="00626156">
        <w:rPr>
          <w:sz w:val="22"/>
          <w:szCs w:val="22"/>
        </w:rPr>
        <w:t xml:space="preserve"> there is significant curiosity as well as misinformation about this. None of the educators referred to having training on the new drug policy from the Ministry of Justice, Health or Education, or the issue of harm reduction or vulnerability reduction.</w:t>
      </w:r>
      <w:r w:rsidR="00244CFD">
        <w:rPr>
          <w:rStyle w:val="FootnoteReference"/>
          <w:sz w:val="22"/>
          <w:szCs w:val="22"/>
        </w:rPr>
        <w:footnoteReference w:id="47"/>
      </w:r>
      <w:r w:rsidRPr="00626156">
        <w:rPr>
          <w:sz w:val="22"/>
          <w:szCs w:val="22"/>
        </w:rPr>
        <w:t xml:space="preserve"> The same happens with the Ministry of Health or Education, the socialisations of the new policy had not transcended to more than the basic explanation but there are no clear, scientific and updated tools, regulations, protocols or contributions that serve the population, civil servants and entities on how to deal with this issue</w:t>
      </w:r>
      <w:r w:rsidRPr="00626156">
        <w:rPr>
          <w:sz w:val="22"/>
          <w:szCs w:val="22"/>
        </w:rPr>
        <w:t>.</w:t>
      </w:r>
      <w:r w:rsidR="000C022E">
        <w:rPr>
          <w:rStyle w:val="FootnoteReference"/>
          <w:sz w:val="22"/>
          <w:szCs w:val="22"/>
        </w:rPr>
        <w:footnoteReference w:id="48"/>
      </w:r>
    </w:p>
    <w:p w14:paraId="3A8FCFE6" w14:textId="7E4C6086" w:rsidR="000C022E" w:rsidRPr="000C022E" w:rsidRDefault="000C022E" w:rsidP="00626156">
      <w:pPr>
        <w:pStyle w:val="p1"/>
        <w:jc w:val="both"/>
        <w:rPr>
          <w:sz w:val="22"/>
          <w:szCs w:val="22"/>
          <w:lang w:val="es-ES"/>
        </w:rPr>
      </w:pPr>
      <w:r w:rsidRPr="000C022E">
        <w:rPr>
          <w:sz w:val="22"/>
          <w:szCs w:val="22"/>
          <w:lang w:val="es-ES"/>
        </w:rPr>
        <w:t xml:space="preserve"> </w:t>
      </w:r>
    </w:p>
    <w:p w14:paraId="1800B486" w14:textId="4F064DF5" w:rsidR="000C022E" w:rsidRPr="000C022E" w:rsidRDefault="000C022E" w:rsidP="00626156">
      <w:pPr>
        <w:pStyle w:val="p1"/>
        <w:jc w:val="both"/>
        <w:rPr>
          <w:sz w:val="22"/>
          <w:szCs w:val="22"/>
        </w:rPr>
      </w:pPr>
      <w:r w:rsidRPr="000C022E">
        <w:rPr>
          <w:sz w:val="22"/>
          <w:szCs w:val="22"/>
        </w:rPr>
        <w:t>An important development in schools is that expulsion is no longer a way to dissuade students from stopping drug use. These disagreements by some show a lack of clarity about the importance of dealing comprehensively with these cases, applying other forms of justice, such as restorative justice.</w:t>
      </w:r>
      <w:r>
        <w:rPr>
          <w:rStyle w:val="FootnoteReference"/>
          <w:sz w:val="22"/>
          <w:szCs w:val="22"/>
          <w:lang w:val="es-ES"/>
        </w:rPr>
        <w:footnoteReference w:id="49"/>
      </w:r>
      <w:r w:rsidRPr="000C022E">
        <w:rPr>
          <w:sz w:val="22"/>
          <w:szCs w:val="22"/>
        </w:rPr>
        <w:t xml:space="preserve"> Keeping children and young people in the education system, rather than excluding or marginalising them, not only guarantees their right to education, but can reduce the likelihood of them sliding into problem use. The family is a key </w:t>
      </w:r>
      <w:proofErr w:type="spellStart"/>
      <w:r w:rsidRPr="000C022E">
        <w:rPr>
          <w:sz w:val="22"/>
          <w:szCs w:val="22"/>
        </w:rPr>
        <w:t>actor</w:t>
      </w:r>
      <w:proofErr w:type="spellEnd"/>
      <w:r w:rsidRPr="000C022E">
        <w:rPr>
          <w:sz w:val="22"/>
          <w:szCs w:val="22"/>
        </w:rPr>
        <w:t xml:space="preserve"> in the discussion, which is seen as the place where substance use can best be prevented or informed.</w:t>
      </w:r>
      <w:r w:rsidRPr="000C022E">
        <w:rPr>
          <w:sz w:val="22"/>
          <w:szCs w:val="22"/>
          <w:vertAlign w:val="superscript"/>
        </w:rPr>
        <w:t>50</w:t>
      </w:r>
      <w:r w:rsidRPr="000C022E">
        <w:rPr>
          <w:sz w:val="22"/>
          <w:szCs w:val="22"/>
        </w:rPr>
        <w:t xml:space="preserve"> The family is a key </w:t>
      </w:r>
      <w:proofErr w:type="spellStart"/>
      <w:r w:rsidRPr="000C022E">
        <w:rPr>
          <w:sz w:val="22"/>
          <w:szCs w:val="22"/>
        </w:rPr>
        <w:t>actor</w:t>
      </w:r>
      <w:proofErr w:type="spellEnd"/>
      <w:r w:rsidRPr="000C022E">
        <w:rPr>
          <w:sz w:val="22"/>
          <w:szCs w:val="22"/>
        </w:rPr>
        <w:t xml:space="preserve"> in the discussion, which is seen as the place where substance use can best be prevented or informed.</w:t>
      </w:r>
      <w:r>
        <w:rPr>
          <w:rStyle w:val="FootnoteReference"/>
          <w:sz w:val="22"/>
          <w:szCs w:val="22"/>
          <w:lang w:val="es-ES"/>
        </w:rPr>
        <w:footnoteReference w:id="50"/>
      </w:r>
      <w:r w:rsidRPr="000C022E">
        <w:rPr>
          <w:sz w:val="22"/>
          <w:szCs w:val="22"/>
        </w:rPr>
        <w:t xml:space="preserve"> However, neither at school nor in the family is the issue being dealt with in a non-stigmatising or scientific way.</w:t>
      </w:r>
    </w:p>
    <w:p w14:paraId="52B38B01" w14:textId="77777777" w:rsidR="00A713D8" w:rsidRPr="000C022E" w:rsidRDefault="00A713D8" w:rsidP="00626156">
      <w:pPr>
        <w:pStyle w:val="p1"/>
        <w:jc w:val="both"/>
        <w:rPr>
          <w:sz w:val="22"/>
          <w:szCs w:val="22"/>
        </w:rPr>
      </w:pPr>
    </w:p>
    <w:p w14:paraId="571CD52B" w14:textId="3FBBB95E" w:rsidR="00A713D8" w:rsidRPr="00626156" w:rsidRDefault="00A713D8" w:rsidP="00626156">
      <w:pPr>
        <w:pStyle w:val="p1"/>
        <w:jc w:val="both"/>
        <w:rPr>
          <w:sz w:val="22"/>
          <w:szCs w:val="22"/>
        </w:rPr>
      </w:pPr>
      <w:r w:rsidRPr="00626156">
        <w:rPr>
          <w:sz w:val="22"/>
          <w:szCs w:val="22"/>
        </w:rPr>
        <w:lastRenderedPageBreak/>
        <w:t>Villages have enormous difficulties with public investment, known in Colombia as 5th or 6th category, which restricts access to the budget and management capacity to which it is granted, mainly to local authorities such as the mayor. This hinders investment in infrastructure for all, specifically for young people, which violates their right to cultural participation, recreation, access to information and informed decision-making, with information on substance use and access to care. It also involves criticism of the type of state presence in these regions, which is based on indicators that prioritise a minor project and a very specific number of beneficiaries, and do not focus on truly public works with a greater impact. The teachers add that it should not necessarily be infrastructure but also cultural or artistic promotion.</w:t>
      </w:r>
      <w:r w:rsidRPr="00626156">
        <w:rPr>
          <w:sz w:val="22"/>
          <w:szCs w:val="22"/>
        </w:rPr>
        <w:t xml:space="preserve"> </w:t>
      </w:r>
      <w:r w:rsidRPr="00626156">
        <w:rPr>
          <w:sz w:val="22"/>
          <w:szCs w:val="22"/>
        </w:rPr>
        <w:t>Such spaces are lacking in the villages of the department. The emphasis of teachers continues to be on the construction of positive values and identities as a tool to avoid consumption, and less on harm reduction and information for parents, schools and young people in decision-making. The issue of access to substances is approached from the perspective of delinquency, given the illegalised and criminal dynamics in which micro-trafficking is maintained, exposing young people to other forms of violence, such as robbery, abuse or deception.</w:t>
      </w:r>
    </w:p>
    <w:p w14:paraId="1DC20053" w14:textId="77777777" w:rsidR="00A713D8" w:rsidRPr="00626156" w:rsidRDefault="00A713D8" w:rsidP="00626156">
      <w:pPr>
        <w:pStyle w:val="p1"/>
        <w:jc w:val="both"/>
        <w:rPr>
          <w:sz w:val="22"/>
          <w:szCs w:val="22"/>
        </w:rPr>
      </w:pPr>
    </w:p>
    <w:p w14:paraId="47969478" w14:textId="260AAE8A" w:rsidR="00A713D8" w:rsidRPr="00626156" w:rsidRDefault="00A713D8" w:rsidP="00874EB3">
      <w:pPr>
        <w:pStyle w:val="p1"/>
        <w:numPr>
          <w:ilvl w:val="0"/>
          <w:numId w:val="3"/>
        </w:numPr>
        <w:jc w:val="both"/>
        <w:rPr>
          <w:b/>
          <w:bCs/>
          <w:sz w:val="22"/>
          <w:szCs w:val="22"/>
        </w:rPr>
      </w:pPr>
      <w:r w:rsidRPr="00626156">
        <w:rPr>
          <w:b/>
          <w:bCs/>
          <w:sz w:val="22"/>
          <w:szCs w:val="22"/>
        </w:rPr>
        <w:t>Recommendations</w:t>
      </w:r>
      <w:r w:rsidR="003D5D9D">
        <w:rPr>
          <w:rStyle w:val="FootnoteReference"/>
          <w:b/>
          <w:bCs/>
          <w:sz w:val="22"/>
          <w:szCs w:val="22"/>
        </w:rPr>
        <w:footnoteReference w:id="51"/>
      </w:r>
    </w:p>
    <w:p w14:paraId="44E56F5C" w14:textId="77777777" w:rsidR="00A713D8" w:rsidRPr="00626156" w:rsidRDefault="00A713D8" w:rsidP="00626156">
      <w:pPr>
        <w:pStyle w:val="p1"/>
        <w:jc w:val="both"/>
        <w:rPr>
          <w:b/>
          <w:bCs/>
          <w:sz w:val="22"/>
          <w:szCs w:val="22"/>
        </w:rPr>
      </w:pPr>
    </w:p>
    <w:p w14:paraId="35496BC9" w14:textId="6AFCE4BD" w:rsidR="00A713D8" w:rsidRPr="00626156" w:rsidRDefault="00A713D8" w:rsidP="00626156">
      <w:pPr>
        <w:pStyle w:val="p1"/>
        <w:jc w:val="both"/>
        <w:rPr>
          <w:sz w:val="22"/>
          <w:szCs w:val="22"/>
        </w:rPr>
      </w:pPr>
      <w:r w:rsidRPr="00626156">
        <w:rPr>
          <w:sz w:val="22"/>
          <w:szCs w:val="22"/>
        </w:rPr>
        <w:t xml:space="preserve">The restricted guarantee of economic, social and cultural rights of families, substance users and young people in contexts of reconfiguration or conflict transition increases the risk of problematic and risky relationships in school environments with psychoactive substances under the prohibitionist regime. Therefore, </w:t>
      </w:r>
      <w:proofErr w:type="gramStart"/>
      <w:r w:rsidRPr="00626156">
        <w:rPr>
          <w:sz w:val="22"/>
          <w:szCs w:val="22"/>
        </w:rPr>
        <w:t>in order to</w:t>
      </w:r>
      <w:proofErr w:type="gramEnd"/>
      <w:r w:rsidRPr="00626156">
        <w:rPr>
          <w:sz w:val="22"/>
          <w:szCs w:val="22"/>
        </w:rPr>
        <w:t xml:space="preserve"> improve the life projects and treatment of these cases in schools, the following is important for the institutions and public bodies in these contexts:</w:t>
      </w:r>
    </w:p>
    <w:p w14:paraId="69B05B84" w14:textId="77777777" w:rsidR="00A713D8" w:rsidRPr="00626156" w:rsidRDefault="00A713D8" w:rsidP="00626156">
      <w:pPr>
        <w:pStyle w:val="p1"/>
        <w:jc w:val="both"/>
        <w:rPr>
          <w:sz w:val="22"/>
          <w:szCs w:val="22"/>
        </w:rPr>
      </w:pPr>
    </w:p>
    <w:p w14:paraId="6560B894" w14:textId="5AE393D1" w:rsidR="00A713D8" w:rsidRDefault="003B5420" w:rsidP="00626156">
      <w:pPr>
        <w:pStyle w:val="p1"/>
        <w:numPr>
          <w:ilvl w:val="0"/>
          <w:numId w:val="2"/>
        </w:numPr>
        <w:jc w:val="both"/>
        <w:rPr>
          <w:sz w:val="22"/>
          <w:szCs w:val="22"/>
        </w:rPr>
      </w:pPr>
      <w:r w:rsidRPr="00626156">
        <w:rPr>
          <w:sz w:val="22"/>
          <w:szCs w:val="22"/>
        </w:rPr>
        <w:t>It is necessary to offer more conceptual tools, regulations, protocols and budgets to territorial entities adjusted to the principles of harm and vulnerability reduction in school environments, and not remain limited to sporadic campaigns, not aligned to drug policy, which do not have a real impact. There is a clear willingness, effort and concern of officials, teachers, students, schools and committees to understand and contribute to better solutions even without tools; the discussion on harm reduction is urgent and must be adjusted to territorial actors, situations and desires.</w:t>
      </w:r>
    </w:p>
    <w:p w14:paraId="647C0EC6" w14:textId="77777777" w:rsidR="00AE2555" w:rsidRPr="00626156" w:rsidRDefault="00AE2555" w:rsidP="00AE2555">
      <w:pPr>
        <w:pStyle w:val="p1"/>
        <w:ind w:left="720"/>
        <w:jc w:val="both"/>
        <w:rPr>
          <w:sz w:val="22"/>
          <w:szCs w:val="22"/>
        </w:rPr>
      </w:pPr>
    </w:p>
    <w:p w14:paraId="165454CD" w14:textId="6A0C0D0F" w:rsidR="003B5420" w:rsidRDefault="003B5420" w:rsidP="00626156">
      <w:pPr>
        <w:pStyle w:val="p1"/>
        <w:numPr>
          <w:ilvl w:val="0"/>
          <w:numId w:val="2"/>
        </w:numPr>
        <w:jc w:val="both"/>
        <w:rPr>
          <w:sz w:val="22"/>
          <w:szCs w:val="22"/>
        </w:rPr>
      </w:pPr>
      <w:r w:rsidRPr="00626156">
        <w:rPr>
          <w:sz w:val="22"/>
          <w:szCs w:val="22"/>
        </w:rPr>
        <w:t>Situations of drug use in school settings can be addressed by overcoming the crisis of primary health care, strengthening educational environments and stopping the over-criminalisation of youth, with a state committed to territorial transformation in the post-conflict era. The police are not an adequate actor to address these situations.</w:t>
      </w:r>
    </w:p>
    <w:p w14:paraId="69DE8E42" w14:textId="77777777" w:rsidR="00AE2555" w:rsidRDefault="00AE2555" w:rsidP="00AE2555">
      <w:pPr>
        <w:pStyle w:val="ListParagraph"/>
        <w:rPr>
          <w:sz w:val="22"/>
          <w:szCs w:val="22"/>
        </w:rPr>
      </w:pPr>
    </w:p>
    <w:p w14:paraId="0C1972E0" w14:textId="7433598E" w:rsidR="003B5420" w:rsidRPr="00626156" w:rsidRDefault="003B5420" w:rsidP="00626156">
      <w:pPr>
        <w:pStyle w:val="p1"/>
        <w:numPr>
          <w:ilvl w:val="0"/>
          <w:numId w:val="2"/>
        </w:numPr>
        <w:jc w:val="both"/>
        <w:rPr>
          <w:sz w:val="22"/>
          <w:szCs w:val="22"/>
        </w:rPr>
      </w:pPr>
      <w:r w:rsidRPr="00626156">
        <w:rPr>
          <w:sz w:val="22"/>
          <w:szCs w:val="22"/>
        </w:rPr>
        <w:t>Deepen research on the links between the conflict and the use of psychoactive substances in the post-conflict period, including phenomena such as forced recruitment, mental health affectations derived from violence, the involvement of young people in illegalised economies, and the discriminatory criminal practices exercised by armed actors. Strengthen continuous and adapted follow-up and monitoring mechanisms to better understand post-conflict statistics and territorial contexts.</w:t>
      </w:r>
    </w:p>
    <w:p w14:paraId="741149EF" w14:textId="77777777" w:rsidR="00AE2555" w:rsidRDefault="00AE2555" w:rsidP="00AE2555">
      <w:pPr>
        <w:pStyle w:val="p1"/>
        <w:ind w:left="720"/>
        <w:jc w:val="both"/>
        <w:rPr>
          <w:sz w:val="22"/>
          <w:szCs w:val="22"/>
        </w:rPr>
      </w:pPr>
    </w:p>
    <w:p w14:paraId="691109E6" w14:textId="2F4E90AF" w:rsidR="003B5420" w:rsidRPr="00626156" w:rsidRDefault="003B5420" w:rsidP="00626156">
      <w:pPr>
        <w:pStyle w:val="p1"/>
        <w:numPr>
          <w:ilvl w:val="0"/>
          <w:numId w:val="2"/>
        </w:numPr>
        <w:jc w:val="both"/>
        <w:rPr>
          <w:sz w:val="22"/>
          <w:szCs w:val="22"/>
        </w:rPr>
      </w:pPr>
      <w:r w:rsidRPr="00626156">
        <w:rPr>
          <w:sz w:val="22"/>
          <w:szCs w:val="22"/>
        </w:rPr>
        <w:t>Public schools in conflict territories need to improve in terms of more teachers, more counsellors and more training on mental health and substance use risk and harm reduction with better pedagogical, scientific and evidence-based tools for their work. This also applies to thinking about the mental health of families, young people and even teachers.</w:t>
      </w:r>
    </w:p>
    <w:p w14:paraId="16723A47" w14:textId="77777777" w:rsidR="00AE2555" w:rsidRDefault="00AE2555" w:rsidP="00AE2555">
      <w:pPr>
        <w:pStyle w:val="p1"/>
        <w:ind w:left="720"/>
        <w:jc w:val="both"/>
        <w:rPr>
          <w:sz w:val="22"/>
          <w:szCs w:val="22"/>
        </w:rPr>
      </w:pPr>
    </w:p>
    <w:p w14:paraId="3BCF6F58" w14:textId="564E5726" w:rsidR="003B5420" w:rsidRPr="00626156" w:rsidRDefault="003B5420" w:rsidP="00626156">
      <w:pPr>
        <w:pStyle w:val="p1"/>
        <w:numPr>
          <w:ilvl w:val="0"/>
          <w:numId w:val="2"/>
        </w:numPr>
        <w:jc w:val="both"/>
        <w:rPr>
          <w:sz w:val="22"/>
          <w:szCs w:val="22"/>
        </w:rPr>
      </w:pPr>
      <w:r w:rsidRPr="00626156">
        <w:rPr>
          <w:sz w:val="22"/>
          <w:szCs w:val="22"/>
        </w:rPr>
        <w:lastRenderedPageBreak/>
        <w:t>It is recommended to increase and focus public investment in the territories in transition to peace, especially in relation to attention to the consumption of psychoactive substances, in compliance with point 4 of the Peace Agreement. Funding should go beyond the state's operational minimum and be directed towards works and initiatives that transform the daily lives of young people, strengthening schools, as well as artistic, sporting and cultural spaces, which are essential for peacebuilding and the guarantee of rights in these historically marginalised regions.</w:t>
      </w:r>
    </w:p>
    <w:p w14:paraId="262814C8" w14:textId="77777777" w:rsidR="00AE2555" w:rsidRDefault="00AE2555" w:rsidP="00AE2555">
      <w:pPr>
        <w:pStyle w:val="p1"/>
        <w:ind w:left="720"/>
        <w:jc w:val="both"/>
        <w:rPr>
          <w:sz w:val="22"/>
          <w:szCs w:val="22"/>
        </w:rPr>
      </w:pPr>
    </w:p>
    <w:p w14:paraId="4655E2E8" w14:textId="373277BB" w:rsidR="003B5420" w:rsidRPr="00626156" w:rsidRDefault="003B5420" w:rsidP="00626156">
      <w:pPr>
        <w:pStyle w:val="p1"/>
        <w:numPr>
          <w:ilvl w:val="0"/>
          <w:numId w:val="2"/>
        </w:numPr>
        <w:jc w:val="both"/>
        <w:rPr>
          <w:sz w:val="22"/>
          <w:szCs w:val="22"/>
        </w:rPr>
      </w:pPr>
      <w:r w:rsidRPr="00626156">
        <w:rPr>
          <w:sz w:val="22"/>
          <w:szCs w:val="22"/>
        </w:rPr>
        <w:t xml:space="preserve">Implement decentralised, evidence-based prevention, harm reduction and treatment strategies based on the recognition and participation of local actors and their dynamics, </w:t>
      </w:r>
      <w:proofErr w:type="gramStart"/>
      <w:r w:rsidRPr="00626156">
        <w:rPr>
          <w:sz w:val="22"/>
          <w:szCs w:val="22"/>
        </w:rPr>
        <w:t>taking into account</w:t>
      </w:r>
      <w:proofErr w:type="gramEnd"/>
      <w:r w:rsidRPr="00626156">
        <w:rPr>
          <w:sz w:val="22"/>
          <w:szCs w:val="22"/>
        </w:rPr>
        <w:t xml:space="preserve"> factors such as forced displacement, family breakdown, poverty and social exclusion. Young people and schools want to and should talk about harm reduction. To this end, it is useful to strengthen the strategies of School Guidance Zones, non-police spaces to talk about and get information on substance use.</w:t>
      </w:r>
    </w:p>
    <w:p w14:paraId="48CEA915" w14:textId="77777777" w:rsidR="00AE2555" w:rsidRDefault="00AE2555" w:rsidP="00AE2555">
      <w:pPr>
        <w:pStyle w:val="p1"/>
        <w:ind w:left="720"/>
        <w:jc w:val="both"/>
        <w:rPr>
          <w:sz w:val="22"/>
          <w:szCs w:val="22"/>
        </w:rPr>
      </w:pPr>
    </w:p>
    <w:p w14:paraId="12ABB189" w14:textId="6AB1F9F2" w:rsidR="003B5420" w:rsidRPr="00626156" w:rsidRDefault="003B5420" w:rsidP="00626156">
      <w:pPr>
        <w:pStyle w:val="p1"/>
        <w:numPr>
          <w:ilvl w:val="0"/>
          <w:numId w:val="2"/>
        </w:numPr>
        <w:jc w:val="both"/>
        <w:rPr>
          <w:sz w:val="22"/>
          <w:szCs w:val="22"/>
        </w:rPr>
      </w:pPr>
      <w:r w:rsidRPr="00626156">
        <w:rPr>
          <w:sz w:val="22"/>
          <w:szCs w:val="22"/>
        </w:rPr>
        <w:t>To back restorative and non-punitive responses in the school environment, which prioritise keeping students in the education system and giving them better tools so that their dreams and life projects can be-fulfilled.</w:t>
      </w:r>
    </w:p>
    <w:p w14:paraId="35E0793A" w14:textId="77777777" w:rsidR="00AE2555" w:rsidRDefault="00AE2555" w:rsidP="00AE2555">
      <w:pPr>
        <w:pStyle w:val="p1"/>
        <w:ind w:left="720"/>
        <w:jc w:val="both"/>
        <w:rPr>
          <w:sz w:val="22"/>
          <w:szCs w:val="22"/>
        </w:rPr>
      </w:pPr>
    </w:p>
    <w:p w14:paraId="4D400554" w14:textId="7CC53DCA" w:rsidR="00626156" w:rsidRPr="00626156" w:rsidRDefault="00626156" w:rsidP="00626156">
      <w:pPr>
        <w:pStyle w:val="p1"/>
        <w:numPr>
          <w:ilvl w:val="0"/>
          <w:numId w:val="2"/>
        </w:numPr>
        <w:jc w:val="both"/>
        <w:rPr>
          <w:sz w:val="22"/>
          <w:szCs w:val="22"/>
        </w:rPr>
      </w:pPr>
      <w:r w:rsidRPr="00626156">
        <w:rPr>
          <w:sz w:val="22"/>
          <w:szCs w:val="22"/>
        </w:rPr>
        <w:t>Promote educational, listening and care programmes on non-stigmatising psychoactive substances and alcohol, based on evidence and risk and harm reduction, in municipal or departmental committees, by public officials, by Catholic or evangelical churches, by private clinics or by parents. Family lives in these</w:t>
      </w:r>
      <w:r w:rsidRPr="00626156">
        <w:rPr>
          <w:sz w:val="22"/>
          <w:szCs w:val="22"/>
        </w:rPr>
        <w:t xml:space="preserve"> </w:t>
      </w:r>
      <w:r w:rsidRPr="00626156">
        <w:rPr>
          <w:sz w:val="22"/>
          <w:szCs w:val="22"/>
        </w:rPr>
        <w:t>departments are diverse and there must be alternatives adjusted to each of the religious, political, socio-economic, ethnic and spiritual convictions so that consumption is an issue that can be dealt with in a dignified, non-criminal or stigmatising way, in accordance with the life projects of the young people and families involved.</w:t>
      </w:r>
    </w:p>
    <w:p w14:paraId="6FABBAFD" w14:textId="77777777" w:rsidR="00AE2555" w:rsidRDefault="00AE2555" w:rsidP="00AE2555">
      <w:pPr>
        <w:pStyle w:val="p1"/>
        <w:ind w:left="720"/>
        <w:jc w:val="both"/>
        <w:rPr>
          <w:sz w:val="22"/>
          <w:szCs w:val="22"/>
        </w:rPr>
      </w:pPr>
    </w:p>
    <w:p w14:paraId="06E12832" w14:textId="7F976FDF" w:rsidR="00626156" w:rsidRPr="00626156" w:rsidRDefault="00626156" w:rsidP="00626156">
      <w:pPr>
        <w:pStyle w:val="p1"/>
        <w:numPr>
          <w:ilvl w:val="0"/>
          <w:numId w:val="2"/>
        </w:numPr>
        <w:jc w:val="both"/>
        <w:rPr>
          <w:sz w:val="22"/>
          <w:szCs w:val="22"/>
        </w:rPr>
      </w:pPr>
      <w:r w:rsidRPr="00626156">
        <w:rPr>
          <w:sz w:val="22"/>
          <w:szCs w:val="22"/>
        </w:rPr>
        <w:t>The Amazon is a territory with a diverse and very important indigenous population, and the Amazonian peoples have a fundamental importance in the regional culture. However, the ethnic issue is not part of regional or national agendas. It is important to include it in the analysis and approach to the consumption of psychoactive substances in territories in conflict and transition.</w:t>
      </w:r>
    </w:p>
    <w:p w14:paraId="4750B7D5" w14:textId="77777777" w:rsidR="00AE2555" w:rsidRDefault="00AE2555" w:rsidP="00AE2555">
      <w:pPr>
        <w:pStyle w:val="p1"/>
        <w:ind w:left="720"/>
        <w:jc w:val="both"/>
        <w:rPr>
          <w:sz w:val="22"/>
          <w:szCs w:val="22"/>
        </w:rPr>
      </w:pPr>
    </w:p>
    <w:p w14:paraId="5FD5E498" w14:textId="2A317B37" w:rsidR="00626156" w:rsidRPr="00626156" w:rsidRDefault="00626156" w:rsidP="00626156">
      <w:pPr>
        <w:pStyle w:val="p1"/>
        <w:numPr>
          <w:ilvl w:val="0"/>
          <w:numId w:val="2"/>
        </w:numPr>
        <w:jc w:val="both"/>
        <w:rPr>
          <w:sz w:val="22"/>
          <w:szCs w:val="22"/>
        </w:rPr>
      </w:pPr>
      <w:r w:rsidRPr="00626156">
        <w:rPr>
          <w:sz w:val="22"/>
          <w:szCs w:val="22"/>
        </w:rPr>
        <w:t>Overcome prohibitionist views of psychoactive substance markets and establish clear strategies to guarantee the rights of young substance users, improving their environments, where they are not exposed to the violence of drug policy and illegally regulated markets.</w:t>
      </w:r>
    </w:p>
    <w:p w14:paraId="4E4DB596" w14:textId="77777777" w:rsidR="003B5420" w:rsidRPr="00626156" w:rsidRDefault="003B5420" w:rsidP="00626156">
      <w:pPr>
        <w:pStyle w:val="p1"/>
        <w:jc w:val="both"/>
        <w:rPr>
          <w:sz w:val="22"/>
          <w:szCs w:val="22"/>
        </w:rPr>
      </w:pPr>
    </w:p>
    <w:p w14:paraId="19A973F3" w14:textId="77777777" w:rsidR="003B5420" w:rsidRPr="00626156" w:rsidRDefault="003B5420" w:rsidP="00626156">
      <w:pPr>
        <w:pStyle w:val="p1"/>
        <w:jc w:val="both"/>
        <w:rPr>
          <w:sz w:val="22"/>
          <w:szCs w:val="22"/>
        </w:rPr>
      </w:pPr>
    </w:p>
    <w:p w14:paraId="56F0675D" w14:textId="10D71A88" w:rsidR="003B5420" w:rsidRPr="00626156" w:rsidRDefault="00626156" w:rsidP="00626156">
      <w:pPr>
        <w:pStyle w:val="p1"/>
        <w:jc w:val="both"/>
        <w:rPr>
          <w:i/>
          <w:iCs/>
          <w:sz w:val="22"/>
          <w:szCs w:val="22"/>
        </w:rPr>
      </w:pPr>
      <w:r>
        <w:rPr>
          <w:i/>
          <w:iCs/>
          <w:sz w:val="22"/>
          <w:szCs w:val="22"/>
        </w:rPr>
        <w:t xml:space="preserve">Note that this translation has been made via </w:t>
      </w:r>
      <w:proofErr w:type="spellStart"/>
      <w:r>
        <w:rPr>
          <w:i/>
          <w:iCs/>
          <w:sz w:val="22"/>
          <w:szCs w:val="22"/>
        </w:rPr>
        <w:t>Deepl</w:t>
      </w:r>
      <w:proofErr w:type="spellEnd"/>
      <w:r>
        <w:rPr>
          <w:i/>
          <w:iCs/>
          <w:sz w:val="22"/>
          <w:szCs w:val="22"/>
        </w:rPr>
        <w:t xml:space="preserve"> and may therefore contain some errors. </w:t>
      </w:r>
      <w:r w:rsidR="00AE2555">
        <w:rPr>
          <w:i/>
          <w:iCs/>
          <w:sz w:val="22"/>
          <w:szCs w:val="22"/>
        </w:rPr>
        <w:t xml:space="preserve">Please refer to the original Spanish version if necessary. </w:t>
      </w:r>
    </w:p>
    <w:p w14:paraId="09D73DE1" w14:textId="77777777" w:rsidR="003B5420" w:rsidRPr="00626156" w:rsidRDefault="003B5420" w:rsidP="00626156">
      <w:pPr>
        <w:pStyle w:val="p1"/>
        <w:jc w:val="both"/>
        <w:rPr>
          <w:sz w:val="22"/>
          <w:szCs w:val="22"/>
        </w:rPr>
      </w:pPr>
    </w:p>
    <w:sectPr w:rsidR="003B5420" w:rsidRPr="006261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AF5B5" w14:textId="77777777" w:rsidR="00025EAC" w:rsidRDefault="00025EAC" w:rsidP="00626156">
      <w:r>
        <w:separator/>
      </w:r>
    </w:p>
  </w:endnote>
  <w:endnote w:type="continuationSeparator" w:id="0">
    <w:p w14:paraId="34D46F16" w14:textId="77777777" w:rsidR="00025EAC" w:rsidRDefault="00025EAC" w:rsidP="0062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E30D0" w14:textId="77777777" w:rsidR="00025EAC" w:rsidRDefault="00025EAC" w:rsidP="00626156">
      <w:r>
        <w:separator/>
      </w:r>
    </w:p>
  </w:footnote>
  <w:footnote w:type="continuationSeparator" w:id="0">
    <w:p w14:paraId="54305D90" w14:textId="77777777" w:rsidR="00025EAC" w:rsidRDefault="00025EAC" w:rsidP="00626156">
      <w:r>
        <w:continuationSeparator/>
      </w:r>
    </w:p>
  </w:footnote>
  <w:footnote w:id="1">
    <w:p w14:paraId="22082C5C" w14:textId="058672A4" w:rsidR="00626156" w:rsidRPr="00685D4F" w:rsidRDefault="00626156" w:rsidP="00626156">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Mary Ryder integrante de</w:t>
      </w:r>
      <w:r w:rsidRPr="00685D4F">
        <w:rPr>
          <w:i/>
          <w:iCs/>
          <w:sz w:val="18"/>
          <w:szCs w:val="18"/>
          <w:lang w:val="es-ES"/>
        </w:rPr>
        <w:t xml:space="preserve"> </w:t>
      </w:r>
      <w:proofErr w:type="spellStart"/>
      <w:r w:rsidRPr="00685D4F">
        <w:rPr>
          <w:i/>
          <w:iCs/>
          <w:sz w:val="18"/>
          <w:szCs w:val="18"/>
          <w:lang w:val="es-ES"/>
        </w:rPr>
        <w:t>Anyone’s</w:t>
      </w:r>
      <w:proofErr w:type="spellEnd"/>
      <w:r w:rsidRPr="00685D4F">
        <w:rPr>
          <w:i/>
          <w:iCs/>
          <w:sz w:val="18"/>
          <w:szCs w:val="18"/>
          <w:lang w:val="es-ES"/>
        </w:rPr>
        <w:t xml:space="preserve"> Child: </w:t>
      </w:r>
      <w:proofErr w:type="spellStart"/>
      <w:r w:rsidRPr="00685D4F">
        <w:rPr>
          <w:i/>
          <w:iCs/>
          <w:sz w:val="18"/>
          <w:szCs w:val="18"/>
          <w:lang w:val="es-ES"/>
        </w:rPr>
        <w:t>Families</w:t>
      </w:r>
      <w:proofErr w:type="spellEnd"/>
      <w:r w:rsidRPr="00685D4F">
        <w:rPr>
          <w:i/>
          <w:iCs/>
          <w:sz w:val="18"/>
          <w:szCs w:val="18"/>
          <w:lang w:val="es-ES"/>
        </w:rPr>
        <w:t xml:space="preserve"> </w:t>
      </w:r>
      <w:proofErr w:type="spellStart"/>
      <w:r w:rsidRPr="00685D4F">
        <w:rPr>
          <w:i/>
          <w:iCs/>
          <w:sz w:val="18"/>
          <w:szCs w:val="18"/>
          <w:lang w:val="es-ES"/>
        </w:rPr>
        <w:t>for</w:t>
      </w:r>
      <w:proofErr w:type="spellEnd"/>
      <w:r w:rsidRPr="00685D4F">
        <w:rPr>
          <w:i/>
          <w:iCs/>
          <w:sz w:val="18"/>
          <w:szCs w:val="18"/>
          <w:lang w:val="es-ES"/>
        </w:rPr>
        <w:t xml:space="preserve"> </w:t>
      </w:r>
      <w:proofErr w:type="spellStart"/>
      <w:r w:rsidRPr="00626156">
        <w:rPr>
          <w:i/>
          <w:iCs/>
          <w:sz w:val="18"/>
          <w:szCs w:val="18"/>
          <w:lang w:val="es-ES"/>
        </w:rPr>
        <w:t>Safer</w:t>
      </w:r>
      <w:proofErr w:type="spellEnd"/>
      <w:r w:rsidRPr="00626156">
        <w:rPr>
          <w:i/>
          <w:iCs/>
          <w:sz w:val="18"/>
          <w:szCs w:val="18"/>
          <w:lang w:val="es-ES"/>
        </w:rPr>
        <w:t xml:space="preserve"> </w:t>
      </w:r>
      <w:proofErr w:type="spellStart"/>
      <w:r w:rsidRPr="00626156">
        <w:rPr>
          <w:i/>
          <w:iCs/>
          <w:sz w:val="18"/>
          <w:szCs w:val="18"/>
          <w:lang w:val="es-ES"/>
        </w:rPr>
        <w:t>Drug</w:t>
      </w:r>
      <w:proofErr w:type="spellEnd"/>
      <w:r w:rsidRPr="00626156">
        <w:rPr>
          <w:i/>
          <w:iCs/>
          <w:sz w:val="18"/>
          <w:szCs w:val="18"/>
          <w:lang w:val="es-ES"/>
        </w:rPr>
        <w:t xml:space="preserve"> Control </w:t>
      </w:r>
      <w:r w:rsidRPr="00626156">
        <w:rPr>
          <w:sz w:val="18"/>
          <w:szCs w:val="18"/>
          <w:lang w:val="es-ES"/>
        </w:rPr>
        <w:t>(escritura), Estefanía Ciro (escritura y</w:t>
      </w:r>
      <w:r w:rsidRPr="00685D4F">
        <w:rPr>
          <w:sz w:val="18"/>
          <w:szCs w:val="18"/>
          <w:lang w:val="es-ES"/>
        </w:rPr>
        <w:t xml:space="preserve"> </w:t>
      </w:r>
      <w:r w:rsidRPr="00685D4F">
        <w:rPr>
          <w:sz w:val="18"/>
          <w:szCs w:val="18"/>
          <w:lang w:val="es-ES"/>
        </w:rPr>
        <w:t xml:space="preserve">trabajo de campo) y Salomón </w:t>
      </w:r>
      <w:proofErr w:type="spellStart"/>
      <w:r w:rsidRPr="00685D4F">
        <w:rPr>
          <w:sz w:val="18"/>
          <w:szCs w:val="18"/>
          <w:lang w:val="es-ES"/>
        </w:rPr>
        <w:t>Majbub</w:t>
      </w:r>
      <w:proofErr w:type="spellEnd"/>
      <w:r w:rsidRPr="00685D4F">
        <w:rPr>
          <w:sz w:val="18"/>
          <w:szCs w:val="18"/>
          <w:lang w:val="es-ES"/>
        </w:rPr>
        <w:t xml:space="preserve"> (trabajo de campo).</w:t>
      </w:r>
      <w:r w:rsidRPr="00685D4F">
        <w:rPr>
          <w:sz w:val="18"/>
          <w:szCs w:val="18"/>
          <w:lang w:val="es-ES"/>
        </w:rPr>
        <w:t xml:space="preserve"> </w:t>
      </w:r>
      <w:r w:rsidRPr="00626156">
        <w:rPr>
          <w:sz w:val="18"/>
          <w:szCs w:val="18"/>
          <w:lang w:val="es-ES"/>
        </w:rPr>
        <w:t>Todos hacen parte del equipo de política de drogas y</w:t>
      </w:r>
      <w:r w:rsidRPr="00685D4F">
        <w:rPr>
          <w:sz w:val="18"/>
          <w:szCs w:val="18"/>
          <w:lang w:val="es-ES"/>
        </w:rPr>
        <w:t xml:space="preserve"> </w:t>
      </w:r>
      <w:r w:rsidRPr="00626156">
        <w:rPr>
          <w:sz w:val="18"/>
          <w:szCs w:val="18"/>
          <w:lang w:val="es-ES"/>
        </w:rPr>
        <w:t xml:space="preserve">conflicto de </w:t>
      </w:r>
      <w:proofErr w:type="spellStart"/>
      <w:r w:rsidRPr="00626156">
        <w:rPr>
          <w:sz w:val="18"/>
          <w:szCs w:val="18"/>
          <w:lang w:val="es-ES"/>
        </w:rPr>
        <w:t>AlaOrillaDelRío</w:t>
      </w:r>
      <w:proofErr w:type="spellEnd"/>
      <w:r w:rsidRPr="00626156">
        <w:rPr>
          <w:sz w:val="18"/>
          <w:szCs w:val="18"/>
          <w:lang w:val="es-ES"/>
        </w:rPr>
        <w:t>.</w:t>
      </w:r>
    </w:p>
  </w:footnote>
  <w:footnote w:id="2">
    <w:p w14:paraId="257E878A" w14:textId="579C58BD" w:rsidR="00626156" w:rsidRPr="00685D4F" w:rsidRDefault="00626156" w:rsidP="00626156">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La Ley 30 de 1986, conocida como el Estatuto Nacional de Estupefacientes, establece la prohibición y sanción penal de</w:t>
      </w:r>
      <w:r w:rsidRPr="00685D4F">
        <w:rPr>
          <w:sz w:val="18"/>
          <w:szCs w:val="18"/>
          <w:lang w:val="es-ES"/>
        </w:rPr>
        <w:t xml:space="preserve"> </w:t>
      </w:r>
      <w:r w:rsidRPr="00626156">
        <w:rPr>
          <w:sz w:val="18"/>
          <w:szCs w:val="18"/>
          <w:lang w:val="es-ES"/>
        </w:rPr>
        <w:t>actividades relacionadas con la producción, fabricación, comercialización y tráfico de sustancias catalogadas como ilícitas en</w:t>
      </w:r>
      <w:r w:rsidRPr="00685D4F">
        <w:rPr>
          <w:sz w:val="18"/>
          <w:szCs w:val="18"/>
          <w:lang w:val="es-ES"/>
        </w:rPr>
        <w:t xml:space="preserve"> </w:t>
      </w:r>
      <w:r w:rsidRPr="00626156">
        <w:rPr>
          <w:sz w:val="18"/>
          <w:szCs w:val="18"/>
          <w:lang w:val="es-ES"/>
        </w:rPr>
        <w:t>Colombia</w:t>
      </w:r>
    </w:p>
  </w:footnote>
  <w:footnote w:id="3">
    <w:p w14:paraId="7382D534" w14:textId="4C8A5A90" w:rsidR="00AD79DB" w:rsidRPr="00685D4F" w:rsidRDefault="00AD79DB" w:rsidP="00AD79DB">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Gobierno Nacional de Colombia y FARC-EP. </w:t>
      </w:r>
      <w:r w:rsidRPr="00685D4F">
        <w:rPr>
          <w:i/>
          <w:iCs/>
          <w:sz w:val="18"/>
          <w:szCs w:val="18"/>
          <w:lang w:val="es-ES"/>
        </w:rPr>
        <w:t>Acuerdo Final para la Terminación del Conflicto y la Construcción de una Paz Estable</w:t>
      </w:r>
      <w:r w:rsidRPr="00685D4F">
        <w:rPr>
          <w:i/>
          <w:iCs/>
          <w:sz w:val="18"/>
          <w:szCs w:val="18"/>
          <w:lang w:val="es-ES"/>
        </w:rPr>
        <w:t xml:space="preserve"> </w:t>
      </w:r>
      <w:r w:rsidRPr="00AD79DB">
        <w:rPr>
          <w:i/>
          <w:iCs/>
          <w:sz w:val="18"/>
          <w:szCs w:val="18"/>
          <w:lang w:val="es-ES"/>
        </w:rPr>
        <w:t>y Duradera</w:t>
      </w:r>
      <w:r w:rsidRPr="00AD79DB">
        <w:rPr>
          <w:sz w:val="18"/>
          <w:szCs w:val="18"/>
          <w:lang w:val="es-ES"/>
        </w:rPr>
        <w:t xml:space="preserve">. Bogotá: Gobierno de Colombia, 2016. </w:t>
      </w:r>
      <w:hyperlink r:id="rId1" w:history="1">
        <w:r w:rsidRPr="00AD79DB">
          <w:rPr>
            <w:rStyle w:val="Hyperlink"/>
            <w:sz w:val="18"/>
            <w:szCs w:val="18"/>
            <w:lang w:val="es-ES"/>
          </w:rPr>
          <w:t>https://www.jep.gov.co/Documents/Acuerdo%20Final/Acuerdo%20Final.pdf</w:t>
        </w:r>
      </w:hyperlink>
      <w:r w:rsidRPr="00685D4F">
        <w:rPr>
          <w:sz w:val="18"/>
          <w:szCs w:val="18"/>
          <w:lang w:val="es-ES"/>
        </w:rPr>
        <w:t xml:space="preserve"> </w:t>
      </w:r>
    </w:p>
  </w:footnote>
  <w:footnote w:id="4">
    <w:p w14:paraId="60E68B1C" w14:textId="77777777" w:rsidR="00AD79DB" w:rsidRPr="00685D4F" w:rsidRDefault="00AD79DB" w:rsidP="00AD79DB">
      <w:pPr>
        <w:pStyle w:val="p1"/>
        <w:rPr>
          <w:sz w:val="18"/>
          <w:szCs w:val="18"/>
          <w:lang w:val="es-ES"/>
        </w:rPr>
      </w:pPr>
      <w:r w:rsidRPr="00685D4F">
        <w:rPr>
          <w:rStyle w:val="FootnoteReference"/>
          <w:sz w:val="18"/>
          <w:szCs w:val="18"/>
        </w:rPr>
        <w:footnoteRef/>
      </w:r>
      <w:r w:rsidRPr="00685D4F">
        <w:rPr>
          <w:sz w:val="18"/>
          <w:szCs w:val="18"/>
          <w:lang w:val="es-ES"/>
        </w:rPr>
        <w:t xml:space="preserve"> Comisión para el Esclarecimiento de la Verdad, la Convivencia y la No Repetición. </w:t>
      </w:r>
      <w:r w:rsidRPr="00685D4F">
        <w:rPr>
          <w:i/>
          <w:iCs/>
          <w:sz w:val="18"/>
          <w:szCs w:val="18"/>
          <w:lang w:val="es-ES"/>
        </w:rPr>
        <w:t xml:space="preserve">Hay futuro si hay verdad. Informe final. </w:t>
      </w:r>
      <w:r w:rsidRPr="00AD79DB">
        <w:rPr>
          <w:i/>
          <w:iCs/>
          <w:sz w:val="18"/>
          <w:szCs w:val="18"/>
          <w:lang w:val="es-ES"/>
        </w:rPr>
        <w:t>Hallazgos y recomendaciones de la Comisión de la Verdad de Colombia</w:t>
      </w:r>
      <w:r w:rsidRPr="00AD79DB">
        <w:rPr>
          <w:sz w:val="18"/>
          <w:szCs w:val="18"/>
          <w:lang w:val="es-ES"/>
        </w:rPr>
        <w:t>. Bogotá: Comisión de la Verdad, 2022, 672.</w:t>
      </w:r>
      <w:r w:rsidRPr="00685D4F">
        <w:rPr>
          <w:sz w:val="18"/>
          <w:szCs w:val="18"/>
          <w:lang w:val="es-ES"/>
        </w:rPr>
        <w:t xml:space="preserve"> </w:t>
      </w:r>
      <w:hyperlink r:id="rId2" w:history="1">
        <w:r w:rsidRPr="00AD79DB">
          <w:rPr>
            <w:rStyle w:val="Hyperlink"/>
            <w:sz w:val="18"/>
            <w:szCs w:val="18"/>
            <w:lang w:val="es-ES"/>
          </w:rPr>
          <w:t>https://www.comisiondelaverdad.co/sites/default/files/descargables/2022-08/FINAL%20CEV_HALLAZGOS_DIGITAL_2022.pdf</w:t>
        </w:r>
      </w:hyperlink>
      <w:r w:rsidRPr="00685D4F">
        <w:rPr>
          <w:sz w:val="18"/>
          <w:szCs w:val="18"/>
          <w:lang w:val="es-ES"/>
        </w:rPr>
        <w:t xml:space="preserve"> </w:t>
      </w:r>
    </w:p>
  </w:footnote>
  <w:footnote w:id="5">
    <w:p w14:paraId="1ACFCF31" w14:textId="4B4457C3" w:rsidR="00AD79DB" w:rsidRPr="00685D4F" w:rsidRDefault="00AD79DB" w:rsidP="00AD79DB">
      <w:pPr>
        <w:pStyle w:val="p1"/>
        <w:rPr>
          <w:sz w:val="18"/>
          <w:szCs w:val="18"/>
        </w:rPr>
      </w:pPr>
      <w:r w:rsidRPr="00685D4F">
        <w:rPr>
          <w:rStyle w:val="FootnoteReference"/>
          <w:sz w:val="18"/>
          <w:szCs w:val="18"/>
        </w:rPr>
        <w:footnoteRef/>
      </w:r>
      <w:r w:rsidRPr="00685D4F">
        <w:rPr>
          <w:sz w:val="18"/>
          <w:szCs w:val="18"/>
        </w:rPr>
        <w:t xml:space="preserve"> </w:t>
      </w:r>
      <w:r w:rsidRPr="00685D4F">
        <w:rPr>
          <w:sz w:val="18"/>
          <w:szCs w:val="18"/>
        </w:rPr>
        <w:t>Human Rights Council Fifty-fourth session 11 September–6 October 2023 Agenda item 3. “Promotion and protection of all</w:t>
      </w:r>
      <w:r w:rsidRPr="00685D4F">
        <w:rPr>
          <w:sz w:val="18"/>
          <w:szCs w:val="18"/>
        </w:rPr>
        <w:t xml:space="preserve"> </w:t>
      </w:r>
      <w:r w:rsidRPr="00AD79DB">
        <w:rPr>
          <w:sz w:val="18"/>
          <w:szCs w:val="18"/>
        </w:rPr>
        <w:t>human rights, civil, political, economic, social and cultural rights, including the right to development”</w:t>
      </w:r>
      <w:r w:rsidRPr="00685D4F">
        <w:rPr>
          <w:sz w:val="18"/>
          <w:szCs w:val="18"/>
        </w:rPr>
        <w:t xml:space="preserve">, </w:t>
      </w:r>
      <w:hyperlink r:id="rId3" w:history="1">
        <w:r w:rsidRPr="00AD79DB">
          <w:rPr>
            <w:rStyle w:val="Hyperlink"/>
            <w:sz w:val="18"/>
            <w:szCs w:val="18"/>
          </w:rPr>
          <w:t>https://documents.un.org/doc/undoc/gen/g23/156/03/pdf/g2315603.pdf</w:t>
        </w:r>
      </w:hyperlink>
      <w:r w:rsidRPr="00685D4F">
        <w:rPr>
          <w:sz w:val="18"/>
          <w:szCs w:val="18"/>
        </w:rPr>
        <w:t xml:space="preserve"> </w:t>
      </w:r>
    </w:p>
  </w:footnote>
  <w:footnote w:id="6">
    <w:p w14:paraId="50D886CA" w14:textId="6E087138" w:rsidR="00AD79DB" w:rsidRPr="00685D4F" w:rsidRDefault="00AD79DB" w:rsidP="00AD79DB">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Modelos de Zona de Orientación Escolar, ZOE. 2009. </w:t>
      </w:r>
      <w:r w:rsidRPr="00685D4F">
        <w:rPr>
          <w:sz w:val="18"/>
          <w:szCs w:val="18"/>
          <w:lang w:val="es-ES"/>
        </w:rPr>
        <w:t>M</w:t>
      </w:r>
      <w:r w:rsidRPr="00685D4F">
        <w:rPr>
          <w:sz w:val="18"/>
          <w:szCs w:val="18"/>
          <w:lang w:val="es-ES"/>
        </w:rPr>
        <w:t>inisterio de Protección Social y Corporación Viviendo.</w:t>
      </w:r>
      <w:r w:rsidRPr="00685D4F">
        <w:rPr>
          <w:sz w:val="18"/>
          <w:szCs w:val="18"/>
          <w:lang w:val="es-ES"/>
        </w:rPr>
        <w:t xml:space="preserve"> </w:t>
      </w:r>
      <w:hyperlink r:id="rId4" w:history="1">
        <w:r w:rsidR="003E52F3" w:rsidRPr="00AD79DB">
          <w:rPr>
            <w:rStyle w:val="Hyperlink"/>
            <w:sz w:val="18"/>
            <w:szCs w:val="18"/>
            <w:lang w:val="es-ES"/>
          </w:rPr>
          <w:t>https://www.minsalud.gov.co/sites/rid/Lists/BibliotecaDigital/RIDE/VS/PP/ENT/3cartilla-participante-lineamientos-zoe.pdf</w:t>
        </w:r>
      </w:hyperlink>
      <w:r w:rsidRPr="00AD79DB">
        <w:rPr>
          <w:sz w:val="18"/>
          <w:szCs w:val="18"/>
          <w:lang w:val="es-ES"/>
        </w:rPr>
        <w:t>;</w:t>
      </w:r>
      <w:r w:rsidRPr="00685D4F">
        <w:rPr>
          <w:sz w:val="18"/>
          <w:szCs w:val="18"/>
          <w:lang w:val="es-ES"/>
        </w:rPr>
        <w:t xml:space="preserve"> </w:t>
      </w:r>
      <w:r w:rsidRPr="00AD79DB">
        <w:rPr>
          <w:sz w:val="18"/>
          <w:szCs w:val="18"/>
          <w:lang w:val="es-ES"/>
        </w:rPr>
        <w:t>2007. Ministerio de Salud. Lineamientos para crear Zonas de Orientación Escolar</w:t>
      </w:r>
      <w:r w:rsidRPr="00685D4F">
        <w:rPr>
          <w:sz w:val="18"/>
          <w:szCs w:val="18"/>
          <w:lang w:val="es-ES"/>
        </w:rPr>
        <w:t xml:space="preserve">, </w:t>
      </w:r>
      <w:hyperlink r:id="rId5" w:history="1">
        <w:r w:rsidRPr="00AD79DB">
          <w:rPr>
            <w:rStyle w:val="Hyperlink"/>
            <w:sz w:val="18"/>
            <w:szCs w:val="18"/>
            <w:lang w:val="es-ES"/>
          </w:rPr>
          <w:t>https://www.minsalud.gov.co/sites/rid/Lists/BibliotecaDigital/RIDE/VS/PP/ENT/3cartilla-participante-lineamientos-zoe.pdf</w:t>
        </w:r>
      </w:hyperlink>
      <w:r w:rsidRPr="00685D4F">
        <w:rPr>
          <w:color w:val="0000FF"/>
          <w:sz w:val="18"/>
          <w:szCs w:val="18"/>
          <w:lang w:val="es-ES"/>
        </w:rPr>
        <w:t xml:space="preserve"> </w:t>
      </w:r>
    </w:p>
  </w:footnote>
  <w:footnote w:id="7">
    <w:p w14:paraId="0C5CEA2A" w14:textId="51247EF9" w:rsidR="003E52F3" w:rsidRPr="00685D4F" w:rsidRDefault="003E52F3" w:rsidP="003E52F3">
      <w:pPr>
        <w:pStyle w:val="p1"/>
        <w:rPr>
          <w:sz w:val="18"/>
          <w:szCs w:val="18"/>
          <w:lang w:val="es-ES"/>
        </w:rPr>
      </w:pPr>
      <w:r w:rsidRPr="00685D4F">
        <w:rPr>
          <w:rStyle w:val="FootnoteReference"/>
          <w:sz w:val="18"/>
          <w:szCs w:val="18"/>
        </w:rPr>
        <w:footnoteRef/>
      </w:r>
      <w:r w:rsidRPr="00685D4F">
        <w:rPr>
          <w:sz w:val="18"/>
          <w:szCs w:val="18"/>
          <w:lang w:val="es-ES"/>
        </w:rPr>
        <w:t xml:space="preserve"> </w:t>
      </w:r>
      <w:hyperlink r:id="rId6" w:history="1">
        <w:r w:rsidRPr="00685D4F">
          <w:rPr>
            <w:rStyle w:val="Hyperlink"/>
            <w:sz w:val="18"/>
            <w:szCs w:val="18"/>
            <w:lang w:val="es-ES"/>
          </w:rPr>
          <w:t>https://www.hr-dp.org/files/2014/04/28/CESCR_Colombia_1232.pdf</w:t>
        </w:r>
      </w:hyperlink>
      <w:r w:rsidRPr="00685D4F">
        <w:rPr>
          <w:sz w:val="18"/>
          <w:szCs w:val="18"/>
          <w:lang w:val="es-ES"/>
        </w:rPr>
        <w:t xml:space="preserve"> </w:t>
      </w:r>
    </w:p>
  </w:footnote>
  <w:footnote w:id="8">
    <w:p w14:paraId="18E3D225" w14:textId="28EFCD90" w:rsidR="003E52F3" w:rsidRPr="00685D4F" w:rsidRDefault="003E52F3" w:rsidP="003E52F3">
      <w:pPr>
        <w:pStyle w:val="p1"/>
        <w:rPr>
          <w:sz w:val="18"/>
          <w:szCs w:val="18"/>
        </w:rPr>
      </w:pPr>
      <w:r w:rsidRPr="00685D4F">
        <w:rPr>
          <w:rStyle w:val="FootnoteReference"/>
          <w:sz w:val="18"/>
          <w:szCs w:val="18"/>
        </w:rPr>
        <w:footnoteRef/>
      </w:r>
      <w:r w:rsidRPr="00685D4F">
        <w:rPr>
          <w:sz w:val="18"/>
          <w:szCs w:val="18"/>
        </w:rPr>
        <w:t xml:space="preserve"> </w:t>
      </w:r>
      <w:r w:rsidRPr="00685D4F">
        <w:rPr>
          <w:sz w:val="18"/>
          <w:szCs w:val="18"/>
        </w:rPr>
        <w:t xml:space="preserve">Committee on Economic, Social and Cultural Rights Forty-fourth session Geneva, 3–21 May 2010 </w:t>
      </w:r>
      <w:hyperlink r:id="rId7" w:history="1">
        <w:r w:rsidRPr="00685D4F">
          <w:rPr>
            <w:rStyle w:val="Hyperlink"/>
            <w:sz w:val="18"/>
            <w:szCs w:val="18"/>
          </w:rPr>
          <w:t>https://www.hr</w:t>
        </w:r>
        <w:r w:rsidRPr="00685D4F">
          <w:rPr>
            <w:rStyle w:val="Hyperlink"/>
            <w:sz w:val="18"/>
            <w:szCs w:val="18"/>
          </w:rPr>
          <w:t>-</w:t>
        </w:r>
        <w:r w:rsidRPr="003E52F3">
          <w:rPr>
            <w:rStyle w:val="Hyperlink"/>
            <w:sz w:val="18"/>
            <w:szCs w:val="18"/>
          </w:rPr>
          <w:t>dp.org/files/2014/04/28/CESCR_Colombia_4.pdf</w:t>
        </w:r>
      </w:hyperlink>
      <w:r w:rsidRPr="00685D4F">
        <w:rPr>
          <w:sz w:val="18"/>
          <w:szCs w:val="18"/>
        </w:rPr>
        <w:t xml:space="preserve"> </w:t>
      </w:r>
    </w:p>
  </w:footnote>
  <w:footnote w:id="9">
    <w:p w14:paraId="0DF6C431" w14:textId="77777777" w:rsidR="00217786" w:rsidRPr="00685D4F" w:rsidRDefault="00217786" w:rsidP="00217786">
      <w:pPr>
        <w:pStyle w:val="p1"/>
        <w:rPr>
          <w:sz w:val="18"/>
          <w:szCs w:val="18"/>
          <w:lang w:val="es-ES"/>
        </w:rPr>
      </w:pPr>
      <w:r w:rsidRPr="00685D4F">
        <w:rPr>
          <w:rStyle w:val="FootnoteReference"/>
          <w:sz w:val="18"/>
          <w:szCs w:val="18"/>
        </w:rPr>
        <w:footnoteRef/>
      </w:r>
      <w:r w:rsidRPr="00685D4F">
        <w:rPr>
          <w:sz w:val="18"/>
          <w:szCs w:val="18"/>
          <w:lang w:val="es-ES"/>
        </w:rPr>
        <w:t xml:space="preserve"> Ministerio de Justicia y del Derecho – Observatorio de Drogas de Colombia, </w:t>
      </w:r>
      <w:r w:rsidRPr="00685D4F">
        <w:rPr>
          <w:i/>
          <w:iCs/>
          <w:sz w:val="18"/>
          <w:szCs w:val="18"/>
          <w:lang w:val="es-ES"/>
        </w:rPr>
        <w:t xml:space="preserve">Estudio Nacional de Consumo de Sustancias </w:t>
      </w:r>
      <w:r w:rsidRPr="00217786">
        <w:rPr>
          <w:i/>
          <w:iCs/>
          <w:sz w:val="18"/>
          <w:szCs w:val="18"/>
          <w:lang w:val="es-ES"/>
        </w:rPr>
        <w:t>Psicoactivas Colombia 2019</w:t>
      </w:r>
      <w:r w:rsidRPr="00217786">
        <w:rPr>
          <w:sz w:val="18"/>
          <w:szCs w:val="18"/>
          <w:lang w:val="es-ES"/>
        </w:rPr>
        <w:t xml:space="preserve"> (Bogotá D.C.: ODC, 2019).</w:t>
      </w:r>
    </w:p>
  </w:footnote>
  <w:footnote w:id="10">
    <w:p w14:paraId="127D4203" w14:textId="394FF526" w:rsidR="00217786" w:rsidRPr="00685D4F" w:rsidRDefault="00217786" w:rsidP="00217786">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Observatorio de Drogas de Colombia, Ministerio de Justicia y del Derecho, Ministerio de Educación Nacional, Ministerio de</w:t>
      </w:r>
      <w:r w:rsidRPr="00685D4F">
        <w:rPr>
          <w:sz w:val="18"/>
          <w:szCs w:val="18"/>
          <w:lang w:val="es-ES"/>
        </w:rPr>
        <w:t xml:space="preserve"> </w:t>
      </w:r>
      <w:r w:rsidRPr="00217786">
        <w:rPr>
          <w:sz w:val="18"/>
          <w:szCs w:val="18"/>
          <w:lang w:val="es-ES"/>
        </w:rPr>
        <w:t>Salud y Protección Social, y Comisión Interamericana para el Control del Abuso de Drogas (CICAD) de la Organización de los</w:t>
      </w:r>
      <w:r w:rsidRPr="00685D4F">
        <w:rPr>
          <w:sz w:val="18"/>
          <w:szCs w:val="18"/>
          <w:lang w:val="es-ES"/>
        </w:rPr>
        <w:t xml:space="preserve"> </w:t>
      </w:r>
      <w:r w:rsidRPr="00217786">
        <w:rPr>
          <w:sz w:val="18"/>
          <w:szCs w:val="18"/>
          <w:lang w:val="es-ES"/>
        </w:rPr>
        <w:t xml:space="preserve">Estados Americanos (OEA), </w:t>
      </w:r>
      <w:r w:rsidRPr="00217786">
        <w:rPr>
          <w:i/>
          <w:iCs/>
          <w:sz w:val="18"/>
          <w:szCs w:val="18"/>
          <w:lang w:val="es-ES"/>
        </w:rPr>
        <w:t>Estudio Nacional de Consumo de Sustancias Psicoactivas en Población Escolar, Colombia - 2016</w:t>
      </w:r>
    </w:p>
  </w:footnote>
  <w:footnote w:id="11">
    <w:p w14:paraId="1BE62CBA" w14:textId="325DEA7B" w:rsidR="00217786" w:rsidRPr="00685D4F" w:rsidRDefault="00217786" w:rsidP="00217786">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Autoridades del Gobierno de Colombia, Enrique Gil Botero, Carlos Medina Ramírez, Marisol Palacio Cepeda, Martha del</w:t>
      </w:r>
      <w:r w:rsidRPr="00685D4F">
        <w:rPr>
          <w:sz w:val="18"/>
          <w:szCs w:val="18"/>
          <w:lang w:val="es-ES"/>
        </w:rPr>
        <w:t xml:space="preserve"> </w:t>
      </w:r>
      <w:r w:rsidRPr="00217786">
        <w:rPr>
          <w:sz w:val="18"/>
          <w:szCs w:val="18"/>
          <w:lang w:val="es-ES"/>
        </w:rPr>
        <w:t xml:space="preserve">Carmen Paredes Rosero, </w:t>
      </w:r>
      <w:r w:rsidRPr="00217786">
        <w:rPr>
          <w:i/>
          <w:iCs/>
          <w:sz w:val="18"/>
          <w:szCs w:val="18"/>
          <w:lang w:val="es-ES"/>
        </w:rPr>
        <w:t>III Estudio epidemiológico andino sobre consumo de drogas en la población universitaria de Colombia,</w:t>
      </w:r>
      <w:r w:rsidRPr="00685D4F">
        <w:rPr>
          <w:sz w:val="18"/>
          <w:szCs w:val="18"/>
          <w:lang w:val="es-ES"/>
        </w:rPr>
        <w:t xml:space="preserve"> </w:t>
      </w:r>
      <w:r w:rsidRPr="00217786">
        <w:rPr>
          <w:i/>
          <w:iCs/>
          <w:sz w:val="18"/>
          <w:szCs w:val="18"/>
          <w:lang w:val="es-ES"/>
        </w:rPr>
        <w:t>2016</w:t>
      </w:r>
      <w:r w:rsidRPr="00217786">
        <w:rPr>
          <w:sz w:val="18"/>
          <w:szCs w:val="18"/>
          <w:lang w:val="es-ES"/>
        </w:rPr>
        <w:t>, Oficina de las Naciones Unidas Contra la Droga y el Delito (UNODC), junio 2017.</w:t>
      </w:r>
    </w:p>
  </w:footnote>
  <w:footnote w:id="12">
    <w:p w14:paraId="10149AB8" w14:textId="2A516771" w:rsidR="00217786" w:rsidRPr="00685D4F" w:rsidRDefault="00217786" w:rsidP="005A1D7E">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Sembrando Vida, Desterramos al Narcotráfico. Política Nacional de Drogas, 2023-2033. </w:t>
      </w:r>
      <w:hyperlink r:id="rId8" w:history="1">
        <w:r w:rsidRPr="00685D4F">
          <w:rPr>
            <w:rStyle w:val="Hyperlink"/>
            <w:sz w:val="18"/>
            <w:szCs w:val="18"/>
          </w:rPr>
          <w:t>https://www.minjusticia.gov.co/Sala-</w:t>
        </w:r>
        <w:r w:rsidRPr="00217786">
          <w:rPr>
            <w:rStyle w:val="Hyperlink"/>
            <w:sz w:val="18"/>
            <w:szCs w:val="18"/>
          </w:rPr>
          <w:t>de-prensa/Documents/Pol%C3%ADtica%20Nacional%20de%20Drogas%202023</w:t>
        </w:r>
        <w:r w:rsidRPr="00685D4F">
          <w:rPr>
            <w:rStyle w:val="Hyperlink"/>
            <w:sz w:val="18"/>
            <w:szCs w:val="18"/>
          </w:rPr>
          <w:t>-</w:t>
        </w:r>
        <w:r w:rsidRPr="00217786">
          <w:rPr>
            <w:rStyle w:val="Hyperlink"/>
            <w:sz w:val="18"/>
            <w:szCs w:val="18"/>
          </w:rPr>
          <w:t>2033%20%27Sembrando%20vida,%20desterramos%20el%20narcotr%C3%A1fico%27.pdf</w:t>
        </w:r>
      </w:hyperlink>
      <w:r w:rsidRPr="00685D4F">
        <w:rPr>
          <w:sz w:val="18"/>
          <w:szCs w:val="18"/>
        </w:rPr>
        <w:t xml:space="preserve"> </w:t>
      </w:r>
      <w:r w:rsidRPr="00217786">
        <w:rPr>
          <w:sz w:val="18"/>
          <w:szCs w:val="18"/>
        </w:rPr>
        <w:t>Pg 37</w:t>
      </w:r>
    </w:p>
  </w:footnote>
  <w:footnote w:id="13">
    <w:p w14:paraId="7D7FD8E4" w14:textId="0D0595D3" w:rsidR="005A1D7E" w:rsidRPr="00685D4F" w:rsidRDefault="005A1D7E" w:rsidP="005A1D7E">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Observatorio de Drogas de Colombia, Ministerio de Justicia y del Derecho, Ministerio de Educación Nacional, Ministerio de</w:t>
      </w:r>
      <w:r w:rsidRPr="00685D4F">
        <w:rPr>
          <w:sz w:val="18"/>
          <w:szCs w:val="18"/>
          <w:lang w:val="es-ES"/>
        </w:rPr>
        <w:t xml:space="preserve"> </w:t>
      </w:r>
      <w:r w:rsidRPr="005A1D7E">
        <w:rPr>
          <w:sz w:val="18"/>
          <w:szCs w:val="18"/>
          <w:lang w:val="es-ES"/>
        </w:rPr>
        <w:t>Salud y Protección Social, y Comisión Interamericana para el Control del Abuso de Drogas (CICAD) de la Organización de los</w:t>
      </w:r>
      <w:r w:rsidRPr="00685D4F">
        <w:rPr>
          <w:sz w:val="18"/>
          <w:szCs w:val="18"/>
          <w:lang w:val="es-ES"/>
        </w:rPr>
        <w:t xml:space="preserve"> </w:t>
      </w:r>
      <w:r w:rsidRPr="005A1D7E">
        <w:rPr>
          <w:sz w:val="18"/>
          <w:szCs w:val="18"/>
          <w:lang w:val="es-ES"/>
        </w:rPr>
        <w:t xml:space="preserve">Estados Americanos (OEA), </w:t>
      </w:r>
      <w:r w:rsidRPr="005A1D7E">
        <w:rPr>
          <w:i/>
          <w:iCs/>
          <w:sz w:val="18"/>
          <w:szCs w:val="18"/>
          <w:lang w:val="es-ES"/>
        </w:rPr>
        <w:t>Estudio Nacional de Consumo de Sustancias Psicoactivas en Población Escolar, Colombia - 2016</w:t>
      </w:r>
      <w:r w:rsidRPr="005A1D7E">
        <w:rPr>
          <w:sz w:val="18"/>
          <w:szCs w:val="18"/>
          <w:lang w:val="es-ES"/>
        </w:rPr>
        <w:t>,</w:t>
      </w:r>
      <w:r w:rsidRPr="00685D4F">
        <w:rPr>
          <w:sz w:val="18"/>
          <w:szCs w:val="18"/>
          <w:lang w:val="es-ES"/>
        </w:rPr>
        <w:t xml:space="preserve"> </w:t>
      </w:r>
      <w:r w:rsidRPr="005A1D7E">
        <w:rPr>
          <w:sz w:val="18"/>
          <w:szCs w:val="18"/>
          <w:lang w:val="es-ES"/>
        </w:rPr>
        <w:t>p.23</w:t>
      </w:r>
    </w:p>
  </w:footnote>
  <w:footnote w:id="14">
    <w:p w14:paraId="3CCD195E" w14:textId="706BECFB" w:rsidR="00366D3A" w:rsidRPr="00685D4F" w:rsidRDefault="00366D3A" w:rsidP="00366D3A">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Ministerio de Justicia y del Derecho – Observatorio de Drogas de Colombia, Ministerio de Educación Nacional (2022), Estudio</w:t>
      </w:r>
      <w:r w:rsidRPr="00685D4F">
        <w:rPr>
          <w:sz w:val="18"/>
          <w:szCs w:val="18"/>
          <w:lang w:val="es-ES"/>
        </w:rPr>
        <w:t xml:space="preserve"> </w:t>
      </w:r>
      <w:r w:rsidRPr="00366D3A">
        <w:rPr>
          <w:sz w:val="18"/>
          <w:szCs w:val="18"/>
          <w:lang w:val="es-ES"/>
        </w:rPr>
        <w:t xml:space="preserve">Nacional de Consumo de Sustancias Psicoactivas Colombia en población escolar 2022. </w:t>
      </w:r>
      <w:r w:rsidRPr="00366D3A">
        <w:rPr>
          <w:sz w:val="18"/>
          <w:szCs w:val="18"/>
        </w:rPr>
        <w:t>Bogotá DC.: ODC.</w:t>
      </w:r>
    </w:p>
  </w:footnote>
  <w:footnote w:id="15">
    <w:p w14:paraId="47A61AAB" w14:textId="0EFAE4F7" w:rsidR="00C54135" w:rsidRPr="00685D4F" w:rsidRDefault="00C54135" w:rsidP="00C54135">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i/>
          <w:iCs/>
          <w:sz w:val="18"/>
          <w:szCs w:val="18"/>
          <w:lang w:val="es-ES"/>
        </w:rPr>
        <w:t>Estudio Nacional de Consumo de Sustancias Psicoactivas en Población Escolar, Colombi</w:t>
      </w:r>
      <w:r w:rsidRPr="00685D4F">
        <w:rPr>
          <w:sz w:val="18"/>
          <w:szCs w:val="18"/>
          <w:lang w:val="es-ES"/>
        </w:rPr>
        <w:t xml:space="preserve">a </w:t>
      </w:r>
      <w:hyperlink r:id="rId9" w:history="1">
        <w:r w:rsidR="00232A25" w:rsidRPr="00685D4F">
          <w:rPr>
            <w:rStyle w:val="Hyperlink"/>
            <w:sz w:val="18"/>
            <w:szCs w:val="18"/>
            <w:lang w:val="es-ES"/>
          </w:rPr>
          <w:t>https://www.minjusticia.gov.co/programas-co/ODC/Publicaciones/Publicaciones/CO03142016_estudio_consumo_escolares_2016.pdf</w:t>
        </w:r>
      </w:hyperlink>
      <w:r w:rsidR="00232A25" w:rsidRPr="00685D4F">
        <w:rPr>
          <w:sz w:val="18"/>
          <w:szCs w:val="18"/>
          <w:lang w:val="es-ES"/>
        </w:rPr>
        <w:t xml:space="preserve"> </w:t>
      </w:r>
      <w:r w:rsidRPr="00C54135">
        <w:rPr>
          <w:sz w:val="18"/>
          <w:szCs w:val="18"/>
          <w:lang w:val="es-ES"/>
        </w:rPr>
        <w:t>p.150</w:t>
      </w:r>
      <w:r w:rsidRPr="00685D4F">
        <w:rPr>
          <w:sz w:val="18"/>
          <w:szCs w:val="18"/>
          <w:lang w:val="es-ES"/>
        </w:rPr>
        <w:t xml:space="preserve"> </w:t>
      </w:r>
    </w:p>
  </w:footnote>
  <w:footnote w:id="16">
    <w:p w14:paraId="668E369E" w14:textId="20EFD0E2" w:rsidR="0034104D" w:rsidRPr="00685D4F" w:rsidRDefault="0034104D" w:rsidP="0034104D">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Ciro, Estefanía. 2025. La Vorágine de la Paz: territorios, mercados y estrategias. En Cambios y continuidades del </w:t>
      </w:r>
      <w:proofErr w:type="spellStart"/>
      <w:r w:rsidRPr="00685D4F">
        <w:rPr>
          <w:sz w:val="18"/>
          <w:szCs w:val="18"/>
          <w:lang w:val="es-ES"/>
        </w:rPr>
        <w:t>conflict</w:t>
      </w:r>
      <w:proofErr w:type="spellEnd"/>
      <w:r w:rsidRPr="00685D4F">
        <w:rPr>
          <w:sz w:val="18"/>
          <w:szCs w:val="18"/>
          <w:lang w:val="es-ES"/>
        </w:rPr>
        <w:t xml:space="preserve"> </w:t>
      </w:r>
      <w:r w:rsidRPr="0034104D">
        <w:rPr>
          <w:sz w:val="18"/>
          <w:szCs w:val="18"/>
          <w:lang w:val="es-ES"/>
        </w:rPr>
        <w:t xml:space="preserve">armado, a diez años de la Comisión Histórica para las Víctimas y el Conflicto. </w:t>
      </w:r>
      <w:r w:rsidRPr="0034104D">
        <w:rPr>
          <w:sz w:val="18"/>
          <w:szCs w:val="18"/>
        </w:rPr>
        <w:t xml:space="preserve">Unidad para la </w:t>
      </w:r>
      <w:proofErr w:type="spellStart"/>
      <w:r w:rsidRPr="0034104D">
        <w:rPr>
          <w:sz w:val="18"/>
          <w:szCs w:val="18"/>
        </w:rPr>
        <w:t>Implementación</w:t>
      </w:r>
      <w:proofErr w:type="spellEnd"/>
      <w:r w:rsidRPr="0034104D">
        <w:rPr>
          <w:sz w:val="18"/>
          <w:szCs w:val="18"/>
        </w:rPr>
        <w:t xml:space="preserve"> de </w:t>
      </w:r>
      <w:proofErr w:type="spellStart"/>
      <w:r w:rsidRPr="0034104D">
        <w:rPr>
          <w:sz w:val="18"/>
          <w:szCs w:val="18"/>
        </w:rPr>
        <w:t>los</w:t>
      </w:r>
      <w:proofErr w:type="spellEnd"/>
      <w:r w:rsidRPr="0034104D">
        <w:rPr>
          <w:sz w:val="18"/>
          <w:szCs w:val="18"/>
        </w:rPr>
        <w:t xml:space="preserve"> </w:t>
      </w:r>
      <w:proofErr w:type="spellStart"/>
      <w:r w:rsidRPr="0034104D">
        <w:rPr>
          <w:sz w:val="18"/>
          <w:szCs w:val="18"/>
        </w:rPr>
        <w:t>Acuerdos</w:t>
      </w:r>
      <w:proofErr w:type="spellEnd"/>
      <w:r w:rsidRPr="0034104D">
        <w:rPr>
          <w:sz w:val="18"/>
          <w:szCs w:val="18"/>
        </w:rPr>
        <w:t xml:space="preserve"> de</w:t>
      </w:r>
      <w:r w:rsidRPr="00685D4F">
        <w:rPr>
          <w:sz w:val="18"/>
          <w:szCs w:val="18"/>
        </w:rPr>
        <w:t xml:space="preserve"> </w:t>
      </w:r>
      <w:r w:rsidRPr="0034104D">
        <w:rPr>
          <w:sz w:val="18"/>
          <w:szCs w:val="18"/>
        </w:rPr>
        <w:t>Paz.</w:t>
      </w:r>
    </w:p>
  </w:footnote>
  <w:footnote w:id="17">
    <w:p w14:paraId="1808E352" w14:textId="77777777" w:rsidR="006E1043" w:rsidRPr="00685D4F" w:rsidRDefault="006E1043" w:rsidP="006E1043">
      <w:pPr>
        <w:pStyle w:val="p1"/>
        <w:rPr>
          <w:sz w:val="18"/>
          <w:szCs w:val="18"/>
          <w:lang w:val="es-ES"/>
        </w:rPr>
      </w:pPr>
      <w:r w:rsidRPr="00685D4F">
        <w:rPr>
          <w:rStyle w:val="FootnoteReference"/>
          <w:sz w:val="18"/>
          <w:szCs w:val="18"/>
        </w:rPr>
        <w:footnoteRef/>
      </w:r>
      <w:r w:rsidRPr="00685D4F">
        <w:rPr>
          <w:sz w:val="18"/>
          <w:szCs w:val="18"/>
          <w:lang w:val="es-ES"/>
        </w:rPr>
        <w:t xml:space="preserve"> Comisión para el Esclarecimiento de la Verdad. 2022. “De la guerra contra las drogas a la guerra en las drogas”: Consumo y </w:t>
      </w:r>
      <w:r w:rsidRPr="0034104D">
        <w:rPr>
          <w:sz w:val="18"/>
          <w:szCs w:val="18"/>
          <w:lang w:val="es-ES"/>
        </w:rPr>
        <w:t xml:space="preserve">usuarios de drogas en las violencias y persistencia del conflicto armado colombiano. </w:t>
      </w:r>
      <w:hyperlink r:id="rId10" w:history="1">
        <w:r w:rsidRPr="0034104D">
          <w:rPr>
            <w:rStyle w:val="Hyperlink"/>
            <w:sz w:val="18"/>
            <w:szCs w:val="18"/>
            <w:lang w:val="es-ES"/>
          </w:rPr>
          <w:t>https://www.comisiondelaverdad.co/caso-guerra-en-las-drogas</w:t>
        </w:r>
      </w:hyperlink>
      <w:r w:rsidRPr="00685D4F">
        <w:rPr>
          <w:sz w:val="18"/>
          <w:szCs w:val="18"/>
          <w:lang w:val="es-ES"/>
        </w:rPr>
        <w:t xml:space="preserve">  </w:t>
      </w:r>
    </w:p>
  </w:footnote>
  <w:footnote w:id="18">
    <w:p w14:paraId="150F5603" w14:textId="4ABD0FFE" w:rsidR="006E1043" w:rsidRPr="00685D4F" w:rsidRDefault="006E1043" w:rsidP="006E1043">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Centro Nacional de Memoria Histórica. Limpieza social: una violencia mal nombrada. </w:t>
      </w:r>
      <w:r w:rsidRPr="00685D4F">
        <w:rPr>
          <w:sz w:val="18"/>
          <w:szCs w:val="18"/>
        </w:rPr>
        <w:t>Bogotá: CNMH, 2015</w:t>
      </w:r>
    </w:p>
  </w:footnote>
  <w:footnote w:id="19">
    <w:p w14:paraId="0EC943C0" w14:textId="4033C913" w:rsidR="006E1043" w:rsidRPr="00685D4F" w:rsidRDefault="006E1043" w:rsidP="006E1043">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Grupo Focal Maestros Escuela Pública, pueblo del Caquetá. </w:t>
      </w:r>
      <w:r w:rsidRPr="00685D4F">
        <w:rPr>
          <w:sz w:val="18"/>
          <w:szCs w:val="18"/>
        </w:rPr>
        <w:t>Abril, 2025.</w:t>
      </w:r>
    </w:p>
  </w:footnote>
  <w:footnote w:id="20">
    <w:p w14:paraId="60427B17" w14:textId="60C80EB1" w:rsidR="006E1043" w:rsidRPr="00685D4F" w:rsidRDefault="006E1043" w:rsidP="006E1043">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Grupo Focal Maestros Escuela Pública, pueblo del Caquetá. </w:t>
      </w:r>
      <w:r w:rsidRPr="00685D4F">
        <w:rPr>
          <w:sz w:val="18"/>
          <w:szCs w:val="18"/>
        </w:rPr>
        <w:t>Abril, 2025.</w:t>
      </w:r>
    </w:p>
  </w:footnote>
  <w:footnote w:id="21">
    <w:p w14:paraId="73D5000E" w14:textId="14C1BE32" w:rsidR="006E1043" w:rsidRPr="00685D4F" w:rsidRDefault="006E1043" w:rsidP="006E1043">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Radiografía de la salud rural en Colombia: el 37,3% de los hospitales públicos en están en riesgo financiero. 17 de febrero de</w:t>
      </w:r>
      <w:r w:rsidRPr="00685D4F">
        <w:rPr>
          <w:sz w:val="18"/>
          <w:szCs w:val="18"/>
          <w:lang w:val="es-ES"/>
        </w:rPr>
        <w:t xml:space="preserve"> </w:t>
      </w:r>
      <w:r w:rsidRPr="006E1043">
        <w:rPr>
          <w:sz w:val="18"/>
          <w:szCs w:val="18"/>
          <w:lang w:val="es-ES"/>
        </w:rPr>
        <w:t xml:space="preserve">2025. </w:t>
      </w:r>
      <w:hyperlink r:id="rId11" w:history="1">
        <w:r w:rsidRPr="006E1043">
          <w:rPr>
            <w:rStyle w:val="Hyperlink"/>
            <w:sz w:val="18"/>
            <w:szCs w:val="18"/>
            <w:lang w:val="es-ES"/>
          </w:rPr>
          <w:t>https://consultorsalud.com/salud-rural-col-hospitales-publicos-financiero/</w:t>
        </w:r>
      </w:hyperlink>
      <w:r w:rsidRPr="00685D4F">
        <w:rPr>
          <w:sz w:val="18"/>
          <w:szCs w:val="18"/>
          <w:lang w:val="es-ES"/>
        </w:rPr>
        <w:t xml:space="preserve"> </w:t>
      </w:r>
    </w:p>
  </w:footnote>
  <w:footnote w:id="22">
    <w:p w14:paraId="08142108" w14:textId="2D6B4668" w:rsidR="006E1043" w:rsidRPr="00685D4F" w:rsidRDefault="006E1043" w:rsidP="006E1043">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Decreto Número 0351 de 2025, marzo 27. Por el cual se adiciona parte 13 del libro 2 del decreto número 780 del 2016 relativo</w:t>
      </w:r>
      <w:r w:rsidRPr="00685D4F">
        <w:rPr>
          <w:sz w:val="18"/>
          <w:szCs w:val="18"/>
          <w:lang w:val="es-ES"/>
        </w:rPr>
        <w:t xml:space="preserve"> </w:t>
      </w:r>
      <w:r w:rsidRPr="006E1043">
        <w:rPr>
          <w:sz w:val="18"/>
          <w:szCs w:val="18"/>
          <w:lang w:val="es-ES"/>
        </w:rPr>
        <w:t>al Plan Nacional de Salud Rural.</w:t>
      </w:r>
    </w:p>
  </w:footnote>
  <w:footnote w:id="23">
    <w:p w14:paraId="400F2EA3" w14:textId="014EF48C" w:rsidR="006E1043" w:rsidRPr="00685D4F" w:rsidRDefault="006E1043" w:rsidP="006E1043">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Radiografía de la salud rural en Colombia: el 37,3% de los hospitales públicos en están en riesgo financiero. 17 de febrero de</w:t>
      </w:r>
      <w:r w:rsidRPr="00685D4F">
        <w:rPr>
          <w:sz w:val="18"/>
          <w:szCs w:val="18"/>
          <w:lang w:val="es-ES"/>
        </w:rPr>
        <w:t xml:space="preserve"> </w:t>
      </w:r>
      <w:r w:rsidRPr="006E1043">
        <w:rPr>
          <w:sz w:val="18"/>
          <w:szCs w:val="18"/>
          <w:lang w:val="es-ES"/>
        </w:rPr>
        <w:t xml:space="preserve">2025. </w:t>
      </w:r>
      <w:hyperlink r:id="rId12" w:history="1">
        <w:r w:rsidRPr="006E1043">
          <w:rPr>
            <w:rStyle w:val="Hyperlink"/>
            <w:sz w:val="18"/>
            <w:szCs w:val="18"/>
            <w:lang w:val="es-ES"/>
          </w:rPr>
          <w:t>https://consultorsalud.com/plan-nacional-de-salud-rural-decreto-0351/</w:t>
        </w:r>
      </w:hyperlink>
      <w:r w:rsidRPr="006E1043">
        <w:rPr>
          <w:sz w:val="18"/>
          <w:szCs w:val="18"/>
          <w:lang w:val="es-ES"/>
        </w:rPr>
        <w:t>; Comisión de la Verdad. (28 de junio de 2022).</w:t>
      </w:r>
      <w:r w:rsidRPr="00685D4F">
        <w:rPr>
          <w:sz w:val="18"/>
          <w:szCs w:val="18"/>
          <w:lang w:val="es-ES"/>
        </w:rPr>
        <w:t xml:space="preserve"> </w:t>
      </w:r>
      <w:r w:rsidRPr="006E1043">
        <w:rPr>
          <w:sz w:val="18"/>
          <w:szCs w:val="18"/>
          <w:lang w:val="es-ES"/>
        </w:rPr>
        <w:t>Sufrir la guerra y rehacer la vida. Bogotá: Comisión de la Verdad. Obtenido de Comisión de la Verdad: Sufrir la guerra y rehacer la</w:t>
      </w:r>
      <w:r w:rsidRPr="00685D4F">
        <w:rPr>
          <w:sz w:val="18"/>
          <w:szCs w:val="18"/>
          <w:lang w:val="es-ES"/>
        </w:rPr>
        <w:t xml:space="preserve"> </w:t>
      </w:r>
      <w:r w:rsidRPr="006E1043">
        <w:rPr>
          <w:sz w:val="18"/>
          <w:szCs w:val="18"/>
          <w:lang w:val="es-ES"/>
        </w:rPr>
        <w:t xml:space="preserve">vida </w:t>
      </w:r>
      <w:proofErr w:type="spellStart"/>
      <w:r w:rsidRPr="006E1043">
        <w:rPr>
          <w:sz w:val="18"/>
          <w:szCs w:val="18"/>
          <w:lang w:val="es-ES"/>
        </w:rPr>
        <w:t>pgs</w:t>
      </w:r>
      <w:proofErr w:type="spellEnd"/>
      <w:r w:rsidRPr="006E1043">
        <w:rPr>
          <w:sz w:val="18"/>
          <w:szCs w:val="18"/>
          <w:lang w:val="es-ES"/>
        </w:rPr>
        <w:t xml:space="preserve"> 55-57</w:t>
      </w:r>
    </w:p>
  </w:footnote>
  <w:footnote w:id="24">
    <w:p w14:paraId="52ECA32F" w14:textId="5ACAD2C5" w:rsidR="006E1043" w:rsidRPr="00685D4F" w:rsidRDefault="006E1043" w:rsidP="006E1043">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Acta 1. Comité Municipal de Salud Mental, prevención integral, control del consumo y uso indebido de sustancias psicoactivas.</w:t>
      </w:r>
      <w:r w:rsidRPr="00685D4F">
        <w:rPr>
          <w:sz w:val="18"/>
          <w:szCs w:val="18"/>
          <w:lang w:val="es-ES"/>
        </w:rPr>
        <w:t xml:space="preserve"> </w:t>
      </w:r>
      <w:r w:rsidRPr="006E1043">
        <w:rPr>
          <w:sz w:val="18"/>
          <w:szCs w:val="18"/>
        </w:rPr>
        <w:t>18/05/2023.</w:t>
      </w:r>
    </w:p>
  </w:footnote>
  <w:footnote w:id="25">
    <w:p w14:paraId="1A44A1FB" w14:textId="17278ADA" w:rsidR="006E1043" w:rsidRPr="00685D4F" w:rsidRDefault="006E1043" w:rsidP="006E1043">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Acta II. Comité Municipal de Salud Mental, prevención integral, control del consumo y uso indebido de sustancias psicoactivas.</w:t>
      </w:r>
      <w:r w:rsidRPr="00685D4F">
        <w:rPr>
          <w:sz w:val="18"/>
          <w:szCs w:val="18"/>
          <w:lang w:val="es-ES"/>
        </w:rPr>
        <w:t xml:space="preserve"> </w:t>
      </w:r>
      <w:r w:rsidRPr="006E1043">
        <w:rPr>
          <w:sz w:val="18"/>
          <w:szCs w:val="18"/>
        </w:rPr>
        <w:t>06/07/2023</w:t>
      </w:r>
    </w:p>
  </w:footnote>
  <w:footnote w:id="26">
    <w:p w14:paraId="0F4BCC94" w14:textId="7376F7AF" w:rsidR="006E1043" w:rsidRPr="00685D4F" w:rsidRDefault="006E1043" w:rsidP="006E1043">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Derecho de Petición. Secretaría de Salud.</w:t>
      </w:r>
    </w:p>
  </w:footnote>
  <w:footnote w:id="27">
    <w:p w14:paraId="0F7BD8D3" w14:textId="327855AE" w:rsidR="007D491A" w:rsidRPr="00685D4F" w:rsidRDefault="007D491A" w:rsidP="007D491A">
      <w:pPr>
        <w:pStyle w:val="p1"/>
        <w:rPr>
          <w:sz w:val="18"/>
          <w:szCs w:val="18"/>
        </w:rPr>
      </w:pPr>
      <w:r w:rsidRPr="00685D4F">
        <w:rPr>
          <w:rStyle w:val="FootnoteReference"/>
          <w:sz w:val="18"/>
          <w:szCs w:val="18"/>
        </w:rPr>
        <w:footnoteRef/>
      </w:r>
      <w:r w:rsidRPr="00685D4F">
        <w:rPr>
          <w:sz w:val="18"/>
          <w:szCs w:val="18"/>
        </w:rPr>
        <w:t xml:space="preserve"> </w:t>
      </w:r>
      <w:proofErr w:type="spellStart"/>
      <w:r w:rsidRPr="00685D4F">
        <w:rPr>
          <w:sz w:val="18"/>
          <w:szCs w:val="18"/>
        </w:rPr>
        <w:t>Derecho</w:t>
      </w:r>
      <w:proofErr w:type="spellEnd"/>
      <w:r w:rsidRPr="00685D4F">
        <w:rPr>
          <w:sz w:val="18"/>
          <w:szCs w:val="18"/>
        </w:rPr>
        <w:t xml:space="preserve"> de </w:t>
      </w:r>
      <w:proofErr w:type="spellStart"/>
      <w:r w:rsidRPr="00685D4F">
        <w:rPr>
          <w:sz w:val="18"/>
          <w:szCs w:val="18"/>
        </w:rPr>
        <w:t>Petición</w:t>
      </w:r>
      <w:proofErr w:type="spellEnd"/>
      <w:r w:rsidRPr="00685D4F">
        <w:rPr>
          <w:sz w:val="18"/>
          <w:szCs w:val="18"/>
        </w:rPr>
        <w:t>, ICBF.</w:t>
      </w:r>
    </w:p>
  </w:footnote>
  <w:footnote w:id="28">
    <w:p w14:paraId="1EFED888" w14:textId="1F5888EC" w:rsidR="007D491A" w:rsidRPr="00685D4F" w:rsidRDefault="007D491A" w:rsidP="007D491A">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Grupo Focal Maestros Escuela Pública, pueblo del Caquetá. </w:t>
      </w:r>
      <w:r w:rsidRPr="00685D4F">
        <w:rPr>
          <w:sz w:val="18"/>
          <w:szCs w:val="18"/>
        </w:rPr>
        <w:t>Abril, 2025.</w:t>
      </w:r>
    </w:p>
  </w:footnote>
  <w:footnote w:id="29">
    <w:p w14:paraId="11D03DB4" w14:textId="5FB9C331" w:rsidR="007D491A" w:rsidRPr="00685D4F" w:rsidRDefault="007D491A" w:rsidP="007D491A">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La Ruta de Atención Integral para la Convivencia Escolar.</w:t>
      </w:r>
      <w:r w:rsidRPr="00685D4F">
        <w:rPr>
          <w:sz w:val="18"/>
          <w:szCs w:val="18"/>
          <w:lang w:val="es-ES"/>
        </w:rPr>
        <w:t xml:space="preserve"> </w:t>
      </w:r>
      <w:hyperlink r:id="rId13" w:history="1">
        <w:r w:rsidRPr="007D491A">
          <w:rPr>
            <w:rStyle w:val="Hyperlink"/>
            <w:sz w:val="18"/>
            <w:szCs w:val="18"/>
            <w:lang w:val="es-ES"/>
          </w:rPr>
          <w:t>https://www.colombiaaprende.edu.co/sites/default/files/files_public/2021</w:t>
        </w:r>
        <w:r w:rsidRPr="00685D4F">
          <w:rPr>
            <w:rStyle w:val="Hyperlink"/>
            <w:sz w:val="18"/>
            <w:szCs w:val="18"/>
            <w:lang w:val="es-ES"/>
          </w:rPr>
          <w:t>-</w:t>
        </w:r>
        <w:r w:rsidRPr="007D491A">
          <w:rPr>
            <w:rStyle w:val="Hyperlink"/>
            <w:sz w:val="18"/>
            <w:szCs w:val="18"/>
            <w:lang w:val="es-ES"/>
          </w:rPr>
          <w:t>04/PEQ_Abordaje%20pedag%C3%B3gico%20de%20situaciones%20de%20riesgo.pdf</w:t>
        </w:r>
      </w:hyperlink>
      <w:r w:rsidRPr="00685D4F">
        <w:rPr>
          <w:sz w:val="18"/>
          <w:szCs w:val="18"/>
          <w:lang w:val="es-ES"/>
        </w:rPr>
        <w:t xml:space="preserve"> </w:t>
      </w:r>
    </w:p>
  </w:footnote>
  <w:footnote w:id="30">
    <w:p w14:paraId="54114583" w14:textId="10A8FEC8" w:rsidR="00CF09CC" w:rsidRPr="00685D4F" w:rsidRDefault="00CF09CC" w:rsidP="00CF09CC">
      <w:pPr>
        <w:pStyle w:val="p1"/>
        <w:rPr>
          <w:sz w:val="18"/>
          <w:szCs w:val="18"/>
          <w:lang w:val="es-ES"/>
        </w:rPr>
      </w:pPr>
      <w:r w:rsidRPr="00685D4F">
        <w:rPr>
          <w:rStyle w:val="FootnoteReference"/>
          <w:sz w:val="18"/>
          <w:szCs w:val="18"/>
        </w:rPr>
        <w:footnoteRef/>
      </w:r>
      <w:r w:rsidRPr="00685D4F">
        <w:rPr>
          <w:sz w:val="18"/>
          <w:szCs w:val="18"/>
          <w:lang w:val="es-ES"/>
        </w:rPr>
        <w:t xml:space="preserve"> E</w:t>
      </w:r>
      <w:r w:rsidRPr="00685D4F">
        <w:rPr>
          <w:sz w:val="18"/>
          <w:szCs w:val="18"/>
          <w:lang w:val="es-ES"/>
        </w:rPr>
        <w:t>s un sistema nacional creado por la Ley 1620 de 2013 para la identificación, registro y seguimiento de los casos</w:t>
      </w:r>
    </w:p>
  </w:footnote>
  <w:footnote w:id="31">
    <w:p w14:paraId="2822019B" w14:textId="7A8D6703" w:rsidR="00CF09CC" w:rsidRPr="00685D4F" w:rsidRDefault="00CF09CC" w:rsidP="00CF09CC">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Ley 115 de 1994 disponible en: https://bibliotecadigital.ccb.org.co/items/931daed6-a455-4faf-99dc-e883451a931c; decreto</w:t>
      </w:r>
      <w:r w:rsidRPr="00685D4F">
        <w:rPr>
          <w:sz w:val="18"/>
          <w:szCs w:val="18"/>
          <w:lang w:val="es-ES"/>
        </w:rPr>
        <w:t xml:space="preserve"> </w:t>
      </w:r>
      <w:r w:rsidRPr="00CF09CC">
        <w:rPr>
          <w:sz w:val="18"/>
          <w:szCs w:val="18"/>
          <w:lang w:val="es-ES"/>
        </w:rPr>
        <w:t xml:space="preserve">1965 de 2019 disponible en: </w:t>
      </w:r>
      <w:hyperlink r:id="rId14" w:history="1">
        <w:r w:rsidRPr="00CF09CC">
          <w:rPr>
            <w:rStyle w:val="Hyperlink"/>
            <w:sz w:val="18"/>
            <w:szCs w:val="18"/>
            <w:lang w:val="es-ES"/>
          </w:rPr>
          <w:t>https://www.mineducacion.gov.co/portal/normativa/Decretos/336730:Decreto-No-1965-de-septiembre-11-de-2013</w:t>
        </w:r>
      </w:hyperlink>
      <w:r w:rsidRPr="00685D4F">
        <w:rPr>
          <w:sz w:val="18"/>
          <w:szCs w:val="18"/>
          <w:lang w:val="es-ES"/>
        </w:rPr>
        <w:t xml:space="preserve">  </w:t>
      </w:r>
    </w:p>
  </w:footnote>
  <w:footnote w:id="32">
    <w:p w14:paraId="3682AB85" w14:textId="04DC77E5" w:rsidR="0021614D" w:rsidRPr="00685D4F" w:rsidRDefault="0021614D" w:rsidP="0021614D">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Entrevista Orientadora Escuela Pública 1, Florencia-Caquetá. </w:t>
      </w:r>
      <w:r w:rsidRPr="00685D4F">
        <w:rPr>
          <w:sz w:val="18"/>
          <w:szCs w:val="18"/>
        </w:rPr>
        <w:t>Mayo, 2024.</w:t>
      </w:r>
    </w:p>
  </w:footnote>
  <w:footnote w:id="33">
    <w:p w14:paraId="2011CC3F" w14:textId="348C5F70" w:rsidR="0021614D" w:rsidRPr="00685D4F" w:rsidRDefault="0021614D" w:rsidP="0021614D">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Entrevista Orientadora Escuela Pública 2, Florencia-Caquetá. </w:t>
      </w:r>
      <w:r w:rsidRPr="00685D4F">
        <w:rPr>
          <w:sz w:val="18"/>
          <w:szCs w:val="18"/>
        </w:rPr>
        <w:t>Mayo, 2024.</w:t>
      </w:r>
    </w:p>
  </w:footnote>
  <w:footnote w:id="34">
    <w:p w14:paraId="74916392" w14:textId="0E30E34A" w:rsidR="00F854F7" w:rsidRPr="00685D4F" w:rsidRDefault="00F854F7" w:rsidP="00F854F7">
      <w:pPr>
        <w:pStyle w:val="p1"/>
        <w:rPr>
          <w:sz w:val="18"/>
          <w:szCs w:val="18"/>
        </w:rPr>
      </w:pPr>
      <w:r w:rsidRPr="00685D4F">
        <w:rPr>
          <w:rStyle w:val="FootnoteReference"/>
          <w:sz w:val="18"/>
          <w:szCs w:val="18"/>
        </w:rPr>
        <w:footnoteRef/>
      </w:r>
      <w:r w:rsidRPr="00685D4F">
        <w:rPr>
          <w:sz w:val="18"/>
          <w:szCs w:val="18"/>
        </w:rPr>
        <w:t xml:space="preserve"> </w:t>
      </w:r>
      <w:proofErr w:type="spellStart"/>
      <w:r w:rsidRPr="00685D4F">
        <w:rPr>
          <w:sz w:val="18"/>
          <w:szCs w:val="18"/>
        </w:rPr>
        <w:t>Derecho</w:t>
      </w:r>
      <w:proofErr w:type="spellEnd"/>
      <w:r w:rsidRPr="00685D4F">
        <w:rPr>
          <w:sz w:val="18"/>
          <w:szCs w:val="18"/>
        </w:rPr>
        <w:t xml:space="preserve"> de </w:t>
      </w:r>
      <w:proofErr w:type="spellStart"/>
      <w:r w:rsidRPr="00685D4F">
        <w:rPr>
          <w:sz w:val="18"/>
          <w:szCs w:val="18"/>
        </w:rPr>
        <w:t>Petición</w:t>
      </w:r>
      <w:proofErr w:type="spellEnd"/>
      <w:r w:rsidRPr="00685D4F">
        <w:rPr>
          <w:sz w:val="18"/>
          <w:szCs w:val="18"/>
        </w:rPr>
        <w:t xml:space="preserve"> Policía.</w:t>
      </w:r>
    </w:p>
  </w:footnote>
  <w:footnote w:id="35">
    <w:p w14:paraId="13F6551F" w14:textId="6E1ADA74" w:rsidR="00F854F7" w:rsidRPr="00685D4F" w:rsidRDefault="00F854F7" w:rsidP="00F854F7">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Entrevista funcionario de la Policía. Mayo del 2024. La reducción de fondos de USAID afecta principalmente a la agenda de</w:t>
      </w:r>
      <w:r w:rsidRPr="00685D4F">
        <w:rPr>
          <w:sz w:val="18"/>
          <w:szCs w:val="18"/>
          <w:lang w:val="es-ES"/>
        </w:rPr>
        <w:t xml:space="preserve"> </w:t>
      </w:r>
      <w:r w:rsidRPr="00F854F7">
        <w:rPr>
          <w:sz w:val="18"/>
          <w:szCs w:val="18"/>
          <w:lang w:val="es-ES"/>
        </w:rPr>
        <w:t>inclusión de derechos de población sexualmente diversa o de la mujer, no necesariamente los antinarcóticos.</w:t>
      </w:r>
    </w:p>
  </w:footnote>
  <w:footnote w:id="36">
    <w:p w14:paraId="61D3DB71" w14:textId="2732C68E" w:rsidR="00F854F7" w:rsidRPr="00685D4F" w:rsidRDefault="00F854F7" w:rsidP="00F854F7">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Observación Taller de la Policía, Escuela privada, mayo del 2024.</w:t>
      </w:r>
    </w:p>
  </w:footnote>
  <w:footnote w:id="37">
    <w:p w14:paraId="0363868F" w14:textId="53F1F143" w:rsidR="00F854F7" w:rsidRPr="00685D4F" w:rsidRDefault="00F854F7" w:rsidP="00F854F7">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Entrevista Orientadora Escuela Pública 2, Florencia-Caquetá. </w:t>
      </w:r>
      <w:r w:rsidRPr="00685D4F">
        <w:rPr>
          <w:sz w:val="18"/>
          <w:szCs w:val="18"/>
        </w:rPr>
        <w:t>Mayo, 2024.</w:t>
      </w:r>
    </w:p>
  </w:footnote>
  <w:footnote w:id="38">
    <w:p w14:paraId="31532A09" w14:textId="7577B259" w:rsidR="00F854F7" w:rsidRPr="00685D4F" w:rsidRDefault="00F854F7" w:rsidP="00F854F7">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Entrevista orientadora escuela pública 3, Paujil-Caquetá. </w:t>
      </w:r>
      <w:r w:rsidRPr="00685D4F">
        <w:rPr>
          <w:sz w:val="18"/>
          <w:szCs w:val="18"/>
        </w:rPr>
        <w:t>Mayo, 2024.</w:t>
      </w:r>
    </w:p>
  </w:footnote>
  <w:footnote w:id="39">
    <w:p w14:paraId="333CA64F" w14:textId="77777777" w:rsidR="00F854F7" w:rsidRPr="00685D4F" w:rsidRDefault="00F854F7" w:rsidP="00F854F7">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Entrevista orientadora escuela pública 1, Florencia-Caquetá. Mayo, 2024; Entrevista orientadora escuela pública 2, Florencia-</w:t>
      </w:r>
    </w:p>
    <w:p w14:paraId="422F0CB6" w14:textId="27978D58" w:rsidR="00F854F7" w:rsidRPr="00685D4F" w:rsidRDefault="00F854F7" w:rsidP="00F854F7">
      <w:pPr>
        <w:rPr>
          <w:rFonts w:ascii="Calibri" w:eastAsia="Times New Roman" w:hAnsi="Calibri" w:cs="Calibri"/>
          <w:color w:val="000000"/>
          <w:kern w:val="0"/>
          <w:sz w:val="18"/>
          <w:szCs w:val="18"/>
          <w:lang w:eastAsia="en-GB"/>
          <w14:ligatures w14:val="none"/>
        </w:rPr>
      </w:pPr>
      <w:r w:rsidRPr="00F854F7">
        <w:rPr>
          <w:rFonts w:ascii="Calibri" w:eastAsia="Times New Roman" w:hAnsi="Calibri" w:cs="Calibri"/>
          <w:color w:val="000000"/>
          <w:kern w:val="0"/>
          <w:sz w:val="18"/>
          <w:szCs w:val="18"/>
          <w:lang w:eastAsia="en-GB"/>
          <w14:ligatures w14:val="none"/>
        </w:rPr>
        <w:t>Caquetá. Mayo, 2024.</w:t>
      </w:r>
    </w:p>
  </w:footnote>
  <w:footnote w:id="40">
    <w:p w14:paraId="765B184A" w14:textId="60D36783" w:rsidR="00070E6E" w:rsidRPr="00685D4F" w:rsidRDefault="00070E6E" w:rsidP="00070E6E">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Entrevista reeducadora pedagógica, trabajadora social. </w:t>
      </w:r>
      <w:r w:rsidRPr="00685D4F">
        <w:rPr>
          <w:sz w:val="18"/>
          <w:szCs w:val="18"/>
        </w:rPr>
        <w:t>Florencia, Caquetá. Marzo, 2025.</w:t>
      </w:r>
    </w:p>
  </w:footnote>
  <w:footnote w:id="41">
    <w:p w14:paraId="3E20EE5F" w14:textId="731AD27E" w:rsidR="00070E6E" w:rsidRPr="00685D4F" w:rsidRDefault="00070E6E" w:rsidP="00070E6E">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Grupo Focal Maestros Escuela Pública, pueblo del Caquetá. </w:t>
      </w:r>
      <w:r w:rsidRPr="00685D4F">
        <w:rPr>
          <w:sz w:val="18"/>
          <w:szCs w:val="18"/>
        </w:rPr>
        <w:t>Abril, 2025.</w:t>
      </w:r>
    </w:p>
  </w:footnote>
  <w:footnote w:id="42">
    <w:p w14:paraId="3206C711" w14:textId="6653053C" w:rsidR="002A313F" w:rsidRPr="00685D4F" w:rsidRDefault="002A313F" w:rsidP="002A313F">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Entrevista orientadora escuela pública 2, Florencia-Caquetá. </w:t>
      </w:r>
      <w:r w:rsidRPr="00685D4F">
        <w:rPr>
          <w:sz w:val="18"/>
          <w:szCs w:val="18"/>
        </w:rPr>
        <w:t>Mayo, 2024.</w:t>
      </w:r>
    </w:p>
  </w:footnote>
  <w:footnote w:id="43">
    <w:p w14:paraId="7352350F" w14:textId="45BEF519" w:rsidR="004A6D6D" w:rsidRPr="00685D4F" w:rsidRDefault="004A6D6D" w:rsidP="004A6D6D">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Acta II. Comité Municipal de Salud Mental, prevención integral, control del consumo y uso indebido de sustancias psicoactivas.</w:t>
      </w:r>
      <w:r w:rsidRPr="00685D4F">
        <w:rPr>
          <w:sz w:val="18"/>
          <w:szCs w:val="18"/>
          <w:lang w:val="es-ES"/>
        </w:rPr>
        <w:t xml:space="preserve"> </w:t>
      </w:r>
      <w:r w:rsidRPr="004A6D6D">
        <w:rPr>
          <w:sz w:val="18"/>
          <w:szCs w:val="18"/>
        </w:rPr>
        <w:t>06/07/2023.</w:t>
      </w:r>
    </w:p>
  </w:footnote>
  <w:footnote w:id="44">
    <w:p w14:paraId="721D874E" w14:textId="54E2C6E7" w:rsidR="004A6D6D" w:rsidRPr="00685D4F" w:rsidRDefault="004A6D6D" w:rsidP="004A6D6D">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Entrevista Orientadora Escuela Pública 2, Florencia-Caquetá. </w:t>
      </w:r>
      <w:r w:rsidRPr="00685D4F">
        <w:rPr>
          <w:sz w:val="18"/>
          <w:szCs w:val="18"/>
        </w:rPr>
        <w:t>Mayo, 2024.</w:t>
      </w:r>
    </w:p>
  </w:footnote>
  <w:footnote w:id="45">
    <w:p w14:paraId="4834E8D3" w14:textId="3C0F156C" w:rsidR="0060148B" w:rsidRPr="00685D4F" w:rsidRDefault="0060148B" w:rsidP="0060148B">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Grupo Focal Maestros Escuela Pública, pueblo del Caquetá. </w:t>
      </w:r>
      <w:r w:rsidRPr="00685D4F">
        <w:rPr>
          <w:sz w:val="18"/>
          <w:szCs w:val="18"/>
        </w:rPr>
        <w:t>Abril, 2025.</w:t>
      </w:r>
    </w:p>
  </w:footnote>
  <w:footnote w:id="46">
    <w:p w14:paraId="63FF82F0" w14:textId="50C3C8AA" w:rsidR="0060148B" w:rsidRPr="00685D4F" w:rsidRDefault="0060148B" w:rsidP="0060148B">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Entrevista reeducadora pedagógica, trabajadora social. Florencia-Caquetá. Marzo, 2025; Entrevista orientadora escuela</w:t>
      </w:r>
      <w:r w:rsidRPr="00685D4F">
        <w:rPr>
          <w:sz w:val="18"/>
          <w:szCs w:val="18"/>
          <w:lang w:val="es-ES"/>
        </w:rPr>
        <w:t xml:space="preserve"> </w:t>
      </w:r>
      <w:proofErr w:type="spellStart"/>
      <w:r w:rsidRPr="0060148B">
        <w:rPr>
          <w:sz w:val="18"/>
          <w:szCs w:val="18"/>
        </w:rPr>
        <w:t>privada</w:t>
      </w:r>
      <w:proofErr w:type="spellEnd"/>
      <w:r w:rsidRPr="0060148B">
        <w:rPr>
          <w:sz w:val="18"/>
          <w:szCs w:val="18"/>
        </w:rPr>
        <w:t xml:space="preserve"> 1, Florencia-Caquetá. Marzo, 2025.</w:t>
      </w:r>
    </w:p>
  </w:footnote>
  <w:footnote w:id="47">
    <w:p w14:paraId="639C5D01" w14:textId="64209A3F" w:rsidR="00244CFD" w:rsidRPr="00685D4F" w:rsidRDefault="00244CFD" w:rsidP="00244CFD">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Grupo Focal Maestros Escuela Pública, pueblo del Caquetá. Abril, 2025; Grupo Focal Maestros Escuela Privada, capital del</w:t>
      </w:r>
      <w:r w:rsidRPr="00685D4F">
        <w:rPr>
          <w:sz w:val="18"/>
          <w:szCs w:val="18"/>
          <w:lang w:val="es-ES"/>
        </w:rPr>
        <w:t xml:space="preserve"> </w:t>
      </w:r>
      <w:r w:rsidRPr="00244CFD">
        <w:rPr>
          <w:sz w:val="18"/>
          <w:szCs w:val="18"/>
          <w:lang w:val="es-ES"/>
        </w:rPr>
        <w:t>Caquetá. Abril, 2025.</w:t>
      </w:r>
    </w:p>
  </w:footnote>
  <w:footnote w:id="48">
    <w:p w14:paraId="3B4596DB" w14:textId="06A0EB03" w:rsidR="000C022E" w:rsidRPr="00685D4F" w:rsidRDefault="000C022E" w:rsidP="000C022E">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Notas de campo en visita a Secretaría de Salud municipal. </w:t>
      </w:r>
      <w:r w:rsidRPr="00685D4F">
        <w:rPr>
          <w:sz w:val="18"/>
          <w:szCs w:val="18"/>
        </w:rPr>
        <w:t>Mayo de 2024.</w:t>
      </w:r>
    </w:p>
  </w:footnote>
  <w:footnote w:id="49">
    <w:p w14:paraId="1B265C63" w14:textId="1E9B018F" w:rsidR="000C022E" w:rsidRPr="00685D4F" w:rsidRDefault="000C022E" w:rsidP="000C022E">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Este tipo de reflexión se dio en la escuela privada visitada. </w:t>
      </w:r>
      <w:proofErr w:type="spellStart"/>
      <w:r w:rsidRPr="00685D4F">
        <w:rPr>
          <w:sz w:val="18"/>
          <w:szCs w:val="18"/>
          <w:lang w:val="es-ES"/>
        </w:rPr>
        <w:t>Dunna</w:t>
      </w:r>
      <w:proofErr w:type="spellEnd"/>
      <w:r w:rsidRPr="00685D4F">
        <w:rPr>
          <w:sz w:val="18"/>
          <w:szCs w:val="18"/>
          <w:lang w:val="es-ES"/>
        </w:rPr>
        <w:t>. Alternativas Creativas para la Paz. 2022. Guía Básica de</w:t>
      </w:r>
    </w:p>
    <w:p w14:paraId="5A302610" w14:textId="05F2D687" w:rsidR="000C022E" w:rsidRPr="00685D4F" w:rsidRDefault="000C022E" w:rsidP="000C022E">
      <w:pPr>
        <w:rPr>
          <w:rFonts w:ascii="Calibri" w:eastAsia="Times New Roman" w:hAnsi="Calibri" w:cs="Calibri"/>
          <w:color w:val="000000"/>
          <w:kern w:val="0"/>
          <w:sz w:val="18"/>
          <w:szCs w:val="18"/>
          <w:lang w:val="es-ES" w:eastAsia="en-GB"/>
          <w14:ligatures w14:val="none"/>
        </w:rPr>
      </w:pPr>
      <w:r w:rsidRPr="000C022E">
        <w:rPr>
          <w:rFonts w:ascii="Calibri" w:eastAsia="Times New Roman" w:hAnsi="Calibri" w:cs="Calibri"/>
          <w:color w:val="000000"/>
          <w:kern w:val="0"/>
          <w:sz w:val="18"/>
          <w:szCs w:val="18"/>
          <w:lang w:val="es-ES" w:eastAsia="en-GB"/>
          <w14:ligatures w14:val="none"/>
        </w:rPr>
        <w:t>Prácticas Restaurativas en el contexto escolar. Bogotá.</w:t>
      </w:r>
    </w:p>
  </w:footnote>
  <w:footnote w:id="50">
    <w:p w14:paraId="3FE9A1BF" w14:textId="53192024" w:rsidR="000C022E" w:rsidRPr="00685D4F" w:rsidRDefault="000C022E" w:rsidP="000C022E">
      <w:pPr>
        <w:pStyle w:val="p1"/>
        <w:rPr>
          <w:sz w:val="18"/>
          <w:szCs w:val="18"/>
        </w:rPr>
      </w:pPr>
      <w:r w:rsidRPr="00685D4F">
        <w:rPr>
          <w:rStyle w:val="FootnoteReference"/>
          <w:sz w:val="18"/>
          <w:szCs w:val="18"/>
        </w:rPr>
        <w:footnoteRef/>
      </w:r>
      <w:r w:rsidRPr="00685D4F">
        <w:rPr>
          <w:sz w:val="18"/>
          <w:szCs w:val="18"/>
          <w:lang w:val="es-ES"/>
        </w:rPr>
        <w:t xml:space="preserve"> </w:t>
      </w:r>
      <w:r w:rsidRPr="00685D4F">
        <w:rPr>
          <w:sz w:val="18"/>
          <w:szCs w:val="18"/>
          <w:lang w:val="es-ES"/>
        </w:rPr>
        <w:t xml:space="preserve"> Este tipo de reflexión se dio en la escuela privada visitada. </w:t>
      </w:r>
      <w:proofErr w:type="spellStart"/>
      <w:r w:rsidRPr="00685D4F">
        <w:rPr>
          <w:sz w:val="18"/>
          <w:szCs w:val="18"/>
          <w:lang w:val="es-ES"/>
        </w:rPr>
        <w:t>Dunna</w:t>
      </w:r>
      <w:proofErr w:type="spellEnd"/>
      <w:r w:rsidRPr="00685D4F">
        <w:rPr>
          <w:sz w:val="18"/>
          <w:szCs w:val="18"/>
          <w:lang w:val="es-ES"/>
        </w:rPr>
        <w:t>. Alternativas Creativas para la Paz. 2022. Guía Básica de</w:t>
      </w:r>
      <w:r w:rsidRPr="00685D4F">
        <w:rPr>
          <w:sz w:val="18"/>
          <w:szCs w:val="18"/>
          <w:lang w:val="es-ES"/>
        </w:rPr>
        <w:t xml:space="preserve"> </w:t>
      </w:r>
      <w:r w:rsidRPr="000C022E">
        <w:rPr>
          <w:sz w:val="18"/>
          <w:szCs w:val="18"/>
          <w:lang w:val="es-ES"/>
        </w:rPr>
        <w:t xml:space="preserve">Prácticas Restaurativas en el contexto escolar. </w:t>
      </w:r>
      <w:r w:rsidRPr="000C022E">
        <w:rPr>
          <w:sz w:val="18"/>
          <w:szCs w:val="18"/>
        </w:rPr>
        <w:t>Bogotá.</w:t>
      </w:r>
    </w:p>
  </w:footnote>
  <w:footnote w:id="51">
    <w:p w14:paraId="02E69411" w14:textId="56BB78ED" w:rsidR="003D5D9D" w:rsidRPr="00685D4F" w:rsidRDefault="003D5D9D" w:rsidP="003D5D9D">
      <w:pPr>
        <w:pStyle w:val="p1"/>
        <w:rPr>
          <w:sz w:val="18"/>
          <w:szCs w:val="18"/>
          <w:lang w:val="es-ES"/>
        </w:rPr>
      </w:pPr>
      <w:r w:rsidRPr="00685D4F">
        <w:rPr>
          <w:rStyle w:val="FootnoteReference"/>
          <w:sz w:val="18"/>
          <w:szCs w:val="18"/>
        </w:rPr>
        <w:footnoteRef/>
      </w:r>
      <w:r w:rsidRPr="00685D4F">
        <w:rPr>
          <w:sz w:val="18"/>
          <w:szCs w:val="18"/>
          <w:lang w:val="es-ES"/>
        </w:rPr>
        <w:t xml:space="preserve"> </w:t>
      </w:r>
      <w:r w:rsidRPr="00685D4F">
        <w:rPr>
          <w:sz w:val="18"/>
          <w:szCs w:val="18"/>
          <w:lang w:val="es-ES"/>
        </w:rPr>
        <w:t>Estas recomendaciones se nutrieron de las propuestas de los múltiples actores del entorno escolar, incluyendo los y las</w:t>
      </w:r>
    </w:p>
    <w:p w14:paraId="54DED64D" w14:textId="77641D0D" w:rsidR="003D5D9D" w:rsidRPr="00685D4F" w:rsidRDefault="003D5D9D" w:rsidP="003D5D9D">
      <w:pPr>
        <w:rPr>
          <w:rFonts w:ascii="Calibri" w:eastAsia="Times New Roman" w:hAnsi="Calibri" w:cs="Calibri"/>
          <w:color w:val="000000"/>
          <w:kern w:val="0"/>
          <w:sz w:val="18"/>
          <w:szCs w:val="18"/>
          <w:lang w:eastAsia="en-GB"/>
          <w14:ligatures w14:val="none"/>
        </w:rPr>
      </w:pPr>
      <w:proofErr w:type="spellStart"/>
      <w:r w:rsidRPr="003D5D9D">
        <w:rPr>
          <w:rFonts w:ascii="Calibri" w:eastAsia="Times New Roman" w:hAnsi="Calibri" w:cs="Calibri"/>
          <w:color w:val="000000"/>
          <w:kern w:val="0"/>
          <w:sz w:val="18"/>
          <w:szCs w:val="18"/>
          <w:lang w:eastAsia="en-GB"/>
          <w14:ligatures w14:val="none"/>
        </w:rPr>
        <w:t>estudiantes</w:t>
      </w:r>
      <w:proofErr w:type="spellEnd"/>
      <w:r w:rsidRPr="003D5D9D">
        <w:rPr>
          <w:rFonts w:ascii="Calibri" w:eastAsia="Times New Roman" w:hAnsi="Calibri" w:cs="Calibri"/>
          <w:color w:val="000000"/>
          <w:kern w:val="0"/>
          <w:sz w:val="18"/>
          <w:szCs w:val="18"/>
          <w:lang w:eastAsia="en-GB"/>
          <w14:ligatures w14:val="non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F25F9"/>
    <w:multiLevelType w:val="hybridMultilevel"/>
    <w:tmpl w:val="2C563BE0"/>
    <w:lvl w:ilvl="0" w:tplc="AABA50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2004A"/>
    <w:multiLevelType w:val="hybridMultilevel"/>
    <w:tmpl w:val="840C497A"/>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A4A4421"/>
    <w:multiLevelType w:val="hybridMultilevel"/>
    <w:tmpl w:val="CA0E1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1139249">
    <w:abstractNumId w:val="2"/>
  </w:num>
  <w:num w:numId="2" w16cid:durableId="888617178">
    <w:abstractNumId w:val="1"/>
  </w:num>
  <w:num w:numId="3" w16cid:durableId="1642880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A8E"/>
    <w:rsid w:val="00025EAC"/>
    <w:rsid w:val="00070E6E"/>
    <w:rsid w:val="000C022E"/>
    <w:rsid w:val="0021614D"/>
    <w:rsid w:val="00217786"/>
    <w:rsid w:val="00232A25"/>
    <w:rsid w:val="00244CFD"/>
    <w:rsid w:val="002A313F"/>
    <w:rsid w:val="0034104D"/>
    <w:rsid w:val="00366D3A"/>
    <w:rsid w:val="003B5420"/>
    <w:rsid w:val="003C175D"/>
    <w:rsid w:val="003D5D9D"/>
    <w:rsid w:val="003E52F3"/>
    <w:rsid w:val="004A6D6D"/>
    <w:rsid w:val="004D2999"/>
    <w:rsid w:val="004F50B3"/>
    <w:rsid w:val="005A1D7E"/>
    <w:rsid w:val="0060148B"/>
    <w:rsid w:val="0061589D"/>
    <w:rsid w:val="00622ECB"/>
    <w:rsid w:val="00626156"/>
    <w:rsid w:val="006314C2"/>
    <w:rsid w:val="00642A8E"/>
    <w:rsid w:val="00685D4F"/>
    <w:rsid w:val="006E1043"/>
    <w:rsid w:val="007D491A"/>
    <w:rsid w:val="007E624D"/>
    <w:rsid w:val="00874EB3"/>
    <w:rsid w:val="008D0633"/>
    <w:rsid w:val="00A713D8"/>
    <w:rsid w:val="00AD79DB"/>
    <w:rsid w:val="00AE2555"/>
    <w:rsid w:val="00B45F8C"/>
    <w:rsid w:val="00C54135"/>
    <w:rsid w:val="00CB4574"/>
    <w:rsid w:val="00CF09CC"/>
    <w:rsid w:val="00DD1F4A"/>
    <w:rsid w:val="00DE52F7"/>
    <w:rsid w:val="00EE1E07"/>
    <w:rsid w:val="00F85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91A393"/>
  <w15:chartTrackingRefBased/>
  <w15:docId w15:val="{A9F9643B-609B-494F-9CF7-AEA66A20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A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A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A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A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A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A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A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A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A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A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A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A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A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A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A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A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A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A8E"/>
    <w:rPr>
      <w:rFonts w:eastAsiaTheme="majorEastAsia" w:cstheme="majorBidi"/>
      <w:color w:val="272727" w:themeColor="text1" w:themeTint="D8"/>
    </w:rPr>
  </w:style>
  <w:style w:type="paragraph" w:styleId="Title">
    <w:name w:val="Title"/>
    <w:basedOn w:val="Normal"/>
    <w:next w:val="Normal"/>
    <w:link w:val="TitleChar"/>
    <w:uiPriority w:val="10"/>
    <w:qFormat/>
    <w:rsid w:val="00642A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A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A8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A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A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2A8E"/>
    <w:rPr>
      <w:i/>
      <w:iCs/>
      <w:color w:val="404040" w:themeColor="text1" w:themeTint="BF"/>
    </w:rPr>
  </w:style>
  <w:style w:type="paragraph" w:styleId="ListParagraph">
    <w:name w:val="List Paragraph"/>
    <w:basedOn w:val="Normal"/>
    <w:uiPriority w:val="34"/>
    <w:qFormat/>
    <w:rsid w:val="00642A8E"/>
    <w:pPr>
      <w:ind w:left="720"/>
      <w:contextualSpacing/>
    </w:pPr>
  </w:style>
  <w:style w:type="character" w:styleId="IntenseEmphasis">
    <w:name w:val="Intense Emphasis"/>
    <w:basedOn w:val="DefaultParagraphFont"/>
    <w:uiPriority w:val="21"/>
    <w:qFormat/>
    <w:rsid w:val="00642A8E"/>
    <w:rPr>
      <w:i/>
      <w:iCs/>
      <w:color w:val="0F4761" w:themeColor="accent1" w:themeShade="BF"/>
    </w:rPr>
  </w:style>
  <w:style w:type="paragraph" w:styleId="IntenseQuote">
    <w:name w:val="Intense Quote"/>
    <w:basedOn w:val="Normal"/>
    <w:next w:val="Normal"/>
    <w:link w:val="IntenseQuoteChar"/>
    <w:uiPriority w:val="30"/>
    <w:qFormat/>
    <w:rsid w:val="00642A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A8E"/>
    <w:rPr>
      <w:i/>
      <w:iCs/>
      <w:color w:val="0F4761" w:themeColor="accent1" w:themeShade="BF"/>
    </w:rPr>
  </w:style>
  <w:style w:type="character" w:styleId="IntenseReference">
    <w:name w:val="Intense Reference"/>
    <w:basedOn w:val="DefaultParagraphFont"/>
    <w:uiPriority w:val="32"/>
    <w:qFormat/>
    <w:rsid w:val="00642A8E"/>
    <w:rPr>
      <w:b/>
      <w:bCs/>
      <w:smallCaps/>
      <w:color w:val="0F4761" w:themeColor="accent1" w:themeShade="BF"/>
      <w:spacing w:val="5"/>
    </w:rPr>
  </w:style>
  <w:style w:type="paragraph" w:customStyle="1" w:styleId="p1">
    <w:name w:val="p1"/>
    <w:basedOn w:val="Normal"/>
    <w:rsid w:val="00642A8E"/>
    <w:rPr>
      <w:rFonts w:ascii="Calibri" w:eastAsia="Times New Roman" w:hAnsi="Calibri" w:cs="Calibri"/>
      <w:color w:val="000000"/>
      <w:kern w:val="0"/>
      <w:sz w:val="17"/>
      <w:szCs w:val="17"/>
      <w:lang w:eastAsia="en-GB"/>
      <w14:ligatures w14:val="none"/>
    </w:rPr>
  </w:style>
  <w:style w:type="character" w:customStyle="1" w:styleId="s1">
    <w:name w:val="s1"/>
    <w:basedOn w:val="DefaultParagraphFont"/>
    <w:rsid w:val="00642A8E"/>
    <w:rPr>
      <w:rFonts w:ascii="Calibri" w:hAnsi="Calibri" w:cs="Calibri" w:hint="default"/>
      <w:sz w:val="11"/>
      <w:szCs w:val="11"/>
    </w:rPr>
  </w:style>
  <w:style w:type="character" w:customStyle="1" w:styleId="apple-converted-space">
    <w:name w:val="apple-converted-space"/>
    <w:basedOn w:val="DefaultParagraphFont"/>
    <w:rsid w:val="003B5420"/>
  </w:style>
  <w:style w:type="paragraph" w:styleId="FootnoteText">
    <w:name w:val="footnote text"/>
    <w:basedOn w:val="Normal"/>
    <w:link w:val="FootnoteTextChar"/>
    <w:uiPriority w:val="99"/>
    <w:semiHidden/>
    <w:unhideWhenUsed/>
    <w:rsid w:val="00626156"/>
    <w:rPr>
      <w:sz w:val="20"/>
      <w:szCs w:val="20"/>
    </w:rPr>
  </w:style>
  <w:style w:type="character" w:customStyle="1" w:styleId="FootnoteTextChar">
    <w:name w:val="Footnote Text Char"/>
    <w:basedOn w:val="DefaultParagraphFont"/>
    <w:link w:val="FootnoteText"/>
    <w:uiPriority w:val="99"/>
    <w:semiHidden/>
    <w:rsid w:val="00626156"/>
    <w:rPr>
      <w:sz w:val="20"/>
      <w:szCs w:val="20"/>
    </w:rPr>
  </w:style>
  <w:style w:type="character" w:styleId="FootnoteReference">
    <w:name w:val="footnote reference"/>
    <w:basedOn w:val="DefaultParagraphFont"/>
    <w:uiPriority w:val="99"/>
    <w:semiHidden/>
    <w:unhideWhenUsed/>
    <w:rsid w:val="00626156"/>
    <w:rPr>
      <w:vertAlign w:val="superscript"/>
    </w:rPr>
  </w:style>
  <w:style w:type="character" w:styleId="Hyperlink">
    <w:name w:val="Hyperlink"/>
    <w:basedOn w:val="DefaultParagraphFont"/>
    <w:uiPriority w:val="99"/>
    <w:unhideWhenUsed/>
    <w:rsid w:val="00AD79DB"/>
    <w:rPr>
      <w:color w:val="467886" w:themeColor="hyperlink"/>
      <w:u w:val="single"/>
    </w:rPr>
  </w:style>
  <w:style w:type="character" w:styleId="UnresolvedMention">
    <w:name w:val="Unresolved Mention"/>
    <w:basedOn w:val="DefaultParagraphFont"/>
    <w:uiPriority w:val="99"/>
    <w:semiHidden/>
    <w:unhideWhenUsed/>
    <w:rsid w:val="00AD79DB"/>
    <w:rPr>
      <w:color w:val="605E5C"/>
      <w:shd w:val="clear" w:color="auto" w:fill="E1DFDD"/>
    </w:rPr>
  </w:style>
  <w:style w:type="paragraph" w:customStyle="1" w:styleId="p2">
    <w:name w:val="p2"/>
    <w:basedOn w:val="Normal"/>
    <w:rsid w:val="00AD79DB"/>
    <w:rPr>
      <w:rFonts w:ascii="Calibri" w:eastAsia="Times New Roman" w:hAnsi="Calibri" w:cs="Calibri"/>
      <w:color w:val="0000FF"/>
      <w:kern w:val="0"/>
      <w:sz w:val="14"/>
      <w:szCs w:val="1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91472">
      <w:bodyDiv w:val="1"/>
      <w:marLeft w:val="0"/>
      <w:marRight w:val="0"/>
      <w:marTop w:val="0"/>
      <w:marBottom w:val="0"/>
      <w:divBdr>
        <w:top w:val="none" w:sz="0" w:space="0" w:color="auto"/>
        <w:left w:val="none" w:sz="0" w:space="0" w:color="auto"/>
        <w:bottom w:val="none" w:sz="0" w:space="0" w:color="auto"/>
        <w:right w:val="none" w:sz="0" w:space="0" w:color="auto"/>
      </w:divBdr>
    </w:div>
    <w:div w:id="37434220">
      <w:bodyDiv w:val="1"/>
      <w:marLeft w:val="0"/>
      <w:marRight w:val="0"/>
      <w:marTop w:val="0"/>
      <w:marBottom w:val="0"/>
      <w:divBdr>
        <w:top w:val="none" w:sz="0" w:space="0" w:color="auto"/>
        <w:left w:val="none" w:sz="0" w:space="0" w:color="auto"/>
        <w:bottom w:val="none" w:sz="0" w:space="0" w:color="auto"/>
        <w:right w:val="none" w:sz="0" w:space="0" w:color="auto"/>
      </w:divBdr>
    </w:div>
    <w:div w:id="136187663">
      <w:bodyDiv w:val="1"/>
      <w:marLeft w:val="0"/>
      <w:marRight w:val="0"/>
      <w:marTop w:val="0"/>
      <w:marBottom w:val="0"/>
      <w:divBdr>
        <w:top w:val="none" w:sz="0" w:space="0" w:color="auto"/>
        <w:left w:val="none" w:sz="0" w:space="0" w:color="auto"/>
        <w:bottom w:val="none" w:sz="0" w:space="0" w:color="auto"/>
        <w:right w:val="none" w:sz="0" w:space="0" w:color="auto"/>
      </w:divBdr>
    </w:div>
    <w:div w:id="150946654">
      <w:bodyDiv w:val="1"/>
      <w:marLeft w:val="0"/>
      <w:marRight w:val="0"/>
      <w:marTop w:val="0"/>
      <w:marBottom w:val="0"/>
      <w:divBdr>
        <w:top w:val="none" w:sz="0" w:space="0" w:color="auto"/>
        <w:left w:val="none" w:sz="0" w:space="0" w:color="auto"/>
        <w:bottom w:val="none" w:sz="0" w:space="0" w:color="auto"/>
        <w:right w:val="none" w:sz="0" w:space="0" w:color="auto"/>
      </w:divBdr>
    </w:div>
    <w:div w:id="205945406">
      <w:bodyDiv w:val="1"/>
      <w:marLeft w:val="0"/>
      <w:marRight w:val="0"/>
      <w:marTop w:val="0"/>
      <w:marBottom w:val="0"/>
      <w:divBdr>
        <w:top w:val="none" w:sz="0" w:space="0" w:color="auto"/>
        <w:left w:val="none" w:sz="0" w:space="0" w:color="auto"/>
        <w:bottom w:val="none" w:sz="0" w:space="0" w:color="auto"/>
        <w:right w:val="none" w:sz="0" w:space="0" w:color="auto"/>
      </w:divBdr>
    </w:div>
    <w:div w:id="252250557">
      <w:bodyDiv w:val="1"/>
      <w:marLeft w:val="0"/>
      <w:marRight w:val="0"/>
      <w:marTop w:val="0"/>
      <w:marBottom w:val="0"/>
      <w:divBdr>
        <w:top w:val="none" w:sz="0" w:space="0" w:color="auto"/>
        <w:left w:val="none" w:sz="0" w:space="0" w:color="auto"/>
        <w:bottom w:val="none" w:sz="0" w:space="0" w:color="auto"/>
        <w:right w:val="none" w:sz="0" w:space="0" w:color="auto"/>
      </w:divBdr>
    </w:div>
    <w:div w:id="288510585">
      <w:bodyDiv w:val="1"/>
      <w:marLeft w:val="0"/>
      <w:marRight w:val="0"/>
      <w:marTop w:val="0"/>
      <w:marBottom w:val="0"/>
      <w:divBdr>
        <w:top w:val="none" w:sz="0" w:space="0" w:color="auto"/>
        <w:left w:val="none" w:sz="0" w:space="0" w:color="auto"/>
        <w:bottom w:val="none" w:sz="0" w:space="0" w:color="auto"/>
        <w:right w:val="none" w:sz="0" w:space="0" w:color="auto"/>
      </w:divBdr>
    </w:div>
    <w:div w:id="288706424">
      <w:bodyDiv w:val="1"/>
      <w:marLeft w:val="0"/>
      <w:marRight w:val="0"/>
      <w:marTop w:val="0"/>
      <w:marBottom w:val="0"/>
      <w:divBdr>
        <w:top w:val="none" w:sz="0" w:space="0" w:color="auto"/>
        <w:left w:val="none" w:sz="0" w:space="0" w:color="auto"/>
        <w:bottom w:val="none" w:sz="0" w:space="0" w:color="auto"/>
        <w:right w:val="none" w:sz="0" w:space="0" w:color="auto"/>
      </w:divBdr>
    </w:div>
    <w:div w:id="356197061">
      <w:bodyDiv w:val="1"/>
      <w:marLeft w:val="0"/>
      <w:marRight w:val="0"/>
      <w:marTop w:val="0"/>
      <w:marBottom w:val="0"/>
      <w:divBdr>
        <w:top w:val="none" w:sz="0" w:space="0" w:color="auto"/>
        <w:left w:val="none" w:sz="0" w:space="0" w:color="auto"/>
        <w:bottom w:val="none" w:sz="0" w:space="0" w:color="auto"/>
        <w:right w:val="none" w:sz="0" w:space="0" w:color="auto"/>
      </w:divBdr>
    </w:div>
    <w:div w:id="379595420">
      <w:bodyDiv w:val="1"/>
      <w:marLeft w:val="0"/>
      <w:marRight w:val="0"/>
      <w:marTop w:val="0"/>
      <w:marBottom w:val="0"/>
      <w:divBdr>
        <w:top w:val="none" w:sz="0" w:space="0" w:color="auto"/>
        <w:left w:val="none" w:sz="0" w:space="0" w:color="auto"/>
        <w:bottom w:val="none" w:sz="0" w:space="0" w:color="auto"/>
        <w:right w:val="none" w:sz="0" w:space="0" w:color="auto"/>
      </w:divBdr>
    </w:div>
    <w:div w:id="408113841">
      <w:bodyDiv w:val="1"/>
      <w:marLeft w:val="0"/>
      <w:marRight w:val="0"/>
      <w:marTop w:val="0"/>
      <w:marBottom w:val="0"/>
      <w:divBdr>
        <w:top w:val="none" w:sz="0" w:space="0" w:color="auto"/>
        <w:left w:val="none" w:sz="0" w:space="0" w:color="auto"/>
        <w:bottom w:val="none" w:sz="0" w:space="0" w:color="auto"/>
        <w:right w:val="none" w:sz="0" w:space="0" w:color="auto"/>
      </w:divBdr>
    </w:div>
    <w:div w:id="418983984">
      <w:bodyDiv w:val="1"/>
      <w:marLeft w:val="0"/>
      <w:marRight w:val="0"/>
      <w:marTop w:val="0"/>
      <w:marBottom w:val="0"/>
      <w:divBdr>
        <w:top w:val="none" w:sz="0" w:space="0" w:color="auto"/>
        <w:left w:val="none" w:sz="0" w:space="0" w:color="auto"/>
        <w:bottom w:val="none" w:sz="0" w:space="0" w:color="auto"/>
        <w:right w:val="none" w:sz="0" w:space="0" w:color="auto"/>
      </w:divBdr>
    </w:div>
    <w:div w:id="471218173">
      <w:bodyDiv w:val="1"/>
      <w:marLeft w:val="0"/>
      <w:marRight w:val="0"/>
      <w:marTop w:val="0"/>
      <w:marBottom w:val="0"/>
      <w:divBdr>
        <w:top w:val="none" w:sz="0" w:space="0" w:color="auto"/>
        <w:left w:val="none" w:sz="0" w:space="0" w:color="auto"/>
        <w:bottom w:val="none" w:sz="0" w:space="0" w:color="auto"/>
        <w:right w:val="none" w:sz="0" w:space="0" w:color="auto"/>
      </w:divBdr>
    </w:div>
    <w:div w:id="484128238">
      <w:bodyDiv w:val="1"/>
      <w:marLeft w:val="0"/>
      <w:marRight w:val="0"/>
      <w:marTop w:val="0"/>
      <w:marBottom w:val="0"/>
      <w:divBdr>
        <w:top w:val="none" w:sz="0" w:space="0" w:color="auto"/>
        <w:left w:val="none" w:sz="0" w:space="0" w:color="auto"/>
        <w:bottom w:val="none" w:sz="0" w:space="0" w:color="auto"/>
        <w:right w:val="none" w:sz="0" w:space="0" w:color="auto"/>
      </w:divBdr>
    </w:div>
    <w:div w:id="518157852">
      <w:bodyDiv w:val="1"/>
      <w:marLeft w:val="0"/>
      <w:marRight w:val="0"/>
      <w:marTop w:val="0"/>
      <w:marBottom w:val="0"/>
      <w:divBdr>
        <w:top w:val="none" w:sz="0" w:space="0" w:color="auto"/>
        <w:left w:val="none" w:sz="0" w:space="0" w:color="auto"/>
        <w:bottom w:val="none" w:sz="0" w:space="0" w:color="auto"/>
        <w:right w:val="none" w:sz="0" w:space="0" w:color="auto"/>
      </w:divBdr>
    </w:div>
    <w:div w:id="520627460">
      <w:bodyDiv w:val="1"/>
      <w:marLeft w:val="0"/>
      <w:marRight w:val="0"/>
      <w:marTop w:val="0"/>
      <w:marBottom w:val="0"/>
      <w:divBdr>
        <w:top w:val="none" w:sz="0" w:space="0" w:color="auto"/>
        <w:left w:val="none" w:sz="0" w:space="0" w:color="auto"/>
        <w:bottom w:val="none" w:sz="0" w:space="0" w:color="auto"/>
        <w:right w:val="none" w:sz="0" w:space="0" w:color="auto"/>
      </w:divBdr>
    </w:div>
    <w:div w:id="534126255">
      <w:bodyDiv w:val="1"/>
      <w:marLeft w:val="0"/>
      <w:marRight w:val="0"/>
      <w:marTop w:val="0"/>
      <w:marBottom w:val="0"/>
      <w:divBdr>
        <w:top w:val="none" w:sz="0" w:space="0" w:color="auto"/>
        <w:left w:val="none" w:sz="0" w:space="0" w:color="auto"/>
        <w:bottom w:val="none" w:sz="0" w:space="0" w:color="auto"/>
        <w:right w:val="none" w:sz="0" w:space="0" w:color="auto"/>
      </w:divBdr>
    </w:div>
    <w:div w:id="556405508">
      <w:bodyDiv w:val="1"/>
      <w:marLeft w:val="0"/>
      <w:marRight w:val="0"/>
      <w:marTop w:val="0"/>
      <w:marBottom w:val="0"/>
      <w:divBdr>
        <w:top w:val="none" w:sz="0" w:space="0" w:color="auto"/>
        <w:left w:val="none" w:sz="0" w:space="0" w:color="auto"/>
        <w:bottom w:val="none" w:sz="0" w:space="0" w:color="auto"/>
        <w:right w:val="none" w:sz="0" w:space="0" w:color="auto"/>
      </w:divBdr>
    </w:div>
    <w:div w:id="566182360">
      <w:bodyDiv w:val="1"/>
      <w:marLeft w:val="0"/>
      <w:marRight w:val="0"/>
      <w:marTop w:val="0"/>
      <w:marBottom w:val="0"/>
      <w:divBdr>
        <w:top w:val="none" w:sz="0" w:space="0" w:color="auto"/>
        <w:left w:val="none" w:sz="0" w:space="0" w:color="auto"/>
        <w:bottom w:val="none" w:sz="0" w:space="0" w:color="auto"/>
        <w:right w:val="none" w:sz="0" w:space="0" w:color="auto"/>
      </w:divBdr>
    </w:div>
    <w:div w:id="568537220">
      <w:bodyDiv w:val="1"/>
      <w:marLeft w:val="0"/>
      <w:marRight w:val="0"/>
      <w:marTop w:val="0"/>
      <w:marBottom w:val="0"/>
      <w:divBdr>
        <w:top w:val="none" w:sz="0" w:space="0" w:color="auto"/>
        <w:left w:val="none" w:sz="0" w:space="0" w:color="auto"/>
        <w:bottom w:val="none" w:sz="0" w:space="0" w:color="auto"/>
        <w:right w:val="none" w:sz="0" w:space="0" w:color="auto"/>
      </w:divBdr>
    </w:div>
    <w:div w:id="580334484">
      <w:bodyDiv w:val="1"/>
      <w:marLeft w:val="0"/>
      <w:marRight w:val="0"/>
      <w:marTop w:val="0"/>
      <w:marBottom w:val="0"/>
      <w:divBdr>
        <w:top w:val="none" w:sz="0" w:space="0" w:color="auto"/>
        <w:left w:val="none" w:sz="0" w:space="0" w:color="auto"/>
        <w:bottom w:val="none" w:sz="0" w:space="0" w:color="auto"/>
        <w:right w:val="none" w:sz="0" w:space="0" w:color="auto"/>
      </w:divBdr>
    </w:div>
    <w:div w:id="595747670">
      <w:bodyDiv w:val="1"/>
      <w:marLeft w:val="0"/>
      <w:marRight w:val="0"/>
      <w:marTop w:val="0"/>
      <w:marBottom w:val="0"/>
      <w:divBdr>
        <w:top w:val="none" w:sz="0" w:space="0" w:color="auto"/>
        <w:left w:val="none" w:sz="0" w:space="0" w:color="auto"/>
        <w:bottom w:val="none" w:sz="0" w:space="0" w:color="auto"/>
        <w:right w:val="none" w:sz="0" w:space="0" w:color="auto"/>
      </w:divBdr>
    </w:div>
    <w:div w:id="613561256">
      <w:bodyDiv w:val="1"/>
      <w:marLeft w:val="0"/>
      <w:marRight w:val="0"/>
      <w:marTop w:val="0"/>
      <w:marBottom w:val="0"/>
      <w:divBdr>
        <w:top w:val="none" w:sz="0" w:space="0" w:color="auto"/>
        <w:left w:val="none" w:sz="0" w:space="0" w:color="auto"/>
        <w:bottom w:val="none" w:sz="0" w:space="0" w:color="auto"/>
        <w:right w:val="none" w:sz="0" w:space="0" w:color="auto"/>
      </w:divBdr>
    </w:div>
    <w:div w:id="651787813">
      <w:bodyDiv w:val="1"/>
      <w:marLeft w:val="0"/>
      <w:marRight w:val="0"/>
      <w:marTop w:val="0"/>
      <w:marBottom w:val="0"/>
      <w:divBdr>
        <w:top w:val="none" w:sz="0" w:space="0" w:color="auto"/>
        <w:left w:val="none" w:sz="0" w:space="0" w:color="auto"/>
        <w:bottom w:val="none" w:sz="0" w:space="0" w:color="auto"/>
        <w:right w:val="none" w:sz="0" w:space="0" w:color="auto"/>
      </w:divBdr>
    </w:div>
    <w:div w:id="690449541">
      <w:bodyDiv w:val="1"/>
      <w:marLeft w:val="0"/>
      <w:marRight w:val="0"/>
      <w:marTop w:val="0"/>
      <w:marBottom w:val="0"/>
      <w:divBdr>
        <w:top w:val="none" w:sz="0" w:space="0" w:color="auto"/>
        <w:left w:val="none" w:sz="0" w:space="0" w:color="auto"/>
        <w:bottom w:val="none" w:sz="0" w:space="0" w:color="auto"/>
        <w:right w:val="none" w:sz="0" w:space="0" w:color="auto"/>
      </w:divBdr>
    </w:div>
    <w:div w:id="702832070">
      <w:bodyDiv w:val="1"/>
      <w:marLeft w:val="0"/>
      <w:marRight w:val="0"/>
      <w:marTop w:val="0"/>
      <w:marBottom w:val="0"/>
      <w:divBdr>
        <w:top w:val="none" w:sz="0" w:space="0" w:color="auto"/>
        <w:left w:val="none" w:sz="0" w:space="0" w:color="auto"/>
        <w:bottom w:val="none" w:sz="0" w:space="0" w:color="auto"/>
        <w:right w:val="none" w:sz="0" w:space="0" w:color="auto"/>
      </w:divBdr>
    </w:div>
    <w:div w:id="721488776">
      <w:bodyDiv w:val="1"/>
      <w:marLeft w:val="0"/>
      <w:marRight w:val="0"/>
      <w:marTop w:val="0"/>
      <w:marBottom w:val="0"/>
      <w:divBdr>
        <w:top w:val="none" w:sz="0" w:space="0" w:color="auto"/>
        <w:left w:val="none" w:sz="0" w:space="0" w:color="auto"/>
        <w:bottom w:val="none" w:sz="0" w:space="0" w:color="auto"/>
        <w:right w:val="none" w:sz="0" w:space="0" w:color="auto"/>
      </w:divBdr>
    </w:div>
    <w:div w:id="784732724">
      <w:bodyDiv w:val="1"/>
      <w:marLeft w:val="0"/>
      <w:marRight w:val="0"/>
      <w:marTop w:val="0"/>
      <w:marBottom w:val="0"/>
      <w:divBdr>
        <w:top w:val="none" w:sz="0" w:space="0" w:color="auto"/>
        <w:left w:val="none" w:sz="0" w:space="0" w:color="auto"/>
        <w:bottom w:val="none" w:sz="0" w:space="0" w:color="auto"/>
        <w:right w:val="none" w:sz="0" w:space="0" w:color="auto"/>
      </w:divBdr>
    </w:div>
    <w:div w:id="818377847">
      <w:bodyDiv w:val="1"/>
      <w:marLeft w:val="0"/>
      <w:marRight w:val="0"/>
      <w:marTop w:val="0"/>
      <w:marBottom w:val="0"/>
      <w:divBdr>
        <w:top w:val="none" w:sz="0" w:space="0" w:color="auto"/>
        <w:left w:val="none" w:sz="0" w:space="0" w:color="auto"/>
        <w:bottom w:val="none" w:sz="0" w:space="0" w:color="auto"/>
        <w:right w:val="none" w:sz="0" w:space="0" w:color="auto"/>
      </w:divBdr>
    </w:div>
    <w:div w:id="835267341">
      <w:bodyDiv w:val="1"/>
      <w:marLeft w:val="0"/>
      <w:marRight w:val="0"/>
      <w:marTop w:val="0"/>
      <w:marBottom w:val="0"/>
      <w:divBdr>
        <w:top w:val="none" w:sz="0" w:space="0" w:color="auto"/>
        <w:left w:val="none" w:sz="0" w:space="0" w:color="auto"/>
        <w:bottom w:val="none" w:sz="0" w:space="0" w:color="auto"/>
        <w:right w:val="none" w:sz="0" w:space="0" w:color="auto"/>
      </w:divBdr>
    </w:div>
    <w:div w:id="864441255">
      <w:bodyDiv w:val="1"/>
      <w:marLeft w:val="0"/>
      <w:marRight w:val="0"/>
      <w:marTop w:val="0"/>
      <w:marBottom w:val="0"/>
      <w:divBdr>
        <w:top w:val="none" w:sz="0" w:space="0" w:color="auto"/>
        <w:left w:val="none" w:sz="0" w:space="0" w:color="auto"/>
        <w:bottom w:val="none" w:sz="0" w:space="0" w:color="auto"/>
        <w:right w:val="none" w:sz="0" w:space="0" w:color="auto"/>
      </w:divBdr>
    </w:div>
    <w:div w:id="895431136">
      <w:bodyDiv w:val="1"/>
      <w:marLeft w:val="0"/>
      <w:marRight w:val="0"/>
      <w:marTop w:val="0"/>
      <w:marBottom w:val="0"/>
      <w:divBdr>
        <w:top w:val="none" w:sz="0" w:space="0" w:color="auto"/>
        <w:left w:val="none" w:sz="0" w:space="0" w:color="auto"/>
        <w:bottom w:val="none" w:sz="0" w:space="0" w:color="auto"/>
        <w:right w:val="none" w:sz="0" w:space="0" w:color="auto"/>
      </w:divBdr>
    </w:div>
    <w:div w:id="902564652">
      <w:bodyDiv w:val="1"/>
      <w:marLeft w:val="0"/>
      <w:marRight w:val="0"/>
      <w:marTop w:val="0"/>
      <w:marBottom w:val="0"/>
      <w:divBdr>
        <w:top w:val="none" w:sz="0" w:space="0" w:color="auto"/>
        <w:left w:val="none" w:sz="0" w:space="0" w:color="auto"/>
        <w:bottom w:val="none" w:sz="0" w:space="0" w:color="auto"/>
        <w:right w:val="none" w:sz="0" w:space="0" w:color="auto"/>
      </w:divBdr>
    </w:div>
    <w:div w:id="921181065">
      <w:bodyDiv w:val="1"/>
      <w:marLeft w:val="0"/>
      <w:marRight w:val="0"/>
      <w:marTop w:val="0"/>
      <w:marBottom w:val="0"/>
      <w:divBdr>
        <w:top w:val="none" w:sz="0" w:space="0" w:color="auto"/>
        <w:left w:val="none" w:sz="0" w:space="0" w:color="auto"/>
        <w:bottom w:val="none" w:sz="0" w:space="0" w:color="auto"/>
        <w:right w:val="none" w:sz="0" w:space="0" w:color="auto"/>
      </w:divBdr>
    </w:div>
    <w:div w:id="922180356">
      <w:bodyDiv w:val="1"/>
      <w:marLeft w:val="0"/>
      <w:marRight w:val="0"/>
      <w:marTop w:val="0"/>
      <w:marBottom w:val="0"/>
      <w:divBdr>
        <w:top w:val="none" w:sz="0" w:space="0" w:color="auto"/>
        <w:left w:val="none" w:sz="0" w:space="0" w:color="auto"/>
        <w:bottom w:val="none" w:sz="0" w:space="0" w:color="auto"/>
        <w:right w:val="none" w:sz="0" w:space="0" w:color="auto"/>
      </w:divBdr>
    </w:div>
    <w:div w:id="950404388">
      <w:bodyDiv w:val="1"/>
      <w:marLeft w:val="0"/>
      <w:marRight w:val="0"/>
      <w:marTop w:val="0"/>
      <w:marBottom w:val="0"/>
      <w:divBdr>
        <w:top w:val="none" w:sz="0" w:space="0" w:color="auto"/>
        <w:left w:val="none" w:sz="0" w:space="0" w:color="auto"/>
        <w:bottom w:val="none" w:sz="0" w:space="0" w:color="auto"/>
        <w:right w:val="none" w:sz="0" w:space="0" w:color="auto"/>
      </w:divBdr>
    </w:div>
    <w:div w:id="969019236">
      <w:bodyDiv w:val="1"/>
      <w:marLeft w:val="0"/>
      <w:marRight w:val="0"/>
      <w:marTop w:val="0"/>
      <w:marBottom w:val="0"/>
      <w:divBdr>
        <w:top w:val="none" w:sz="0" w:space="0" w:color="auto"/>
        <w:left w:val="none" w:sz="0" w:space="0" w:color="auto"/>
        <w:bottom w:val="none" w:sz="0" w:space="0" w:color="auto"/>
        <w:right w:val="none" w:sz="0" w:space="0" w:color="auto"/>
      </w:divBdr>
    </w:div>
    <w:div w:id="997882173">
      <w:bodyDiv w:val="1"/>
      <w:marLeft w:val="0"/>
      <w:marRight w:val="0"/>
      <w:marTop w:val="0"/>
      <w:marBottom w:val="0"/>
      <w:divBdr>
        <w:top w:val="none" w:sz="0" w:space="0" w:color="auto"/>
        <w:left w:val="none" w:sz="0" w:space="0" w:color="auto"/>
        <w:bottom w:val="none" w:sz="0" w:space="0" w:color="auto"/>
        <w:right w:val="none" w:sz="0" w:space="0" w:color="auto"/>
      </w:divBdr>
    </w:div>
    <w:div w:id="1110733851">
      <w:bodyDiv w:val="1"/>
      <w:marLeft w:val="0"/>
      <w:marRight w:val="0"/>
      <w:marTop w:val="0"/>
      <w:marBottom w:val="0"/>
      <w:divBdr>
        <w:top w:val="none" w:sz="0" w:space="0" w:color="auto"/>
        <w:left w:val="none" w:sz="0" w:space="0" w:color="auto"/>
        <w:bottom w:val="none" w:sz="0" w:space="0" w:color="auto"/>
        <w:right w:val="none" w:sz="0" w:space="0" w:color="auto"/>
      </w:divBdr>
    </w:div>
    <w:div w:id="1135367270">
      <w:bodyDiv w:val="1"/>
      <w:marLeft w:val="0"/>
      <w:marRight w:val="0"/>
      <w:marTop w:val="0"/>
      <w:marBottom w:val="0"/>
      <w:divBdr>
        <w:top w:val="none" w:sz="0" w:space="0" w:color="auto"/>
        <w:left w:val="none" w:sz="0" w:space="0" w:color="auto"/>
        <w:bottom w:val="none" w:sz="0" w:space="0" w:color="auto"/>
        <w:right w:val="none" w:sz="0" w:space="0" w:color="auto"/>
      </w:divBdr>
    </w:div>
    <w:div w:id="1146047007">
      <w:bodyDiv w:val="1"/>
      <w:marLeft w:val="0"/>
      <w:marRight w:val="0"/>
      <w:marTop w:val="0"/>
      <w:marBottom w:val="0"/>
      <w:divBdr>
        <w:top w:val="none" w:sz="0" w:space="0" w:color="auto"/>
        <w:left w:val="none" w:sz="0" w:space="0" w:color="auto"/>
        <w:bottom w:val="none" w:sz="0" w:space="0" w:color="auto"/>
        <w:right w:val="none" w:sz="0" w:space="0" w:color="auto"/>
      </w:divBdr>
    </w:div>
    <w:div w:id="1156382865">
      <w:bodyDiv w:val="1"/>
      <w:marLeft w:val="0"/>
      <w:marRight w:val="0"/>
      <w:marTop w:val="0"/>
      <w:marBottom w:val="0"/>
      <w:divBdr>
        <w:top w:val="none" w:sz="0" w:space="0" w:color="auto"/>
        <w:left w:val="none" w:sz="0" w:space="0" w:color="auto"/>
        <w:bottom w:val="none" w:sz="0" w:space="0" w:color="auto"/>
        <w:right w:val="none" w:sz="0" w:space="0" w:color="auto"/>
      </w:divBdr>
    </w:div>
    <w:div w:id="1161430447">
      <w:bodyDiv w:val="1"/>
      <w:marLeft w:val="0"/>
      <w:marRight w:val="0"/>
      <w:marTop w:val="0"/>
      <w:marBottom w:val="0"/>
      <w:divBdr>
        <w:top w:val="none" w:sz="0" w:space="0" w:color="auto"/>
        <w:left w:val="none" w:sz="0" w:space="0" w:color="auto"/>
        <w:bottom w:val="none" w:sz="0" w:space="0" w:color="auto"/>
        <w:right w:val="none" w:sz="0" w:space="0" w:color="auto"/>
      </w:divBdr>
    </w:div>
    <w:div w:id="1174034271">
      <w:bodyDiv w:val="1"/>
      <w:marLeft w:val="0"/>
      <w:marRight w:val="0"/>
      <w:marTop w:val="0"/>
      <w:marBottom w:val="0"/>
      <w:divBdr>
        <w:top w:val="none" w:sz="0" w:space="0" w:color="auto"/>
        <w:left w:val="none" w:sz="0" w:space="0" w:color="auto"/>
        <w:bottom w:val="none" w:sz="0" w:space="0" w:color="auto"/>
        <w:right w:val="none" w:sz="0" w:space="0" w:color="auto"/>
      </w:divBdr>
    </w:div>
    <w:div w:id="1198809982">
      <w:bodyDiv w:val="1"/>
      <w:marLeft w:val="0"/>
      <w:marRight w:val="0"/>
      <w:marTop w:val="0"/>
      <w:marBottom w:val="0"/>
      <w:divBdr>
        <w:top w:val="none" w:sz="0" w:space="0" w:color="auto"/>
        <w:left w:val="none" w:sz="0" w:space="0" w:color="auto"/>
        <w:bottom w:val="none" w:sz="0" w:space="0" w:color="auto"/>
        <w:right w:val="none" w:sz="0" w:space="0" w:color="auto"/>
      </w:divBdr>
    </w:div>
    <w:div w:id="1236629216">
      <w:bodyDiv w:val="1"/>
      <w:marLeft w:val="0"/>
      <w:marRight w:val="0"/>
      <w:marTop w:val="0"/>
      <w:marBottom w:val="0"/>
      <w:divBdr>
        <w:top w:val="none" w:sz="0" w:space="0" w:color="auto"/>
        <w:left w:val="none" w:sz="0" w:space="0" w:color="auto"/>
        <w:bottom w:val="none" w:sz="0" w:space="0" w:color="auto"/>
        <w:right w:val="none" w:sz="0" w:space="0" w:color="auto"/>
      </w:divBdr>
    </w:div>
    <w:div w:id="1259824062">
      <w:bodyDiv w:val="1"/>
      <w:marLeft w:val="0"/>
      <w:marRight w:val="0"/>
      <w:marTop w:val="0"/>
      <w:marBottom w:val="0"/>
      <w:divBdr>
        <w:top w:val="none" w:sz="0" w:space="0" w:color="auto"/>
        <w:left w:val="none" w:sz="0" w:space="0" w:color="auto"/>
        <w:bottom w:val="none" w:sz="0" w:space="0" w:color="auto"/>
        <w:right w:val="none" w:sz="0" w:space="0" w:color="auto"/>
      </w:divBdr>
    </w:div>
    <w:div w:id="1264190985">
      <w:bodyDiv w:val="1"/>
      <w:marLeft w:val="0"/>
      <w:marRight w:val="0"/>
      <w:marTop w:val="0"/>
      <w:marBottom w:val="0"/>
      <w:divBdr>
        <w:top w:val="none" w:sz="0" w:space="0" w:color="auto"/>
        <w:left w:val="none" w:sz="0" w:space="0" w:color="auto"/>
        <w:bottom w:val="none" w:sz="0" w:space="0" w:color="auto"/>
        <w:right w:val="none" w:sz="0" w:space="0" w:color="auto"/>
      </w:divBdr>
    </w:div>
    <w:div w:id="1292788968">
      <w:bodyDiv w:val="1"/>
      <w:marLeft w:val="0"/>
      <w:marRight w:val="0"/>
      <w:marTop w:val="0"/>
      <w:marBottom w:val="0"/>
      <w:divBdr>
        <w:top w:val="none" w:sz="0" w:space="0" w:color="auto"/>
        <w:left w:val="none" w:sz="0" w:space="0" w:color="auto"/>
        <w:bottom w:val="none" w:sz="0" w:space="0" w:color="auto"/>
        <w:right w:val="none" w:sz="0" w:space="0" w:color="auto"/>
      </w:divBdr>
    </w:div>
    <w:div w:id="1308433254">
      <w:bodyDiv w:val="1"/>
      <w:marLeft w:val="0"/>
      <w:marRight w:val="0"/>
      <w:marTop w:val="0"/>
      <w:marBottom w:val="0"/>
      <w:divBdr>
        <w:top w:val="none" w:sz="0" w:space="0" w:color="auto"/>
        <w:left w:val="none" w:sz="0" w:space="0" w:color="auto"/>
        <w:bottom w:val="none" w:sz="0" w:space="0" w:color="auto"/>
        <w:right w:val="none" w:sz="0" w:space="0" w:color="auto"/>
      </w:divBdr>
    </w:div>
    <w:div w:id="1359817749">
      <w:bodyDiv w:val="1"/>
      <w:marLeft w:val="0"/>
      <w:marRight w:val="0"/>
      <w:marTop w:val="0"/>
      <w:marBottom w:val="0"/>
      <w:divBdr>
        <w:top w:val="none" w:sz="0" w:space="0" w:color="auto"/>
        <w:left w:val="none" w:sz="0" w:space="0" w:color="auto"/>
        <w:bottom w:val="none" w:sz="0" w:space="0" w:color="auto"/>
        <w:right w:val="none" w:sz="0" w:space="0" w:color="auto"/>
      </w:divBdr>
    </w:div>
    <w:div w:id="1377511671">
      <w:bodyDiv w:val="1"/>
      <w:marLeft w:val="0"/>
      <w:marRight w:val="0"/>
      <w:marTop w:val="0"/>
      <w:marBottom w:val="0"/>
      <w:divBdr>
        <w:top w:val="none" w:sz="0" w:space="0" w:color="auto"/>
        <w:left w:val="none" w:sz="0" w:space="0" w:color="auto"/>
        <w:bottom w:val="none" w:sz="0" w:space="0" w:color="auto"/>
        <w:right w:val="none" w:sz="0" w:space="0" w:color="auto"/>
      </w:divBdr>
    </w:div>
    <w:div w:id="1402798890">
      <w:bodyDiv w:val="1"/>
      <w:marLeft w:val="0"/>
      <w:marRight w:val="0"/>
      <w:marTop w:val="0"/>
      <w:marBottom w:val="0"/>
      <w:divBdr>
        <w:top w:val="none" w:sz="0" w:space="0" w:color="auto"/>
        <w:left w:val="none" w:sz="0" w:space="0" w:color="auto"/>
        <w:bottom w:val="none" w:sz="0" w:space="0" w:color="auto"/>
        <w:right w:val="none" w:sz="0" w:space="0" w:color="auto"/>
      </w:divBdr>
    </w:div>
    <w:div w:id="1405644141">
      <w:bodyDiv w:val="1"/>
      <w:marLeft w:val="0"/>
      <w:marRight w:val="0"/>
      <w:marTop w:val="0"/>
      <w:marBottom w:val="0"/>
      <w:divBdr>
        <w:top w:val="none" w:sz="0" w:space="0" w:color="auto"/>
        <w:left w:val="none" w:sz="0" w:space="0" w:color="auto"/>
        <w:bottom w:val="none" w:sz="0" w:space="0" w:color="auto"/>
        <w:right w:val="none" w:sz="0" w:space="0" w:color="auto"/>
      </w:divBdr>
    </w:div>
    <w:div w:id="1434476385">
      <w:bodyDiv w:val="1"/>
      <w:marLeft w:val="0"/>
      <w:marRight w:val="0"/>
      <w:marTop w:val="0"/>
      <w:marBottom w:val="0"/>
      <w:divBdr>
        <w:top w:val="none" w:sz="0" w:space="0" w:color="auto"/>
        <w:left w:val="none" w:sz="0" w:space="0" w:color="auto"/>
        <w:bottom w:val="none" w:sz="0" w:space="0" w:color="auto"/>
        <w:right w:val="none" w:sz="0" w:space="0" w:color="auto"/>
      </w:divBdr>
    </w:div>
    <w:div w:id="1465074238">
      <w:bodyDiv w:val="1"/>
      <w:marLeft w:val="0"/>
      <w:marRight w:val="0"/>
      <w:marTop w:val="0"/>
      <w:marBottom w:val="0"/>
      <w:divBdr>
        <w:top w:val="none" w:sz="0" w:space="0" w:color="auto"/>
        <w:left w:val="none" w:sz="0" w:space="0" w:color="auto"/>
        <w:bottom w:val="none" w:sz="0" w:space="0" w:color="auto"/>
        <w:right w:val="none" w:sz="0" w:space="0" w:color="auto"/>
      </w:divBdr>
    </w:div>
    <w:div w:id="1482502193">
      <w:bodyDiv w:val="1"/>
      <w:marLeft w:val="0"/>
      <w:marRight w:val="0"/>
      <w:marTop w:val="0"/>
      <w:marBottom w:val="0"/>
      <w:divBdr>
        <w:top w:val="none" w:sz="0" w:space="0" w:color="auto"/>
        <w:left w:val="none" w:sz="0" w:space="0" w:color="auto"/>
        <w:bottom w:val="none" w:sz="0" w:space="0" w:color="auto"/>
        <w:right w:val="none" w:sz="0" w:space="0" w:color="auto"/>
      </w:divBdr>
    </w:div>
    <w:div w:id="1485581394">
      <w:bodyDiv w:val="1"/>
      <w:marLeft w:val="0"/>
      <w:marRight w:val="0"/>
      <w:marTop w:val="0"/>
      <w:marBottom w:val="0"/>
      <w:divBdr>
        <w:top w:val="none" w:sz="0" w:space="0" w:color="auto"/>
        <w:left w:val="none" w:sz="0" w:space="0" w:color="auto"/>
        <w:bottom w:val="none" w:sz="0" w:space="0" w:color="auto"/>
        <w:right w:val="none" w:sz="0" w:space="0" w:color="auto"/>
      </w:divBdr>
    </w:div>
    <w:div w:id="1490319604">
      <w:bodyDiv w:val="1"/>
      <w:marLeft w:val="0"/>
      <w:marRight w:val="0"/>
      <w:marTop w:val="0"/>
      <w:marBottom w:val="0"/>
      <w:divBdr>
        <w:top w:val="none" w:sz="0" w:space="0" w:color="auto"/>
        <w:left w:val="none" w:sz="0" w:space="0" w:color="auto"/>
        <w:bottom w:val="none" w:sz="0" w:space="0" w:color="auto"/>
        <w:right w:val="none" w:sz="0" w:space="0" w:color="auto"/>
      </w:divBdr>
    </w:div>
    <w:div w:id="1502163360">
      <w:bodyDiv w:val="1"/>
      <w:marLeft w:val="0"/>
      <w:marRight w:val="0"/>
      <w:marTop w:val="0"/>
      <w:marBottom w:val="0"/>
      <w:divBdr>
        <w:top w:val="none" w:sz="0" w:space="0" w:color="auto"/>
        <w:left w:val="none" w:sz="0" w:space="0" w:color="auto"/>
        <w:bottom w:val="none" w:sz="0" w:space="0" w:color="auto"/>
        <w:right w:val="none" w:sz="0" w:space="0" w:color="auto"/>
      </w:divBdr>
    </w:div>
    <w:div w:id="1506747547">
      <w:bodyDiv w:val="1"/>
      <w:marLeft w:val="0"/>
      <w:marRight w:val="0"/>
      <w:marTop w:val="0"/>
      <w:marBottom w:val="0"/>
      <w:divBdr>
        <w:top w:val="none" w:sz="0" w:space="0" w:color="auto"/>
        <w:left w:val="none" w:sz="0" w:space="0" w:color="auto"/>
        <w:bottom w:val="none" w:sz="0" w:space="0" w:color="auto"/>
        <w:right w:val="none" w:sz="0" w:space="0" w:color="auto"/>
      </w:divBdr>
    </w:div>
    <w:div w:id="1527867724">
      <w:bodyDiv w:val="1"/>
      <w:marLeft w:val="0"/>
      <w:marRight w:val="0"/>
      <w:marTop w:val="0"/>
      <w:marBottom w:val="0"/>
      <w:divBdr>
        <w:top w:val="none" w:sz="0" w:space="0" w:color="auto"/>
        <w:left w:val="none" w:sz="0" w:space="0" w:color="auto"/>
        <w:bottom w:val="none" w:sz="0" w:space="0" w:color="auto"/>
        <w:right w:val="none" w:sz="0" w:space="0" w:color="auto"/>
      </w:divBdr>
    </w:div>
    <w:div w:id="1568374599">
      <w:bodyDiv w:val="1"/>
      <w:marLeft w:val="0"/>
      <w:marRight w:val="0"/>
      <w:marTop w:val="0"/>
      <w:marBottom w:val="0"/>
      <w:divBdr>
        <w:top w:val="none" w:sz="0" w:space="0" w:color="auto"/>
        <w:left w:val="none" w:sz="0" w:space="0" w:color="auto"/>
        <w:bottom w:val="none" w:sz="0" w:space="0" w:color="auto"/>
        <w:right w:val="none" w:sz="0" w:space="0" w:color="auto"/>
      </w:divBdr>
    </w:div>
    <w:div w:id="1613247074">
      <w:bodyDiv w:val="1"/>
      <w:marLeft w:val="0"/>
      <w:marRight w:val="0"/>
      <w:marTop w:val="0"/>
      <w:marBottom w:val="0"/>
      <w:divBdr>
        <w:top w:val="none" w:sz="0" w:space="0" w:color="auto"/>
        <w:left w:val="none" w:sz="0" w:space="0" w:color="auto"/>
        <w:bottom w:val="none" w:sz="0" w:space="0" w:color="auto"/>
        <w:right w:val="none" w:sz="0" w:space="0" w:color="auto"/>
      </w:divBdr>
    </w:div>
    <w:div w:id="1619799480">
      <w:bodyDiv w:val="1"/>
      <w:marLeft w:val="0"/>
      <w:marRight w:val="0"/>
      <w:marTop w:val="0"/>
      <w:marBottom w:val="0"/>
      <w:divBdr>
        <w:top w:val="none" w:sz="0" w:space="0" w:color="auto"/>
        <w:left w:val="none" w:sz="0" w:space="0" w:color="auto"/>
        <w:bottom w:val="none" w:sz="0" w:space="0" w:color="auto"/>
        <w:right w:val="none" w:sz="0" w:space="0" w:color="auto"/>
      </w:divBdr>
    </w:div>
    <w:div w:id="1624533367">
      <w:bodyDiv w:val="1"/>
      <w:marLeft w:val="0"/>
      <w:marRight w:val="0"/>
      <w:marTop w:val="0"/>
      <w:marBottom w:val="0"/>
      <w:divBdr>
        <w:top w:val="none" w:sz="0" w:space="0" w:color="auto"/>
        <w:left w:val="none" w:sz="0" w:space="0" w:color="auto"/>
        <w:bottom w:val="none" w:sz="0" w:space="0" w:color="auto"/>
        <w:right w:val="none" w:sz="0" w:space="0" w:color="auto"/>
      </w:divBdr>
    </w:div>
    <w:div w:id="1625237802">
      <w:bodyDiv w:val="1"/>
      <w:marLeft w:val="0"/>
      <w:marRight w:val="0"/>
      <w:marTop w:val="0"/>
      <w:marBottom w:val="0"/>
      <w:divBdr>
        <w:top w:val="none" w:sz="0" w:space="0" w:color="auto"/>
        <w:left w:val="none" w:sz="0" w:space="0" w:color="auto"/>
        <w:bottom w:val="none" w:sz="0" w:space="0" w:color="auto"/>
        <w:right w:val="none" w:sz="0" w:space="0" w:color="auto"/>
      </w:divBdr>
    </w:div>
    <w:div w:id="1632855614">
      <w:bodyDiv w:val="1"/>
      <w:marLeft w:val="0"/>
      <w:marRight w:val="0"/>
      <w:marTop w:val="0"/>
      <w:marBottom w:val="0"/>
      <w:divBdr>
        <w:top w:val="none" w:sz="0" w:space="0" w:color="auto"/>
        <w:left w:val="none" w:sz="0" w:space="0" w:color="auto"/>
        <w:bottom w:val="none" w:sz="0" w:space="0" w:color="auto"/>
        <w:right w:val="none" w:sz="0" w:space="0" w:color="auto"/>
      </w:divBdr>
    </w:div>
    <w:div w:id="1652755727">
      <w:bodyDiv w:val="1"/>
      <w:marLeft w:val="0"/>
      <w:marRight w:val="0"/>
      <w:marTop w:val="0"/>
      <w:marBottom w:val="0"/>
      <w:divBdr>
        <w:top w:val="none" w:sz="0" w:space="0" w:color="auto"/>
        <w:left w:val="none" w:sz="0" w:space="0" w:color="auto"/>
        <w:bottom w:val="none" w:sz="0" w:space="0" w:color="auto"/>
        <w:right w:val="none" w:sz="0" w:space="0" w:color="auto"/>
      </w:divBdr>
    </w:div>
    <w:div w:id="1678733190">
      <w:bodyDiv w:val="1"/>
      <w:marLeft w:val="0"/>
      <w:marRight w:val="0"/>
      <w:marTop w:val="0"/>
      <w:marBottom w:val="0"/>
      <w:divBdr>
        <w:top w:val="none" w:sz="0" w:space="0" w:color="auto"/>
        <w:left w:val="none" w:sz="0" w:space="0" w:color="auto"/>
        <w:bottom w:val="none" w:sz="0" w:space="0" w:color="auto"/>
        <w:right w:val="none" w:sz="0" w:space="0" w:color="auto"/>
      </w:divBdr>
    </w:div>
    <w:div w:id="1714228983">
      <w:bodyDiv w:val="1"/>
      <w:marLeft w:val="0"/>
      <w:marRight w:val="0"/>
      <w:marTop w:val="0"/>
      <w:marBottom w:val="0"/>
      <w:divBdr>
        <w:top w:val="none" w:sz="0" w:space="0" w:color="auto"/>
        <w:left w:val="none" w:sz="0" w:space="0" w:color="auto"/>
        <w:bottom w:val="none" w:sz="0" w:space="0" w:color="auto"/>
        <w:right w:val="none" w:sz="0" w:space="0" w:color="auto"/>
      </w:divBdr>
    </w:div>
    <w:div w:id="1728525442">
      <w:bodyDiv w:val="1"/>
      <w:marLeft w:val="0"/>
      <w:marRight w:val="0"/>
      <w:marTop w:val="0"/>
      <w:marBottom w:val="0"/>
      <w:divBdr>
        <w:top w:val="none" w:sz="0" w:space="0" w:color="auto"/>
        <w:left w:val="none" w:sz="0" w:space="0" w:color="auto"/>
        <w:bottom w:val="none" w:sz="0" w:space="0" w:color="auto"/>
        <w:right w:val="none" w:sz="0" w:space="0" w:color="auto"/>
      </w:divBdr>
    </w:div>
    <w:div w:id="1765614714">
      <w:bodyDiv w:val="1"/>
      <w:marLeft w:val="0"/>
      <w:marRight w:val="0"/>
      <w:marTop w:val="0"/>
      <w:marBottom w:val="0"/>
      <w:divBdr>
        <w:top w:val="none" w:sz="0" w:space="0" w:color="auto"/>
        <w:left w:val="none" w:sz="0" w:space="0" w:color="auto"/>
        <w:bottom w:val="none" w:sz="0" w:space="0" w:color="auto"/>
        <w:right w:val="none" w:sz="0" w:space="0" w:color="auto"/>
      </w:divBdr>
    </w:div>
    <w:div w:id="1791047245">
      <w:bodyDiv w:val="1"/>
      <w:marLeft w:val="0"/>
      <w:marRight w:val="0"/>
      <w:marTop w:val="0"/>
      <w:marBottom w:val="0"/>
      <w:divBdr>
        <w:top w:val="none" w:sz="0" w:space="0" w:color="auto"/>
        <w:left w:val="none" w:sz="0" w:space="0" w:color="auto"/>
        <w:bottom w:val="none" w:sz="0" w:space="0" w:color="auto"/>
        <w:right w:val="none" w:sz="0" w:space="0" w:color="auto"/>
      </w:divBdr>
    </w:div>
    <w:div w:id="1824930286">
      <w:bodyDiv w:val="1"/>
      <w:marLeft w:val="0"/>
      <w:marRight w:val="0"/>
      <w:marTop w:val="0"/>
      <w:marBottom w:val="0"/>
      <w:divBdr>
        <w:top w:val="none" w:sz="0" w:space="0" w:color="auto"/>
        <w:left w:val="none" w:sz="0" w:space="0" w:color="auto"/>
        <w:bottom w:val="none" w:sz="0" w:space="0" w:color="auto"/>
        <w:right w:val="none" w:sz="0" w:space="0" w:color="auto"/>
      </w:divBdr>
    </w:div>
    <w:div w:id="1827437313">
      <w:bodyDiv w:val="1"/>
      <w:marLeft w:val="0"/>
      <w:marRight w:val="0"/>
      <w:marTop w:val="0"/>
      <w:marBottom w:val="0"/>
      <w:divBdr>
        <w:top w:val="none" w:sz="0" w:space="0" w:color="auto"/>
        <w:left w:val="none" w:sz="0" w:space="0" w:color="auto"/>
        <w:bottom w:val="none" w:sz="0" w:space="0" w:color="auto"/>
        <w:right w:val="none" w:sz="0" w:space="0" w:color="auto"/>
      </w:divBdr>
    </w:div>
    <w:div w:id="1843202520">
      <w:bodyDiv w:val="1"/>
      <w:marLeft w:val="0"/>
      <w:marRight w:val="0"/>
      <w:marTop w:val="0"/>
      <w:marBottom w:val="0"/>
      <w:divBdr>
        <w:top w:val="none" w:sz="0" w:space="0" w:color="auto"/>
        <w:left w:val="none" w:sz="0" w:space="0" w:color="auto"/>
        <w:bottom w:val="none" w:sz="0" w:space="0" w:color="auto"/>
        <w:right w:val="none" w:sz="0" w:space="0" w:color="auto"/>
      </w:divBdr>
    </w:div>
    <w:div w:id="1874027799">
      <w:bodyDiv w:val="1"/>
      <w:marLeft w:val="0"/>
      <w:marRight w:val="0"/>
      <w:marTop w:val="0"/>
      <w:marBottom w:val="0"/>
      <w:divBdr>
        <w:top w:val="none" w:sz="0" w:space="0" w:color="auto"/>
        <w:left w:val="none" w:sz="0" w:space="0" w:color="auto"/>
        <w:bottom w:val="none" w:sz="0" w:space="0" w:color="auto"/>
        <w:right w:val="none" w:sz="0" w:space="0" w:color="auto"/>
      </w:divBdr>
    </w:div>
    <w:div w:id="1884364890">
      <w:bodyDiv w:val="1"/>
      <w:marLeft w:val="0"/>
      <w:marRight w:val="0"/>
      <w:marTop w:val="0"/>
      <w:marBottom w:val="0"/>
      <w:divBdr>
        <w:top w:val="none" w:sz="0" w:space="0" w:color="auto"/>
        <w:left w:val="none" w:sz="0" w:space="0" w:color="auto"/>
        <w:bottom w:val="none" w:sz="0" w:space="0" w:color="auto"/>
        <w:right w:val="none" w:sz="0" w:space="0" w:color="auto"/>
      </w:divBdr>
    </w:div>
    <w:div w:id="1896428265">
      <w:bodyDiv w:val="1"/>
      <w:marLeft w:val="0"/>
      <w:marRight w:val="0"/>
      <w:marTop w:val="0"/>
      <w:marBottom w:val="0"/>
      <w:divBdr>
        <w:top w:val="none" w:sz="0" w:space="0" w:color="auto"/>
        <w:left w:val="none" w:sz="0" w:space="0" w:color="auto"/>
        <w:bottom w:val="none" w:sz="0" w:space="0" w:color="auto"/>
        <w:right w:val="none" w:sz="0" w:space="0" w:color="auto"/>
      </w:divBdr>
    </w:div>
    <w:div w:id="1948266097">
      <w:bodyDiv w:val="1"/>
      <w:marLeft w:val="0"/>
      <w:marRight w:val="0"/>
      <w:marTop w:val="0"/>
      <w:marBottom w:val="0"/>
      <w:divBdr>
        <w:top w:val="none" w:sz="0" w:space="0" w:color="auto"/>
        <w:left w:val="none" w:sz="0" w:space="0" w:color="auto"/>
        <w:bottom w:val="none" w:sz="0" w:space="0" w:color="auto"/>
        <w:right w:val="none" w:sz="0" w:space="0" w:color="auto"/>
      </w:divBdr>
    </w:div>
    <w:div w:id="1980576439">
      <w:bodyDiv w:val="1"/>
      <w:marLeft w:val="0"/>
      <w:marRight w:val="0"/>
      <w:marTop w:val="0"/>
      <w:marBottom w:val="0"/>
      <w:divBdr>
        <w:top w:val="none" w:sz="0" w:space="0" w:color="auto"/>
        <w:left w:val="none" w:sz="0" w:space="0" w:color="auto"/>
        <w:bottom w:val="none" w:sz="0" w:space="0" w:color="auto"/>
        <w:right w:val="none" w:sz="0" w:space="0" w:color="auto"/>
      </w:divBdr>
    </w:div>
    <w:div w:id="1994984324">
      <w:bodyDiv w:val="1"/>
      <w:marLeft w:val="0"/>
      <w:marRight w:val="0"/>
      <w:marTop w:val="0"/>
      <w:marBottom w:val="0"/>
      <w:divBdr>
        <w:top w:val="none" w:sz="0" w:space="0" w:color="auto"/>
        <w:left w:val="none" w:sz="0" w:space="0" w:color="auto"/>
        <w:bottom w:val="none" w:sz="0" w:space="0" w:color="auto"/>
        <w:right w:val="none" w:sz="0" w:space="0" w:color="auto"/>
      </w:divBdr>
    </w:div>
    <w:div w:id="2001738500">
      <w:bodyDiv w:val="1"/>
      <w:marLeft w:val="0"/>
      <w:marRight w:val="0"/>
      <w:marTop w:val="0"/>
      <w:marBottom w:val="0"/>
      <w:divBdr>
        <w:top w:val="none" w:sz="0" w:space="0" w:color="auto"/>
        <w:left w:val="none" w:sz="0" w:space="0" w:color="auto"/>
        <w:bottom w:val="none" w:sz="0" w:space="0" w:color="auto"/>
        <w:right w:val="none" w:sz="0" w:space="0" w:color="auto"/>
      </w:divBdr>
    </w:div>
    <w:div w:id="2092265722">
      <w:bodyDiv w:val="1"/>
      <w:marLeft w:val="0"/>
      <w:marRight w:val="0"/>
      <w:marTop w:val="0"/>
      <w:marBottom w:val="0"/>
      <w:divBdr>
        <w:top w:val="none" w:sz="0" w:space="0" w:color="auto"/>
        <w:left w:val="none" w:sz="0" w:space="0" w:color="auto"/>
        <w:bottom w:val="none" w:sz="0" w:space="0" w:color="auto"/>
        <w:right w:val="none" w:sz="0" w:space="0" w:color="auto"/>
      </w:divBdr>
    </w:div>
    <w:div w:id="2093163491">
      <w:bodyDiv w:val="1"/>
      <w:marLeft w:val="0"/>
      <w:marRight w:val="0"/>
      <w:marTop w:val="0"/>
      <w:marBottom w:val="0"/>
      <w:divBdr>
        <w:top w:val="none" w:sz="0" w:space="0" w:color="auto"/>
        <w:left w:val="none" w:sz="0" w:space="0" w:color="auto"/>
        <w:bottom w:val="none" w:sz="0" w:space="0" w:color="auto"/>
        <w:right w:val="none" w:sz="0" w:space="0" w:color="auto"/>
      </w:divBdr>
    </w:div>
    <w:div w:id="2100714601">
      <w:bodyDiv w:val="1"/>
      <w:marLeft w:val="0"/>
      <w:marRight w:val="0"/>
      <w:marTop w:val="0"/>
      <w:marBottom w:val="0"/>
      <w:divBdr>
        <w:top w:val="none" w:sz="0" w:space="0" w:color="auto"/>
        <w:left w:val="none" w:sz="0" w:space="0" w:color="auto"/>
        <w:bottom w:val="none" w:sz="0" w:space="0" w:color="auto"/>
        <w:right w:val="none" w:sz="0" w:space="0" w:color="auto"/>
      </w:divBdr>
    </w:div>
    <w:div w:id="210934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minjusticia.gov.co/Sala-de-prensa/Documents/Pol%C3%ADtica%20Nacional%20de%20Drogas%202023-2033%20%27Sembrando%20vida,%20desterramos%20el%20narcotr%C3%A1fico%27.pdf" TargetMode="External"/><Relationship Id="rId13" Type="http://schemas.openxmlformats.org/officeDocument/2006/relationships/hyperlink" Target="https://www.colombiaaprende.edu.co/sites/default/files/files_public/2021-04/PEQ_Abordaje%20pedag%C3%B3gico%20de%20situaciones%20de%20riesgo.pdf" TargetMode="External"/><Relationship Id="rId3" Type="http://schemas.openxmlformats.org/officeDocument/2006/relationships/hyperlink" Target="https://documents.un.org/doc/undoc/gen/g23/156/03/pdf/g2315603.pdf" TargetMode="External"/><Relationship Id="rId7" Type="http://schemas.openxmlformats.org/officeDocument/2006/relationships/hyperlink" Target="https://www.hr-dp.org/files/2014/04/28/CESCR_Colombia_4.pdf" TargetMode="External"/><Relationship Id="rId12" Type="http://schemas.openxmlformats.org/officeDocument/2006/relationships/hyperlink" Target="https://consultorsalud.com/plan-nacional-de-salud-rural-decreto-0351/" TargetMode="External"/><Relationship Id="rId2" Type="http://schemas.openxmlformats.org/officeDocument/2006/relationships/hyperlink" Target="https://www.comisiondelaverdad.co/sites/default/files/descargables/2022-08/FINAL%20CEV_HALLAZGOS_DIGITAL_2022.pdf" TargetMode="External"/><Relationship Id="rId1" Type="http://schemas.openxmlformats.org/officeDocument/2006/relationships/hyperlink" Target="https://www.jep.gov.co/Documents/Acuerdo%20Final/Acuerdo%20Final.pdf" TargetMode="External"/><Relationship Id="rId6" Type="http://schemas.openxmlformats.org/officeDocument/2006/relationships/hyperlink" Target="https://www.hr-dp.org/files/2014/04/28/CESCR_Colombia_1232.pdf" TargetMode="External"/><Relationship Id="rId11" Type="http://schemas.openxmlformats.org/officeDocument/2006/relationships/hyperlink" Target="https://consultorsalud.com/salud-rural-col-hospitales-publicos-financiero/" TargetMode="External"/><Relationship Id="rId5" Type="http://schemas.openxmlformats.org/officeDocument/2006/relationships/hyperlink" Target="https://www.minsalud.gov.co/sites/rid/Lists/BibliotecaDigital/RIDE/VS/PP/ENT/3cartilla-participante-lineamientos-zoe.pdf" TargetMode="External"/><Relationship Id="rId10" Type="http://schemas.openxmlformats.org/officeDocument/2006/relationships/hyperlink" Target="https://www.comisiondelaverdad.co/caso-guerra-en-las-drogas" TargetMode="External"/><Relationship Id="rId4" Type="http://schemas.openxmlformats.org/officeDocument/2006/relationships/hyperlink" Target="https://www.minsalud.gov.co/sites/rid/Lists/BibliotecaDigital/RIDE/VS/PP/ENT/3cartilla-participante-lineamientos-zoe.pdf" TargetMode="External"/><Relationship Id="rId9" Type="http://schemas.openxmlformats.org/officeDocument/2006/relationships/hyperlink" Target="https://www.minjusticia.gov.co/programas-co/ODC/Publicaciones/Publicaciones/CO03142016_estudio_consumo_escolares_2016.pdf" TargetMode="External"/><Relationship Id="rId14" Type="http://schemas.openxmlformats.org/officeDocument/2006/relationships/hyperlink" Target="https://www.mineducacion.gov.co/portal/normativa/Decretos/336730:Decreto-No-1965-de-septiembre-11-de-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096AC-6E06-174F-AFB9-4B094F9B0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10</Pages>
  <Words>5086</Words>
  <Characters>27160</Characters>
  <Application>Microsoft Office Word</Application>
  <DocSecurity>0</DocSecurity>
  <Lines>438</Lines>
  <Paragraphs>78</Paragraphs>
  <ScaleCrop>false</ScaleCrop>
  <Company/>
  <LinksUpToDate>false</LinksUpToDate>
  <CharactersWithSpaces>32168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Nougier</dc:creator>
  <cp:keywords/>
  <dc:description/>
  <cp:lastModifiedBy>Marie Nougier</cp:lastModifiedBy>
  <cp:revision>34</cp:revision>
  <dcterms:created xsi:type="dcterms:W3CDTF">2025-08-06T08:40:00Z</dcterms:created>
  <dcterms:modified xsi:type="dcterms:W3CDTF">2025-08-06T09:45:00Z</dcterms:modified>
</cp:coreProperties>
</file>